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07577" w:rsidRDefault="00AE3DA7" w:rsidP="00141876">
          <w:pPr>
            <w:pStyle w:val="TtulodeTDC"/>
            <w:spacing w:before="0" w:line="240" w:lineRule="auto"/>
            <w:rPr>
              <w:rFonts w:ascii="Palatino Linotype" w:hAnsi="Palatino Linotype"/>
              <w:sz w:val="24"/>
              <w:szCs w:val="24"/>
              <w:lang w:val="es-ES"/>
            </w:rPr>
          </w:pPr>
          <w:r w:rsidRPr="00207577">
            <w:rPr>
              <w:rFonts w:ascii="Palatino Linotype" w:hAnsi="Palatino Linotype"/>
              <w:sz w:val="24"/>
              <w:szCs w:val="24"/>
              <w:lang w:val="es-ES"/>
            </w:rPr>
            <w:t>Contenido</w:t>
          </w:r>
        </w:p>
        <w:p w14:paraId="3EB312A7" w14:textId="77777777" w:rsidR="00AA6EA9" w:rsidRPr="00207577" w:rsidRDefault="00AA6EA9" w:rsidP="00141876">
          <w:pPr>
            <w:spacing w:line="240" w:lineRule="auto"/>
            <w:rPr>
              <w:sz w:val="16"/>
              <w:szCs w:val="16"/>
              <w:lang w:val="es-ES" w:eastAsia="es-MX"/>
            </w:rPr>
          </w:pPr>
        </w:p>
        <w:p w14:paraId="0DAA2612" w14:textId="648FD3C4" w:rsidR="0065492D" w:rsidRPr="00207577" w:rsidRDefault="00AE3DA7">
          <w:pPr>
            <w:pStyle w:val="TDC1"/>
            <w:tabs>
              <w:tab w:val="right" w:leader="dot" w:pos="9034"/>
            </w:tabs>
            <w:rPr>
              <w:rFonts w:asciiTheme="minorHAnsi" w:eastAsiaTheme="minorEastAsia" w:hAnsiTheme="minorHAnsi" w:cstheme="minorBidi"/>
              <w:noProof/>
              <w:szCs w:val="22"/>
              <w:lang w:eastAsia="es-MX"/>
            </w:rPr>
          </w:pPr>
          <w:r w:rsidRPr="00207577">
            <w:rPr>
              <w:sz w:val="16"/>
              <w:szCs w:val="16"/>
            </w:rPr>
            <w:fldChar w:fldCharType="begin"/>
          </w:r>
          <w:r w:rsidRPr="00207577">
            <w:rPr>
              <w:sz w:val="16"/>
              <w:szCs w:val="16"/>
            </w:rPr>
            <w:instrText xml:space="preserve"> TOC \o "1-3" \h \z \u </w:instrText>
          </w:r>
          <w:r w:rsidRPr="00207577">
            <w:rPr>
              <w:sz w:val="16"/>
              <w:szCs w:val="16"/>
            </w:rPr>
            <w:fldChar w:fldCharType="separate"/>
          </w:r>
          <w:hyperlink w:anchor="_Toc210248679" w:history="1">
            <w:r w:rsidR="0065492D" w:rsidRPr="00207577">
              <w:rPr>
                <w:rStyle w:val="Hipervnculo"/>
                <w:noProof/>
              </w:rPr>
              <w:t>ANTECEDENTES</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_Toc210248679 \h </w:instrText>
            </w:r>
            <w:r w:rsidR="0065492D" w:rsidRPr="00207577">
              <w:rPr>
                <w:noProof/>
                <w:webHidden/>
              </w:rPr>
            </w:r>
            <w:r w:rsidR="0065492D" w:rsidRPr="00207577">
              <w:rPr>
                <w:noProof/>
                <w:webHidden/>
              </w:rPr>
              <w:fldChar w:fldCharType="separate"/>
            </w:r>
            <w:r w:rsidR="00207577">
              <w:rPr>
                <w:noProof/>
                <w:webHidden/>
              </w:rPr>
              <w:t>1</w:t>
            </w:r>
            <w:r w:rsidR="0065492D" w:rsidRPr="00207577">
              <w:rPr>
                <w:noProof/>
                <w:webHidden/>
              </w:rPr>
              <w:fldChar w:fldCharType="end"/>
            </w:r>
          </w:hyperlink>
        </w:p>
        <w:p w14:paraId="53832720" w14:textId="0441CE02" w:rsidR="0065492D" w:rsidRPr="00207577" w:rsidRDefault="008D3E35">
          <w:pPr>
            <w:pStyle w:val="TDC2"/>
            <w:rPr>
              <w:rFonts w:asciiTheme="minorHAnsi" w:eastAsiaTheme="minorEastAsia" w:hAnsiTheme="minorHAnsi" w:cstheme="minorBidi"/>
              <w:noProof/>
              <w:szCs w:val="22"/>
              <w:lang w:eastAsia="es-MX"/>
            </w:rPr>
          </w:pPr>
          <w:hyperlink w:anchor="_Toc210248680" w:history="1">
            <w:r w:rsidR="0065492D" w:rsidRPr="00207577">
              <w:rPr>
                <w:rStyle w:val="Hipervnculo"/>
                <w:noProof/>
              </w:rPr>
              <w:t>DE LA SOLICITUD DE INFORMACIÓN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_Toc210248680 \h </w:instrText>
            </w:r>
            <w:r w:rsidR="0065492D" w:rsidRPr="00207577">
              <w:rPr>
                <w:noProof/>
                <w:webHidden/>
              </w:rPr>
            </w:r>
            <w:r w:rsidR="0065492D" w:rsidRPr="00207577">
              <w:rPr>
                <w:noProof/>
                <w:webHidden/>
              </w:rPr>
              <w:fldChar w:fldCharType="separate"/>
            </w:r>
            <w:r w:rsidR="00207577">
              <w:rPr>
                <w:noProof/>
                <w:webHidden/>
              </w:rPr>
              <w:t>1</w:t>
            </w:r>
            <w:r w:rsidR="0065492D" w:rsidRPr="00207577">
              <w:rPr>
                <w:noProof/>
                <w:webHidden/>
              </w:rPr>
              <w:fldChar w:fldCharType="end"/>
            </w:r>
          </w:hyperlink>
        </w:p>
        <w:p w14:paraId="6980E55E" w14:textId="13B01368" w:rsidR="0065492D" w:rsidRPr="00207577" w:rsidRDefault="008D3E35">
          <w:pPr>
            <w:pStyle w:val="TDC3"/>
            <w:rPr>
              <w:rFonts w:asciiTheme="minorHAnsi" w:eastAsiaTheme="minorEastAsia" w:hAnsiTheme="minorHAnsi" w:cstheme="minorBidi"/>
              <w:noProof/>
              <w:szCs w:val="22"/>
              <w:lang w:eastAsia="es-MX"/>
            </w:rPr>
          </w:pPr>
          <w:hyperlink w:anchor="_Toc210248681" w:history="1">
            <w:r w:rsidR="0065492D" w:rsidRPr="00207577">
              <w:rPr>
                <w:rStyle w:val="Hipervnculo"/>
                <w:noProof/>
              </w:rPr>
              <w:t>a) Solicitud de información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_Toc210248681 \h </w:instrText>
            </w:r>
            <w:r w:rsidR="0065492D" w:rsidRPr="00207577">
              <w:rPr>
                <w:noProof/>
                <w:webHidden/>
              </w:rPr>
            </w:r>
            <w:r w:rsidR="0065492D" w:rsidRPr="00207577">
              <w:rPr>
                <w:noProof/>
                <w:webHidden/>
              </w:rPr>
              <w:fldChar w:fldCharType="separate"/>
            </w:r>
            <w:r w:rsidR="00207577">
              <w:rPr>
                <w:noProof/>
                <w:webHidden/>
              </w:rPr>
              <w:t>1</w:t>
            </w:r>
            <w:r w:rsidR="0065492D" w:rsidRPr="00207577">
              <w:rPr>
                <w:noProof/>
                <w:webHidden/>
              </w:rPr>
              <w:fldChar w:fldCharType="end"/>
            </w:r>
          </w:hyperlink>
        </w:p>
        <w:p w14:paraId="10EC32D3" w14:textId="191E8026" w:rsidR="0065492D" w:rsidRPr="00207577" w:rsidRDefault="008D3E35">
          <w:pPr>
            <w:pStyle w:val="TDC3"/>
            <w:rPr>
              <w:rFonts w:asciiTheme="minorHAnsi" w:eastAsiaTheme="minorEastAsia" w:hAnsiTheme="minorHAnsi" w:cstheme="minorBidi"/>
              <w:noProof/>
              <w:szCs w:val="22"/>
              <w:lang w:eastAsia="es-MX"/>
            </w:rPr>
          </w:pPr>
          <w:hyperlink w:anchor="_Toc210248682" w:history="1">
            <w:r w:rsidR="0065492D" w:rsidRPr="00207577">
              <w:rPr>
                <w:rStyle w:val="Hipervnculo"/>
                <w:noProof/>
              </w:rPr>
              <w:t>b) Turno de la solicitud de información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_Toc210248682 \h </w:instrText>
            </w:r>
            <w:r w:rsidR="0065492D" w:rsidRPr="00207577">
              <w:rPr>
                <w:noProof/>
                <w:webHidden/>
              </w:rPr>
            </w:r>
            <w:r w:rsidR="0065492D" w:rsidRPr="00207577">
              <w:rPr>
                <w:noProof/>
                <w:webHidden/>
              </w:rPr>
              <w:fldChar w:fldCharType="separate"/>
            </w:r>
            <w:r w:rsidR="00207577">
              <w:rPr>
                <w:noProof/>
                <w:webHidden/>
              </w:rPr>
              <w:t>2</w:t>
            </w:r>
            <w:r w:rsidR="0065492D" w:rsidRPr="00207577">
              <w:rPr>
                <w:noProof/>
                <w:webHidden/>
              </w:rPr>
              <w:fldChar w:fldCharType="end"/>
            </w:r>
          </w:hyperlink>
        </w:p>
        <w:p w14:paraId="50667CCD" w14:textId="56F4AF11" w:rsidR="0065492D" w:rsidRPr="00207577" w:rsidRDefault="008D3E35">
          <w:pPr>
            <w:pStyle w:val="TDC3"/>
            <w:rPr>
              <w:rFonts w:asciiTheme="minorHAnsi" w:eastAsiaTheme="minorEastAsia" w:hAnsiTheme="minorHAnsi" w:cstheme="minorBidi"/>
              <w:noProof/>
              <w:szCs w:val="22"/>
              <w:lang w:eastAsia="es-MX"/>
            </w:rPr>
          </w:pPr>
          <w:hyperlink w:anchor="_Toc210248683" w:history="1">
            <w:r w:rsidR="0065492D" w:rsidRPr="00207577">
              <w:rPr>
                <w:rStyle w:val="Hipervnculo"/>
                <w:noProof/>
              </w:rPr>
              <w:t xml:space="preserve">c) </w:t>
            </w:r>
            <w:r w:rsidR="0065492D" w:rsidRPr="00207577">
              <w:rPr>
                <w:rStyle w:val="Hipervnculo"/>
                <w:rFonts w:eastAsia="Calibri"/>
                <w:noProof/>
                <w:lang w:eastAsia="en-US"/>
              </w:rPr>
              <w:t>Solicitud de aclaración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_Toc210248683 \h </w:instrText>
            </w:r>
            <w:r w:rsidR="0065492D" w:rsidRPr="00207577">
              <w:rPr>
                <w:noProof/>
                <w:webHidden/>
              </w:rPr>
            </w:r>
            <w:r w:rsidR="0065492D" w:rsidRPr="00207577">
              <w:rPr>
                <w:noProof/>
                <w:webHidden/>
              </w:rPr>
              <w:fldChar w:fldCharType="separate"/>
            </w:r>
            <w:r w:rsidR="00207577">
              <w:rPr>
                <w:noProof/>
                <w:webHidden/>
              </w:rPr>
              <w:t>2</w:t>
            </w:r>
            <w:r w:rsidR="0065492D" w:rsidRPr="00207577">
              <w:rPr>
                <w:noProof/>
                <w:webHidden/>
              </w:rPr>
              <w:fldChar w:fldCharType="end"/>
            </w:r>
          </w:hyperlink>
        </w:p>
        <w:p w14:paraId="06CEAE80" w14:textId="223A883A" w:rsidR="0065492D" w:rsidRPr="00207577" w:rsidRDefault="008D3E35">
          <w:pPr>
            <w:pStyle w:val="TDC3"/>
            <w:rPr>
              <w:rFonts w:asciiTheme="minorHAnsi" w:eastAsiaTheme="minorEastAsia" w:hAnsiTheme="minorHAnsi" w:cstheme="minorBidi"/>
              <w:noProof/>
              <w:szCs w:val="22"/>
              <w:lang w:eastAsia="es-MX"/>
            </w:rPr>
          </w:pPr>
          <w:hyperlink w:anchor="_Toc210248684" w:history="1">
            <w:r w:rsidR="0065492D" w:rsidRPr="00207577">
              <w:rPr>
                <w:rStyle w:val="Hipervnculo"/>
                <w:rFonts w:eastAsia="Calibri"/>
                <w:noProof/>
                <w:lang w:eastAsia="en-US"/>
              </w:rPr>
              <w:t>d) Aclaración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_Toc210248684 \h </w:instrText>
            </w:r>
            <w:r w:rsidR="0065492D" w:rsidRPr="00207577">
              <w:rPr>
                <w:noProof/>
                <w:webHidden/>
              </w:rPr>
            </w:r>
            <w:r w:rsidR="0065492D" w:rsidRPr="00207577">
              <w:rPr>
                <w:noProof/>
                <w:webHidden/>
              </w:rPr>
              <w:fldChar w:fldCharType="separate"/>
            </w:r>
            <w:r w:rsidR="00207577">
              <w:rPr>
                <w:noProof/>
                <w:webHidden/>
              </w:rPr>
              <w:t>4</w:t>
            </w:r>
            <w:r w:rsidR="0065492D" w:rsidRPr="00207577">
              <w:rPr>
                <w:noProof/>
                <w:webHidden/>
              </w:rPr>
              <w:fldChar w:fldCharType="end"/>
            </w:r>
          </w:hyperlink>
        </w:p>
        <w:p w14:paraId="420918CD" w14:textId="65C38A0C" w:rsidR="0065492D" w:rsidRPr="00207577" w:rsidRDefault="008D3E35">
          <w:pPr>
            <w:pStyle w:val="TDC3"/>
            <w:rPr>
              <w:rFonts w:asciiTheme="minorHAnsi" w:eastAsiaTheme="minorEastAsia" w:hAnsiTheme="minorHAnsi" w:cstheme="minorBidi"/>
              <w:noProof/>
              <w:szCs w:val="22"/>
              <w:lang w:eastAsia="es-MX"/>
            </w:rPr>
          </w:pPr>
          <w:hyperlink w:anchor="_Toc210248685" w:history="1">
            <w:r w:rsidR="0065492D" w:rsidRPr="00207577">
              <w:rPr>
                <w:rStyle w:val="Hipervnculo"/>
                <w:noProof/>
              </w:rPr>
              <w:t>e) Turno de la solicitud de información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_Toc210248685 \h </w:instrText>
            </w:r>
            <w:r w:rsidR="0065492D" w:rsidRPr="00207577">
              <w:rPr>
                <w:noProof/>
                <w:webHidden/>
              </w:rPr>
            </w:r>
            <w:r w:rsidR="0065492D" w:rsidRPr="00207577">
              <w:rPr>
                <w:noProof/>
                <w:webHidden/>
              </w:rPr>
              <w:fldChar w:fldCharType="separate"/>
            </w:r>
            <w:r w:rsidR="00207577">
              <w:rPr>
                <w:noProof/>
                <w:webHidden/>
              </w:rPr>
              <w:t>4</w:t>
            </w:r>
            <w:r w:rsidR="0065492D" w:rsidRPr="00207577">
              <w:rPr>
                <w:noProof/>
                <w:webHidden/>
              </w:rPr>
              <w:fldChar w:fldCharType="end"/>
            </w:r>
          </w:hyperlink>
        </w:p>
        <w:p w14:paraId="72094211" w14:textId="1F9FAB0A" w:rsidR="0065492D" w:rsidRPr="00207577" w:rsidRDefault="008D3E35">
          <w:pPr>
            <w:pStyle w:val="TDC3"/>
            <w:rPr>
              <w:rFonts w:asciiTheme="minorHAnsi" w:eastAsiaTheme="minorEastAsia" w:hAnsiTheme="minorHAnsi" w:cstheme="minorBidi"/>
              <w:noProof/>
              <w:szCs w:val="22"/>
              <w:lang w:eastAsia="es-MX"/>
            </w:rPr>
          </w:pPr>
          <w:hyperlink w:anchor="_Toc210248686" w:history="1">
            <w:r w:rsidR="0065492D" w:rsidRPr="00207577">
              <w:rPr>
                <w:rStyle w:val="Hipervnculo"/>
                <w:noProof/>
              </w:rPr>
              <w:t>f) Prórroga</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_Toc210248686 \h </w:instrText>
            </w:r>
            <w:r w:rsidR="0065492D" w:rsidRPr="00207577">
              <w:rPr>
                <w:noProof/>
                <w:webHidden/>
              </w:rPr>
            </w:r>
            <w:r w:rsidR="0065492D" w:rsidRPr="00207577">
              <w:rPr>
                <w:noProof/>
                <w:webHidden/>
              </w:rPr>
              <w:fldChar w:fldCharType="separate"/>
            </w:r>
            <w:r w:rsidR="00207577">
              <w:rPr>
                <w:noProof/>
                <w:webHidden/>
              </w:rPr>
              <w:t>4</w:t>
            </w:r>
            <w:r w:rsidR="0065492D" w:rsidRPr="00207577">
              <w:rPr>
                <w:noProof/>
                <w:webHidden/>
              </w:rPr>
              <w:fldChar w:fldCharType="end"/>
            </w:r>
          </w:hyperlink>
        </w:p>
        <w:p w14:paraId="68387EF5" w14:textId="157C875E" w:rsidR="0065492D" w:rsidRPr="00207577" w:rsidRDefault="008D3E35">
          <w:pPr>
            <w:pStyle w:val="TDC3"/>
            <w:rPr>
              <w:rFonts w:asciiTheme="minorHAnsi" w:eastAsiaTheme="minorEastAsia" w:hAnsiTheme="minorHAnsi" w:cstheme="minorBidi"/>
              <w:noProof/>
              <w:szCs w:val="22"/>
              <w:lang w:eastAsia="es-MX"/>
            </w:rPr>
          </w:pPr>
          <w:hyperlink w:anchor="_Toc210248687" w:history="1">
            <w:r w:rsidR="0065492D" w:rsidRPr="00207577">
              <w:rPr>
                <w:rStyle w:val="Hipervnculo"/>
                <w:rFonts w:eastAsia="Calibri"/>
                <w:noProof/>
                <w:lang w:eastAsia="en-US"/>
              </w:rPr>
              <w:t>g). Respuesta del Sujeto Obligado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_Toc210248687 \h </w:instrText>
            </w:r>
            <w:r w:rsidR="0065492D" w:rsidRPr="00207577">
              <w:rPr>
                <w:noProof/>
                <w:webHidden/>
              </w:rPr>
            </w:r>
            <w:r w:rsidR="0065492D" w:rsidRPr="00207577">
              <w:rPr>
                <w:noProof/>
                <w:webHidden/>
              </w:rPr>
              <w:fldChar w:fldCharType="separate"/>
            </w:r>
            <w:r w:rsidR="00207577">
              <w:rPr>
                <w:noProof/>
                <w:webHidden/>
              </w:rPr>
              <w:t>6</w:t>
            </w:r>
            <w:r w:rsidR="0065492D" w:rsidRPr="00207577">
              <w:rPr>
                <w:noProof/>
                <w:webHidden/>
              </w:rPr>
              <w:fldChar w:fldCharType="end"/>
            </w:r>
          </w:hyperlink>
        </w:p>
        <w:p w14:paraId="5A6B75B6" w14:textId="20E19BA3" w:rsidR="0065492D" w:rsidRPr="00207577" w:rsidRDefault="008D3E35">
          <w:pPr>
            <w:pStyle w:val="TDC2"/>
            <w:rPr>
              <w:rFonts w:asciiTheme="minorHAnsi" w:eastAsiaTheme="minorEastAsia" w:hAnsiTheme="minorHAnsi" w:cstheme="minorBidi"/>
              <w:noProof/>
              <w:szCs w:val="22"/>
              <w:lang w:eastAsia="es-MX"/>
            </w:rPr>
          </w:pPr>
          <w:hyperlink w:anchor="_Toc210248688" w:history="1">
            <w:r w:rsidR="0065492D" w:rsidRPr="00207577">
              <w:rPr>
                <w:rStyle w:val="Hipervnculo"/>
                <w:noProof/>
              </w:rPr>
              <w:t>DEL RECURSO DE REVISIÓN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_Toc210248688 \h </w:instrText>
            </w:r>
            <w:r w:rsidR="0065492D" w:rsidRPr="00207577">
              <w:rPr>
                <w:noProof/>
                <w:webHidden/>
              </w:rPr>
            </w:r>
            <w:r w:rsidR="0065492D" w:rsidRPr="00207577">
              <w:rPr>
                <w:noProof/>
                <w:webHidden/>
              </w:rPr>
              <w:fldChar w:fldCharType="separate"/>
            </w:r>
            <w:r w:rsidR="00207577">
              <w:rPr>
                <w:noProof/>
                <w:webHidden/>
              </w:rPr>
              <w:t>8</w:t>
            </w:r>
            <w:r w:rsidR="0065492D" w:rsidRPr="00207577">
              <w:rPr>
                <w:noProof/>
                <w:webHidden/>
              </w:rPr>
              <w:fldChar w:fldCharType="end"/>
            </w:r>
          </w:hyperlink>
        </w:p>
        <w:p w14:paraId="678FB8DB" w14:textId="2A5EC2E6" w:rsidR="0065492D" w:rsidRPr="00207577" w:rsidRDefault="008D3E35">
          <w:pPr>
            <w:pStyle w:val="TDC3"/>
            <w:rPr>
              <w:rFonts w:asciiTheme="minorHAnsi" w:eastAsiaTheme="minorEastAsia" w:hAnsiTheme="minorHAnsi" w:cstheme="minorBidi"/>
              <w:noProof/>
              <w:szCs w:val="22"/>
              <w:lang w:eastAsia="es-MX"/>
            </w:rPr>
          </w:pPr>
          <w:hyperlink w:anchor="_Toc210248689" w:history="1">
            <w:r w:rsidR="0065492D" w:rsidRPr="00207577">
              <w:rPr>
                <w:rStyle w:val="Hipervnculo"/>
                <w:noProof/>
              </w:rPr>
              <w:t>a) Interposición del Recurso de Revisión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_Toc210248689 \h </w:instrText>
            </w:r>
            <w:r w:rsidR="0065492D" w:rsidRPr="00207577">
              <w:rPr>
                <w:noProof/>
                <w:webHidden/>
              </w:rPr>
            </w:r>
            <w:r w:rsidR="0065492D" w:rsidRPr="00207577">
              <w:rPr>
                <w:noProof/>
                <w:webHidden/>
              </w:rPr>
              <w:fldChar w:fldCharType="separate"/>
            </w:r>
            <w:r w:rsidR="00207577">
              <w:rPr>
                <w:noProof/>
                <w:webHidden/>
              </w:rPr>
              <w:t>8</w:t>
            </w:r>
            <w:r w:rsidR="0065492D" w:rsidRPr="00207577">
              <w:rPr>
                <w:noProof/>
                <w:webHidden/>
              </w:rPr>
              <w:fldChar w:fldCharType="end"/>
            </w:r>
          </w:hyperlink>
        </w:p>
        <w:p w14:paraId="0FB39F6D" w14:textId="445FACA9" w:rsidR="0065492D" w:rsidRPr="00207577" w:rsidRDefault="008D3E35">
          <w:pPr>
            <w:pStyle w:val="TDC3"/>
            <w:rPr>
              <w:rFonts w:asciiTheme="minorHAnsi" w:eastAsiaTheme="minorEastAsia" w:hAnsiTheme="minorHAnsi" w:cstheme="minorBidi"/>
              <w:noProof/>
              <w:szCs w:val="22"/>
              <w:lang w:eastAsia="es-MX"/>
            </w:rPr>
          </w:pPr>
          <w:hyperlink w:anchor="_Toc210248690" w:history="1">
            <w:r w:rsidR="0065492D" w:rsidRPr="00207577">
              <w:rPr>
                <w:rStyle w:val="Hipervnculo"/>
                <w:noProof/>
              </w:rPr>
              <w:t>b) Turno del Recurso de Revisión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_Toc210248690 \h </w:instrText>
            </w:r>
            <w:r w:rsidR="0065492D" w:rsidRPr="00207577">
              <w:rPr>
                <w:noProof/>
                <w:webHidden/>
              </w:rPr>
            </w:r>
            <w:r w:rsidR="0065492D" w:rsidRPr="00207577">
              <w:rPr>
                <w:noProof/>
                <w:webHidden/>
              </w:rPr>
              <w:fldChar w:fldCharType="separate"/>
            </w:r>
            <w:r w:rsidR="00207577">
              <w:rPr>
                <w:noProof/>
                <w:webHidden/>
              </w:rPr>
              <w:t>9</w:t>
            </w:r>
            <w:r w:rsidR="0065492D" w:rsidRPr="00207577">
              <w:rPr>
                <w:noProof/>
                <w:webHidden/>
              </w:rPr>
              <w:fldChar w:fldCharType="end"/>
            </w:r>
          </w:hyperlink>
        </w:p>
        <w:p w14:paraId="78F7C15B" w14:textId="3FEA9C30" w:rsidR="0065492D" w:rsidRPr="00207577" w:rsidRDefault="008D3E35">
          <w:pPr>
            <w:pStyle w:val="TDC3"/>
            <w:rPr>
              <w:rFonts w:asciiTheme="minorHAnsi" w:eastAsiaTheme="minorEastAsia" w:hAnsiTheme="minorHAnsi" w:cstheme="minorBidi"/>
              <w:noProof/>
              <w:szCs w:val="22"/>
              <w:lang w:eastAsia="es-MX"/>
            </w:rPr>
          </w:pPr>
          <w:hyperlink w:anchor="_Toc210248691" w:history="1">
            <w:r w:rsidR="0065492D" w:rsidRPr="00207577">
              <w:rPr>
                <w:rStyle w:val="Hipervnculo"/>
                <w:noProof/>
              </w:rPr>
              <w:t>c) Admisión del Recurso de Revisión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_Toc210248691 \h </w:instrText>
            </w:r>
            <w:r w:rsidR="0065492D" w:rsidRPr="00207577">
              <w:rPr>
                <w:noProof/>
                <w:webHidden/>
              </w:rPr>
            </w:r>
            <w:r w:rsidR="0065492D" w:rsidRPr="00207577">
              <w:rPr>
                <w:noProof/>
                <w:webHidden/>
              </w:rPr>
              <w:fldChar w:fldCharType="separate"/>
            </w:r>
            <w:r w:rsidR="00207577">
              <w:rPr>
                <w:noProof/>
                <w:webHidden/>
              </w:rPr>
              <w:t>9</w:t>
            </w:r>
            <w:r w:rsidR="0065492D" w:rsidRPr="00207577">
              <w:rPr>
                <w:noProof/>
                <w:webHidden/>
              </w:rPr>
              <w:fldChar w:fldCharType="end"/>
            </w:r>
          </w:hyperlink>
        </w:p>
        <w:p w14:paraId="53C1B911" w14:textId="3125CA71" w:rsidR="0065492D" w:rsidRPr="00207577" w:rsidRDefault="008D3E35">
          <w:pPr>
            <w:pStyle w:val="TDC3"/>
            <w:rPr>
              <w:rFonts w:asciiTheme="minorHAnsi" w:eastAsiaTheme="minorEastAsia" w:hAnsiTheme="minorHAnsi" w:cstheme="minorBidi"/>
              <w:noProof/>
              <w:szCs w:val="22"/>
              <w:lang w:eastAsia="es-MX"/>
            </w:rPr>
          </w:pPr>
          <w:hyperlink w:anchor="_Toc210248692" w:history="1">
            <w:r w:rsidR="0065492D" w:rsidRPr="00207577">
              <w:rPr>
                <w:rStyle w:val="Hipervnculo"/>
                <w:noProof/>
              </w:rPr>
              <w:t>d) Informe Justificado del Sujeto Obligado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_Toc210248692 \h </w:instrText>
            </w:r>
            <w:r w:rsidR="0065492D" w:rsidRPr="00207577">
              <w:rPr>
                <w:noProof/>
                <w:webHidden/>
              </w:rPr>
            </w:r>
            <w:r w:rsidR="0065492D" w:rsidRPr="00207577">
              <w:rPr>
                <w:noProof/>
                <w:webHidden/>
              </w:rPr>
              <w:fldChar w:fldCharType="separate"/>
            </w:r>
            <w:r w:rsidR="00207577">
              <w:rPr>
                <w:noProof/>
                <w:webHidden/>
              </w:rPr>
              <w:t>9</w:t>
            </w:r>
            <w:r w:rsidR="0065492D" w:rsidRPr="00207577">
              <w:rPr>
                <w:noProof/>
                <w:webHidden/>
              </w:rPr>
              <w:fldChar w:fldCharType="end"/>
            </w:r>
          </w:hyperlink>
        </w:p>
        <w:p w14:paraId="49E5A880" w14:textId="484C5F5C" w:rsidR="0065492D" w:rsidRPr="00207577" w:rsidRDefault="008D3E35">
          <w:pPr>
            <w:pStyle w:val="TDC3"/>
            <w:rPr>
              <w:rFonts w:asciiTheme="minorHAnsi" w:eastAsiaTheme="minorEastAsia" w:hAnsiTheme="minorHAnsi" w:cstheme="minorBidi"/>
              <w:noProof/>
              <w:szCs w:val="22"/>
              <w:lang w:eastAsia="es-MX"/>
            </w:rPr>
          </w:pPr>
          <w:hyperlink w:anchor="_Toc210248693" w:history="1">
            <w:r w:rsidR="0065492D" w:rsidRPr="00207577">
              <w:rPr>
                <w:rStyle w:val="Hipervnculo"/>
                <w:rFonts w:eastAsia="Calibri"/>
                <w:bCs/>
                <w:noProof/>
                <w:lang w:eastAsia="en-US"/>
              </w:rPr>
              <w:t>e)</w:t>
            </w:r>
            <w:r w:rsidR="0065492D" w:rsidRPr="00207577">
              <w:rPr>
                <w:rStyle w:val="Hipervnculo"/>
                <w:noProof/>
              </w:rPr>
              <w:t xml:space="preserve"> </w:t>
            </w:r>
            <w:r w:rsidR="0065492D" w:rsidRPr="00207577">
              <w:rPr>
                <w:rStyle w:val="Hipervnculo"/>
                <w:noProof/>
                <w:lang w:val="es-ES"/>
              </w:rPr>
              <w:t>Manifestaciones de la Parte Recurrente</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_Toc210248693 \h </w:instrText>
            </w:r>
            <w:r w:rsidR="0065492D" w:rsidRPr="00207577">
              <w:rPr>
                <w:noProof/>
                <w:webHidden/>
              </w:rPr>
            </w:r>
            <w:r w:rsidR="0065492D" w:rsidRPr="00207577">
              <w:rPr>
                <w:noProof/>
                <w:webHidden/>
              </w:rPr>
              <w:fldChar w:fldCharType="separate"/>
            </w:r>
            <w:r w:rsidR="00207577">
              <w:rPr>
                <w:noProof/>
                <w:webHidden/>
              </w:rPr>
              <w:t>10</w:t>
            </w:r>
            <w:r w:rsidR="0065492D" w:rsidRPr="00207577">
              <w:rPr>
                <w:noProof/>
                <w:webHidden/>
              </w:rPr>
              <w:fldChar w:fldCharType="end"/>
            </w:r>
          </w:hyperlink>
        </w:p>
        <w:p w14:paraId="0A7E22DA" w14:textId="61FFF712" w:rsidR="0065492D" w:rsidRPr="00207577" w:rsidRDefault="008D3E35">
          <w:pPr>
            <w:pStyle w:val="TDC3"/>
            <w:rPr>
              <w:rFonts w:asciiTheme="minorHAnsi" w:eastAsiaTheme="minorEastAsia" w:hAnsiTheme="minorHAnsi" w:cstheme="minorBidi"/>
              <w:noProof/>
              <w:szCs w:val="22"/>
              <w:lang w:eastAsia="es-MX"/>
            </w:rPr>
          </w:pPr>
          <w:hyperlink w:anchor="_Toc210248694" w:history="1">
            <w:r w:rsidR="0065492D" w:rsidRPr="00207577">
              <w:rPr>
                <w:rStyle w:val="Hipervnculo"/>
                <w:rFonts w:eastAsia="Calibri"/>
                <w:bCs/>
                <w:noProof/>
                <w:lang w:eastAsia="en-US"/>
              </w:rPr>
              <w:t>f) Ampliación de Plazo para Resolver</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_Toc210248694 \h </w:instrText>
            </w:r>
            <w:r w:rsidR="0065492D" w:rsidRPr="00207577">
              <w:rPr>
                <w:noProof/>
                <w:webHidden/>
              </w:rPr>
            </w:r>
            <w:r w:rsidR="0065492D" w:rsidRPr="00207577">
              <w:rPr>
                <w:noProof/>
                <w:webHidden/>
              </w:rPr>
              <w:fldChar w:fldCharType="separate"/>
            </w:r>
            <w:r w:rsidR="00207577">
              <w:rPr>
                <w:noProof/>
                <w:webHidden/>
              </w:rPr>
              <w:t>10</w:t>
            </w:r>
            <w:r w:rsidR="0065492D" w:rsidRPr="00207577">
              <w:rPr>
                <w:noProof/>
                <w:webHidden/>
              </w:rPr>
              <w:fldChar w:fldCharType="end"/>
            </w:r>
          </w:hyperlink>
        </w:p>
        <w:p w14:paraId="240BAB56" w14:textId="5CFFE175" w:rsidR="0065492D" w:rsidRPr="00207577" w:rsidRDefault="008D3E35">
          <w:pPr>
            <w:pStyle w:val="TDC3"/>
            <w:rPr>
              <w:rFonts w:asciiTheme="minorHAnsi" w:eastAsiaTheme="minorEastAsia" w:hAnsiTheme="minorHAnsi" w:cstheme="minorBidi"/>
              <w:noProof/>
              <w:szCs w:val="22"/>
              <w:lang w:eastAsia="es-MX"/>
            </w:rPr>
          </w:pPr>
          <w:hyperlink w:anchor="_Toc210248695" w:history="1">
            <w:r w:rsidR="0065492D" w:rsidRPr="00207577">
              <w:rPr>
                <w:rStyle w:val="Hipervnculo"/>
                <w:noProof/>
                <w:lang w:val="es-ES"/>
              </w:rPr>
              <w:t xml:space="preserve">g) </w:t>
            </w:r>
            <w:r w:rsidR="0065492D" w:rsidRPr="00207577">
              <w:rPr>
                <w:rStyle w:val="Hipervnculo"/>
                <w:noProof/>
              </w:rPr>
              <w:t>Cierre de instrucción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_Toc210248695 \h </w:instrText>
            </w:r>
            <w:r w:rsidR="0065492D" w:rsidRPr="00207577">
              <w:rPr>
                <w:noProof/>
                <w:webHidden/>
              </w:rPr>
            </w:r>
            <w:r w:rsidR="0065492D" w:rsidRPr="00207577">
              <w:rPr>
                <w:noProof/>
                <w:webHidden/>
              </w:rPr>
              <w:fldChar w:fldCharType="separate"/>
            </w:r>
            <w:r w:rsidR="00207577">
              <w:rPr>
                <w:noProof/>
                <w:webHidden/>
              </w:rPr>
              <w:t>11</w:t>
            </w:r>
            <w:r w:rsidR="0065492D" w:rsidRPr="00207577">
              <w:rPr>
                <w:noProof/>
                <w:webHidden/>
              </w:rPr>
              <w:fldChar w:fldCharType="end"/>
            </w:r>
          </w:hyperlink>
        </w:p>
        <w:p w14:paraId="6EB8C72C" w14:textId="20B34591" w:rsidR="0065492D" w:rsidRPr="00207577" w:rsidRDefault="008D3E35">
          <w:pPr>
            <w:pStyle w:val="TDC1"/>
            <w:tabs>
              <w:tab w:val="right" w:leader="dot" w:pos="9034"/>
            </w:tabs>
            <w:rPr>
              <w:rFonts w:asciiTheme="minorHAnsi" w:eastAsiaTheme="minorEastAsia" w:hAnsiTheme="minorHAnsi" w:cstheme="minorBidi"/>
              <w:noProof/>
              <w:szCs w:val="22"/>
              <w:lang w:eastAsia="es-MX"/>
            </w:rPr>
          </w:pPr>
          <w:hyperlink w:anchor="_Toc210248696" w:history="1">
            <w:r w:rsidR="0065492D" w:rsidRPr="00207577">
              <w:rPr>
                <w:rStyle w:val="Hipervnculo"/>
                <w:rFonts w:eastAsiaTheme="minorHAnsi"/>
                <w:noProof/>
                <w:lang w:eastAsia="en-US"/>
              </w:rPr>
              <w:t>CONSIDERANDOS</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_Toc210248696 \h </w:instrText>
            </w:r>
            <w:r w:rsidR="0065492D" w:rsidRPr="00207577">
              <w:rPr>
                <w:noProof/>
                <w:webHidden/>
              </w:rPr>
            </w:r>
            <w:r w:rsidR="0065492D" w:rsidRPr="00207577">
              <w:rPr>
                <w:noProof/>
                <w:webHidden/>
              </w:rPr>
              <w:fldChar w:fldCharType="separate"/>
            </w:r>
            <w:r w:rsidR="00207577">
              <w:rPr>
                <w:noProof/>
                <w:webHidden/>
              </w:rPr>
              <w:t>11</w:t>
            </w:r>
            <w:r w:rsidR="0065492D" w:rsidRPr="00207577">
              <w:rPr>
                <w:noProof/>
                <w:webHidden/>
              </w:rPr>
              <w:fldChar w:fldCharType="end"/>
            </w:r>
          </w:hyperlink>
        </w:p>
        <w:p w14:paraId="41BDE762" w14:textId="7C473CC8" w:rsidR="0065492D" w:rsidRPr="00207577" w:rsidRDefault="008D3E35">
          <w:pPr>
            <w:pStyle w:val="TDC2"/>
            <w:rPr>
              <w:rFonts w:asciiTheme="minorHAnsi" w:eastAsiaTheme="minorEastAsia" w:hAnsiTheme="minorHAnsi" w:cstheme="minorBidi"/>
              <w:noProof/>
              <w:szCs w:val="22"/>
              <w:lang w:eastAsia="es-MX"/>
            </w:rPr>
          </w:pPr>
          <w:hyperlink w:anchor="_Toc210248697" w:history="1">
            <w:r w:rsidR="0065492D" w:rsidRPr="00207577">
              <w:rPr>
                <w:rStyle w:val="Hipervnculo"/>
                <w:rFonts w:eastAsia="Batang"/>
                <w:noProof/>
              </w:rPr>
              <w:t>PRIMERO. Procedibilidad</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_Toc210248697 \h </w:instrText>
            </w:r>
            <w:r w:rsidR="0065492D" w:rsidRPr="00207577">
              <w:rPr>
                <w:noProof/>
                <w:webHidden/>
              </w:rPr>
            </w:r>
            <w:r w:rsidR="0065492D" w:rsidRPr="00207577">
              <w:rPr>
                <w:noProof/>
                <w:webHidden/>
              </w:rPr>
              <w:fldChar w:fldCharType="separate"/>
            </w:r>
            <w:r w:rsidR="00207577">
              <w:rPr>
                <w:noProof/>
                <w:webHidden/>
              </w:rPr>
              <w:t>11</w:t>
            </w:r>
            <w:r w:rsidR="0065492D" w:rsidRPr="00207577">
              <w:rPr>
                <w:noProof/>
                <w:webHidden/>
              </w:rPr>
              <w:fldChar w:fldCharType="end"/>
            </w:r>
          </w:hyperlink>
        </w:p>
        <w:p w14:paraId="2D6272F2" w14:textId="1F234940" w:rsidR="0065492D" w:rsidRPr="00207577" w:rsidRDefault="008D3E35">
          <w:pPr>
            <w:pStyle w:val="TDC3"/>
            <w:rPr>
              <w:rFonts w:asciiTheme="minorHAnsi" w:eastAsiaTheme="minorEastAsia" w:hAnsiTheme="minorHAnsi" w:cstheme="minorBidi"/>
              <w:noProof/>
              <w:szCs w:val="22"/>
              <w:lang w:eastAsia="es-MX"/>
            </w:rPr>
          </w:pPr>
          <w:hyperlink w:anchor="_Toc210248698" w:history="1">
            <w:r w:rsidR="0065492D" w:rsidRPr="00207577">
              <w:rPr>
                <w:rStyle w:val="Hipervnculo"/>
                <w:noProof/>
              </w:rPr>
              <w:t>a) Competencia del Instituto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_Toc210248698 \h </w:instrText>
            </w:r>
            <w:r w:rsidR="0065492D" w:rsidRPr="00207577">
              <w:rPr>
                <w:noProof/>
                <w:webHidden/>
              </w:rPr>
            </w:r>
            <w:r w:rsidR="0065492D" w:rsidRPr="00207577">
              <w:rPr>
                <w:noProof/>
                <w:webHidden/>
              </w:rPr>
              <w:fldChar w:fldCharType="separate"/>
            </w:r>
            <w:r w:rsidR="00207577">
              <w:rPr>
                <w:noProof/>
                <w:webHidden/>
              </w:rPr>
              <w:t>11</w:t>
            </w:r>
            <w:r w:rsidR="0065492D" w:rsidRPr="00207577">
              <w:rPr>
                <w:noProof/>
                <w:webHidden/>
              </w:rPr>
              <w:fldChar w:fldCharType="end"/>
            </w:r>
          </w:hyperlink>
        </w:p>
        <w:p w14:paraId="34E0674F" w14:textId="750A4ADE" w:rsidR="0065492D" w:rsidRPr="00207577" w:rsidRDefault="008D3E35">
          <w:pPr>
            <w:pStyle w:val="TDC3"/>
            <w:rPr>
              <w:rFonts w:asciiTheme="minorHAnsi" w:eastAsiaTheme="minorEastAsia" w:hAnsiTheme="minorHAnsi" w:cstheme="minorBidi"/>
              <w:noProof/>
              <w:szCs w:val="22"/>
              <w:lang w:eastAsia="es-MX"/>
            </w:rPr>
          </w:pPr>
          <w:hyperlink w:anchor="_Toc210248699" w:history="1">
            <w:r w:rsidR="0065492D" w:rsidRPr="00207577">
              <w:rPr>
                <w:rStyle w:val="Hipervnculo"/>
                <w:noProof/>
              </w:rPr>
              <w:t>b) Legitimidad de la parte recurrente</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_Toc210248699 \h </w:instrText>
            </w:r>
            <w:r w:rsidR="0065492D" w:rsidRPr="00207577">
              <w:rPr>
                <w:noProof/>
                <w:webHidden/>
              </w:rPr>
            </w:r>
            <w:r w:rsidR="0065492D" w:rsidRPr="00207577">
              <w:rPr>
                <w:noProof/>
                <w:webHidden/>
              </w:rPr>
              <w:fldChar w:fldCharType="separate"/>
            </w:r>
            <w:r w:rsidR="00207577">
              <w:rPr>
                <w:noProof/>
                <w:webHidden/>
              </w:rPr>
              <w:t>12</w:t>
            </w:r>
            <w:r w:rsidR="0065492D" w:rsidRPr="00207577">
              <w:rPr>
                <w:noProof/>
                <w:webHidden/>
              </w:rPr>
              <w:fldChar w:fldCharType="end"/>
            </w:r>
          </w:hyperlink>
        </w:p>
        <w:p w14:paraId="1FE820C9" w14:textId="2DF5FF2F" w:rsidR="0065492D" w:rsidRPr="00207577" w:rsidRDefault="008D3E35">
          <w:pPr>
            <w:pStyle w:val="TDC3"/>
            <w:rPr>
              <w:rFonts w:asciiTheme="minorHAnsi" w:eastAsiaTheme="minorEastAsia" w:hAnsiTheme="minorHAnsi" w:cstheme="minorBidi"/>
              <w:noProof/>
              <w:szCs w:val="22"/>
              <w:lang w:eastAsia="es-MX"/>
            </w:rPr>
          </w:pPr>
          <w:hyperlink w:anchor="_Toc210248700" w:history="1">
            <w:r w:rsidR="0065492D" w:rsidRPr="00207577">
              <w:rPr>
                <w:rStyle w:val="Hipervnculo"/>
                <w:rFonts w:eastAsia="Calibri"/>
                <w:noProof/>
                <w:lang w:eastAsia="es-ES_tradnl"/>
              </w:rPr>
              <w:t>c) Plazo para interponer el recurso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_Toc210248700 \h </w:instrText>
            </w:r>
            <w:r w:rsidR="0065492D" w:rsidRPr="00207577">
              <w:rPr>
                <w:noProof/>
                <w:webHidden/>
              </w:rPr>
            </w:r>
            <w:r w:rsidR="0065492D" w:rsidRPr="00207577">
              <w:rPr>
                <w:noProof/>
                <w:webHidden/>
              </w:rPr>
              <w:fldChar w:fldCharType="separate"/>
            </w:r>
            <w:r w:rsidR="00207577">
              <w:rPr>
                <w:noProof/>
                <w:webHidden/>
              </w:rPr>
              <w:t>12</w:t>
            </w:r>
            <w:r w:rsidR="0065492D" w:rsidRPr="00207577">
              <w:rPr>
                <w:noProof/>
                <w:webHidden/>
              </w:rPr>
              <w:fldChar w:fldCharType="end"/>
            </w:r>
          </w:hyperlink>
        </w:p>
        <w:p w14:paraId="273E85C1" w14:textId="1395EC5D" w:rsidR="0065492D" w:rsidRPr="00207577" w:rsidRDefault="008D3E35">
          <w:pPr>
            <w:pStyle w:val="TDC3"/>
            <w:rPr>
              <w:rFonts w:asciiTheme="minorHAnsi" w:eastAsiaTheme="minorEastAsia" w:hAnsiTheme="minorHAnsi" w:cstheme="minorBidi"/>
              <w:noProof/>
              <w:szCs w:val="22"/>
              <w:lang w:eastAsia="es-MX"/>
            </w:rPr>
          </w:pPr>
          <w:hyperlink w:anchor="_Toc210248701" w:history="1">
            <w:r w:rsidR="0065492D" w:rsidRPr="00207577">
              <w:rPr>
                <w:rStyle w:val="Hipervnculo"/>
                <w:rFonts w:eastAsia="Calibri"/>
                <w:noProof/>
                <w:lang w:eastAsia="es-ES_tradnl"/>
              </w:rPr>
              <w:t>d) Causal de procedencia</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_Toc210248701 \h </w:instrText>
            </w:r>
            <w:r w:rsidR="0065492D" w:rsidRPr="00207577">
              <w:rPr>
                <w:noProof/>
                <w:webHidden/>
              </w:rPr>
            </w:r>
            <w:r w:rsidR="0065492D" w:rsidRPr="00207577">
              <w:rPr>
                <w:noProof/>
                <w:webHidden/>
              </w:rPr>
              <w:fldChar w:fldCharType="separate"/>
            </w:r>
            <w:r w:rsidR="00207577">
              <w:rPr>
                <w:noProof/>
                <w:webHidden/>
              </w:rPr>
              <w:t>12</w:t>
            </w:r>
            <w:r w:rsidR="0065492D" w:rsidRPr="00207577">
              <w:rPr>
                <w:noProof/>
                <w:webHidden/>
              </w:rPr>
              <w:fldChar w:fldCharType="end"/>
            </w:r>
          </w:hyperlink>
        </w:p>
        <w:p w14:paraId="249E0293" w14:textId="763BFA61" w:rsidR="0065492D" w:rsidRPr="00207577" w:rsidRDefault="008D3E35">
          <w:pPr>
            <w:pStyle w:val="TDC3"/>
            <w:rPr>
              <w:rFonts w:asciiTheme="minorHAnsi" w:eastAsiaTheme="minorEastAsia" w:hAnsiTheme="minorHAnsi" w:cstheme="minorBidi"/>
              <w:noProof/>
              <w:szCs w:val="22"/>
              <w:lang w:eastAsia="es-MX"/>
            </w:rPr>
          </w:pPr>
          <w:hyperlink w:anchor="_Toc210248702" w:history="1">
            <w:r w:rsidR="0065492D" w:rsidRPr="00207577">
              <w:rPr>
                <w:rStyle w:val="Hipervnculo"/>
                <w:noProof/>
              </w:rPr>
              <w:t>e) Requisitos formales para la interposición del recurso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_Toc210248702 \h </w:instrText>
            </w:r>
            <w:r w:rsidR="0065492D" w:rsidRPr="00207577">
              <w:rPr>
                <w:noProof/>
                <w:webHidden/>
              </w:rPr>
            </w:r>
            <w:r w:rsidR="0065492D" w:rsidRPr="00207577">
              <w:rPr>
                <w:noProof/>
                <w:webHidden/>
              </w:rPr>
              <w:fldChar w:fldCharType="separate"/>
            </w:r>
            <w:r w:rsidR="00207577">
              <w:rPr>
                <w:noProof/>
                <w:webHidden/>
              </w:rPr>
              <w:t>12</w:t>
            </w:r>
            <w:r w:rsidR="0065492D" w:rsidRPr="00207577">
              <w:rPr>
                <w:noProof/>
                <w:webHidden/>
              </w:rPr>
              <w:fldChar w:fldCharType="end"/>
            </w:r>
          </w:hyperlink>
        </w:p>
        <w:p w14:paraId="5CD5837D" w14:textId="0EE68C29" w:rsidR="0065492D" w:rsidRPr="00207577" w:rsidRDefault="008D3E35">
          <w:pPr>
            <w:pStyle w:val="TDC2"/>
            <w:rPr>
              <w:rFonts w:asciiTheme="minorHAnsi" w:eastAsiaTheme="minorEastAsia" w:hAnsiTheme="minorHAnsi" w:cstheme="minorBidi"/>
              <w:noProof/>
              <w:szCs w:val="22"/>
              <w:lang w:eastAsia="es-MX"/>
            </w:rPr>
          </w:pPr>
          <w:hyperlink w:anchor="_Toc210248703" w:history="1">
            <w:r w:rsidR="0065492D" w:rsidRPr="00207577">
              <w:rPr>
                <w:rStyle w:val="Hipervnculo"/>
                <w:noProof/>
              </w:rPr>
              <w:t>SEGUNDO. Estudio de Fondo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_Toc210248703 \h </w:instrText>
            </w:r>
            <w:r w:rsidR="0065492D" w:rsidRPr="00207577">
              <w:rPr>
                <w:noProof/>
                <w:webHidden/>
              </w:rPr>
            </w:r>
            <w:r w:rsidR="0065492D" w:rsidRPr="00207577">
              <w:rPr>
                <w:noProof/>
                <w:webHidden/>
              </w:rPr>
              <w:fldChar w:fldCharType="separate"/>
            </w:r>
            <w:r w:rsidR="00207577">
              <w:rPr>
                <w:noProof/>
                <w:webHidden/>
              </w:rPr>
              <w:t>13</w:t>
            </w:r>
            <w:r w:rsidR="0065492D" w:rsidRPr="00207577">
              <w:rPr>
                <w:noProof/>
                <w:webHidden/>
              </w:rPr>
              <w:fldChar w:fldCharType="end"/>
            </w:r>
          </w:hyperlink>
        </w:p>
        <w:p w14:paraId="06223432" w14:textId="51875F52" w:rsidR="0065492D" w:rsidRPr="00207577" w:rsidRDefault="008D3E35">
          <w:pPr>
            <w:pStyle w:val="TDC3"/>
            <w:rPr>
              <w:rFonts w:asciiTheme="minorHAnsi" w:eastAsiaTheme="minorEastAsia" w:hAnsiTheme="minorHAnsi" w:cstheme="minorBidi"/>
              <w:noProof/>
              <w:szCs w:val="22"/>
              <w:lang w:eastAsia="es-MX"/>
            </w:rPr>
          </w:pPr>
          <w:hyperlink w:anchor="_Toc210248704" w:history="1">
            <w:r w:rsidR="0065492D" w:rsidRPr="00207577">
              <w:rPr>
                <w:rStyle w:val="Hipervnculo"/>
                <w:noProof/>
              </w:rPr>
              <w:t>a) Mandato de transparencia y responsabilidad del Sujeto Obligado</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_Toc210248704 \h </w:instrText>
            </w:r>
            <w:r w:rsidR="0065492D" w:rsidRPr="00207577">
              <w:rPr>
                <w:noProof/>
                <w:webHidden/>
              </w:rPr>
            </w:r>
            <w:r w:rsidR="0065492D" w:rsidRPr="00207577">
              <w:rPr>
                <w:noProof/>
                <w:webHidden/>
              </w:rPr>
              <w:fldChar w:fldCharType="separate"/>
            </w:r>
            <w:r w:rsidR="00207577">
              <w:rPr>
                <w:noProof/>
                <w:webHidden/>
              </w:rPr>
              <w:t>13</w:t>
            </w:r>
            <w:r w:rsidR="0065492D" w:rsidRPr="00207577">
              <w:rPr>
                <w:noProof/>
                <w:webHidden/>
              </w:rPr>
              <w:fldChar w:fldCharType="end"/>
            </w:r>
          </w:hyperlink>
        </w:p>
        <w:p w14:paraId="69391736" w14:textId="2AE59770" w:rsidR="0065492D" w:rsidRPr="00207577" w:rsidRDefault="008D3E35">
          <w:pPr>
            <w:pStyle w:val="TDC3"/>
            <w:rPr>
              <w:rFonts w:asciiTheme="minorHAnsi" w:eastAsiaTheme="minorEastAsia" w:hAnsiTheme="minorHAnsi" w:cstheme="minorBidi"/>
              <w:noProof/>
              <w:szCs w:val="22"/>
              <w:lang w:eastAsia="es-MX"/>
            </w:rPr>
          </w:pPr>
          <w:hyperlink w:anchor="_Toc210248705" w:history="1">
            <w:r w:rsidR="0065492D" w:rsidRPr="00207577">
              <w:rPr>
                <w:rStyle w:val="Hipervnculo"/>
                <w:rFonts w:eastAsia="Calibri"/>
                <w:noProof/>
                <w:lang w:eastAsia="es-ES_tradnl"/>
              </w:rPr>
              <w:t>b) Controversia a resolver</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_Toc210248705 \h </w:instrText>
            </w:r>
            <w:r w:rsidR="0065492D" w:rsidRPr="00207577">
              <w:rPr>
                <w:noProof/>
                <w:webHidden/>
              </w:rPr>
            </w:r>
            <w:r w:rsidR="0065492D" w:rsidRPr="00207577">
              <w:rPr>
                <w:noProof/>
                <w:webHidden/>
              </w:rPr>
              <w:fldChar w:fldCharType="separate"/>
            </w:r>
            <w:r w:rsidR="00207577">
              <w:rPr>
                <w:noProof/>
                <w:webHidden/>
              </w:rPr>
              <w:t>15</w:t>
            </w:r>
            <w:r w:rsidR="0065492D" w:rsidRPr="00207577">
              <w:rPr>
                <w:noProof/>
                <w:webHidden/>
              </w:rPr>
              <w:fldChar w:fldCharType="end"/>
            </w:r>
          </w:hyperlink>
        </w:p>
        <w:p w14:paraId="4E3C6389" w14:textId="75FA7B63" w:rsidR="0065492D" w:rsidRPr="00207577" w:rsidRDefault="008D3E35">
          <w:pPr>
            <w:pStyle w:val="TDC3"/>
            <w:rPr>
              <w:rFonts w:asciiTheme="minorHAnsi" w:eastAsiaTheme="minorEastAsia" w:hAnsiTheme="minorHAnsi" w:cstheme="minorBidi"/>
              <w:noProof/>
              <w:szCs w:val="22"/>
              <w:lang w:eastAsia="es-MX"/>
            </w:rPr>
          </w:pPr>
          <w:hyperlink w:anchor="_Toc210248706" w:history="1">
            <w:r w:rsidR="0065492D" w:rsidRPr="00207577">
              <w:rPr>
                <w:rStyle w:val="Hipervnculo"/>
                <w:noProof/>
              </w:rPr>
              <w:t>c) Estudio de la controversia</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_Toc210248706 \h </w:instrText>
            </w:r>
            <w:r w:rsidR="0065492D" w:rsidRPr="00207577">
              <w:rPr>
                <w:noProof/>
                <w:webHidden/>
              </w:rPr>
            </w:r>
            <w:r w:rsidR="0065492D" w:rsidRPr="00207577">
              <w:rPr>
                <w:noProof/>
                <w:webHidden/>
              </w:rPr>
              <w:fldChar w:fldCharType="separate"/>
            </w:r>
            <w:r w:rsidR="00207577">
              <w:rPr>
                <w:noProof/>
                <w:webHidden/>
              </w:rPr>
              <w:t>16</w:t>
            </w:r>
            <w:r w:rsidR="0065492D" w:rsidRPr="00207577">
              <w:rPr>
                <w:noProof/>
                <w:webHidden/>
              </w:rPr>
              <w:fldChar w:fldCharType="end"/>
            </w:r>
          </w:hyperlink>
        </w:p>
        <w:p w14:paraId="7DC34E57" w14:textId="3FB1D4DD" w:rsidR="0065492D" w:rsidRPr="00207577" w:rsidRDefault="008D3E35">
          <w:pPr>
            <w:pStyle w:val="TDC3"/>
            <w:rPr>
              <w:rFonts w:asciiTheme="minorHAnsi" w:eastAsiaTheme="minorEastAsia" w:hAnsiTheme="minorHAnsi" w:cstheme="minorBidi"/>
              <w:noProof/>
              <w:szCs w:val="22"/>
              <w:lang w:eastAsia="es-MX"/>
            </w:rPr>
          </w:pPr>
          <w:hyperlink w:anchor="_Toc210248707" w:history="1">
            <w:r w:rsidR="0065492D" w:rsidRPr="00207577">
              <w:rPr>
                <w:rStyle w:val="Hipervnculo"/>
                <w:noProof/>
              </w:rPr>
              <w:t>d) Versión pública</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_Toc210248707 \h </w:instrText>
            </w:r>
            <w:r w:rsidR="0065492D" w:rsidRPr="00207577">
              <w:rPr>
                <w:noProof/>
                <w:webHidden/>
              </w:rPr>
            </w:r>
            <w:r w:rsidR="0065492D" w:rsidRPr="00207577">
              <w:rPr>
                <w:noProof/>
                <w:webHidden/>
              </w:rPr>
              <w:fldChar w:fldCharType="separate"/>
            </w:r>
            <w:r w:rsidR="00207577">
              <w:rPr>
                <w:noProof/>
                <w:webHidden/>
              </w:rPr>
              <w:t>26</w:t>
            </w:r>
            <w:r w:rsidR="0065492D" w:rsidRPr="00207577">
              <w:rPr>
                <w:noProof/>
                <w:webHidden/>
              </w:rPr>
              <w:fldChar w:fldCharType="end"/>
            </w:r>
          </w:hyperlink>
        </w:p>
        <w:p w14:paraId="48A15C10" w14:textId="6F503A29" w:rsidR="0065492D" w:rsidRPr="00207577" w:rsidRDefault="008D3E35">
          <w:pPr>
            <w:pStyle w:val="TDC3"/>
            <w:rPr>
              <w:rFonts w:asciiTheme="minorHAnsi" w:eastAsiaTheme="minorEastAsia" w:hAnsiTheme="minorHAnsi" w:cstheme="minorBidi"/>
              <w:noProof/>
              <w:szCs w:val="22"/>
              <w:lang w:eastAsia="es-MX"/>
            </w:rPr>
          </w:pPr>
          <w:hyperlink w:anchor="_Toc210248708" w:history="1">
            <w:r w:rsidR="0065492D" w:rsidRPr="00207577">
              <w:rPr>
                <w:rStyle w:val="Hipervnculo"/>
                <w:noProof/>
              </w:rPr>
              <w:t>e) Conclusión</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_Toc210248708 \h </w:instrText>
            </w:r>
            <w:r w:rsidR="0065492D" w:rsidRPr="00207577">
              <w:rPr>
                <w:noProof/>
                <w:webHidden/>
              </w:rPr>
            </w:r>
            <w:r w:rsidR="0065492D" w:rsidRPr="00207577">
              <w:rPr>
                <w:noProof/>
                <w:webHidden/>
              </w:rPr>
              <w:fldChar w:fldCharType="separate"/>
            </w:r>
            <w:r w:rsidR="00207577">
              <w:rPr>
                <w:noProof/>
                <w:webHidden/>
              </w:rPr>
              <w:t>32</w:t>
            </w:r>
            <w:r w:rsidR="0065492D" w:rsidRPr="00207577">
              <w:rPr>
                <w:noProof/>
                <w:webHidden/>
              </w:rPr>
              <w:fldChar w:fldCharType="end"/>
            </w:r>
          </w:hyperlink>
        </w:p>
        <w:p w14:paraId="7155A069" w14:textId="377BCCAD" w:rsidR="0065492D" w:rsidRPr="00207577" w:rsidRDefault="008D3E35">
          <w:pPr>
            <w:pStyle w:val="TDC1"/>
            <w:tabs>
              <w:tab w:val="right" w:leader="dot" w:pos="9034"/>
            </w:tabs>
            <w:rPr>
              <w:rFonts w:asciiTheme="minorHAnsi" w:eastAsiaTheme="minorEastAsia" w:hAnsiTheme="minorHAnsi" w:cstheme="minorBidi"/>
              <w:noProof/>
              <w:szCs w:val="22"/>
              <w:lang w:eastAsia="es-MX"/>
            </w:rPr>
          </w:pPr>
          <w:hyperlink w:anchor="_Toc210248709" w:history="1">
            <w:r w:rsidR="0065492D" w:rsidRPr="00207577">
              <w:rPr>
                <w:rStyle w:val="Hipervnculo"/>
                <w:noProof/>
              </w:rPr>
              <w:t>RESUELVE</w:t>
            </w:r>
            <w:r w:rsidR="0065492D" w:rsidRPr="00207577">
              <w:rPr>
                <w:noProof/>
                <w:webHidden/>
              </w:rPr>
              <w:tab/>
            </w:r>
            <w:r w:rsidR="0065492D" w:rsidRPr="00207577">
              <w:rPr>
                <w:noProof/>
                <w:webHidden/>
              </w:rPr>
              <w:fldChar w:fldCharType="begin"/>
            </w:r>
            <w:r w:rsidR="0065492D" w:rsidRPr="00207577">
              <w:rPr>
                <w:noProof/>
                <w:webHidden/>
              </w:rPr>
              <w:instrText xml:space="preserve"> PAGEREF _Toc210248709 \h </w:instrText>
            </w:r>
            <w:r w:rsidR="0065492D" w:rsidRPr="00207577">
              <w:rPr>
                <w:noProof/>
                <w:webHidden/>
              </w:rPr>
            </w:r>
            <w:r w:rsidR="0065492D" w:rsidRPr="00207577">
              <w:rPr>
                <w:noProof/>
                <w:webHidden/>
              </w:rPr>
              <w:fldChar w:fldCharType="separate"/>
            </w:r>
            <w:r w:rsidR="00207577">
              <w:rPr>
                <w:noProof/>
                <w:webHidden/>
              </w:rPr>
              <w:t>32</w:t>
            </w:r>
            <w:r w:rsidR="0065492D" w:rsidRPr="00207577">
              <w:rPr>
                <w:noProof/>
                <w:webHidden/>
              </w:rPr>
              <w:fldChar w:fldCharType="end"/>
            </w:r>
          </w:hyperlink>
        </w:p>
        <w:p w14:paraId="0C82FD7A" w14:textId="7DD5C9C2" w:rsidR="009B2945" w:rsidRPr="00207577" w:rsidRDefault="00AE3DA7" w:rsidP="00141876">
          <w:pPr>
            <w:spacing w:line="240" w:lineRule="auto"/>
            <w:rPr>
              <w:b/>
              <w:bCs/>
              <w:lang w:val="es-ES"/>
            </w:rPr>
          </w:pPr>
          <w:r w:rsidRPr="00207577">
            <w:rPr>
              <w:b/>
              <w:bCs/>
              <w:sz w:val="16"/>
              <w:szCs w:val="16"/>
              <w:lang w:val="es-ES"/>
            </w:rPr>
            <w:fldChar w:fldCharType="end"/>
          </w:r>
        </w:p>
      </w:sdtContent>
    </w:sdt>
    <w:p w14:paraId="603A07E2" w14:textId="77777777" w:rsidR="00646436" w:rsidRPr="00207577" w:rsidRDefault="00646436" w:rsidP="00664420">
      <w:pPr>
        <w:rPr>
          <w:rFonts w:cs="Tahoma"/>
          <w:szCs w:val="22"/>
        </w:rPr>
        <w:sectPr w:rsidR="00646436" w:rsidRPr="0020757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7C12DE0" w:rsidR="00775BFC" w:rsidRPr="00207577" w:rsidRDefault="00775BFC" w:rsidP="00775BFC">
      <w:r w:rsidRPr="00207577">
        <w:lastRenderedPageBreak/>
        <w:t>Resolución del Pleno del Instituto de Transparencia, Acceso a la Información Pública y Protección de Datos Personales del Estado de México y Municipios, con domicilio e</w:t>
      </w:r>
      <w:r w:rsidR="004D0573" w:rsidRPr="00207577">
        <w:t>n Metepec, Estado de México, de</w:t>
      </w:r>
      <w:r w:rsidR="0065492D" w:rsidRPr="00207577">
        <w:t>l</w:t>
      </w:r>
      <w:r w:rsidR="004D0573" w:rsidRPr="00207577">
        <w:t xml:space="preserve"> </w:t>
      </w:r>
      <w:r w:rsidR="00374082" w:rsidRPr="00207577">
        <w:rPr>
          <w:b/>
        </w:rPr>
        <w:t>primero de octubre d</w:t>
      </w:r>
      <w:r w:rsidR="006E7E69" w:rsidRPr="00207577">
        <w:rPr>
          <w:b/>
        </w:rPr>
        <w:t>e dos mil veinticinco</w:t>
      </w:r>
      <w:r w:rsidRPr="00207577">
        <w:t>.</w:t>
      </w:r>
    </w:p>
    <w:p w14:paraId="0AF3AAC4" w14:textId="77777777" w:rsidR="00775BFC" w:rsidRPr="00207577" w:rsidRDefault="00775BFC" w:rsidP="00775BFC"/>
    <w:p w14:paraId="40EAE038" w14:textId="72023094" w:rsidR="00775BFC" w:rsidRPr="00207577" w:rsidRDefault="00775BFC" w:rsidP="009233A1">
      <w:r w:rsidRPr="00207577">
        <w:rPr>
          <w:b/>
        </w:rPr>
        <w:t xml:space="preserve">VISTO </w:t>
      </w:r>
      <w:r w:rsidRPr="00207577">
        <w:t xml:space="preserve">el expediente formado con motivo del Recurso de Revisión </w:t>
      </w:r>
      <w:r w:rsidR="006E7E69" w:rsidRPr="00207577">
        <w:rPr>
          <w:rFonts w:eastAsia="Calibri"/>
          <w:b/>
          <w:lang w:eastAsia="en-US"/>
        </w:rPr>
        <w:t>0</w:t>
      </w:r>
      <w:r w:rsidR="004F165A" w:rsidRPr="00207577">
        <w:rPr>
          <w:rFonts w:eastAsia="Calibri"/>
          <w:b/>
          <w:lang w:eastAsia="en-US"/>
        </w:rPr>
        <w:t>7</w:t>
      </w:r>
      <w:r w:rsidR="00623F41" w:rsidRPr="00207577">
        <w:rPr>
          <w:rFonts w:eastAsia="Calibri"/>
          <w:b/>
          <w:lang w:eastAsia="en-US"/>
        </w:rPr>
        <w:t>612</w:t>
      </w:r>
      <w:r w:rsidR="006E7E69" w:rsidRPr="00207577">
        <w:rPr>
          <w:rFonts w:eastAsia="Calibri"/>
          <w:b/>
          <w:lang w:eastAsia="en-US"/>
        </w:rPr>
        <w:t>/INFOEM/IP/RR/2025</w:t>
      </w:r>
      <w:r w:rsidRPr="00207577">
        <w:rPr>
          <w:rFonts w:eastAsia="Calibri"/>
          <w:lang w:eastAsia="en-US"/>
        </w:rPr>
        <w:t xml:space="preserve"> </w:t>
      </w:r>
      <w:r w:rsidRPr="00207577">
        <w:t xml:space="preserve">interpuesto por </w:t>
      </w:r>
      <w:bookmarkStart w:id="2" w:name="_GoBack"/>
      <w:r w:rsidR="00813B2F">
        <w:rPr>
          <w:b/>
          <w:bCs/>
        </w:rPr>
        <w:t>XXXXX XXXXXX XXXXXXXX</w:t>
      </w:r>
      <w:bookmarkEnd w:id="2"/>
      <w:r w:rsidRPr="00207577">
        <w:rPr>
          <w:rFonts w:eastAsia="Calibri"/>
          <w:b/>
          <w:lang w:eastAsia="en-US"/>
        </w:rPr>
        <w:t>,</w:t>
      </w:r>
      <w:r w:rsidRPr="00207577">
        <w:t xml:space="preserve"> a quien en lo subsecuente se le denominará </w:t>
      </w:r>
      <w:r w:rsidRPr="00207577">
        <w:rPr>
          <w:b/>
          <w:bCs/>
        </w:rPr>
        <w:t>LA PARTE RECURRENTE</w:t>
      </w:r>
      <w:r w:rsidRPr="00207577">
        <w:t xml:space="preserve">, en contra de la </w:t>
      </w:r>
      <w:r w:rsidR="00773DD6" w:rsidRPr="00207577">
        <w:t xml:space="preserve">respuesta </w:t>
      </w:r>
      <w:r w:rsidR="00BA1AB6" w:rsidRPr="00207577">
        <w:t>de</w:t>
      </w:r>
      <w:r w:rsidR="005A5BF2" w:rsidRPr="00207577">
        <w:t>l</w:t>
      </w:r>
      <w:r w:rsidR="00773DD6" w:rsidRPr="00207577">
        <w:t xml:space="preserve"> </w:t>
      </w:r>
      <w:r w:rsidR="00623F41" w:rsidRPr="00207577">
        <w:rPr>
          <w:rFonts w:eastAsia="Calibri"/>
          <w:b/>
          <w:lang w:eastAsia="en-US"/>
        </w:rPr>
        <w:t>Comisión del Agua del Estado de México</w:t>
      </w:r>
      <w:r w:rsidRPr="00207577">
        <w:rPr>
          <w:b/>
          <w:bCs/>
        </w:rPr>
        <w:t>,</w:t>
      </w:r>
      <w:r w:rsidRPr="00207577">
        <w:t xml:space="preserve"> en adelante </w:t>
      </w:r>
      <w:r w:rsidRPr="00207577">
        <w:rPr>
          <w:b/>
          <w:bCs/>
        </w:rPr>
        <w:t>EL SUJETO OBLIGADO</w:t>
      </w:r>
      <w:r w:rsidRPr="00207577">
        <w:rPr>
          <w:rFonts w:eastAsia="Calibri"/>
          <w:lang w:eastAsia="en-US"/>
        </w:rPr>
        <w:t xml:space="preserve">, </w:t>
      </w:r>
      <w:r w:rsidRPr="00207577">
        <w:t>se emite la presente Resolución con base en los Antecedentes y Considerandos que se exponen a continuación:</w:t>
      </w:r>
    </w:p>
    <w:p w14:paraId="2116968C" w14:textId="77777777" w:rsidR="00775BFC" w:rsidRPr="00207577" w:rsidRDefault="00775BFC" w:rsidP="00775BFC"/>
    <w:p w14:paraId="5A444FB6" w14:textId="639D3567" w:rsidR="00664420" w:rsidRPr="00207577" w:rsidRDefault="00664420" w:rsidP="00664420">
      <w:pPr>
        <w:pStyle w:val="Ttulo1"/>
      </w:pPr>
      <w:bookmarkStart w:id="3" w:name="_Toc210248679"/>
      <w:r w:rsidRPr="00207577">
        <w:t>ANTECEDENTES</w:t>
      </w:r>
      <w:bookmarkEnd w:id="3"/>
    </w:p>
    <w:p w14:paraId="5CB5034E" w14:textId="77777777" w:rsidR="00AC2DB8" w:rsidRPr="00207577" w:rsidRDefault="00AC2DB8" w:rsidP="00E37A3F"/>
    <w:p w14:paraId="09B2D38F" w14:textId="6E49D146" w:rsidR="00664420" w:rsidRPr="00207577" w:rsidRDefault="00E37A3F" w:rsidP="00C80B14">
      <w:pPr>
        <w:pStyle w:val="Ttulo2"/>
      </w:pPr>
      <w:bookmarkStart w:id="4" w:name="_Toc210248680"/>
      <w:r w:rsidRPr="00207577">
        <w:t>DE LA SOLICITUD DE INFORMACIÓN</w:t>
      </w:r>
      <w:bookmarkEnd w:id="4"/>
    </w:p>
    <w:p w14:paraId="2C6AD1A5" w14:textId="0405B3CD" w:rsidR="00664420" w:rsidRPr="00207577" w:rsidRDefault="00E37A3F" w:rsidP="00E37A3F">
      <w:pPr>
        <w:pStyle w:val="Ttulo3"/>
      </w:pPr>
      <w:bookmarkStart w:id="5" w:name="_Toc210248681"/>
      <w:r w:rsidRPr="00207577">
        <w:t xml:space="preserve">a) </w:t>
      </w:r>
      <w:r w:rsidR="006B10B0" w:rsidRPr="00207577">
        <w:t>S</w:t>
      </w:r>
      <w:r w:rsidR="00664420" w:rsidRPr="00207577">
        <w:t xml:space="preserve">olicitud de </w:t>
      </w:r>
      <w:r w:rsidR="006B10B0" w:rsidRPr="00207577">
        <w:t>i</w:t>
      </w:r>
      <w:r w:rsidR="00664420" w:rsidRPr="00207577">
        <w:t>nformación</w:t>
      </w:r>
      <w:bookmarkEnd w:id="5"/>
    </w:p>
    <w:p w14:paraId="6F73510B" w14:textId="0C9AE2AE" w:rsidR="000F32E8" w:rsidRPr="00207577" w:rsidRDefault="00B169A2" w:rsidP="000F32E8">
      <w:pPr>
        <w:pStyle w:val="Prrafodelista"/>
        <w:tabs>
          <w:tab w:val="left" w:pos="0"/>
        </w:tabs>
        <w:ind w:left="0"/>
        <w:contextualSpacing w:val="0"/>
        <w:rPr>
          <w:rFonts w:cs="Tahoma"/>
        </w:rPr>
      </w:pPr>
      <w:r w:rsidRPr="00207577">
        <w:rPr>
          <w:rFonts w:cs="Tahoma"/>
        </w:rPr>
        <w:t xml:space="preserve">El </w:t>
      </w:r>
      <w:r w:rsidR="00623F41" w:rsidRPr="00207577">
        <w:rPr>
          <w:rFonts w:cs="Tahoma"/>
          <w:b/>
          <w:bCs/>
        </w:rPr>
        <w:t>ocho de ma</w:t>
      </w:r>
      <w:r w:rsidR="00CA0628" w:rsidRPr="00207577">
        <w:rPr>
          <w:rFonts w:cs="Tahoma"/>
          <w:b/>
          <w:bCs/>
        </w:rPr>
        <w:t xml:space="preserve">yo </w:t>
      </w:r>
      <w:r w:rsidR="006E7E69" w:rsidRPr="00207577">
        <w:rPr>
          <w:rFonts w:cs="Tahoma"/>
          <w:b/>
          <w:bCs/>
        </w:rPr>
        <w:t>de dos mil veinticinco</w:t>
      </w:r>
      <w:r w:rsidRPr="00207577">
        <w:rPr>
          <w:rFonts w:cs="Tahoma"/>
        </w:rPr>
        <w:t xml:space="preserve">, </w:t>
      </w:r>
      <w:r w:rsidRPr="00207577">
        <w:rPr>
          <w:b/>
          <w:bCs/>
        </w:rPr>
        <w:t>LA PARTE RECURRENTE</w:t>
      </w:r>
      <w:r w:rsidRPr="00207577">
        <w:rPr>
          <w:rFonts w:cs="Tahoma"/>
        </w:rPr>
        <w:t xml:space="preserve"> presentó una solicitud de acceso a la información pública ante el </w:t>
      </w:r>
      <w:r w:rsidRPr="00207577">
        <w:rPr>
          <w:rFonts w:cs="Tahoma"/>
          <w:b/>
          <w:bCs/>
        </w:rPr>
        <w:t>SUJETO OBLIGADO</w:t>
      </w:r>
      <w:r w:rsidRPr="00207577">
        <w:rPr>
          <w:rFonts w:cs="Tahoma"/>
        </w:rPr>
        <w:t xml:space="preserve">, a través </w:t>
      </w:r>
      <w:r w:rsidR="00B56734" w:rsidRPr="00207577">
        <w:rPr>
          <w:rFonts w:cs="Tahoma"/>
        </w:rPr>
        <w:t xml:space="preserve">del </w:t>
      </w:r>
      <w:r w:rsidR="000F32E8" w:rsidRPr="00207577">
        <w:rPr>
          <w:rFonts w:cs="Tahoma"/>
        </w:rPr>
        <w:t>Sistema de Acceso a la Información Mexiquense (</w:t>
      </w:r>
      <w:r w:rsidR="000F32E8" w:rsidRPr="00207577">
        <w:rPr>
          <w:rFonts w:cs="Tahoma"/>
          <w:b/>
        </w:rPr>
        <w:t>SAIMEX</w:t>
      </w:r>
      <w:r w:rsidR="000F32E8" w:rsidRPr="00207577">
        <w:rPr>
          <w:rFonts w:cs="Tahoma"/>
        </w:rPr>
        <w:t xml:space="preserve">). </w:t>
      </w:r>
      <w:r w:rsidRPr="00207577">
        <w:rPr>
          <w:rFonts w:cs="Tahoma"/>
        </w:rPr>
        <w:t>Dicha solicitud quedó registrada con el número de folio</w:t>
      </w:r>
      <w:r w:rsidRPr="00207577">
        <w:rPr>
          <w:rFonts w:cs="Tahoma"/>
          <w:b/>
          <w:bCs/>
        </w:rPr>
        <w:t xml:space="preserve"> </w:t>
      </w:r>
      <w:r w:rsidR="00623F41" w:rsidRPr="00207577">
        <w:rPr>
          <w:b/>
          <w:bCs/>
        </w:rPr>
        <w:t>00247/CAEM/IP/2025</w:t>
      </w:r>
      <w:r w:rsidR="004F165A" w:rsidRPr="00207577">
        <w:rPr>
          <w:b/>
          <w:bCs/>
        </w:rPr>
        <w:t xml:space="preserve"> </w:t>
      </w:r>
      <w:r w:rsidRPr="00207577">
        <w:rPr>
          <w:rFonts w:cs="Tahoma"/>
        </w:rPr>
        <w:t>y en ella se requirió la siguiente información:</w:t>
      </w:r>
    </w:p>
    <w:p w14:paraId="0459D6AC" w14:textId="77777777" w:rsidR="00664420" w:rsidRPr="00207577" w:rsidRDefault="00664420" w:rsidP="00664420">
      <w:pPr>
        <w:tabs>
          <w:tab w:val="left" w:pos="4667"/>
        </w:tabs>
        <w:ind w:left="567" w:right="567"/>
        <w:rPr>
          <w:rFonts w:cs="Tahoma"/>
          <w:b/>
          <w:bCs/>
        </w:rPr>
      </w:pPr>
    </w:p>
    <w:p w14:paraId="64B27DE3" w14:textId="095C328D" w:rsidR="00664420" w:rsidRPr="00207577" w:rsidRDefault="002B1D44" w:rsidP="00B169A2">
      <w:pPr>
        <w:pStyle w:val="Puesto"/>
      </w:pPr>
      <w:r w:rsidRPr="00207577">
        <w:t>“</w:t>
      </w:r>
      <w:r w:rsidR="00623F41" w:rsidRPr="00207577">
        <w:t xml:space="preserve">solicito copia simple digitalizada a través del sistema electrónico </w:t>
      </w:r>
      <w:proofErr w:type="spellStart"/>
      <w:r w:rsidR="00623F41" w:rsidRPr="00207577">
        <w:t>saimex</w:t>
      </w:r>
      <w:proofErr w:type="spellEnd"/>
      <w:r w:rsidR="00623F41" w:rsidRPr="00207577">
        <w:t xml:space="preserve"> de las pólizas y/o comprobantes digitales de pagos realizados a particulares vía cheque o transferencia electrónica durante el mes de abril de 2025.</w:t>
      </w:r>
      <w:r w:rsidRPr="00207577">
        <w:t>”</w:t>
      </w:r>
      <w:r w:rsidR="00BA1AB6" w:rsidRPr="00207577">
        <w:t xml:space="preserve"> (</w:t>
      </w:r>
      <w:proofErr w:type="gramStart"/>
      <w:r w:rsidR="00BA1AB6" w:rsidRPr="00207577">
        <w:t>sic</w:t>
      </w:r>
      <w:proofErr w:type="gramEnd"/>
      <w:r w:rsidR="00BA1AB6" w:rsidRPr="00207577">
        <w:t>)</w:t>
      </w:r>
    </w:p>
    <w:p w14:paraId="07B1E1B5" w14:textId="77777777" w:rsidR="004D0573" w:rsidRPr="00207577" w:rsidRDefault="004D0573" w:rsidP="006E7E69">
      <w:pPr>
        <w:pStyle w:val="Puesto"/>
      </w:pPr>
    </w:p>
    <w:p w14:paraId="0BD6321D" w14:textId="5D8567EA" w:rsidR="00664420" w:rsidRPr="00207577" w:rsidRDefault="009A2D78" w:rsidP="009A2D78">
      <w:pPr>
        <w:tabs>
          <w:tab w:val="left" w:pos="4667"/>
        </w:tabs>
        <w:ind w:left="567" w:right="567"/>
        <w:rPr>
          <w:rFonts w:cs="Tahoma"/>
          <w:bCs/>
          <w:szCs w:val="22"/>
        </w:rPr>
      </w:pPr>
      <w:r w:rsidRPr="00207577">
        <w:rPr>
          <w:rFonts w:cs="Tahoma"/>
          <w:b/>
          <w:bCs/>
          <w:szCs w:val="22"/>
        </w:rPr>
        <w:t>Modalidad de entrega</w:t>
      </w:r>
      <w:r w:rsidRPr="00207577">
        <w:rPr>
          <w:rFonts w:cs="Tahoma"/>
          <w:bCs/>
          <w:szCs w:val="22"/>
        </w:rPr>
        <w:t>: a</w:t>
      </w:r>
      <w:r w:rsidR="00664420" w:rsidRPr="00207577">
        <w:rPr>
          <w:rFonts w:cs="Tahoma"/>
          <w:bCs/>
          <w:i/>
          <w:szCs w:val="22"/>
        </w:rPr>
        <w:t xml:space="preserve"> través del </w:t>
      </w:r>
      <w:r w:rsidR="00664420" w:rsidRPr="00207577">
        <w:rPr>
          <w:rFonts w:cs="Tahoma"/>
          <w:b/>
          <w:bCs/>
          <w:i/>
          <w:szCs w:val="22"/>
        </w:rPr>
        <w:t>SAIMEX</w:t>
      </w:r>
      <w:r w:rsidRPr="00207577">
        <w:rPr>
          <w:rFonts w:cs="Tahoma"/>
          <w:bCs/>
          <w:i/>
          <w:szCs w:val="22"/>
        </w:rPr>
        <w:t>.</w:t>
      </w:r>
    </w:p>
    <w:p w14:paraId="334D2860" w14:textId="77777777" w:rsidR="00664420" w:rsidRPr="00207577" w:rsidRDefault="00664420" w:rsidP="00664420">
      <w:pPr>
        <w:autoSpaceDE w:val="0"/>
        <w:autoSpaceDN w:val="0"/>
        <w:adjustRightInd w:val="0"/>
        <w:ind w:right="-28"/>
        <w:rPr>
          <w:rFonts w:cs="Tahoma"/>
          <w:bCs/>
          <w:i/>
          <w:szCs w:val="22"/>
        </w:rPr>
      </w:pPr>
    </w:p>
    <w:p w14:paraId="263F997B" w14:textId="77777777" w:rsidR="00CA0628" w:rsidRPr="00207577" w:rsidRDefault="00CA0628" w:rsidP="00CA0628">
      <w:pPr>
        <w:pStyle w:val="Ttulo3"/>
      </w:pPr>
      <w:bookmarkStart w:id="6" w:name="_Toc210248682"/>
      <w:r w:rsidRPr="00207577">
        <w:lastRenderedPageBreak/>
        <w:t>b) Turno de la solicitud de información</w:t>
      </w:r>
      <w:bookmarkEnd w:id="6"/>
    </w:p>
    <w:p w14:paraId="70EFD295" w14:textId="16E626B0" w:rsidR="00CA0628" w:rsidRPr="00207577" w:rsidRDefault="00CA0628" w:rsidP="00CA0628">
      <w:pPr>
        <w:rPr>
          <w:color w:val="000000"/>
        </w:rPr>
      </w:pPr>
      <w:r w:rsidRPr="00207577">
        <w:rPr>
          <w:color w:val="000000"/>
        </w:rPr>
        <w:t xml:space="preserve">En cumplimiento al artículo 162 de la Ley de Transparencia y Acceso a la Información Pública del Estado de México y Municipios, el </w:t>
      </w:r>
      <w:r w:rsidR="00623F41" w:rsidRPr="00207577">
        <w:rPr>
          <w:b/>
        </w:rPr>
        <w:t>ocho de may</w:t>
      </w:r>
      <w:r w:rsidRPr="00207577">
        <w:rPr>
          <w:b/>
        </w:rPr>
        <w:t>o de dos mil veinticinco</w:t>
      </w:r>
      <w:r w:rsidRPr="00207577">
        <w:rPr>
          <w:color w:val="000000"/>
        </w:rPr>
        <w:t xml:space="preserve">, el Titular de la Unidad de Transparencia del </w:t>
      </w:r>
      <w:r w:rsidRPr="00207577">
        <w:rPr>
          <w:b/>
          <w:color w:val="000000"/>
        </w:rPr>
        <w:t>SUJETO OBLIGADO</w:t>
      </w:r>
      <w:r w:rsidRPr="00207577">
        <w:rPr>
          <w:color w:val="000000"/>
        </w:rPr>
        <w:t xml:space="preserve"> turnó la solicitud de información al servidor público habilitado que estimó pertinente.</w:t>
      </w:r>
    </w:p>
    <w:p w14:paraId="0D16296B" w14:textId="77777777" w:rsidR="00CA0628" w:rsidRPr="00207577" w:rsidRDefault="00CA0628" w:rsidP="00664420">
      <w:pPr>
        <w:autoSpaceDE w:val="0"/>
        <w:autoSpaceDN w:val="0"/>
        <w:adjustRightInd w:val="0"/>
        <w:ind w:right="-28"/>
        <w:rPr>
          <w:rFonts w:cs="Tahoma"/>
          <w:bCs/>
          <w:i/>
          <w:szCs w:val="22"/>
        </w:rPr>
      </w:pPr>
    </w:p>
    <w:p w14:paraId="056D69AA" w14:textId="6949657E" w:rsidR="00B46EAA" w:rsidRPr="00207577" w:rsidRDefault="00B46EAA" w:rsidP="00B46EAA">
      <w:pPr>
        <w:pStyle w:val="Ttulo3"/>
        <w:rPr>
          <w:rFonts w:eastAsia="Calibri"/>
          <w:lang w:eastAsia="en-US"/>
        </w:rPr>
      </w:pPr>
      <w:bookmarkStart w:id="7" w:name="_Toc210248683"/>
      <w:r w:rsidRPr="00207577">
        <w:t xml:space="preserve">c) </w:t>
      </w:r>
      <w:bookmarkStart w:id="8" w:name="_Toc165402858"/>
      <w:bookmarkStart w:id="9" w:name="_Toc201664625"/>
      <w:r w:rsidRPr="00207577">
        <w:rPr>
          <w:rFonts w:eastAsia="Calibri"/>
          <w:lang w:eastAsia="en-US"/>
        </w:rPr>
        <w:t>Solicitud de aclaración</w:t>
      </w:r>
      <w:bookmarkEnd w:id="7"/>
      <w:bookmarkEnd w:id="8"/>
      <w:bookmarkEnd w:id="9"/>
      <w:r w:rsidRPr="00207577">
        <w:rPr>
          <w:rFonts w:eastAsia="Calibri"/>
          <w:lang w:eastAsia="en-US"/>
        </w:rPr>
        <w:t xml:space="preserve"> </w:t>
      </w:r>
    </w:p>
    <w:p w14:paraId="517B603F" w14:textId="2982C7A7" w:rsidR="00B46EAA" w:rsidRPr="00207577" w:rsidRDefault="00B46EAA" w:rsidP="00B46EAA">
      <w:pPr>
        <w:rPr>
          <w:lang w:val="es-ES"/>
        </w:rPr>
      </w:pPr>
      <w:r w:rsidRPr="00207577">
        <w:rPr>
          <w:lang w:val="es-ES"/>
        </w:rPr>
        <w:t xml:space="preserve">De las constancias que obran en el expediente electrónico, se advierte que </w:t>
      </w:r>
      <w:r w:rsidRPr="00207577">
        <w:rPr>
          <w:bCs/>
          <w:lang w:val="es-ES"/>
        </w:rPr>
        <w:t>el</w:t>
      </w:r>
      <w:r w:rsidRPr="00207577">
        <w:rPr>
          <w:b/>
          <w:lang w:val="es-ES"/>
        </w:rPr>
        <w:t xml:space="preserve"> dieciséis de mayo de dos mil veinticinco</w:t>
      </w:r>
      <w:r w:rsidRPr="00207577">
        <w:rPr>
          <w:lang w:val="es-ES"/>
        </w:rPr>
        <w:t xml:space="preserve">, </w:t>
      </w:r>
      <w:r w:rsidRPr="00207577">
        <w:rPr>
          <w:b/>
          <w:bCs/>
          <w:lang w:val="es-ES"/>
        </w:rPr>
        <w:t>EL SUJETO OBLIGADO</w:t>
      </w:r>
      <w:r w:rsidRPr="00207577">
        <w:rPr>
          <w:lang w:val="es-ES"/>
        </w:rPr>
        <w:t xml:space="preserve"> requirió a </w:t>
      </w:r>
      <w:r w:rsidRPr="00207577">
        <w:rPr>
          <w:b/>
          <w:bCs/>
          <w:lang w:val="es-ES"/>
        </w:rPr>
        <w:t>LA PARTE RECURRENTE</w:t>
      </w:r>
      <w:r w:rsidRPr="00207577">
        <w:rPr>
          <w:lang w:val="es-ES"/>
        </w:rPr>
        <w:t xml:space="preserve"> aclarar la solicitud de información pública planteada, en los siguientes términos:</w:t>
      </w:r>
    </w:p>
    <w:p w14:paraId="0528214A" w14:textId="77777777" w:rsidR="00B46EAA" w:rsidRPr="00207577" w:rsidRDefault="00B46EAA" w:rsidP="00B46EAA">
      <w:pPr>
        <w:rPr>
          <w:lang w:val="es-ES"/>
        </w:rPr>
      </w:pPr>
    </w:p>
    <w:p w14:paraId="7918BA5B" w14:textId="77777777" w:rsidR="00B46EAA" w:rsidRPr="00207577" w:rsidRDefault="00B46EAA" w:rsidP="00B46EAA">
      <w:pPr>
        <w:spacing w:line="240" w:lineRule="auto"/>
        <w:ind w:left="567" w:right="567"/>
        <w:contextualSpacing/>
        <w:rPr>
          <w:i/>
          <w:kern w:val="28"/>
          <w:szCs w:val="56"/>
          <w:lang w:val="es-ES"/>
        </w:rPr>
      </w:pPr>
      <w:r w:rsidRPr="00207577">
        <w:rPr>
          <w:i/>
          <w:kern w:val="28"/>
          <w:szCs w:val="56"/>
          <w:lang w:val="es-ES"/>
        </w:rPr>
        <w:t xml:space="preserve">“Con fundamento en el </w:t>
      </w:r>
      <w:proofErr w:type="spellStart"/>
      <w:r w:rsidRPr="00207577">
        <w:rPr>
          <w:i/>
          <w:kern w:val="28"/>
          <w:szCs w:val="56"/>
          <w:lang w:val="es-ES"/>
        </w:rPr>
        <w:t>articulo</w:t>
      </w:r>
      <w:proofErr w:type="spellEnd"/>
      <w:r w:rsidRPr="00207577">
        <w:rPr>
          <w:i/>
          <w:kern w:val="28"/>
          <w:szCs w:val="56"/>
          <w:lang w:val="es-ES"/>
        </w:rPr>
        <w:t xml:space="preserve"> 159 de la Ley de Transparencia y Acceso a la Información Pública del Estado de México y Municipios, se le requiere para que dentro del plazo de diez días hábiles realice lo siguiente:</w:t>
      </w:r>
    </w:p>
    <w:p w14:paraId="1132A3B1" w14:textId="77777777" w:rsidR="00B46EAA" w:rsidRPr="00207577" w:rsidRDefault="00B46EAA" w:rsidP="00B46EAA">
      <w:pPr>
        <w:spacing w:line="240" w:lineRule="auto"/>
        <w:ind w:left="567" w:right="567"/>
        <w:contextualSpacing/>
        <w:rPr>
          <w:i/>
          <w:kern w:val="28"/>
          <w:szCs w:val="56"/>
          <w:lang w:val="es-ES"/>
        </w:rPr>
      </w:pPr>
    </w:p>
    <w:p w14:paraId="44B234BD" w14:textId="2EE6D5B5" w:rsidR="00B46EAA" w:rsidRPr="00207577" w:rsidRDefault="00B46EAA" w:rsidP="00B46EAA">
      <w:pPr>
        <w:spacing w:line="240" w:lineRule="auto"/>
        <w:ind w:left="567" w:right="567"/>
        <w:contextualSpacing/>
        <w:rPr>
          <w:i/>
          <w:kern w:val="28"/>
          <w:szCs w:val="56"/>
          <w:lang w:val="es-ES"/>
        </w:rPr>
      </w:pPr>
      <w:r w:rsidRPr="00207577">
        <w:rPr>
          <w:i/>
          <w:kern w:val="28"/>
          <w:szCs w:val="56"/>
          <w:lang w:val="es-ES"/>
        </w:rPr>
        <w:t>Oficio No. 219C0110000300S-UT/633/2025 Naucalpan de Juárez, Estado de México 16 de mayo de 2025 ESTIMADO PETICIONARIO FOLIO DE LA SOLICITUD: 00247/CAEM/IP/2025 Con fundamento en el artículo 159 de la Ley de Transparencia y Acceso a la Información Pública del Estado de México y Municipios. se le requiere para que dentro del plazo de diez días hábiles realice lo siguiente: Precisar otros elementos que complementen, corrijan o amplíen los datos proporcionados en su solicitud; con-</w:t>
      </w:r>
      <w:proofErr w:type="spellStart"/>
      <w:r w:rsidRPr="00207577">
        <w:rPr>
          <w:i/>
          <w:kern w:val="28"/>
          <w:szCs w:val="56"/>
          <w:lang w:val="es-ES"/>
        </w:rPr>
        <w:t>siderando</w:t>
      </w:r>
      <w:proofErr w:type="spellEnd"/>
      <w:r w:rsidRPr="00207577">
        <w:rPr>
          <w:i/>
          <w:kern w:val="28"/>
          <w:szCs w:val="56"/>
          <w:lang w:val="es-ES"/>
        </w:rPr>
        <w:t xml:space="preserve"> que, dicho requerimiento es ambiguo, toda vez que, los detalles proporcionados son insuficientes para localizar el o los documento(s) mediante los que pueda materializarse la respuesta a su requerimiento: “solicito copia simple digitalizada a través del sistema electrónico </w:t>
      </w:r>
      <w:proofErr w:type="spellStart"/>
      <w:r w:rsidRPr="00207577">
        <w:rPr>
          <w:i/>
          <w:kern w:val="28"/>
          <w:szCs w:val="56"/>
          <w:lang w:val="es-ES"/>
        </w:rPr>
        <w:t>saimex</w:t>
      </w:r>
      <w:proofErr w:type="spellEnd"/>
      <w:r w:rsidRPr="00207577">
        <w:rPr>
          <w:i/>
          <w:kern w:val="28"/>
          <w:szCs w:val="56"/>
          <w:lang w:val="es-ES"/>
        </w:rPr>
        <w:t xml:space="preserve"> de las pólizas y/o comprobantes digitales de pagos realizados a particulares vía cheque o transferencia electrónica durante el mes de abril de 2025. “(</w:t>
      </w:r>
      <w:proofErr w:type="gramStart"/>
      <w:r w:rsidRPr="00207577">
        <w:rPr>
          <w:i/>
          <w:kern w:val="28"/>
          <w:szCs w:val="56"/>
          <w:lang w:val="es-ES"/>
        </w:rPr>
        <w:t>sic</w:t>
      </w:r>
      <w:proofErr w:type="gramEnd"/>
      <w:r w:rsidRPr="00207577">
        <w:rPr>
          <w:i/>
          <w:kern w:val="28"/>
          <w:szCs w:val="56"/>
          <w:lang w:val="es-ES"/>
        </w:rPr>
        <w:t>) Con fundamento en el artículo 159 de la Ley de Transparencia y Acceso a la Información Pública del Estado de México y Municipios, se solicita la intervención de la Unidad de Transparencia a fin de requerir al peticionario indique otros elementos que complementen, corrijan o amplíen los datos proporcionados, toda vez que no es determinable a qué refiera con “comprobante de todos los pagos”. En caso de que no se desahogue el requerimiento señalado dentro del plazo citado se tendrá por no presen-</w:t>
      </w:r>
      <w:proofErr w:type="spellStart"/>
      <w:r w:rsidRPr="00207577">
        <w:rPr>
          <w:i/>
          <w:kern w:val="28"/>
          <w:szCs w:val="56"/>
          <w:lang w:val="es-ES"/>
        </w:rPr>
        <w:t>tada</w:t>
      </w:r>
      <w:proofErr w:type="spellEnd"/>
      <w:r w:rsidRPr="00207577">
        <w:rPr>
          <w:i/>
          <w:kern w:val="28"/>
          <w:szCs w:val="56"/>
          <w:lang w:val="es-ES"/>
        </w:rPr>
        <w:t xml:space="preserve"> la solicitud de información, </w:t>
      </w:r>
      <w:r w:rsidRPr="00207577">
        <w:rPr>
          <w:i/>
          <w:kern w:val="28"/>
          <w:szCs w:val="56"/>
          <w:lang w:val="es-ES"/>
        </w:rPr>
        <w:lastRenderedPageBreak/>
        <w:t xml:space="preserve">quedando a salvo sus derechos para volver a presentarla, lo anterior con </w:t>
      </w:r>
      <w:r w:rsidR="00632857" w:rsidRPr="00207577">
        <w:rPr>
          <w:i/>
          <w:kern w:val="28"/>
          <w:szCs w:val="56"/>
          <w:lang w:val="es-ES"/>
        </w:rPr>
        <w:t>fundamento</w:t>
      </w:r>
      <w:r w:rsidRPr="00207577">
        <w:rPr>
          <w:i/>
          <w:kern w:val="28"/>
          <w:szCs w:val="56"/>
          <w:lang w:val="es-ES"/>
        </w:rPr>
        <w:t xml:space="preserve"> en el artículo 159 de la Ley invocada. Cabe destacar que, en caso de no presentar la aclaración mencionada, se podrá aplicar el Criterio 19/10 del INAI: “No procede el trámite de solicitudes genéricas en el marco de la Ley Federal de Transparencia y Acceso a la Información Pública Gubernamental. En términos de lo establecido en el artículo 40 de la Ley Federal de Transparencia y Acceso a la Información Pública Gubernamental, las solicitudes deben cumplir con determina-das características para que la autoridad esté en aptitud de identificar la atribución, tema, materia o asunto sobre lo que versa la solicitud de acceso a la información o los documentos de interés del particular. En ese sentido, tratándose de solicitudes genéricas, es decir, en las que no se describan los documentos a los que el particular requiera tener acceso, se considerará que se está en presencia de solicitudes presentadas fuera del marco de la Ley Federal de Transparencia y Acceso a la Información Pública Gubernamental, por lo que no procederá su trámite. Lo anterior, siempre y cuando el solicitante no hubiese desahogado satisfactoriamente el requerimiento de información adicional efectuado por la autoridad con el objeto de allegarse de mayores elementos. Debe señalarse que el objetivo de la disposición citada es que las respuestas de las autoridades cum-plan con las expectativas de los particulares al ejercer su derecho de acceso, por lo que se considera que éstos deben proporcionar elementos mínimos que permitan identificar la información requerida en razón de una atribución, tema, materia o asunto.” Expedientes: 2587/08 Comisión Federal de Telecomunicaciones – Juan Pablo Guerrero </w:t>
      </w:r>
      <w:proofErr w:type="spellStart"/>
      <w:r w:rsidRPr="00207577">
        <w:rPr>
          <w:i/>
          <w:kern w:val="28"/>
          <w:szCs w:val="56"/>
          <w:lang w:val="es-ES"/>
        </w:rPr>
        <w:t>Amparán</w:t>
      </w:r>
      <w:proofErr w:type="spellEnd"/>
      <w:r w:rsidRPr="00207577">
        <w:rPr>
          <w:i/>
          <w:kern w:val="28"/>
          <w:szCs w:val="56"/>
          <w:lang w:val="es-ES"/>
        </w:rPr>
        <w:t xml:space="preserve"> 5568/09 Secretaría de Gobernación – Jacqueline </w:t>
      </w:r>
      <w:proofErr w:type="spellStart"/>
      <w:r w:rsidRPr="00207577">
        <w:rPr>
          <w:i/>
          <w:kern w:val="28"/>
          <w:szCs w:val="56"/>
          <w:lang w:val="es-ES"/>
        </w:rPr>
        <w:t>Peschard</w:t>
      </w:r>
      <w:proofErr w:type="spellEnd"/>
      <w:r w:rsidRPr="00207577">
        <w:rPr>
          <w:i/>
          <w:kern w:val="28"/>
          <w:szCs w:val="56"/>
          <w:lang w:val="es-ES"/>
        </w:rPr>
        <w:t xml:space="preserve"> Mariscal 5476/09 Comisión Federal de Mejora Regulatoria - Sigrid </w:t>
      </w:r>
      <w:proofErr w:type="spellStart"/>
      <w:r w:rsidRPr="00207577">
        <w:rPr>
          <w:i/>
          <w:kern w:val="28"/>
          <w:szCs w:val="56"/>
          <w:lang w:val="es-ES"/>
        </w:rPr>
        <w:t>Arzt</w:t>
      </w:r>
      <w:proofErr w:type="spellEnd"/>
      <w:r w:rsidRPr="00207577">
        <w:rPr>
          <w:i/>
          <w:kern w:val="28"/>
          <w:szCs w:val="56"/>
          <w:lang w:val="es-ES"/>
        </w:rPr>
        <w:t xml:space="preserve"> Colunga 1173/10 Instituto Federal de Acceso a la Información Pública – Sigrid </w:t>
      </w:r>
      <w:proofErr w:type="spellStart"/>
      <w:r w:rsidRPr="00207577">
        <w:rPr>
          <w:i/>
          <w:kern w:val="28"/>
          <w:szCs w:val="56"/>
          <w:lang w:val="es-ES"/>
        </w:rPr>
        <w:t>Arzt</w:t>
      </w:r>
      <w:proofErr w:type="spellEnd"/>
      <w:r w:rsidRPr="00207577">
        <w:rPr>
          <w:i/>
          <w:kern w:val="28"/>
          <w:szCs w:val="56"/>
          <w:lang w:val="es-ES"/>
        </w:rPr>
        <w:t xml:space="preserve"> Colunga 1174/10 Instituto Federal de Acceso a la Información Pública – Jacqueline </w:t>
      </w:r>
      <w:proofErr w:type="spellStart"/>
      <w:r w:rsidRPr="00207577">
        <w:rPr>
          <w:i/>
          <w:kern w:val="28"/>
          <w:szCs w:val="56"/>
          <w:lang w:val="es-ES"/>
        </w:rPr>
        <w:t>Peschard</w:t>
      </w:r>
      <w:proofErr w:type="spellEnd"/>
      <w:r w:rsidRPr="00207577">
        <w:rPr>
          <w:i/>
          <w:kern w:val="28"/>
          <w:szCs w:val="56"/>
          <w:lang w:val="es-ES"/>
        </w:rPr>
        <w:t xml:space="preserve"> Mariscal Sin otro particular por el momento, aprovecho la ocasión para enviarle un cordial saludo. A T E N T A M E N T E MAESTRO FERNANDO DANIEL CABRERA RAMIREZ TITULAR DE LA UNIDAD DE TRANSPARENCIA</w:t>
      </w:r>
    </w:p>
    <w:p w14:paraId="4A107E71" w14:textId="77777777" w:rsidR="00B46EAA" w:rsidRPr="00207577" w:rsidRDefault="00B46EAA" w:rsidP="00B46EAA">
      <w:pPr>
        <w:spacing w:line="240" w:lineRule="auto"/>
        <w:ind w:left="567" w:right="567"/>
        <w:contextualSpacing/>
        <w:rPr>
          <w:i/>
          <w:kern w:val="28"/>
          <w:szCs w:val="56"/>
          <w:lang w:val="es-ES"/>
        </w:rPr>
      </w:pPr>
    </w:p>
    <w:p w14:paraId="039DFDEC" w14:textId="77777777" w:rsidR="00B46EAA" w:rsidRPr="00207577" w:rsidRDefault="00B46EAA" w:rsidP="00B46EAA">
      <w:pPr>
        <w:spacing w:line="240" w:lineRule="auto"/>
        <w:ind w:left="567" w:right="567"/>
        <w:contextualSpacing/>
        <w:rPr>
          <w:i/>
          <w:kern w:val="28"/>
          <w:szCs w:val="56"/>
          <w:lang w:val="es-ES"/>
        </w:rPr>
      </w:pPr>
      <w:r w:rsidRPr="00207577">
        <w:rPr>
          <w:i/>
          <w:kern w:val="28"/>
          <w:szCs w:val="56"/>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46635AF" w14:textId="77777777" w:rsidR="00B46EAA" w:rsidRPr="00207577" w:rsidRDefault="00B46EAA" w:rsidP="00B46EAA">
      <w:pPr>
        <w:spacing w:line="240" w:lineRule="auto"/>
        <w:ind w:left="567" w:right="567"/>
        <w:contextualSpacing/>
        <w:rPr>
          <w:i/>
          <w:kern w:val="28"/>
          <w:szCs w:val="56"/>
          <w:lang w:val="es-ES"/>
        </w:rPr>
      </w:pPr>
    </w:p>
    <w:p w14:paraId="5F22F03E" w14:textId="77777777" w:rsidR="00B46EAA" w:rsidRPr="00207577" w:rsidRDefault="00B46EAA" w:rsidP="00B46EAA">
      <w:pPr>
        <w:spacing w:line="240" w:lineRule="auto"/>
        <w:ind w:left="567" w:right="567"/>
        <w:contextualSpacing/>
        <w:rPr>
          <w:i/>
          <w:kern w:val="28"/>
          <w:szCs w:val="56"/>
          <w:lang w:val="es-ES"/>
        </w:rPr>
      </w:pPr>
      <w:r w:rsidRPr="00207577">
        <w:rPr>
          <w:i/>
          <w:kern w:val="28"/>
          <w:szCs w:val="56"/>
          <w:lang w:val="es-ES"/>
        </w:rPr>
        <w:t>ATENTAMENTE</w:t>
      </w:r>
    </w:p>
    <w:p w14:paraId="34E08710" w14:textId="77777777" w:rsidR="00B46EAA" w:rsidRPr="00207577" w:rsidRDefault="00B46EAA" w:rsidP="00B46EAA">
      <w:pPr>
        <w:spacing w:line="240" w:lineRule="auto"/>
        <w:ind w:left="567" w:right="567"/>
        <w:contextualSpacing/>
        <w:rPr>
          <w:i/>
          <w:kern w:val="28"/>
          <w:szCs w:val="56"/>
          <w:lang w:val="es-ES"/>
        </w:rPr>
      </w:pPr>
    </w:p>
    <w:p w14:paraId="2C7DBDC0" w14:textId="5A676C7D" w:rsidR="00B46EAA" w:rsidRPr="00207577" w:rsidRDefault="00B46EAA" w:rsidP="00B46EAA">
      <w:pPr>
        <w:spacing w:line="240" w:lineRule="auto"/>
        <w:ind w:left="567" w:right="567"/>
        <w:contextualSpacing/>
        <w:rPr>
          <w:i/>
          <w:kern w:val="28"/>
          <w:szCs w:val="56"/>
        </w:rPr>
      </w:pPr>
      <w:r w:rsidRPr="00207577">
        <w:rPr>
          <w:i/>
          <w:kern w:val="28"/>
          <w:szCs w:val="56"/>
          <w:lang w:val="es-ES"/>
        </w:rPr>
        <w:t xml:space="preserve">Mtro. Fernando Daniel Cabrera </w:t>
      </w:r>
      <w:proofErr w:type="spellStart"/>
      <w:r w:rsidRPr="00207577">
        <w:rPr>
          <w:i/>
          <w:kern w:val="28"/>
          <w:szCs w:val="56"/>
          <w:lang w:val="es-ES"/>
        </w:rPr>
        <w:t>Ramirez</w:t>
      </w:r>
      <w:proofErr w:type="spellEnd"/>
      <w:r w:rsidRPr="00207577">
        <w:rPr>
          <w:i/>
          <w:kern w:val="28"/>
          <w:szCs w:val="56"/>
        </w:rPr>
        <w:t xml:space="preserve">” (sic) </w:t>
      </w:r>
    </w:p>
    <w:p w14:paraId="6EE53D46" w14:textId="77777777" w:rsidR="00B46EAA" w:rsidRPr="00207577" w:rsidRDefault="00B46EAA" w:rsidP="00B46EAA"/>
    <w:p w14:paraId="2CC76F9A" w14:textId="7DC0A2BA" w:rsidR="00B46EAA" w:rsidRPr="00207577" w:rsidRDefault="00B46EAA" w:rsidP="00B46EAA">
      <w:pPr>
        <w:autoSpaceDE w:val="0"/>
        <w:autoSpaceDN w:val="0"/>
        <w:adjustRightInd w:val="0"/>
        <w:ind w:right="-28"/>
        <w:rPr>
          <w:rFonts w:cs="Tahoma"/>
          <w:szCs w:val="22"/>
          <w:lang w:val="es-ES"/>
        </w:rPr>
      </w:pPr>
      <w:r w:rsidRPr="00207577">
        <w:rPr>
          <w:rFonts w:cs="Tahoma"/>
          <w:bCs/>
          <w:szCs w:val="22"/>
          <w:lang w:val="es-ES"/>
        </w:rPr>
        <w:t xml:space="preserve">Asimismo, </w:t>
      </w:r>
      <w:r w:rsidRPr="00207577">
        <w:rPr>
          <w:rFonts w:cs="Tahoma"/>
          <w:b/>
          <w:szCs w:val="22"/>
          <w:lang w:val="es-ES"/>
        </w:rPr>
        <w:t xml:space="preserve">EL SUJETO OBLIGADO </w:t>
      </w:r>
      <w:r w:rsidRPr="00207577">
        <w:rPr>
          <w:rFonts w:cs="Tahoma"/>
          <w:bCs/>
          <w:szCs w:val="22"/>
          <w:lang w:val="es-ES"/>
        </w:rPr>
        <w:t xml:space="preserve">adjuntó a su respuesta el archivo electrónico denominado </w:t>
      </w:r>
      <w:r w:rsidRPr="00207577">
        <w:rPr>
          <w:rFonts w:cs="Tahoma"/>
          <w:b/>
          <w:szCs w:val="22"/>
          <w:lang w:val="es-ES"/>
        </w:rPr>
        <w:t xml:space="preserve">247.pdf, </w:t>
      </w:r>
      <w:r w:rsidRPr="00207577">
        <w:rPr>
          <w:rFonts w:cs="Tahoma"/>
          <w:szCs w:val="22"/>
          <w:lang w:val="es-ES"/>
        </w:rPr>
        <w:t xml:space="preserve">el cual contiene el oficio 219C0110000/300S-UT/633/2025 del dieciséis de </w:t>
      </w:r>
      <w:r w:rsidRPr="00207577">
        <w:rPr>
          <w:rFonts w:cs="Tahoma"/>
          <w:szCs w:val="22"/>
          <w:lang w:val="es-ES"/>
        </w:rPr>
        <w:lastRenderedPageBreak/>
        <w:t xml:space="preserve">mayo de dos mil veinticinco, por medio del cual se solicitó a </w:t>
      </w:r>
      <w:r w:rsidRPr="00207577">
        <w:rPr>
          <w:rFonts w:cs="Tahoma"/>
          <w:b/>
          <w:bCs/>
          <w:szCs w:val="22"/>
          <w:lang w:val="es-ES"/>
        </w:rPr>
        <w:t xml:space="preserve">LA PARTE RECURRENTE </w:t>
      </w:r>
      <w:r w:rsidRPr="00207577">
        <w:rPr>
          <w:rFonts w:cs="Tahoma"/>
          <w:szCs w:val="22"/>
          <w:lang w:val="es-ES"/>
        </w:rPr>
        <w:t xml:space="preserve">informara a que se refería “comprobantes de todos los pagos”. </w:t>
      </w:r>
    </w:p>
    <w:p w14:paraId="7A1144FA" w14:textId="77777777" w:rsidR="00B46EAA" w:rsidRPr="00207577" w:rsidRDefault="00B46EAA" w:rsidP="00B46EAA">
      <w:pPr>
        <w:rPr>
          <w:lang w:val="es-ES"/>
        </w:rPr>
      </w:pPr>
    </w:p>
    <w:p w14:paraId="03902974" w14:textId="66E87DF3" w:rsidR="00B46EAA" w:rsidRPr="00207577" w:rsidRDefault="00A04D17" w:rsidP="00B46EAA">
      <w:pPr>
        <w:pStyle w:val="Ttulo3"/>
        <w:rPr>
          <w:rFonts w:eastAsia="Calibri"/>
          <w:lang w:eastAsia="en-US"/>
        </w:rPr>
      </w:pPr>
      <w:bookmarkStart w:id="10" w:name="_Toc165402859"/>
      <w:bookmarkStart w:id="11" w:name="_Toc201664626"/>
      <w:bookmarkStart w:id="12" w:name="_Toc207109393"/>
      <w:bookmarkStart w:id="13" w:name="_Toc210248684"/>
      <w:r w:rsidRPr="00207577">
        <w:rPr>
          <w:rFonts w:eastAsia="Calibri"/>
          <w:lang w:eastAsia="en-US"/>
        </w:rPr>
        <w:t>d</w:t>
      </w:r>
      <w:r w:rsidR="00B46EAA" w:rsidRPr="00207577">
        <w:rPr>
          <w:rFonts w:eastAsia="Calibri"/>
          <w:lang w:eastAsia="en-US"/>
        </w:rPr>
        <w:t>) Aclaración</w:t>
      </w:r>
      <w:bookmarkEnd w:id="10"/>
      <w:bookmarkEnd w:id="11"/>
      <w:bookmarkEnd w:id="12"/>
      <w:bookmarkEnd w:id="13"/>
      <w:r w:rsidR="00B46EAA" w:rsidRPr="00207577">
        <w:rPr>
          <w:rFonts w:eastAsia="Calibri"/>
          <w:lang w:eastAsia="en-US"/>
        </w:rPr>
        <w:t xml:space="preserve"> </w:t>
      </w:r>
    </w:p>
    <w:p w14:paraId="4C92F9B7" w14:textId="04EC30D6" w:rsidR="00B46EAA" w:rsidRPr="00207577" w:rsidRDefault="00B46EAA" w:rsidP="00B46EAA">
      <w:pPr>
        <w:rPr>
          <w:b/>
          <w:lang w:val="es-ES"/>
        </w:rPr>
      </w:pPr>
      <w:r w:rsidRPr="00207577">
        <w:rPr>
          <w:lang w:val="es-ES"/>
        </w:rPr>
        <w:t xml:space="preserve">El </w:t>
      </w:r>
      <w:r w:rsidRPr="00207577">
        <w:rPr>
          <w:b/>
          <w:lang w:val="es-ES"/>
        </w:rPr>
        <w:t>veintidós de mayo de dos mil veinticinco</w:t>
      </w:r>
      <w:r w:rsidRPr="00207577">
        <w:rPr>
          <w:lang w:val="es-ES"/>
        </w:rPr>
        <w:t xml:space="preserve">, </w:t>
      </w:r>
      <w:r w:rsidRPr="00207577">
        <w:rPr>
          <w:b/>
          <w:bCs/>
          <w:lang w:val="es-ES"/>
        </w:rPr>
        <w:t>LA PARTE RECURRENTE</w:t>
      </w:r>
      <w:r w:rsidRPr="00207577">
        <w:rPr>
          <w:lang w:val="es-ES"/>
        </w:rPr>
        <w:t xml:space="preserve"> atendió la solicitud de aclaración de información pública, en los siguientes términos: </w:t>
      </w:r>
    </w:p>
    <w:p w14:paraId="3D82D29F" w14:textId="77777777" w:rsidR="00B46EAA" w:rsidRPr="00207577" w:rsidRDefault="00B46EAA" w:rsidP="00B46EAA">
      <w:pPr>
        <w:rPr>
          <w:lang w:val="es-ES"/>
        </w:rPr>
      </w:pPr>
    </w:p>
    <w:p w14:paraId="5ED7023D" w14:textId="05D0C3E5" w:rsidR="00B46EAA" w:rsidRPr="00207577" w:rsidRDefault="00B46EAA" w:rsidP="00B46EAA">
      <w:pPr>
        <w:spacing w:line="240" w:lineRule="auto"/>
        <w:ind w:left="567" w:right="567"/>
        <w:contextualSpacing/>
        <w:rPr>
          <w:i/>
          <w:kern w:val="28"/>
          <w:szCs w:val="56"/>
          <w:lang w:val="es-ES"/>
        </w:rPr>
      </w:pPr>
      <w:r w:rsidRPr="00207577">
        <w:rPr>
          <w:i/>
          <w:kern w:val="28"/>
          <w:szCs w:val="56"/>
          <w:lang w:val="es-ES"/>
        </w:rPr>
        <w:t>“</w:t>
      </w:r>
      <w:r w:rsidRPr="00207577">
        <w:rPr>
          <w:i/>
          <w:kern w:val="28"/>
          <w:szCs w:val="56"/>
        </w:rPr>
        <w:t xml:space="preserve">Todo lo contrario de lo que señala el sujeto obligado, la solicitud es exacta y puntual al señalar que se requieren todos los comprobantes y </w:t>
      </w:r>
      <w:proofErr w:type="spellStart"/>
      <w:r w:rsidRPr="00207577">
        <w:rPr>
          <w:i/>
          <w:kern w:val="28"/>
          <w:szCs w:val="56"/>
        </w:rPr>
        <w:t>polizas</w:t>
      </w:r>
      <w:proofErr w:type="spellEnd"/>
      <w:r w:rsidRPr="00207577">
        <w:rPr>
          <w:i/>
          <w:kern w:val="28"/>
          <w:szCs w:val="56"/>
        </w:rPr>
        <w:t xml:space="preserve"> de los pagos realizados por el sujeto obligado durante el mes indicado y con esto me refiero a los comprobantes de las transferencias </w:t>
      </w:r>
      <w:proofErr w:type="spellStart"/>
      <w:r w:rsidRPr="00207577">
        <w:rPr>
          <w:i/>
          <w:kern w:val="28"/>
          <w:szCs w:val="56"/>
        </w:rPr>
        <w:t>electronicas</w:t>
      </w:r>
      <w:proofErr w:type="spellEnd"/>
      <w:r w:rsidRPr="00207577">
        <w:rPr>
          <w:i/>
          <w:kern w:val="28"/>
          <w:szCs w:val="56"/>
        </w:rPr>
        <w:t xml:space="preserve"> y a las pólizas que acreditan los pagos mediante cheques</w:t>
      </w:r>
      <w:r w:rsidRPr="00207577">
        <w:rPr>
          <w:i/>
          <w:kern w:val="28"/>
          <w:szCs w:val="56"/>
          <w:lang w:val="es-ES"/>
        </w:rPr>
        <w:t>”</w:t>
      </w:r>
    </w:p>
    <w:p w14:paraId="1ADDEDC9" w14:textId="77777777" w:rsidR="00B46EAA" w:rsidRPr="00207577" w:rsidRDefault="00B46EAA" w:rsidP="00B46EAA"/>
    <w:p w14:paraId="5EC11A37" w14:textId="01047C83" w:rsidR="00D02A55" w:rsidRPr="00207577" w:rsidRDefault="00A04D17" w:rsidP="00D02A55">
      <w:pPr>
        <w:pStyle w:val="Ttulo3"/>
      </w:pPr>
      <w:bookmarkStart w:id="14" w:name="_Toc192675139"/>
      <w:bookmarkStart w:id="15" w:name="_Toc202962446"/>
      <w:bookmarkStart w:id="16" w:name="_Toc210248685"/>
      <w:r w:rsidRPr="00207577">
        <w:t>e</w:t>
      </w:r>
      <w:r w:rsidR="00D02A55" w:rsidRPr="00207577">
        <w:t>) Turno de la solicitud de información</w:t>
      </w:r>
      <w:bookmarkEnd w:id="14"/>
      <w:bookmarkEnd w:id="15"/>
      <w:bookmarkEnd w:id="16"/>
    </w:p>
    <w:p w14:paraId="3117ABB0" w14:textId="559A73B7" w:rsidR="00D02A55" w:rsidRPr="00207577" w:rsidRDefault="00D02A55" w:rsidP="00D02A55">
      <w:pPr>
        <w:rPr>
          <w:color w:val="000000" w:themeColor="text1"/>
        </w:rPr>
      </w:pPr>
      <w:r w:rsidRPr="00207577">
        <w:rPr>
          <w:color w:val="000000" w:themeColor="text1"/>
        </w:rPr>
        <w:t xml:space="preserve">En cumplimiento al artículo 162 de la Ley de Transparencia y Acceso a la Información Pública del Estado de México y Municipios, el </w:t>
      </w:r>
      <w:r w:rsidRPr="00207577">
        <w:rPr>
          <w:rFonts w:eastAsia="Palatino Linotype" w:cs="Palatino Linotype"/>
          <w:b/>
        </w:rPr>
        <w:t>veintidós de mayo de dos mil veinticinco</w:t>
      </w:r>
      <w:r w:rsidRPr="00207577">
        <w:rPr>
          <w:color w:val="000000" w:themeColor="text1"/>
        </w:rPr>
        <w:t xml:space="preserve">, el Titular de la Unidad de Transparencia del </w:t>
      </w:r>
      <w:r w:rsidRPr="00207577">
        <w:rPr>
          <w:b/>
          <w:color w:val="000000" w:themeColor="text1"/>
        </w:rPr>
        <w:t>SUJETO OBLIGADO</w:t>
      </w:r>
      <w:r w:rsidRPr="00207577">
        <w:rPr>
          <w:color w:val="000000" w:themeColor="text1"/>
        </w:rPr>
        <w:t xml:space="preserve"> turnó la solicitud de información al servidor público habilitado que estimó pertinente.</w:t>
      </w:r>
    </w:p>
    <w:p w14:paraId="2A5D7793" w14:textId="77777777" w:rsidR="00D02A55" w:rsidRPr="00207577" w:rsidRDefault="00D02A55" w:rsidP="00B46EAA"/>
    <w:p w14:paraId="260D2327" w14:textId="6349C009" w:rsidR="00B46EAA" w:rsidRPr="00207577" w:rsidRDefault="00A04D17" w:rsidP="00A04D17">
      <w:pPr>
        <w:pStyle w:val="Ttulo3"/>
      </w:pPr>
      <w:bookmarkStart w:id="17" w:name="_Toc194320797"/>
      <w:bookmarkStart w:id="18" w:name="_Toc202962447"/>
      <w:bookmarkStart w:id="19" w:name="_Toc210248686"/>
      <w:r w:rsidRPr="00207577">
        <w:t>f</w:t>
      </w:r>
      <w:r w:rsidR="00B46EAA" w:rsidRPr="00207577">
        <w:t>) Prórroga</w:t>
      </w:r>
      <w:bookmarkEnd w:id="17"/>
      <w:bookmarkEnd w:id="18"/>
      <w:bookmarkEnd w:id="19"/>
    </w:p>
    <w:p w14:paraId="610A52AD" w14:textId="21773A58" w:rsidR="00B46EAA" w:rsidRPr="00207577" w:rsidRDefault="00B46EAA" w:rsidP="00B46EAA">
      <w:r w:rsidRPr="00207577">
        <w:t xml:space="preserve">De las constancias que obran en </w:t>
      </w:r>
      <w:r w:rsidRPr="00207577">
        <w:rPr>
          <w:b/>
        </w:rPr>
        <w:t>EL SAIMEX</w:t>
      </w:r>
      <w:r w:rsidRPr="00207577">
        <w:t xml:space="preserve">, se advierte que el </w:t>
      </w:r>
      <w:r w:rsidRPr="00207577">
        <w:rPr>
          <w:b/>
          <w:bCs/>
        </w:rPr>
        <w:t>doce de junio de dos mil veinticinco</w:t>
      </w:r>
      <w:r w:rsidRPr="00207577">
        <w:t xml:space="preserve">, </w:t>
      </w:r>
      <w:r w:rsidRPr="00207577">
        <w:rPr>
          <w:b/>
          <w:bCs/>
        </w:rPr>
        <w:t>EL SUJETO OBLIGADO</w:t>
      </w:r>
      <w:r w:rsidRPr="00207577">
        <w:t xml:space="preserve"> notificó</w:t>
      </w:r>
      <w:r w:rsidRPr="00207577">
        <w:rPr>
          <w:rFonts w:eastAsia="Calibri"/>
          <w:lang w:eastAsia="en-US"/>
        </w:rPr>
        <w:t xml:space="preserve"> </w:t>
      </w:r>
      <w:r w:rsidRPr="00207577">
        <w:t xml:space="preserve">una prórroga de siete días para dar respuesta a la solicitud de información planteada por </w:t>
      </w:r>
      <w:r w:rsidRPr="00207577">
        <w:rPr>
          <w:b/>
          <w:bCs/>
        </w:rPr>
        <w:t>LA PARTE RECURRENTE</w:t>
      </w:r>
      <w:r w:rsidRPr="00207577">
        <w:t>, en los siguientes términos:</w:t>
      </w:r>
    </w:p>
    <w:p w14:paraId="6412A9F0" w14:textId="77777777" w:rsidR="00B46EAA" w:rsidRPr="00207577" w:rsidRDefault="00B46EAA" w:rsidP="00B46EAA"/>
    <w:p w14:paraId="13D54D1D" w14:textId="77777777" w:rsidR="00B46EAA" w:rsidRPr="00207577" w:rsidRDefault="00B46EAA" w:rsidP="00B46EAA">
      <w:pPr>
        <w:spacing w:line="240" w:lineRule="auto"/>
        <w:ind w:left="567" w:right="567"/>
        <w:contextualSpacing/>
        <w:rPr>
          <w:rFonts w:eastAsiaTheme="majorEastAsia" w:cstheme="majorBidi"/>
          <w:i/>
          <w:kern w:val="28"/>
          <w:szCs w:val="56"/>
        </w:rPr>
      </w:pPr>
      <w:r w:rsidRPr="00207577">
        <w:rPr>
          <w:rFonts w:eastAsiaTheme="majorEastAsia" w:cstheme="majorBidi"/>
          <w:i/>
          <w:kern w:val="28"/>
          <w:szCs w:val="56"/>
        </w:rPr>
        <w:t xml:space="preserve">“Con fundamento en el artículo 163 de la Ley de Transparencia y Acceso a la Información Pública del Estado de México y Municipios, se le hace de su conocimiento que el plazo de </w:t>
      </w:r>
      <w:r w:rsidRPr="00207577">
        <w:rPr>
          <w:rFonts w:eastAsiaTheme="majorEastAsia" w:cstheme="majorBidi"/>
          <w:i/>
          <w:kern w:val="28"/>
          <w:szCs w:val="56"/>
        </w:rPr>
        <w:lastRenderedPageBreak/>
        <w:t>15 días hábiles para atender su solicitud de información ha sido prorrogado por 7 días en virtud de las siguientes razones:</w:t>
      </w:r>
    </w:p>
    <w:p w14:paraId="6DEB0543" w14:textId="77777777" w:rsidR="00B46EAA" w:rsidRPr="00207577" w:rsidRDefault="00B46EAA" w:rsidP="00B46EAA">
      <w:pPr>
        <w:spacing w:line="240" w:lineRule="auto"/>
        <w:ind w:left="567" w:right="567"/>
        <w:contextualSpacing/>
        <w:rPr>
          <w:rFonts w:eastAsiaTheme="majorEastAsia" w:cstheme="majorBidi"/>
          <w:i/>
          <w:kern w:val="28"/>
          <w:szCs w:val="56"/>
        </w:rPr>
      </w:pPr>
    </w:p>
    <w:p w14:paraId="78FC0E00" w14:textId="77777777" w:rsidR="00B46EAA" w:rsidRPr="00207577" w:rsidRDefault="00B46EAA" w:rsidP="00B46EAA">
      <w:pPr>
        <w:spacing w:line="240" w:lineRule="auto"/>
        <w:ind w:left="567" w:right="567"/>
        <w:contextualSpacing/>
        <w:rPr>
          <w:rFonts w:eastAsiaTheme="majorEastAsia" w:cstheme="majorBidi"/>
          <w:i/>
          <w:kern w:val="28"/>
          <w:szCs w:val="56"/>
        </w:rPr>
      </w:pPr>
      <w:r w:rsidRPr="00207577">
        <w:rPr>
          <w:rFonts w:eastAsiaTheme="majorEastAsia" w:cstheme="majorBidi"/>
          <w:i/>
          <w:kern w:val="28"/>
          <w:szCs w:val="56"/>
        </w:rPr>
        <w:t xml:space="preserve">Oficio No. 219C0110010000S/764/2025 Naucalpan de Juárez, Estado de México 12 de junio de 2025 MTRA. ERIKA CASTRO FLORES DIRECTORA GENERAL DE ADMINISTRACIÓN Y FINANZAS PRESENTE En atención a su oficio 219C0117L/1232/2025, mediante el cual plantea la necesidad de ampliar de plazo para dar respuesta a la solicitud de acceso a la información pública 00247/CAEM/IP/2025, atendiendo al volumen de información que se requiere analizar, para verificar si contienen información susceptible de clasificación de acuerdo con la Ley General y la Ley Estatal, ambas de Transparencia y Acceso a la Información Pública para, en su caso, generar las versiones públicas correspondientes, y así permitir al peticionario tener acceso a la documentación, le informo lo siguiente: Al tener conocimiento de su solicitud, la Unidad de Transparencia convocó al Comité de Transparencia de la CAEM para que analizara la procedencia de su requerimiento, y de ser el caso, confirmar la ampliación de plazo para dar respuesta a la solicitud que nos ocupa. En consecuencia, el 12 de junio de 2025, en sesión extraordinaria 161-E los integrantes del Comité de Transparencia de la CAEM estimaron acertado que dicha área cuente con el tiempo necesario para continuar con la revisión exhaustiva de las documentales relacionada con la solicitud ingresada mediante el sistema SAIMEX, a la que se le asignó el folio 00247/CAEM/IP/2025, con el objeto de determinar si, en su caso, contienen información susceptible de clasificarse como reservada o confidencial y, en consecuencia, elaborar las versiones públicas correspondientes, ya que se advirtió que la información requerida consta de un número importante de documentos que deben ser revisados y analizados de manera minuciosa para que se pueda determinar si alguno de los datos pudiera actualizar alguna causal de reserva o confidencialidad de conformidad con las hipótesis previstas en las leyes en la materia. Por lo tanto, con fundamento en el artículo 132, segundo párrafo, de la Ley General de Transparencia y Acceso a la Información Pública y 163 segundo párrafo de la Ley de Transparencia y Acceso a la Información Pública del Estado de México y Municipios, me permito informarle que la prórroga al plazo de entrega de la respuesta a la solicitud de acceso a la información 00247/CAEM/IP/2025, fue aprobada, por hasta 7 días hábiles, tal como quedó establecido en acuerdo siguiente: COMINFORM 0161-E-12062025-03 Con fundamento en lo dispuesto por los artículos 47 y 49, fracciones II de la Ley de Transparencia y Acceso a la Información Pública del Estado de México y Municipios, los integrantes del Comité de Transparencia el Comité de Transparencia determinan como procedente la solicitud de ampliación de plazo para dar cumplimiento a la entrega de información de la solicitud ingresada mediante el sistema SAIMEX, con número de folio 00247/CAEM/IP/2025, solicitada por el Servidor Público Habilitado de la Dirección General de Administración y Finanzas, por lo que con base en los artículos 49 fracción II y 163 de la Ley de </w:t>
      </w:r>
      <w:r w:rsidRPr="00207577">
        <w:rPr>
          <w:rFonts w:eastAsiaTheme="majorEastAsia" w:cstheme="majorBidi"/>
          <w:i/>
          <w:kern w:val="28"/>
          <w:szCs w:val="56"/>
        </w:rPr>
        <w:lastRenderedPageBreak/>
        <w:t>Transparencia y Acceso a la Información Pública del Estado de México y Municipios, se aprueba ampliar el plazo de atención hasta por siete días hábiles, plazo que comienza a transcurrir a partir del 13 de junio y fenece el 23 de junio, ambos de 2025. Sin otro particular por el momento, aprovecho la ocasión para enviarles un cordial saludo. A T E N T A M E N T E FERNANDO DANIEL CABRERA RAMÍREZ TITULAR DE LA UNIDAD DE TRANSPARENCIA</w:t>
      </w:r>
    </w:p>
    <w:p w14:paraId="2DED4314" w14:textId="77777777" w:rsidR="00B46EAA" w:rsidRPr="00207577" w:rsidRDefault="00B46EAA" w:rsidP="00B46EAA">
      <w:pPr>
        <w:spacing w:line="240" w:lineRule="auto"/>
        <w:ind w:left="567" w:right="567"/>
        <w:contextualSpacing/>
        <w:rPr>
          <w:rFonts w:eastAsiaTheme="majorEastAsia" w:cstheme="majorBidi"/>
          <w:i/>
          <w:kern w:val="28"/>
          <w:szCs w:val="56"/>
        </w:rPr>
      </w:pPr>
    </w:p>
    <w:p w14:paraId="78B2063D" w14:textId="77777777" w:rsidR="00B46EAA" w:rsidRPr="00207577" w:rsidRDefault="00B46EAA" w:rsidP="00B46EAA">
      <w:pPr>
        <w:spacing w:line="240" w:lineRule="auto"/>
        <w:ind w:left="567" w:right="567"/>
        <w:contextualSpacing/>
        <w:rPr>
          <w:rFonts w:eastAsiaTheme="majorEastAsia" w:cstheme="majorBidi"/>
          <w:i/>
          <w:kern w:val="28"/>
          <w:szCs w:val="56"/>
        </w:rPr>
      </w:pPr>
      <w:r w:rsidRPr="00207577">
        <w:rPr>
          <w:rFonts w:eastAsiaTheme="majorEastAsia" w:cstheme="majorBidi"/>
          <w:i/>
          <w:kern w:val="28"/>
          <w:szCs w:val="56"/>
        </w:rPr>
        <w:t xml:space="preserve">Mtro. Fernando Daniel Cabrera </w:t>
      </w:r>
      <w:proofErr w:type="spellStart"/>
      <w:r w:rsidRPr="00207577">
        <w:rPr>
          <w:rFonts w:eastAsiaTheme="majorEastAsia" w:cstheme="majorBidi"/>
          <w:i/>
          <w:kern w:val="28"/>
          <w:szCs w:val="56"/>
        </w:rPr>
        <w:t>Ramirez</w:t>
      </w:r>
      <w:proofErr w:type="spellEnd"/>
    </w:p>
    <w:p w14:paraId="78F31D8F" w14:textId="60A65642" w:rsidR="00B46EAA" w:rsidRPr="00207577" w:rsidRDefault="00B46EAA" w:rsidP="00B46EAA">
      <w:pPr>
        <w:spacing w:line="240" w:lineRule="auto"/>
        <w:ind w:left="567" w:right="567"/>
        <w:contextualSpacing/>
        <w:rPr>
          <w:rFonts w:eastAsiaTheme="majorEastAsia" w:cstheme="majorBidi"/>
          <w:i/>
          <w:kern w:val="28"/>
          <w:szCs w:val="56"/>
        </w:rPr>
      </w:pPr>
      <w:r w:rsidRPr="00207577">
        <w:rPr>
          <w:rFonts w:eastAsiaTheme="majorEastAsia" w:cstheme="majorBidi"/>
          <w:b/>
          <w:bCs/>
          <w:i/>
          <w:kern w:val="28"/>
          <w:szCs w:val="56"/>
        </w:rPr>
        <w:t>Responsable de la Unidad de Transparencia</w:t>
      </w:r>
      <w:r w:rsidRPr="00207577">
        <w:rPr>
          <w:rFonts w:eastAsiaTheme="majorEastAsia" w:cstheme="majorBidi"/>
          <w:i/>
          <w:kern w:val="28"/>
          <w:szCs w:val="56"/>
        </w:rPr>
        <w:t>”</w:t>
      </w:r>
    </w:p>
    <w:p w14:paraId="21C1DEE0" w14:textId="77777777" w:rsidR="00B46EAA" w:rsidRPr="00207577" w:rsidRDefault="00B46EAA" w:rsidP="00B46EAA"/>
    <w:p w14:paraId="25900ED1" w14:textId="2B3E0458" w:rsidR="00B46EAA" w:rsidRPr="00207577" w:rsidRDefault="00B46EAA" w:rsidP="00B46EAA">
      <w:r w:rsidRPr="00207577">
        <w:t xml:space="preserve">Asimismo, en el expediente que obra en </w:t>
      </w:r>
      <w:r w:rsidRPr="00207577">
        <w:rPr>
          <w:b/>
          <w:bCs/>
        </w:rPr>
        <w:t>EL</w:t>
      </w:r>
      <w:r w:rsidRPr="00207577">
        <w:t xml:space="preserve"> </w:t>
      </w:r>
      <w:r w:rsidRPr="00207577">
        <w:rPr>
          <w:b/>
        </w:rPr>
        <w:t>SAIMEX</w:t>
      </w:r>
      <w:r w:rsidRPr="00207577">
        <w:t xml:space="preserve"> se advierte que </w:t>
      </w:r>
      <w:r w:rsidRPr="00207577">
        <w:rPr>
          <w:b/>
        </w:rPr>
        <w:t>EL SUJETO OBLIGADO</w:t>
      </w:r>
      <w:r w:rsidRPr="00207577">
        <w:t xml:space="preserve"> acompañó a la solicitud de prórroga el archivo electrónico denominado </w:t>
      </w:r>
      <w:r w:rsidRPr="00207577">
        <w:rPr>
          <w:b/>
          <w:i/>
          <w:iCs/>
        </w:rPr>
        <w:t xml:space="preserve">247.pdf, </w:t>
      </w:r>
      <w:r w:rsidRPr="00207577">
        <w:t>el cual contiene el Oficio 219C0110010000S/764/2025 del doce de junio de dos mil veinticinco, por medio del cual el Titular de la Unidad de Transparencia, hace del conocimiento que fue aprobado por el Comité de Transparencia, la ampliación de plazo para dar respuesta a la solicitud materia de estudio.</w:t>
      </w:r>
    </w:p>
    <w:p w14:paraId="6D3BDA5E" w14:textId="77777777" w:rsidR="00B46EAA" w:rsidRPr="00207577" w:rsidRDefault="00B46EAA" w:rsidP="00B46EAA"/>
    <w:p w14:paraId="6B6C8E0E" w14:textId="48C31F16" w:rsidR="00B46EAA" w:rsidRPr="00207577" w:rsidRDefault="00A04D17" w:rsidP="00B46EAA">
      <w:pPr>
        <w:pStyle w:val="Ttulo3"/>
        <w:rPr>
          <w:rFonts w:eastAsia="Calibri"/>
          <w:lang w:eastAsia="en-US"/>
        </w:rPr>
      </w:pPr>
      <w:bookmarkStart w:id="20" w:name="_Toc207040170"/>
      <w:bookmarkStart w:id="21" w:name="_Toc207648181"/>
      <w:bookmarkStart w:id="22" w:name="_Toc210248687"/>
      <w:r w:rsidRPr="00207577">
        <w:rPr>
          <w:rFonts w:eastAsia="Calibri"/>
          <w:lang w:eastAsia="en-US"/>
        </w:rPr>
        <w:t>g</w:t>
      </w:r>
      <w:r w:rsidR="00B46EAA" w:rsidRPr="00207577">
        <w:rPr>
          <w:rFonts w:eastAsia="Calibri"/>
          <w:lang w:eastAsia="en-US"/>
        </w:rPr>
        <w:t xml:space="preserve">). </w:t>
      </w:r>
      <w:bookmarkEnd w:id="20"/>
      <w:r w:rsidR="00B46EAA" w:rsidRPr="00207577">
        <w:rPr>
          <w:rFonts w:eastAsia="Calibri"/>
          <w:lang w:eastAsia="en-US"/>
        </w:rPr>
        <w:t>Respuesta del Sujeto Obligado</w:t>
      </w:r>
      <w:bookmarkEnd w:id="21"/>
      <w:bookmarkEnd w:id="22"/>
    </w:p>
    <w:p w14:paraId="3E929105" w14:textId="3EF7E2DB" w:rsidR="00B46EAA" w:rsidRPr="00207577" w:rsidRDefault="00B46EAA" w:rsidP="00B46EAA">
      <w:pPr>
        <w:rPr>
          <w:lang w:val="es-ES"/>
        </w:rPr>
      </w:pPr>
      <w:r w:rsidRPr="00207577">
        <w:rPr>
          <w:lang w:val="es-ES"/>
        </w:rPr>
        <w:t xml:space="preserve">El </w:t>
      </w:r>
      <w:r w:rsidR="00D02A55" w:rsidRPr="00207577">
        <w:rPr>
          <w:b/>
          <w:bCs/>
          <w:lang w:val="es-ES"/>
        </w:rPr>
        <w:t xml:space="preserve">veinte de junio de dos mil </w:t>
      </w:r>
      <w:r w:rsidRPr="00207577">
        <w:rPr>
          <w:b/>
          <w:bCs/>
          <w:lang w:val="es-ES"/>
        </w:rPr>
        <w:t>veinticinco</w:t>
      </w:r>
      <w:r w:rsidRPr="00207577">
        <w:rPr>
          <w:lang w:val="es-ES"/>
        </w:rPr>
        <w:t xml:space="preserve">, el Titular de la Unidad de Transparencia del </w:t>
      </w:r>
      <w:r w:rsidRPr="00207577">
        <w:rPr>
          <w:b/>
          <w:lang w:val="es-ES"/>
        </w:rPr>
        <w:t>SUJETO OBLIGADO</w:t>
      </w:r>
      <w:r w:rsidRPr="00207577">
        <w:rPr>
          <w:lang w:val="es-ES"/>
        </w:rPr>
        <w:t xml:space="preserve"> notificó la siguiente respuesta a través del </w:t>
      </w:r>
      <w:r w:rsidRPr="00207577">
        <w:rPr>
          <w:b/>
          <w:lang w:val="es-ES"/>
        </w:rPr>
        <w:t>SAIMEX</w:t>
      </w:r>
      <w:r w:rsidRPr="00207577">
        <w:rPr>
          <w:lang w:val="es-ES"/>
        </w:rPr>
        <w:t>:</w:t>
      </w:r>
    </w:p>
    <w:p w14:paraId="17D22FE1" w14:textId="77777777" w:rsidR="00B46EAA" w:rsidRPr="00207577" w:rsidRDefault="00B46EAA" w:rsidP="00B46EAA"/>
    <w:p w14:paraId="1D31100C" w14:textId="77777777" w:rsidR="00D02A55" w:rsidRPr="00207577" w:rsidRDefault="00B46EAA" w:rsidP="00D02A55">
      <w:pPr>
        <w:pStyle w:val="Puesto"/>
      </w:pPr>
      <w:r w:rsidRPr="00207577">
        <w:t>“</w:t>
      </w:r>
      <w:r w:rsidR="00D02A55" w:rsidRPr="00207577">
        <w:t>En respuesta a la solicitud recibida, nos permitimos hacer de su conocimiento que con fundamento en el artículo 53, Fracciones: II, V y VI de la Ley de Transparencia y Acceso a la Información Pública del Estado de México y Municipios, le contestamos que:</w:t>
      </w:r>
    </w:p>
    <w:p w14:paraId="5E0E5E84" w14:textId="77777777" w:rsidR="00D02A55" w:rsidRPr="00207577" w:rsidRDefault="00D02A55" w:rsidP="00D02A55"/>
    <w:p w14:paraId="7E415E4B" w14:textId="77777777" w:rsidR="00D02A55" w:rsidRPr="00207577" w:rsidRDefault="00D02A55" w:rsidP="00D02A55">
      <w:pPr>
        <w:pStyle w:val="Puesto"/>
      </w:pPr>
      <w:r w:rsidRPr="00207577">
        <w:t xml:space="preserve">Oficio No. 219C0110000300S-UT/0799/2025 Naucalpan de Juárez, Estado de México 18 de junio de 2025 ESTIMADO PETICIONARIO FOLIO DE LA SOLICITUD: 00247/CAEM/IP/2025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w:t>
      </w:r>
      <w:r w:rsidRPr="00207577">
        <w:lastRenderedPageBreak/>
        <w:t xml:space="preserve">Estado de México vía electrónica se ha registrado con el número de folio 00247/CAEM/IP/2025, misma que a la letra dice: “solicito copia simple digitalizada a través del sistema electrónico </w:t>
      </w:r>
      <w:proofErr w:type="spellStart"/>
      <w:r w:rsidRPr="00207577">
        <w:t>saimex</w:t>
      </w:r>
      <w:proofErr w:type="spellEnd"/>
      <w:r w:rsidRPr="00207577">
        <w:t xml:space="preserve"> de las pólizas y/o comprobantes digitales de pagos realizados a particulares vía cheque o transferencia electrónica durante el mes de abril de 2025.” (</w:t>
      </w:r>
      <w:proofErr w:type="gramStart"/>
      <w:r w:rsidRPr="00207577">
        <w:t>sic</w:t>
      </w:r>
      <w:proofErr w:type="gramEnd"/>
      <w:r w:rsidRPr="00207577">
        <w:t>) Por lo anterior, comparto con usted la respuesta por parte de la Dirección General de Administración y Finanzas con numero de oficio 219C0117L/1396/2025, en la que se remiten las versiones públicas de los comprobantes de pago que permiten atender la solicitud, anexando el razonamiento lógico jurídico para clasificar la información como confidencial, así como el cuadro de clasificación correspondiente a lo anterior. Mencionado que dicha clasificación de información fue aprobada ante el Comité de Transparencia en la sesión extraordinaria No. 162-E y a la que recae el acuerdo COMINFORM 162-E-20062025-05. Sin otro particular por el momento, aprovecho la ocasión para enviarle un cordial saludo. A T E N T A M E N T E MAESTRO FERNANDO DANIEL CABRERA RAMIREZ TITULAR DE LA UNIDAD DE TRANSPARENCIA</w:t>
      </w:r>
    </w:p>
    <w:p w14:paraId="64856952" w14:textId="77777777" w:rsidR="00D02A55" w:rsidRPr="00207577" w:rsidRDefault="00D02A55" w:rsidP="00D02A55"/>
    <w:p w14:paraId="2CCB5D75" w14:textId="77777777" w:rsidR="00D02A55" w:rsidRPr="00207577" w:rsidRDefault="00D02A55" w:rsidP="00D02A55">
      <w:pPr>
        <w:pStyle w:val="Puesto"/>
      </w:pPr>
      <w:r w:rsidRPr="00207577">
        <w:t>ATENTAMENTE</w:t>
      </w:r>
    </w:p>
    <w:p w14:paraId="52015015" w14:textId="10CD0EE0" w:rsidR="00B46EAA" w:rsidRPr="00207577" w:rsidRDefault="00D02A55" w:rsidP="00D02A55">
      <w:pPr>
        <w:pStyle w:val="Puesto"/>
      </w:pPr>
      <w:r w:rsidRPr="00207577">
        <w:t xml:space="preserve">Mtro. Fernando Daniel Cabrera </w:t>
      </w:r>
      <w:proofErr w:type="spellStart"/>
      <w:r w:rsidRPr="00207577">
        <w:t>Ramirez</w:t>
      </w:r>
      <w:proofErr w:type="spellEnd"/>
      <w:r w:rsidR="00B46EAA" w:rsidRPr="00207577">
        <w:t>” (sic)</w:t>
      </w:r>
    </w:p>
    <w:p w14:paraId="176A1431" w14:textId="77777777" w:rsidR="00B46EAA" w:rsidRPr="00207577" w:rsidRDefault="00B46EAA" w:rsidP="00B46EAA"/>
    <w:p w14:paraId="3E33421A" w14:textId="77777777" w:rsidR="00D02A55" w:rsidRPr="00207577" w:rsidRDefault="00B46EAA" w:rsidP="00B46EAA">
      <w:pPr>
        <w:autoSpaceDE w:val="0"/>
        <w:autoSpaceDN w:val="0"/>
        <w:adjustRightInd w:val="0"/>
        <w:ind w:right="-28"/>
        <w:rPr>
          <w:rFonts w:cs="Tahoma"/>
          <w:bCs/>
          <w:szCs w:val="22"/>
          <w:lang w:val="es-ES"/>
        </w:rPr>
      </w:pPr>
      <w:r w:rsidRPr="00207577">
        <w:rPr>
          <w:rFonts w:cs="Tahoma"/>
          <w:bCs/>
          <w:szCs w:val="22"/>
          <w:lang w:val="es-ES"/>
        </w:rPr>
        <w:t xml:space="preserve">Asimismo, </w:t>
      </w:r>
      <w:r w:rsidRPr="00207577">
        <w:rPr>
          <w:rFonts w:cs="Tahoma"/>
          <w:b/>
          <w:szCs w:val="22"/>
          <w:lang w:val="es-ES"/>
        </w:rPr>
        <w:t xml:space="preserve">EL SUJETO OBLIGADO </w:t>
      </w:r>
      <w:r w:rsidRPr="00207577">
        <w:rPr>
          <w:rFonts w:cs="Tahoma"/>
          <w:bCs/>
          <w:szCs w:val="22"/>
          <w:lang w:val="es-ES"/>
        </w:rPr>
        <w:t xml:space="preserve">adjuntó a su respuesta </w:t>
      </w:r>
      <w:r w:rsidR="00D02A55" w:rsidRPr="00207577">
        <w:rPr>
          <w:rFonts w:cs="Tahoma"/>
          <w:bCs/>
          <w:szCs w:val="22"/>
          <w:lang w:val="es-ES"/>
        </w:rPr>
        <w:t>los</w:t>
      </w:r>
      <w:r w:rsidRPr="00207577">
        <w:rPr>
          <w:rFonts w:cs="Tahoma"/>
          <w:bCs/>
          <w:szCs w:val="22"/>
          <w:lang w:val="es-ES"/>
        </w:rPr>
        <w:t xml:space="preserve"> archivo</w:t>
      </w:r>
      <w:r w:rsidR="00D02A55" w:rsidRPr="00207577">
        <w:rPr>
          <w:rFonts w:cs="Tahoma"/>
          <w:bCs/>
          <w:szCs w:val="22"/>
          <w:lang w:val="es-ES"/>
        </w:rPr>
        <w:t>s</w:t>
      </w:r>
      <w:r w:rsidRPr="00207577">
        <w:rPr>
          <w:rFonts w:cs="Tahoma"/>
          <w:bCs/>
          <w:szCs w:val="22"/>
          <w:lang w:val="es-ES"/>
        </w:rPr>
        <w:t xml:space="preserve"> electrónico</w:t>
      </w:r>
      <w:r w:rsidR="00D02A55" w:rsidRPr="00207577">
        <w:rPr>
          <w:rFonts w:cs="Tahoma"/>
          <w:bCs/>
          <w:szCs w:val="22"/>
          <w:lang w:val="es-ES"/>
        </w:rPr>
        <w:t>s</w:t>
      </w:r>
      <w:r w:rsidRPr="00207577">
        <w:rPr>
          <w:rFonts w:cs="Tahoma"/>
          <w:bCs/>
          <w:szCs w:val="22"/>
          <w:lang w:val="es-ES"/>
        </w:rPr>
        <w:t xml:space="preserve"> </w:t>
      </w:r>
      <w:r w:rsidR="00D02A55" w:rsidRPr="00207577">
        <w:rPr>
          <w:rFonts w:cs="Tahoma"/>
          <w:bCs/>
          <w:szCs w:val="22"/>
          <w:lang w:val="es-ES"/>
        </w:rPr>
        <w:t xml:space="preserve">que a continuación se describen: </w:t>
      </w:r>
    </w:p>
    <w:p w14:paraId="56D0CA97" w14:textId="77777777" w:rsidR="00D02A55" w:rsidRPr="00207577" w:rsidRDefault="00D02A55" w:rsidP="00B46EAA">
      <w:pPr>
        <w:autoSpaceDE w:val="0"/>
        <w:autoSpaceDN w:val="0"/>
        <w:adjustRightInd w:val="0"/>
        <w:ind w:right="-28"/>
        <w:rPr>
          <w:rFonts w:cs="Tahoma"/>
          <w:bCs/>
          <w:szCs w:val="22"/>
          <w:lang w:val="es-ES"/>
        </w:rPr>
      </w:pPr>
    </w:p>
    <w:p w14:paraId="4925A9E2" w14:textId="77777777" w:rsidR="00811249" w:rsidRPr="00207577" w:rsidRDefault="00D02A55" w:rsidP="00D02A55">
      <w:pPr>
        <w:pStyle w:val="Prrafodelista"/>
        <w:numPr>
          <w:ilvl w:val="0"/>
          <w:numId w:val="3"/>
        </w:numPr>
        <w:autoSpaceDE w:val="0"/>
        <w:autoSpaceDN w:val="0"/>
        <w:adjustRightInd w:val="0"/>
        <w:ind w:right="-28"/>
        <w:rPr>
          <w:rFonts w:cs="Tahoma"/>
          <w:b/>
          <w:bCs/>
          <w:i/>
          <w:iCs/>
          <w:szCs w:val="22"/>
        </w:rPr>
      </w:pPr>
      <w:r w:rsidRPr="00207577">
        <w:rPr>
          <w:rFonts w:cs="Tahoma"/>
          <w:b/>
          <w:bCs/>
          <w:i/>
          <w:iCs/>
          <w:szCs w:val="22"/>
        </w:rPr>
        <w:t xml:space="preserve">247 CAEM IP 2025 </w:t>
      </w:r>
      <w:proofErr w:type="spellStart"/>
      <w:r w:rsidRPr="00207577">
        <w:rPr>
          <w:rFonts w:cs="Tahoma"/>
          <w:b/>
          <w:bCs/>
          <w:i/>
          <w:iCs/>
          <w:szCs w:val="22"/>
        </w:rPr>
        <w:t>TESTADO.rar</w:t>
      </w:r>
      <w:proofErr w:type="spellEnd"/>
      <w:r w:rsidRPr="00207577">
        <w:rPr>
          <w:rFonts w:cs="Tahoma"/>
          <w:b/>
          <w:bCs/>
          <w:i/>
          <w:iCs/>
          <w:szCs w:val="22"/>
        </w:rPr>
        <w:t xml:space="preserve">, </w:t>
      </w:r>
      <w:r w:rsidRPr="00207577">
        <w:rPr>
          <w:rFonts w:cs="Tahoma"/>
          <w:szCs w:val="22"/>
        </w:rPr>
        <w:t>el cual de su contenido se advierten diversas transferencias bancarias, en el cual se testó el Nombre y RFC de los depósitos rea</w:t>
      </w:r>
      <w:r w:rsidR="00374082" w:rsidRPr="00207577">
        <w:rPr>
          <w:rFonts w:cs="Tahoma"/>
          <w:szCs w:val="22"/>
        </w:rPr>
        <w:t>lizados por concepto de pensión, arrendamiento, servicio social, adquisiciones</w:t>
      </w:r>
      <w:r w:rsidR="00811249" w:rsidRPr="00207577">
        <w:rPr>
          <w:rFonts w:cs="Tahoma"/>
          <w:szCs w:val="22"/>
        </w:rPr>
        <w:t xml:space="preserve">; asimismo, se advierten cheques, pólizas contables de egresos. </w:t>
      </w:r>
    </w:p>
    <w:p w14:paraId="05C80356" w14:textId="3890B83B" w:rsidR="00811249" w:rsidRPr="00207577" w:rsidRDefault="00811249" w:rsidP="00811249">
      <w:pPr>
        <w:pStyle w:val="Prrafodelista"/>
        <w:numPr>
          <w:ilvl w:val="0"/>
          <w:numId w:val="3"/>
        </w:numPr>
        <w:autoSpaceDE w:val="0"/>
        <w:autoSpaceDN w:val="0"/>
        <w:adjustRightInd w:val="0"/>
        <w:ind w:right="-28"/>
        <w:rPr>
          <w:rFonts w:cs="Tahoma"/>
          <w:b/>
          <w:bCs/>
          <w:i/>
          <w:iCs/>
          <w:szCs w:val="22"/>
        </w:rPr>
      </w:pPr>
      <w:r w:rsidRPr="00207577">
        <w:rPr>
          <w:rFonts w:cs="Tahoma"/>
          <w:b/>
          <w:bCs/>
          <w:i/>
          <w:iCs/>
          <w:szCs w:val="22"/>
        </w:rPr>
        <w:t xml:space="preserve"> 247 CAEM IP 2025.pdf, </w:t>
      </w:r>
      <w:r w:rsidRPr="00207577">
        <w:rPr>
          <w:rFonts w:cs="Tahoma"/>
          <w:bCs/>
          <w:iCs/>
          <w:szCs w:val="22"/>
        </w:rPr>
        <w:t xml:space="preserve">el cual contiene el oficio 219C0117L/1396/2025 del dieciséis de junio de dos mil veinticinco, por medio del cual se presenta ante los integrantes del Comité de Transparencia, la propuesta para clasificar la </w:t>
      </w:r>
      <w:r w:rsidR="007D4886" w:rsidRPr="00207577">
        <w:rPr>
          <w:rFonts w:cs="Tahoma"/>
          <w:bCs/>
          <w:iCs/>
          <w:szCs w:val="22"/>
        </w:rPr>
        <w:t xml:space="preserve">información confidencial contenida en los comprobantes de pago. </w:t>
      </w:r>
    </w:p>
    <w:p w14:paraId="591B5373" w14:textId="77777777" w:rsidR="007D4886" w:rsidRPr="00207577" w:rsidRDefault="00811249" w:rsidP="00811249">
      <w:pPr>
        <w:pStyle w:val="Prrafodelista"/>
        <w:numPr>
          <w:ilvl w:val="0"/>
          <w:numId w:val="3"/>
        </w:numPr>
        <w:autoSpaceDE w:val="0"/>
        <w:autoSpaceDN w:val="0"/>
        <w:adjustRightInd w:val="0"/>
        <w:ind w:right="-28"/>
        <w:rPr>
          <w:rFonts w:cs="Tahoma"/>
          <w:b/>
          <w:bCs/>
          <w:i/>
          <w:iCs/>
          <w:szCs w:val="22"/>
        </w:rPr>
      </w:pPr>
      <w:r w:rsidRPr="00207577">
        <w:rPr>
          <w:rFonts w:cs="Tahoma"/>
          <w:b/>
          <w:bCs/>
          <w:i/>
          <w:iCs/>
          <w:szCs w:val="22"/>
        </w:rPr>
        <w:t xml:space="preserve">247.pdf, </w:t>
      </w:r>
      <w:r w:rsidR="007D4886" w:rsidRPr="00207577">
        <w:rPr>
          <w:rFonts w:cs="Tahoma"/>
          <w:bCs/>
          <w:iCs/>
          <w:szCs w:val="22"/>
        </w:rPr>
        <w:t xml:space="preserve">el cual contiene los siguientes documentos: </w:t>
      </w:r>
    </w:p>
    <w:p w14:paraId="6534A3AD" w14:textId="242487A5" w:rsidR="00811249" w:rsidRPr="00207577" w:rsidRDefault="007D4886" w:rsidP="007D4886">
      <w:pPr>
        <w:pStyle w:val="Prrafodelista"/>
        <w:numPr>
          <w:ilvl w:val="0"/>
          <w:numId w:val="4"/>
        </w:numPr>
        <w:autoSpaceDE w:val="0"/>
        <w:autoSpaceDN w:val="0"/>
        <w:adjustRightInd w:val="0"/>
        <w:ind w:right="-28"/>
        <w:rPr>
          <w:rFonts w:cs="Tahoma"/>
          <w:b/>
          <w:bCs/>
          <w:i/>
          <w:iCs/>
          <w:szCs w:val="22"/>
        </w:rPr>
      </w:pPr>
      <w:r w:rsidRPr="00207577">
        <w:rPr>
          <w:rFonts w:cs="Tahoma"/>
          <w:bCs/>
          <w:iCs/>
          <w:szCs w:val="22"/>
        </w:rPr>
        <w:lastRenderedPageBreak/>
        <w:t xml:space="preserve">El oficio 219C0117/1195/2025 del veintitrés de mayo de dos mil veinticinco, por medio del cual la Directora General de Administración y Finanzas solicita la información requerida por </w:t>
      </w:r>
      <w:r w:rsidRPr="00207577">
        <w:rPr>
          <w:rFonts w:cs="Tahoma"/>
          <w:b/>
          <w:bCs/>
          <w:iCs/>
          <w:szCs w:val="22"/>
        </w:rPr>
        <w:t xml:space="preserve">LA PARTE RECURRENTE </w:t>
      </w:r>
      <w:r w:rsidRPr="00207577">
        <w:rPr>
          <w:rFonts w:cs="Tahoma"/>
          <w:bCs/>
          <w:iCs/>
          <w:szCs w:val="22"/>
        </w:rPr>
        <w:t xml:space="preserve">al Director de Finanzas. </w:t>
      </w:r>
    </w:p>
    <w:p w14:paraId="287482E9" w14:textId="78A9338C" w:rsidR="007D4886" w:rsidRPr="00207577" w:rsidRDefault="007D4886" w:rsidP="007D4886">
      <w:pPr>
        <w:pStyle w:val="Prrafodelista"/>
        <w:numPr>
          <w:ilvl w:val="0"/>
          <w:numId w:val="4"/>
        </w:numPr>
        <w:autoSpaceDE w:val="0"/>
        <w:autoSpaceDN w:val="0"/>
        <w:adjustRightInd w:val="0"/>
        <w:ind w:right="-28"/>
        <w:rPr>
          <w:rFonts w:cs="Tahoma"/>
          <w:b/>
          <w:bCs/>
          <w:i/>
          <w:iCs/>
          <w:szCs w:val="22"/>
        </w:rPr>
      </w:pPr>
      <w:r w:rsidRPr="00207577">
        <w:rPr>
          <w:rFonts w:cs="Tahoma"/>
          <w:bCs/>
          <w:iCs/>
          <w:szCs w:val="22"/>
        </w:rPr>
        <w:t xml:space="preserve">El oficio 219C0117020000L/0444/2025 del cinco de junio de dos mil veinticinco, por  medio del cual el Director de Finanzas, remite oficio de la Subdirectora de Finanzas la cual envía por correo la información. </w:t>
      </w:r>
    </w:p>
    <w:p w14:paraId="0E2B8596" w14:textId="39944C5D" w:rsidR="007D4886" w:rsidRPr="00207577" w:rsidRDefault="007D4886" w:rsidP="007D4886">
      <w:pPr>
        <w:pStyle w:val="Prrafodelista"/>
        <w:numPr>
          <w:ilvl w:val="0"/>
          <w:numId w:val="4"/>
        </w:numPr>
        <w:autoSpaceDE w:val="0"/>
        <w:autoSpaceDN w:val="0"/>
        <w:adjustRightInd w:val="0"/>
        <w:ind w:right="-28"/>
        <w:rPr>
          <w:rFonts w:cs="Tahoma"/>
          <w:b/>
          <w:bCs/>
          <w:i/>
          <w:iCs/>
          <w:szCs w:val="22"/>
        </w:rPr>
      </w:pPr>
      <w:r w:rsidRPr="00207577">
        <w:rPr>
          <w:rFonts w:cs="Tahoma"/>
          <w:bCs/>
          <w:iCs/>
          <w:szCs w:val="22"/>
        </w:rPr>
        <w:t xml:space="preserve">Oficio 219C0117020200L/0171/2025 del veintiocho de mayo de dos mil veinticinco, por medio del cual la Subdirectora de Finanzas refiere remitir la información solicitada mediante correo electrónico, adjuntando para ello captura de pantalla del envío a través de dicho medio. </w:t>
      </w:r>
    </w:p>
    <w:p w14:paraId="54F644AE" w14:textId="6079D5A7" w:rsidR="00D02A55" w:rsidRPr="00207577" w:rsidRDefault="00811249" w:rsidP="00811249">
      <w:pPr>
        <w:pStyle w:val="Prrafodelista"/>
        <w:numPr>
          <w:ilvl w:val="0"/>
          <w:numId w:val="3"/>
        </w:numPr>
        <w:autoSpaceDE w:val="0"/>
        <w:autoSpaceDN w:val="0"/>
        <w:adjustRightInd w:val="0"/>
        <w:ind w:right="-28"/>
        <w:rPr>
          <w:rFonts w:cs="Tahoma"/>
          <w:b/>
          <w:bCs/>
          <w:i/>
          <w:iCs/>
          <w:szCs w:val="22"/>
        </w:rPr>
      </w:pPr>
      <w:r w:rsidRPr="00207577">
        <w:rPr>
          <w:rFonts w:cs="Tahoma"/>
          <w:b/>
          <w:bCs/>
          <w:i/>
          <w:iCs/>
          <w:szCs w:val="22"/>
        </w:rPr>
        <w:t>247</w:t>
      </w:r>
      <w:proofErr w:type="gramStart"/>
      <w:r w:rsidRPr="00207577">
        <w:rPr>
          <w:rFonts w:cs="Tahoma"/>
          <w:b/>
          <w:bCs/>
          <w:i/>
          <w:iCs/>
          <w:szCs w:val="22"/>
        </w:rPr>
        <w:t>.pdf</w:t>
      </w:r>
      <w:proofErr w:type="gramEnd"/>
      <w:r w:rsidRPr="00207577">
        <w:rPr>
          <w:rFonts w:cs="Tahoma"/>
          <w:b/>
          <w:bCs/>
          <w:i/>
          <w:iCs/>
          <w:szCs w:val="22"/>
        </w:rPr>
        <w:t xml:space="preserve">, </w:t>
      </w:r>
      <w:r w:rsidR="007D4886" w:rsidRPr="00207577">
        <w:rPr>
          <w:rFonts w:cs="Tahoma"/>
          <w:bCs/>
          <w:iCs/>
          <w:szCs w:val="22"/>
        </w:rPr>
        <w:t xml:space="preserve">el cual contiene el oficio 219C0110000300S-UT/0799/2025 del dieciocho de junio de dos mil veinticinco, por medio del cual </w:t>
      </w:r>
      <w:r w:rsidR="00A04D17" w:rsidRPr="00207577">
        <w:rPr>
          <w:rFonts w:cs="Tahoma"/>
          <w:bCs/>
          <w:iCs/>
          <w:szCs w:val="22"/>
        </w:rPr>
        <w:t xml:space="preserve">el Titular de la Unidad de Transparencia, refiere remitir la información en versión pública. </w:t>
      </w:r>
    </w:p>
    <w:p w14:paraId="3D065B95" w14:textId="77777777" w:rsidR="00A04D17" w:rsidRPr="00207577" w:rsidRDefault="00A04D17" w:rsidP="00A04D17">
      <w:pPr>
        <w:autoSpaceDE w:val="0"/>
        <w:autoSpaceDN w:val="0"/>
        <w:adjustRightInd w:val="0"/>
        <w:ind w:right="-28"/>
        <w:rPr>
          <w:rFonts w:cs="Tahoma"/>
          <w:b/>
          <w:bCs/>
          <w:i/>
          <w:iCs/>
          <w:szCs w:val="22"/>
        </w:rPr>
      </w:pPr>
    </w:p>
    <w:p w14:paraId="0F24A322" w14:textId="7F9E5F9A" w:rsidR="00B137E8" w:rsidRPr="00207577" w:rsidRDefault="00B137E8" w:rsidP="00B137E8">
      <w:pPr>
        <w:pStyle w:val="Ttulo2"/>
        <w:jc w:val="left"/>
      </w:pPr>
      <w:bookmarkStart w:id="23" w:name="_Toc171527280"/>
      <w:bookmarkStart w:id="24" w:name="_Toc210248688"/>
      <w:r w:rsidRPr="00207577">
        <w:t>DEL RECURSO DE REVISIÓN</w:t>
      </w:r>
      <w:bookmarkEnd w:id="23"/>
      <w:bookmarkEnd w:id="24"/>
    </w:p>
    <w:p w14:paraId="2B216813" w14:textId="61ADBB2B" w:rsidR="00664420" w:rsidRPr="00207577" w:rsidRDefault="006E25BC" w:rsidP="006E25BC">
      <w:pPr>
        <w:pStyle w:val="Ttulo3"/>
      </w:pPr>
      <w:bookmarkStart w:id="25" w:name="_Toc210248689"/>
      <w:r w:rsidRPr="00207577">
        <w:rPr>
          <w:szCs w:val="32"/>
        </w:rPr>
        <w:t>a)</w:t>
      </w:r>
      <w:r w:rsidRPr="00207577">
        <w:t xml:space="preserve"> </w:t>
      </w:r>
      <w:r w:rsidR="00664420" w:rsidRPr="00207577">
        <w:t>Interposición del Recurso de Revisión</w:t>
      </w:r>
      <w:bookmarkEnd w:id="25"/>
    </w:p>
    <w:p w14:paraId="6279C622" w14:textId="5A99429A" w:rsidR="00664420" w:rsidRPr="00207577" w:rsidRDefault="00664420" w:rsidP="00664420">
      <w:pPr>
        <w:autoSpaceDE w:val="0"/>
        <w:autoSpaceDN w:val="0"/>
        <w:adjustRightInd w:val="0"/>
        <w:ind w:right="-28"/>
        <w:rPr>
          <w:rFonts w:cs="Tahoma"/>
          <w:szCs w:val="22"/>
        </w:rPr>
      </w:pPr>
      <w:r w:rsidRPr="00207577">
        <w:rPr>
          <w:rFonts w:cs="Tahoma"/>
          <w:szCs w:val="22"/>
        </w:rPr>
        <w:t xml:space="preserve">El </w:t>
      </w:r>
      <w:r w:rsidR="00A04D17" w:rsidRPr="00207577">
        <w:rPr>
          <w:rFonts w:cs="Tahoma"/>
          <w:b/>
          <w:bCs/>
          <w:szCs w:val="22"/>
        </w:rPr>
        <w:t xml:space="preserve">veintitrés de junio </w:t>
      </w:r>
      <w:r w:rsidR="00475FF6" w:rsidRPr="00207577">
        <w:rPr>
          <w:rFonts w:cs="Tahoma"/>
          <w:b/>
          <w:bCs/>
          <w:szCs w:val="22"/>
        </w:rPr>
        <w:t xml:space="preserve">de </w:t>
      </w:r>
      <w:r w:rsidRPr="00207577">
        <w:rPr>
          <w:rFonts w:cs="Tahoma"/>
          <w:b/>
          <w:bCs/>
          <w:szCs w:val="22"/>
        </w:rPr>
        <w:t>dos mil</w:t>
      </w:r>
      <w:r w:rsidR="00F45902" w:rsidRPr="00207577">
        <w:rPr>
          <w:rFonts w:cs="Tahoma"/>
          <w:b/>
          <w:bCs/>
          <w:szCs w:val="22"/>
        </w:rPr>
        <w:t xml:space="preserve"> veintic</w:t>
      </w:r>
      <w:r w:rsidR="006E7E69" w:rsidRPr="00207577">
        <w:rPr>
          <w:rFonts w:cs="Tahoma"/>
          <w:b/>
          <w:bCs/>
          <w:szCs w:val="22"/>
        </w:rPr>
        <w:t>inco</w:t>
      </w:r>
      <w:r w:rsidRPr="00207577">
        <w:rPr>
          <w:rFonts w:cs="Tahoma"/>
          <w:szCs w:val="22"/>
        </w:rPr>
        <w:t xml:space="preserve"> </w:t>
      </w:r>
      <w:r w:rsidR="00F75D23" w:rsidRPr="00207577">
        <w:rPr>
          <w:rFonts w:cs="Tahoma"/>
          <w:b/>
          <w:bCs/>
          <w:szCs w:val="22"/>
        </w:rPr>
        <w:t>LA PARTE RECURRENTE</w:t>
      </w:r>
      <w:r w:rsidR="00F75D23" w:rsidRPr="00207577">
        <w:rPr>
          <w:rFonts w:cs="Tahoma"/>
          <w:szCs w:val="22"/>
        </w:rPr>
        <w:t xml:space="preserve"> interpuso el recurso de revisión en contra de la respuesta emitida por el </w:t>
      </w:r>
      <w:r w:rsidR="00F75D23" w:rsidRPr="00207577">
        <w:rPr>
          <w:rFonts w:cs="Tahoma"/>
          <w:b/>
          <w:bCs/>
          <w:szCs w:val="22"/>
        </w:rPr>
        <w:t>SUJETO OBLIGADO</w:t>
      </w:r>
      <w:r w:rsidR="00953430" w:rsidRPr="00207577">
        <w:rPr>
          <w:rFonts w:cs="Tahoma"/>
          <w:szCs w:val="22"/>
        </w:rPr>
        <w:t xml:space="preserve">, mismo que fue registrado en el </w:t>
      </w:r>
      <w:r w:rsidR="00953430" w:rsidRPr="00207577">
        <w:rPr>
          <w:rFonts w:cs="Tahoma"/>
          <w:b/>
          <w:szCs w:val="22"/>
        </w:rPr>
        <w:t>SAIMEX</w:t>
      </w:r>
      <w:r w:rsidR="00953430" w:rsidRPr="00207577">
        <w:rPr>
          <w:rFonts w:cs="Tahoma"/>
          <w:szCs w:val="22"/>
        </w:rPr>
        <w:t xml:space="preserve"> con el número de expediente </w:t>
      </w:r>
      <w:r w:rsidR="006E7E69" w:rsidRPr="00207577">
        <w:rPr>
          <w:rFonts w:cs="Tahoma"/>
          <w:b/>
          <w:bCs/>
          <w:szCs w:val="22"/>
        </w:rPr>
        <w:t>0</w:t>
      </w:r>
      <w:r w:rsidR="004F165A" w:rsidRPr="00207577">
        <w:rPr>
          <w:rFonts w:cs="Tahoma"/>
          <w:b/>
          <w:bCs/>
          <w:szCs w:val="22"/>
        </w:rPr>
        <w:t>7</w:t>
      </w:r>
      <w:r w:rsidR="00A04D17" w:rsidRPr="00207577">
        <w:rPr>
          <w:rFonts w:cs="Tahoma"/>
          <w:b/>
          <w:bCs/>
          <w:szCs w:val="22"/>
        </w:rPr>
        <w:t>612</w:t>
      </w:r>
      <w:r w:rsidR="006E7E69" w:rsidRPr="00207577">
        <w:rPr>
          <w:rFonts w:cs="Tahoma"/>
          <w:b/>
          <w:bCs/>
          <w:szCs w:val="22"/>
        </w:rPr>
        <w:t>/INFOEM/IP/RR/2025</w:t>
      </w:r>
      <w:r w:rsidR="00953430" w:rsidRPr="00207577">
        <w:rPr>
          <w:rFonts w:cs="Tahoma"/>
          <w:szCs w:val="22"/>
        </w:rPr>
        <w:t>, y en el cual manifiesta lo siguiente</w:t>
      </w:r>
      <w:r w:rsidRPr="00207577">
        <w:rPr>
          <w:rFonts w:cs="Tahoma"/>
          <w:szCs w:val="22"/>
        </w:rPr>
        <w:t>:</w:t>
      </w:r>
    </w:p>
    <w:p w14:paraId="74B30008" w14:textId="77777777" w:rsidR="00664420" w:rsidRPr="00207577" w:rsidRDefault="00664420" w:rsidP="00664420">
      <w:pPr>
        <w:tabs>
          <w:tab w:val="left" w:pos="4667"/>
        </w:tabs>
        <w:ind w:right="539"/>
        <w:rPr>
          <w:rFonts w:cs="Tahoma"/>
          <w:szCs w:val="22"/>
        </w:rPr>
      </w:pPr>
    </w:p>
    <w:p w14:paraId="3A3988B0" w14:textId="77777777" w:rsidR="001544A1" w:rsidRPr="00207577" w:rsidRDefault="00664420" w:rsidP="00CE3DBD">
      <w:pPr>
        <w:tabs>
          <w:tab w:val="left" w:pos="4667"/>
        </w:tabs>
        <w:ind w:right="539"/>
        <w:rPr>
          <w:rFonts w:cs="Tahoma"/>
          <w:b/>
          <w:iCs/>
        </w:rPr>
      </w:pPr>
      <w:r w:rsidRPr="00207577">
        <w:rPr>
          <w:rFonts w:cs="Tahoma"/>
          <w:b/>
          <w:iCs/>
        </w:rPr>
        <w:t>ACTO IMPUGNADO</w:t>
      </w:r>
      <w:r w:rsidR="001544A1" w:rsidRPr="00207577">
        <w:rPr>
          <w:rFonts w:cs="Tahoma"/>
          <w:b/>
          <w:iCs/>
        </w:rPr>
        <w:t xml:space="preserve">: </w:t>
      </w:r>
    </w:p>
    <w:p w14:paraId="74BBD238" w14:textId="77777777" w:rsidR="001544A1" w:rsidRPr="00207577" w:rsidRDefault="001544A1" w:rsidP="001544A1">
      <w:pPr>
        <w:pStyle w:val="Puesto"/>
      </w:pPr>
    </w:p>
    <w:p w14:paraId="327EED5D" w14:textId="7CD7FE94" w:rsidR="001544A1" w:rsidRPr="00207577" w:rsidRDefault="001544A1" w:rsidP="001544A1">
      <w:pPr>
        <w:pStyle w:val="Puesto"/>
      </w:pPr>
      <w:r w:rsidRPr="00207577">
        <w:t>“</w:t>
      </w:r>
      <w:r w:rsidR="00A04D17" w:rsidRPr="00207577">
        <w:t>RESPUESTA A LA SOLICITUD 00247/CAEM/IP/2025</w:t>
      </w:r>
      <w:r w:rsidRPr="00207577">
        <w:t xml:space="preserve">” (sic) </w:t>
      </w:r>
    </w:p>
    <w:p w14:paraId="1F180CCD" w14:textId="77777777" w:rsidR="001544A1" w:rsidRPr="00207577" w:rsidRDefault="001544A1" w:rsidP="001544A1">
      <w:pPr>
        <w:pStyle w:val="Puesto"/>
      </w:pPr>
    </w:p>
    <w:p w14:paraId="093C3F85" w14:textId="65D81CDC" w:rsidR="00CE3DBD" w:rsidRPr="00207577" w:rsidRDefault="00CE3DBD" w:rsidP="00CE3DBD">
      <w:pPr>
        <w:tabs>
          <w:tab w:val="left" w:pos="4667"/>
        </w:tabs>
        <w:ind w:right="539"/>
        <w:rPr>
          <w:rFonts w:cs="Tahoma"/>
          <w:b/>
          <w:iCs/>
        </w:rPr>
      </w:pPr>
      <w:r w:rsidRPr="00207577">
        <w:rPr>
          <w:rFonts w:cs="Tahoma"/>
          <w:b/>
          <w:iCs/>
        </w:rPr>
        <w:t xml:space="preserve">RAZONES O MOTIVOS DE INCONFORMIDAD </w:t>
      </w:r>
    </w:p>
    <w:p w14:paraId="177EE3D5" w14:textId="77777777" w:rsidR="00F45902" w:rsidRPr="00207577" w:rsidRDefault="00F45902" w:rsidP="00F45902">
      <w:pPr>
        <w:pStyle w:val="Puesto"/>
      </w:pPr>
    </w:p>
    <w:p w14:paraId="2F63422F" w14:textId="7D4E9073" w:rsidR="004F165A" w:rsidRPr="00207577" w:rsidRDefault="004F165A" w:rsidP="004F165A">
      <w:pPr>
        <w:pStyle w:val="Puesto"/>
      </w:pPr>
      <w:r w:rsidRPr="00207577">
        <w:lastRenderedPageBreak/>
        <w:t>“</w:t>
      </w:r>
      <w:r w:rsidR="00A04D17" w:rsidRPr="00207577">
        <w:t xml:space="preserve">El sujeto clasifica de manera indebida los nombres y/o razón social de los beneficiarios de los pagos realizados. Dicha información es pública de oficio y debe dejarse a la vista de este solicitante. Por lo anterior, solicito se revoque la respuesta del sujeto obligado y se ordene la entrega de los documentos con dejando a la vista el nombre y </w:t>
      </w:r>
      <w:proofErr w:type="spellStart"/>
      <w:r w:rsidR="00A04D17" w:rsidRPr="00207577">
        <w:t>razon</w:t>
      </w:r>
      <w:proofErr w:type="spellEnd"/>
      <w:r w:rsidR="00A04D17" w:rsidRPr="00207577">
        <w:t xml:space="preserve"> social de los beneficiarios.</w:t>
      </w:r>
      <w:r w:rsidRPr="00207577">
        <w:t>” (</w:t>
      </w:r>
      <w:proofErr w:type="gramStart"/>
      <w:r w:rsidRPr="00207577">
        <w:t>sic</w:t>
      </w:r>
      <w:proofErr w:type="gramEnd"/>
      <w:r w:rsidRPr="00207577">
        <w:t xml:space="preserve">) </w:t>
      </w:r>
    </w:p>
    <w:p w14:paraId="6AE8EA9A" w14:textId="77777777" w:rsidR="00664420" w:rsidRPr="00207577" w:rsidRDefault="00664420" w:rsidP="004F6D6C">
      <w:pPr>
        <w:pStyle w:val="Puesto"/>
      </w:pPr>
    </w:p>
    <w:p w14:paraId="6804DEF1" w14:textId="1FD3227A" w:rsidR="00664420" w:rsidRPr="00207577" w:rsidRDefault="006E25BC" w:rsidP="006E25BC">
      <w:pPr>
        <w:pStyle w:val="Ttulo3"/>
      </w:pPr>
      <w:bookmarkStart w:id="26" w:name="_Toc210248690"/>
      <w:r w:rsidRPr="00207577">
        <w:t>b</w:t>
      </w:r>
      <w:r w:rsidR="00664420" w:rsidRPr="00207577">
        <w:t>) Turno del Recurso de Revisión</w:t>
      </w:r>
      <w:bookmarkEnd w:id="26"/>
    </w:p>
    <w:p w14:paraId="1173671B" w14:textId="644F2907" w:rsidR="00C72DAA" w:rsidRPr="00207577" w:rsidRDefault="00C72DAA" w:rsidP="00C72DAA">
      <w:r w:rsidRPr="00207577">
        <w:t>Con fundamento en el artículo 185, fracción I de la Ley de Transparencia y Acceso a la Información Pública del Estado de México y Municipios, el</w:t>
      </w:r>
      <w:r w:rsidRPr="00207577">
        <w:rPr>
          <w:b/>
          <w:bCs/>
        </w:rPr>
        <w:t xml:space="preserve"> </w:t>
      </w:r>
      <w:r w:rsidR="00A04D17" w:rsidRPr="00207577">
        <w:rPr>
          <w:rFonts w:eastAsia="Palatino Linotype" w:cs="Palatino Linotype"/>
          <w:b/>
        </w:rPr>
        <w:t xml:space="preserve">veintitrés de junio </w:t>
      </w:r>
      <w:r w:rsidR="009A1340" w:rsidRPr="00207577">
        <w:rPr>
          <w:rFonts w:eastAsia="Palatino Linotype" w:cs="Palatino Linotype"/>
          <w:b/>
        </w:rPr>
        <w:t xml:space="preserve">de dos mil veinticinco, </w:t>
      </w:r>
      <w:r w:rsidRPr="00207577">
        <w:t>se turnó el recurso de revisión a través del</w:t>
      </w:r>
      <w:r w:rsidRPr="00207577">
        <w:rPr>
          <w:rFonts w:eastAsia="Arial Unicode MS"/>
        </w:rPr>
        <w:t xml:space="preserve"> </w:t>
      </w:r>
      <w:r w:rsidRPr="00207577">
        <w:rPr>
          <w:rFonts w:eastAsia="Arial Unicode MS"/>
          <w:b/>
          <w:bCs/>
        </w:rPr>
        <w:t>SAIMEX</w:t>
      </w:r>
      <w:r w:rsidRPr="00207577">
        <w:t xml:space="preserve"> a la </w:t>
      </w:r>
      <w:r w:rsidRPr="00207577">
        <w:rPr>
          <w:b/>
        </w:rPr>
        <w:t>Comisionada Sharon Cristina Morales Martínez</w:t>
      </w:r>
      <w:r w:rsidRPr="00207577">
        <w:rPr>
          <w:bCs/>
        </w:rPr>
        <w:t xml:space="preserve">, </w:t>
      </w:r>
      <w:r w:rsidRPr="00207577">
        <w:t xml:space="preserve">a efecto de decretar su admisión o </w:t>
      </w:r>
      <w:proofErr w:type="spellStart"/>
      <w:r w:rsidRPr="00207577">
        <w:t>desechamiento</w:t>
      </w:r>
      <w:proofErr w:type="spellEnd"/>
      <w:r w:rsidRPr="00207577">
        <w:t xml:space="preserve">. </w:t>
      </w:r>
    </w:p>
    <w:p w14:paraId="18F305CB" w14:textId="77777777" w:rsidR="00664420" w:rsidRPr="00207577" w:rsidRDefault="00664420" w:rsidP="00664420">
      <w:pPr>
        <w:rPr>
          <w:rFonts w:eastAsia="Batang" w:cs="Tahoma"/>
          <w:bCs/>
          <w:szCs w:val="22"/>
        </w:rPr>
      </w:pPr>
    </w:p>
    <w:p w14:paraId="3E31EC2D" w14:textId="295256A1" w:rsidR="00664420" w:rsidRPr="00207577" w:rsidRDefault="006E25BC" w:rsidP="006E25BC">
      <w:pPr>
        <w:pStyle w:val="Ttulo3"/>
      </w:pPr>
      <w:bookmarkStart w:id="27" w:name="_Toc210248691"/>
      <w:r w:rsidRPr="00207577">
        <w:t>c</w:t>
      </w:r>
      <w:r w:rsidR="00664420" w:rsidRPr="00207577">
        <w:t>) Admisión del Recurso de Revisión</w:t>
      </w:r>
      <w:bookmarkEnd w:id="27"/>
    </w:p>
    <w:p w14:paraId="240447D5" w14:textId="6A6E54D1" w:rsidR="000E09C4" w:rsidRPr="00207577" w:rsidRDefault="000E09C4" w:rsidP="000E09C4">
      <w:pPr>
        <w:rPr>
          <w:rFonts w:cs="Arial"/>
          <w:color w:val="000000" w:themeColor="text1"/>
        </w:rPr>
      </w:pPr>
      <w:r w:rsidRPr="00207577">
        <w:rPr>
          <w:rFonts w:cs="Arial"/>
          <w:color w:val="000000" w:themeColor="text1"/>
        </w:rPr>
        <w:t xml:space="preserve">El </w:t>
      </w:r>
      <w:r w:rsidR="00A04D17" w:rsidRPr="00207577">
        <w:rPr>
          <w:rFonts w:eastAsia="Palatino Linotype" w:cs="Palatino Linotype"/>
          <w:b/>
        </w:rPr>
        <w:t xml:space="preserve">veintiséis de junio </w:t>
      </w:r>
      <w:r w:rsidR="003A67CC" w:rsidRPr="00207577">
        <w:rPr>
          <w:rFonts w:eastAsia="Palatino Linotype" w:cs="Palatino Linotype"/>
          <w:b/>
        </w:rPr>
        <w:t>d</w:t>
      </w:r>
      <w:r w:rsidR="00657603" w:rsidRPr="00207577">
        <w:rPr>
          <w:rFonts w:eastAsia="Palatino Linotype" w:cs="Palatino Linotype"/>
          <w:b/>
        </w:rPr>
        <w:t>e dos mil veintic</w:t>
      </w:r>
      <w:r w:rsidR="009A1340" w:rsidRPr="00207577">
        <w:rPr>
          <w:rFonts w:eastAsia="Palatino Linotype" w:cs="Palatino Linotype"/>
          <w:b/>
        </w:rPr>
        <w:t>inco</w:t>
      </w:r>
      <w:r w:rsidRPr="00207577">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07577">
        <w:rPr>
          <w:rFonts w:cs="Arial"/>
          <w:color w:val="000000" w:themeColor="text1"/>
        </w:rPr>
        <w:t>, fracción II</w:t>
      </w:r>
      <w:r w:rsidRPr="00207577">
        <w:rPr>
          <w:rFonts w:cs="Arial"/>
          <w:color w:val="000000" w:themeColor="text1"/>
        </w:rPr>
        <w:t xml:space="preserve"> de la Ley de Transparencia y Acceso a la Información Pública del Estado de México y Municipios.</w:t>
      </w:r>
    </w:p>
    <w:p w14:paraId="34EC3F86" w14:textId="77777777" w:rsidR="00D2790D" w:rsidRPr="00207577" w:rsidRDefault="00D2790D" w:rsidP="000E09C4">
      <w:pPr>
        <w:rPr>
          <w:rFonts w:cs="Arial"/>
          <w:color w:val="000000" w:themeColor="text1"/>
        </w:rPr>
      </w:pPr>
    </w:p>
    <w:p w14:paraId="3B820F58" w14:textId="503F9071" w:rsidR="00865CF4" w:rsidRPr="00207577" w:rsidRDefault="0075751F" w:rsidP="006E25BC">
      <w:pPr>
        <w:pStyle w:val="Ttulo3"/>
      </w:pPr>
      <w:bookmarkStart w:id="28" w:name="_Toc210248692"/>
      <w:r w:rsidRPr="00207577">
        <w:t>d</w:t>
      </w:r>
      <w:r w:rsidR="00664420" w:rsidRPr="00207577">
        <w:t xml:space="preserve">) </w:t>
      </w:r>
      <w:r w:rsidR="00865CF4" w:rsidRPr="00207577">
        <w:t>Informe Justificado del Sujeto Obligado</w:t>
      </w:r>
      <w:bookmarkEnd w:id="28"/>
    </w:p>
    <w:p w14:paraId="31AAE111" w14:textId="7716D4C8" w:rsidR="004F165A" w:rsidRPr="00207577" w:rsidRDefault="004F165A" w:rsidP="004F165A">
      <w:pPr>
        <w:rPr>
          <w:rFonts w:cs="Tahoma"/>
          <w:szCs w:val="24"/>
        </w:rPr>
      </w:pPr>
      <w:r w:rsidRPr="00207577">
        <w:rPr>
          <w:rFonts w:cs="Tahoma"/>
          <w:szCs w:val="24"/>
        </w:rPr>
        <w:t xml:space="preserve">El </w:t>
      </w:r>
      <w:r w:rsidR="00A04D17" w:rsidRPr="00207577">
        <w:rPr>
          <w:rFonts w:cs="Tahoma"/>
          <w:b/>
          <w:bCs/>
          <w:szCs w:val="24"/>
        </w:rPr>
        <w:t>siete de julio d</w:t>
      </w:r>
      <w:r w:rsidRPr="00207577">
        <w:rPr>
          <w:rFonts w:cs="Tahoma"/>
          <w:b/>
          <w:bCs/>
          <w:szCs w:val="24"/>
        </w:rPr>
        <w:t>e dos mil veinticinco</w:t>
      </w:r>
      <w:r w:rsidRPr="00207577">
        <w:rPr>
          <w:rFonts w:cs="Tahoma"/>
          <w:szCs w:val="24"/>
        </w:rPr>
        <w:t xml:space="preserve"> </w:t>
      </w:r>
      <w:r w:rsidRPr="00207577">
        <w:rPr>
          <w:rFonts w:cs="Tahoma"/>
          <w:b/>
          <w:bCs/>
          <w:szCs w:val="24"/>
        </w:rPr>
        <w:t>EL SUJETO OBLIGADO</w:t>
      </w:r>
      <w:r w:rsidRPr="00207577">
        <w:rPr>
          <w:rFonts w:cs="Tahoma"/>
          <w:szCs w:val="24"/>
        </w:rPr>
        <w:t xml:space="preserve"> rindió su informe justificado a través del </w:t>
      </w:r>
      <w:r w:rsidRPr="00207577">
        <w:rPr>
          <w:rFonts w:cs="Tahoma"/>
          <w:b/>
          <w:bCs/>
          <w:szCs w:val="24"/>
        </w:rPr>
        <w:t>SAIMEX</w:t>
      </w:r>
      <w:r w:rsidRPr="00207577">
        <w:rPr>
          <w:rFonts w:cs="Tahoma"/>
          <w:szCs w:val="24"/>
        </w:rPr>
        <w:t xml:space="preserve">, </w:t>
      </w:r>
      <w:bookmarkStart w:id="29" w:name="_Hlk165379932"/>
      <w:r w:rsidRPr="00207577">
        <w:rPr>
          <w:rFonts w:cs="Tahoma"/>
          <w:szCs w:val="24"/>
        </w:rPr>
        <w:t xml:space="preserve">adjuntando para ello los archivos electrónicos que a continuación se describen: </w:t>
      </w:r>
    </w:p>
    <w:p w14:paraId="7B5B5A03" w14:textId="77777777" w:rsidR="004F165A" w:rsidRPr="00207577" w:rsidRDefault="004F165A" w:rsidP="004F165A">
      <w:pPr>
        <w:rPr>
          <w:rFonts w:cs="Tahoma"/>
          <w:szCs w:val="24"/>
        </w:rPr>
      </w:pPr>
    </w:p>
    <w:p w14:paraId="2CAD9C58" w14:textId="5443B4A3" w:rsidR="00A04D17" w:rsidRPr="00207577" w:rsidRDefault="00A04D17" w:rsidP="00E02FEA">
      <w:pPr>
        <w:pStyle w:val="Prrafodelista"/>
        <w:numPr>
          <w:ilvl w:val="0"/>
          <w:numId w:val="2"/>
        </w:numPr>
        <w:rPr>
          <w:rFonts w:cs="Tahoma"/>
          <w:b/>
          <w:bCs/>
          <w:i/>
          <w:iCs/>
          <w:szCs w:val="24"/>
        </w:rPr>
      </w:pPr>
      <w:r w:rsidRPr="00207577">
        <w:rPr>
          <w:rFonts w:cs="Tahoma"/>
          <w:b/>
          <w:i/>
          <w:iCs/>
          <w:szCs w:val="24"/>
        </w:rPr>
        <w:t>informe justificado RR 7612-202508-07-2025-054135.pdf</w:t>
      </w:r>
      <w:r w:rsidRPr="00207577">
        <w:rPr>
          <w:rFonts w:cs="Tahoma"/>
          <w:i/>
          <w:iCs/>
          <w:szCs w:val="24"/>
        </w:rPr>
        <w:t xml:space="preserve">, </w:t>
      </w:r>
      <w:r w:rsidRPr="00207577">
        <w:rPr>
          <w:rFonts w:cs="Tahoma"/>
          <w:iCs/>
          <w:szCs w:val="24"/>
        </w:rPr>
        <w:t xml:space="preserve">el cual contiene el oficio 219C01100003000S-UT/854/2025 del siete de julio de dos mil veinticinco, por medio del </w:t>
      </w:r>
      <w:r w:rsidRPr="00207577">
        <w:rPr>
          <w:rFonts w:cs="Tahoma"/>
          <w:iCs/>
          <w:szCs w:val="24"/>
        </w:rPr>
        <w:lastRenderedPageBreak/>
        <w:t xml:space="preserve">cual el Titular de la Unidad de Transparencia, medularmente ratifica la respuesta otorgada. </w:t>
      </w:r>
    </w:p>
    <w:p w14:paraId="1B53AF84" w14:textId="5DDEE0D5" w:rsidR="00A04D17" w:rsidRPr="00207577" w:rsidRDefault="00A04D17" w:rsidP="00E02FEA">
      <w:pPr>
        <w:pStyle w:val="Prrafodelista"/>
        <w:numPr>
          <w:ilvl w:val="0"/>
          <w:numId w:val="2"/>
        </w:numPr>
        <w:rPr>
          <w:rFonts w:cs="Tahoma"/>
          <w:b/>
          <w:i/>
          <w:iCs/>
          <w:szCs w:val="24"/>
        </w:rPr>
      </w:pPr>
      <w:r w:rsidRPr="00207577">
        <w:rPr>
          <w:rFonts w:cs="Tahoma"/>
          <w:b/>
          <w:i/>
          <w:iCs/>
          <w:szCs w:val="24"/>
        </w:rPr>
        <w:t xml:space="preserve">informe justificado RR 7612-202508-07-2025-054135.pdf, </w:t>
      </w:r>
      <w:r w:rsidRPr="00207577">
        <w:rPr>
          <w:rFonts w:cs="Tahoma"/>
          <w:iCs/>
          <w:szCs w:val="24"/>
        </w:rPr>
        <w:t xml:space="preserve">el cual contiene el oficio 219C0110000300S/UT/810/2025 del veintisiete de junio de dos mil veinticinco, por medio del cual el titular de </w:t>
      </w:r>
      <w:r w:rsidR="00112E62" w:rsidRPr="00207577">
        <w:rPr>
          <w:rFonts w:cs="Tahoma"/>
          <w:iCs/>
          <w:szCs w:val="24"/>
        </w:rPr>
        <w:t xml:space="preserve">la Unidad de Transparencia, solicita a la Directora General de Administración y Finanzas, remita </w:t>
      </w:r>
      <w:r w:rsidR="00112E62" w:rsidRPr="00207577">
        <w:t xml:space="preserve">pruebas, informe justificado y presente alegatos. </w:t>
      </w:r>
    </w:p>
    <w:p w14:paraId="748122BB" w14:textId="70B6530C" w:rsidR="00A04D17" w:rsidRPr="00207577" w:rsidRDefault="00112E62" w:rsidP="00E02FEA">
      <w:pPr>
        <w:pStyle w:val="Prrafodelista"/>
        <w:numPr>
          <w:ilvl w:val="0"/>
          <w:numId w:val="2"/>
        </w:numPr>
        <w:rPr>
          <w:rFonts w:cs="Tahoma"/>
          <w:b/>
          <w:i/>
          <w:iCs/>
          <w:szCs w:val="24"/>
        </w:rPr>
      </w:pPr>
      <w:r w:rsidRPr="00207577">
        <w:rPr>
          <w:rFonts w:cs="Tahoma"/>
          <w:b/>
          <w:i/>
          <w:iCs/>
          <w:szCs w:val="24"/>
        </w:rPr>
        <w:t xml:space="preserve">anexo 2 RR 7612-202508-07-2025-054044.pdf, </w:t>
      </w:r>
      <w:r w:rsidRPr="00207577">
        <w:rPr>
          <w:rFonts w:cs="Tahoma"/>
          <w:iCs/>
          <w:szCs w:val="24"/>
        </w:rPr>
        <w:t xml:space="preserve">el cual contiene el oficio 219C0110000300S/1487/2025 del uno de julio de dos mil veinticinco, por medio del cual la Directora General de Administración y Finanzas medularmente ratifica la respuesta proporcionada. </w:t>
      </w:r>
    </w:p>
    <w:bookmarkEnd w:id="29"/>
    <w:p w14:paraId="1D9CDA63" w14:textId="77777777" w:rsidR="00112E62" w:rsidRPr="00207577" w:rsidRDefault="00112E62" w:rsidP="004F165A">
      <w:pPr>
        <w:rPr>
          <w:rFonts w:cs="Tahoma"/>
          <w:szCs w:val="24"/>
        </w:rPr>
      </w:pPr>
    </w:p>
    <w:p w14:paraId="3D0BF0FF" w14:textId="77EFD868" w:rsidR="004F165A" w:rsidRPr="00207577" w:rsidRDefault="004F165A" w:rsidP="004F165A">
      <w:pPr>
        <w:rPr>
          <w:rFonts w:cs="Tahoma"/>
          <w:szCs w:val="24"/>
        </w:rPr>
      </w:pPr>
      <w:r w:rsidRPr="00207577">
        <w:rPr>
          <w:rFonts w:cs="Tahoma"/>
          <w:szCs w:val="24"/>
        </w:rPr>
        <w:t xml:space="preserve">Esta información fue puesta a la vista de </w:t>
      </w:r>
      <w:r w:rsidRPr="00207577">
        <w:rPr>
          <w:rFonts w:cs="Tahoma"/>
          <w:b/>
          <w:bCs/>
          <w:szCs w:val="24"/>
        </w:rPr>
        <w:t>LA PARTE RECURRENTE</w:t>
      </w:r>
      <w:r w:rsidRPr="00207577">
        <w:rPr>
          <w:rFonts w:cs="Tahoma"/>
          <w:szCs w:val="24"/>
        </w:rPr>
        <w:t xml:space="preserve"> el </w:t>
      </w:r>
      <w:r w:rsidR="00112E62" w:rsidRPr="00207577">
        <w:rPr>
          <w:rFonts w:cs="Tahoma"/>
          <w:b/>
          <w:bCs/>
          <w:szCs w:val="24"/>
        </w:rPr>
        <w:t xml:space="preserve">siete de agosto </w:t>
      </w:r>
      <w:r w:rsidRPr="00207577">
        <w:rPr>
          <w:rFonts w:cs="Tahoma"/>
          <w:b/>
          <w:bCs/>
          <w:szCs w:val="24"/>
        </w:rPr>
        <w:t xml:space="preserve">de dos mil veinticinco </w:t>
      </w:r>
      <w:r w:rsidRPr="00207577">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E294AE5" w14:textId="77777777" w:rsidR="004F165A" w:rsidRPr="00207577" w:rsidRDefault="004F165A" w:rsidP="004F165A">
      <w:pPr>
        <w:rPr>
          <w:rFonts w:cs="Tahoma"/>
          <w:szCs w:val="24"/>
        </w:rPr>
      </w:pPr>
    </w:p>
    <w:p w14:paraId="755B7730" w14:textId="3EA3E31D" w:rsidR="00664420" w:rsidRPr="00207577" w:rsidRDefault="0075751F" w:rsidP="00664420">
      <w:pPr>
        <w:pStyle w:val="Ttulo3"/>
        <w:rPr>
          <w:lang w:val="es-ES"/>
        </w:rPr>
      </w:pPr>
      <w:bookmarkStart w:id="30" w:name="_Toc210248693"/>
      <w:r w:rsidRPr="00207577">
        <w:rPr>
          <w:rFonts w:eastAsia="Calibri"/>
          <w:bCs/>
          <w:lang w:eastAsia="en-US"/>
        </w:rPr>
        <w:t>e</w:t>
      </w:r>
      <w:r w:rsidR="00664420" w:rsidRPr="00207577">
        <w:rPr>
          <w:rFonts w:eastAsia="Calibri"/>
          <w:bCs/>
          <w:lang w:eastAsia="en-US"/>
        </w:rPr>
        <w:t>)</w:t>
      </w:r>
      <w:r w:rsidR="00664420" w:rsidRPr="00207577">
        <w:t xml:space="preserve"> </w:t>
      </w:r>
      <w:r w:rsidR="00865CF4" w:rsidRPr="00207577">
        <w:rPr>
          <w:lang w:val="es-ES"/>
        </w:rPr>
        <w:t>Manifestaciones de la Parte Recurrente</w:t>
      </w:r>
      <w:bookmarkEnd w:id="30"/>
    </w:p>
    <w:p w14:paraId="4E8AF011" w14:textId="77777777" w:rsidR="00865CF4" w:rsidRPr="00207577" w:rsidRDefault="00865CF4" w:rsidP="00865CF4">
      <w:pPr>
        <w:rPr>
          <w:rFonts w:eastAsia="Arial Unicode MS" w:cs="Arial"/>
          <w:color w:val="000000" w:themeColor="text1"/>
        </w:rPr>
      </w:pPr>
      <w:r w:rsidRPr="00207577">
        <w:rPr>
          <w:rFonts w:cs="Tahoma"/>
          <w:b/>
          <w:szCs w:val="24"/>
        </w:rPr>
        <w:t xml:space="preserve">LA PARTE RECURRENTE </w:t>
      </w:r>
      <w:r w:rsidRPr="00207577">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207577" w:rsidRDefault="00865CF4" w:rsidP="00865CF4">
      <w:pPr>
        <w:rPr>
          <w:rFonts w:eastAsia="Arial Unicode MS" w:cs="Arial"/>
          <w:color w:val="000000" w:themeColor="text1"/>
        </w:rPr>
      </w:pPr>
    </w:p>
    <w:p w14:paraId="50AD8A26" w14:textId="77777777" w:rsidR="00E02FEA" w:rsidRPr="00207577" w:rsidRDefault="00E02FEA" w:rsidP="00875DF8">
      <w:pPr>
        <w:pStyle w:val="Ttulo3"/>
        <w:rPr>
          <w:rFonts w:eastAsia="Calibri"/>
          <w:bCs/>
          <w:lang w:eastAsia="en-US"/>
        </w:rPr>
      </w:pPr>
      <w:bookmarkStart w:id="31" w:name="_Toc210248694"/>
      <w:r w:rsidRPr="00207577">
        <w:rPr>
          <w:rFonts w:eastAsia="Calibri"/>
          <w:bCs/>
          <w:lang w:eastAsia="en-US"/>
        </w:rPr>
        <w:t>f) Ampliación de Plazo para Resolver</w:t>
      </w:r>
      <w:bookmarkEnd w:id="31"/>
      <w:r w:rsidRPr="00207577">
        <w:rPr>
          <w:rFonts w:eastAsia="Calibri"/>
          <w:bCs/>
          <w:lang w:eastAsia="en-US"/>
        </w:rPr>
        <w:t xml:space="preserve"> </w:t>
      </w:r>
    </w:p>
    <w:p w14:paraId="2C99C087" w14:textId="3F89C82F" w:rsidR="00E02FEA" w:rsidRPr="00207577" w:rsidRDefault="00E02FEA" w:rsidP="00E02FEA">
      <w:pPr>
        <w:rPr>
          <w:rFonts w:eastAsia="Palatino Linotype" w:cs="Palatino Linotype"/>
          <w:color w:val="000000"/>
        </w:rPr>
      </w:pPr>
      <w:r w:rsidRPr="00207577">
        <w:rPr>
          <w:rFonts w:eastAsia="Palatino Linotype" w:cs="Palatino Linotype"/>
          <w:color w:val="000000"/>
        </w:rPr>
        <w:t xml:space="preserve">El </w:t>
      </w:r>
      <w:r w:rsidR="00112E62" w:rsidRPr="00207577">
        <w:rPr>
          <w:rFonts w:eastAsia="Palatino Linotype" w:cs="Palatino Linotype"/>
          <w:b/>
          <w:color w:val="000000"/>
        </w:rPr>
        <w:t>nueve de septiembre d</w:t>
      </w:r>
      <w:r w:rsidRPr="00207577">
        <w:rPr>
          <w:rFonts w:eastAsia="Palatino Linotype" w:cs="Palatino Linotype"/>
          <w:b/>
          <w:color w:val="000000"/>
        </w:rPr>
        <w:t>e dos mil veinticinco</w:t>
      </w:r>
      <w:r w:rsidRPr="00207577">
        <w:rPr>
          <w:rFonts w:eastAsia="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3390AF9B" w14:textId="77777777" w:rsidR="00E02FEA" w:rsidRPr="00207577" w:rsidRDefault="00E02FEA" w:rsidP="00865CF4">
      <w:pPr>
        <w:rPr>
          <w:rFonts w:eastAsia="Arial Unicode MS" w:cs="Arial"/>
          <w:color w:val="000000" w:themeColor="text1"/>
        </w:rPr>
      </w:pPr>
    </w:p>
    <w:p w14:paraId="0E651988" w14:textId="034B025E" w:rsidR="00664420" w:rsidRPr="00207577" w:rsidRDefault="00875DF8" w:rsidP="00664420">
      <w:pPr>
        <w:pStyle w:val="Ttulo3"/>
      </w:pPr>
      <w:bookmarkStart w:id="32" w:name="_Toc172051809"/>
      <w:bookmarkStart w:id="33" w:name="_Toc178101309"/>
      <w:bookmarkStart w:id="34" w:name="_Toc210248695"/>
      <w:r w:rsidRPr="00207577">
        <w:rPr>
          <w:lang w:val="es-ES"/>
        </w:rPr>
        <w:lastRenderedPageBreak/>
        <w:t>g</w:t>
      </w:r>
      <w:r w:rsidR="003F3B84" w:rsidRPr="00207577">
        <w:rPr>
          <w:lang w:val="es-ES"/>
        </w:rPr>
        <w:t xml:space="preserve">) </w:t>
      </w:r>
      <w:bookmarkEnd w:id="32"/>
      <w:bookmarkEnd w:id="33"/>
      <w:r w:rsidR="00664420" w:rsidRPr="00207577">
        <w:t>Cierre de instrucción</w:t>
      </w:r>
      <w:bookmarkEnd w:id="34"/>
    </w:p>
    <w:p w14:paraId="79AF95DC" w14:textId="33151927" w:rsidR="00664420" w:rsidRPr="00207577" w:rsidRDefault="00BF091A" w:rsidP="00664420">
      <w:pPr>
        <w:rPr>
          <w:color w:val="000000" w:themeColor="text1"/>
        </w:rPr>
      </w:pPr>
      <w:r w:rsidRPr="00207577">
        <w:rPr>
          <w:rFonts w:cs="Tahoma"/>
          <w:szCs w:val="22"/>
        </w:rPr>
        <w:t>Al no existir diligencias pendientes por desahogar</w:t>
      </w:r>
      <w:r w:rsidRPr="00207577">
        <w:rPr>
          <w:rFonts w:cs="Arial"/>
          <w:color w:val="000000" w:themeColor="text1"/>
        </w:rPr>
        <w:t xml:space="preserve">, el </w:t>
      </w:r>
      <w:bookmarkStart w:id="35" w:name="_Hlk104892386"/>
      <w:r w:rsidR="00112E62" w:rsidRPr="00207577">
        <w:rPr>
          <w:rFonts w:cs="Arial"/>
          <w:b/>
          <w:color w:val="000000" w:themeColor="text1"/>
        </w:rPr>
        <w:t xml:space="preserve">veinticinco </w:t>
      </w:r>
      <w:r w:rsidR="00E02FEA" w:rsidRPr="00207577">
        <w:rPr>
          <w:rFonts w:cs="Arial"/>
          <w:b/>
          <w:color w:val="000000" w:themeColor="text1"/>
        </w:rPr>
        <w:t xml:space="preserve">de septiembre </w:t>
      </w:r>
      <w:r w:rsidR="009A1340" w:rsidRPr="00207577">
        <w:rPr>
          <w:rFonts w:cs="Arial"/>
          <w:b/>
          <w:color w:val="000000" w:themeColor="text1"/>
        </w:rPr>
        <w:t xml:space="preserve">de dos mil veinticinco </w:t>
      </w:r>
      <w:bookmarkEnd w:id="35"/>
      <w:r w:rsidRPr="00207577">
        <w:rPr>
          <w:rFonts w:cs="Arial"/>
          <w:color w:val="000000" w:themeColor="text1"/>
        </w:rPr>
        <w:t xml:space="preserve">la </w:t>
      </w:r>
      <w:r w:rsidRPr="00207577">
        <w:rPr>
          <w:rFonts w:cs="Arial"/>
          <w:b/>
          <w:bCs/>
          <w:color w:val="000000" w:themeColor="text1"/>
        </w:rPr>
        <w:t xml:space="preserve">Comisionada </w:t>
      </w:r>
      <w:r w:rsidRPr="00207577">
        <w:rPr>
          <w:b/>
          <w:color w:val="000000" w:themeColor="text1"/>
        </w:rPr>
        <w:t xml:space="preserve">Sharon Cristina Morales Martínez </w:t>
      </w:r>
      <w:r w:rsidRPr="00207577">
        <w:rPr>
          <w:rFonts w:cs="Arial"/>
          <w:color w:val="000000" w:themeColor="text1"/>
        </w:rPr>
        <w:t>acordó el cierre de instrucción</w:t>
      </w:r>
      <w:r w:rsidR="0011350D" w:rsidRPr="00207577">
        <w:rPr>
          <w:rFonts w:cs="Arial"/>
          <w:color w:val="000000" w:themeColor="text1"/>
        </w:rPr>
        <w:t xml:space="preserve"> y</w:t>
      </w:r>
      <w:r w:rsidRPr="00207577">
        <w:rPr>
          <w:rFonts w:cs="Arial"/>
          <w:color w:val="000000" w:themeColor="text1"/>
        </w:rPr>
        <w:t xml:space="preserve"> </w:t>
      </w:r>
      <w:r w:rsidR="0011350D" w:rsidRPr="00207577">
        <w:rPr>
          <w:rFonts w:cs="Arial"/>
          <w:color w:val="000000" w:themeColor="text1"/>
        </w:rPr>
        <w:t xml:space="preserve">la </w:t>
      </w:r>
      <w:r w:rsidRPr="00207577">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207577">
        <w:rPr>
          <w:color w:val="000000" w:themeColor="text1"/>
        </w:rPr>
        <w:t>.</w:t>
      </w:r>
      <w:r w:rsidR="0011350D" w:rsidRPr="00207577">
        <w:rPr>
          <w:color w:val="000000" w:themeColor="text1"/>
        </w:rPr>
        <w:t xml:space="preserve"> Dicho acuerdo </w:t>
      </w:r>
      <w:r w:rsidR="00664420" w:rsidRPr="00207577">
        <w:rPr>
          <w:rFonts w:cs="Tahoma"/>
          <w:szCs w:val="22"/>
        </w:rPr>
        <w:t xml:space="preserve">fue notificado a las partes el mismo día a través del </w:t>
      </w:r>
      <w:r w:rsidR="00664420" w:rsidRPr="00207577">
        <w:rPr>
          <w:rFonts w:cs="Tahoma"/>
          <w:szCs w:val="22"/>
          <w:lang w:val="es-ES"/>
        </w:rPr>
        <w:t>SAIMEX</w:t>
      </w:r>
      <w:r w:rsidR="00664420" w:rsidRPr="00207577">
        <w:rPr>
          <w:rFonts w:cs="Tahoma"/>
          <w:szCs w:val="22"/>
        </w:rPr>
        <w:t>.</w:t>
      </w:r>
    </w:p>
    <w:p w14:paraId="741683E3" w14:textId="77777777" w:rsidR="0011350D" w:rsidRPr="00207577" w:rsidRDefault="0011350D" w:rsidP="00664420">
      <w:pPr>
        <w:rPr>
          <w:rFonts w:cs="Tahoma"/>
          <w:color w:val="000000"/>
          <w:szCs w:val="22"/>
        </w:rPr>
      </w:pPr>
    </w:p>
    <w:p w14:paraId="7A9629DE" w14:textId="77777777" w:rsidR="00664420" w:rsidRPr="00207577" w:rsidRDefault="00664420" w:rsidP="00664420">
      <w:pPr>
        <w:pStyle w:val="Ttulo1"/>
        <w:rPr>
          <w:rFonts w:eastAsiaTheme="minorHAnsi"/>
          <w:lang w:eastAsia="en-US"/>
        </w:rPr>
      </w:pPr>
      <w:bookmarkStart w:id="36" w:name="_Toc210248696"/>
      <w:r w:rsidRPr="00207577">
        <w:rPr>
          <w:rFonts w:eastAsiaTheme="minorHAnsi"/>
          <w:lang w:eastAsia="en-US"/>
        </w:rPr>
        <w:t>CONSIDERANDOS</w:t>
      </w:r>
      <w:bookmarkEnd w:id="36"/>
    </w:p>
    <w:p w14:paraId="6DD1243B" w14:textId="77777777" w:rsidR="00664420" w:rsidRPr="00207577" w:rsidRDefault="00664420" w:rsidP="00664420">
      <w:pPr>
        <w:contextualSpacing/>
        <w:jc w:val="center"/>
        <w:rPr>
          <w:rFonts w:eastAsiaTheme="minorHAnsi" w:cs="Tahoma"/>
          <w:b/>
          <w:color w:val="000000" w:themeColor="text1"/>
          <w:szCs w:val="22"/>
          <w:lang w:eastAsia="en-US"/>
        </w:rPr>
      </w:pPr>
    </w:p>
    <w:p w14:paraId="0B67CB92" w14:textId="2E307D3B" w:rsidR="00664420" w:rsidRPr="00207577" w:rsidRDefault="00664420" w:rsidP="00AE3DA7">
      <w:pPr>
        <w:pStyle w:val="Ttulo2"/>
        <w:rPr>
          <w:rFonts w:eastAsia="Batang"/>
        </w:rPr>
      </w:pPr>
      <w:bookmarkStart w:id="37" w:name="_Toc210248697"/>
      <w:r w:rsidRPr="00207577">
        <w:rPr>
          <w:rFonts w:eastAsia="Batang"/>
        </w:rPr>
        <w:t xml:space="preserve">PRIMERO. </w:t>
      </w:r>
      <w:proofErr w:type="spellStart"/>
      <w:r w:rsidR="00BA55A8" w:rsidRPr="00207577">
        <w:rPr>
          <w:rFonts w:eastAsia="Batang"/>
        </w:rPr>
        <w:t>Procedibilidad</w:t>
      </w:r>
      <w:bookmarkEnd w:id="37"/>
      <w:proofErr w:type="spellEnd"/>
    </w:p>
    <w:p w14:paraId="39C52BC1" w14:textId="56FCC20D" w:rsidR="00BA55A8" w:rsidRPr="00207577" w:rsidRDefault="00BA55A8" w:rsidP="00BA55A8">
      <w:pPr>
        <w:pStyle w:val="Ttulo3"/>
      </w:pPr>
      <w:bookmarkStart w:id="38" w:name="_Toc210248698"/>
      <w:r w:rsidRPr="00207577">
        <w:t>a) Competencia</w:t>
      </w:r>
      <w:r w:rsidR="00150C49" w:rsidRPr="00207577">
        <w:t xml:space="preserve"> del Instituto</w:t>
      </w:r>
      <w:bookmarkEnd w:id="38"/>
    </w:p>
    <w:p w14:paraId="56E64942" w14:textId="62F621A7" w:rsidR="0011350D" w:rsidRPr="00207577" w:rsidRDefault="0011350D" w:rsidP="0011350D">
      <w:pPr>
        <w:rPr>
          <w:rFonts w:cs="Arial"/>
          <w:color w:val="000000" w:themeColor="text1"/>
        </w:rPr>
      </w:pPr>
      <w:r w:rsidRPr="00207577">
        <w:rPr>
          <w:color w:val="000000" w:themeColor="text1"/>
        </w:rPr>
        <w:t xml:space="preserve">Este Instituto de Transparencia, Acceso a la Información Pública y Protección de Datos Personales del Estado de México y Municipios es competente para conocer y resolver </w:t>
      </w:r>
      <w:r w:rsidR="005F65B7" w:rsidRPr="00207577">
        <w:rPr>
          <w:color w:val="000000" w:themeColor="text1"/>
        </w:rPr>
        <w:t xml:space="preserve">el </w:t>
      </w:r>
      <w:r w:rsidRPr="00207577">
        <w:rPr>
          <w:color w:val="000000" w:themeColor="text1"/>
        </w:rPr>
        <w:t xml:space="preserve">presente Recurso de Revisión, conforme a lo dispuesto en los artículos 6, Apartado A de la Constitución Política de los Estados Unidos Mexicanos; 5, </w:t>
      </w:r>
      <w:r w:rsidR="005373B5" w:rsidRPr="00207577">
        <w:rPr>
          <w:bCs/>
        </w:rPr>
        <w:t xml:space="preserve">párrafos trigésimo noveno, cuadragésimo y cuadragésimo primero, fracciones IV y V, </w:t>
      </w:r>
      <w:r w:rsidRPr="00207577">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207577">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207577" w:rsidRDefault="00DB1C09" w:rsidP="0011350D">
      <w:pPr>
        <w:rPr>
          <w:rFonts w:cs="Arial"/>
          <w:color w:val="000000" w:themeColor="text1"/>
        </w:rPr>
      </w:pPr>
    </w:p>
    <w:p w14:paraId="517A2DD6" w14:textId="4169BE4D" w:rsidR="00664420" w:rsidRPr="00207577" w:rsidRDefault="00BA55A8" w:rsidP="00BA55A8">
      <w:pPr>
        <w:pStyle w:val="Ttulo3"/>
      </w:pPr>
      <w:bookmarkStart w:id="39" w:name="_Toc210248699"/>
      <w:r w:rsidRPr="00207577">
        <w:lastRenderedPageBreak/>
        <w:t>b)</w:t>
      </w:r>
      <w:r w:rsidR="00664420" w:rsidRPr="00207577">
        <w:t xml:space="preserve"> </w:t>
      </w:r>
      <w:r w:rsidR="00D91CB4" w:rsidRPr="00207577">
        <w:t>Legitimidad</w:t>
      </w:r>
      <w:r w:rsidRPr="00207577">
        <w:t xml:space="preserve"> de la parte recurrente</w:t>
      </w:r>
      <w:bookmarkEnd w:id="39"/>
    </w:p>
    <w:p w14:paraId="26FEA382" w14:textId="0B06695C" w:rsidR="00D91CB4" w:rsidRPr="00207577" w:rsidRDefault="00D91CB4" w:rsidP="00D91CB4">
      <w:pPr>
        <w:rPr>
          <w:rFonts w:cs="Arial"/>
          <w:bCs/>
          <w:color w:val="000000" w:themeColor="text1"/>
        </w:rPr>
      </w:pPr>
      <w:r w:rsidRPr="00207577">
        <w:rPr>
          <w:rFonts w:cs="Arial"/>
          <w:bCs/>
          <w:color w:val="000000" w:themeColor="text1"/>
        </w:rPr>
        <w:t>El recurso de revisión fue interpuesto por parte legítima, ya que se presentó por la misma persona que formuló la solicitud de acceso a la Información Pública,</w:t>
      </w:r>
      <w:r w:rsidRPr="00207577">
        <w:rPr>
          <w:rFonts w:cs="Arial"/>
          <w:b/>
          <w:bCs/>
          <w:color w:val="000000" w:themeColor="text1"/>
        </w:rPr>
        <w:t xml:space="preserve"> </w:t>
      </w:r>
      <w:r w:rsidRPr="00207577">
        <w:rPr>
          <w:rFonts w:cs="Arial"/>
          <w:color w:val="000000" w:themeColor="text1"/>
        </w:rPr>
        <w:t>debido a que los datos de acceso</w:t>
      </w:r>
      <w:r w:rsidRPr="00207577">
        <w:rPr>
          <w:rFonts w:cs="Arial"/>
          <w:b/>
          <w:bCs/>
          <w:color w:val="000000" w:themeColor="text1"/>
        </w:rPr>
        <w:t xml:space="preserve"> </w:t>
      </w:r>
      <w:r w:rsidRPr="00207577">
        <w:rPr>
          <w:rFonts w:cs="Arial"/>
          <w:b/>
          <w:color w:val="000000" w:themeColor="text1"/>
        </w:rPr>
        <w:t>SAIMEX</w:t>
      </w:r>
      <w:r w:rsidRPr="00207577">
        <w:rPr>
          <w:rFonts w:eastAsia="Calibri" w:cs="Arial"/>
          <w:color w:val="000000" w:themeColor="text1"/>
          <w:lang w:eastAsia="en-US"/>
        </w:rPr>
        <w:t xml:space="preserve"> son personales e irrepetibles.</w:t>
      </w:r>
    </w:p>
    <w:p w14:paraId="2C367810" w14:textId="77777777" w:rsidR="00D91CB4" w:rsidRPr="00207577" w:rsidRDefault="00D91CB4" w:rsidP="00D91CB4"/>
    <w:p w14:paraId="5C5FA5A8" w14:textId="77777777" w:rsidR="004565C2" w:rsidRPr="00207577" w:rsidRDefault="004565C2" w:rsidP="004565C2">
      <w:pPr>
        <w:pStyle w:val="Ttulo3"/>
        <w:rPr>
          <w:rFonts w:eastAsia="Calibri"/>
          <w:lang w:eastAsia="es-ES_tradnl"/>
        </w:rPr>
      </w:pPr>
      <w:bookmarkStart w:id="40" w:name="_Toc170932820"/>
      <w:bookmarkStart w:id="41" w:name="_Toc210248700"/>
      <w:r w:rsidRPr="00207577">
        <w:rPr>
          <w:rFonts w:eastAsia="Calibri"/>
          <w:lang w:eastAsia="es-ES_tradnl"/>
        </w:rPr>
        <w:t>c) Plazo para interponer el recurso</w:t>
      </w:r>
      <w:bookmarkEnd w:id="40"/>
      <w:bookmarkEnd w:id="41"/>
    </w:p>
    <w:p w14:paraId="5C63152A" w14:textId="350BAA32" w:rsidR="004565C2" w:rsidRPr="00207577" w:rsidRDefault="004565C2" w:rsidP="004565C2">
      <w:pPr>
        <w:rPr>
          <w:rFonts w:eastAsiaTheme="minorEastAsia" w:cs="Arial"/>
          <w:color w:val="000000" w:themeColor="text1"/>
          <w:lang w:val="es-ES_tradnl"/>
        </w:rPr>
      </w:pPr>
      <w:r w:rsidRPr="00207577">
        <w:rPr>
          <w:rFonts w:cs="Arial"/>
          <w:b/>
          <w:color w:val="000000" w:themeColor="text1"/>
        </w:rPr>
        <w:t>EL SUJETO OBLIGADO</w:t>
      </w:r>
      <w:r w:rsidRPr="00207577">
        <w:rPr>
          <w:rFonts w:cs="Arial"/>
          <w:color w:val="000000" w:themeColor="text1"/>
        </w:rPr>
        <w:t xml:space="preserve"> notificó la respuesta a la solicitud de acceso a la Información Pública el </w:t>
      </w:r>
      <w:r w:rsidR="004222DE" w:rsidRPr="00207577">
        <w:rPr>
          <w:rFonts w:eastAsia="Palatino Linotype" w:cs="Palatino Linotype"/>
          <w:b/>
        </w:rPr>
        <w:t xml:space="preserve">veinte de </w:t>
      </w:r>
      <w:r w:rsidR="00CA0628" w:rsidRPr="00207577">
        <w:rPr>
          <w:rFonts w:eastAsia="Palatino Linotype" w:cs="Palatino Linotype"/>
          <w:b/>
        </w:rPr>
        <w:t xml:space="preserve">junio </w:t>
      </w:r>
      <w:r w:rsidR="00B373AF" w:rsidRPr="00207577">
        <w:rPr>
          <w:rFonts w:eastAsia="Palatino Linotype" w:cs="Palatino Linotype"/>
          <w:b/>
        </w:rPr>
        <w:t>d</w:t>
      </w:r>
      <w:r w:rsidR="009A1340" w:rsidRPr="00207577">
        <w:rPr>
          <w:rFonts w:eastAsia="Palatino Linotype" w:cs="Palatino Linotype"/>
          <w:b/>
        </w:rPr>
        <w:t xml:space="preserve">e dos mil veinticinco </w:t>
      </w:r>
      <w:r w:rsidRPr="00207577">
        <w:rPr>
          <w:rFonts w:cs="Arial"/>
          <w:color w:val="000000" w:themeColor="text1"/>
        </w:rPr>
        <w:t xml:space="preserve">y el recurso </w:t>
      </w:r>
      <w:r w:rsidRPr="00207577">
        <w:rPr>
          <w:rFonts w:eastAsia="Palatino Linotype" w:cs="Palatino Linotype"/>
          <w:color w:val="000000" w:themeColor="text1"/>
        </w:rPr>
        <w:t xml:space="preserve">que nos ocupa se </w:t>
      </w:r>
      <w:r w:rsidR="00E27023" w:rsidRPr="00207577">
        <w:rPr>
          <w:rFonts w:eastAsia="Palatino Linotype" w:cs="Palatino Linotype"/>
          <w:color w:val="000000" w:themeColor="text1"/>
        </w:rPr>
        <w:t xml:space="preserve">tuvo por </w:t>
      </w:r>
      <w:r w:rsidRPr="00207577">
        <w:rPr>
          <w:rFonts w:eastAsia="Palatino Linotype" w:cs="Palatino Linotype"/>
          <w:color w:val="000000" w:themeColor="text1"/>
        </w:rPr>
        <w:t>interpu</w:t>
      </w:r>
      <w:r w:rsidR="00E27023" w:rsidRPr="00207577">
        <w:rPr>
          <w:rFonts w:eastAsia="Palatino Linotype" w:cs="Palatino Linotype"/>
          <w:color w:val="000000" w:themeColor="text1"/>
        </w:rPr>
        <w:t>esto</w:t>
      </w:r>
      <w:r w:rsidRPr="00207577">
        <w:rPr>
          <w:rFonts w:eastAsia="Palatino Linotype" w:cs="Palatino Linotype"/>
          <w:color w:val="000000" w:themeColor="text1"/>
        </w:rPr>
        <w:t xml:space="preserve"> el </w:t>
      </w:r>
      <w:r w:rsidR="004222DE" w:rsidRPr="00207577">
        <w:rPr>
          <w:rFonts w:eastAsia="Palatino Linotype" w:cs="Palatino Linotype"/>
          <w:b/>
          <w:color w:val="000000" w:themeColor="text1"/>
        </w:rPr>
        <w:t xml:space="preserve">veintitrés </w:t>
      </w:r>
      <w:r w:rsidR="00CA0628" w:rsidRPr="00207577">
        <w:rPr>
          <w:rFonts w:eastAsia="Palatino Linotype" w:cs="Palatino Linotype"/>
          <w:b/>
          <w:color w:val="000000" w:themeColor="text1"/>
        </w:rPr>
        <w:t xml:space="preserve">de junio </w:t>
      </w:r>
      <w:r w:rsidR="009A1340" w:rsidRPr="00207577">
        <w:rPr>
          <w:rFonts w:eastAsia="Palatino Linotype" w:cs="Palatino Linotype"/>
          <w:b/>
          <w:color w:val="000000" w:themeColor="text1"/>
        </w:rPr>
        <w:t>de dos mil veinticinco</w:t>
      </w:r>
      <w:r w:rsidRPr="00207577">
        <w:rPr>
          <w:rFonts w:eastAsia="Palatino Linotype" w:cs="Palatino Linotype"/>
          <w:bCs/>
          <w:color w:val="000000" w:themeColor="text1"/>
        </w:rPr>
        <w:t>;</w:t>
      </w:r>
      <w:r w:rsidRPr="00207577">
        <w:rPr>
          <w:rFonts w:eastAsia="Palatino Linotype" w:cs="Palatino Linotype"/>
          <w:color w:val="000000" w:themeColor="text1"/>
        </w:rPr>
        <w:t xml:space="preserve"> por lo tanto, éste se encuentra dentro del margen temporal previsto en el artículo 178 de la </w:t>
      </w:r>
      <w:r w:rsidRPr="00207577">
        <w:rPr>
          <w:rFonts w:cs="Arial"/>
          <w:color w:val="000000" w:themeColor="text1"/>
        </w:rPr>
        <w:t>Ley de Transparencia y Acceso a la Información Pública del Estado de México y Municipios</w:t>
      </w:r>
      <w:r w:rsidRPr="00207577">
        <w:rPr>
          <w:rFonts w:eastAsiaTheme="minorEastAsia" w:cs="Arial"/>
          <w:color w:val="000000" w:themeColor="text1"/>
          <w:lang w:val="es-ES_tradnl"/>
        </w:rPr>
        <w:t>.</w:t>
      </w:r>
    </w:p>
    <w:p w14:paraId="41262D82" w14:textId="77777777" w:rsidR="00813497" w:rsidRPr="00207577" w:rsidRDefault="00813497" w:rsidP="00D91CB4"/>
    <w:p w14:paraId="46C0EB3A" w14:textId="5A92AF42" w:rsidR="00A53315" w:rsidRPr="00207577" w:rsidRDefault="00BA55A8" w:rsidP="00362A11">
      <w:pPr>
        <w:pStyle w:val="Ttulo3"/>
        <w:rPr>
          <w:rFonts w:eastAsia="Calibri"/>
          <w:lang w:eastAsia="es-ES_tradnl"/>
        </w:rPr>
      </w:pPr>
      <w:bookmarkStart w:id="42" w:name="_Toc210248701"/>
      <w:r w:rsidRPr="00207577">
        <w:rPr>
          <w:rFonts w:eastAsia="Calibri"/>
          <w:lang w:eastAsia="es-ES_tradnl"/>
        </w:rPr>
        <w:t>d)</w:t>
      </w:r>
      <w:r w:rsidR="00D91CB4" w:rsidRPr="00207577">
        <w:rPr>
          <w:rFonts w:eastAsia="Calibri"/>
          <w:lang w:eastAsia="es-ES_tradnl"/>
        </w:rPr>
        <w:t xml:space="preserve"> </w:t>
      </w:r>
      <w:r w:rsidR="004565C2" w:rsidRPr="00207577">
        <w:rPr>
          <w:rFonts w:eastAsia="Calibri"/>
          <w:lang w:eastAsia="es-ES_tradnl"/>
        </w:rPr>
        <w:t>Causal de procedencia</w:t>
      </w:r>
      <w:bookmarkEnd w:id="42"/>
    </w:p>
    <w:p w14:paraId="190404A6" w14:textId="3527FF28" w:rsidR="00BA55A8" w:rsidRPr="00207577" w:rsidRDefault="00BA55A8" w:rsidP="00BA55A8">
      <w:r w:rsidRPr="00207577">
        <w:rPr>
          <w:rFonts w:cs="Arial"/>
        </w:rPr>
        <w:t xml:space="preserve">Resulta procedente la interposición del recurso de revisión, ya que </w:t>
      </w:r>
      <w:r w:rsidRPr="00207577">
        <w:rPr>
          <w:rFonts w:eastAsia="Calibri" w:cs="Tahoma"/>
          <w:color w:val="000000"/>
          <w:szCs w:val="22"/>
          <w:lang w:eastAsia="es-MX"/>
        </w:rPr>
        <w:t xml:space="preserve">se actualiza la causal de procedencia señalada en el artículo 179, fracción </w:t>
      </w:r>
      <w:r w:rsidR="004222DE" w:rsidRPr="00207577">
        <w:rPr>
          <w:rFonts w:eastAsia="Calibri" w:cs="Tahoma"/>
          <w:color w:val="000000"/>
          <w:szCs w:val="22"/>
          <w:lang w:eastAsia="es-MX"/>
        </w:rPr>
        <w:t>II</w:t>
      </w:r>
      <w:r w:rsidRPr="00207577">
        <w:rPr>
          <w:rFonts w:cs="Arial"/>
        </w:rPr>
        <w:t xml:space="preserve"> de la </w:t>
      </w:r>
      <w:r w:rsidRPr="00207577">
        <w:t>Ley de Transparencia y Acceso a la Información Pública del Estado de México y Municipios.</w:t>
      </w:r>
    </w:p>
    <w:p w14:paraId="0EFF7141" w14:textId="77777777" w:rsidR="00362A11" w:rsidRPr="00207577" w:rsidRDefault="00362A11" w:rsidP="00BA55A8"/>
    <w:p w14:paraId="2284D7EB" w14:textId="3EE1D036" w:rsidR="00BA55A8" w:rsidRPr="00207577" w:rsidRDefault="00362A11" w:rsidP="00362A11">
      <w:pPr>
        <w:pStyle w:val="Ttulo3"/>
      </w:pPr>
      <w:bookmarkStart w:id="43" w:name="_Toc210248702"/>
      <w:r w:rsidRPr="00207577">
        <w:t>e) Requisitos formales para la interposición del recurso</w:t>
      </w:r>
      <w:bookmarkEnd w:id="43"/>
    </w:p>
    <w:p w14:paraId="677C7009" w14:textId="77777777" w:rsidR="00185C7C" w:rsidRPr="00207577" w:rsidRDefault="00185C7C" w:rsidP="00185C7C">
      <w:pPr>
        <w:rPr>
          <w:rFonts w:cs="Arial"/>
        </w:rPr>
      </w:pPr>
      <w:r w:rsidRPr="00207577">
        <w:rPr>
          <w:rFonts w:cs="Arial"/>
          <w:b/>
          <w:bCs/>
        </w:rPr>
        <w:t xml:space="preserve">LA PARTE RECURRENTE </w:t>
      </w:r>
      <w:r w:rsidRPr="00207577">
        <w:rPr>
          <w:rFonts w:cs="Arial"/>
        </w:rPr>
        <w:t>acreditó todos y cada uno de los elementos formales exigidos por el artículo 180 de la misma normatividad.</w:t>
      </w:r>
    </w:p>
    <w:p w14:paraId="2BE2EBCD" w14:textId="77777777" w:rsidR="00185C7C" w:rsidRPr="00207577" w:rsidRDefault="00185C7C" w:rsidP="00185C7C">
      <w:pPr>
        <w:rPr>
          <w:rFonts w:cs="Arial"/>
        </w:rPr>
      </w:pPr>
    </w:p>
    <w:p w14:paraId="457548E9" w14:textId="3F7AF03B" w:rsidR="00C71CEF" w:rsidRPr="00207577" w:rsidRDefault="00C71CEF" w:rsidP="00C71CEF">
      <w:pPr>
        <w:pStyle w:val="Ttulo2"/>
      </w:pPr>
      <w:bookmarkStart w:id="44" w:name="_Toc210248703"/>
      <w:r w:rsidRPr="00207577">
        <w:lastRenderedPageBreak/>
        <w:t>SEGUNDO. Estudio de Fondo</w:t>
      </w:r>
      <w:bookmarkEnd w:id="44"/>
    </w:p>
    <w:p w14:paraId="2A308F59" w14:textId="0FF373F0" w:rsidR="00C049E2" w:rsidRPr="00207577" w:rsidRDefault="00C71CEF" w:rsidP="00A21A20">
      <w:pPr>
        <w:pStyle w:val="Ttulo3"/>
      </w:pPr>
      <w:bookmarkStart w:id="45" w:name="_Toc210248704"/>
      <w:r w:rsidRPr="00207577">
        <w:t>a</w:t>
      </w:r>
      <w:r w:rsidR="00C049E2" w:rsidRPr="00207577">
        <w:t>) Mandato de transparencia y responsabilidad del Sujeto Obligado</w:t>
      </w:r>
      <w:bookmarkEnd w:id="45"/>
    </w:p>
    <w:p w14:paraId="6901A889" w14:textId="59EEDAE1" w:rsidR="00C049E2" w:rsidRPr="00207577" w:rsidRDefault="00C049E2" w:rsidP="00C049E2">
      <w:pPr>
        <w:rPr>
          <w:rFonts w:eastAsia="Palatino Linotype"/>
        </w:rPr>
      </w:pPr>
      <w:r w:rsidRPr="00207577">
        <w:rPr>
          <w:rFonts w:eastAsia="Palatino Linotype"/>
        </w:rPr>
        <w:t xml:space="preserve">El </w:t>
      </w:r>
      <w:r w:rsidR="00717E59" w:rsidRPr="00207577">
        <w:rPr>
          <w:rFonts w:eastAsia="Palatino Linotype"/>
        </w:rPr>
        <w:t>d</w:t>
      </w:r>
      <w:r w:rsidRPr="00207577">
        <w:rPr>
          <w:rFonts w:eastAsia="Palatino Linotype"/>
        </w:rPr>
        <w:t xml:space="preserve">erecho de </w:t>
      </w:r>
      <w:r w:rsidR="00717E59" w:rsidRPr="00207577">
        <w:rPr>
          <w:rFonts w:eastAsia="Palatino Linotype"/>
        </w:rPr>
        <w:t>a</w:t>
      </w:r>
      <w:r w:rsidRPr="00207577">
        <w:rPr>
          <w:rFonts w:eastAsia="Palatino Linotype"/>
        </w:rPr>
        <w:t xml:space="preserve">cceso a la </w:t>
      </w:r>
      <w:r w:rsidR="00717E59" w:rsidRPr="00207577">
        <w:rPr>
          <w:rFonts w:eastAsia="Palatino Linotype"/>
        </w:rPr>
        <w:t>i</w:t>
      </w:r>
      <w:r w:rsidRPr="00207577">
        <w:rPr>
          <w:rFonts w:eastAsia="Palatino Linotype"/>
        </w:rPr>
        <w:t xml:space="preserve">nformación </w:t>
      </w:r>
      <w:r w:rsidR="00717E59" w:rsidRPr="00207577">
        <w:rPr>
          <w:rFonts w:eastAsia="Palatino Linotype"/>
        </w:rPr>
        <w:t>p</w:t>
      </w:r>
      <w:r w:rsidRPr="0020757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07577">
        <w:rPr>
          <w:rFonts w:eastAsia="Palatino Linotype"/>
        </w:rPr>
        <w:t>:</w:t>
      </w:r>
    </w:p>
    <w:p w14:paraId="7FAB8D32" w14:textId="77777777" w:rsidR="00C049E2" w:rsidRPr="00207577" w:rsidRDefault="00C049E2" w:rsidP="00C049E2">
      <w:pPr>
        <w:rPr>
          <w:rFonts w:eastAsia="Palatino Linotype"/>
        </w:rPr>
      </w:pPr>
    </w:p>
    <w:p w14:paraId="05320813" w14:textId="77777777" w:rsidR="00C049E2" w:rsidRPr="00207577" w:rsidRDefault="00C049E2" w:rsidP="004C43D3">
      <w:pPr>
        <w:pStyle w:val="Puesto"/>
        <w:rPr>
          <w:rFonts w:eastAsia="Palatino Linotype"/>
          <w:b/>
        </w:rPr>
      </w:pPr>
      <w:r w:rsidRPr="00207577">
        <w:rPr>
          <w:rFonts w:eastAsia="Palatino Linotype"/>
          <w:b/>
        </w:rPr>
        <w:t>Constitución Política de los Estados Unidos Mexicanos</w:t>
      </w:r>
    </w:p>
    <w:p w14:paraId="6B6C67B6" w14:textId="77777777" w:rsidR="00C049E2" w:rsidRPr="00207577" w:rsidRDefault="00C049E2" w:rsidP="004C43D3">
      <w:pPr>
        <w:pStyle w:val="Puesto"/>
        <w:rPr>
          <w:rFonts w:eastAsia="Palatino Linotype"/>
          <w:b/>
        </w:rPr>
      </w:pPr>
      <w:r w:rsidRPr="00207577">
        <w:rPr>
          <w:rFonts w:eastAsia="Palatino Linotype"/>
        </w:rPr>
        <w:t>“</w:t>
      </w:r>
      <w:r w:rsidRPr="00207577">
        <w:rPr>
          <w:rFonts w:eastAsia="Palatino Linotype"/>
          <w:b/>
        </w:rPr>
        <w:t>Artículo 6.</w:t>
      </w:r>
    </w:p>
    <w:p w14:paraId="38D3B4C4" w14:textId="77777777" w:rsidR="00C049E2" w:rsidRPr="00207577" w:rsidRDefault="00C049E2" w:rsidP="004C43D3">
      <w:pPr>
        <w:pStyle w:val="Puesto"/>
        <w:rPr>
          <w:rFonts w:eastAsia="Palatino Linotype"/>
        </w:rPr>
      </w:pPr>
      <w:r w:rsidRPr="00207577">
        <w:rPr>
          <w:rFonts w:eastAsia="Palatino Linotype"/>
        </w:rPr>
        <w:t>(…)</w:t>
      </w:r>
    </w:p>
    <w:p w14:paraId="2CCAA297" w14:textId="6602827B" w:rsidR="00C049E2" w:rsidRPr="00207577" w:rsidRDefault="00C049E2" w:rsidP="004C43D3">
      <w:pPr>
        <w:pStyle w:val="Puesto"/>
        <w:rPr>
          <w:rFonts w:eastAsia="Palatino Linotype"/>
        </w:rPr>
      </w:pPr>
      <w:r w:rsidRPr="00207577">
        <w:rPr>
          <w:rFonts w:eastAsia="Palatino Linotype"/>
        </w:rPr>
        <w:t>Para efectos de lo dispuesto en el presente artículo se observará lo siguiente:</w:t>
      </w:r>
    </w:p>
    <w:p w14:paraId="74CC3718" w14:textId="77777777" w:rsidR="00C049E2" w:rsidRPr="00207577" w:rsidRDefault="00C049E2" w:rsidP="004C43D3">
      <w:pPr>
        <w:pStyle w:val="Puesto"/>
        <w:rPr>
          <w:rFonts w:eastAsia="Palatino Linotype"/>
        </w:rPr>
      </w:pPr>
      <w:r w:rsidRPr="0020757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207577" w:rsidRDefault="00C049E2" w:rsidP="004C43D3">
      <w:pPr>
        <w:pStyle w:val="Puesto"/>
        <w:rPr>
          <w:rFonts w:eastAsia="Palatino Linotype"/>
        </w:rPr>
      </w:pPr>
      <w:r w:rsidRPr="00207577">
        <w:rPr>
          <w:rFonts w:eastAsia="Palatino Linotype"/>
        </w:rPr>
        <w:t xml:space="preserve">I. </w:t>
      </w:r>
      <w:r w:rsidRPr="00207577">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207577" w:rsidRDefault="00C049E2" w:rsidP="004C43D3">
      <w:pPr>
        <w:pStyle w:val="Puesto"/>
        <w:rPr>
          <w:rFonts w:eastAsia="Palatino Linotype"/>
        </w:rPr>
      </w:pPr>
    </w:p>
    <w:p w14:paraId="504F12DB" w14:textId="77777777" w:rsidR="00C049E2" w:rsidRPr="00207577" w:rsidRDefault="00C049E2" w:rsidP="004C43D3">
      <w:pPr>
        <w:pStyle w:val="Puesto"/>
        <w:rPr>
          <w:rFonts w:eastAsia="Palatino Linotype"/>
          <w:b/>
        </w:rPr>
      </w:pPr>
      <w:r w:rsidRPr="00207577">
        <w:rPr>
          <w:rFonts w:eastAsia="Palatino Linotype"/>
          <w:b/>
        </w:rPr>
        <w:t>Constitución Política del Estado Libre y Soberano de México</w:t>
      </w:r>
    </w:p>
    <w:p w14:paraId="04932D29" w14:textId="77777777" w:rsidR="00C049E2" w:rsidRPr="00207577" w:rsidRDefault="00C049E2" w:rsidP="004C43D3">
      <w:pPr>
        <w:pStyle w:val="Puesto"/>
        <w:rPr>
          <w:rFonts w:eastAsia="Palatino Linotype"/>
          <w:b/>
        </w:rPr>
      </w:pPr>
      <w:r w:rsidRPr="00207577">
        <w:rPr>
          <w:rFonts w:eastAsia="Palatino Linotype"/>
        </w:rPr>
        <w:t>“</w:t>
      </w:r>
      <w:r w:rsidRPr="00207577">
        <w:rPr>
          <w:rFonts w:eastAsia="Palatino Linotype"/>
          <w:b/>
        </w:rPr>
        <w:t xml:space="preserve">Artículo 5.- </w:t>
      </w:r>
    </w:p>
    <w:p w14:paraId="1D3829F4" w14:textId="77777777" w:rsidR="00C049E2" w:rsidRPr="00207577" w:rsidRDefault="00C049E2" w:rsidP="004C43D3">
      <w:pPr>
        <w:pStyle w:val="Puesto"/>
        <w:rPr>
          <w:rFonts w:eastAsia="Palatino Linotype"/>
        </w:rPr>
      </w:pPr>
      <w:r w:rsidRPr="00207577">
        <w:rPr>
          <w:rFonts w:eastAsia="Palatino Linotype"/>
        </w:rPr>
        <w:t>(…)</w:t>
      </w:r>
    </w:p>
    <w:p w14:paraId="0EAE47FD" w14:textId="77777777" w:rsidR="00C049E2" w:rsidRPr="00207577" w:rsidRDefault="00C049E2" w:rsidP="004C43D3">
      <w:pPr>
        <w:pStyle w:val="Puesto"/>
        <w:rPr>
          <w:rFonts w:eastAsia="Palatino Linotype"/>
        </w:rPr>
      </w:pPr>
      <w:r w:rsidRPr="0020757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207577" w:rsidRDefault="00C049E2" w:rsidP="004C43D3">
      <w:pPr>
        <w:pStyle w:val="Puesto"/>
        <w:rPr>
          <w:rFonts w:eastAsia="Palatino Linotype"/>
        </w:rPr>
      </w:pPr>
      <w:r w:rsidRPr="0020757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07577" w:rsidRDefault="00C049E2" w:rsidP="004C43D3">
      <w:pPr>
        <w:pStyle w:val="Puesto"/>
        <w:rPr>
          <w:rFonts w:eastAsia="Palatino Linotype"/>
        </w:rPr>
      </w:pPr>
      <w:r w:rsidRPr="00207577">
        <w:rPr>
          <w:rFonts w:eastAsia="Palatino Linotype"/>
        </w:rPr>
        <w:t>Este derecho se regirá por los principios y bases siguientes:</w:t>
      </w:r>
    </w:p>
    <w:p w14:paraId="4A3E8CBA" w14:textId="77777777" w:rsidR="00C049E2" w:rsidRPr="00207577" w:rsidRDefault="00C049E2" w:rsidP="004C43D3">
      <w:pPr>
        <w:pStyle w:val="Puesto"/>
        <w:rPr>
          <w:rFonts w:eastAsia="Palatino Linotype"/>
        </w:rPr>
      </w:pPr>
      <w:r w:rsidRPr="00207577">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207577" w:rsidRDefault="00C049E2" w:rsidP="00C049E2">
      <w:pPr>
        <w:rPr>
          <w:rFonts w:eastAsia="Palatino Linotype"/>
          <w:b/>
          <w:i/>
        </w:rPr>
      </w:pPr>
    </w:p>
    <w:p w14:paraId="6FC1BB3B" w14:textId="3BF4A33D" w:rsidR="00C049E2" w:rsidRPr="00207577" w:rsidRDefault="00717E59" w:rsidP="00331F35">
      <w:pPr>
        <w:rPr>
          <w:rFonts w:eastAsia="Palatino Linotype"/>
          <w:i/>
        </w:rPr>
      </w:pPr>
      <w:r w:rsidRPr="00207577">
        <w:rPr>
          <w:rFonts w:eastAsia="Palatino Linotype"/>
        </w:rPr>
        <w:t xml:space="preserve">Asimismo, </w:t>
      </w:r>
      <w:r w:rsidR="00C049E2" w:rsidRPr="00207577">
        <w:rPr>
          <w:rFonts w:eastAsia="Palatino Linotype"/>
        </w:rPr>
        <w:t>el artículo 150 de la Ley de Transparencia y Acceso a la Información Pública del Estado de México y Municipios</w:t>
      </w:r>
      <w:r w:rsidR="00057B2D" w:rsidRPr="00207577">
        <w:rPr>
          <w:rFonts w:eastAsia="Palatino Linotype"/>
        </w:rPr>
        <w:t xml:space="preserve"> </w:t>
      </w:r>
      <w:r w:rsidR="00E9335C" w:rsidRPr="00207577">
        <w:rPr>
          <w:rFonts w:eastAsia="Palatino Linotype"/>
        </w:rPr>
        <w:t xml:space="preserve">indica </w:t>
      </w:r>
      <w:r w:rsidR="00057B2D" w:rsidRPr="00207577">
        <w:rPr>
          <w:rFonts w:eastAsia="Palatino Linotype"/>
        </w:rPr>
        <w:t>que</w:t>
      </w:r>
      <w:r w:rsidR="00C049E2" w:rsidRPr="00207577">
        <w:rPr>
          <w:rFonts w:eastAsia="Palatino Linotype"/>
        </w:rPr>
        <w:t xml:space="preserve"> la solicitud es la garantía primaria del Derecho de Acceso a la Información, además, establece que se regirá </w:t>
      </w:r>
      <w:r w:rsidR="00C049E2" w:rsidRPr="00207577">
        <w:rPr>
          <w:rFonts w:eastAsia="Palatino Linotype"/>
          <w:i/>
        </w:rPr>
        <w:t>por los principios de simplicidad, rapidez</w:t>
      </w:r>
      <w:r w:rsidR="005F65B7" w:rsidRPr="00207577">
        <w:rPr>
          <w:rFonts w:eastAsia="Palatino Linotype"/>
          <w:i/>
        </w:rPr>
        <w:t>,</w:t>
      </w:r>
      <w:r w:rsidR="00C049E2" w:rsidRPr="00207577">
        <w:rPr>
          <w:rFonts w:eastAsia="Palatino Linotype"/>
          <w:i/>
        </w:rPr>
        <w:t xml:space="preserve"> gratuidad del procedimiento, auxilio y orientación a los particulare</w:t>
      </w:r>
      <w:r w:rsidR="001A58B3" w:rsidRPr="00207577">
        <w:rPr>
          <w:rFonts w:eastAsia="Palatino Linotype"/>
          <w:i/>
        </w:rPr>
        <w:t>s.</w:t>
      </w:r>
    </w:p>
    <w:p w14:paraId="033466A6" w14:textId="77777777" w:rsidR="001A58B3" w:rsidRPr="00207577" w:rsidRDefault="001A58B3" w:rsidP="00331F35">
      <w:pPr>
        <w:rPr>
          <w:rFonts w:eastAsia="Palatino Linotype"/>
          <w:i/>
        </w:rPr>
      </w:pPr>
    </w:p>
    <w:p w14:paraId="04ADA10B" w14:textId="574A944A" w:rsidR="001A58B3" w:rsidRPr="00207577" w:rsidRDefault="00233F17" w:rsidP="00331F35">
      <w:pPr>
        <w:rPr>
          <w:rFonts w:eastAsia="Palatino Linotype" w:cs="Palatino Linotype"/>
          <w:i/>
          <w:szCs w:val="22"/>
        </w:rPr>
      </w:pPr>
      <w:r w:rsidRPr="00207577">
        <w:rPr>
          <w:rFonts w:eastAsia="Palatino Linotype" w:cs="Palatino Linotype"/>
        </w:rPr>
        <w:t xml:space="preserve">Por su parte, el artículo 4 de </w:t>
      </w:r>
      <w:r w:rsidR="001A58B3" w:rsidRPr="0020757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07577">
        <w:rPr>
          <w:rFonts w:eastAsia="Palatino Linotype" w:cs="Palatino Linotype"/>
        </w:rPr>
        <w:t>.</w:t>
      </w:r>
    </w:p>
    <w:p w14:paraId="1407DBB8" w14:textId="77777777" w:rsidR="001A58B3" w:rsidRPr="00207577" w:rsidRDefault="001A58B3" w:rsidP="00331F35">
      <w:pPr>
        <w:rPr>
          <w:rFonts w:eastAsia="Palatino Linotype" w:cs="Palatino Linotype"/>
        </w:rPr>
      </w:pPr>
    </w:p>
    <w:p w14:paraId="7552AA79" w14:textId="5C52E4A4" w:rsidR="001A58B3" w:rsidRPr="00207577" w:rsidRDefault="001A58B3" w:rsidP="00331F35">
      <w:pPr>
        <w:rPr>
          <w:rFonts w:eastAsia="Palatino Linotype" w:cs="Palatino Linotype"/>
        </w:rPr>
      </w:pPr>
      <w:r w:rsidRPr="00207577">
        <w:rPr>
          <w:rFonts w:eastAsia="Palatino Linotype" w:cs="Palatino Linotype"/>
        </w:rPr>
        <w:t xml:space="preserve">Esto es, que los Sujetos Obligados </w:t>
      </w:r>
      <w:r w:rsidR="00FA5957" w:rsidRPr="00207577">
        <w:rPr>
          <w:rFonts w:eastAsia="Palatino Linotype" w:cs="Palatino Linotype"/>
        </w:rPr>
        <w:t>deben</w:t>
      </w:r>
      <w:r w:rsidRPr="00207577">
        <w:rPr>
          <w:rFonts w:eastAsia="Palatino Linotype" w:cs="Palatino Linotype"/>
        </w:rPr>
        <w:t xml:space="preserve"> atender las solicitudes de acceso a la información pública que se les </w:t>
      </w:r>
      <w:r w:rsidR="00FA5957" w:rsidRPr="00207577">
        <w:rPr>
          <w:rFonts w:eastAsia="Palatino Linotype" w:cs="Palatino Linotype"/>
        </w:rPr>
        <w:t>sean realizadas,</w:t>
      </w:r>
      <w:r w:rsidRPr="00207577">
        <w:rPr>
          <w:rFonts w:eastAsia="Palatino Linotype" w:cs="Palatino Linotype"/>
        </w:rPr>
        <w:t xml:space="preserve"> y proporcionar la información pública que obre en su poder</w:t>
      </w:r>
      <w:r w:rsidR="00FA5957" w:rsidRPr="00207577">
        <w:rPr>
          <w:rFonts w:eastAsia="Palatino Linotype" w:cs="Palatino Linotype"/>
        </w:rPr>
        <w:t>,</w:t>
      </w:r>
      <w:r w:rsidRPr="00207577">
        <w:rPr>
          <w:rFonts w:eastAsia="Palatino Linotype" w:cs="Palatino Linotype"/>
        </w:rPr>
        <w:t xml:space="preserve"> conforme </w:t>
      </w:r>
      <w:r w:rsidR="00FA5957" w:rsidRPr="00207577">
        <w:rPr>
          <w:rFonts w:eastAsia="Palatino Linotype" w:cs="Palatino Linotype"/>
        </w:rPr>
        <w:t>a</w:t>
      </w:r>
      <w:r w:rsidRPr="00207577">
        <w:rPr>
          <w:rFonts w:eastAsia="Palatino Linotype" w:cs="Palatino Linotype"/>
        </w:rPr>
        <w:t xml:space="preserve">l estado </w:t>
      </w:r>
      <w:r w:rsidR="00FA5957" w:rsidRPr="00207577">
        <w:rPr>
          <w:rFonts w:eastAsia="Palatino Linotype" w:cs="Palatino Linotype"/>
        </w:rPr>
        <w:t xml:space="preserve">en </w:t>
      </w:r>
      <w:r w:rsidRPr="00207577">
        <w:rPr>
          <w:rFonts w:eastAsia="Palatino Linotype" w:cs="Palatino Linotype"/>
        </w:rPr>
        <w:t>que se encuentr</w:t>
      </w:r>
      <w:r w:rsidR="00FA5957" w:rsidRPr="00207577">
        <w:rPr>
          <w:rFonts w:eastAsia="Palatino Linotype" w:cs="Palatino Linotype"/>
        </w:rPr>
        <w:t>e, sin que sea necesario</w:t>
      </w:r>
      <w:r w:rsidRPr="00207577">
        <w:rPr>
          <w:rFonts w:eastAsia="Palatino Linotype" w:cs="Palatino Linotype"/>
        </w:rPr>
        <w:t xml:space="preserve"> </w:t>
      </w:r>
      <w:r w:rsidR="00FA5957" w:rsidRPr="00207577">
        <w:rPr>
          <w:rFonts w:eastAsia="Palatino Linotype" w:cs="Palatino Linotype"/>
        </w:rPr>
        <w:t>procesar</w:t>
      </w:r>
      <w:r w:rsidRPr="00207577">
        <w:rPr>
          <w:rFonts w:eastAsia="Palatino Linotype" w:cs="Palatino Linotype"/>
        </w:rPr>
        <w:t xml:space="preserve"> la misma, ni presentarla conforme al interés del solicitante; </w:t>
      </w:r>
      <w:r w:rsidR="00FA5957" w:rsidRPr="00207577">
        <w:rPr>
          <w:rFonts w:eastAsia="Palatino Linotype" w:cs="Palatino Linotype"/>
        </w:rPr>
        <w:t>tal y como</w:t>
      </w:r>
      <w:r w:rsidRPr="00207577">
        <w:rPr>
          <w:rFonts w:eastAsia="Palatino Linotype" w:cs="Palatino Linotype"/>
        </w:rPr>
        <w:t xml:space="preserve"> lo establece el artículo 12 de la Ley de Transparencia y Acceso a la Información Pública del Estado de México y Municipios</w:t>
      </w:r>
      <w:r w:rsidR="00970EB3" w:rsidRPr="00207577">
        <w:rPr>
          <w:rFonts w:eastAsia="Palatino Linotype" w:cs="Palatino Linotype"/>
        </w:rPr>
        <w:t>.</w:t>
      </w:r>
    </w:p>
    <w:p w14:paraId="73245195" w14:textId="77777777" w:rsidR="00970EB3" w:rsidRPr="00207577" w:rsidRDefault="00970EB3" w:rsidP="00331F35">
      <w:pPr>
        <w:rPr>
          <w:rFonts w:eastAsia="Palatino Linotype" w:cs="Palatino Linotype"/>
        </w:rPr>
      </w:pPr>
    </w:p>
    <w:p w14:paraId="7F62D4DF" w14:textId="775730E1" w:rsidR="001A58B3" w:rsidRPr="00207577" w:rsidRDefault="001A58B3" w:rsidP="00331F35">
      <w:pPr>
        <w:rPr>
          <w:rFonts w:eastAsia="Palatino Linotype" w:cs="Palatino Linotype"/>
        </w:rPr>
      </w:pPr>
      <w:r w:rsidRPr="00207577">
        <w:rPr>
          <w:rFonts w:eastAsia="Palatino Linotype" w:cs="Palatino Linotype"/>
        </w:rPr>
        <w:lastRenderedPageBreak/>
        <w:t>Es decir, que todo sujeto obligado que genere, recopile, administre, procese, archive, posea o conserven, son responsables de la misma</w:t>
      </w:r>
      <w:r w:rsidR="00970EB3" w:rsidRPr="00207577">
        <w:rPr>
          <w:rFonts w:eastAsia="Palatino Linotype" w:cs="Palatino Linotype"/>
        </w:rPr>
        <w:t>,</w:t>
      </w:r>
      <w:r w:rsidRPr="0020757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07577">
        <w:rPr>
          <w:rFonts w:eastAsia="Palatino Linotype" w:cs="Palatino Linotype"/>
        </w:rPr>
        <w:t>o</w:t>
      </w:r>
      <w:r w:rsidRPr="0020757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07577" w:rsidRDefault="001A58B3" w:rsidP="00331F35">
      <w:pPr>
        <w:rPr>
          <w:rFonts w:eastAsia="Palatino Linotype" w:cs="Palatino Linotype"/>
        </w:rPr>
      </w:pPr>
    </w:p>
    <w:p w14:paraId="04E42DFE" w14:textId="573F1198" w:rsidR="001A58B3" w:rsidRPr="00207577" w:rsidRDefault="001A58B3" w:rsidP="00331F35">
      <w:pPr>
        <w:rPr>
          <w:rFonts w:eastAsia="Palatino Linotype" w:cs="Palatino Linotype"/>
        </w:rPr>
      </w:pPr>
      <w:r w:rsidRPr="0020757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07577">
        <w:rPr>
          <w:rFonts w:eastAsia="Palatino Linotype" w:cs="Palatino Linotype"/>
        </w:rPr>
        <w:t>, s</w:t>
      </w:r>
      <w:r w:rsidRPr="00207577">
        <w:rPr>
          <w:rFonts w:eastAsia="Palatino Linotype" w:cs="Palatino Linotype"/>
        </w:rPr>
        <w:t xml:space="preserve">iempre y cuando no se trate de información reservada o </w:t>
      </w:r>
      <w:r w:rsidR="00331F35" w:rsidRPr="00207577">
        <w:rPr>
          <w:rFonts w:eastAsia="Palatino Linotype" w:cs="Palatino Linotype"/>
        </w:rPr>
        <w:t>confidencial.</w:t>
      </w:r>
    </w:p>
    <w:p w14:paraId="40C5219F" w14:textId="77777777" w:rsidR="001A58B3" w:rsidRPr="00207577" w:rsidRDefault="001A58B3" w:rsidP="00331F35">
      <w:pPr>
        <w:rPr>
          <w:rFonts w:eastAsia="Palatino Linotype" w:cs="Palatino Linotype"/>
        </w:rPr>
      </w:pPr>
    </w:p>
    <w:p w14:paraId="2E629608" w14:textId="01727E15" w:rsidR="00C049E2" w:rsidRPr="00207577" w:rsidRDefault="006067C7" w:rsidP="00331F35">
      <w:pPr>
        <w:rPr>
          <w:rFonts w:eastAsia="Palatino Linotype"/>
        </w:rPr>
      </w:pPr>
      <w:bookmarkStart w:id="46" w:name="_heading=h.2s8eyo1" w:colFirst="0" w:colLast="0"/>
      <w:bookmarkEnd w:id="46"/>
      <w:r w:rsidRPr="00207577">
        <w:rPr>
          <w:rFonts w:eastAsia="Palatino Linotype"/>
        </w:rPr>
        <w:t>Con base en lo anterior</w:t>
      </w:r>
      <w:r w:rsidR="00B22A80" w:rsidRPr="00207577">
        <w:rPr>
          <w:rFonts w:eastAsia="Palatino Linotype"/>
        </w:rPr>
        <w:t>, se considera que</w:t>
      </w:r>
      <w:r w:rsidR="00C049E2" w:rsidRPr="00207577">
        <w:rPr>
          <w:rFonts w:eastAsia="Palatino Linotype"/>
        </w:rPr>
        <w:t xml:space="preserve"> </w:t>
      </w:r>
      <w:r w:rsidR="00B22A80" w:rsidRPr="00207577">
        <w:rPr>
          <w:rFonts w:eastAsia="Palatino Linotype"/>
          <w:b/>
          <w:bCs/>
        </w:rPr>
        <w:t>EL</w:t>
      </w:r>
      <w:r w:rsidR="00C049E2" w:rsidRPr="00207577">
        <w:rPr>
          <w:rFonts w:eastAsia="Palatino Linotype"/>
        </w:rPr>
        <w:t xml:space="preserve"> </w:t>
      </w:r>
      <w:r w:rsidR="00C049E2" w:rsidRPr="00207577">
        <w:rPr>
          <w:rFonts w:eastAsia="Palatino Linotype"/>
          <w:b/>
        </w:rPr>
        <w:t>SUJETO OBLIGADO</w:t>
      </w:r>
      <w:r w:rsidR="00C049E2" w:rsidRPr="00207577">
        <w:rPr>
          <w:rFonts w:eastAsia="Palatino Linotype"/>
        </w:rPr>
        <w:t xml:space="preserve"> </w:t>
      </w:r>
      <w:r w:rsidR="00B22A80" w:rsidRPr="00207577">
        <w:rPr>
          <w:rFonts w:eastAsia="Palatino Linotype"/>
        </w:rPr>
        <w:t xml:space="preserve">se </w:t>
      </w:r>
      <w:r w:rsidR="00717E59" w:rsidRPr="00207577">
        <w:rPr>
          <w:rFonts w:eastAsia="Palatino Linotype"/>
        </w:rPr>
        <w:t>encontraba</w:t>
      </w:r>
      <w:r w:rsidR="00B22A80" w:rsidRPr="00207577">
        <w:rPr>
          <w:rFonts w:eastAsia="Palatino Linotype"/>
        </w:rPr>
        <w:t xml:space="preserve"> compelido a</w:t>
      </w:r>
      <w:r w:rsidR="00C049E2" w:rsidRPr="00207577">
        <w:rPr>
          <w:rFonts w:eastAsia="Palatino Linotype"/>
        </w:rPr>
        <w:t xml:space="preserve"> atender la solicitud de acceso a la información </w:t>
      </w:r>
      <w:r w:rsidR="00B22A80" w:rsidRPr="00207577">
        <w:rPr>
          <w:rFonts w:eastAsia="Palatino Linotype"/>
        </w:rPr>
        <w:t xml:space="preserve">realizada por </w:t>
      </w:r>
      <w:r w:rsidR="00B22A80" w:rsidRPr="00207577">
        <w:rPr>
          <w:rFonts w:eastAsia="Palatino Linotype"/>
          <w:b/>
          <w:bCs/>
        </w:rPr>
        <w:t>LA PARTE RECURRENTE</w:t>
      </w:r>
      <w:r w:rsidR="00331F35" w:rsidRPr="00207577">
        <w:rPr>
          <w:rFonts w:eastAsia="Palatino Linotype"/>
        </w:rPr>
        <w:t>.</w:t>
      </w:r>
    </w:p>
    <w:p w14:paraId="1611F147" w14:textId="77777777" w:rsidR="00BD5A7C" w:rsidRPr="00207577" w:rsidRDefault="00BD5A7C" w:rsidP="00331F35">
      <w:pPr>
        <w:rPr>
          <w:rFonts w:eastAsia="Palatino Linotype"/>
        </w:rPr>
      </w:pPr>
    </w:p>
    <w:p w14:paraId="51A0E8B4" w14:textId="676DCA47" w:rsidR="00664420" w:rsidRPr="00207577" w:rsidRDefault="00C71CEF" w:rsidP="00C71CEF">
      <w:pPr>
        <w:pStyle w:val="Ttulo3"/>
        <w:rPr>
          <w:rFonts w:eastAsia="Calibri"/>
          <w:lang w:eastAsia="es-ES_tradnl"/>
        </w:rPr>
      </w:pPr>
      <w:bookmarkStart w:id="47" w:name="_Toc210248705"/>
      <w:r w:rsidRPr="00207577">
        <w:rPr>
          <w:rFonts w:eastAsia="Calibri"/>
          <w:lang w:eastAsia="es-ES_tradnl"/>
        </w:rPr>
        <w:t>b)</w:t>
      </w:r>
      <w:r w:rsidR="00A53315" w:rsidRPr="00207577">
        <w:rPr>
          <w:rFonts w:eastAsia="Calibri"/>
          <w:lang w:eastAsia="es-ES_tradnl"/>
        </w:rPr>
        <w:t xml:space="preserve"> </w:t>
      </w:r>
      <w:r w:rsidR="00A21A20" w:rsidRPr="00207577">
        <w:rPr>
          <w:rFonts w:eastAsia="Calibri"/>
          <w:lang w:eastAsia="es-ES_tradnl"/>
        </w:rPr>
        <w:t>Controversia a resolver</w:t>
      </w:r>
      <w:bookmarkEnd w:id="47"/>
    </w:p>
    <w:p w14:paraId="5B414E0B" w14:textId="0A04487B" w:rsidR="00D20D88" w:rsidRPr="00207577" w:rsidRDefault="00664420" w:rsidP="00903DBE">
      <w:pPr>
        <w:rPr>
          <w:rFonts w:eastAsia="Calibri"/>
          <w:lang w:eastAsia="es-ES_tradnl"/>
        </w:rPr>
      </w:pPr>
      <w:r w:rsidRPr="0020757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07577">
        <w:rPr>
          <w:rFonts w:eastAsia="Calibri"/>
          <w:b/>
          <w:bCs/>
          <w:lang w:eastAsia="es-ES_tradnl"/>
        </w:rPr>
        <w:t>LA PARTE RECURRENTE</w:t>
      </w:r>
      <w:r w:rsidR="004565C2" w:rsidRPr="00207577">
        <w:rPr>
          <w:rFonts w:eastAsia="Calibri"/>
          <w:lang w:eastAsia="es-ES_tradnl"/>
        </w:rPr>
        <w:t xml:space="preserve"> solicitó</w:t>
      </w:r>
      <w:r w:rsidR="00CA0628" w:rsidRPr="00207577">
        <w:rPr>
          <w:rFonts w:eastAsia="Calibri"/>
          <w:lang w:eastAsia="es-ES_tradnl"/>
        </w:rPr>
        <w:t xml:space="preserve"> </w:t>
      </w:r>
      <w:r w:rsidR="00D20D88" w:rsidRPr="00207577">
        <w:rPr>
          <w:rFonts w:eastAsia="Calibri"/>
          <w:lang w:eastAsia="es-ES_tradnl"/>
        </w:rPr>
        <w:t>pólizas y/o comprobantes digitales de pagos realizados a particulares vía cheque o transferencia electrónica durante el mes de abril de 2025.</w:t>
      </w:r>
    </w:p>
    <w:p w14:paraId="7D955596" w14:textId="77777777" w:rsidR="00CA0628" w:rsidRPr="00207577" w:rsidRDefault="00CA0628" w:rsidP="00903DBE">
      <w:pPr>
        <w:rPr>
          <w:rFonts w:eastAsia="Calibri"/>
          <w:lang w:eastAsia="es-ES_tradnl"/>
        </w:rPr>
      </w:pPr>
    </w:p>
    <w:p w14:paraId="43961CAF" w14:textId="32FB03CD" w:rsidR="00D20D88" w:rsidRPr="00207577" w:rsidRDefault="00E11AA0" w:rsidP="00D20D88">
      <w:pPr>
        <w:tabs>
          <w:tab w:val="left" w:pos="4962"/>
        </w:tabs>
        <w:contextualSpacing/>
        <w:rPr>
          <w:rFonts w:cs="Tahoma"/>
          <w:b/>
          <w:bCs/>
          <w:i/>
          <w:iCs/>
          <w:szCs w:val="22"/>
        </w:rPr>
      </w:pPr>
      <w:r w:rsidRPr="00207577">
        <w:rPr>
          <w:rFonts w:eastAsiaTheme="minorHAnsi" w:cs="Tahoma"/>
          <w:bCs/>
          <w:iCs/>
          <w:color w:val="000000" w:themeColor="text1"/>
          <w:szCs w:val="22"/>
          <w:lang w:eastAsia="en-US"/>
        </w:rPr>
        <w:lastRenderedPageBreak/>
        <w:t>Al respecto</w:t>
      </w:r>
      <w:r w:rsidR="00664420" w:rsidRPr="00207577">
        <w:rPr>
          <w:rFonts w:eastAsiaTheme="minorHAnsi" w:cs="Tahoma"/>
          <w:bCs/>
          <w:iCs/>
          <w:color w:val="000000" w:themeColor="text1"/>
          <w:szCs w:val="22"/>
          <w:lang w:eastAsia="en-US"/>
        </w:rPr>
        <w:t xml:space="preserve"> </w:t>
      </w:r>
      <w:r w:rsidR="005D5A50" w:rsidRPr="00207577">
        <w:rPr>
          <w:rFonts w:eastAsiaTheme="minorHAnsi" w:cs="Tahoma"/>
          <w:b/>
          <w:iCs/>
          <w:color w:val="000000" w:themeColor="text1"/>
          <w:szCs w:val="22"/>
          <w:lang w:eastAsia="en-US"/>
        </w:rPr>
        <w:t>EL SUJETO OBLIGADO</w:t>
      </w:r>
      <w:r w:rsidRPr="00207577">
        <w:rPr>
          <w:rFonts w:eastAsiaTheme="minorHAnsi" w:cs="Tahoma"/>
          <w:bCs/>
          <w:iCs/>
          <w:color w:val="000000" w:themeColor="text1"/>
          <w:szCs w:val="22"/>
          <w:lang w:eastAsia="en-US"/>
        </w:rPr>
        <w:t xml:space="preserve"> </w:t>
      </w:r>
      <w:r w:rsidR="001E7615" w:rsidRPr="00207577">
        <w:rPr>
          <w:rFonts w:eastAsiaTheme="minorHAnsi" w:cs="Tahoma"/>
          <w:bCs/>
          <w:iCs/>
          <w:color w:val="000000" w:themeColor="text1"/>
          <w:szCs w:val="22"/>
          <w:lang w:eastAsia="en-US"/>
        </w:rPr>
        <w:t>adjuntó</w:t>
      </w:r>
      <w:r w:rsidR="00D20D88" w:rsidRPr="00207577">
        <w:rPr>
          <w:rFonts w:eastAsiaTheme="minorHAnsi" w:cs="Tahoma"/>
          <w:bCs/>
          <w:iCs/>
          <w:color w:val="000000" w:themeColor="text1"/>
          <w:szCs w:val="22"/>
          <w:lang w:eastAsia="en-US"/>
        </w:rPr>
        <w:t xml:space="preserve"> </w:t>
      </w:r>
      <w:r w:rsidR="00D20D88" w:rsidRPr="00207577">
        <w:rPr>
          <w:rFonts w:cs="Tahoma"/>
          <w:szCs w:val="22"/>
        </w:rPr>
        <w:t xml:space="preserve">diversos cheques, pólizas contables de egresos y transferencias bancarias, en el cual se testó el Nombre y RFC de los depósitos realizados por concepto de pensión, arrendamiento, servicio social, adquisiciones. </w:t>
      </w:r>
    </w:p>
    <w:p w14:paraId="31F27A91" w14:textId="77777777" w:rsidR="00D20D88" w:rsidRPr="00207577" w:rsidRDefault="00D20D88" w:rsidP="00B85975">
      <w:pPr>
        <w:tabs>
          <w:tab w:val="left" w:pos="4962"/>
        </w:tabs>
        <w:contextualSpacing/>
        <w:rPr>
          <w:rFonts w:eastAsiaTheme="minorHAnsi" w:cs="Tahoma"/>
          <w:bCs/>
          <w:iCs/>
          <w:color w:val="000000" w:themeColor="text1"/>
          <w:szCs w:val="22"/>
          <w:lang w:eastAsia="en-US"/>
        </w:rPr>
      </w:pPr>
    </w:p>
    <w:p w14:paraId="7B62F4F7" w14:textId="339EABFE" w:rsidR="00DA54C1" w:rsidRPr="00207577" w:rsidRDefault="00CF7586" w:rsidP="00664420">
      <w:pPr>
        <w:tabs>
          <w:tab w:val="left" w:pos="4962"/>
        </w:tabs>
        <w:contextualSpacing/>
        <w:rPr>
          <w:rFonts w:eastAsiaTheme="minorHAnsi" w:cs="Tahoma"/>
          <w:bCs/>
          <w:iCs/>
          <w:color w:val="000000" w:themeColor="text1"/>
          <w:szCs w:val="22"/>
          <w:lang w:eastAsia="en-US"/>
        </w:rPr>
      </w:pPr>
      <w:r w:rsidRPr="00207577">
        <w:rPr>
          <w:rFonts w:eastAsiaTheme="minorHAnsi" w:cs="Tahoma"/>
          <w:bCs/>
          <w:iCs/>
          <w:color w:val="000000" w:themeColor="text1"/>
          <w:szCs w:val="22"/>
          <w:lang w:eastAsia="en-US"/>
        </w:rPr>
        <w:t xml:space="preserve">Ahora bien, en la interposición del presente recurso </w:t>
      </w:r>
      <w:r w:rsidRPr="00207577">
        <w:rPr>
          <w:rFonts w:eastAsiaTheme="minorHAnsi" w:cs="Tahoma"/>
          <w:b/>
          <w:iCs/>
          <w:color w:val="000000" w:themeColor="text1"/>
          <w:szCs w:val="22"/>
          <w:lang w:eastAsia="en-US"/>
        </w:rPr>
        <w:t>LA PARTE RECURRENTE</w:t>
      </w:r>
      <w:r w:rsidR="00237120" w:rsidRPr="00207577">
        <w:rPr>
          <w:rFonts w:eastAsiaTheme="minorHAnsi" w:cs="Tahoma"/>
          <w:bCs/>
          <w:iCs/>
          <w:color w:val="000000" w:themeColor="text1"/>
          <w:szCs w:val="22"/>
          <w:lang w:eastAsia="en-US"/>
        </w:rPr>
        <w:t xml:space="preserve"> s</w:t>
      </w:r>
      <w:r w:rsidR="00E11AA0" w:rsidRPr="00207577">
        <w:rPr>
          <w:rFonts w:eastAsiaTheme="minorHAnsi" w:cs="Tahoma"/>
          <w:bCs/>
          <w:iCs/>
          <w:color w:val="000000" w:themeColor="text1"/>
          <w:szCs w:val="22"/>
          <w:lang w:eastAsia="en-US"/>
        </w:rPr>
        <w:t xml:space="preserve">e inconformó medularmente </w:t>
      </w:r>
      <w:r w:rsidR="00D20D88" w:rsidRPr="00207577">
        <w:rPr>
          <w:rFonts w:eastAsiaTheme="minorHAnsi" w:cs="Tahoma"/>
          <w:bCs/>
          <w:iCs/>
          <w:color w:val="000000" w:themeColor="text1"/>
          <w:szCs w:val="22"/>
          <w:lang w:eastAsia="en-US"/>
        </w:rPr>
        <w:t xml:space="preserve">porque se clasificó el nombre y/o razón social de los beneficiarios. </w:t>
      </w:r>
      <w:r w:rsidR="0002630F" w:rsidRPr="00207577">
        <w:rPr>
          <w:rFonts w:eastAsiaTheme="minorHAnsi" w:cs="Tahoma"/>
          <w:bCs/>
          <w:iCs/>
          <w:color w:val="000000" w:themeColor="text1"/>
          <w:szCs w:val="22"/>
          <w:lang w:eastAsia="en-US"/>
        </w:rPr>
        <w:t xml:space="preserve"> </w:t>
      </w:r>
    </w:p>
    <w:p w14:paraId="62D736AD" w14:textId="77777777" w:rsidR="00DA54C1" w:rsidRPr="00207577" w:rsidRDefault="00DA54C1" w:rsidP="00664420">
      <w:pPr>
        <w:tabs>
          <w:tab w:val="left" w:pos="4962"/>
        </w:tabs>
        <w:contextualSpacing/>
        <w:rPr>
          <w:rFonts w:eastAsiaTheme="minorHAnsi" w:cs="Tahoma"/>
          <w:bCs/>
          <w:iCs/>
          <w:color w:val="000000" w:themeColor="text1"/>
          <w:szCs w:val="22"/>
          <w:lang w:eastAsia="en-US"/>
        </w:rPr>
      </w:pPr>
    </w:p>
    <w:p w14:paraId="42075C21" w14:textId="2CF99F70" w:rsidR="00CA0628" w:rsidRPr="00207577" w:rsidRDefault="00CA0628" w:rsidP="00CA0628">
      <w:pPr>
        <w:pStyle w:val="Prrafodelista"/>
        <w:widowControl w:val="0"/>
        <w:autoSpaceDE w:val="0"/>
        <w:autoSpaceDN w:val="0"/>
        <w:adjustRightInd w:val="0"/>
        <w:ind w:left="0"/>
        <w:rPr>
          <w:color w:val="000000" w:themeColor="text1"/>
        </w:rPr>
      </w:pPr>
      <w:r w:rsidRPr="00207577">
        <w:rPr>
          <w:rFonts w:eastAsiaTheme="minorHAnsi" w:cs="Tahoma"/>
          <w:bCs/>
          <w:iCs/>
          <w:color w:val="000000" w:themeColor="text1"/>
          <w:szCs w:val="22"/>
          <w:lang w:eastAsia="en-US"/>
        </w:rPr>
        <w:t>Asimismo</w:t>
      </w:r>
      <w:r w:rsidRPr="00207577">
        <w:rPr>
          <w:color w:val="000000" w:themeColor="text1"/>
        </w:rPr>
        <w:t xml:space="preserve">, es importante señalar que </w:t>
      </w:r>
      <w:r w:rsidRPr="00207577">
        <w:rPr>
          <w:b/>
          <w:iCs/>
          <w:color w:val="000000" w:themeColor="text1"/>
        </w:rPr>
        <w:t>LA PARTE RECURRENTE</w:t>
      </w:r>
      <w:r w:rsidRPr="00207577">
        <w:rPr>
          <w:bCs/>
          <w:iCs/>
          <w:color w:val="000000" w:themeColor="text1"/>
        </w:rPr>
        <w:t xml:space="preserve"> </w:t>
      </w:r>
      <w:r w:rsidRPr="00207577">
        <w:rPr>
          <w:color w:val="000000" w:themeColor="text1"/>
        </w:rPr>
        <w:t xml:space="preserve">no realizó manifestaciones, alegatos o pruebas y por su parte </w:t>
      </w:r>
      <w:r w:rsidRPr="00207577">
        <w:rPr>
          <w:b/>
          <w:color w:val="000000" w:themeColor="text1"/>
        </w:rPr>
        <w:t>EL SUJETO OBLIGADO</w:t>
      </w:r>
      <w:r w:rsidRPr="00207577">
        <w:rPr>
          <w:rFonts w:cs="Arial"/>
          <w:color w:val="000000" w:themeColor="text1"/>
        </w:rPr>
        <w:t xml:space="preserve"> </w:t>
      </w:r>
      <w:r w:rsidR="00D20D88" w:rsidRPr="00207577">
        <w:rPr>
          <w:rFonts w:cs="Arial"/>
          <w:color w:val="000000" w:themeColor="text1"/>
        </w:rPr>
        <w:t xml:space="preserve">mediante </w:t>
      </w:r>
      <w:r w:rsidRPr="00207577">
        <w:rPr>
          <w:color w:val="000000" w:themeColor="text1"/>
        </w:rPr>
        <w:t>Informe Justificado</w:t>
      </w:r>
      <w:r w:rsidR="00D20D88" w:rsidRPr="00207577">
        <w:rPr>
          <w:color w:val="000000" w:themeColor="text1"/>
        </w:rPr>
        <w:t xml:space="preserve"> medularmente ratificó su respuesta. </w:t>
      </w:r>
      <w:r w:rsidRPr="00207577">
        <w:rPr>
          <w:color w:val="000000" w:themeColor="text1"/>
        </w:rPr>
        <w:t xml:space="preserve"> </w:t>
      </w:r>
    </w:p>
    <w:p w14:paraId="1FF75127" w14:textId="77777777" w:rsidR="009E0652" w:rsidRPr="00207577" w:rsidRDefault="009E0652" w:rsidP="009E0652"/>
    <w:p w14:paraId="42CD9852" w14:textId="64594E97" w:rsidR="009E0652" w:rsidRPr="00207577" w:rsidRDefault="009E0652" w:rsidP="009E0652">
      <w:pPr>
        <w:tabs>
          <w:tab w:val="left" w:pos="4962"/>
        </w:tabs>
        <w:contextualSpacing/>
        <w:rPr>
          <w:rFonts w:eastAsiaTheme="minorHAnsi" w:cs="Tahoma"/>
          <w:bCs/>
          <w:iCs/>
          <w:color w:val="000000" w:themeColor="text1"/>
          <w:szCs w:val="22"/>
          <w:lang w:eastAsia="en-US"/>
        </w:rPr>
      </w:pPr>
      <w:r w:rsidRPr="00207577">
        <w:rPr>
          <w:rFonts w:eastAsiaTheme="minorHAnsi" w:cs="Tahoma"/>
          <w:bCs/>
          <w:iCs/>
          <w:color w:val="000000" w:themeColor="text1"/>
          <w:szCs w:val="22"/>
          <w:lang w:eastAsia="en-US"/>
        </w:rPr>
        <w:t xml:space="preserve">Derivado de lo anterior, el estudio se centrará en determinar si la respuesta otorgada colma el derecho de acceso a la información ejercido por </w:t>
      </w:r>
      <w:r w:rsidRPr="00207577">
        <w:rPr>
          <w:rFonts w:eastAsiaTheme="minorHAnsi" w:cs="Tahoma"/>
          <w:b/>
          <w:bCs/>
          <w:iCs/>
          <w:color w:val="000000" w:themeColor="text1"/>
          <w:szCs w:val="22"/>
          <w:lang w:eastAsia="en-US"/>
        </w:rPr>
        <w:t>LA PARTE RECURRENTE</w:t>
      </w:r>
      <w:r w:rsidRPr="00207577">
        <w:rPr>
          <w:rFonts w:eastAsiaTheme="minorHAnsi" w:cs="Tahoma"/>
          <w:bCs/>
          <w:iCs/>
          <w:color w:val="000000" w:themeColor="text1"/>
          <w:szCs w:val="22"/>
          <w:lang w:eastAsia="en-US"/>
        </w:rPr>
        <w:t>.</w:t>
      </w:r>
    </w:p>
    <w:p w14:paraId="5128D7A9" w14:textId="77777777" w:rsidR="009E0652" w:rsidRPr="00207577" w:rsidRDefault="009E0652" w:rsidP="009E0652">
      <w:pPr>
        <w:tabs>
          <w:tab w:val="left" w:pos="4962"/>
        </w:tabs>
        <w:contextualSpacing/>
        <w:rPr>
          <w:rFonts w:eastAsiaTheme="minorHAnsi" w:cs="Tahoma"/>
          <w:bCs/>
          <w:iCs/>
          <w:color w:val="000000" w:themeColor="text1"/>
          <w:szCs w:val="22"/>
          <w:lang w:eastAsia="en-US"/>
        </w:rPr>
      </w:pPr>
    </w:p>
    <w:p w14:paraId="414FD2D5" w14:textId="4408E416" w:rsidR="00664420" w:rsidRPr="00207577" w:rsidRDefault="00A21A20" w:rsidP="00A21A20">
      <w:pPr>
        <w:pStyle w:val="Ttulo3"/>
      </w:pPr>
      <w:bookmarkStart w:id="48" w:name="_Toc210248706"/>
      <w:r w:rsidRPr="00207577">
        <w:t>c)</w:t>
      </w:r>
      <w:r w:rsidR="00664420" w:rsidRPr="00207577">
        <w:t xml:space="preserve"> </w:t>
      </w:r>
      <w:r w:rsidRPr="00207577">
        <w:t>Estudio de la controversia</w:t>
      </w:r>
      <w:bookmarkEnd w:id="48"/>
    </w:p>
    <w:p w14:paraId="2F9BAEE6" w14:textId="77777777" w:rsidR="000A06AA" w:rsidRPr="00207577" w:rsidRDefault="000A06AA" w:rsidP="000A06AA">
      <w:r w:rsidRPr="00207577">
        <w:rPr>
          <w:color w:val="000000"/>
        </w:rPr>
        <w:t>Primero, se considera necesario precisar que l</w:t>
      </w:r>
      <w:r w:rsidRPr="00207577">
        <w:t>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291780A" w14:textId="77777777" w:rsidR="000A06AA" w:rsidRPr="00207577" w:rsidRDefault="000A06AA" w:rsidP="000A06AA">
      <w:pPr>
        <w:rPr>
          <w:rFonts w:cs="Arial"/>
          <w:color w:val="000000" w:themeColor="text1"/>
        </w:rPr>
      </w:pPr>
    </w:p>
    <w:p w14:paraId="21B6B9E1" w14:textId="77777777" w:rsidR="000A06AA" w:rsidRPr="00207577" w:rsidRDefault="000A06AA" w:rsidP="000A06AA">
      <w:pPr>
        <w:spacing w:line="240" w:lineRule="auto"/>
        <w:ind w:left="567" w:right="567"/>
        <w:contextualSpacing/>
        <w:rPr>
          <w:rFonts w:eastAsia="Arial Unicode MS"/>
          <w:i/>
          <w:kern w:val="28"/>
          <w:szCs w:val="56"/>
        </w:rPr>
      </w:pPr>
      <w:r w:rsidRPr="00207577">
        <w:rPr>
          <w:rFonts w:eastAsia="Arial Unicode MS"/>
          <w:i/>
          <w:kern w:val="28"/>
          <w:szCs w:val="56"/>
        </w:rPr>
        <w:t>“</w:t>
      </w:r>
      <w:r w:rsidRPr="00207577">
        <w:rPr>
          <w:rFonts w:eastAsia="Arial Unicode MS"/>
          <w:b/>
          <w:i/>
          <w:kern w:val="28"/>
          <w:szCs w:val="56"/>
        </w:rPr>
        <w:t>Artículo 342.-</w:t>
      </w:r>
      <w:r w:rsidRPr="00207577">
        <w:rPr>
          <w:rFonts w:eastAsia="Arial Unicode MS"/>
          <w:i/>
          <w:kern w:val="28"/>
          <w:szCs w:val="56"/>
        </w:rPr>
        <w:t xml:space="preserve"> El registro contable del efecto patrimonial y presupuestal de las operaciones financieras, se realizará conforme al sistema y a las disposiciones que se aprueben en materia de planeación, programación, </w:t>
      </w:r>
      <w:proofErr w:type="spellStart"/>
      <w:r w:rsidRPr="00207577">
        <w:rPr>
          <w:rFonts w:eastAsia="Arial Unicode MS"/>
          <w:i/>
          <w:kern w:val="28"/>
          <w:szCs w:val="56"/>
        </w:rPr>
        <w:t>presupuestación</w:t>
      </w:r>
      <w:proofErr w:type="spellEnd"/>
      <w:r w:rsidRPr="00207577">
        <w:rPr>
          <w:rFonts w:eastAsia="Arial Unicode MS"/>
          <w:i/>
          <w:kern w:val="28"/>
          <w:szCs w:val="56"/>
        </w:rPr>
        <w:t xml:space="preserve">, evaluación y contabilidad gubernamental. </w:t>
      </w:r>
    </w:p>
    <w:p w14:paraId="7A05A096" w14:textId="77777777" w:rsidR="000A06AA" w:rsidRPr="00207577" w:rsidRDefault="000A06AA" w:rsidP="000A06AA">
      <w:pPr>
        <w:rPr>
          <w:rFonts w:eastAsia="Arial Unicode MS"/>
        </w:rPr>
      </w:pPr>
    </w:p>
    <w:p w14:paraId="44EEA602" w14:textId="77777777" w:rsidR="000A06AA" w:rsidRPr="00207577" w:rsidRDefault="000A06AA" w:rsidP="000A06AA">
      <w:pPr>
        <w:spacing w:line="240" w:lineRule="auto"/>
        <w:ind w:left="567" w:right="567"/>
        <w:contextualSpacing/>
        <w:rPr>
          <w:rFonts w:eastAsia="Arial Unicode MS"/>
          <w:b/>
          <w:i/>
          <w:kern w:val="28"/>
          <w:szCs w:val="56"/>
        </w:rPr>
      </w:pPr>
      <w:r w:rsidRPr="00207577">
        <w:rPr>
          <w:rFonts w:eastAsia="Arial Unicode MS"/>
          <w:b/>
          <w:i/>
          <w:kern w:val="28"/>
          <w:szCs w:val="56"/>
        </w:rPr>
        <w:t xml:space="preserve">En el caso de los municipios, el registro a que se refiere el párrafo anterior, se realizará conforme al sistema y a las disposiciones en materia de planeación, programación, </w:t>
      </w:r>
      <w:proofErr w:type="spellStart"/>
      <w:r w:rsidRPr="00207577">
        <w:rPr>
          <w:rFonts w:eastAsia="Arial Unicode MS"/>
          <w:b/>
          <w:i/>
          <w:kern w:val="28"/>
          <w:szCs w:val="56"/>
        </w:rPr>
        <w:t>presupuestación</w:t>
      </w:r>
      <w:proofErr w:type="spellEnd"/>
      <w:r w:rsidRPr="00207577">
        <w:rPr>
          <w:rFonts w:eastAsia="Arial Unicode MS"/>
          <w:b/>
          <w:i/>
          <w:kern w:val="28"/>
          <w:szCs w:val="56"/>
        </w:rPr>
        <w:t xml:space="preserve">, evaluación y contabilidad gubernamental, que se </w:t>
      </w:r>
      <w:r w:rsidRPr="00207577">
        <w:rPr>
          <w:rFonts w:eastAsia="Arial Unicode MS"/>
          <w:b/>
          <w:i/>
          <w:kern w:val="28"/>
          <w:szCs w:val="56"/>
        </w:rPr>
        <w:lastRenderedPageBreak/>
        <w:t xml:space="preserve">aprueben en el marco del Sistema de Coordinación Hacendaria del Estado de México. </w:t>
      </w:r>
    </w:p>
    <w:p w14:paraId="12637CF6" w14:textId="77777777" w:rsidR="000A06AA" w:rsidRPr="00207577" w:rsidRDefault="000A06AA" w:rsidP="000A06AA">
      <w:pPr>
        <w:ind w:left="851" w:right="901"/>
        <w:rPr>
          <w:rFonts w:eastAsia="Arial Unicode MS" w:cs="Arial"/>
          <w:b/>
          <w:i/>
        </w:rPr>
      </w:pPr>
    </w:p>
    <w:p w14:paraId="0DBDA1DE" w14:textId="77777777" w:rsidR="000A06AA" w:rsidRPr="00207577" w:rsidRDefault="000A06AA" w:rsidP="000A06AA">
      <w:pPr>
        <w:spacing w:line="240" w:lineRule="auto"/>
        <w:ind w:left="567" w:right="567"/>
        <w:contextualSpacing/>
        <w:rPr>
          <w:i/>
          <w:kern w:val="28"/>
          <w:szCs w:val="56"/>
        </w:rPr>
      </w:pPr>
      <w:r w:rsidRPr="00207577">
        <w:rPr>
          <w:b/>
          <w:i/>
          <w:kern w:val="28"/>
          <w:szCs w:val="56"/>
        </w:rPr>
        <w:t>Artículo 343.-</w:t>
      </w:r>
      <w:r w:rsidRPr="00207577">
        <w:rPr>
          <w:i/>
          <w:kern w:val="28"/>
          <w:szCs w:val="56"/>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EF7737A" w14:textId="77777777" w:rsidR="000A06AA" w:rsidRPr="00207577" w:rsidRDefault="000A06AA" w:rsidP="000A06AA">
      <w:pPr>
        <w:spacing w:line="240" w:lineRule="auto"/>
        <w:ind w:left="567" w:right="567"/>
        <w:contextualSpacing/>
        <w:rPr>
          <w:rFonts w:eastAsia="Arial Unicode MS" w:cs="Arial"/>
          <w:b/>
          <w:i/>
          <w:kern w:val="28"/>
          <w:szCs w:val="56"/>
        </w:rPr>
      </w:pPr>
      <w:r w:rsidRPr="00207577">
        <w:rPr>
          <w:i/>
          <w:kern w:val="28"/>
          <w:szCs w:val="56"/>
        </w:rPr>
        <w:t>El sistema de contabilidad sobre base acumulativa total, se sustentará en las normas emitidas por el Consejo Nacional de Armonización Contable.</w:t>
      </w:r>
    </w:p>
    <w:p w14:paraId="3615E125" w14:textId="77777777" w:rsidR="000A06AA" w:rsidRPr="00207577" w:rsidRDefault="000A06AA" w:rsidP="000A06AA">
      <w:pPr>
        <w:spacing w:line="240" w:lineRule="auto"/>
        <w:ind w:left="567" w:right="567"/>
        <w:contextualSpacing/>
        <w:rPr>
          <w:b/>
          <w:i/>
          <w:kern w:val="28"/>
          <w:szCs w:val="56"/>
        </w:rPr>
      </w:pPr>
    </w:p>
    <w:p w14:paraId="006B0969" w14:textId="77777777" w:rsidR="000A06AA" w:rsidRPr="00207577" w:rsidRDefault="000A06AA" w:rsidP="000A06AA">
      <w:pPr>
        <w:spacing w:line="240" w:lineRule="auto"/>
        <w:ind w:left="567" w:right="567"/>
        <w:contextualSpacing/>
        <w:rPr>
          <w:i/>
          <w:kern w:val="28"/>
          <w:szCs w:val="56"/>
        </w:rPr>
      </w:pPr>
      <w:r w:rsidRPr="00207577">
        <w:rPr>
          <w:b/>
          <w:i/>
          <w:kern w:val="28"/>
          <w:szCs w:val="56"/>
        </w:rPr>
        <w:t>Artículo 344.-</w:t>
      </w:r>
      <w:r w:rsidRPr="00207577">
        <w:rPr>
          <w:i/>
          <w:kern w:val="28"/>
          <w:szCs w:val="5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554A0C4" w14:textId="77777777" w:rsidR="000A06AA" w:rsidRPr="00207577" w:rsidRDefault="000A06AA" w:rsidP="000A06AA">
      <w:pPr>
        <w:spacing w:line="240" w:lineRule="auto"/>
        <w:ind w:left="567" w:right="567"/>
        <w:contextualSpacing/>
        <w:rPr>
          <w:rFonts w:eastAsia="Arial Unicode MS" w:cs="Arial"/>
          <w:i/>
          <w:kern w:val="28"/>
          <w:szCs w:val="56"/>
        </w:rPr>
      </w:pPr>
      <w:r w:rsidRPr="00207577">
        <w:rPr>
          <w:i/>
          <w:kern w:val="28"/>
          <w:szCs w:val="56"/>
        </w:rPr>
        <w:t xml:space="preserve">En el caso de los Municipios, dicha obligación corresponderá a la </w:t>
      </w:r>
      <w:proofErr w:type="spellStart"/>
      <w:r w:rsidRPr="00207577">
        <w:rPr>
          <w:i/>
          <w:kern w:val="28"/>
          <w:szCs w:val="56"/>
        </w:rPr>
        <w:t>Tesorería.</w:t>
      </w:r>
      <w:r w:rsidRPr="00207577">
        <w:rPr>
          <w:rFonts w:eastAsia="Arial Unicode MS" w:cs="Arial"/>
          <w:i/>
          <w:kern w:val="28"/>
          <w:szCs w:val="56"/>
        </w:rPr>
        <w:t>Tratándose</w:t>
      </w:r>
      <w:proofErr w:type="spellEnd"/>
      <w:r w:rsidRPr="00207577">
        <w:rPr>
          <w:rFonts w:eastAsia="Arial Unicode MS" w:cs="Arial"/>
          <w:i/>
          <w:kern w:val="28"/>
          <w:szCs w:val="56"/>
        </w:rPr>
        <w:t xml:space="preserve"> de documentos de carácter histórico, se estará a lo dispuesto por la legislación de la materia. </w:t>
      </w:r>
    </w:p>
    <w:p w14:paraId="3AA84BB5" w14:textId="77777777" w:rsidR="000A06AA" w:rsidRPr="00207577" w:rsidRDefault="000A06AA" w:rsidP="000A06AA">
      <w:pPr>
        <w:ind w:left="851" w:right="901"/>
        <w:rPr>
          <w:rFonts w:eastAsia="Arial Unicode MS" w:cs="Arial"/>
          <w:b/>
          <w:i/>
        </w:rPr>
      </w:pPr>
    </w:p>
    <w:p w14:paraId="656D2F30" w14:textId="77777777" w:rsidR="000A06AA" w:rsidRPr="00207577" w:rsidRDefault="000A06AA" w:rsidP="000A06AA">
      <w:pPr>
        <w:spacing w:line="240" w:lineRule="auto"/>
        <w:ind w:left="567" w:right="567"/>
        <w:contextualSpacing/>
        <w:rPr>
          <w:i/>
          <w:kern w:val="28"/>
          <w:szCs w:val="56"/>
        </w:rPr>
      </w:pPr>
      <w:r w:rsidRPr="00207577">
        <w:rPr>
          <w:b/>
          <w:i/>
          <w:kern w:val="28"/>
          <w:szCs w:val="56"/>
        </w:rPr>
        <w:t>Artículo 345.-</w:t>
      </w:r>
      <w:r w:rsidRPr="00207577">
        <w:rPr>
          <w:i/>
          <w:kern w:val="28"/>
          <w:szCs w:val="56"/>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28B83116" w14:textId="77777777" w:rsidR="000A06AA" w:rsidRPr="00207577" w:rsidRDefault="000A06AA" w:rsidP="000A06AA"/>
    <w:p w14:paraId="3D3FDB01" w14:textId="77777777" w:rsidR="000A06AA" w:rsidRPr="00207577" w:rsidRDefault="000A06AA" w:rsidP="000A06AA">
      <w:pPr>
        <w:spacing w:line="240" w:lineRule="auto"/>
        <w:ind w:left="567" w:right="567"/>
        <w:contextualSpacing/>
        <w:rPr>
          <w:rFonts w:eastAsia="Arial Unicode MS"/>
          <w:i/>
          <w:kern w:val="28"/>
          <w:szCs w:val="56"/>
        </w:rPr>
      </w:pPr>
      <w:r w:rsidRPr="00207577">
        <w:rPr>
          <w:i/>
          <w:kern w:val="28"/>
          <w:szCs w:val="56"/>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w:t>
      </w:r>
      <w:r w:rsidRPr="00207577">
        <w:rPr>
          <w:i/>
          <w:kern w:val="28"/>
          <w:szCs w:val="56"/>
        </w:rPr>
        <w:lastRenderedPageBreak/>
        <w:t>electrónica a cada póliza de registro contable. El plazo señalado en este artículo empezará a contar a partir de la publicación en el Periódico Oficial, del decreto correspondiente.</w:t>
      </w:r>
      <w:r w:rsidRPr="00207577">
        <w:rPr>
          <w:rFonts w:eastAsia="Arial Unicode MS"/>
          <w:i/>
          <w:kern w:val="28"/>
          <w:szCs w:val="56"/>
        </w:rPr>
        <w:t xml:space="preserve"> (Énfasis añadido)</w:t>
      </w:r>
    </w:p>
    <w:p w14:paraId="55C1902D" w14:textId="77777777" w:rsidR="000A06AA" w:rsidRPr="00207577" w:rsidRDefault="000A06AA" w:rsidP="000A06AA">
      <w:pPr>
        <w:ind w:left="709"/>
        <w:rPr>
          <w:rFonts w:eastAsia="Arial Unicode MS" w:cs="Arial"/>
          <w:i/>
        </w:rPr>
      </w:pPr>
    </w:p>
    <w:p w14:paraId="7DC4EDE1" w14:textId="77777777" w:rsidR="000A06AA" w:rsidRPr="00207577" w:rsidRDefault="000A06AA" w:rsidP="000A06AA">
      <w:pPr>
        <w:rPr>
          <w:rFonts w:cs="Arial"/>
          <w:color w:val="000000" w:themeColor="text1"/>
        </w:rPr>
      </w:pPr>
      <w:r w:rsidRPr="00207577">
        <w:rPr>
          <w:rFonts w:cs="Arial"/>
          <w:color w:val="000000" w:themeColor="text1"/>
        </w:rPr>
        <w:t xml:space="preserve">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w:t>
      </w:r>
      <w:proofErr w:type="spellStart"/>
      <w:r w:rsidRPr="00207577">
        <w:rPr>
          <w:rFonts w:cs="Arial"/>
          <w:color w:val="000000" w:themeColor="text1"/>
        </w:rPr>
        <w:t>presupuestación</w:t>
      </w:r>
      <w:proofErr w:type="spellEnd"/>
      <w:r w:rsidRPr="00207577">
        <w:rPr>
          <w:rFonts w:cs="Arial"/>
          <w:color w:val="000000" w:themeColor="text1"/>
        </w:rPr>
        <w:t>, evaluación y contabilidad gubernamental.</w:t>
      </w:r>
    </w:p>
    <w:p w14:paraId="06E6C149" w14:textId="77777777" w:rsidR="000A06AA" w:rsidRPr="00207577" w:rsidRDefault="000A06AA" w:rsidP="000A06AA">
      <w:pPr>
        <w:rPr>
          <w:rFonts w:cs="Arial"/>
          <w:color w:val="000000" w:themeColor="text1"/>
        </w:rPr>
      </w:pPr>
    </w:p>
    <w:p w14:paraId="5D91BA66" w14:textId="77777777" w:rsidR="000A06AA" w:rsidRPr="00207577" w:rsidRDefault="000A06AA" w:rsidP="000A06AA">
      <w:pPr>
        <w:rPr>
          <w:rFonts w:cs="Arial"/>
          <w:color w:val="000000" w:themeColor="text1"/>
        </w:rPr>
      </w:pPr>
      <w:r w:rsidRPr="00207577">
        <w:rPr>
          <w:rFonts w:cs="Arial"/>
          <w:color w:val="000000" w:themeColor="text1"/>
        </w:rPr>
        <w:t>Asimismo, se establece que el sistema de contabilidad sobre base acumulativa total se sustentará en las normas emitidas por el Consejo Nacional de Armonización Contable.</w:t>
      </w:r>
    </w:p>
    <w:p w14:paraId="3AA8D3B1" w14:textId="77777777" w:rsidR="000A06AA" w:rsidRPr="00207577" w:rsidRDefault="000A06AA" w:rsidP="000A06AA">
      <w:pPr>
        <w:rPr>
          <w:rFonts w:cs="Arial"/>
          <w:color w:val="000000" w:themeColor="text1"/>
        </w:rPr>
      </w:pPr>
    </w:p>
    <w:p w14:paraId="79CDF1B5" w14:textId="77777777" w:rsidR="000A06AA" w:rsidRPr="00207577" w:rsidRDefault="000A06AA" w:rsidP="000A06AA">
      <w:pPr>
        <w:rPr>
          <w:rFonts w:cs="Arial"/>
          <w:b/>
          <w:color w:val="000000" w:themeColor="text1"/>
        </w:rPr>
      </w:pPr>
      <w:r w:rsidRPr="00207577">
        <w:rPr>
          <w:rFonts w:cs="Arial"/>
          <w:color w:val="000000" w:themeColor="text1"/>
        </w:rPr>
        <w:t xml:space="preserve">Igualmente, los preceptos legales citados señalan que en el caso de los Municipios es la </w:t>
      </w:r>
      <w:r w:rsidRPr="00207577">
        <w:rPr>
          <w:rFonts w:cs="Arial"/>
          <w:b/>
          <w:color w:val="000000" w:themeColor="text1"/>
        </w:rPr>
        <w:t>Tesorería Municipal</w:t>
      </w:r>
      <w:r w:rsidRPr="00207577">
        <w:rPr>
          <w:rFonts w:cs="Arial"/>
          <w:color w:val="000000" w:themeColor="text1"/>
        </w:rPr>
        <w:t xml:space="preserve"> la unidad administrativa que registra contablemente el efecto patrimonial y presupuestal de las operaciones financieras que realizan, en </w:t>
      </w:r>
      <w:r w:rsidRPr="00207577">
        <w:rPr>
          <w:rFonts w:cs="Arial"/>
          <w:b/>
          <w:color w:val="000000" w:themeColor="text1"/>
        </w:rPr>
        <w:t>el momento en que ocurran, con base en el sistema y políticas de registro establecidas</w:t>
      </w:r>
      <w:r w:rsidRPr="00207577">
        <w:rPr>
          <w:rFonts w:cs="Arial"/>
          <w:color w:val="000000" w:themeColor="text1"/>
        </w:rPr>
        <w:t>.</w:t>
      </w:r>
    </w:p>
    <w:p w14:paraId="6CBEA6BC" w14:textId="77777777" w:rsidR="000A06AA" w:rsidRPr="00207577" w:rsidRDefault="000A06AA" w:rsidP="000A06AA">
      <w:pPr>
        <w:rPr>
          <w:rFonts w:cs="Arial"/>
          <w:color w:val="000000" w:themeColor="text1"/>
        </w:rPr>
      </w:pPr>
    </w:p>
    <w:p w14:paraId="690F6F68" w14:textId="77777777" w:rsidR="000A06AA" w:rsidRPr="00207577" w:rsidRDefault="000A06AA" w:rsidP="000A06AA">
      <w:pPr>
        <w:rPr>
          <w:rFonts w:cs="Arial"/>
          <w:color w:val="000000" w:themeColor="text1"/>
        </w:rPr>
      </w:pPr>
      <w:r w:rsidRPr="00207577">
        <w:rPr>
          <w:rFonts w:cs="Arial"/>
          <w:color w:val="000000" w:themeColor="text1"/>
        </w:rPr>
        <w:t xml:space="preserve">Cabe destacar, que el ordenamiento legal en cita establece que todo registro contable y presupuestal deberá estar soportado con los </w:t>
      </w:r>
      <w:r w:rsidRPr="00207577">
        <w:rPr>
          <w:rFonts w:cs="Arial"/>
          <w:b/>
          <w:color w:val="000000" w:themeColor="text1"/>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207577">
        <w:rPr>
          <w:rFonts w:cs="Arial"/>
          <w:color w:val="000000" w:themeColor="text1"/>
        </w:rPr>
        <w:t xml:space="preserve">, en el caso de los municipios, y a disposición del Órgano Superior de Fiscalización del Estado de México y de los Órganos de Control Interno, por un término de </w:t>
      </w:r>
      <w:r w:rsidRPr="00207577">
        <w:rPr>
          <w:rFonts w:cs="Arial"/>
          <w:b/>
          <w:color w:val="000000" w:themeColor="text1"/>
        </w:rPr>
        <w:t>seis años</w:t>
      </w:r>
      <w:r w:rsidRPr="00207577">
        <w:rPr>
          <w:rFonts w:cs="Arial"/>
          <w:color w:val="000000" w:themeColor="text1"/>
        </w:rPr>
        <w:t xml:space="preserve"> contados a partir del ejercicio presupuestal siguiente al que corresponda.</w:t>
      </w:r>
    </w:p>
    <w:p w14:paraId="1031E564" w14:textId="77777777" w:rsidR="000A06AA" w:rsidRPr="00207577" w:rsidRDefault="000A06AA" w:rsidP="000A06AA">
      <w:pPr>
        <w:rPr>
          <w:color w:val="000000" w:themeColor="text1"/>
        </w:rPr>
      </w:pPr>
    </w:p>
    <w:p w14:paraId="6539E36D" w14:textId="77777777" w:rsidR="000A06AA" w:rsidRPr="00207577" w:rsidRDefault="000A06AA" w:rsidP="000A06AA">
      <w:pPr>
        <w:rPr>
          <w:rFonts w:cs="Arial"/>
          <w:color w:val="000000" w:themeColor="text1"/>
          <w:lang w:eastAsia="es-MX"/>
        </w:rPr>
      </w:pPr>
      <w:r w:rsidRPr="00207577">
        <w:rPr>
          <w:rFonts w:cs="Arial"/>
          <w:color w:val="000000" w:themeColor="text1"/>
          <w:lang w:eastAsia="es-MX"/>
        </w:rPr>
        <w:lastRenderedPageBreak/>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8D6ABFA" w14:textId="77777777" w:rsidR="000A06AA" w:rsidRPr="00207577" w:rsidRDefault="000A06AA" w:rsidP="000A06AA">
      <w:pPr>
        <w:rPr>
          <w:rFonts w:cs="Arial"/>
          <w:color w:val="000000" w:themeColor="text1"/>
          <w:lang w:eastAsia="es-MX"/>
        </w:rPr>
      </w:pPr>
    </w:p>
    <w:p w14:paraId="5E909ECA" w14:textId="77777777" w:rsidR="000A06AA" w:rsidRPr="00207577" w:rsidRDefault="000A06AA" w:rsidP="000A06AA">
      <w:pPr>
        <w:spacing w:line="240" w:lineRule="auto"/>
        <w:ind w:left="567" w:right="567"/>
        <w:contextualSpacing/>
        <w:rPr>
          <w:rFonts w:eastAsia="Arial Unicode MS"/>
          <w:i/>
          <w:kern w:val="28"/>
          <w:szCs w:val="56"/>
        </w:rPr>
      </w:pPr>
      <w:r w:rsidRPr="00207577">
        <w:rPr>
          <w:rFonts w:eastAsia="Arial Unicode MS"/>
          <w:i/>
          <w:kern w:val="28"/>
          <w:szCs w:val="56"/>
        </w:rPr>
        <w:t>“</w:t>
      </w:r>
      <w:r w:rsidRPr="00207577">
        <w:rPr>
          <w:rFonts w:eastAsia="Arial Unicode MS"/>
          <w:b/>
          <w:i/>
          <w:kern w:val="28"/>
          <w:szCs w:val="56"/>
        </w:rPr>
        <w:t>REGISTRO CONTABLE</w:t>
      </w:r>
      <w:r w:rsidRPr="00207577">
        <w:rPr>
          <w:rFonts w:eastAsia="Arial Unicode MS"/>
          <w:i/>
          <w:kern w:val="28"/>
          <w:szCs w:val="56"/>
        </w:rPr>
        <w:t xml:space="preserve"> </w:t>
      </w:r>
    </w:p>
    <w:p w14:paraId="6D2886B8" w14:textId="77777777" w:rsidR="000A06AA" w:rsidRPr="00207577" w:rsidRDefault="000A06AA" w:rsidP="000A06AA">
      <w:pPr>
        <w:spacing w:line="240" w:lineRule="auto"/>
        <w:ind w:left="567" w:right="567"/>
        <w:contextualSpacing/>
        <w:rPr>
          <w:rFonts w:eastAsia="Arial Unicode MS"/>
          <w:i/>
          <w:kern w:val="28"/>
          <w:szCs w:val="56"/>
        </w:rPr>
      </w:pPr>
      <w:r w:rsidRPr="00207577">
        <w:rPr>
          <w:rFonts w:eastAsia="Arial Unicode MS"/>
          <w:i/>
          <w:kern w:val="28"/>
          <w:szCs w:val="56"/>
        </w:rPr>
        <w:t>Asiento que se realiza en los libros de contabilidad de las actividades relacionadas con el ingreso y egresos de un ente económico.”</w:t>
      </w:r>
    </w:p>
    <w:p w14:paraId="46C52ACB" w14:textId="77777777" w:rsidR="000A06AA" w:rsidRPr="00207577" w:rsidRDefault="000A06AA" w:rsidP="000A06AA">
      <w:pPr>
        <w:spacing w:line="240" w:lineRule="auto"/>
        <w:ind w:left="567" w:right="567"/>
        <w:contextualSpacing/>
        <w:rPr>
          <w:rFonts w:eastAsia="Arial Unicode MS"/>
          <w:i/>
          <w:kern w:val="28"/>
          <w:szCs w:val="56"/>
        </w:rPr>
      </w:pPr>
      <w:r w:rsidRPr="00207577">
        <w:rPr>
          <w:rFonts w:eastAsia="Arial Unicode MS"/>
          <w:i/>
          <w:kern w:val="28"/>
          <w:szCs w:val="56"/>
        </w:rPr>
        <w:t>“</w:t>
      </w:r>
      <w:r w:rsidRPr="00207577">
        <w:rPr>
          <w:rFonts w:eastAsia="Arial Unicode MS"/>
          <w:b/>
          <w:i/>
          <w:kern w:val="28"/>
          <w:szCs w:val="56"/>
        </w:rPr>
        <w:t>REGISTRO PRESUPUESTARIO</w:t>
      </w:r>
    </w:p>
    <w:p w14:paraId="15078198" w14:textId="77777777" w:rsidR="000A06AA" w:rsidRPr="00207577" w:rsidRDefault="000A06AA" w:rsidP="000A06AA">
      <w:pPr>
        <w:spacing w:line="240" w:lineRule="auto"/>
        <w:ind w:left="567" w:right="567"/>
        <w:contextualSpacing/>
        <w:rPr>
          <w:rFonts w:eastAsia="Arial Unicode MS"/>
          <w:i/>
          <w:kern w:val="28"/>
          <w:szCs w:val="56"/>
        </w:rPr>
      </w:pPr>
      <w:r w:rsidRPr="00207577">
        <w:rPr>
          <w:rFonts w:eastAsia="Arial Unicode MS"/>
          <w:i/>
          <w:kern w:val="28"/>
          <w:szCs w:val="56"/>
        </w:rPr>
        <w:t>Asiento contable de las erogaciones realizadas por las dependencias y entidades con relación a la asignación, modificación y ejercicio de los recursos presupuestarios que se les hayan autorizado.”</w:t>
      </w:r>
    </w:p>
    <w:p w14:paraId="5C036182" w14:textId="77777777" w:rsidR="000A06AA" w:rsidRPr="00207577" w:rsidRDefault="000A06AA" w:rsidP="000A06AA">
      <w:pPr>
        <w:ind w:left="851" w:right="901"/>
        <w:rPr>
          <w:rFonts w:eastAsia="Arial Unicode MS" w:cs="Arial"/>
          <w:i/>
        </w:rPr>
      </w:pPr>
    </w:p>
    <w:p w14:paraId="08C0A866" w14:textId="77777777" w:rsidR="000A06AA" w:rsidRPr="00207577" w:rsidRDefault="000A06AA" w:rsidP="000A06AA">
      <w:pPr>
        <w:rPr>
          <w:rFonts w:cs="Arial"/>
          <w:color w:val="000000" w:themeColor="text1"/>
          <w:lang w:eastAsia="es-MX"/>
        </w:rPr>
      </w:pPr>
      <w:r w:rsidRPr="00207577">
        <w:rPr>
          <w:rFonts w:cs="Arial"/>
          <w:color w:val="000000" w:themeColor="text1"/>
          <w:lang w:eastAsia="es-MX"/>
        </w:rPr>
        <w:t>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6209014F" w14:textId="77777777" w:rsidR="000A06AA" w:rsidRPr="00207577" w:rsidRDefault="000A06AA" w:rsidP="000A06AA">
      <w:pPr>
        <w:rPr>
          <w:rFonts w:cs="Arial"/>
          <w:color w:val="000000" w:themeColor="text1"/>
          <w:lang w:eastAsia="es-MX"/>
        </w:rPr>
      </w:pPr>
    </w:p>
    <w:p w14:paraId="0E840CA4" w14:textId="77777777" w:rsidR="000A06AA" w:rsidRPr="00207577" w:rsidRDefault="000A06AA" w:rsidP="000A06AA">
      <w:pPr>
        <w:spacing w:line="240" w:lineRule="auto"/>
        <w:ind w:left="567" w:right="567"/>
        <w:contextualSpacing/>
        <w:rPr>
          <w:rFonts w:eastAsia="Arial Unicode MS"/>
          <w:b/>
          <w:i/>
          <w:kern w:val="28"/>
          <w:szCs w:val="56"/>
        </w:rPr>
      </w:pPr>
      <w:r w:rsidRPr="00207577">
        <w:rPr>
          <w:rFonts w:eastAsia="Arial Unicode MS"/>
          <w:i/>
          <w:kern w:val="28"/>
          <w:szCs w:val="56"/>
        </w:rPr>
        <w:t>“</w:t>
      </w:r>
      <w:r w:rsidRPr="00207577">
        <w:rPr>
          <w:rFonts w:eastAsia="Arial Unicode MS"/>
          <w:b/>
          <w:i/>
          <w:kern w:val="28"/>
          <w:szCs w:val="56"/>
        </w:rPr>
        <w:t>PÓLIZA CONTABLE</w:t>
      </w:r>
    </w:p>
    <w:p w14:paraId="7AE5BA5A" w14:textId="77777777" w:rsidR="000A06AA" w:rsidRPr="00207577" w:rsidRDefault="000A06AA" w:rsidP="000A06AA">
      <w:pPr>
        <w:spacing w:line="240" w:lineRule="auto"/>
        <w:ind w:left="567" w:right="567"/>
        <w:contextualSpacing/>
        <w:rPr>
          <w:rFonts w:eastAsia="Arial Unicode MS"/>
          <w:i/>
          <w:kern w:val="28"/>
          <w:szCs w:val="56"/>
        </w:rPr>
      </w:pPr>
      <w:r w:rsidRPr="00207577">
        <w:rPr>
          <w:rFonts w:eastAsia="Arial Unicode MS"/>
          <w:i/>
          <w:kern w:val="28"/>
          <w:szCs w:val="56"/>
        </w:rPr>
        <w:t>Documento en el cual se asientan en forma individual todas y cada una de las operaciones desarrolladas por una institución, así como la información necesaria para la identificación necesaria para la identificación de dichas operaciones.”</w:t>
      </w:r>
    </w:p>
    <w:p w14:paraId="5A2B1989" w14:textId="77777777" w:rsidR="000A06AA" w:rsidRPr="00207577" w:rsidRDefault="000A06AA" w:rsidP="000A06AA">
      <w:pPr>
        <w:ind w:left="851" w:right="901"/>
        <w:rPr>
          <w:rFonts w:eastAsia="Arial Unicode MS" w:cs="Arial"/>
          <w:i/>
        </w:rPr>
      </w:pPr>
    </w:p>
    <w:p w14:paraId="427F8CF0" w14:textId="77777777" w:rsidR="000A06AA" w:rsidRPr="00207577" w:rsidRDefault="000A06AA" w:rsidP="000A06AA">
      <w:pPr>
        <w:rPr>
          <w:rFonts w:cs="Arial"/>
          <w:color w:val="000000" w:themeColor="text1"/>
          <w:lang w:eastAsia="es-MX"/>
        </w:rPr>
      </w:pPr>
      <w:r w:rsidRPr="00207577">
        <w:rPr>
          <w:rFonts w:cs="Arial"/>
          <w:color w:val="000000" w:themeColor="text1"/>
          <w:lang w:eastAsia="es-MX"/>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324EA9CE" w14:textId="77777777" w:rsidR="000A06AA" w:rsidRPr="00207577" w:rsidRDefault="000A06AA" w:rsidP="000A06AA">
      <w:pPr>
        <w:rPr>
          <w:rFonts w:eastAsia="MS Mincho"/>
        </w:rPr>
      </w:pPr>
    </w:p>
    <w:p w14:paraId="0ED51CC7" w14:textId="77777777" w:rsidR="000A06AA" w:rsidRPr="00207577" w:rsidRDefault="000A06AA" w:rsidP="000A06AA">
      <w:pPr>
        <w:rPr>
          <w:rFonts w:eastAsiaTheme="majorEastAsia" w:cs="Arial"/>
          <w:b/>
          <w:bCs/>
        </w:rPr>
      </w:pPr>
      <w:r w:rsidRPr="00207577">
        <w:rPr>
          <w:rFonts w:cs="Arial"/>
          <w:lang w:eastAsia="es-MX"/>
        </w:rPr>
        <w:t xml:space="preserve">Ahora bien, existen diversos tipos de pólizas de acuerdo a las operaciones realizadas, así encontramos que los pagos efectuados con cheque son controlados en “pólizas de cheque”, las cuales permiten registrar </w:t>
      </w:r>
      <w:r w:rsidRPr="00207577">
        <w:rPr>
          <w:rFonts w:cs="Arial"/>
        </w:rPr>
        <w:t xml:space="preserve">una </w:t>
      </w:r>
      <w:r w:rsidRPr="00207577">
        <w:rPr>
          <w:rFonts w:eastAsiaTheme="majorEastAsia" w:cs="Arial"/>
          <w:b/>
          <w:bCs/>
        </w:rPr>
        <w:t xml:space="preserve">salida de dinero de la </w:t>
      </w:r>
      <w:hyperlink r:id="rId14" w:history="1">
        <w:r w:rsidRPr="00207577">
          <w:rPr>
            <w:rFonts w:eastAsiaTheme="majorEastAsia"/>
            <w:b/>
            <w:bCs/>
            <w:u w:val="single"/>
          </w:rPr>
          <w:t>cuenta bancaria</w:t>
        </w:r>
      </w:hyperlink>
      <w:r w:rsidRPr="00207577">
        <w:rPr>
          <w:rFonts w:eastAsiaTheme="majorEastAsia" w:cs="Arial"/>
          <w:b/>
          <w:bCs/>
          <w:u w:val="single"/>
        </w:rPr>
        <w:t xml:space="preserve"> </w:t>
      </w:r>
      <w:r w:rsidRPr="00207577">
        <w:rPr>
          <w:rFonts w:eastAsiaTheme="majorEastAsia" w:cs="Arial"/>
          <w:b/>
          <w:bCs/>
        </w:rPr>
        <w:t xml:space="preserve">propia, a través de la </w:t>
      </w:r>
      <w:hyperlink r:id="rId15" w:history="1">
        <w:r w:rsidRPr="00207577">
          <w:rPr>
            <w:rFonts w:eastAsiaTheme="majorEastAsia"/>
            <w:b/>
            <w:bCs/>
            <w:u w:val="single"/>
          </w:rPr>
          <w:t>emisión de un cheque</w:t>
        </w:r>
      </w:hyperlink>
      <w:r w:rsidRPr="00207577">
        <w:rPr>
          <w:rFonts w:eastAsiaTheme="majorEastAsia"/>
          <w:b/>
          <w:bCs/>
          <w:u w:val="single"/>
        </w:rPr>
        <w:t>,</w:t>
      </w:r>
      <w:r w:rsidRPr="00207577">
        <w:rPr>
          <w:rFonts w:cs="Arial"/>
        </w:rPr>
        <w:t xml:space="preserve"> por lo que las dependencias públicas al librar un cheque, </w:t>
      </w:r>
      <w:r w:rsidRPr="00207577">
        <w:rPr>
          <w:rFonts w:eastAsiaTheme="majorEastAsia" w:cs="Arial"/>
          <w:b/>
          <w:bCs/>
        </w:rPr>
        <w:t>adhieren una fotocopia del mismo con una póliza que sirve para fines contables</w:t>
      </w:r>
      <w:r w:rsidRPr="00207577">
        <w:rPr>
          <w:rFonts w:cs="Arial"/>
        </w:rPr>
        <w:t xml:space="preserve">, porque describe cuánto y para qué se expidió el título de crédito, la cual sirve a su vez, </w:t>
      </w:r>
      <w:r w:rsidRPr="00207577">
        <w:rPr>
          <w:rFonts w:eastAsiaTheme="majorEastAsia" w:cs="Arial"/>
          <w:b/>
          <w:bCs/>
        </w:rPr>
        <w:t>como un recibo del cheque entregado al beneficiario.</w:t>
      </w:r>
    </w:p>
    <w:p w14:paraId="20BDC913" w14:textId="77777777" w:rsidR="000A06AA" w:rsidRPr="00207577" w:rsidRDefault="000A06AA" w:rsidP="000A06AA">
      <w:pPr>
        <w:rPr>
          <w:rFonts w:cs="Arial"/>
          <w:lang w:eastAsia="es-MX"/>
        </w:rPr>
      </w:pPr>
    </w:p>
    <w:p w14:paraId="2BD79C05" w14:textId="77777777" w:rsidR="000A06AA" w:rsidRPr="00207577" w:rsidRDefault="000A06AA" w:rsidP="000A06AA">
      <w:pPr>
        <w:rPr>
          <w:rFonts w:cs="Arial"/>
          <w:lang w:eastAsia="es-MX"/>
        </w:rPr>
      </w:pPr>
      <w:r w:rsidRPr="00207577">
        <w:rPr>
          <w:rFonts w:cs="Arial"/>
          <w:lang w:eastAsia="es-MX"/>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5BA86B97" w14:textId="77777777" w:rsidR="000A06AA" w:rsidRPr="00207577" w:rsidRDefault="000A06AA" w:rsidP="00B85975">
      <w:pPr>
        <w:rPr>
          <w:rFonts w:eastAsia="MS Mincho"/>
        </w:rPr>
      </w:pPr>
    </w:p>
    <w:p w14:paraId="47303776" w14:textId="77777777" w:rsidR="00D04C3A" w:rsidRPr="00207577" w:rsidRDefault="000A06AA" w:rsidP="000A06AA">
      <w:pPr>
        <w:widowControl w:val="0"/>
        <w:autoSpaceDE w:val="0"/>
        <w:autoSpaceDN w:val="0"/>
        <w:adjustRightInd w:val="0"/>
        <w:contextualSpacing/>
        <w:rPr>
          <w:rFonts w:cs="Tahoma"/>
          <w:szCs w:val="22"/>
        </w:rPr>
      </w:pPr>
      <w:r w:rsidRPr="00207577">
        <w:rPr>
          <w:rFonts w:cs="Arial"/>
        </w:rPr>
        <w:t xml:space="preserve">Ahora bien, del análisis realizado a las documentales que integran el </w:t>
      </w:r>
      <w:r w:rsidRPr="00207577">
        <w:t xml:space="preserve">expediente electrónico </w:t>
      </w:r>
      <w:r w:rsidRPr="00207577">
        <w:lastRenderedPageBreak/>
        <w:t xml:space="preserve">se advierte que si bien </w:t>
      </w:r>
      <w:r w:rsidRPr="00207577">
        <w:rPr>
          <w:b/>
          <w:bCs/>
        </w:rPr>
        <w:t xml:space="preserve">EL SUJETO OBLIGADO </w:t>
      </w:r>
      <w:r w:rsidRPr="00207577">
        <w:t xml:space="preserve">mediante respuesta adjuntó </w:t>
      </w:r>
      <w:r w:rsidRPr="00207577">
        <w:rPr>
          <w:rFonts w:cs="Tahoma"/>
          <w:szCs w:val="22"/>
        </w:rPr>
        <w:t xml:space="preserve">diversos cheques, pólizas contables de egresos y transferencias bancarias; lo cierto es que, testó </w:t>
      </w:r>
      <w:r w:rsidR="00D04C3A" w:rsidRPr="00207577">
        <w:rPr>
          <w:rFonts w:cs="Tahoma"/>
          <w:szCs w:val="22"/>
        </w:rPr>
        <w:t xml:space="preserve">diversos datos los cuales a continuación se realiza el siguiente estudio a fin de precisar si era procedente o no su clasificación: </w:t>
      </w:r>
    </w:p>
    <w:p w14:paraId="0202A99F" w14:textId="77777777" w:rsidR="00D04C3A" w:rsidRPr="00207577" w:rsidRDefault="00D04C3A" w:rsidP="000A06AA">
      <w:pPr>
        <w:widowControl w:val="0"/>
        <w:autoSpaceDE w:val="0"/>
        <w:autoSpaceDN w:val="0"/>
        <w:adjustRightInd w:val="0"/>
        <w:contextualSpacing/>
        <w:rPr>
          <w:rFonts w:cs="Tahoma"/>
          <w:szCs w:val="22"/>
        </w:rPr>
      </w:pPr>
    </w:p>
    <w:p w14:paraId="02A0D205" w14:textId="77777777" w:rsidR="00D04C3A" w:rsidRPr="00207577" w:rsidRDefault="00D04C3A" w:rsidP="00D04C3A">
      <w:pPr>
        <w:pStyle w:val="Prrafodelista"/>
        <w:numPr>
          <w:ilvl w:val="0"/>
          <w:numId w:val="6"/>
        </w:numPr>
        <w:rPr>
          <w:rFonts w:eastAsia="Palatino Linotype" w:cs="Palatino Linotype"/>
          <w:b/>
          <w:bCs/>
        </w:rPr>
      </w:pPr>
      <w:r w:rsidRPr="00207577">
        <w:rPr>
          <w:rFonts w:eastAsia="Palatino Linotype" w:cs="Palatino Linotype"/>
          <w:b/>
          <w:bCs/>
        </w:rPr>
        <w:t>Nombre de proveedores y contratistas</w:t>
      </w:r>
    </w:p>
    <w:p w14:paraId="6564AE8D" w14:textId="77777777" w:rsidR="00D04C3A" w:rsidRPr="00207577" w:rsidRDefault="00D04C3A" w:rsidP="00D04C3A">
      <w:pPr>
        <w:rPr>
          <w:rFonts w:eastAsia="Palatino Linotype" w:cs="Palatino Linotype"/>
          <w:color w:val="000000"/>
          <w:lang w:eastAsia="es-MX"/>
        </w:rPr>
      </w:pPr>
      <w:r w:rsidRPr="00207577">
        <w:rPr>
          <w:rFonts w:cs="Arial"/>
          <w:color w:val="000000"/>
        </w:rPr>
        <w:t xml:space="preserve">El  nombre de los proveedores y contratistas es de naturaleza pública, al existir la </w:t>
      </w:r>
      <w:r w:rsidRPr="00207577">
        <w:rPr>
          <w:rFonts w:eastAsia="Palatino Linotype" w:cs="Palatino Linotype"/>
          <w:color w:val="000000"/>
          <w:szCs w:val="22"/>
          <w:lang w:eastAsia="es-MX"/>
        </w:rPr>
        <w:t xml:space="preserve">obligación de difundir toda aquella información relativa a los montos y las personas a quienes entreguen, por cualquier motivo, recursos públicos, así como los informes que dichas personas entreguen sobre el uso y destino de dichos recursos, ello conforme al contenido del penúltimo párrafo del </w:t>
      </w:r>
      <w:r w:rsidRPr="00207577">
        <w:rPr>
          <w:rFonts w:eastAsia="Palatino Linotype" w:cs="Palatino Linotype"/>
          <w:color w:val="000000"/>
          <w:lang w:eastAsia="es-MX"/>
        </w:rPr>
        <w:t>artículo 23 de la Ley de Transparencia y Acceso a la Información Pública del Estado de México y Municipios, como se muestra a continuación:</w:t>
      </w:r>
    </w:p>
    <w:p w14:paraId="62893FE5" w14:textId="77777777" w:rsidR="00D04C3A" w:rsidRPr="00207577" w:rsidRDefault="00D04C3A" w:rsidP="00D04C3A">
      <w:pPr>
        <w:ind w:right="50"/>
        <w:rPr>
          <w:rFonts w:eastAsia="Palatino Linotype" w:cs="Palatino Linotype"/>
          <w:color w:val="000000"/>
          <w:lang w:eastAsia="es-MX"/>
        </w:rPr>
      </w:pPr>
    </w:p>
    <w:p w14:paraId="46652AE1" w14:textId="77777777" w:rsidR="00D04C3A" w:rsidRPr="00207577" w:rsidRDefault="00D04C3A" w:rsidP="00D04C3A">
      <w:pPr>
        <w:spacing w:line="240" w:lineRule="auto"/>
        <w:ind w:left="567" w:right="567"/>
        <w:contextualSpacing/>
        <w:rPr>
          <w:rFonts w:eastAsia="Cambria"/>
          <w:b/>
          <w:bCs/>
          <w:i/>
          <w:kern w:val="28"/>
          <w:szCs w:val="56"/>
        </w:rPr>
      </w:pPr>
      <w:r w:rsidRPr="00207577">
        <w:rPr>
          <w:rFonts w:eastAsia="Cambria"/>
          <w:i/>
          <w:color w:val="000000"/>
          <w:kern w:val="28"/>
          <w:szCs w:val="56"/>
        </w:rPr>
        <w:t>“</w:t>
      </w:r>
      <w:r w:rsidRPr="00207577">
        <w:rPr>
          <w:rFonts w:eastAsia="Cambria"/>
          <w:b/>
          <w:bCs/>
          <w:i/>
          <w:kern w:val="28"/>
          <w:szCs w:val="56"/>
        </w:rPr>
        <w:t>Artículo 23. (…)</w:t>
      </w:r>
    </w:p>
    <w:p w14:paraId="322AC8CA" w14:textId="77777777" w:rsidR="00D04C3A" w:rsidRPr="00207577" w:rsidRDefault="00D04C3A" w:rsidP="00D04C3A">
      <w:pPr>
        <w:spacing w:line="240" w:lineRule="auto"/>
        <w:ind w:left="567" w:right="567"/>
        <w:contextualSpacing/>
        <w:rPr>
          <w:rFonts w:eastAsia="Cambria"/>
          <w:i/>
          <w:kern w:val="28"/>
          <w:szCs w:val="56"/>
        </w:rPr>
      </w:pPr>
      <w:r w:rsidRPr="00207577">
        <w:rPr>
          <w:rFonts w:eastAsia="Cambria"/>
          <w:b/>
          <w:bCs/>
          <w:i/>
          <w:kern w:val="28"/>
          <w:szCs w:val="56"/>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207577">
        <w:rPr>
          <w:rFonts w:eastAsia="Cambria"/>
          <w:i/>
          <w:kern w:val="28"/>
          <w:szCs w:val="56"/>
        </w:rPr>
        <w:t>.”</w:t>
      </w:r>
    </w:p>
    <w:p w14:paraId="2E65B910" w14:textId="77777777" w:rsidR="00D04C3A" w:rsidRPr="00207577" w:rsidRDefault="00D04C3A" w:rsidP="00D04C3A">
      <w:pPr>
        <w:ind w:right="49"/>
        <w:contextualSpacing/>
        <w:rPr>
          <w:rFonts w:eastAsia="Palatino Linotype" w:cs="Arial"/>
          <w:szCs w:val="28"/>
          <w:lang w:val="es-ES" w:eastAsia="es-MX"/>
        </w:rPr>
      </w:pPr>
    </w:p>
    <w:p w14:paraId="0F795FD3" w14:textId="77777777" w:rsidR="00D04C3A" w:rsidRPr="00207577" w:rsidRDefault="00D04C3A" w:rsidP="00D04C3A">
      <w:pPr>
        <w:ind w:right="49"/>
        <w:contextualSpacing/>
        <w:rPr>
          <w:rFonts w:eastAsia="Palatino Linotype" w:cs="Arial"/>
          <w:szCs w:val="28"/>
          <w:lang w:eastAsia="es-MX"/>
        </w:rPr>
      </w:pPr>
      <w:r w:rsidRPr="00207577">
        <w:rPr>
          <w:rFonts w:eastAsia="Palatino Linotype" w:cs="Arial"/>
          <w:szCs w:val="28"/>
          <w:lang w:eastAsia="es-MX"/>
        </w:rPr>
        <w:t xml:space="preserve">Asimismo, resulta necesario referir que el nombre de proveedores y contratistas, corresponde a información que se encuentra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 </w:t>
      </w:r>
    </w:p>
    <w:p w14:paraId="3E5DE04B" w14:textId="77777777" w:rsidR="00D04C3A" w:rsidRPr="00207577" w:rsidRDefault="00D04C3A" w:rsidP="00D04C3A">
      <w:pPr>
        <w:ind w:right="49"/>
        <w:contextualSpacing/>
        <w:rPr>
          <w:rFonts w:eastAsia="Palatino Linotype" w:cs="Arial"/>
          <w:i/>
          <w:szCs w:val="28"/>
          <w:lang w:val="es-ES_tradnl" w:eastAsia="es-MX"/>
        </w:rPr>
      </w:pPr>
    </w:p>
    <w:p w14:paraId="32727164" w14:textId="77777777" w:rsidR="00D04C3A" w:rsidRPr="00207577" w:rsidRDefault="00D04C3A" w:rsidP="00D04C3A">
      <w:pPr>
        <w:spacing w:line="240" w:lineRule="auto"/>
        <w:ind w:left="567" w:right="567"/>
        <w:contextualSpacing/>
        <w:rPr>
          <w:rFonts w:eastAsia="Cambria"/>
          <w:i/>
          <w:kern w:val="28"/>
          <w:szCs w:val="56"/>
        </w:rPr>
      </w:pPr>
      <w:r w:rsidRPr="00207577">
        <w:rPr>
          <w:rFonts w:eastAsia="Cambria"/>
          <w:b/>
          <w:i/>
          <w:kern w:val="28"/>
          <w:szCs w:val="56"/>
        </w:rPr>
        <w:lastRenderedPageBreak/>
        <w:t>“Artículo 92.</w:t>
      </w:r>
      <w:r w:rsidRPr="00207577">
        <w:rPr>
          <w:rFonts w:eastAsia="Cambria"/>
          <w:i/>
          <w:kern w:val="28"/>
          <w:szCs w:val="5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74E27E" w14:textId="77777777" w:rsidR="00D04C3A" w:rsidRPr="00207577" w:rsidRDefault="00D04C3A" w:rsidP="00D04C3A">
      <w:pPr>
        <w:spacing w:line="240" w:lineRule="auto"/>
        <w:ind w:left="567" w:right="567"/>
        <w:contextualSpacing/>
        <w:rPr>
          <w:rFonts w:eastAsia="Cambria"/>
          <w:i/>
          <w:kern w:val="28"/>
          <w:szCs w:val="56"/>
        </w:rPr>
      </w:pPr>
      <w:r w:rsidRPr="00207577">
        <w:rPr>
          <w:rFonts w:eastAsia="Cambria"/>
          <w:b/>
          <w:i/>
          <w:kern w:val="28"/>
          <w:szCs w:val="56"/>
        </w:rPr>
        <w:t>(…</w:t>
      </w:r>
      <w:r w:rsidRPr="00207577">
        <w:rPr>
          <w:rFonts w:eastAsia="Cambria"/>
          <w:i/>
          <w:kern w:val="28"/>
          <w:szCs w:val="56"/>
        </w:rPr>
        <w:t>)</w:t>
      </w:r>
    </w:p>
    <w:p w14:paraId="7E21DB74" w14:textId="77777777" w:rsidR="00D04C3A" w:rsidRPr="00207577" w:rsidRDefault="00D04C3A" w:rsidP="00D04C3A">
      <w:pPr>
        <w:spacing w:line="240" w:lineRule="auto"/>
        <w:ind w:left="567" w:right="567"/>
        <w:contextualSpacing/>
        <w:rPr>
          <w:rFonts w:eastAsia="Cambria"/>
          <w:i/>
          <w:kern w:val="28"/>
          <w:szCs w:val="56"/>
        </w:rPr>
      </w:pPr>
      <w:r w:rsidRPr="00207577">
        <w:rPr>
          <w:rFonts w:eastAsia="Cambria"/>
          <w:b/>
          <w:bCs/>
          <w:i/>
          <w:kern w:val="28"/>
          <w:szCs w:val="56"/>
        </w:rPr>
        <w:t>XXXII.</w:t>
      </w:r>
      <w:r w:rsidRPr="00207577">
        <w:rPr>
          <w:rFonts w:eastAsia="Cambria"/>
          <w:i/>
          <w:kern w:val="28"/>
          <w:szCs w:val="56"/>
        </w:rPr>
        <w:t xml:space="preserve"> Las concesiones, </w:t>
      </w:r>
      <w:r w:rsidRPr="00207577">
        <w:rPr>
          <w:rFonts w:eastAsia="Cambria"/>
          <w:i/>
          <w:kern w:val="28"/>
          <w:szCs w:val="56"/>
          <w:u w:val="single"/>
        </w:rPr>
        <w:t>contratos</w:t>
      </w:r>
      <w:r w:rsidRPr="00207577">
        <w:rPr>
          <w:rFonts w:eastAsia="Cambria"/>
          <w:i/>
          <w:kern w:val="28"/>
          <w:szCs w:val="56"/>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3ECEFB1" w14:textId="77777777" w:rsidR="00D04C3A" w:rsidRPr="00207577" w:rsidRDefault="00D04C3A" w:rsidP="00D04C3A">
      <w:pPr>
        <w:spacing w:line="240" w:lineRule="auto"/>
        <w:ind w:right="567"/>
        <w:contextualSpacing/>
        <w:rPr>
          <w:rFonts w:eastAsia="Palatino Linotype" w:cs="Palatino Linotype"/>
          <w:i/>
          <w:kern w:val="28"/>
          <w:lang w:eastAsia="es-MX"/>
        </w:rPr>
      </w:pPr>
    </w:p>
    <w:p w14:paraId="2486147C" w14:textId="6CFA2D3F" w:rsidR="00D04C3A" w:rsidRPr="00207577" w:rsidRDefault="00D04C3A" w:rsidP="00D04C3A">
      <w:pPr>
        <w:rPr>
          <w:rFonts w:eastAsia="Palatino Linotype" w:cs="Palatino Linotype"/>
          <w:kern w:val="28"/>
          <w:lang w:eastAsia="es-MX"/>
        </w:rPr>
      </w:pPr>
      <w:r w:rsidRPr="00207577">
        <w:rPr>
          <w:rFonts w:eastAsia="Palatino Linotype" w:cs="Palatino Linotype"/>
          <w:kern w:val="28"/>
          <w:lang w:eastAsia="es-MX"/>
        </w:rPr>
        <w:t xml:space="preserve">Del análisis realizado a las documentales remitidas por el </w:t>
      </w:r>
      <w:r w:rsidRPr="00207577">
        <w:rPr>
          <w:rFonts w:eastAsia="Palatino Linotype" w:cs="Palatino Linotype"/>
          <w:b/>
          <w:kern w:val="28"/>
          <w:lang w:eastAsia="es-MX"/>
        </w:rPr>
        <w:t xml:space="preserve">SUJETO OBLIGADO </w:t>
      </w:r>
      <w:r w:rsidRPr="00207577">
        <w:rPr>
          <w:rFonts w:eastAsia="Palatino Linotype" w:cs="Palatino Linotype"/>
          <w:kern w:val="28"/>
          <w:lang w:eastAsia="es-MX"/>
        </w:rPr>
        <w:t xml:space="preserve">se advierte que dejó visible el nombre </w:t>
      </w:r>
      <w:r w:rsidRPr="00207577">
        <w:rPr>
          <w:rFonts w:cs="Arial"/>
          <w:lang w:val="es-ES_tradnl"/>
        </w:rPr>
        <w:t>proveedores</w:t>
      </w:r>
      <w:r w:rsidRPr="00207577">
        <w:rPr>
          <w:rFonts w:eastAsia="Palatino Linotype" w:cs="Palatino Linotype"/>
          <w:kern w:val="28"/>
          <w:lang w:eastAsia="es-MX"/>
        </w:rPr>
        <w:t xml:space="preserve"> y contratistas.  </w:t>
      </w:r>
    </w:p>
    <w:p w14:paraId="621BCDBE" w14:textId="77777777" w:rsidR="00D04C3A" w:rsidRPr="00207577" w:rsidRDefault="00D04C3A" w:rsidP="00D04C3A">
      <w:pPr>
        <w:spacing w:line="240" w:lineRule="auto"/>
        <w:ind w:right="567"/>
        <w:contextualSpacing/>
        <w:rPr>
          <w:rFonts w:eastAsia="Palatino Linotype" w:cs="Palatino Linotype"/>
          <w:kern w:val="28"/>
          <w:lang w:eastAsia="es-MX"/>
        </w:rPr>
      </w:pPr>
    </w:p>
    <w:p w14:paraId="630837E1" w14:textId="77777777" w:rsidR="00D04C3A" w:rsidRPr="00207577" w:rsidRDefault="00D04C3A" w:rsidP="00D04C3A">
      <w:pPr>
        <w:numPr>
          <w:ilvl w:val="0"/>
          <w:numId w:val="5"/>
        </w:numPr>
        <w:contextualSpacing/>
      </w:pPr>
      <w:r w:rsidRPr="00207577">
        <w:rPr>
          <w:rFonts w:cs="Arial"/>
          <w:b/>
          <w:lang w:val="es-ES_tradnl" w:eastAsia="es-MX"/>
        </w:rPr>
        <w:t>Registro Federal de Contribuyentes</w:t>
      </w:r>
      <w:r w:rsidRPr="00207577">
        <w:rPr>
          <w:rFonts w:cs="Arial"/>
          <w:lang w:val="es-ES_tradnl" w:eastAsia="es-MX"/>
        </w:rPr>
        <w:t xml:space="preserve"> </w:t>
      </w:r>
      <w:r w:rsidRPr="00207577">
        <w:rPr>
          <w:rFonts w:cs="Arial"/>
          <w:b/>
          <w:lang w:val="es-ES_tradnl" w:eastAsia="es-MX"/>
        </w:rPr>
        <w:t>de las personas físicas</w:t>
      </w:r>
    </w:p>
    <w:p w14:paraId="4D549C03" w14:textId="77777777" w:rsidR="00D04C3A" w:rsidRPr="00207577" w:rsidRDefault="00D04C3A" w:rsidP="00D04C3A">
      <w:pPr>
        <w:ind w:left="720"/>
        <w:contextualSpacing/>
      </w:pPr>
    </w:p>
    <w:p w14:paraId="41F200CC" w14:textId="77777777" w:rsidR="00D04C3A" w:rsidRPr="00207577" w:rsidRDefault="00D04C3A" w:rsidP="00D04C3A">
      <w:pPr>
        <w:rPr>
          <w:lang w:val="es-ES_tradnl"/>
        </w:rPr>
      </w:pPr>
      <w:r w:rsidRPr="00207577">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207577">
        <w:rPr>
          <w:rFonts w:cs="Arial"/>
          <w:lang w:val="es-ES_tradnl"/>
        </w:rPr>
        <w:t>del</w:t>
      </w:r>
      <w:r w:rsidRPr="00207577">
        <w:rPr>
          <w:rFonts w:cs="Arial"/>
          <w:lang w:val="es-ES_tradnl" w:eastAsia="es-MX"/>
        </w:rPr>
        <w:t xml:space="preserve"> apellido paterno; seguida de la primera letra Vocal del primer apellido; </w:t>
      </w:r>
      <w:r w:rsidRPr="00207577">
        <w:rPr>
          <w:rFonts w:eastAsia="Arial Unicode MS" w:cs="Arial"/>
          <w:color w:val="000000"/>
          <w:lang w:val="es-ES_tradnl"/>
        </w:rPr>
        <w:t>seguida</w:t>
      </w:r>
      <w:r w:rsidRPr="00207577">
        <w:rPr>
          <w:rFonts w:cs="Arial"/>
          <w:lang w:val="es-ES_tradnl" w:eastAsia="es-MX"/>
        </w:rPr>
        <w:t xml:space="preserve"> de la primera letra del segundo apellido y por último la primera letra del nombre, posterior la fecha de nacimiento año/mes/día</w:t>
      </w:r>
      <w:r w:rsidRPr="00207577">
        <w:rPr>
          <w:lang w:val="es-ES_tradnl"/>
        </w:rPr>
        <w:t xml:space="preserve"> y finalmente la </w:t>
      </w:r>
      <w:proofErr w:type="spellStart"/>
      <w:r w:rsidRPr="00207577">
        <w:rPr>
          <w:lang w:val="es-ES_tradnl"/>
        </w:rPr>
        <w:t>homoclave</w:t>
      </w:r>
      <w:proofErr w:type="spellEnd"/>
      <w:r w:rsidRPr="00207577">
        <w:rPr>
          <w:lang w:val="es-ES_tradnl"/>
        </w:rPr>
        <w:t>; la cual, para su obtención es necesario acreditar personalidad, fecha de nacimiento entre otros con documentos oficiales.</w:t>
      </w:r>
    </w:p>
    <w:p w14:paraId="7C15668D" w14:textId="77777777" w:rsidR="00D04C3A" w:rsidRPr="00207577" w:rsidRDefault="00D04C3A" w:rsidP="00D04C3A">
      <w:pPr>
        <w:rPr>
          <w:lang w:val="es-ES_tradnl"/>
        </w:rPr>
      </w:pPr>
    </w:p>
    <w:p w14:paraId="5C0C2442" w14:textId="77777777" w:rsidR="00D04C3A" w:rsidRPr="00207577" w:rsidRDefault="00D04C3A" w:rsidP="00D04C3A">
      <w:pPr>
        <w:rPr>
          <w:b/>
          <w:bCs/>
          <w:color w:val="000000"/>
          <w:lang w:val="es-ES_tradnl"/>
        </w:rPr>
      </w:pPr>
      <w:r w:rsidRPr="00207577">
        <w:rPr>
          <w:rFonts w:cs="Arial"/>
          <w:lang w:val="es-ES_tradnl" w:eastAsia="es-MX"/>
        </w:rPr>
        <w:t xml:space="preserve">Al respecto, </w:t>
      </w:r>
      <w:r w:rsidRPr="00207577">
        <w:rPr>
          <w:rFonts w:cs="Arial"/>
          <w:color w:val="000000"/>
          <w:lang w:val="es-ES_tradnl"/>
        </w:rPr>
        <w:t xml:space="preserve">es aplicable el Criterio 19/17 de la Segunda Época, emitido por </w:t>
      </w:r>
      <w:r w:rsidRPr="00207577">
        <w:rPr>
          <w:rFonts w:eastAsia="Arial Unicode MS" w:cs="Arial"/>
          <w:color w:val="000000"/>
          <w:lang w:val="es-ES_tradnl"/>
        </w:rPr>
        <w:t xml:space="preserve">el Instituto Nacional de </w:t>
      </w:r>
      <w:r w:rsidRPr="00207577">
        <w:rPr>
          <w:bCs/>
          <w:lang w:val="es-ES_tradnl"/>
        </w:rPr>
        <w:t>Transparencia</w:t>
      </w:r>
      <w:r w:rsidRPr="00207577">
        <w:rPr>
          <w:rFonts w:eastAsia="Arial Unicode MS" w:cs="Arial"/>
          <w:color w:val="000000"/>
          <w:lang w:val="es-ES_tradnl"/>
        </w:rPr>
        <w:t xml:space="preserve">, Acceso a la </w:t>
      </w:r>
      <w:r w:rsidRPr="00207577">
        <w:rPr>
          <w:rFonts w:cs="Arial"/>
          <w:lang w:val="es-ES_tradnl"/>
        </w:rPr>
        <w:t>Información</w:t>
      </w:r>
      <w:r w:rsidRPr="00207577">
        <w:rPr>
          <w:rFonts w:eastAsia="Arial Unicode MS" w:cs="Arial"/>
          <w:color w:val="000000"/>
          <w:lang w:val="es-ES_tradnl"/>
        </w:rPr>
        <w:t xml:space="preserve"> y Protección de Datos Personales,</w:t>
      </w:r>
      <w:r w:rsidRPr="00207577">
        <w:rPr>
          <w:bCs/>
          <w:color w:val="000000"/>
          <w:lang w:val="es-ES_tradnl"/>
        </w:rPr>
        <w:t xml:space="preserve"> que dice:</w:t>
      </w:r>
      <w:r w:rsidRPr="00207577">
        <w:rPr>
          <w:b/>
          <w:bCs/>
          <w:color w:val="000000"/>
          <w:lang w:val="es-ES_tradnl"/>
        </w:rPr>
        <w:t xml:space="preserve"> </w:t>
      </w:r>
    </w:p>
    <w:p w14:paraId="58D7EDB0" w14:textId="77777777" w:rsidR="00D04C3A" w:rsidRPr="00207577" w:rsidRDefault="00D04C3A" w:rsidP="00D04C3A">
      <w:pPr>
        <w:rPr>
          <w:b/>
          <w:bCs/>
          <w:color w:val="000000"/>
          <w:lang w:val="es-ES_tradnl"/>
        </w:rPr>
      </w:pPr>
    </w:p>
    <w:p w14:paraId="6EC6607C" w14:textId="77777777" w:rsidR="00D04C3A" w:rsidRPr="00207577" w:rsidRDefault="00D04C3A" w:rsidP="00D04C3A">
      <w:pPr>
        <w:spacing w:line="240" w:lineRule="auto"/>
        <w:ind w:left="567" w:right="567"/>
        <w:contextualSpacing/>
        <w:rPr>
          <w:i/>
          <w:kern w:val="28"/>
          <w:szCs w:val="56"/>
          <w:lang w:val="es-ES_tradnl"/>
        </w:rPr>
      </w:pPr>
      <w:r w:rsidRPr="00207577">
        <w:rPr>
          <w:i/>
          <w:kern w:val="28"/>
          <w:szCs w:val="56"/>
          <w:lang w:val="es-ES_tradnl"/>
        </w:rPr>
        <w:lastRenderedPageBreak/>
        <w:t>“</w:t>
      </w:r>
      <w:r w:rsidRPr="00207577">
        <w:rPr>
          <w:b/>
          <w:i/>
          <w:kern w:val="28"/>
          <w:szCs w:val="56"/>
          <w:lang w:val="es-ES_tradnl"/>
        </w:rPr>
        <w:t>Registro Federal de Contribuyentes (RFC) de personas físicas.</w:t>
      </w:r>
      <w:r w:rsidRPr="00207577">
        <w:rPr>
          <w:i/>
          <w:kern w:val="28"/>
          <w:szCs w:val="56"/>
          <w:lang w:val="es-ES_tradnl"/>
        </w:rPr>
        <w:t xml:space="preserve"> El RFC es una clave de carácter fiscal, </w:t>
      </w:r>
      <w:proofErr w:type="gramStart"/>
      <w:r w:rsidRPr="00207577">
        <w:rPr>
          <w:i/>
          <w:kern w:val="28"/>
          <w:szCs w:val="56"/>
          <w:lang w:val="es-ES_tradnl"/>
        </w:rPr>
        <w:t>única</w:t>
      </w:r>
      <w:proofErr w:type="gramEnd"/>
      <w:r w:rsidRPr="00207577">
        <w:rPr>
          <w:i/>
          <w:kern w:val="28"/>
          <w:szCs w:val="56"/>
          <w:lang w:val="es-ES_tradnl"/>
        </w:rPr>
        <w:t xml:space="preserve"> e irrepetible, que permite identificar al titular, su edad y fecha de nacimiento, </w:t>
      </w:r>
      <w:r w:rsidRPr="00207577">
        <w:rPr>
          <w:i/>
          <w:kern w:val="28"/>
          <w:szCs w:val="56"/>
          <w:lang w:val="es-ES_tradnl" w:eastAsia="es-MX"/>
        </w:rPr>
        <w:t>por</w:t>
      </w:r>
      <w:r w:rsidRPr="00207577">
        <w:rPr>
          <w:i/>
          <w:kern w:val="28"/>
          <w:szCs w:val="56"/>
          <w:lang w:val="es-ES_tradnl"/>
        </w:rPr>
        <w:t xml:space="preserve"> lo que es un dato personal de carácter confidencial.</w:t>
      </w:r>
    </w:p>
    <w:p w14:paraId="4B70764C" w14:textId="77777777" w:rsidR="00D04C3A" w:rsidRPr="00207577" w:rsidRDefault="00D04C3A" w:rsidP="00D04C3A">
      <w:pPr>
        <w:spacing w:line="240" w:lineRule="auto"/>
        <w:ind w:left="567" w:right="567"/>
        <w:contextualSpacing/>
        <w:rPr>
          <w:i/>
          <w:kern w:val="28"/>
          <w:szCs w:val="56"/>
          <w:lang w:val="es-ES_tradnl"/>
        </w:rPr>
      </w:pPr>
      <w:r w:rsidRPr="00207577">
        <w:rPr>
          <w:i/>
          <w:kern w:val="28"/>
          <w:szCs w:val="56"/>
          <w:lang w:val="es-ES_tradnl"/>
        </w:rPr>
        <w:t xml:space="preserve"> (Énfasis añadido)</w:t>
      </w:r>
    </w:p>
    <w:p w14:paraId="34772830" w14:textId="77777777" w:rsidR="00D04C3A" w:rsidRPr="00207577" w:rsidRDefault="00D04C3A" w:rsidP="00D04C3A">
      <w:pPr>
        <w:autoSpaceDE w:val="0"/>
        <w:autoSpaceDN w:val="0"/>
        <w:adjustRightInd w:val="0"/>
        <w:ind w:left="851" w:right="899"/>
        <w:rPr>
          <w:rFonts w:cs="Arial"/>
          <w:lang w:val="es-ES_tradnl"/>
        </w:rPr>
      </w:pPr>
    </w:p>
    <w:p w14:paraId="5A4D8676" w14:textId="77777777" w:rsidR="00D04C3A" w:rsidRPr="00207577" w:rsidRDefault="00D04C3A" w:rsidP="00D04C3A">
      <w:pPr>
        <w:rPr>
          <w:rFonts w:cs="Arial"/>
          <w:lang w:val="es-ES_tradnl"/>
        </w:rPr>
      </w:pPr>
      <w:r w:rsidRPr="00207577">
        <w:rPr>
          <w:rFonts w:cs="Arial"/>
          <w:lang w:val="es-ES_tradnl" w:eastAsia="es-MX"/>
        </w:rPr>
        <w:t xml:space="preserve">De lo anterior, se desprende que el Registro Federal de Contribuyentes se vincula al nombre de su </w:t>
      </w:r>
      <w:r w:rsidRPr="00207577">
        <w:rPr>
          <w:bCs/>
          <w:lang w:val="es-ES_tradnl"/>
        </w:rPr>
        <w:t>titular</w:t>
      </w:r>
      <w:r w:rsidRPr="00207577">
        <w:rPr>
          <w:rFonts w:cs="Arial"/>
          <w:lang w:val="es-ES_tradnl" w:eastAsia="es-MX"/>
        </w:rPr>
        <w:t xml:space="preserve">, permitiendo identificar la edad de la persona y fecha de nacimiento, determinando </w:t>
      </w:r>
      <w:r w:rsidRPr="00207577">
        <w:rPr>
          <w:rFonts w:cs="Arial"/>
          <w:lang w:val="es-ES_tradnl"/>
        </w:rPr>
        <w:t>l</w:t>
      </w:r>
      <w:r w:rsidRPr="00207577">
        <w:rPr>
          <w:rFonts w:cs="Arial"/>
          <w:lang w:val="es-ES_tradnl" w:eastAsia="es-MX"/>
        </w:rPr>
        <w:t xml:space="preserve">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207577">
        <w:rPr>
          <w:lang w:val="es-ES_tradnl" w:eastAsia="es-MX"/>
        </w:rPr>
        <w:t>Municipios</w:t>
      </w:r>
      <w:r w:rsidRPr="00207577">
        <w:rPr>
          <w:rFonts w:cs="Arial"/>
          <w:lang w:val="es-ES_tradnl" w:eastAsia="es-MX"/>
        </w:rPr>
        <w:t xml:space="preserve"> y </w:t>
      </w:r>
      <w:r w:rsidRPr="00207577">
        <w:rPr>
          <w:rFonts w:cs="Arial"/>
          <w:lang w:val="es-ES_tradnl"/>
        </w:rPr>
        <w:t>4 fracción XI</w:t>
      </w:r>
      <w:r w:rsidRPr="00207577">
        <w:rPr>
          <w:rFonts w:cs="Arial"/>
          <w:lang w:val="es-ES_tradnl" w:eastAsia="es-MX"/>
        </w:rPr>
        <w:t xml:space="preserve"> </w:t>
      </w:r>
      <w:r w:rsidRPr="00207577">
        <w:rPr>
          <w:rFonts w:cs="Arial"/>
          <w:lang w:val="es-ES_tradnl"/>
        </w:rPr>
        <w:t>de la Ley de Protección de Datos Personales en Posesión de Sujetos Obligados del Estado de México y Municipios.</w:t>
      </w:r>
    </w:p>
    <w:p w14:paraId="3B31E592" w14:textId="77777777" w:rsidR="00D04C3A" w:rsidRPr="00207577" w:rsidRDefault="00D04C3A" w:rsidP="000A06AA">
      <w:pPr>
        <w:widowControl w:val="0"/>
        <w:autoSpaceDE w:val="0"/>
        <w:autoSpaceDN w:val="0"/>
        <w:adjustRightInd w:val="0"/>
        <w:contextualSpacing/>
        <w:rPr>
          <w:rFonts w:cs="Tahoma"/>
          <w:szCs w:val="22"/>
        </w:rPr>
      </w:pPr>
    </w:p>
    <w:p w14:paraId="6B2C5294" w14:textId="18EBC650" w:rsidR="00D04C3A" w:rsidRPr="00207577" w:rsidRDefault="00D04C3A" w:rsidP="000A06AA">
      <w:pPr>
        <w:widowControl w:val="0"/>
        <w:autoSpaceDE w:val="0"/>
        <w:autoSpaceDN w:val="0"/>
        <w:adjustRightInd w:val="0"/>
        <w:contextualSpacing/>
        <w:rPr>
          <w:rFonts w:cs="Tahoma"/>
          <w:szCs w:val="22"/>
        </w:rPr>
      </w:pPr>
      <w:r w:rsidRPr="00207577">
        <w:rPr>
          <w:rFonts w:cs="Tahoma"/>
          <w:szCs w:val="22"/>
        </w:rPr>
        <w:t xml:space="preserve">Del análisis realizado a las documentales que integran el expediente electrónico se advierte que se testó dicho dato, para mayor referencia se inserta la siguiente imagen: </w:t>
      </w:r>
    </w:p>
    <w:p w14:paraId="2823B94A" w14:textId="77777777" w:rsidR="00D04C3A" w:rsidRPr="00207577" w:rsidRDefault="00D04C3A" w:rsidP="000A06AA">
      <w:pPr>
        <w:widowControl w:val="0"/>
        <w:autoSpaceDE w:val="0"/>
        <w:autoSpaceDN w:val="0"/>
        <w:adjustRightInd w:val="0"/>
        <w:contextualSpacing/>
        <w:rPr>
          <w:rFonts w:cs="Tahoma"/>
          <w:szCs w:val="22"/>
        </w:rPr>
      </w:pPr>
    </w:p>
    <w:p w14:paraId="7D8817A2" w14:textId="3BE978E2" w:rsidR="00D04C3A" w:rsidRPr="00207577" w:rsidRDefault="00D04C3A" w:rsidP="000A06AA">
      <w:pPr>
        <w:widowControl w:val="0"/>
        <w:autoSpaceDE w:val="0"/>
        <w:autoSpaceDN w:val="0"/>
        <w:adjustRightInd w:val="0"/>
        <w:contextualSpacing/>
        <w:rPr>
          <w:rFonts w:cs="Tahoma"/>
          <w:szCs w:val="22"/>
        </w:rPr>
      </w:pPr>
      <w:r w:rsidRPr="00207577">
        <w:rPr>
          <w:rFonts w:cs="Tahoma"/>
          <w:noProof/>
          <w:szCs w:val="22"/>
          <w:lang w:eastAsia="es-MX"/>
        </w:rPr>
        <w:drawing>
          <wp:inline distT="0" distB="0" distL="0" distR="0" wp14:anchorId="06CF4EBF" wp14:editId="5A0CA44A">
            <wp:extent cx="4439270" cy="31627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39270" cy="3162741"/>
                    </a:xfrm>
                    <a:prstGeom prst="rect">
                      <a:avLst/>
                    </a:prstGeom>
                  </pic:spPr>
                </pic:pic>
              </a:graphicData>
            </a:graphic>
          </wp:inline>
        </w:drawing>
      </w:r>
    </w:p>
    <w:p w14:paraId="32079FD9" w14:textId="77777777" w:rsidR="00D04C3A" w:rsidRPr="00207577" w:rsidRDefault="00D04C3A" w:rsidP="000A06AA">
      <w:pPr>
        <w:widowControl w:val="0"/>
        <w:autoSpaceDE w:val="0"/>
        <w:autoSpaceDN w:val="0"/>
        <w:adjustRightInd w:val="0"/>
        <w:contextualSpacing/>
        <w:rPr>
          <w:rFonts w:cs="Tahoma"/>
          <w:szCs w:val="22"/>
        </w:rPr>
      </w:pPr>
    </w:p>
    <w:p w14:paraId="54A6C91D" w14:textId="20A55097" w:rsidR="00D04C3A" w:rsidRPr="00207577" w:rsidRDefault="00D04C3A" w:rsidP="000A06AA">
      <w:pPr>
        <w:widowControl w:val="0"/>
        <w:autoSpaceDE w:val="0"/>
        <w:autoSpaceDN w:val="0"/>
        <w:adjustRightInd w:val="0"/>
        <w:contextualSpacing/>
        <w:rPr>
          <w:rFonts w:cs="Tahoma"/>
          <w:b/>
          <w:szCs w:val="22"/>
        </w:rPr>
      </w:pPr>
      <w:r w:rsidRPr="00207577">
        <w:rPr>
          <w:rFonts w:cs="Tahoma"/>
          <w:szCs w:val="22"/>
        </w:rPr>
        <w:t xml:space="preserve">Derivado de lo anterior, se debe dejar visible dicho dato a la vista de </w:t>
      </w:r>
      <w:r w:rsidRPr="00207577">
        <w:rPr>
          <w:rFonts w:cs="Tahoma"/>
          <w:b/>
          <w:szCs w:val="22"/>
        </w:rPr>
        <w:t xml:space="preserve">LA PARTE RECURRENTE. </w:t>
      </w:r>
    </w:p>
    <w:p w14:paraId="01117B43" w14:textId="77777777" w:rsidR="009E2737" w:rsidRPr="00207577" w:rsidRDefault="009E2737" w:rsidP="000A06AA">
      <w:pPr>
        <w:rPr>
          <w:rFonts w:cs="Tahoma"/>
          <w:szCs w:val="22"/>
        </w:rPr>
      </w:pPr>
    </w:p>
    <w:p w14:paraId="09245EA7" w14:textId="5D55C040" w:rsidR="009E2737" w:rsidRPr="00207577" w:rsidRDefault="009E2737" w:rsidP="009E2737">
      <w:pPr>
        <w:pStyle w:val="Prrafodelista"/>
        <w:numPr>
          <w:ilvl w:val="0"/>
          <w:numId w:val="6"/>
        </w:numPr>
        <w:rPr>
          <w:rFonts w:eastAsia="Palatino Linotype" w:cs="Palatino Linotype"/>
          <w:b/>
          <w:bCs/>
        </w:rPr>
      </w:pPr>
      <w:r w:rsidRPr="00207577">
        <w:rPr>
          <w:rFonts w:eastAsia="Palatino Linotype" w:cs="Palatino Linotype"/>
          <w:b/>
          <w:bCs/>
        </w:rPr>
        <w:t xml:space="preserve">Nombre </w:t>
      </w:r>
      <w:r w:rsidR="005373B5" w:rsidRPr="00207577">
        <w:rPr>
          <w:rFonts w:eastAsia="Palatino Linotype" w:cs="Palatino Linotype"/>
          <w:b/>
          <w:bCs/>
        </w:rPr>
        <w:t xml:space="preserve">y RFC </w:t>
      </w:r>
      <w:r w:rsidRPr="00207577">
        <w:rPr>
          <w:rFonts w:eastAsia="Palatino Linotype" w:cs="Palatino Linotype"/>
          <w:b/>
          <w:bCs/>
        </w:rPr>
        <w:t xml:space="preserve">de personas a las que se les depositó montos por concepto de pensión alimenticia. </w:t>
      </w:r>
    </w:p>
    <w:p w14:paraId="3BEC0AE1" w14:textId="77777777" w:rsidR="009E2737" w:rsidRPr="00207577" w:rsidRDefault="009E2737" w:rsidP="009E2737">
      <w:pPr>
        <w:rPr>
          <w:rFonts w:eastAsia="Palatino Linotype" w:cs="Palatino Linotype"/>
          <w:b/>
          <w:bCs/>
        </w:rPr>
      </w:pPr>
    </w:p>
    <w:p w14:paraId="1CBEFB14" w14:textId="5B00058C" w:rsidR="009E2737" w:rsidRPr="00207577" w:rsidRDefault="005373B5" w:rsidP="009E2737">
      <w:pPr>
        <w:rPr>
          <w:rFonts w:eastAsia="Palatino Linotype" w:cs="Palatino Linotype"/>
          <w:b/>
          <w:szCs w:val="22"/>
          <w:lang w:eastAsia="es-MX"/>
        </w:rPr>
      </w:pPr>
      <w:r w:rsidRPr="00207577">
        <w:rPr>
          <w:rFonts w:eastAsia="Palatino Linotype" w:cs="Palatino Linotype"/>
          <w:color w:val="000000"/>
          <w:lang w:eastAsia="es-MX"/>
        </w:rPr>
        <w:t xml:space="preserve">Al corresponder el </w:t>
      </w:r>
      <w:r w:rsidR="009E2737" w:rsidRPr="00207577">
        <w:rPr>
          <w:rFonts w:eastAsia="Palatino Linotype" w:cs="Palatino Linotype"/>
          <w:color w:val="000000"/>
          <w:lang w:eastAsia="es-MX"/>
        </w:rPr>
        <w:t>monto depositado a descuentos realizados a los trabajadores, corresponde a información confidencial; por lo que se a</w:t>
      </w:r>
      <w:r w:rsidR="009E2737" w:rsidRPr="00207577">
        <w:rPr>
          <w:rFonts w:eastAsia="Palatino Linotype" w:cs="Palatino Linotype"/>
          <w:szCs w:val="22"/>
          <w:lang w:eastAsia="es-MX"/>
        </w:rPr>
        <w:t>ctualiza el supuesto previsto en el artículo 143 de la Ley en la materia</w:t>
      </w:r>
      <w:r w:rsidR="009E2737" w:rsidRPr="00207577">
        <w:rPr>
          <w:rFonts w:eastAsia="Palatino Linotype" w:cs="Palatino Linotype"/>
          <w:b/>
          <w:szCs w:val="22"/>
          <w:lang w:eastAsia="es-MX"/>
        </w:rPr>
        <w:t xml:space="preserve">. </w:t>
      </w:r>
    </w:p>
    <w:p w14:paraId="58242A56" w14:textId="5AB8D84C" w:rsidR="009E2737" w:rsidRPr="00207577" w:rsidRDefault="009E2737" w:rsidP="009E2737">
      <w:pPr>
        <w:rPr>
          <w:rFonts w:cs="Arial"/>
        </w:rPr>
      </w:pPr>
    </w:p>
    <w:p w14:paraId="1B095944" w14:textId="77777777" w:rsidR="005373B5" w:rsidRPr="00207577" w:rsidRDefault="005373B5" w:rsidP="005373B5">
      <w:pPr>
        <w:numPr>
          <w:ilvl w:val="0"/>
          <w:numId w:val="7"/>
        </w:numPr>
        <w:autoSpaceDE w:val="0"/>
        <w:autoSpaceDN w:val="0"/>
        <w:adjustRightInd w:val="0"/>
        <w:spacing w:after="160" w:line="259" w:lineRule="auto"/>
        <w:contextualSpacing/>
        <w:jc w:val="left"/>
        <w:rPr>
          <w:b/>
        </w:rPr>
      </w:pPr>
      <w:r w:rsidRPr="00207577">
        <w:rPr>
          <w:b/>
        </w:rPr>
        <w:t xml:space="preserve">Cuentas bancarias de particulares </w:t>
      </w:r>
    </w:p>
    <w:p w14:paraId="50B25115" w14:textId="77777777" w:rsidR="005373B5" w:rsidRPr="00207577" w:rsidRDefault="005373B5" w:rsidP="005373B5">
      <w:pPr>
        <w:rPr>
          <w:rFonts w:cs="Arial"/>
          <w:szCs w:val="22"/>
        </w:rPr>
      </w:pPr>
    </w:p>
    <w:p w14:paraId="63DD6220" w14:textId="77777777" w:rsidR="005373B5" w:rsidRPr="00207577" w:rsidRDefault="005373B5" w:rsidP="005373B5">
      <w:r w:rsidRPr="00207577">
        <w:rPr>
          <w:rFonts w:cs="Arial"/>
          <w:szCs w:val="22"/>
        </w:rPr>
        <w:t>E</w:t>
      </w:r>
      <w:r w:rsidRPr="00207577">
        <w:rPr>
          <w:rFonts w:cs="Arial"/>
        </w:rPr>
        <w:t xml:space="preserve">s importante señalar que </w:t>
      </w:r>
      <w:r w:rsidRPr="00207577">
        <w:t xml:space="preserve">por cuanto hace al </w:t>
      </w:r>
      <w:r w:rsidRPr="00207577">
        <w:rPr>
          <w:b/>
          <w:bCs/>
        </w:rPr>
        <w:t>número de cuenta bancaria</w:t>
      </w:r>
      <w:r w:rsidRPr="00207577">
        <w:t xml:space="preserve"> </w:t>
      </w:r>
      <w:r w:rsidRPr="00207577">
        <w:rPr>
          <w:b/>
          <w:bCs/>
        </w:rPr>
        <w:t>de los particulares</w:t>
      </w:r>
      <w:r w:rsidRPr="00207577">
        <w:t xml:space="preserve"> debe ser clasificado como confidencial con fundamento en las fracciones I y II del artículo 143 de la Ley de la Materia de la Entidad; en razón de que, con su difusión se estaría poniendo en riesgo la seguridad de su titular.</w:t>
      </w:r>
    </w:p>
    <w:p w14:paraId="3F0A5B1D" w14:textId="77777777" w:rsidR="005373B5" w:rsidRPr="00207577" w:rsidRDefault="005373B5" w:rsidP="005373B5">
      <w:pPr>
        <w:autoSpaceDE w:val="0"/>
        <w:autoSpaceDN w:val="0"/>
        <w:adjustRightInd w:val="0"/>
        <w:ind w:right="50"/>
      </w:pPr>
    </w:p>
    <w:p w14:paraId="0B563A2F" w14:textId="77777777" w:rsidR="005373B5" w:rsidRPr="00207577" w:rsidRDefault="005373B5" w:rsidP="005373B5">
      <w:pPr>
        <w:autoSpaceDE w:val="0"/>
        <w:autoSpaceDN w:val="0"/>
        <w:adjustRightInd w:val="0"/>
        <w:ind w:right="51"/>
      </w:pPr>
      <w:r w:rsidRPr="00207577">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602DDF7" w14:textId="77777777" w:rsidR="005373B5" w:rsidRPr="00207577" w:rsidRDefault="005373B5" w:rsidP="005373B5">
      <w:pPr>
        <w:autoSpaceDE w:val="0"/>
        <w:autoSpaceDN w:val="0"/>
        <w:adjustRightInd w:val="0"/>
        <w:ind w:right="51"/>
      </w:pPr>
    </w:p>
    <w:p w14:paraId="370A0BBF" w14:textId="77777777" w:rsidR="005373B5" w:rsidRPr="00207577" w:rsidRDefault="005373B5" w:rsidP="005373B5">
      <w:pPr>
        <w:autoSpaceDE w:val="0"/>
        <w:autoSpaceDN w:val="0"/>
        <w:adjustRightInd w:val="0"/>
        <w:ind w:right="50"/>
      </w:pPr>
      <w:r w:rsidRPr="00207577">
        <w:lastRenderedPageBreak/>
        <w:t>Lo anterior encuentra sustento en el criterio 10/17 emitido por el Instituto Nacional de Transparencia y Acceso a la Información Pública del Estado de México y Municipios, que a la letra dicen:</w:t>
      </w:r>
    </w:p>
    <w:p w14:paraId="17716F03" w14:textId="77777777" w:rsidR="005373B5" w:rsidRPr="00207577" w:rsidRDefault="005373B5" w:rsidP="005373B5">
      <w:pPr>
        <w:autoSpaceDE w:val="0"/>
        <w:autoSpaceDN w:val="0"/>
        <w:adjustRightInd w:val="0"/>
        <w:ind w:right="50"/>
      </w:pPr>
    </w:p>
    <w:p w14:paraId="39593351" w14:textId="0B4018EF" w:rsidR="005373B5" w:rsidRPr="00207577" w:rsidRDefault="005373B5" w:rsidP="0025524B">
      <w:pPr>
        <w:spacing w:line="240" w:lineRule="auto"/>
        <w:ind w:left="567" w:right="567"/>
        <w:contextualSpacing/>
        <w:rPr>
          <w:i/>
          <w:kern w:val="28"/>
          <w:szCs w:val="56"/>
        </w:rPr>
      </w:pPr>
      <w:r w:rsidRPr="00207577">
        <w:rPr>
          <w:b/>
          <w:i/>
          <w:kern w:val="28"/>
          <w:szCs w:val="56"/>
        </w:rPr>
        <w:t>“Cuentas bancarias y/o CLABE interbancaria de personas físicas y morales privadas.</w:t>
      </w:r>
      <w:r w:rsidRPr="00207577">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E12895D" w14:textId="77777777" w:rsidR="005373B5" w:rsidRPr="00207577" w:rsidRDefault="005373B5" w:rsidP="005373B5">
      <w:pPr>
        <w:autoSpaceDE w:val="0"/>
        <w:autoSpaceDN w:val="0"/>
        <w:adjustRightInd w:val="0"/>
        <w:ind w:left="851" w:right="899"/>
        <w:jc w:val="center"/>
        <w:rPr>
          <w:b/>
          <w:i/>
          <w:szCs w:val="22"/>
        </w:rPr>
      </w:pPr>
    </w:p>
    <w:p w14:paraId="182C6D95" w14:textId="77777777" w:rsidR="005373B5" w:rsidRPr="00207577" w:rsidRDefault="005373B5" w:rsidP="005373B5">
      <w:pPr>
        <w:numPr>
          <w:ilvl w:val="0"/>
          <w:numId w:val="7"/>
        </w:numPr>
        <w:autoSpaceDE w:val="0"/>
        <w:autoSpaceDN w:val="0"/>
        <w:adjustRightInd w:val="0"/>
        <w:spacing w:after="160" w:line="259" w:lineRule="auto"/>
        <w:ind w:right="50"/>
        <w:contextualSpacing/>
        <w:jc w:val="left"/>
        <w:rPr>
          <w:b/>
        </w:rPr>
      </w:pPr>
      <w:r w:rsidRPr="00207577">
        <w:rPr>
          <w:b/>
        </w:rPr>
        <w:t>Cuentas bancarias de los Sujetos Obligados</w:t>
      </w:r>
    </w:p>
    <w:p w14:paraId="7B74BAD4" w14:textId="77777777" w:rsidR="005373B5" w:rsidRPr="00207577" w:rsidRDefault="005373B5" w:rsidP="005373B5">
      <w:pPr>
        <w:autoSpaceDE w:val="0"/>
        <w:autoSpaceDN w:val="0"/>
        <w:adjustRightInd w:val="0"/>
        <w:ind w:right="50"/>
      </w:pPr>
    </w:p>
    <w:p w14:paraId="48303EB7" w14:textId="77777777" w:rsidR="005373B5" w:rsidRPr="00207577" w:rsidRDefault="005373B5" w:rsidP="005373B5">
      <w:pPr>
        <w:autoSpaceDE w:val="0"/>
        <w:autoSpaceDN w:val="0"/>
        <w:adjustRightInd w:val="0"/>
        <w:ind w:right="50"/>
      </w:pPr>
      <w:r w:rsidRPr="00207577">
        <w:t xml:space="preserve">Por cuanto hace a las </w:t>
      </w:r>
      <w:r w:rsidRPr="00207577">
        <w:rPr>
          <w:b/>
          <w:bCs/>
        </w:rPr>
        <w:t>cuentas bancarias de los Sujetos obligados</w:t>
      </w:r>
      <w:r w:rsidRPr="00207577">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DE2DB4D" w14:textId="77777777" w:rsidR="005373B5" w:rsidRPr="00207577" w:rsidRDefault="005373B5" w:rsidP="005373B5">
      <w:pPr>
        <w:autoSpaceDE w:val="0"/>
        <w:autoSpaceDN w:val="0"/>
        <w:adjustRightInd w:val="0"/>
        <w:ind w:right="50"/>
      </w:pPr>
    </w:p>
    <w:p w14:paraId="2F7E6651" w14:textId="34775C2E" w:rsidR="005373B5" w:rsidRPr="00207577" w:rsidRDefault="005373B5" w:rsidP="0025524B">
      <w:pPr>
        <w:spacing w:line="240" w:lineRule="auto"/>
        <w:ind w:left="567" w:right="567"/>
        <w:contextualSpacing/>
        <w:rPr>
          <w:i/>
          <w:kern w:val="28"/>
          <w:szCs w:val="56"/>
        </w:rPr>
      </w:pPr>
      <w:r w:rsidRPr="00207577">
        <w:rPr>
          <w:i/>
          <w:kern w:val="28"/>
          <w:szCs w:val="56"/>
        </w:rPr>
        <w:t>“</w:t>
      </w:r>
      <w:r w:rsidRPr="00207577">
        <w:rPr>
          <w:b/>
          <w:bCs/>
          <w:i/>
          <w:kern w:val="28"/>
          <w:szCs w:val="56"/>
        </w:rPr>
        <w:t>Cuentas bancarias y/o CLABE interbancaria de sujetos obligados que reciben y/o transfieren recursos públicos, son información pública</w:t>
      </w:r>
      <w:r w:rsidRPr="00207577">
        <w:rPr>
          <w:i/>
          <w:kern w:val="28"/>
          <w:szCs w:val="56"/>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65F0ED0" w14:textId="77777777" w:rsidR="000A06AA" w:rsidRPr="00207577" w:rsidRDefault="000A06AA" w:rsidP="000A06AA">
      <w:pPr>
        <w:widowControl w:val="0"/>
        <w:autoSpaceDE w:val="0"/>
        <w:autoSpaceDN w:val="0"/>
        <w:adjustRightInd w:val="0"/>
        <w:contextualSpacing/>
        <w:rPr>
          <w:rFonts w:cs="Tahoma"/>
          <w:szCs w:val="22"/>
        </w:rPr>
      </w:pPr>
    </w:p>
    <w:p w14:paraId="0F737470" w14:textId="1E14F2CA" w:rsidR="000A06AA" w:rsidRPr="00207577" w:rsidRDefault="005373B5" w:rsidP="000A06AA">
      <w:pPr>
        <w:rPr>
          <w:rFonts w:eastAsia="Palatino Linotype" w:cs="Palatino Linotype"/>
        </w:rPr>
      </w:pPr>
      <w:r w:rsidRPr="00207577">
        <w:rPr>
          <w:rFonts w:eastAsia="Palatino Linotype" w:cs="Palatino Linotype"/>
        </w:rPr>
        <w:t>Es así que, derivado que la pretendía versión pública no se encuentra sustentada por el Acuerdo de Clasificación aprobado por el Comité de Transparencia y debido que se testaron datos que no son susceptibles de ser clasificados como confidenciales;</w:t>
      </w:r>
      <w:r w:rsidR="000A06AA" w:rsidRPr="00207577">
        <w:rPr>
          <w:rFonts w:eastAsia="Palatino Linotype" w:cs="Palatino Linotype"/>
        </w:rPr>
        <w:t xml:space="preserve"> este Órgano Garante </w:t>
      </w:r>
      <w:r w:rsidR="000A06AA" w:rsidRPr="00207577">
        <w:rPr>
          <w:rFonts w:eastAsia="Palatino Linotype" w:cs="Palatino Linotype"/>
        </w:rPr>
        <w:lastRenderedPageBreak/>
        <w:t xml:space="preserve">determina ordenar en correcta versión pública </w:t>
      </w:r>
      <w:r w:rsidRPr="00207577">
        <w:rPr>
          <w:rFonts w:eastAsia="Palatino Linotype" w:cs="Palatino Linotype"/>
        </w:rPr>
        <w:t xml:space="preserve">las </w:t>
      </w:r>
      <w:r w:rsidRPr="00207577">
        <w:rPr>
          <w:rFonts w:eastAsia="Calibri"/>
          <w:lang w:eastAsia="es-ES_tradnl"/>
        </w:rPr>
        <w:t>pólizas y/o comprobantes digitales de pagos realizados a particulares vía cheque o transferencia electrónica durante el mes de abril de 2025, remitidos en respuesta.</w:t>
      </w:r>
    </w:p>
    <w:p w14:paraId="673454D2" w14:textId="77777777" w:rsidR="000A06AA" w:rsidRPr="00207577" w:rsidRDefault="000A06AA" w:rsidP="00B85975">
      <w:pPr>
        <w:rPr>
          <w:rFonts w:eastAsia="MS Mincho"/>
        </w:rPr>
      </w:pPr>
    </w:p>
    <w:p w14:paraId="26BD07A5" w14:textId="77777777" w:rsidR="005373B5" w:rsidRPr="00207577" w:rsidRDefault="005373B5" w:rsidP="005373B5">
      <w:pPr>
        <w:pStyle w:val="Ttulo3"/>
      </w:pPr>
      <w:bookmarkStart w:id="49" w:name="_Toc170898812"/>
      <w:bookmarkStart w:id="50" w:name="_Toc172051201"/>
      <w:bookmarkStart w:id="51" w:name="_Toc174466654"/>
      <w:bookmarkStart w:id="52" w:name="_Toc210248707"/>
      <w:r w:rsidRPr="00207577">
        <w:t>d) Versión pública</w:t>
      </w:r>
      <w:bookmarkEnd w:id="49"/>
      <w:bookmarkEnd w:id="50"/>
      <w:bookmarkEnd w:id="51"/>
      <w:bookmarkEnd w:id="52"/>
    </w:p>
    <w:p w14:paraId="3CDB04EE" w14:textId="77777777" w:rsidR="005373B5" w:rsidRPr="00207577" w:rsidRDefault="005373B5" w:rsidP="005373B5">
      <w:pPr>
        <w:rPr>
          <w:bCs/>
        </w:rPr>
      </w:pPr>
      <w:r w:rsidRPr="00207577">
        <w:t xml:space="preserve">Para el caso de que el o los documentos de los cuales se ordena su entrega contengan datos personales susceptibles de ser testados, deberán ser entregados en </w:t>
      </w:r>
      <w:r w:rsidRPr="00207577">
        <w:rPr>
          <w:b/>
        </w:rPr>
        <w:t>versión pública</w:t>
      </w:r>
      <w:r w:rsidRPr="00207577">
        <w:t>, pues el</w:t>
      </w:r>
      <w:r w:rsidRPr="0020757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58FCF2" w14:textId="77777777" w:rsidR="005373B5" w:rsidRPr="00207577" w:rsidRDefault="005373B5" w:rsidP="005373B5">
      <w:pPr>
        <w:rPr>
          <w:rFonts w:eastAsia="Calibri"/>
          <w:bCs/>
          <w:lang w:eastAsia="en-US"/>
        </w:rPr>
      </w:pPr>
    </w:p>
    <w:p w14:paraId="25ECABA1" w14:textId="77777777" w:rsidR="005373B5" w:rsidRPr="00207577" w:rsidRDefault="005373B5" w:rsidP="005373B5">
      <w:pPr>
        <w:rPr>
          <w:bCs/>
        </w:rPr>
      </w:pPr>
      <w:r w:rsidRPr="00207577">
        <w:rPr>
          <w:bCs/>
        </w:rPr>
        <w:t>A este respecto, los artículos 3, fracciones IX, XX, XXI y XLV; 51 y 52 de la Ley de Transparencia y Acceso a la Información Pública del Estado de México y Municipios establecen:</w:t>
      </w:r>
    </w:p>
    <w:p w14:paraId="0380FF8E" w14:textId="77777777" w:rsidR="005373B5" w:rsidRPr="00207577" w:rsidRDefault="005373B5" w:rsidP="005373B5"/>
    <w:p w14:paraId="06D8A9AE" w14:textId="77777777" w:rsidR="005373B5" w:rsidRPr="00207577" w:rsidRDefault="005373B5" w:rsidP="005373B5">
      <w:pPr>
        <w:pStyle w:val="Puesto"/>
      </w:pPr>
      <w:r w:rsidRPr="00207577">
        <w:rPr>
          <w:b/>
          <w:bCs/>
          <w:noProof/>
        </w:rPr>
        <w:t>“</w:t>
      </w:r>
      <w:r w:rsidRPr="00207577">
        <w:rPr>
          <w:b/>
          <w:bCs/>
        </w:rPr>
        <w:t xml:space="preserve">Artículo 3. </w:t>
      </w:r>
      <w:r w:rsidRPr="00207577">
        <w:t xml:space="preserve">Para los efectos de la presente Ley se entenderá por: </w:t>
      </w:r>
    </w:p>
    <w:p w14:paraId="40F22970" w14:textId="77777777" w:rsidR="005373B5" w:rsidRPr="00207577" w:rsidRDefault="005373B5" w:rsidP="005373B5">
      <w:pPr>
        <w:pStyle w:val="Puesto"/>
      </w:pPr>
      <w:r w:rsidRPr="00207577">
        <w:rPr>
          <w:b/>
        </w:rPr>
        <w:t>IX.</w:t>
      </w:r>
      <w:r w:rsidRPr="00207577">
        <w:t xml:space="preserve"> </w:t>
      </w:r>
      <w:r w:rsidRPr="00207577">
        <w:rPr>
          <w:b/>
        </w:rPr>
        <w:t xml:space="preserve">Datos personales: </w:t>
      </w:r>
      <w:r w:rsidRPr="00207577">
        <w:t xml:space="preserve">La información concerniente a una persona, identificada o identificable según lo dispuesto por la Ley de Protección de Datos Personales del Estado de México; </w:t>
      </w:r>
    </w:p>
    <w:p w14:paraId="252C947E" w14:textId="77777777" w:rsidR="005373B5" w:rsidRPr="00207577" w:rsidRDefault="005373B5" w:rsidP="005373B5"/>
    <w:p w14:paraId="3A496158" w14:textId="77777777" w:rsidR="005373B5" w:rsidRPr="00207577" w:rsidRDefault="005373B5" w:rsidP="005373B5">
      <w:pPr>
        <w:pStyle w:val="Puesto"/>
      </w:pPr>
      <w:r w:rsidRPr="00207577">
        <w:rPr>
          <w:b/>
        </w:rPr>
        <w:t>XX.</w:t>
      </w:r>
      <w:r w:rsidRPr="00207577">
        <w:t xml:space="preserve"> </w:t>
      </w:r>
      <w:r w:rsidRPr="00207577">
        <w:rPr>
          <w:b/>
        </w:rPr>
        <w:t>Información clasificada:</w:t>
      </w:r>
      <w:r w:rsidRPr="00207577">
        <w:t xml:space="preserve"> Aquella considerada por la presente Ley como reservada o confidencial; </w:t>
      </w:r>
    </w:p>
    <w:p w14:paraId="2C282FF5" w14:textId="77777777" w:rsidR="005373B5" w:rsidRPr="00207577" w:rsidRDefault="005373B5" w:rsidP="005373B5"/>
    <w:p w14:paraId="1CC48C51" w14:textId="77777777" w:rsidR="005373B5" w:rsidRPr="00207577" w:rsidRDefault="005373B5" w:rsidP="005373B5">
      <w:pPr>
        <w:pStyle w:val="Puesto"/>
      </w:pPr>
      <w:r w:rsidRPr="00207577">
        <w:rPr>
          <w:b/>
        </w:rPr>
        <w:lastRenderedPageBreak/>
        <w:t>XXI.</w:t>
      </w:r>
      <w:r w:rsidRPr="00207577">
        <w:t xml:space="preserve"> </w:t>
      </w:r>
      <w:r w:rsidRPr="00207577">
        <w:rPr>
          <w:b/>
        </w:rPr>
        <w:t>Información confidencial</w:t>
      </w:r>
      <w:r w:rsidRPr="0020757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B47CFC0" w14:textId="77777777" w:rsidR="005373B5" w:rsidRPr="00207577" w:rsidRDefault="005373B5" w:rsidP="005373B5"/>
    <w:p w14:paraId="4CF9C7CD" w14:textId="77777777" w:rsidR="005373B5" w:rsidRPr="00207577" w:rsidRDefault="005373B5" w:rsidP="005373B5">
      <w:pPr>
        <w:pStyle w:val="Puesto"/>
      </w:pPr>
      <w:r w:rsidRPr="00207577">
        <w:rPr>
          <w:b/>
        </w:rPr>
        <w:t>XLV. Versión pública:</w:t>
      </w:r>
      <w:r w:rsidRPr="00207577">
        <w:t xml:space="preserve"> Documento en el que se elimine, suprime o borra la información clasificada como reservada o confidencial para permitir su acceso. </w:t>
      </w:r>
    </w:p>
    <w:p w14:paraId="2572CF27" w14:textId="77777777" w:rsidR="005373B5" w:rsidRPr="00207577" w:rsidRDefault="005373B5" w:rsidP="005373B5"/>
    <w:p w14:paraId="4081D02D" w14:textId="77777777" w:rsidR="005373B5" w:rsidRPr="00207577" w:rsidRDefault="005373B5" w:rsidP="005373B5">
      <w:pPr>
        <w:pStyle w:val="Puesto"/>
      </w:pPr>
      <w:r w:rsidRPr="00207577">
        <w:rPr>
          <w:b/>
        </w:rPr>
        <w:t>Artículo 51.</w:t>
      </w:r>
      <w:r w:rsidRPr="00207577">
        <w:t xml:space="preserve"> Los sujetos obligados designaran a un responsable para atender la Unidad de Transparencia, quien fungirá como enlace entre éstos y los solicitantes. Dicha Unidad será la encargada de tramitar internamente la solicitud de información </w:t>
      </w:r>
      <w:r w:rsidRPr="00207577">
        <w:rPr>
          <w:b/>
        </w:rPr>
        <w:t xml:space="preserve">y tendrá la responsabilidad de verificar en cada caso que la misma no sea confidencial o reservada. </w:t>
      </w:r>
      <w:r w:rsidRPr="00207577">
        <w:t>Dicha Unidad contará con las facultades internas necesarias para gestionar la atención a las solicitudes de información en los términos de la Ley General y la presente Ley.</w:t>
      </w:r>
    </w:p>
    <w:p w14:paraId="4F1C335A" w14:textId="77777777" w:rsidR="005373B5" w:rsidRPr="00207577" w:rsidRDefault="005373B5" w:rsidP="005373B5"/>
    <w:p w14:paraId="07EAD7D8" w14:textId="77777777" w:rsidR="005373B5" w:rsidRPr="00207577" w:rsidRDefault="005373B5" w:rsidP="005373B5">
      <w:pPr>
        <w:pStyle w:val="Puesto"/>
      </w:pPr>
      <w:r w:rsidRPr="00207577">
        <w:rPr>
          <w:b/>
        </w:rPr>
        <w:t>Artículo 52.</w:t>
      </w:r>
      <w:r w:rsidRPr="00207577">
        <w:t xml:space="preserve"> Las solicitudes de acceso a la información y las respuestas que se les dé, incluyendo, en su caso, </w:t>
      </w:r>
      <w:r w:rsidRPr="00207577">
        <w:rPr>
          <w:u w:val="single"/>
        </w:rPr>
        <w:t>la información entregada, así como las resoluciones a los recursos que en su caso se promuevan serán públicas, y de ser el caso que contenga datos personales que deban ser protegidos se podrá dar su acceso en su versión pública</w:t>
      </w:r>
      <w:r w:rsidRPr="00207577">
        <w:t>, siempre y cuando la resolución de referencia se someta a un proceso de disociación, es decir, no haga identificable al titular de tales datos personales.</w:t>
      </w:r>
      <w:r w:rsidRPr="00207577">
        <w:rPr>
          <w:bCs/>
          <w:noProof/>
        </w:rPr>
        <w:t xml:space="preserve">” </w:t>
      </w:r>
      <w:r w:rsidRPr="00207577">
        <w:rPr>
          <w:i w:val="0"/>
          <w:iCs/>
          <w:szCs w:val="22"/>
        </w:rPr>
        <w:t>(Énfasis añadido)</w:t>
      </w:r>
    </w:p>
    <w:p w14:paraId="57672C45" w14:textId="77777777" w:rsidR="005373B5" w:rsidRPr="00207577" w:rsidRDefault="005373B5" w:rsidP="005373B5"/>
    <w:p w14:paraId="2C1A32C0" w14:textId="77777777" w:rsidR="005373B5" w:rsidRPr="00207577" w:rsidRDefault="005373B5" w:rsidP="005373B5">
      <w:r w:rsidRPr="0020757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419C7DF" w14:textId="77777777" w:rsidR="005373B5" w:rsidRPr="00207577" w:rsidRDefault="005373B5" w:rsidP="005373B5"/>
    <w:p w14:paraId="6C155A80" w14:textId="77777777" w:rsidR="005373B5" w:rsidRPr="00207577" w:rsidRDefault="005373B5" w:rsidP="005373B5">
      <w:pPr>
        <w:pStyle w:val="Puesto"/>
        <w:rPr>
          <w:rFonts w:eastAsia="Arial Unicode MS"/>
        </w:rPr>
      </w:pPr>
      <w:r w:rsidRPr="00207577">
        <w:rPr>
          <w:rFonts w:eastAsia="Arial Unicode MS"/>
          <w:b/>
        </w:rPr>
        <w:lastRenderedPageBreak/>
        <w:t>“Artículo 22.</w:t>
      </w:r>
      <w:r w:rsidRPr="00207577">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0A3DCBF3" w14:textId="77777777" w:rsidR="005373B5" w:rsidRPr="00207577" w:rsidRDefault="005373B5" w:rsidP="005373B5">
      <w:pPr>
        <w:rPr>
          <w:rFonts w:eastAsia="Arial Unicode MS"/>
        </w:rPr>
      </w:pPr>
    </w:p>
    <w:p w14:paraId="7FC5EF08" w14:textId="77777777" w:rsidR="005373B5" w:rsidRPr="00207577" w:rsidRDefault="005373B5" w:rsidP="005373B5">
      <w:pPr>
        <w:pStyle w:val="Puesto"/>
        <w:rPr>
          <w:rFonts w:eastAsia="Arial Unicode MS"/>
        </w:rPr>
      </w:pPr>
      <w:r w:rsidRPr="00207577">
        <w:rPr>
          <w:rFonts w:eastAsia="Arial Unicode MS"/>
          <w:b/>
        </w:rPr>
        <w:t>Artículo 38.</w:t>
      </w:r>
      <w:r w:rsidRPr="00207577">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07577">
        <w:rPr>
          <w:rFonts w:eastAsia="Arial Unicode MS"/>
          <w:b/>
        </w:rPr>
        <w:t>”</w:t>
      </w:r>
      <w:r w:rsidRPr="00207577">
        <w:rPr>
          <w:rFonts w:eastAsia="Arial Unicode MS"/>
        </w:rPr>
        <w:t xml:space="preserve"> </w:t>
      </w:r>
    </w:p>
    <w:p w14:paraId="67700A3A" w14:textId="77777777" w:rsidR="005373B5" w:rsidRPr="00207577" w:rsidRDefault="005373B5" w:rsidP="005373B5">
      <w:pPr>
        <w:rPr>
          <w:rFonts w:eastAsia="Arial Unicode MS"/>
          <w:i/>
          <w:szCs w:val="22"/>
        </w:rPr>
      </w:pPr>
    </w:p>
    <w:p w14:paraId="50454AE1" w14:textId="77777777" w:rsidR="005373B5" w:rsidRPr="00207577" w:rsidRDefault="005373B5" w:rsidP="005373B5">
      <w:r w:rsidRPr="0020757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D568497" w14:textId="77777777" w:rsidR="005373B5" w:rsidRPr="00207577" w:rsidRDefault="005373B5" w:rsidP="005373B5"/>
    <w:p w14:paraId="4B294915" w14:textId="77777777" w:rsidR="005373B5" w:rsidRPr="00207577" w:rsidRDefault="005373B5" w:rsidP="005373B5">
      <w:r w:rsidRPr="0020757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07577">
        <w:rPr>
          <w:rFonts w:eastAsia="Arial Unicode MS"/>
        </w:rPr>
        <w:t xml:space="preserve"> que debe ser protegida por </w:t>
      </w:r>
      <w:r w:rsidRPr="00207577">
        <w:rPr>
          <w:rFonts w:eastAsia="Arial Unicode MS"/>
          <w:b/>
        </w:rPr>
        <w:t>EL SUJETO OBLIGADO,</w:t>
      </w:r>
      <w:r w:rsidRPr="00207577">
        <w:rPr>
          <w:rFonts w:eastAsia="Arial Unicode MS"/>
        </w:rPr>
        <w:t xml:space="preserve"> por lo </w:t>
      </w:r>
      <w:r w:rsidRPr="00207577">
        <w:t>que, todo dato personal susceptible de clasificación debe ser protegido.</w:t>
      </w:r>
    </w:p>
    <w:p w14:paraId="09E57543" w14:textId="77777777" w:rsidR="005373B5" w:rsidRPr="00207577" w:rsidRDefault="005373B5" w:rsidP="005373B5"/>
    <w:p w14:paraId="42D03B85" w14:textId="77777777" w:rsidR="005373B5" w:rsidRPr="00207577" w:rsidRDefault="005373B5" w:rsidP="005373B5">
      <w:r w:rsidRPr="0020757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9882F4A" w14:textId="77777777" w:rsidR="005373B5" w:rsidRPr="00207577" w:rsidRDefault="005373B5" w:rsidP="005373B5"/>
    <w:p w14:paraId="088AF8C9" w14:textId="77777777" w:rsidR="005373B5" w:rsidRPr="00207577" w:rsidRDefault="005373B5" w:rsidP="005373B5">
      <w:r w:rsidRPr="0020757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76F4C2" w14:textId="77777777" w:rsidR="005373B5" w:rsidRPr="00207577" w:rsidRDefault="005373B5" w:rsidP="005373B5"/>
    <w:p w14:paraId="2C98AA18" w14:textId="77777777" w:rsidR="005373B5" w:rsidRPr="00207577" w:rsidRDefault="005373B5" w:rsidP="005373B5">
      <w:pPr>
        <w:jc w:val="center"/>
        <w:rPr>
          <w:b/>
          <w:i/>
          <w:szCs w:val="22"/>
        </w:rPr>
      </w:pPr>
      <w:r w:rsidRPr="00207577">
        <w:rPr>
          <w:b/>
          <w:i/>
          <w:szCs w:val="22"/>
          <w:lang w:val="es-ES_tradnl"/>
        </w:rPr>
        <w:t>Ley de Transparencia y Acceso a la Información Pública del Estado de México y Municipios</w:t>
      </w:r>
    </w:p>
    <w:p w14:paraId="77C2189B" w14:textId="77777777" w:rsidR="005373B5" w:rsidRPr="00207577" w:rsidRDefault="005373B5" w:rsidP="005373B5"/>
    <w:p w14:paraId="6C36F3DB" w14:textId="77777777" w:rsidR="005373B5" w:rsidRPr="00207577" w:rsidRDefault="005373B5" w:rsidP="005373B5">
      <w:pPr>
        <w:pStyle w:val="Puesto"/>
      </w:pPr>
      <w:r w:rsidRPr="00207577">
        <w:rPr>
          <w:b/>
        </w:rPr>
        <w:t xml:space="preserve">“Artículo 49. </w:t>
      </w:r>
      <w:r w:rsidRPr="00207577">
        <w:t>Los Comités de Transparencia tendrán las siguientes atribuciones:</w:t>
      </w:r>
    </w:p>
    <w:p w14:paraId="13361B03" w14:textId="77777777" w:rsidR="005373B5" w:rsidRPr="00207577" w:rsidRDefault="005373B5" w:rsidP="005373B5">
      <w:pPr>
        <w:pStyle w:val="Puesto"/>
      </w:pPr>
      <w:r w:rsidRPr="00207577">
        <w:rPr>
          <w:b/>
        </w:rPr>
        <w:t>VIII.</w:t>
      </w:r>
      <w:r w:rsidRPr="00207577">
        <w:t xml:space="preserve"> Aprobar, modificar o revocar la clasificación de la información;</w:t>
      </w:r>
    </w:p>
    <w:p w14:paraId="1DB6FEB6" w14:textId="77777777" w:rsidR="005373B5" w:rsidRPr="00207577" w:rsidRDefault="005373B5" w:rsidP="005373B5"/>
    <w:p w14:paraId="10563D93" w14:textId="77777777" w:rsidR="005373B5" w:rsidRPr="00207577" w:rsidRDefault="005373B5" w:rsidP="005373B5">
      <w:pPr>
        <w:pStyle w:val="Puesto"/>
      </w:pPr>
      <w:r w:rsidRPr="00207577">
        <w:rPr>
          <w:b/>
        </w:rPr>
        <w:t>Artículo 132.</w:t>
      </w:r>
      <w:r w:rsidRPr="00207577">
        <w:t xml:space="preserve"> La clasificación de la información se llevará a cabo en el momento en que:</w:t>
      </w:r>
    </w:p>
    <w:p w14:paraId="5784DF62" w14:textId="77777777" w:rsidR="005373B5" w:rsidRPr="00207577" w:rsidRDefault="005373B5" w:rsidP="005373B5">
      <w:pPr>
        <w:pStyle w:val="Puesto"/>
      </w:pPr>
      <w:r w:rsidRPr="00207577">
        <w:rPr>
          <w:b/>
        </w:rPr>
        <w:t>I.</w:t>
      </w:r>
      <w:r w:rsidRPr="00207577">
        <w:t xml:space="preserve"> Se reciba una solicitud de acceso a la información;</w:t>
      </w:r>
    </w:p>
    <w:p w14:paraId="1F7A882C" w14:textId="77777777" w:rsidR="005373B5" w:rsidRPr="00207577" w:rsidRDefault="005373B5" w:rsidP="005373B5">
      <w:pPr>
        <w:pStyle w:val="Puesto"/>
      </w:pPr>
      <w:r w:rsidRPr="00207577">
        <w:rPr>
          <w:b/>
        </w:rPr>
        <w:t>II.</w:t>
      </w:r>
      <w:r w:rsidRPr="00207577">
        <w:t xml:space="preserve"> Se determine mediante resolución de autoridad competente; o</w:t>
      </w:r>
    </w:p>
    <w:p w14:paraId="3AC6C418" w14:textId="77777777" w:rsidR="005373B5" w:rsidRPr="00207577" w:rsidRDefault="005373B5" w:rsidP="005373B5">
      <w:pPr>
        <w:pStyle w:val="Puesto"/>
        <w:rPr>
          <w:b/>
        </w:rPr>
      </w:pPr>
      <w:r w:rsidRPr="00207577">
        <w:rPr>
          <w:b/>
          <w:bCs/>
        </w:rPr>
        <w:t>III.</w:t>
      </w:r>
      <w:r w:rsidRPr="00207577">
        <w:t xml:space="preserve"> Se generen versiones públicas para dar cumplimiento a las obligaciones de transparencia previstas en esta Ley.</w:t>
      </w:r>
      <w:r w:rsidRPr="00207577">
        <w:rPr>
          <w:b/>
        </w:rPr>
        <w:t>”</w:t>
      </w:r>
    </w:p>
    <w:p w14:paraId="765DAAD3" w14:textId="77777777" w:rsidR="005373B5" w:rsidRPr="00207577" w:rsidRDefault="005373B5" w:rsidP="005373B5"/>
    <w:p w14:paraId="026F6641" w14:textId="77777777" w:rsidR="005373B5" w:rsidRPr="00207577" w:rsidRDefault="005373B5" w:rsidP="005373B5">
      <w:pPr>
        <w:pStyle w:val="Puesto"/>
      </w:pPr>
      <w:r w:rsidRPr="00207577">
        <w:rPr>
          <w:b/>
        </w:rPr>
        <w:t>“Segundo. -</w:t>
      </w:r>
      <w:r w:rsidRPr="00207577">
        <w:t xml:space="preserve"> Para efectos de los presentes Lineamientos Generales, se entenderá por:</w:t>
      </w:r>
    </w:p>
    <w:p w14:paraId="06B279FF" w14:textId="77777777" w:rsidR="005373B5" w:rsidRPr="00207577" w:rsidRDefault="005373B5" w:rsidP="005373B5">
      <w:pPr>
        <w:pStyle w:val="Puesto"/>
      </w:pPr>
      <w:r w:rsidRPr="00207577">
        <w:rPr>
          <w:b/>
        </w:rPr>
        <w:t>XVIII.</w:t>
      </w:r>
      <w:r w:rsidRPr="00207577">
        <w:t xml:space="preserve">  </w:t>
      </w:r>
      <w:r w:rsidRPr="00207577">
        <w:rPr>
          <w:b/>
        </w:rPr>
        <w:t>Versión pública:</w:t>
      </w:r>
      <w:r w:rsidRPr="0020757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FEEFD4" w14:textId="77777777" w:rsidR="005373B5" w:rsidRPr="00207577" w:rsidRDefault="005373B5" w:rsidP="005373B5">
      <w:pPr>
        <w:pStyle w:val="Puesto"/>
      </w:pPr>
    </w:p>
    <w:p w14:paraId="5A43475C" w14:textId="77777777" w:rsidR="005373B5" w:rsidRPr="00207577" w:rsidRDefault="005373B5" w:rsidP="005373B5">
      <w:pPr>
        <w:pStyle w:val="Puesto"/>
        <w:rPr>
          <w:b/>
          <w:lang w:val="es-ES_tradnl" w:eastAsia="es-MX"/>
        </w:rPr>
      </w:pPr>
      <w:r w:rsidRPr="00207577">
        <w:rPr>
          <w:b/>
          <w:lang w:val="es-ES_tradnl" w:eastAsia="es-MX"/>
        </w:rPr>
        <w:t xml:space="preserve">Lineamientos Generales en materia de Clasificación y Desclasificación de la </w:t>
      </w:r>
      <w:r w:rsidRPr="00207577">
        <w:rPr>
          <w:b/>
          <w:lang w:val="es-ES_tradnl"/>
        </w:rPr>
        <w:t>Información</w:t>
      </w:r>
    </w:p>
    <w:p w14:paraId="62157D93" w14:textId="77777777" w:rsidR="005373B5" w:rsidRPr="00207577" w:rsidRDefault="005373B5" w:rsidP="005373B5">
      <w:pPr>
        <w:pStyle w:val="Puesto"/>
      </w:pPr>
    </w:p>
    <w:p w14:paraId="6D7F4B96" w14:textId="77777777" w:rsidR="005373B5" w:rsidRPr="00207577" w:rsidRDefault="005373B5" w:rsidP="005373B5">
      <w:pPr>
        <w:pStyle w:val="Puesto"/>
      </w:pPr>
      <w:r w:rsidRPr="00207577">
        <w:rPr>
          <w:b/>
        </w:rPr>
        <w:t>Cuarto.</w:t>
      </w:r>
      <w:r w:rsidRPr="00207577">
        <w:t xml:space="preserve"> Para clasificar la información como reservada o confidencial, de manera total o parcial, el titular del área del sujeto obligado deberá atender lo dispuesto por el Título Sexto </w:t>
      </w:r>
      <w:r w:rsidRPr="00207577">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83BBDE" w14:textId="77777777" w:rsidR="005373B5" w:rsidRPr="00207577" w:rsidRDefault="005373B5" w:rsidP="005373B5">
      <w:pPr>
        <w:pStyle w:val="Puesto"/>
      </w:pPr>
      <w:r w:rsidRPr="00207577">
        <w:t>Los sujetos obligados deberán aplicar, de manera estricta, las excepciones al derecho de acceso a la información y sólo podrán invocarlas cuando acrediten su procedencia.</w:t>
      </w:r>
    </w:p>
    <w:p w14:paraId="23CB0F96" w14:textId="77777777" w:rsidR="005373B5" w:rsidRPr="00207577" w:rsidRDefault="005373B5" w:rsidP="005373B5"/>
    <w:p w14:paraId="4021C276" w14:textId="77777777" w:rsidR="005373B5" w:rsidRPr="00207577" w:rsidRDefault="005373B5" w:rsidP="005373B5">
      <w:pPr>
        <w:pStyle w:val="Puesto"/>
      </w:pPr>
      <w:r w:rsidRPr="00207577">
        <w:rPr>
          <w:b/>
        </w:rPr>
        <w:t>Quinto.</w:t>
      </w:r>
      <w:r w:rsidRPr="0020757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2E01F4" w14:textId="77777777" w:rsidR="005373B5" w:rsidRPr="00207577" w:rsidRDefault="005373B5" w:rsidP="005373B5"/>
    <w:p w14:paraId="020DECB9" w14:textId="77777777" w:rsidR="005373B5" w:rsidRPr="00207577" w:rsidRDefault="005373B5" w:rsidP="005373B5">
      <w:pPr>
        <w:pStyle w:val="Puesto"/>
      </w:pPr>
      <w:r w:rsidRPr="00207577">
        <w:rPr>
          <w:b/>
        </w:rPr>
        <w:t>Sexto.</w:t>
      </w:r>
      <w:r w:rsidRPr="00207577">
        <w:t xml:space="preserve"> Se deroga.</w:t>
      </w:r>
    </w:p>
    <w:p w14:paraId="6B3F2B14" w14:textId="77777777" w:rsidR="005373B5" w:rsidRPr="00207577" w:rsidRDefault="005373B5" w:rsidP="005373B5"/>
    <w:p w14:paraId="71648F1B" w14:textId="77777777" w:rsidR="005373B5" w:rsidRPr="00207577" w:rsidRDefault="005373B5" w:rsidP="005373B5">
      <w:pPr>
        <w:pStyle w:val="Puesto"/>
      </w:pPr>
      <w:r w:rsidRPr="00207577">
        <w:rPr>
          <w:b/>
        </w:rPr>
        <w:t>Séptimo.</w:t>
      </w:r>
      <w:r w:rsidRPr="00207577">
        <w:t xml:space="preserve"> La clasificación de la información se llevará a cabo en el momento en que:</w:t>
      </w:r>
    </w:p>
    <w:p w14:paraId="39D304DB" w14:textId="77777777" w:rsidR="005373B5" w:rsidRPr="00207577" w:rsidRDefault="005373B5" w:rsidP="005373B5">
      <w:pPr>
        <w:pStyle w:val="Puesto"/>
      </w:pPr>
      <w:r w:rsidRPr="00207577">
        <w:rPr>
          <w:b/>
        </w:rPr>
        <w:t>I.</w:t>
      </w:r>
      <w:r w:rsidRPr="00207577">
        <w:t xml:space="preserve">        Se reciba una solicitud de acceso a la información;</w:t>
      </w:r>
    </w:p>
    <w:p w14:paraId="6F6E1DBF" w14:textId="77777777" w:rsidR="005373B5" w:rsidRPr="00207577" w:rsidRDefault="005373B5" w:rsidP="005373B5">
      <w:pPr>
        <w:pStyle w:val="Puesto"/>
      </w:pPr>
      <w:r w:rsidRPr="00207577">
        <w:rPr>
          <w:b/>
        </w:rPr>
        <w:t>II.</w:t>
      </w:r>
      <w:r w:rsidRPr="00207577">
        <w:t xml:space="preserve">       Se determine mediante resolución del Comité de Transparencia, el órgano garante competente, o en cumplimiento a una sentencia del Poder Judicial; o</w:t>
      </w:r>
    </w:p>
    <w:p w14:paraId="6E782092" w14:textId="77777777" w:rsidR="005373B5" w:rsidRPr="00207577" w:rsidRDefault="005373B5" w:rsidP="005373B5">
      <w:pPr>
        <w:pStyle w:val="Puesto"/>
      </w:pPr>
      <w:r w:rsidRPr="00207577">
        <w:rPr>
          <w:b/>
        </w:rPr>
        <w:t>III.</w:t>
      </w:r>
      <w:r w:rsidRPr="00207577">
        <w:t xml:space="preserve">      Se generen versiones públicas para dar cumplimiento a las obligaciones de transparencia previstas en la Ley General, la Ley Federal y las correspondientes de las entidades federativas.</w:t>
      </w:r>
    </w:p>
    <w:p w14:paraId="1186685E" w14:textId="77777777" w:rsidR="005373B5" w:rsidRPr="00207577" w:rsidRDefault="005373B5" w:rsidP="005373B5">
      <w:pPr>
        <w:pStyle w:val="Puesto"/>
      </w:pPr>
      <w:r w:rsidRPr="00207577">
        <w:t xml:space="preserve">Los titulares de las áreas deberán revisar la información requerida al momento de la recepción de una solicitud de acceso, para verificar, conforme a su naturaleza, si encuadra en una causal de reserva o de confidencialidad. </w:t>
      </w:r>
    </w:p>
    <w:p w14:paraId="6C5EA434" w14:textId="77777777" w:rsidR="005373B5" w:rsidRPr="00207577" w:rsidRDefault="005373B5" w:rsidP="005373B5"/>
    <w:p w14:paraId="05CE58BA" w14:textId="77777777" w:rsidR="005373B5" w:rsidRPr="00207577" w:rsidRDefault="005373B5" w:rsidP="005373B5">
      <w:pPr>
        <w:pStyle w:val="Puesto"/>
      </w:pPr>
      <w:r w:rsidRPr="00207577">
        <w:rPr>
          <w:b/>
        </w:rPr>
        <w:t>Octavo.</w:t>
      </w:r>
      <w:r w:rsidRPr="0020757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2E9888" w14:textId="77777777" w:rsidR="005373B5" w:rsidRPr="00207577" w:rsidRDefault="005373B5" w:rsidP="005373B5">
      <w:pPr>
        <w:pStyle w:val="Puesto"/>
      </w:pPr>
      <w:r w:rsidRPr="00207577">
        <w:t>Para motivar la clasificación se deberán señalar las razones o circunstancias especiales que lo llevaron a concluir que el caso particular se ajusta al supuesto previsto por la norma legal invocada como fundamento.</w:t>
      </w:r>
    </w:p>
    <w:p w14:paraId="0E9E85C2" w14:textId="77777777" w:rsidR="005373B5" w:rsidRPr="00207577" w:rsidRDefault="005373B5" w:rsidP="005373B5">
      <w:pPr>
        <w:pStyle w:val="Puesto"/>
      </w:pPr>
      <w:r w:rsidRPr="00207577">
        <w:t xml:space="preserve">En caso de referirse a información reservada, la motivación de la clasificación deberá comprender el análisis de la prueba del daño a que hace referencia el artículo 104 de la Ley </w:t>
      </w:r>
      <w:r w:rsidRPr="00207577">
        <w:lastRenderedPageBreak/>
        <w:t xml:space="preserve">General, en relación con el artículo trigésimo tercero de los presentes lineamientos, así como las circunstancias que justifican el establecimiento de determinado plazo de reserva. </w:t>
      </w:r>
    </w:p>
    <w:p w14:paraId="727E099D" w14:textId="77777777" w:rsidR="005373B5" w:rsidRPr="00207577" w:rsidRDefault="005373B5" w:rsidP="005373B5"/>
    <w:p w14:paraId="6843B755" w14:textId="77777777" w:rsidR="005373B5" w:rsidRPr="00207577" w:rsidRDefault="005373B5" w:rsidP="005373B5">
      <w:pPr>
        <w:pStyle w:val="Puesto"/>
      </w:pPr>
      <w:r w:rsidRPr="00207577">
        <w:rPr>
          <w:b/>
        </w:rPr>
        <w:t>Noveno.</w:t>
      </w:r>
      <w:r w:rsidRPr="0020757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DD15EB" w14:textId="77777777" w:rsidR="005373B5" w:rsidRPr="00207577" w:rsidRDefault="005373B5" w:rsidP="005373B5"/>
    <w:p w14:paraId="249E8A46" w14:textId="77777777" w:rsidR="005373B5" w:rsidRPr="00207577" w:rsidRDefault="005373B5" w:rsidP="005373B5">
      <w:pPr>
        <w:pStyle w:val="Puesto"/>
      </w:pPr>
      <w:r w:rsidRPr="00207577">
        <w:rPr>
          <w:b/>
        </w:rPr>
        <w:t>Décimo.</w:t>
      </w:r>
      <w:r w:rsidRPr="0020757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12B7838" w14:textId="77777777" w:rsidR="005373B5" w:rsidRPr="00207577" w:rsidRDefault="005373B5" w:rsidP="005373B5">
      <w:pPr>
        <w:pStyle w:val="Puesto"/>
      </w:pPr>
      <w:r w:rsidRPr="00207577">
        <w:t>En ausencia de los titulares de las áreas, la información será clasificada o desclasificada por la persona que lo supla, en términos de la normativa que rija la actuación del sujeto obligado.</w:t>
      </w:r>
    </w:p>
    <w:p w14:paraId="2BAFDF8D" w14:textId="77777777" w:rsidR="005373B5" w:rsidRPr="00207577" w:rsidRDefault="005373B5" w:rsidP="005373B5">
      <w:pPr>
        <w:pStyle w:val="Puesto"/>
        <w:rPr>
          <w:b/>
        </w:rPr>
      </w:pPr>
      <w:r w:rsidRPr="00207577">
        <w:rPr>
          <w:b/>
        </w:rPr>
        <w:t>Décimo primero.</w:t>
      </w:r>
      <w:r w:rsidRPr="0020757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07577">
        <w:rPr>
          <w:b/>
        </w:rPr>
        <w:t>”</w:t>
      </w:r>
    </w:p>
    <w:p w14:paraId="151FEA95" w14:textId="77777777" w:rsidR="005373B5" w:rsidRPr="00207577" w:rsidRDefault="005373B5" w:rsidP="005373B5"/>
    <w:p w14:paraId="04771F1D" w14:textId="77777777" w:rsidR="005373B5" w:rsidRPr="00207577" w:rsidRDefault="005373B5" w:rsidP="005373B5">
      <w:pPr>
        <w:rPr>
          <w:lang w:eastAsia="es-CO"/>
        </w:rPr>
      </w:pPr>
      <w:r w:rsidRPr="00207577">
        <w:t xml:space="preserve">Consecuentemente, se destaca que la versión pública que elabore </w:t>
      </w:r>
      <w:r w:rsidRPr="00207577">
        <w:rPr>
          <w:b/>
        </w:rPr>
        <w:t>EL SUJETO OBLIGADO</w:t>
      </w:r>
      <w:r w:rsidRPr="00207577">
        <w:t xml:space="preserve"> debe cumplir con las formalidades exigidas en la Ley, por lo que para tal efecto emitirá el </w:t>
      </w:r>
      <w:r w:rsidRPr="00207577">
        <w:rPr>
          <w:b/>
        </w:rPr>
        <w:t>Acuerdo del Comité de Transparencia</w:t>
      </w:r>
      <w:r w:rsidRPr="0020757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07577">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207577">
        <w:rPr>
          <w:lang w:eastAsia="es-CO"/>
        </w:rPr>
        <w:lastRenderedPageBreak/>
        <w:t>exponen de manera puntual las razones, se estaría violentando desde un inicio el derecho de acceso a la información del solicitante.</w:t>
      </w:r>
    </w:p>
    <w:p w14:paraId="68F14BDD" w14:textId="77777777" w:rsidR="005373B5" w:rsidRPr="00207577" w:rsidRDefault="005373B5" w:rsidP="005373B5"/>
    <w:p w14:paraId="2BBB44AE" w14:textId="7880E500" w:rsidR="00F34774" w:rsidRPr="00207577" w:rsidRDefault="00875DF8" w:rsidP="00F34774">
      <w:pPr>
        <w:pStyle w:val="Ttulo3"/>
      </w:pPr>
      <w:bookmarkStart w:id="53" w:name="_heading=h.lbakrexm1co0" w:colFirst="0" w:colLast="0"/>
      <w:bookmarkStart w:id="54" w:name="_Toc210248708"/>
      <w:bookmarkEnd w:id="53"/>
      <w:r w:rsidRPr="00207577">
        <w:t>e</w:t>
      </w:r>
      <w:r w:rsidR="00F34774" w:rsidRPr="00207577">
        <w:t>) Conclusión</w:t>
      </w:r>
      <w:bookmarkEnd w:id="54"/>
    </w:p>
    <w:p w14:paraId="394474A5" w14:textId="77777777" w:rsidR="005373B5" w:rsidRPr="00207577" w:rsidRDefault="005373B5" w:rsidP="005373B5">
      <w:pPr>
        <w:widowControl w:val="0"/>
        <w:tabs>
          <w:tab w:val="left" w:pos="1701"/>
          <w:tab w:val="left" w:pos="1843"/>
        </w:tabs>
        <w:rPr>
          <w:color w:val="000000"/>
        </w:rPr>
      </w:pPr>
      <w:r w:rsidRPr="00207577">
        <w:rPr>
          <w:color w:val="000000"/>
        </w:rPr>
        <w:t xml:space="preserve">En razón de lo anteriormente expuesto, este Instituto estima que las razones o motivos de inconformidad hechos valer por </w:t>
      </w:r>
      <w:r w:rsidRPr="00207577">
        <w:rPr>
          <w:b/>
          <w:color w:val="000000"/>
        </w:rPr>
        <w:t>LA PARTE RECURRENTE</w:t>
      </w:r>
      <w:r w:rsidRPr="00207577">
        <w:rPr>
          <w:color w:val="000000"/>
        </w:rPr>
        <w:t xml:space="preserve"> devienen </w:t>
      </w:r>
      <w:r w:rsidRPr="00207577">
        <w:rPr>
          <w:b/>
          <w:color w:val="000000"/>
        </w:rPr>
        <w:t>fundadas</w:t>
      </w:r>
      <w:r w:rsidRPr="00207577">
        <w:rPr>
          <w:color w:val="000000"/>
        </w:rPr>
        <w:t xml:space="preserve"> y suficientes para </w:t>
      </w:r>
      <w:r w:rsidRPr="00207577">
        <w:rPr>
          <w:b/>
          <w:color w:val="000000"/>
        </w:rPr>
        <w:t>MODIFICAR</w:t>
      </w:r>
      <w:r w:rsidRPr="00207577">
        <w:rPr>
          <w:color w:val="000000"/>
        </w:rPr>
        <w:t xml:space="preserve"> la respuesta del </w:t>
      </w:r>
      <w:r w:rsidRPr="00207577">
        <w:rPr>
          <w:b/>
          <w:color w:val="000000"/>
        </w:rPr>
        <w:t>SUJETO OBLIGADO</w:t>
      </w:r>
      <w:r w:rsidRPr="00207577">
        <w:rPr>
          <w:color w:val="000000"/>
        </w:rPr>
        <w:t xml:space="preserve"> y ordenarle haga entrega de la información descrita en el presente Considerando.</w:t>
      </w:r>
    </w:p>
    <w:p w14:paraId="10783A19" w14:textId="77777777" w:rsidR="00F34774" w:rsidRPr="00207577" w:rsidRDefault="00F34774" w:rsidP="00F34774"/>
    <w:p w14:paraId="6F5997F6" w14:textId="5538F9E8" w:rsidR="00F34774" w:rsidRPr="00207577" w:rsidRDefault="00F34774" w:rsidP="00F34774">
      <w:pPr>
        <w:ind w:right="-93"/>
        <w:rPr>
          <w:rFonts w:cs="Tahoma"/>
          <w:bCs/>
          <w:szCs w:val="22"/>
        </w:rPr>
      </w:pPr>
      <w:r w:rsidRPr="00207577">
        <w:rPr>
          <w:rFonts w:cs="Tahoma"/>
          <w:bCs/>
          <w:szCs w:val="22"/>
        </w:rPr>
        <w:t xml:space="preserve">Así, con fundamento en lo establecido en los artículos 5, </w:t>
      </w:r>
      <w:r w:rsidR="005373B5" w:rsidRPr="00207577">
        <w:rPr>
          <w:bCs/>
        </w:rPr>
        <w:t xml:space="preserve">párrafos trigésimo noveno, cuadragésimo y cuadragésimo primero, fracciones IV y V, </w:t>
      </w:r>
      <w:r w:rsidR="005373B5" w:rsidRPr="00207577">
        <w:t>de la Constitución Política del Estado Libre y Soberano de México</w:t>
      </w:r>
      <w:r w:rsidRPr="00207577">
        <w:rPr>
          <w:rFonts w:cs="Tahoma"/>
          <w:bCs/>
          <w:szCs w:val="22"/>
        </w:rPr>
        <w:t>; y en los artículos 2, fracción II, 9, 29, 36, fracciones I y II, 176, 178, 179, 186 y 188 de la Ley de Transparencia y Acceso a la Información Pública del Estado de México y Municipios, este Pleno:</w:t>
      </w:r>
    </w:p>
    <w:p w14:paraId="5B27B220" w14:textId="77777777" w:rsidR="00F34774" w:rsidRPr="00207577" w:rsidRDefault="00F34774" w:rsidP="00F34774"/>
    <w:p w14:paraId="1CE955E9" w14:textId="77777777" w:rsidR="00F34774" w:rsidRPr="00207577" w:rsidRDefault="00F34774" w:rsidP="0065492D">
      <w:pPr>
        <w:pStyle w:val="Ttulo1"/>
        <w:spacing w:after="240"/>
      </w:pPr>
      <w:bookmarkStart w:id="55" w:name="_Toc203636989"/>
      <w:bookmarkStart w:id="56" w:name="_Toc210248709"/>
      <w:r w:rsidRPr="00207577">
        <w:t>RESUELVE</w:t>
      </w:r>
      <w:bookmarkEnd w:id="55"/>
      <w:bookmarkEnd w:id="56"/>
    </w:p>
    <w:p w14:paraId="73BEF34B" w14:textId="09B4B01E" w:rsidR="005373B5" w:rsidRPr="00207577" w:rsidRDefault="005373B5" w:rsidP="0065492D">
      <w:pPr>
        <w:widowControl w:val="0"/>
        <w:spacing w:after="240"/>
      </w:pPr>
      <w:r w:rsidRPr="00207577">
        <w:rPr>
          <w:b/>
        </w:rPr>
        <w:t>PRIMERO.</w:t>
      </w:r>
      <w:r w:rsidRPr="00207577">
        <w:t xml:space="preserve"> Se </w:t>
      </w:r>
      <w:r w:rsidRPr="00207577">
        <w:rPr>
          <w:b/>
        </w:rPr>
        <w:t>MODIFICA</w:t>
      </w:r>
      <w:r w:rsidRPr="00207577">
        <w:t xml:space="preserve"> la respuesta entregada por el </w:t>
      </w:r>
      <w:r w:rsidRPr="00207577">
        <w:rPr>
          <w:b/>
        </w:rPr>
        <w:t>SUJETO OBLIGADO</w:t>
      </w:r>
      <w:r w:rsidRPr="00207577">
        <w:t xml:space="preserve"> en la solicitud de información </w:t>
      </w:r>
      <w:r w:rsidRPr="00207577">
        <w:rPr>
          <w:b/>
        </w:rPr>
        <w:t>00247/CAEM/IP/2025,</w:t>
      </w:r>
      <w:r w:rsidRPr="00207577">
        <w:t xml:space="preserve"> por resultar </w:t>
      </w:r>
      <w:r w:rsidRPr="00207577">
        <w:rPr>
          <w:b/>
        </w:rPr>
        <w:t>FUNDADAS</w:t>
      </w:r>
      <w:r w:rsidRPr="00207577">
        <w:t xml:space="preserve"> las razones o motivos de inconformidad hechos valer por </w:t>
      </w:r>
      <w:r w:rsidRPr="00207577">
        <w:rPr>
          <w:b/>
        </w:rPr>
        <w:t>LA PARTE RECURRENTE</w:t>
      </w:r>
      <w:r w:rsidRPr="00207577">
        <w:t xml:space="preserve"> en el Recurso de Revisión </w:t>
      </w:r>
      <w:r w:rsidRPr="00207577">
        <w:rPr>
          <w:b/>
        </w:rPr>
        <w:t>07612/INFOEM/IP/RR/2025</w:t>
      </w:r>
      <w:r w:rsidRPr="00207577">
        <w:rPr>
          <w:color w:val="000000"/>
        </w:rPr>
        <w:t>,</w:t>
      </w:r>
      <w:r w:rsidRPr="00207577">
        <w:rPr>
          <w:b/>
          <w:color w:val="0D0D0D"/>
        </w:rPr>
        <w:t xml:space="preserve"> </w:t>
      </w:r>
      <w:r w:rsidRPr="00207577">
        <w:t xml:space="preserve">en términos del considerando </w:t>
      </w:r>
      <w:r w:rsidRPr="00207577">
        <w:rPr>
          <w:b/>
        </w:rPr>
        <w:t>SEGUNDO</w:t>
      </w:r>
      <w:r w:rsidRPr="00207577">
        <w:t xml:space="preserve"> de la presente Resolución.</w:t>
      </w:r>
    </w:p>
    <w:p w14:paraId="2FF2881E" w14:textId="3977FF4C" w:rsidR="005373B5" w:rsidRPr="00207577" w:rsidRDefault="005373B5" w:rsidP="0065492D">
      <w:pPr>
        <w:spacing w:after="240"/>
        <w:ind w:right="-93"/>
      </w:pPr>
      <w:r w:rsidRPr="00207577">
        <w:rPr>
          <w:b/>
        </w:rPr>
        <w:t>SEGUNDO.</w:t>
      </w:r>
      <w:r w:rsidRPr="00207577">
        <w:t xml:space="preserve"> Se </w:t>
      </w:r>
      <w:r w:rsidRPr="00207577">
        <w:rPr>
          <w:b/>
        </w:rPr>
        <w:t xml:space="preserve">ORDENA </w:t>
      </w:r>
      <w:r w:rsidRPr="00207577">
        <w:t xml:space="preserve">al </w:t>
      </w:r>
      <w:r w:rsidRPr="00207577">
        <w:rPr>
          <w:b/>
        </w:rPr>
        <w:t>SUJETO OBLIGADO</w:t>
      </w:r>
      <w:r w:rsidRPr="00207577">
        <w:t xml:space="preserve">, a efecto de que entregue a través del </w:t>
      </w:r>
      <w:r w:rsidRPr="00207577">
        <w:rPr>
          <w:b/>
        </w:rPr>
        <w:t>SAIMEX</w:t>
      </w:r>
      <w:r w:rsidRPr="00207577">
        <w:t xml:space="preserve">, en </w:t>
      </w:r>
      <w:r w:rsidRPr="00207577">
        <w:rPr>
          <w:b/>
        </w:rPr>
        <w:t xml:space="preserve">correcta versión pública </w:t>
      </w:r>
      <w:r w:rsidRPr="00207577">
        <w:t>lo siguiente:</w:t>
      </w:r>
    </w:p>
    <w:p w14:paraId="5E3EAF3F" w14:textId="72F31E78" w:rsidR="005373B5" w:rsidRPr="00207577" w:rsidRDefault="005373B5" w:rsidP="0065492D">
      <w:pPr>
        <w:pStyle w:val="Puesto"/>
        <w:spacing w:after="240"/>
        <w:rPr>
          <w:rFonts w:eastAsia="Palatino Linotype" w:cs="Palatino Linotype"/>
          <w:b/>
        </w:rPr>
      </w:pPr>
      <w:r w:rsidRPr="00207577">
        <w:rPr>
          <w:b/>
        </w:rPr>
        <w:lastRenderedPageBreak/>
        <w:t xml:space="preserve">Las </w:t>
      </w:r>
      <w:r w:rsidRPr="00207577">
        <w:rPr>
          <w:rFonts w:eastAsia="Calibri"/>
          <w:b/>
          <w:lang w:eastAsia="es-ES_tradnl"/>
        </w:rPr>
        <w:t>pólizas y/o comprobantes digitales de pagos realizados a particulares vía cheque o transferencia electrónica durante el mes de abril de 2025, remitidos en respuesta.</w:t>
      </w:r>
    </w:p>
    <w:p w14:paraId="6C5D9425" w14:textId="34FC4A1A" w:rsidR="005373B5" w:rsidRPr="00207577" w:rsidRDefault="005373B5" w:rsidP="005373B5">
      <w:pPr>
        <w:pStyle w:val="Puesto"/>
        <w:spacing w:line="276" w:lineRule="auto"/>
        <w:rPr>
          <w:b/>
        </w:rPr>
      </w:pPr>
    </w:p>
    <w:p w14:paraId="5D0932A5" w14:textId="2AC76850" w:rsidR="005373B5" w:rsidRPr="00207577" w:rsidRDefault="005373B5" w:rsidP="0065492D">
      <w:pPr>
        <w:spacing w:after="240"/>
        <w:ind w:right="-93"/>
      </w:pPr>
      <w:r w:rsidRPr="00207577">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299D2BD" w14:textId="77777777" w:rsidR="005373B5" w:rsidRPr="00207577" w:rsidRDefault="005373B5" w:rsidP="005373B5">
      <w:r w:rsidRPr="00207577">
        <w:rPr>
          <w:b/>
        </w:rPr>
        <w:t>TERCERO.</w:t>
      </w:r>
      <w:r w:rsidRPr="00207577">
        <w:t xml:space="preserve"> </w:t>
      </w:r>
      <w:r w:rsidRPr="00207577">
        <w:rPr>
          <w:b/>
          <w:color w:val="000000"/>
        </w:rPr>
        <w:t xml:space="preserve">Notifíquese </w:t>
      </w:r>
      <w:r w:rsidRPr="00207577">
        <w:rPr>
          <w:color w:val="000000"/>
        </w:rPr>
        <w:t>vía Sistema de Acceso a la Información Mexiquense (</w:t>
      </w:r>
      <w:r w:rsidRPr="00207577">
        <w:rPr>
          <w:b/>
          <w:color w:val="000000"/>
        </w:rPr>
        <w:t>SAIMEX)</w:t>
      </w:r>
      <w:r w:rsidRPr="00207577">
        <w:rPr>
          <w:color w:val="000000"/>
        </w:rPr>
        <w:t xml:space="preserve"> la presente resolución al Titular de la Unidad de Transparencia del Sujeto Obligado</w:t>
      </w:r>
      <w:r w:rsidRPr="00207577">
        <w:t xml:space="preserve">, para que conforme al artículo 186 último párrafo, 189 segundo párrafo y 194 de la Ley de Transparencia y Acceso a la Información Pública del Estado de México y Municipios, dé cumplimiento a lo ordenado dentro del plazo de </w:t>
      </w:r>
      <w:r w:rsidRPr="00207577">
        <w:rPr>
          <w:b/>
        </w:rPr>
        <w:t>diez días hábiles</w:t>
      </w:r>
      <w:r w:rsidRPr="00207577">
        <w:t xml:space="preserve">, e informe a este Instituto en un plazo de </w:t>
      </w:r>
      <w:r w:rsidRPr="00207577">
        <w:rPr>
          <w:b/>
        </w:rPr>
        <w:t>tres días hábiles</w:t>
      </w:r>
      <w:r w:rsidRPr="00207577">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36735A" w14:textId="77777777" w:rsidR="005373B5" w:rsidRPr="00207577" w:rsidRDefault="005373B5" w:rsidP="005373B5"/>
    <w:p w14:paraId="0DF4239B" w14:textId="77777777" w:rsidR="005373B5" w:rsidRPr="00207577" w:rsidRDefault="005373B5" w:rsidP="005373B5">
      <w:r w:rsidRPr="00207577">
        <w:rPr>
          <w:b/>
        </w:rPr>
        <w:t>CUARTO.</w:t>
      </w:r>
      <w:r w:rsidRPr="00207577">
        <w:t xml:space="preserve"> Notifíquese a </w:t>
      </w:r>
      <w:r w:rsidRPr="00207577">
        <w:rPr>
          <w:b/>
        </w:rPr>
        <w:t>LA PARTE RECURRENTE</w:t>
      </w:r>
      <w:r w:rsidRPr="00207577">
        <w:t xml:space="preserve"> la presente resolución vía Sistema de Acceso a la Información Mexiquense (SAIMEX).</w:t>
      </w:r>
    </w:p>
    <w:p w14:paraId="6A06B7F7" w14:textId="77777777" w:rsidR="005373B5" w:rsidRPr="00207577" w:rsidRDefault="005373B5" w:rsidP="005373B5"/>
    <w:p w14:paraId="1ECC6396" w14:textId="77777777" w:rsidR="005373B5" w:rsidRPr="00207577" w:rsidRDefault="005373B5" w:rsidP="0065492D">
      <w:pPr>
        <w:widowControl w:val="0"/>
        <w:spacing w:after="240"/>
        <w:rPr>
          <w:b/>
          <w:color w:val="000000"/>
        </w:rPr>
      </w:pPr>
      <w:r w:rsidRPr="00207577">
        <w:rPr>
          <w:b/>
        </w:rPr>
        <w:t>QUINTO</w:t>
      </w:r>
      <w:r w:rsidRPr="00207577">
        <w:t xml:space="preserve">. </w:t>
      </w:r>
      <w:r w:rsidRPr="00207577">
        <w:rPr>
          <w:b/>
          <w:color w:val="000000"/>
        </w:rPr>
        <w:t>Hágase</w:t>
      </w:r>
      <w:r w:rsidRPr="00207577">
        <w:rPr>
          <w:color w:val="000000"/>
        </w:rPr>
        <w:t xml:space="preserve"> </w:t>
      </w:r>
      <w:r w:rsidRPr="00207577">
        <w:rPr>
          <w:b/>
          <w:color w:val="000000"/>
        </w:rPr>
        <w:t>del conocimiento</w:t>
      </w:r>
      <w:r w:rsidRPr="00207577">
        <w:rPr>
          <w:color w:val="000000"/>
        </w:rPr>
        <w:t xml:space="preserve"> del</w:t>
      </w:r>
      <w:r w:rsidRPr="00207577">
        <w:rPr>
          <w:b/>
          <w:color w:val="000000"/>
        </w:rPr>
        <w:t xml:space="preserve"> RECURRENTE</w:t>
      </w:r>
      <w:r w:rsidRPr="00207577">
        <w:rPr>
          <w:color w:val="000000"/>
        </w:rPr>
        <w:t xml:space="preserve">,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w:t>
      </w:r>
      <w:r w:rsidRPr="00207577">
        <w:rPr>
          <w:color w:val="000000"/>
        </w:rPr>
        <w:lastRenderedPageBreak/>
        <w:t>Protección de Datos Personales, o bien, vía Juicio de Amparo en los términos de las leyes aplicables.</w:t>
      </w:r>
    </w:p>
    <w:p w14:paraId="2306AF70" w14:textId="77777777" w:rsidR="005373B5" w:rsidRPr="00207577" w:rsidRDefault="005373B5" w:rsidP="005373B5">
      <w:r w:rsidRPr="00207577">
        <w:rPr>
          <w:b/>
        </w:rPr>
        <w:t>SEXTO.</w:t>
      </w:r>
      <w:r w:rsidRPr="00207577">
        <w:t xml:space="preserve"> De conformidad con el artículo 198 de la Ley de Transparencia y Acceso a la Información Pública del Estado de México y Municipios, el </w:t>
      </w:r>
      <w:r w:rsidRPr="00207577">
        <w:rPr>
          <w:b/>
        </w:rPr>
        <w:t>SUJETO OBLIGADO</w:t>
      </w:r>
      <w:r w:rsidRPr="00207577">
        <w:t xml:space="preserve"> podrá solicitar una ampliación de plazo de manera fundada y motivada, para el cumplimiento de la presente resolución.</w:t>
      </w:r>
    </w:p>
    <w:p w14:paraId="141AD306" w14:textId="77777777" w:rsidR="0065492D" w:rsidRPr="00207577" w:rsidRDefault="0065492D" w:rsidP="00B85975">
      <w:pPr>
        <w:rPr>
          <w:rFonts w:eastAsia="Palatino Linotype" w:cs="Palatino Linotype"/>
          <w:szCs w:val="22"/>
          <w:lang w:eastAsia="es-MX"/>
        </w:rPr>
      </w:pPr>
    </w:p>
    <w:p w14:paraId="050AA6DE" w14:textId="77777777" w:rsidR="005373B5" w:rsidRPr="00207577" w:rsidRDefault="005373B5" w:rsidP="005373B5">
      <w:pPr>
        <w:ind w:right="-93"/>
      </w:pPr>
      <w:r w:rsidRPr="00207577">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14:paraId="64E59AFC" w14:textId="62180E4D" w:rsidR="00B822AE" w:rsidRDefault="009C04A8" w:rsidP="009C04A8">
      <w:pPr>
        <w:ind w:right="-93"/>
        <w:rPr>
          <w:rFonts w:eastAsia="Palatino Linotype" w:cs="Palatino Linotype"/>
          <w:color w:val="000000"/>
          <w:sz w:val="20"/>
        </w:rPr>
      </w:pPr>
      <w:r w:rsidRPr="00207577">
        <w:rPr>
          <w:rFonts w:eastAsia="Palatino Linotype" w:cs="Palatino Linotype"/>
          <w:color w:val="000000"/>
          <w:sz w:val="20"/>
        </w:rPr>
        <w:t>SCMM/AGZ/DEMF/RPG</w:t>
      </w:r>
    </w:p>
    <w:p w14:paraId="5BF3172C" w14:textId="77777777" w:rsidR="00B822AE" w:rsidRDefault="00B822AE">
      <w:pPr>
        <w:spacing w:after="160" w:line="259" w:lineRule="auto"/>
        <w:jc w:val="left"/>
        <w:rPr>
          <w:rFonts w:eastAsia="Palatino Linotype" w:cs="Palatino Linotype"/>
          <w:color w:val="000000"/>
          <w:sz w:val="20"/>
        </w:rPr>
      </w:pPr>
      <w:r>
        <w:rPr>
          <w:rFonts w:eastAsia="Palatino Linotype" w:cs="Palatino Linotype"/>
          <w:color w:val="000000"/>
          <w:sz w:val="20"/>
        </w:rPr>
        <w:br w:type="page"/>
      </w:r>
    </w:p>
    <w:p w14:paraId="1A2522A6" w14:textId="77777777" w:rsidR="009C04A8" w:rsidRPr="00885298" w:rsidRDefault="009C04A8" w:rsidP="009C04A8">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Pr="00885298" w:rsidRDefault="00664420"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p w14:paraId="5B4ADFF3" w14:textId="77777777" w:rsidR="00A131AC" w:rsidRDefault="00A131AC"/>
    <w:sectPr w:rsidR="00A131AC"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944F7" w14:textId="77777777" w:rsidR="008D3E35" w:rsidRDefault="008D3E35" w:rsidP="00664420">
      <w:pPr>
        <w:spacing w:line="240" w:lineRule="auto"/>
      </w:pPr>
      <w:r>
        <w:separator/>
      </w:r>
    </w:p>
  </w:endnote>
  <w:endnote w:type="continuationSeparator" w:id="0">
    <w:p w14:paraId="55E56F49" w14:textId="77777777" w:rsidR="008D3E35" w:rsidRDefault="008D3E3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A06AA" w:rsidRDefault="000A06AA">
    <w:pPr>
      <w:tabs>
        <w:tab w:val="center" w:pos="4550"/>
        <w:tab w:val="left" w:pos="5818"/>
      </w:tabs>
      <w:ind w:right="260"/>
      <w:jc w:val="right"/>
      <w:rPr>
        <w:color w:val="071320" w:themeColor="text2" w:themeShade="80"/>
        <w:sz w:val="24"/>
        <w:szCs w:val="24"/>
      </w:rPr>
    </w:pPr>
  </w:p>
  <w:p w14:paraId="1BCA7F23" w14:textId="77777777" w:rsidR="000A06AA" w:rsidRDefault="000A06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9C1F621" w:rsidR="000A06AA" w:rsidRDefault="000A06A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13B2F" w:rsidRPr="00813B2F">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13B2F" w:rsidRPr="00813B2F">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0A06AA" w:rsidRDefault="000A06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A8B9C" w14:textId="77777777" w:rsidR="008D3E35" w:rsidRDefault="008D3E35" w:rsidP="00664420">
      <w:pPr>
        <w:spacing w:line="240" w:lineRule="auto"/>
      </w:pPr>
      <w:r>
        <w:separator/>
      </w:r>
    </w:p>
  </w:footnote>
  <w:footnote w:type="continuationSeparator" w:id="0">
    <w:p w14:paraId="6E661A2E" w14:textId="77777777" w:rsidR="008D3E35" w:rsidRDefault="008D3E35"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A06AA" w:rsidRPr="00330DA7" w14:paraId="070A4B18" w14:textId="77777777" w:rsidTr="003F35FD">
      <w:trPr>
        <w:trHeight w:val="144"/>
        <w:jc w:val="right"/>
      </w:trPr>
      <w:tc>
        <w:tcPr>
          <w:tcW w:w="2727" w:type="dxa"/>
        </w:tcPr>
        <w:p w14:paraId="62B7493A" w14:textId="77777777" w:rsidR="000A06AA" w:rsidRPr="00330DA7" w:rsidRDefault="000A06A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236DE91" w:rsidR="000A06AA" w:rsidRPr="00A90C72" w:rsidRDefault="000A06AA" w:rsidP="004F6D6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7612</w:t>
          </w:r>
          <w:r w:rsidRPr="006E7E69">
            <w:rPr>
              <w:rFonts w:eastAsia="Calibri" w:cs="Tahoma"/>
              <w:szCs w:val="22"/>
              <w:lang w:eastAsia="en-US"/>
            </w:rPr>
            <w:t>/INFOEM/IP/RR/2025</w:t>
          </w:r>
        </w:p>
      </w:tc>
    </w:tr>
    <w:tr w:rsidR="000A06AA" w:rsidRPr="00330DA7" w14:paraId="4521E058" w14:textId="77777777" w:rsidTr="003F35FD">
      <w:trPr>
        <w:trHeight w:val="283"/>
        <w:jc w:val="right"/>
      </w:trPr>
      <w:tc>
        <w:tcPr>
          <w:tcW w:w="2727" w:type="dxa"/>
        </w:tcPr>
        <w:p w14:paraId="0B68C086" w14:textId="77777777" w:rsidR="000A06AA" w:rsidRPr="00330DA7" w:rsidRDefault="000A06A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295000E" w:rsidR="000A06AA" w:rsidRPr="009233A1" w:rsidRDefault="000A06AA" w:rsidP="004F6D6C">
          <w:pPr>
            <w:tabs>
              <w:tab w:val="right" w:pos="8838"/>
            </w:tabs>
            <w:spacing w:line="240" w:lineRule="auto"/>
            <w:ind w:left="-74" w:right="-105"/>
            <w:rPr>
              <w:rFonts w:eastAsia="Calibri" w:cs="Tahoma"/>
              <w:szCs w:val="22"/>
              <w:lang w:val="es-MX" w:eastAsia="en-US"/>
            </w:rPr>
          </w:pPr>
          <w:r w:rsidRPr="00623F41">
            <w:rPr>
              <w:rFonts w:eastAsia="Calibri" w:cs="Tahoma"/>
              <w:szCs w:val="22"/>
              <w:lang w:eastAsia="en-US"/>
            </w:rPr>
            <w:t>Comisión del Agua del Estado de México</w:t>
          </w:r>
        </w:p>
      </w:tc>
    </w:tr>
    <w:tr w:rsidR="000A06AA" w:rsidRPr="00330DA7" w14:paraId="6331D9B6" w14:textId="77777777" w:rsidTr="003F35FD">
      <w:trPr>
        <w:trHeight w:val="283"/>
        <w:jc w:val="right"/>
      </w:trPr>
      <w:tc>
        <w:tcPr>
          <w:tcW w:w="2727" w:type="dxa"/>
        </w:tcPr>
        <w:p w14:paraId="3FA86BAE" w14:textId="6568823B" w:rsidR="000A06AA" w:rsidRPr="00330DA7" w:rsidRDefault="000A06A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A06AA" w:rsidRPr="00EA66FC" w:rsidRDefault="000A06A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A06AA" w:rsidRPr="00443C6B" w:rsidRDefault="000A06A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A06AA" w:rsidRPr="00330DA7" w14:paraId="29CFF901" w14:textId="77777777" w:rsidTr="004D0573">
      <w:trPr>
        <w:trHeight w:val="1435"/>
      </w:trPr>
      <w:tc>
        <w:tcPr>
          <w:tcW w:w="283" w:type="dxa"/>
        </w:tcPr>
        <w:p w14:paraId="046B9F8F" w14:textId="77777777" w:rsidR="000A06AA" w:rsidRPr="00330DA7" w:rsidRDefault="000A06AA"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A06AA" w:rsidRPr="00330DA7" w14:paraId="04F272D2" w14:textId="77777777" w:rsidTr="004D0573">
            <w:trPr>
              <w:trHeight w:val="144"/>
            </w:trPr>
            <w:tc>
              <w:tcPr>
                <w:tcW w:w="2727" w:type="dxa"/>
              </w:tcPr>
              <w:p w14:paraId="2FD4DBF6" w14:textId="77777777" w:rsidR="000A06AA" w:rsidRPr="00330DA7" w:rsidRDefault="000A06AA"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D2673D4" w:rsidR="000A06AA" w:rsidRPr="004D0573" w:rsidRDefault="000A06AA"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7612</w:t>
                </w:r>
                <w:r w:rsidRPr="006E7E69">
                  <w:rPr>
                    <w:rFonts w:eastAsia="Calibri" w:cs="Tahoma"/>
                    <w:szCs w:val="22"/>
                    <w:lang w:eastAsia="en-US"/>
                  </w:rPr>
                  <w:t>/INFOEM/IP/RR/2025</w:t>
                </w:r>
              </w:p>
            </w:tc>
            <w:tc>
              <w:tcPr>
                <w:tcW w:w="3402" w:type="dxa"/>
              </w:tcPr>
              <w:p w14:paraId="71DEA1CF" w14:textId="77777777" w:rsidR="000A06AA" w:rsidRDefault="000A06AA" w:rsidP="004D0573">
                <w:pPr>
                  <w:tabs>
                    <w:tab w:val="right" w:pos="8838"/>
                  </w:tabs>
                  <w:spacing w:line="240" w:lineRule="auto"/>
                  <w:ind w:left="-74" w:right="-105"/>
                  <w:rPr>
                    <w:rFonts w:eastAsia="Calibri" w:cs="Tahoma"/>
                    <w:szCs w:val="22"/>
                    <w:lang w:eastAsia="en-US"/>
                  </w:rPr>
                </w:pPr>
              </w:p>
            </w:tc>
          </w:tr>
          <w:tr w:rsidR="000A06AA" w:rsidRPr="00330DA7" w14:paraId="05C58951" w14:textId="77777777" w:rsidTr="004D0573">
            <w:trPr>
              <w:trHeight w:val="144"/>
            </w:trPr>
            <w:tc>
              <w:tcPr>
                <w:tcW w:w="2727" w:type="dxa"/>
              </w:tcPr>
              <w:p w14:paraId="642B9610" w14:textId="77777777" w:rsidR="000A06AA" w:rsidRPr="00330DA7" w:rsidRDefault="000A06AA"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3361B46" w:rsidR="000A06AA" w:rsidRPr="004D0573" w:rsidRDefault="00813B2F"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 XXXXXX XXXXXXXX</w:t>
                </w:r>
              </w:p>
            </w:tc>
            <w:tc>
              <w:tcPr>
                <w:tcW w:w="3402" w:type="dxa"/>
              </w:tcPr>
              <w:p w14:paraId="73F47F53" w14:textId="77777777" w:rsidR="000A06AA" w:rsidRPr="005F19B1" w:rsidRDefault="000A06AA" w:rsidP="004D0573">
                <w:pPr>
                  <w:tabs>
                    <w:tab w:val="left" w:pos="3122"/>
                    <w:tab w:val="right" w:pos="8838"/>
                  </w:tabs>
                  <w:spacing w:line="240" w:lineRule="auto"/>
                  <w:ind w:left="-105" w:right="-105"/>
                  <w:rPr>
                    <w:rFonts w:eastAsia="Calibri" w:cs="Tahoma"/>
                    <w:szCs w:val="22"/>
                    <w:lang w:eastAsia="en-US"/>
                  </w:rPr>
                </w:pPr>
              </w:p>
            </w:tc>
          </w:tr>
          <w:bookmarkEnd w:id="1"/>
          <w:tr w:rsidR="000A06AA" w:rsidRPr="00330DA7" w14:paraId="00E6CDC1" w14:textId="77777777" w:rsidTr="004D0573">
            <w:trPr>
              <w:trHeight w:val="283"/>
            </w:trPr>
            <w:tc>
              <w:tcPr>
                <w:tcW w:w="2727" w:type="dxa"/>
              </w:tcPr>
              <w:p w14:paraId="0631AD24" w14:textId="77777777" w:rsidR="000A06AA" w:rsidRPr="00330DA7" w:rsidRDefault="000A06A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300A532" w:rsidR="000A06AA" w:rsidRPr="004D0573" w:rsidRDefault="000A06AA" w:rsidP="004F6D6C">
                <w:pPr>
                  <w:tabs>
                    <w:tab w:val="right" w:pos="8838"/>
                  </w:tabs>
                  <w:spacing w:line="240" w:lineRule="auto"/>
                  <w:ind w:left="-74" w:right="-105"/>
                  <w:rPr>
                    <w:rFonts w:eastAsia="Calibri" w:cs="Tahoma"/>
                    <w:szCs w:val="22"/>
                    <w:lang w:eastAsia="en-US"/>
                  </w:rPr>
                </w:pPr>
                <w:r w:rsidRPr="00623F41">
                  <w:rPr>
                    <w:rFonts w:eastAsia="Calibri" w:cs="Tahoma"/>
                    <w:szCs w:val="22"/>
                    <w:lang w:eastAsia="en-US"/>
                  </w:rPr>
                  <w:t>Comisión del Agua del Estado de México</w:t>
                </w:r>
              </w:p>
            </w:tc>
            <w:tc>
              <w:tcPr>
                <w:tcW w:w="3402" w:type="dxa"/>
              </w:tcPr>
              <w:p w14:paraId="3A7DA319" w14:textId="77777777" w:rsidR="000A06AA" w:rsidRPr="00A90C72" w:rsidRDefault="000A06AA" w:rsidP="004D0573">
                <w:pPr>
                  <w:tabs>
                    <w:tab w:val="left" w:pos="2834"/>
                    <w:tab w:val="right" w:pos="8838"/>
                  </w:tabs>
                  <w:spacing w:line="240" w:lineRule="auto"/>
                  <w:ind w:left="-108" w:right="-105"/>
                  <w:rPr>
                    <w:rFonts w:eastAsia="Calibri" w:cs="Tahoma"/>
                    <w:szCs w:val="22"/>
                    <w:lang w:eastAsia="en-US"/>
                  </w:rPr>
                </w:pPr>
              </w:p>
            </w:tc>
          </w:tr>
          <w:tr w:rsidR="000A06AA" w:rsidRPr="00330DA7" w14:paraId="0F6CD8D2" w14:textId="77777777" w:rsidTr="004D0573">
            <w:trPr>
              <w:trHeight w:val="283"/>
            </w:trPr>
            <w:tc>
              <w:tcPr>
                <w:tcW w:w="2727" w:type="dxa"/>
              </w:tcPr>
              <w:p w14:paraId="31700628" w14:textId="0565A62A" w:rsidR="000A06AA" w:rsidRPr="00330DA7" w:rsidRDefault="000A06A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A06AA" w:rsidRPr="00EA66FC" w:rsidRDefault="000A06A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A06AA" w:rsidRPr="00330DA7" w:rsidRDefault="000A06AA" w:rsidP="004D0573">
                <w:pPr>
                  <w:tabs>
                    <w:tab w:val="right" w:pos="8838"/>
                  </w:tabs>
                  <w:spacing w:line="240" w:lineRule="auto"/>
                  <w:ind w:left="-108" w:right="-105"/>
                  <w:rPr>
                    <w:rFonts w:eastAsia="Calibri" w:cs="Tahoma"/>
                    <w:szCs w:val="22"/>
                    <w:lang w:eastAsia="en-US"/>
                  </w:rPr>
                </w:pPr>
              </w:p>
            </w:tc>
          </w:tr>
        </w:tbl>
        <w:p w14:paraId="5DC6AC61" w14:textId="77777777" w:rsidR="000A06AA" w:rsidRPr="00330DA7" w:rsidRDefault="000A06AA" w:rsidP="004D0573">
          <w:pPr>
            <w:tabs>
              <w:tab w:val="right" w:pos="8838"/>
            </w:tabs>
            <w:ind w:left="-28"/>
            <w:rPr>
              <w:rFonts w:ascii="Arial" w:eastAsia="Calibri" w:hAnsi="Arial" w:cs="Arial"/>
              <w:b/>
              <w:szCs w:val="22"/>
              <w:lang w:eastAsia="en-US"/>
            </w:rPr>
          </w:pPr>
        </w:p>
      </w:tc>
    </w:tr>
  </w:tbl>
  <w:p w14:paraId="2A906731" w14:textId="77777777" w:rsidR="000A06AA" w:rsidRPr="00765661" w:rsidRDefault="008D3E3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566E32"/>
    <w:multiLevelType w:val="hybridMultilevel"/>
    <w:tmpl w:val="8BEC5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520D68"/>
    <w:multiLevelType w:val="hybridMultilevel"/>
    <w:tmpl w:val="DD22E41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00374B"/>
    <w:multiLevelType w:val="hybridMultilevel"/>
    <w:tmpl w:val="5C4E7F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0AC3"/>
    <w:rsid w:val="00057B2D"/>
    <w:rsid w:val="00065518"/>
    <w:rsid w:val="000777E2"/>
    <w:rsid w:val="00080071"/>
    <w:rsid w:val="000954C3"/>
    <w:rsid w:val="000A06AA"/>
    <w:rsid w:val="000A0798"/>
    <w:rsid w:val="000A509B"/>
    <w:rsid w:val="000C3BBA"/>
    <w:rsid w:val="000D0D67"/>
    <w:rsid w:val="000E0131"/>
    <w:rsid w:val="000E09C4"/>
    <w:rsid w:val="000E23B9"/>
    <w:rsid w:val="000F32E8"/>
    <w:rsid w:val="000F46F7"/>
    <w:rsid w:val="00103C8A"/>
    <w:rsid w:val="00107F71"/>
    <w:rsid w:val="00112E62"/>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07577"/>
    <w:rsid w:val="00211F42"/>
    <w:rsid w:val="00233005"/>
    <w:rsid w:val="00233F17"/>
    <w:rsid w:val="00237120"/>
    <w:rsid w:val="00240234"/>
    <w:rsid w:val="00245D19"/>
    <w:rsid w:val="0025524B"/>
    <w:rsid w:val="002553CD"/>
    <w:rsid w:val="00255CE7"/>
    <w:rsid w:val="00293D29"/>
    <w:rsid w:val="002958FA"/>
    <w:rsid w:val="002961A6"/>
    <w:rsid w:val="002961B5"/>
    <w:rsid w:val="0029641C"/>
    <w:rsid w:val="002A3601"/>
    <w:rsid w:val="002B0493"/>
    <w:rsid w:val="002B1D44"/>
    <w:rsid w:val="002B4ED6"/>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74082"/>
    <w:rsid w:val="00386CD1"/>
    <w:rsid w:val="00386DD1"/>
    <w:rsid w:val="003A3A7E"/>
    <w:rsid w:val="003A40C1"/>
    <w:rsid w:val="003A67CC"/>
    <w:rsid w:val="003B0255"/>
    <w:rsid w:val="003B0AEC"/>
    <w:rsid w:val="003B2486"/>
    <w:rsid w:val="003B5D3E"/>
    <w:rsid w:val="003C5F93"/>
    <w:rsid w:val="003F19F1"/>
    <w:rsid w:val="003F28CD"/>
    <w:rsid w:val="003F35FD"/>
    <w:rsid w:val="003F3B84"/>
    <w:rsid w:val="0041385B"/>
    <w:rsid w:val="00416357"/>
    <w:rsid w:val="004222DE"/>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373B5"/>
    <w:rsid w:val="005432B1"/>
    <w:rsid w:val="00550AB5"/>
    <w:rsid w:val="0055624C"/>
    <w:rsid w:val="0056448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67C7"/>
    <w:rsid w:val="006159AD"/>
    <w:rsid w:val="00623F41"/>
    <w:rsid w:val="00632857"/>
    <w:rsid w:val="00646436"/>
    <w:rsid w:val="0065492D"/>
    <w:rsid w:val="00657603"/>
    <w:rsid w:val="00664420"/>
    <w:rsid w:val="006A21FC"/>
    <w:rsid w:val="006A2878"/>
    <w:rsid w:val="006A646A"/>
    <w:rsid w:val="006B10B0"/>
    <w:rsid w:val="006D3237"/>
    <w:rsid w:val="006E13CF"/>
    <w:rsid w:val="006E25BC"/>
    <w:rsid w:val="006E5B81"/>
    <w:rsid w:val="006E6BBC"/>
    <w:rsid w:val="006E7E69"/>
    <w:rsid w:val="006F7768"/>
    <w:rsid w:val="00717E59"/>
    <w:rsid w:val="00724F22"/>
    <w:rsid w:val="007517BD"/>
    <w:rsid w:val="0075615D"/>
    <w:rsid w:val="0075751F"/>
    <w:rsid w:val="0076337C"/>
    <w:rsid w:val="007667E1"/>
    <w:rsid w:val="00773DD6"/>
    <w:rsid w:val="00773EAB"/>
    <w:rsid w:val="00774516"/>
    <w:rsid w:val="00775BFC"/>
    <w:rsid w:val="007770D8"/>
    <w:rsid w:val="00785289"/>
    <w:rsid w:val="00794BA5"/>
    <w:rsid w:val="007A2B8D"/>
    <w:rsid w:val="007A3459"/>
    <w:rsid w:val="007B6074"/>
    <w:rsid w:val="007C7C47"/>
    <w:rsid w:val="007D1C55"/>
    <w:rsid w:val="007D1C84"/>
    <w:rsid w:val="007D317F"/>
    <w:rsid w:val="007D4886"/>
    <w:rsid w:val="007E07E1"/>
    <w:rsid w:val="007F5D06"/>
    <w:rsid w:val="00805A6E"/>
    <w:rsid w:val="00811211"/>
    <w:rsid w:val="00811249"/>
    <w:rsid w:val="00811F75"/>
    <w:rsid w:val="00813497"/>
    <w:rsid w:val="00813B2F"/>
    <w:rsid w:val="00823BA5"/>
    <w:rsid w:val="00826C28"/>
    <w:rsid w:val="00831728"/>
    <w:rsid w:val="0084270B"/>
    <w:rsid w:val="00860F56"/>
    <w:rsid w:val="00864CC1"/>
    <w:rsid w:val="00865CF4"/>
    <w:rsid w:val="00875DF8"/>
    <w:rsid w:val="00876DBC"/>
    <w:rsid w:val="008950DC"/>
    <w:rsid w:val="008A6003"/>
    <w:rsid w:val="008A6F88"/>
    <w:rsid w:val="008B1E16"/>
    <w:rsid w:val="008B4513"/>
    <w:rsid w:val="008D3E35"/>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737"/>
    <w:rsid w:val="009E2DEE"/>
    <w:rsid w:val="009E45F2"/>
    <w:rsid w:val="009E4644"/>
    <w:rsid w:val="009E6B1C"/>
    <w:rsid w:val="009F797C"/>
    <w:rsid w:val="00A047F0"/>
    <w:rsid w:val="00A04D1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B137E8"/>
    <w:rsid w:val="00B169A2"/>
    <w:rsid w:val="00B22A80"/>
    <w:rsid w:val="00B348A2"/>
    <w:rsid w:val="00B35638"/>
    <w:rsid w:val="00B36848"/>
    <w:rsid w:val="00B373AF"/>
    <w:rsid w:val="00B46EAA"/>
    <w:rsid w:val="00B47DF0"/>
    <w:rsid w:val="00B56734"/>
    <w:rsid w:val="00B61BCE"/>
    <w:rsid w:val="00B65555"/>
    <w:rsid w:val="00B80A20"/>
    <w:rsid w:val="00B822AE"/>
    <w:rsid w:val="00B85975"/>
    <w:rsid w:val="00BA1AB6"/>
    <w:rsid w:val="00BA27B5"/>
    <w:rsid w:val="00BA2B6C"/>
    <w:rsid w:val="00BA55A8"/>
    <w:rsid w:val="00BB02E8"/>
    <w:rsid w:val="00BB2ABF"/>
    <w:rsid w:val="00BB64F4"/>
    <w:rsid w:val="00BB702C"/>
    <w:rsid w:val="00BC1202"/>
    <w:rsid w:val="00BD2738"/>
    <w:rsid w:val="00BD3F4F"/>
    <w:rsid w:val="00BD5A7C"/>
    <w:rsid w:val="00BE7A1B"/>
    <w:rsid w:val="00BF0221"/>
    <w:rsid w:val="00BF091A"/>
    <w:rsid w:val="00BF43A8"/>
    <w:rsid w:val="00BF4EAD"/>
    <w:rsid w:val="00BF4F76"/>
    <w:rsid w:val="00BF51BF"/>
    <w:rsid w:val="00C00D03"/>
    <w:rsid w:val="00C049E2"/>
    <w:rsid w:val="00C10D59"/>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A0628"/>
    <w:rsid w:val="00CA1D89"/>
    <w:rsid w:val="00CA50B3"/>
    <w:rsid w:val="00CB7C31"/>
    <w:rsid w:val="00CB7E9A"/>
    <w:rsid w:val="00CD0B92"/>
    <w:rsid w:val="00CD3244"/>
    <w:rsid w:val="00CE1DFB"/>
    <w:rsid w:val="00CE29D3"/>
    <w:rsid w:val="00CE3DBD"/>
    <w:rsid w:val="00CE58F2"/>
    <w:rsid w:val="00CF2C7C"/>
    <w:rsid w:val="00CF2D8B"/>
    <w:rsid w:val="00CF7586"/>
    <w:rsid w:val="00CF7F0C"/>
    <w:rsid w:val="00D02A55"/>
    <w:rsid w:val="00D036D3"/>
    <w:rsid w:val="00D04C3A"/>
    <w:rsid w:val="00D07C17"/>
    <w:rsid w:val="00D161C4"/>
    <w:rsid w:val="00D20D88"/>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02FEA"/>
    <w:rsid w:val="00E11AA0"/>
    <w:rsid w:val="00E16BF5"/>
    <w:rsid w:val="00E27023"/>
    <w:rsid w:val="00E33233"/>
    <w:rsid w:val="00E37496"/>
    <w:rsid w:val="00E37A3F"/>
    <w:rsid w:val="00E37D3C"/>
    <w:rsid w:val="00E47A6C"/>
    <w:rsid w:val="00E615B5"/>
    <w:rsid w:val="00E62E6A"/>
    <w:rsid w:val="00E73A29"/>
    <w:rsid w:val="00E83EF5"/>
    <w:rsid w:val="00E9335C"/>
    <w:rsid w:val="00ED1C1E"/>
    <w:rsid w:val="00EE1CF5"/>
    <w:rsid w:val="00EE2AF2"/>
    <w:rsid w:val="00EE7028"/>
    <w:rsid w:val="00EE77E9"/>
    <w:rsid w:val="00EF6D46"/>
    <w:rsid w:val="00F06548"/>
    <w:rsid w:val="00F07EE6"/>
    <w:rsid w:val="00F25625"/>
    <w:rsid w:val="00F32348"/>
    <w:rsid w:val="00F33CC8"/>
    <w:rsid w:val="00F34774"/>
    <w:rsid w:val="00F4481C"/>
    <w:rsid w:val="00F45902"/>
    <w:rsid w:val="00F52005"/>
    <w:rsid w:val="00F52089"/>
    <w:rsid w:val="00F75D23"/>
    <w:rsid w:val="00F8365A"/>
    <w:rsid w:val="00F8547A"/>
    <w:rsid w:val="00F86DF5"/>
    <w:rsid w:val="00F93742"/>
    <w:rsid w:val="00FA0BED"/>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1860726">
      <w:bodyDiv w:val="1"/>
      <w:marLeft w:val="0"/>
      <w:marRight w:val="0"/>
      <w:marTop w:val="0"/>
      <w:marBottom w:val="0"/>
      <w:divBdr>
        <w:top w:val="none" w:sz="0" w:space="0" w:color="auto"/>
        <w:left w:val="none" w:sz="0" w:space="0" w:color="auto"/>
        <w:bottom w:val="none" w:sz="0" w:space="0" w:color="auto"/>
        <w:right w:val="none" w:sz="0" w:space="0" w:color="auto"/>
      </w:divBdr>
      <w:divsChild>
        <w:div w:id="1625767234">
          <w:marLeft w:val="0"/>
          <w:marRight w:val="0"/>
          <w:marTop w:val="150"/>
          <w:marBottom w:val="105"/>
          <w:divBdr>
            <w:top w:val="none" w:sz="0" w:space="0" w:color="auto"/>
            <w:left w:val="none" w:sz="0" w:space="0" w:color="auto"/>
            <w:bottom w:val="single" w:sz="6" w:space="0" w:color="67C19D"/>
            <w:right w:val="none" w:sz="0" w:space="0" w:color="auto"/>
          </w:divBdr>
          <w:divsChild>
            <w:div w:id="1908958144">
              <w:marLeft w:val="0"/>
              <w:marRight w:val="0"/>
              <w:marTop w:val="150"/>
              <w:marBottom w:val="0"/>
              <w:divBdr>
                <w:top w:val="none" w:sz="0" w:space="0" w:color="auto"/>
                <w:left w:val="none" w:sz="0" w:space="0" w:color="auto"/>
                <w:bottom w:val="none" w:sz="0" w:space="0" w:color="auto"/>
                <w:right w:val="none" w:sz="0" w:space="0" w:color="auto"/>
              </w:divBdr>
            </w:div>
          </w:divsChild>
        </w:div>
        <w:div w:id="614362008">
          <w:marLeft w:val="0"/>
          <w:marRight w:val="0"/>
          <w:marTop w:val="0"/>
          <w:marBottom w:val="75"/>
          <w:divBdr>
            <w:top w:val="none" w:sz="0" w:space="0" w:color="auto"/>
            <w:left w:val="none" w:sz="0" w:space="0" w:color="auto"/>
            <w:bottom w:val="none" w:sz="0" w:space="0" w:color="auto"/>
            <w:right w:val="none" w:sz="0" w:space="0" w:color="auto"/>
          </w:divBdr>
        </w:div>
      </w:divsChild>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aeconomia.com.mx/cheque-sin-fondo-que-hac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entasahorro.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B80543-89E4-4E29-BE94-D4DACB2D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10159</Words>
  <Characters>55876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2025-10-03T16:42:00Z</cp:lastPrinted>
  <dcterms:created xsi:type="dcterms:W3CDTF">2025-09-25T21:00:00Z</dcterms:created>
  <dcterms:modified xsi:type="dcterms:W3CDTF">2026-01-20T16:44:00Z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