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b w:val="1"/>
          <w:sz w:val="22"/>
          <w:szCs w:val="22"/>
        </w:rPr>
      </w:pPr>
      <w:bookmarkStart w:colFirst="0" w:colLast="0" w:name="_heading=h.1fob9te" w:id="0"/>
      <w:bookmarkEnd w:id="0"/>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w:t>
      </w:r>
      <w:r w:rsidDel="00000000" w:rsidR="00000000" w:rsidRPr="00000000">
        <w:rPr>
          <w:rFonts w:ascii="Palatino Linotype" w:cs="Palatino Linotype" w:eastAsia="Palatino Linotype" w:hAnsi="Palatino Linotype"/>
          <w:b w:val="1"/>
          <w:sz w:val="22"/>
          <w:szCs w:val="22"/>
          <w:rtl w:val="0"/>
        </w:rPr>
        <w:t xml:space="preserve">a diez de septiembre de dos mil veinticinco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tl w:val="0"/>
        </w:rPr>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sz w:val="22"/>
          <w:szCs w:val="22"/>
        </w:rPr>
      </w:pPr>
      <w:bookmarkStart w:colFirst="0" w:colLast="0" w:name="_heading=h.4d34og8" w:id="1"/>
      <w:bookmarkEnd w:id="1"/>
      <w:r w:rsidDel="00000000" w:rsidR="00000000" w:rsidRPr="00000000">
        <w:rPr>
          <w:rFonts w:ascii="Palatino Linotype" w:cs="Palatino Linotype" w:eastAsia="Palatino Linotype" w:hAnsi="Palatino Linotype"/>
          <w:b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formado con motivo del recurso de revisión </w:t>
      </w:r>
      <w:r w:rsidDel="00000000" w:rsidR="00000000" w:rsidRPr="00000000">
        <w:rPr>
          <w:rFonts w:ascii="Palatino Linotype" w:cs="Palatino Linotype" w:eastAsia="Palatino Linotype" w:hAnsi="Palatino Linotype"/>
          <w:b w:val="1"/>
          <w:sz w:val="22"/>
          <w:szCs w:val="22"/>
          <w:rtl w:val="0"/>
        </w:rPr>
        <w:t xml:space="preserve">07459/INFOEM/IP/RR/2025</w:t>
      </w:r>
      <w:r w:rsidDel="00000000" w:rsidR="00000000" w:rsidRPr="00000000">
        <w:rPr>
          <w:rFonts w:ascii="Palatino Linotype" w:cs="Palatino Linotype" w:eastAsia="Palatino Linotype" w:hAnsi="Palatino Linotype"/>
          <w:sz w:val="22"/>
          <w:szCs w:val="22"/>
          <w:rtl w:val="0"/>
        </w:rPr>
        <w:t xml:space="preserve">, interpuesto por una persona usuaria del Sistema de Acceso a la Información</w:t>
      </w: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en lo sucesivo</w:t>
      </w:r>
      <w:r w:rsidDel="00000000" w:rsidR="00000000" w:rsidRPr="00000000">
        <w:rPr>
          <w:rFonts w:ascii="Palatino Linotype" w:cs="Palatino Linotype" w:eastAsia="Palatino Linotype" w:hAnsi="Palatino Linotype"/>
          <w:b w:val="1"/>
          <w:sz w:val="22"/>
          <w:szCs w:val="22"/>
          <w:rtl w:val="0"/>
        </w:rPr>
        <w:t xml:space="preserve"> 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contra de la respuesta a su solicitud por parte del</w:t>
      </w:r>
      <w:r w:rsidDel="00000000" w:rsidR="00000000" w:rsidRPr="00000000">
        <w:rPr>
          <w:rFonts w:ascii="Palatino Linotype" w:cs="Palatino Linotype" w:eastAsia="Palatino Linotype" w:hAnsi="Palatino Linotype"/>
          <w:b w:val="1"/>
          <w:sz w:val="22"/>
          <w:szCs w:val="22"/>
          <w:rtl w:val="0"/>
        </w:rPr>
        <w:t xml:space="preserve"> Ayuntamiento de Zinacantepec</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1. Solicitud de acceso a la información.</w:t>
      </w:r>
      <w:r w:rsidDel="00000000" w:rsidR="00000000" w:rsidRPr="00000000">
        <w:rPr>
          <w:rFonts w:ascii="Palatino Linotype" w:cs="Palatino Linotype" w:eastAsia="Palatino Linotype" w:hAnsi="Palatino Linotype"/>
          <w:sz w:val="22"/>
          <w:szCs w:val="22"/>
          <w:rtl w:val="0"/>
        </w:rPr>
        <w:t xml:space="preserve"> El veinte de mayo de dos mil veinticinco</w:t>
      </w: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a través del Sistema de Acceso a la Información Mexiquense, en lo subsecuente el SAIMEX, formuló ante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solicitud de acceso a la información pública a la que se le asignó el número</w:t>
      </w:r>
      <w:r w:rsidDel="00000000" w:rsidR="00000000" w:rsidRPr="00000000">
        <w:rPr>
          <w:rFonts w:ascii="Palatino Linotype" w:cs="Palatino Linotype" w:eastAsia="Palatino Linotype" w:hAnsi="Palatino Linotype"/>
          <w:b w:val="1"/>
          <w:sz w:val="22"/>
          <w:szCs w:val="22"/>
          <w:rtl w:val="0"/>
        </w:rPr>
        <w:t xml:space="preserve"> 00381/ZINACANT/IP/2025, </w:t>
      </w:r>
      <w:r w:rsidDel="00000000" w:rsidR="00000000" w:rsidRPr="00000000">
        <w:rPr>
          <w:rFonts w:ascii="Palatino Linotype" w:cs="Palatino Linotype" w:eastAsia="Palatino Linotype" w:hAnsi="Palatino Linotype"/>
          <w:sz w:val="22"/>
          <w:szCs w:val="22"/>
          <w:rtl w:val="0"/>
        </w:rPr>
        <w:t xml:space="preserve">mediante la cual requirió la información siguiente</w:t>
      </w:r>
    </w:p>
    <w:p w:rsidR="00000000" w:rsidDel="00000000" w:rsidP="00000000" w:rsidRDefault="00000000" w:rsidRPr="00000000" w14:paraId="00000005">
      <w:pPr>
        <w:spacing w:after="240" w:before="240" w:lineRule="auto"/>
        <w:ind w:left="567" w:right="616" w:firstLine="0"/>
        <w:jc w:val="both"/>
        <w:rPr>
          <w:rFonts w:ascii="Palatino Linotype" w:cs="Palatino Linotype" w:eastAsia="Palatino Linotype" w:hAnsi="Palatino Linotype"/>
          <w:i w:val="1"/>
          <w:sz w:val="22"/>
          <w:szCs w:val="22"/>
        </w:rPr>
      </w:pPr>
      <w:bookmarkStart w:colFirst="0" w:colLast="0" w:name="_heading=h.gjdgxs" w:id="2"/>
      <w:bookmarkEnd w:id="2"/>
      <w:r w:rsidDel="00000000" w:rsidR="00000000" w:rsidRPr="00000000">
        <w:rPr>
          <w:rFonts w:ascii="Palatino Linotype" w:cs="Palatino Linotype" w:eastAsia="Palatino Linotype" w:hAnsi="Palatino Linotype"/>
          <w:i w:val="1"/>
          <w:sz w:val="22"/>
          <w:szCs w:val="22"/>
          <w:rtl w:val="0"/>
        </w:rPr>
        <w:t xml:space="preserve">“solicito las polizas de egresos marzo 2025." </w:t>
      </w:r>
    </w:p>
    <w:p w:rsidR="00000000" w:rsidDel="00000000" w:rsidP="00000000" w:rsidRDefault="00000000" w:rsidRPr="00000000" w14:paraId="00000006">
      <w:pPr>
        <w:spacing w:after="240" w:before="240" w:line="360" w:lineRule="auto"/>
        <w:ind w:right="49"/>
        <w:jc w:val="both"/>
        <w:rPr>
          <w:rFonts w:ascii="Palatino Linotype" w:cs="Palatino Linotype" w:eastAsia="Palatino Linotype" w:hAnsi="Palatino Linotype"/>
          <w:sz w:val="22"/>
          <w:szCs w:val="22"/>
        </w:rPr>
      </w:pPr>
      <w:bookmarkStart w:colFirst="0" w:colLast="0" w:name="_heading=h.3dy6vkm" w:id="3"/>
      <w:bookmarkEnd w:id="3"/>
      <w:r w:rsidDel="00000000" w:rsidR="00000000" w:rsidRPr="00000000">
        <w:rPr>
          <w:rFonts w:ascii="Palatino Linotype" w:cs="Palatino Linotype" w:eastAsia="Palatino Linotype" w:hAnsi="Palatino Linotype"/>
          <w:b w:val="1"/>
          <w:sz w:val="22"/>
          <w:szCs w:val="22"/>
          <w:rtl w:val="0"/>
        </w:rPr>
        <w:t xml:space="preserve">Modalidad de Entrega:</w:t>
      </w:r>
      <w:r w:rsidDel="00000000" w:rsidR="00000000" w:rsidRPr="00000000">
        <w:rPr>
          <w:rFonts w:ascii="Palatino Linotype" w:cs="Palatino Linotype" w:eastAsia="Palatino Linotype" w:hAnsi="Palatino Linotype"/>
          <w:sz w:val="22"/>
          <w:szCs w:val="22"/>
          <w:rtl w:val="0"/>
        </w:rPr>
        <w:t xml:space="preserve"> a través del Sistema de Acceso a la Información Mexiquense (SAIMEX).</w:t>
      </w:r>
    </w:p>
    <w:p w:rsidR="00000000" w:rsidDel="00000000" w:rsidP="00000000" w:rsidRDefault="00000000" w:rsidRPr="00000000" w14:paraId="00000007">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2. Ampliación de plazo para emitir respuesta: </w:t>
      </w:r>
      <w:r w:rsidDel="00000000" w:rsidR="00000000" w:rsidRPr="00000000">
        <w:rPr>
          <w:rFonts w:ascii="Palatino Linotype" w:cs="Palatino Linotype" w:eastAsia="Palatino Linotype" w:hAnsi="Palatino Linotype"/>
          <w:sz w:val="22"/>
          <w:szCs w:val="22"/>
          <w:rtl w:val="0"/>
        </w:rPr>
        <w:t xml:space="preserve">En fecha </w:t>
      </w:r>
      <w:r w:rsidDel="00000000" w:rsidR="00000000" w:rsidRPr="00000000">
        <w:rPr>
          <w:rFonts w:ascii="Palatino Linotype" w:cs="Palatino Linotype" w:eastAsia="Palatino Linotype" w:hAnsi="Palatino Linotype"/>
          <w:b w:val="1"/>
          <w:sz w:val="22"/>
          <w:szCs w:val="22"/>
          <w:rtl w:val="0"/>
        </w:rPr>
        <w:t xml:space="preserve">diez de junio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solicitó una ampliación de plazo para emitir respuesta. </w:t>
      </w:r>
    </w:p>
    <w:p w:rsidR="00000000" w:rsidDel="00000000" w:rsidP="00000000" w:rsidRDefault="00000000" w:rsidRPr="00000000" w14:paraId="00000008">
      <w:pPr>
        <w:spacing w:after="240" w:before="240" w:line="360" w:lineRule="auto"/>
        <w:ind w:right="49"/>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3. Respuesta.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diecinueve de junio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envió su respuesta a la solicitud de acceso a la información a través de SAIMEX, la cual fue previamente del conocimiento de las partes. </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4. 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el</w:t>
      </w:r>
      <w:r w:rsidDel="00000000" w:rsidR="00000000" w:rsidRPr="00000000">
        <w:rPr>
          <w:rFonts w:ascii="Palatino Linotype" w:cs="Palatino Linotype" w:eastAsia="Palatino Linotype" w:hAnsi="Palatino Linotype"/>
          <w:b w:val="1"/>
          <w:sz w:val="22"/>
          <w:szCs w:val="22"/>
          <w:rtl w:val="0"/>
        </w:rPr>
        <w:t xml:space="preserve"> diecinueve de junio de dos mil veinticinco,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interpuso el recurso de revisión a través de </w:t>
      </w:r>
      <w:r w:rsidDel="00000000" w:rsidR="00000000" w:rsidRPr="00000000">
        <w:rPr>
          <w:rFonts w:ascii="Palatino Linotype" w:cs="Palatino Linotype" w:eastAsia="Palatino Linotype" w:hAnsi="Palatino Linotype"/>
          <w:b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en donde se manifestó de la siguiente manera:</w:t>
      </w:r>
      <w:r w:rsidDel="00000000" w:rsidR="00000000" w:rsidRPr="00000000">
        <w:rPr>
          <w:rtl w:val="0"/>
        </w:rPr>
      </w:r>
    </w:p>
    <w:p w:rsidR="00000000" w:rsidDel="00000000" w:rsidP="00000000" w:rsidRDefault="00000000" w:rsidRPr="00000000" w14:paraId="0000000A">
      <w:pPr>
        <w:tabs>
          <w:tab w:val="left" w:leader="none" w:pos="2745"/>
        </w:tabs>
        <w:spacing w:after="240" w:before="240" w:line="276" w:lineRule="auto"/>
        <w:ind w:left="567"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 Acto impugnado: </w:t>
      </w:r>
      <w:r w:rsidDel="00000000" w:rsidR="00000000" w:rsidRPr="00000000">
        <w:rPr>
          <w:rFonts w:ascii="Palatino Linotype" w:cs="Palatino Linotype" w:eastAsia="Palatino Linotype" w:hAnsi="Palatino Linotype"/>
          <w:i w:val="1"/>
          <w:sz w:val="22"/>
          <w:szCs w:val="22"/>
          <w:rtl w:val="0"/>
        </w:rPr>
        <w:t xml:space="preserve">“NO ENTREGA INFORMACION.” </w:t>
      </w:r>
      <w:r w:rsidDel="00000000" w:rsidR="00000000" w:rsidRPr="00000000">
        <w:rPr>
          <w:rtl w:val="0"/>
        </w:rPr>
      </w:r>
    </w:p>
    <w:p w:rsidR="00000000" w:rsidDel="00000000" w:rsidP="00000000" w:rsidRDefault="00000000" w:rsidRPr="00000000" w14:paraId="0000000B">
      <w:pPr>
        <w:spacing w:line="276" w:lineRule="auto"/>
        <w:ind w:left="567" w:right="900" w:firstLine="0"/>
        <w:jc w:val="both"/>
        <w:rPr>
          <w:rFonts w:ascii="Palatino Linotype" w:cs="Palatino Linotype" w:eastAsia="Palatino Linotype" w:hAnsi="Palatino Linotype"/>
          <w:sz w:val="22"/>
          <w:szCs w:val="22"/>
        </w:rPr>
      </w:pPr>
      <w:bookmarkStart w:colFirst="0" w:colLast="0" w:name="_heading=h.30j0zll" w:id="4"/>
      <w:bookmarkEnd w:id="4"/>
      <w:r w:rsidDel="00000000" w:rsidR="00000000" w:rsidRPr="00000000">
        <w:rPr>
          <w:rFonts w:ascii="Palatino Linotype" w:cs="Palatino Linotype" w:eastAsia="Palatino Linotype" w:hAnsi="Palatino Linotype"/>
          <w:b w:val="1"/>
          <w:sz w:val="22"/>
          <w:szCs w:val="22"/>
          <w:rtl w:val="0"/>
        </w:rPr>
        <w:t xml:space="preserve">b) Razones o motivos de inconformidad</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“NO ENTREGA INFORMACION ESE NO ES EL SOPORTE”. </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0C">
      <w:pPr>
        <w:spacing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0D">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5. 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2"/>
          <w:szCs w:val="22"/>
          <w:rtl w:val="0"/>
        </w:rPr>
        <w:t xml:space="preserve">Guadalupe Ramírez Peña, </w:t>
      </w:r>
      <w:r w:rsidDel="00000000" w:rsidR="00000000" w:rsidRPr="00000000">
        <w:rPr>
          <w:rFonts w:ascii="Palatino Linotype" w:cs="Palatino Linotype" w:eastAsia="Palatino Linotype" w:hAnsi="Palatino Linotype"/>
          <w:sz w:val="22"/>
          <w:szCs w:val="22"/>
          <w:rtl w:val="0"/>
        </w:rPr>
        <w:t xml:space="preserve">a efecto de que analizara sobre su admisión o su desechamiento.</w:t>
      </w:r>
    </w:p>
    <w:p w:rsidR="00000000" w:rsidDel="00000000" w:rsidP="00000000" w:rsidRDefault="00000000" w:rsidRPr="00000000" w14:paraId="0000000E">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6. Admisión del Recurso de revisión.</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veinticuatro de junio de dos mil veinticinco, </w:t>
      </w:r>
      <w:r w:rsidDel="00000000" w:rsidR="00000000" w:rsidRPr="00000000">
        <w:rPr>
          <w:rFonts w:ascii="Palatino Linotype" w:cs="Palatino Linotype" w:eastAsia="Palatino Linotype" w:hAnsi="Palatino Linotype"/>
          <w:sz w:val="22"/>
          <w:szCs w:val="22"/>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presentara su informe justificado.</w:t>
      </w:r>
    </w:p>
    <w:p w:rsidR="00000000" w:rsidDel="00000000" w:rsidP="00000000" w:rsidRDefault="00000000" w:rsidRPr="00000000" w14:paraId="0000001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bookmarkStart w:colFirst="0" w:colLast="0" w:name="_heading=h.2s8eyo1" w:id="5"/>
      <w:bookmarkEnd w:id="5"/>
      <w:r w:rsidDel="00000000" w:rsidR="00000000" w:rsidRPr="00000000">
        <w:rPr>
          <w:rFonts w:ascii="Palatino Linotype" w:cs="Palatino Linotype" w:eastAsia="Palatino Linotype" w:hAnsi="Palatino Linotype"/>
          <w:b w:val="1"/>
          <w:sz w:val="22"/>
          <w:szCs w:val="22"/>
          <w:rtl w:val="0"/>
        </w:rPr>
        <w:t xml:space="preserve">7. Manifestaciones</w:t>
      </w:r>
      <w:r w:rsidDel="00000000" w:rsidR="00000000" w:rsidRPr="00000000">
        <w:rPr>
          <w:rFonts w:ascii="Palatino Linotype" w:cs="Palatino Linotype" w:eastAsia="Palatino Linotype" w:hAnsi="Palatino Linotype"/>
          <w:sz w:val="22"/>
          <w:szCs w:val="22"/>
          <w:rtl w:val="0"/>
        </w:rPr>
        <w:t xml:space="preserve">. Las partes fueron omisas en rendir manifestaciones. </w:t>
      </w:r>
    </w:p>
    <w:p w:rsidR="00000000" w:rsidDel="00000000" w:rsidP="00000000" w:rsidRDefault="00000000" w:rsidRPr="00000000" w14:paraId="00000012">
      <w:pPr>
        <w:spacing w:after="240" w:before="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8. Cierre de instrucción. </w:t>
      </w:r>
      <w:r w:rsidDel="00000000" w:rsidR="00000000" w:rsidRPr="00000000">
        <w:rPr>
          <w:rFonts w:ascii="Palatino Linotype" w:cs="Palatino Linotype" w:eastAsia="Palatino Linotype" w:hAnsi="Palatino Linotype"/>
          <w:sz w:val="22"/>
          <w:szCs w:val="22"/>
          <w:rtl w:val="0"/>
        </w:rPr>
        <w:t xml:space="preserve">Una vez transcurrido el periodo otorgado a las partes para realizar sus manifestaciones y no habiendo documentos que integrar al expediente, con fecha </w:t>
      </w:r>
      <w:r w:rsidDel="00000000" w:rsidR="00000000" w:rsidRPr="00000000">
        <w:rPr>
          <w:rFonts w:ascii="Palatino Linotype" w:cs="Palatino Linotype" w:eastAsia="Palatino Linotype" w:hAnsi="Palatino Linotype"/>
          <w:b w:val="1"/>
          <w:sz w:val="22"/>
          <w:szCs w:val="22"/>
          <w:rtl w:val="0"/>
        </w:rPr>
        <w:t xml:space="preserve">tres de septiembre de dos mil veinticinco,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13">
      <w:pPr>
        <w:spacing w:after="240" w:before="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9.</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Ampliación de plazo: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tres de septiembre de dos mil veinticinco</w:t>
      </w:r>
      <w:r w:rsidDel="00000000" w:rsidR="00000000" w:rsidRPr="00000000">
        <w:rPr>
          <w:rFonts w:ascii="Palatino Linotype" w:cs="Palatino Linotype" w:eastAsia="Palatino Linotype" w:hAnsi="Palatino Linotype"/>
          <w:sz w:val="22"/>
          <w:szCs w:val="22"/>
          <w:rtl w:val="0"/>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14">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5">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Este organismo garante no pasa por alto justificar, que el plazo para emitir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16">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7">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18">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19">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1A">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B">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000000" w:rsidDel="00000000" w:rsidP="00000000" w:rsidRDefault="00000000" w:rsidRPr="00000000" w14:paraId="0000001C">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D">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excepcionalmente, si un asunto es resuelto con posterioridad a los plazos señalados por la norma debe analizarse la razonabilidad del tiempo necesario para su resolución, atentos a los siguientes criterios:  </w:t>
      </w:r>
    </w:p>
    <w:p w:rsidR="00000000" w:rsidDel="00000000" w:rsidP="00000000" w:rsidRDefault="00000000" w:rsidRPr="00000000" w14:paraId="0000001E">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F">
      <w:pPr>
        <w:tabs>
          <w:tab w:val="left" w:leader="none" w:pos="709"/>
        </w:tabs>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a)    Complejidad del asunto:</w:t>
      </w:r>
      <w:r w:rsidDel="00000000" w:rsidR="00000000" w:rsidRPr="00000000">
        <w:rPr>
          <w:rFonts w:ascii="Palatino Linotype" w:cs="Palatino Linotype" w:eastAsia="Palatino Linotype" w:hAnsi="Palatino Linotype"/>
          <w:sz w:val="22"/>
          <w:szCs w:val="22"/>
          <w:rtl w:val="0"/>
        </w:rPr>
        <w:t xml:space="preserve"> La complejidad de la prueba, la pluralidad de sujetos procesales, el tiempo transcurrido, las características y contexto del recurso.</w:t>
      </w:r>
    </w:p>
    <w:p w:rsidR="00000000" w:rsidDel="00000000" w:rsidP="00000000" w:rsidRDefault="00000000" w:rsidRPr="00000000" w14:paraId="00000020">
      <w:pPr>
        <w:tabs>
          <w:tab w:val="left" w:leader="none" w:pos="709"/>
        </w:tabs>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b)   Actividad Procesal del interesado</w:t>
      </w:r>
      <w:r w:rsidDel="00000000" w:rsidR="00000000" w:rsidRPr="00000000">
        <w:rPr>
          <w:rFonts w:ascii="Palatino Linotype" w:cs="Palatino Linotype" w:eastAsia="Palatino Linotype" w:hAnsi="Palatino Linotype"/>
          <w:sz w:val="22"/>
          <w:szCs w:val="22"/>
          <w:rtl w:val="0"/>
        </w:rPr>
        <w:t xml:space="preserve">: Acciones u omisiones del interesado.</w:t>
      </w:r>
    </w:p>
    <w:p w:rsidR="00000000" w:rsidDel="00000000" w:rsidP="00000000" w:rsidRDefault="00000000" w:rsidRPr="00000000" w14:paraId="00000021">
      <w:pPr>
        <w:tabs>
          <w:tab w:val="left" w:leader="none" w:pos="851"/>
        </w:tabs>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  Conducta de la Autoridad:</w:t>
      </w:r>
      <w:r w:rsidDel="00000000" w:rsidR="00000000" w:rsidRPr="00000000">
        <w:rPr>
          <w:rFonts w:ascii="Palatino Linotype" w:cs="Palatino Linotype" w:eastAsia="Palatino Linotype" w:hAnsi="Palatino Linotype"/>
          <w:sz w:val="22"/>
          <w:szCs w:val="22"/>
          <w:rtl w:val="0"/>
        </w:rPr>
        <w:t xml:space="preserve"> Las Acciones u omisiones realizadas en el procedimiento. Así como si la autoridad actuó con la debida diligencia.</w:t>
      </w:r>
    </w:p>
    <w:p w:rsidR="00000000" w:rsidDel="00000000" w:rsidP="00000000" w:rsidRDefault="00000000" w:rsidRPr="00000000" w14:paraId="00000022">
      <w:pPr>
        <w:tabs>
          <w:tab w:val="left" w:leader="none" w:pos="851"/>
        </w:tabs>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d) La afectación generada en la situación jurídica de la persona involucrada en el proceso:</w:t>
      </w:r>
      <w:r w:rsidDel="00000000" w:rsidR="00000000" w:rsidRPr="00000000">
        <w:rPr>
          <w:rFonts w:ascii="Palatino Linotype" w:cs="Palatino Linotype" w:eastAsia="Palatino Linotype" w:hAnsi="Palatino Linotype"/>
          <w:sz w:val="22"/>
          <w:szCs w:val="22"/>
          <w:rtl w:val="0"/>
        </w:rPr>
        <w:t xml:space="preserve"> Violación a sus derechos humanos.</w:t>
      </w:r>
    </w:p>
    <w:p w:rsidR="00000000" w:rsidDel="00000000" w:rsidP="00000000" w:rsidRDefault="00000000" w:rsidRPr="00000000" w14:paraId="00000023">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4">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25">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6">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b w:val="1"/>
          <w:sz w:val="22"/>
          <w:szCs w:val="22"/>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sz w:val="22"/>
          <w:szCs w:val="22"/>
          <w:rtl w:val="0"/>
        </w:rPr>
        <w:t xml:space="preserve">, visible en la Gaceta del Seminario Judicial de la Federación con el registro digital 205635.</w:t>
      </w:r>
    </w:p>
    <w:p w:rsidR="00000000" w:rsidDel="00000000" w:rsidP="00000000" w:rsidRDefault="00000000" w:rsidRPr="00000000" w14:paraId="00000027">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28">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29">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A">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2B">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2C">
      <w:pPr>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 “PLAZO RAZONABLE PARA RESOLVER. DIMENSIÓN Y EFECTOS DE ESTE CONCEPTO CUANDO SE ADUCE EXCESIVA CARGA DE TRABAJO.”</w:t>
      </w:r>
      <w:r w:rsidDel="00000000" w:rsidR="00000000" w:rsidRPr="00000000">
        <w:rPr>
          <w:rFonts w:ascii="Palatino Linotype" w:cs="Palatino Linotype" w:eastAsia="Palatino Linotype" w:hAnsi="Palatino Linotype"/>
          <w:sz w:val="22"/>
          <w:szCs w:val="22"/>
          <w:rtl w:val="0"/>
        </w:rPr>
        <w:t xml:space="preserve"> consultable en el Seminario Judicial de la Federación y su gaceta, con el registro digital 2002351.</w:t>
      </w:r>
    </w:p>
    <w:p w:rsidR="00000000" w:rsidDel="00000000" w:rsidP="00000000" w:rsidRDefault="00000000" w:rsidRPr="00000000" w14:paraId="0000002D">
      <w:pPr>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2E">
      <w:pPr>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sz w:val="22"/>
          <w:szCs w:val="22"/>
          <w:rtl w:val="0"/>
        </w:rPr>
        <w:t xml:space="preserve"> visible en el Seminario Judicial de la Federación y su gaceta, con el registro digital 2002350.</w:t>
      </w:r>
    </w:p>
    <w:p w:rsidR="00000000" w:rsidDel="00000000" w:rsidP="00000000" w:rsidRDefault="00000000" w:rsidRPr="00000000" w14:paraId="0000002F">
      <w:pPr>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33">
      <w:pPr>
        <w:widowControl w:val="0"/>
        <w:spacing w:after="240" w:before="240"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 C O N S I D E R A N D O S</w:t>
      </w:r>
    </w:p>
    <w:p w:rsidR="00000000" w:rsidDel="00000000" w:rsidP="00000000" w:rsidRDefault="00000000" w:rsidRPr="00000000" w14:paraId="0000003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w:t>
      </w:r>
      <w:r w:rsidDel="00000000" w:rsidR="00000000" w:rsidRPr="00000000">
        <w:rPr>
          <w:rFonts w:ascii="Palatino Linotype" w:cs="Palatino Linotype" w:eastAsia="Palatino Linotype" w:hAnsi="Palatino Linotype"/>
          <w:sz w:val="22"/>
          <w:szCs w:val="22"/>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3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6">
      <w:pPr>
        <w:spacing w:line="360" w:lineRule="auto"/>
        <w:jc w:val="both"/>
        <w:rPr>
          <w:rFonts w:ascii="Palatino Linotype" w:cs="Palatino Linotype" w:eastAsia="Palatino Linotype" w:hAnsi="Palatino Linotype"/>
          <w:sz w:val="22"/>
          <w:szCs w:val="22"/>
        </w:rPr>
      </w:pPr>
      <w:bookmarkStart w:colFirst="0" w:colLast="0" w:name="_heading=h.tyjcwt" w:id="6"/>
      <w:bookmarkEnd w:id="6"/>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3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8">
      <w:pPr>
        <w:spacing w:line="360" w:lineRule="auto"/>
        <w:jc w:val="both"/>
        <w:rPr>
          <w:rFonts w:ascii="Palatino Linotype" w:cs="Palatino Linotype" w:eastAsia="Palatino Linotype" w:hAnsi="Palatino Linotype"/>
          <w:sz w:val="22"/>
          <w:szCs w:val="22"/>
        </w:rPr>
      </w:pPr>
      <w:bookmarkStart w:colFirst="0" w:colLast="0" w:name="_heading=h.ubqng5mhc65" w:id="7"/>
      <w:bookmarkEnd w:id="7"/>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remitió la respuesta a la solicitud de información el </w:t>
      </w:r>
      <w:r w:rsidDel="00000000" w:rsidR="00000000" w:rsidRPr="00000000">
        <w:rPr>
          <w:rFonts w:ascii="Palatino Linotype" w:cs="Palatino Linotype" w:eastAsia="Palatino Linotype" w:hAnsi="Palatino Linotype"/>
          <w:b w:val="1"/>
          <w:sz w:val="22"/>
          <w:szCs w:val="22"/>
          <w:rtl w:val="0"/>
        </w:rPr>
        <w:t xml:space="preserve">diecinueve de junio de dos mil veinticinco, </w:t>
      </w:r>
      <w:r w:rsidDel="00000000" w:rsidR="00000000" w:rsidRPr="00000000">
        <w:rPr>
          <w:rFonts w:ascii="Palatino Linotype" w:cs="Palatino Linotype" w:eastAsia="Palatino Linotype" w:hAnsi="Palatino Linotype"/>
          <w:sz w:val="22"/>
          <w:szCs w:val="22"/>
          <w:rtl w:val="0"/>
        </w:rPr>
        <w:t xml:space="preserve">mientras que el recurso de revisión interpuesto por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se tuvo por presentado el </w:t>
      </w:r>
      <w:r w:rsidDel="00000000" w:rsidR="00000000" w:rsidRPr="00000000">
        <w:rPr>
          <w:rFonts w:ascii="Palatino Linotype" w:cs="Palatino Linotype" w:eastAsia="Palatino Linotype" w:hAnsi="Palatino Linotype"/>
          <w:b w:val="1"/>
          <w:sz w:val="22"/>
          <w:szCs w:val="22"/>
          <w:rtl w:val="0"/>
        </w:rPr>
        <w:t xml:space="preserve">diecinueve de junio de dos mil veinticinco</w:t>
      </w:r>
      <w:r w:rsidDel="00000000" w:rsidR="00000000" w:rsidRPr="00000000">
        <w:rPr>
          <w:rFonts w:ascii="Palatino Linotype" w:cs="Palatino Linotype" w:eastAsia="Palatino Linotype" w:hAnsi="Palatino Linotype"/>
          <w:sz w:val="22"/>
          <w:szCs w:val="22"/>
          <w:rtl w:val="0"/>
        </w:rPr>
        <w:t xml:space="preserve"> esto es, el mismo día </w:t>
      </w:r>
      <w:r w:rsidDel="00000000" w:rsidR="00000000" w:rsidRPr="00000000">
        <w:rPr>
          <w:rFonts w:ascii="Palatino Linotype" w:cs="Palatino Linotype" w:eastAsia="Palatino Linotype" w:hAnsi="Palatino Linotype"/>
          <w:b w:val="1"/>
          <w:sz w:val="22"/>
          <w:szCs w:val="22"/>
          <w:rtl w:val="0"/>
        </w:rPr>
        <w:t xml:space="preserve">en que se tuvo conocimiento de la respuesta impugnada</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Sin que contraríe a lo anterior, el artículo 178 de la Ley de Transparencia, refiere que el plazo de quince días hábiles se contará </w:t>
      </w:r>
      <w:r w:rsidDel="00000000" w:rsidR="00000000" w:rsidRPr="00000000">
        <w:rPr>
          <w:rFonts w:ascii="Palatino Linotype" w:cs="Palatino Linotype" w:eastAsia="Palatino Linotype" w:hAnsi="Palatino Linotype"/>
          <w:b w:val="1"/>
          <w:sz w:val="22"/>
          <w:szCs w:val="22"/>
          <w:rtl w:val="0"/>
        </w:rPr>
        <w:t xml:space="preserve">a partir del día siguiente de la fecha en que el afectado tuvo conocimiento de la resolución</w:t>
      </w:r>
      <w:r w:rsidDel="00000000" w:rsidR="00000000" w:rsidRPr="00000000">
        <w:rPr>
          <w:rFonts w:ascii="Palatino Linotype" w:cs="Palatino Linotype" w:eastAsia="Palatino Linotype" w:hAnsi="Palatino Linotype"/>
          <w:sz w:val="22"/>
          <w:szCs w:val="22"/>
          <w:rtl w:val="0"/>
        </w:rPr>
        <w:t xml:space="preserve"> materia de impugnación, ya que ello debe entenderse para el efecto de que transcurrido dicho plazo ya no podrá presentarse el medio de impugnación o si es que se presenta, el mismo se considerará extemporáneo, </w:t>
      </w:r>
      <w:r w:rsidDel="00000000" w:rsidR="00000000" w:rsidRPr="00000000">
        <w:rPr>
          <w:rFonts w:ascii="Palatino Linotype" w:cs="Palatino Linotype" w:eastAsia="Palatino Linotype" w:hAnsi="Palatino Linotype"/>
          <w:b w:val="1"/>
          <w:sz w:val="22"/>
          <w:szCs w:val="22"/>
          <w:rtl w:val="0"/>
        </w:rPr>
        <w:t xml:space="preserve">no así cuando el medio de defensa se interponga antes de que comience a correr el plazo legal;</w:t>
      </w:r>
      <w:r w:rsidDel="00000000" w:rsidR="00000000" w:rsidRPr="00000000">
        <w:rPr>
          <w:rFonts w:ascii="Palatino Linotype" w:cs="Palatino Linotype" w:eastAsia="Palatino Linotype" w:hAnsi="Palatino Linotype"/>
          <w:sz w:val="22"/>
          <w:szCs w:val="22"/>
          <w:rtl w:val="0"/>
        </w:rPr>
        <w:t xml:space="preserve"> tiene aplicación por analogía, la jurisprudencia 1ª. /J.41/2015, publicada en el Semanario Judicial de la Federación y su Gaceta, Libro 19, Junio de 2015, Tomo I, página 569 de la Décima época que lleva por rubro y texto los siguientes:</w:t>
      </w:r>
    </w:p>
    <w:p w:rsidR="00000000" w:rsidDel="00000000" w:rsidP="00000000" w:rsidRDefault="00000000" w:rsidRPr="00000000" w14:paraId="0000003B">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RECURSO DE RECLAMACIÓN. SU INTERPOSICIÓN NO ES EXTEMPORÁNEA SI SE REALIZA ANTES DE QUE INICIE EL PLAZO PARA HACERLO</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D">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000000" w:rsidDel="00000000" w:rsidP="00000000" w:rsidRDefault="00000000" w:rsidRPr="00000000" w14:paraId="0000003E">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F">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sentido, se concluye que el presente recurso de revisión se encuentra dentro de los márgenes temporales previstos en las disposiciones legales referidas.</w:t>
      </w:r>
    </w:p>
    <w:p w:rsidR="00000000" w:rsidDel="00000000" w:rsidP="00000000" w:rsidRDefault="00000000" w:rsidRPr="00000000" w14:paraId="00000040">
      <w:pPr>
        <w:tabs>
          <w:tab w:val="left" w:leader="none" w:pos="7938"/>
        </w:tabs>
        <w:spacing w:line="360" w:lineRule="auto"/>
        <w:jc w:val="both"/>
        <w:rPr>
          <w:rFonts w:ascii="Palatino Linotype" w:cs="Palatino Linotype" w:eastAsia="Palatino Linotype" w:hAnsi="Palatino Linotype"/>
          <w:sz w:val="22"/>
          <w:szCs w:val="22"/>
        </w:rPr>
      </w:pPr>
      <w:bookmarkStart w:colFirst="0" w:colLast="0" w:name="_heading=h.3znysh7" w:id="8"/>
      <w:bookmarkEnd w:id="8"/>
      <w:r w:rsidDel="00000000" w:rsidR="00000000" w:rsidRPr="00000000">
        <w:rPr>
          <w:rFonts w:ascii="Palatino Linotype" w:cs="Palatino Linotype" w:eastAsia="Palatino Linotype" w:hAnsi="Palatino Linotype"/>
          <w:sz w:val="22"/>
          <w:szCs w:val="22"/>
          <w:rtl w:val="0"/>
        </w:rPr>
        <w:t xml:space="preserve">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4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2">
      <w:pPr>
        <w:spacing w:line="360" w:lineRule="auto"/>
        <w:jc w:val="both"/>
        <w:rPr>
          <w:rFonts w:ascii="Palatino Linotype" w:cs="Palatino Linotype" w:eastAsia="Palatino Linotype" w:hAnsi="Palatino Linotype"/>
          <w:sz w:val="22"/>
          <w:szCs w:val="22"/>
        </w:rPr>
      </w:pPr>
      <w:bookmarkStart w:colFirst="0" w:colLast="0" w:name="_heading=h.7fh9zjteb3xt" w:id="9"/>
      <w:bookmarkEnd w:id="9"/>
      <w:r w:rsidDel="00000000" w:rsidR="00000000" w:rsidRPr="00000000">
        <w:rPr>
          <w:rFonts w:ascii="Palatino Linotype" w:cs="Palatino Linotype" w:eastAsia="Palatino Linotype" w:hAnsi="Palatino Linotype"/>
          <w:sz w:val="22"/>
          <w:szCs w:val="22"/>
          <w:rtl w:val="0"/>
        </w:rPr>
        <w:t xml:space="preserve">A efecto de sustentar lo anterior, es de suma importancia mencionar que si bien la persona solicitante </w:t>
      </w:r>
      <w:r w:rsidDel="00000000" w:rsidR="00000000" w:rsidRPr="00000000">
        <w:rPr>
          <w:rFonts w:ascii="Palatino Linotype" w:cs="Palatino Linotype" w:eastAsia="Palatino Linotype" w:hAnsi="Palatino Linotype"/>
          <w:b w:val="1"/>
          <w:sz w:val="22"/>
          <w:szCs w:val="22"/>
          <w:rtl w:val="0"/>
        </w:rPr>
        <w:t xml:space="preserve">no proporcionó un nombre, </w:t>
      </w:r>
      <w:r w:rsidDel="00000000" w:rsidR="00000000" w:rsidRPr="00000000">
        <w:rPr>
          <w:rFonts w:ascii="Palatino Linotype" w:cs="Palatino Linotype" w:eastAsia="Palatino Linotype" w:hAnsi="Palatino Linotype"/>
          <w:sz w:val="22"/>
          <w:szCs w:val="22"/>
          <w:rtl w:val="0"/>
        </w:rPr>
        <w:t xml:space="preserve">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4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4">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solicitudes anónimas,</w:t>
      </w:r>
      <w:r w:rsidDel="00000000" w:rsidR="00000000" w:rsidRPr="00000000">
        <w:rPr>
          <w:rFonts w:ascii="Palatino Linotype" w:cs="Palatino Linotype" w:eastAsia="Palatino Linotype" w:hAnsi="Palatino Linotype"/>
          <w:i w:val="1"/>
          <w:sz w:val="22"/>
          <w:szCs w:val="22"/>
          <w:rtl w:val="0"/>
        </w:rPr>
        <w:t xml:space="preserve"> con nombre incompleto o seudónimo</w:t>
      </w:r>
      <w:r w:rsidDel="00000000" w:rsidR="00000000" w:rsidRPr="00000000">
        <w:rPr>
          <w:rFonts w:ascii="Palatino Linotype" w:cs="Palatino Linotype" w:eastAsia="Palatino Linotype" w:hAnsi="Palatino Linotype"/>
          <w:b w:val="1"/>
          <w:i w:val="1"/>
          <w:sz w:val="22"/>
          <w:szCs w:val="22"/>
          <w:rtl w:val="0"/>
        </w:rPr>
        <w:t xml:space="preserve"> serán procedentes para su trámite por parte del sujeto obligado ante quien se presente</w:t>
      </w:r>
      <w:r w:rsidDel="00000000" w:rsidR="00000000" w:rsidRPr="00000000">
        <w:rPr>
          <w:rFonts w:ascii="Palatino Linotype" w:cs="Palatino Linotype" w:eastAsia="Palatino Linotype" w:hAnsi="Palatino Linotype"/>
          <w:i w:val="1"/>
          <w:sz w:val="22"/>
          <w:szCs w:val="22"/>
          <w:rtl w:val="0"/>
        </w:rPr>
        <w:t xml:space="preserve">. No podrá requerirse información adicional con motivo del nombre proporcionado por el solicitante."</w:t>
      </w:r>
    </w:p>
    <w:p w:rsidR="00000000" w:rsidDel="00000000" w:rsidP="00000000" w:rsidRDefault="00000000" w:rsidRPr="00000000" w14:paraId="0000004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se advierte que resulta procedente la interposición del recurso, según lo manifestado por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sus motivos de inconformidad, de acuerdo al artículo 179, fracción </w:t>
      </w:r>
      <w:r w:rsidDel="00000000" w:rsidR="00000000" w:rsidRPr="00000000">
        <w:rPr>
          <w:rFonts w:ascii="Palatino Linotype" w:cs="Palatino Linotype" w:eastAsia="Palatino Linotype" w:hAnsi="Palatino Linotype"/>
          <w:b w:val="1"/>
          <w:sz w:val="22"/>
          <w:szCs w:val="22"/>
          <w:rtl w:val="0"/>
        </w:rPr>
        <w:t xml:space="preserve">I</w:t>
      </w:r>
      <w:r w:rsidDel="00000000" w:rsidR="00000000" w:rsidRPr="00000000">
        <w:rPr>
          <w:rFonts w:ascii="Palatino Linotype" w:cs="Palatino Linotype" w:eastAsia="Palatino Linotype" w:hAnsi="Palatino Linotype"/>
          <w:sz w:val="22"/>
          <w:szCs w:val="22"/>
          <w:rtl w:val="0"/>
        </w:rPr>
        <w:t xml:space="preserve"> del ordenamiento legal citado, que a la letra dice: </w:t>
      </w:r>
    </w:p>
    <w:p w:rsidR="00000000" w:rsidDel="00000000" w:rsidP="00000000" w:rsidRDefault="00000000" w:rsidRPr="00000000" w14:paraId="0000004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8">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49">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A">
      <w:pPr>
        <w:ind w:left="567"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La negativa de entrega de la información;</w:t>
      </w:r>
    </w:p>
    <w:p w:rsidR="00000000" w:rsidDel="00000000" w:rsidP="00000000" w:rsidRDefault="00000000" w:rsidRPr="00000000" w14:paraId="0000004B">
      <w:pPr>
        <w:ind w:left="567"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4C">
      <w:pPr>
        <w:ind w:left="567" w:firstLine="0"/>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4D">
      <w:pPr>
        <w:ind w:left="567" w:right="900" w:firstLine="0"/>
        <w:jc w:val="right"/>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4E">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Materia de Revisión</w:t>
      </w:r>
      <w:r w:rsidDel="00000000" w:rsidR="00000000" w:rsidRPr="00000000">
        <w:rPr>
          <w:rFonts w:ascii="Palatino Linotype" w:cs="Palatino Linotype" w:eastAsia="Palatino Linotype" w:hAnsi="Palatino Linotype"/>
          <w:sz w:val="22"/>
          <w:szCs w:val="22"/>
          <w:rtl w:val="0"/>
        </w:rPr>
        <w:t xml:space="preserve">: De las constancias que integran el expediente electrónico se advierte que el tema sobre el que este Instituto se pronunciará será en determinar si se actualiza la fracción I del artículo 179 de la Ley de Transparencia y Acceso a la Información Pública del Estado de México y Municipios.  </w:t>
      </w:r>
    </w:p>
    <w:p w:rsidR="00000000" w:rsidDel="00000000" w:rsidP="00000000" w:rsidRDefault="00000000" w:rsidRPr="00000000" w14:paraId="0000004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0">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Estudio de fondo del asunto.</w:t>
      </w:r>
      <w:r w:rsidDel="00000000" w:rsidR="00000000" w:rsidRPr="00000000">
        <w:rPr>
          <w:rFonts w:ascii="Palatino Linotype" w:cs="Palatino Linotype" w:eastAsia="Palatino Linotype" w:hAnsi="Palatino Linotype"/>
          <w:sz w:val="22"/>
          <w:szCs w:val="22"/>
          <w:rtl w:val="0"/>
        </w:rPr>
        <w:t xml:space="preserve">  Es conveniente analizar si la respuesta del Sujeto Obligado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51">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2">
      <w:pPr>
        <w:tabs>
          <w:tab w:val="left" w:leader="none" w:pos="851"/>
        </w:tabs>
        <w:ind w:left="567" w:right="4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53">
      <w:pPr>
        <w:tabs>
          <w:tab w:val="left" w:leader="none" w:pos="851"/>
        </w:tabs>
        <w:ind w:left="567" w:right="4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54">
      <w:pPr>
        <w:tabs>
          <w:tab w:val="left" w:leader="none" w:pos="851"/>
        </w:tabs>
        <w:ind w:left="567" w:right="4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5">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6">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57">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8">
      <w:pPr>
        <w:ind w:left="567" w:right="4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59">
      <w:pPr>
        <w:ind w:left="567" w:right="4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A">
      <w:pPr>
        <w:ind w:left="567" w:right="4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5B">
      <w:pPr>
        <w:ind w:left="567" w:right="4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C">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5D">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E">
      <w:pPr>
        <w:spacing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Sirve de apoyo a lo anterior, el criterio orientador 03-17, expuesto por el entonces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sz w:val="22"/>
          <w:szCs w:val="22"/>
          <w:rtl w:val="0"/>
        </w:rPr>
        <w:t xml:space="preserve"> </w:t>
      </w:r>
    </w:p>
    <w:p w:rsidR="00000000" w:rsidDel="00000000" w:rsidP="00000000" w:rsidRDefault="00000000" w:rsidRPr="00000000" w14:paraId="0000005F">
      <w:pPr>
        <w:ind w:left="851" w:right="4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0">
      <w:pPr>
        <w:ind w:left="567" w:right="4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61">
      <w:pPr>
        <w:spacing w:line="360" w:lineRule="auto"/>
        <w:ind w:left="567" w:right="4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2">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63">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4">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65">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6">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67">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8">
      <w:pPr>
        <w:ind w:left="567" w:right="4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69">
      <w:pPr>
        <w:ind w:left="567" w:right="4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A">
      <w:pPr>
        <w:ind w:left="567" w:right="4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6B">
      <w:pPr>
        <w:spacing w:line="360" w:lineRule="auto"/>
        <w:ind w:left="851" w:right="4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C">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6D">
      <w:pPr>
        <w:spacing w:line="360" w:lineRule="auto"/>
        <w:ind w:left="851" w:right="4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E">
      <w:pPr>
        <w:tabs>
          <w:tab w:val="left" w:leader="none" w:pos="7797"/>
        </w:tabs>
        <w:ind w:left="709" w:right="4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6F">
      <w:pPr>
        <w:tabs>
          <w:tab w:val="left" w:leader="none" w:pos="7797"/>
        </w:tabs>
        <w:ind w:left="709" w:right="4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70">
      <w:pPr>
        <w:tabs>
          <w:tab w:val="left" w:leader="none" w:pos="7797"/>
        </w:tabs>
        <w:ind w:left="709" w:right="4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71">
      <w:pPr>
        <w:tabs>
          <w:tab w:val="left" w:leader="none" w:pos="7797"/>
        </w:tabs>
        <w:ind w:left="709" w:right="4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72">
      <w:pPr>
        <w:tabs>
          <w:tab w:val="left" w:leader="none" w:pos="7797"/>
        </w:tabs>
        <w:ind w:left="709" w:right="4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73">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4">
      <w:pPr>
        <w:spacing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Dicho lo anterior, es de recordar que la parte Solicitante requirió las pólizas de egresos de marzo de dos mil veinticinco.  </w:t>
      </w:r>
      <w:r w:rsidDel="00000000" w:rsidR="00000000" w:rsidRPr="00000000">
        <w:rPr>
          <w:rtl w:val="0"/>
        </w:rPr>
      </w:r>
    </w:p>
    <w:p w:rsidR="00000000" w:rsidDel="00000000" w:rsidP="00000000" w:rsidRDefault="00000000" w:rsidRPr="00000000" w14:paraId="00000075">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su respuesta, el Sujeto Obligado adjuntó la siguiente información:</w:t>
      </w:r>
    </w:p>
    <w:p w:rsidR="00000000" w:rsidDel="00000000" w:rsidP="00000000" w:rsidRDefault="00000000" w:rsidRPr="00000000" w14:paraId="0000007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40" w:line="360" w:lineRule="auto"/>
        <w:ind w:left="720" w:right="51"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de fecha dieciséis de junio de dos mil veinticinco, signado por el Tesorero Municipal, mediante el cual informa que, se remite en un formato txt las pólizas de egresos del mes de marzo de dos mil veinticinco. </w:t>
      </w:r>
    </w:p>
    <w:p w:rsidR="00000000" w:rsidDel="00000000" w:rsidP="00000000" w:rsidRDefault="00000000" w:rsidRPr="00000000" w14:paraId="000000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51"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de fecha diecinueve de junio de dos mil veinticinco, signado por el Titular de la Unidad de Transparencia, mediante el cual informa al solicitante que se remite la respuesta proporcionada por el área competente. </w:t>
      </w:r>
    </w:p>
    <w:p w:rsidR="00000000" w:rsidDel="00000000" w:rsidP="00000000" w:rsidRDefault="00000000" w:rsidRPr="00000000" w14:paraId="0000007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720" w:right="51"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Archivo txt relativo a las pólizas de egresos. </w:t>
      </w:r>
    </w:p>
    <w:p w:rsidR="00000000" w:rsidDel="00000000" w:rsidP="00000000" w:rsidRDefault="00000000" w:rsidRPr="00000000" w14:paraId="00000079">
      <w:pPr>
        <w:spacing w:after="280" w:before="28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Derivado de ello, la parte Recurrente se inconformó arguyendo la negativa de entrega de la información solicitada. </w:t>
      </w:r>
    </w:p>
    <w:p w:rsidR="00000000" w:rsidDel="00000000" w:rsidP="00000000" w:rsidRDefault="00000000" w:rsidRPr="00000000" w14:paraId="0000007A">
      <w:pPr>
        <w:spacing w:after="280" w:before="28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Las partes fueron omisas en rendir manifestaciones. </w:t>
      </w:r>
    </w:p>
    <w:p w:rsidR="00000000" w:rsidDel="00000000" w:rsidP="00000000" w:rsidRDefault="00000000" w:rsidRPr="00000000" w14:paraId="0000007B">
      <w:pPr>
        <w:spacing w:after="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 se procede a contextualizar la información solicitada, en primer término es de señalar que los artículos 342, 343, 344 y 345 del Código Financiero del Estado de México y Municipios mismos que disponen el sistema y las políticas que deben seguirse para llevar el registro contable y presupuestal de las operaciones financieras, en los siguientes términos:</w:t>
      </w:r>
    </w:p>
    <w:p w:rsidR="00000000" w:rsidDel="00000000" w:rsidP="00000000" w:rsidRDefault="00000000" w:rsidRPr="00000000" w14:paraId="0000007C">
      <w:pPr>
        <w:spacing w:before="0"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D">
      <w:pPr>
        <w:spacing w:after="0" w:line="276" w:lineRule="auto"/>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342.-</w:t>
      </w:r>
      <w:r w:rsidDel="00000000" w:rsidR="00000000" w:rsidRPr="00000000">
        <w:rPr>
          <w:rFonts w:ascii="Palatino Linotype" w:cs="Palatino Linotype" w:eastAsia="Palatino Linotype" w:hAnsi="Palatino Linotype"/>
          <w:i w:val="1"/>
          <w:sz w:val="22"/>
          <w:szCs w:val="22"/>
          <w:rtl w:val="0"/>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 </w:t>
      </w:r>
    </w:p>
    <w:p w:rsidR="00000000" w:rsidDel="00000000" w:rsidP="00000000" w:rsidRDefault="00000000" w:rsidRPr="00000000" w14:paraId="0000007E">
      <w:pPr>
        <w:spacing w:after="0" w:before="0" w:line="276" w:lineRule="auto"/>
        <w:ind w:left="851" w:right="85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7F">
      <w:pPr>
        <w:spacing w:after="0" w:before="0" w:line="276" w:lineRule="auto"/>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343.-</w:t>
      </w:r>
      <w:r w:rsidDel="00000000" w:rsidR="00000000" w:rsidRPr="00000000">
        <w:rPr>
          <w:rFonts w:ascii="Palatino Linotype" w:cs="Palatino Linotype" w:eastAsia="Palatino Linotype" w:hAnsi="Palatino Linotype"/>
          <w:i w:val="1"/>
          <w:sz w:val="22"/>
          <w:szCs w:val="22"/>
          <w:rtl w:val="0"/>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000000" w:rsidDel="00000000" w:rsidP="00000000" w:rsidRDefault="00000000" w:rsidRPr="00000000" w14:paraId="00000080">
      <w:pPr>
        <w:spacing w:after="0" w:before="0" w:line="276" w:lineRule="auto"/>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sistema de contabilidad sobre base acumulativa total se sustentará en los postulados básicos y el marco conceptual de la contabilidad gubernamental. </w:t>
      </w:r>
    </w:p>
    <w:p w:rsidR="00000000" w:rsidDel="00000000" w:rsidP="00000000" w:rsidRDefault="00000000" w:rsidRPr="00000000" w14:paraId="00000081">
      <w:pPr>
        <w:spacing w:after="0" w:before="0" w:line="276" w:lineRule="auto"/>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Del="00000000" w:rsidR="00000000" w:rsidRPr="00000000">
        <w:rPr>
          <w:rFonts w:ascii="Palatino Linotype" w:cs="Palatino Linotype" w:eastAsia="Palatino Linotype" w:hAnsi="Palatino Linotype"/>
          <w:i w:val="1"/>
          <w:sz w:val="22"/>
          <w:szCs w:val="22"/>
          <w:rtl w:val="0"/>
        </w:rPr>
        <w:t xml:space="preserve">en el caso de los Municipios se hará por la Tesorería. </w:t>
      </w:r>
    </w:p>
    <w:p w:rsidR="00000000" w:rsidDel="00000000" w:rsidP="00000000" w:rsidRDefault="00000000" w:rsidRPr="00000000" w14:paraId="00000082">
      <w:pPr>
        <w:spacing w:after="0" w:before="0" w:line="276" w:lineRule="auto"/>
        <w:ind w:left="851" w:right="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Derogado. </w:t>
      </w:r>
    </w:p>
    <w:p w:rsidR="00000000" w:rsidDel="00000000" w:rsidP="00000000" w:rsidRDefault="00000000" w:rsidRPr="00000000" w14:paraId="00000083">
      <w:pPr>
        <w:spacing w:after="0" w:before="0" w:line="276" w:lineRule="auto"/>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Del="00000000" w:rsidR="00000000" w:rsidRPr="00000000">
        <w:rPr>
          <w:rFonts w:ascii="Palatino Linotype" w:cs="Palatino Linotype" w:eastAsia="Palatino Linotype" w:hAnsi="Palatino Linotype"/>
          <w:i w:val="1"/>
          <w:sz w:val="22"/>
          <w:szCs w:val="22"/>
          <w:rtl w:val="0"/>
        </w:rPr>
        <w:t xml:space="preserve"> a partir del ejercicio presupuestal siguiente al que corresponda, en el caso de los municipios se hará por la Tesorería. </w:t>
      </w:r>
    </w:p>
    <w:p w:rsidR="00000000" w:rsidDel="00000000" w:rsidP="00000000" w:rsidRDefault="00000000" w:rsidRPr="00000000" w14:paraId="00000084">
      <w:pPr>
        <w:spacing w:after="0" w:before="0" w:line="276" w:lineRule="auto"/>
        <w:ind w:left="851" w:right="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5">
      <w:pPr>
        <w:spacing w:after="0" w:before="0" w:line="276" w:lineRule="auto"/>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345.-</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Las Dependencias, Entidades Públicas y unidades administrativas deberán conservar la documentación contable del año en curso y la de ejercicios anteriores cuyas cuentas públicas hayan sido revisadas y fiscalizadas por la Legislatura</w:t>
      </w:r>
      <w:r w:rsidDel="00000000" w:rsidR="00000000" w:rsidRPr="00000000">
        <w:rPr>
          <w:rFonts w:ascii="Palatino Linotype" w:cs="Palatino Linotype" w:eastAsia="Palatino Linotype" w:hAnsi="Palatino Linotype"/>
          <w:i w:val="1"/>
          <w:sz w:val="22"/>
          <w:szCs w:val="22"/>
          <w:rtl w:val="0"/>
        </w:rPr>
        <w:t xml:space="preserve">, la remitirán en un plazo que no excederá de seis meses al Archivo Contable Gubernamental. </w:t>
      </w:r>
      <w:r w:rsidDel="00000000" w:rsidR="00000000" w:rsidRPr="00000000">
        <w:rPr>
          <w:rFonts w:ascii="Palatino Linotype" w:cs="Palatino Linotype" w:eastAsia="Palatino Linotype" w:hAnsi="Palatino Linotype"/>
          <w:b w:val="1"/>
          <w:i w:val="1"/>
          <w:sz w:val="22"/>
          <w:szCs w:val="22"/>
          <w:rtl w:val="0"/>
        </w:rPr>
        <w:t xml:space="preserve">Tratándose de los comprobantes fiscales digitales, estos deberán estar agregados en forma electrónica en cada póliza de registro contable</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86">
      <w:pPr>
        <w:spacing w:after="0" w:before="0" w:line="276" w:lineRule="auto"/>
        <w:ind w:left="851"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plazo señalado en el párrafo anterior, empezará a contar a partir de la publicación en el Periódico Oficial, del decreto correspondiente. “ </w:t>
      </w:r>
    </w:p>
    <w:p w:rsidR="00000000" w:rsidDel="00000000" w:rsidP="00000000" w:rsidRDefault="00000000" w:rsidRPr="00000000" w14:paraId="00000087">
      <w:pPr>
        <w:spacing w:after="120" w:before="0" w:lineRule="auto"/>
        <w:ind w:left="851" w:right="85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8">
      <w:pPr>
        <w:spacing w:before="12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rsidR="00000000" w:rsidDel="00000000" w:rsidP="00000000" w:rsidRDefault="00000000" w:rsidRPr="00000000" w14:paraId="0000008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000000" w:rsidDel="00000000" w:rsidP="00000000" w:rsidRDefault="00000000" w:rsidRPr="00000000" w14:paraId="0000008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C">
      <w:pPr>
        <w:spacing w:after="0" w:line="276" w:lineRule="auto"/>
        <w:ind w:firstLine="708"/>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“REGISTRO CONTABLE </w:t>
      </w:r>
    </w:p>
    <w:p w:rsidR="00000000" w:rsidDel="00000000" w:rsidP="00000000" w:rsidRDefault="00000000" w:rsidRPr="00000000" w14:paraId="0000008D">
      <w:pPr>
        <w:spacing w:after="0" w:before="0" w:line="276" w:lineRule="auto"/>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Asiento que se realiza en los libros de contabilidad de las actividades relacionadas con el ingreso y egresos de un ente económico.” </w:t>
      </w:r>
    </w:p>
    <w:p w:rsidR="00000000" w:rsidDel="00000000" w:rsidP="00000000" w:rsidRDefault="00000000" w:rsidRPr="00000000" w14:paraId="0000008E">
      <w:pPr>
        <w:spacing w:after="0" w:before="0" w:line="276" w:lineRule="auto"/>
        <w:ind w:right="899" w:firstLine="708"/>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“REGISTRO PRESUPUESTARIO</w:t>
      </w:r>
    </w:p>
    <w:p w:rsidR="00000000" w:rsidDel="00000000" w:rsidP="00000000" w:rsidRDefault="00000000" w:rsidRPr="00000000" w14:paraId="0000008F">
      <w:pPr>
        <w:spacing w:after="0" w:before="0" w:line="276" w:lineRule="auto"/>
        <w:ind w:left="708"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Asiento contable de las erogaciones realizadas por las dependencias y entidades con relación a la asignación, modificación y ejercicio de los recursos presupuestarios que se les hayan autorizado.” </w:t>
      </w:r>
    </w:p>
    <w:p w:rsidR="00000000" w:rsidDel="00000000" w:rsidP="00000000" w:rsidRDefault="00000000" w:rsidRPr="00000000" w14:paraId="00000090">
      <w:pPr>
        <w:spacing w:before="0"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1">
      <w:pPr>
        <w:spacing w:after="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otra parte, se establece que el sistema de contabilidad sobre base acumulativa total se sustentará en los principios de contabilidad gubernamental.</w:t>
      </w:r>
    </w:p>
    <w:p w:rsidR="00000000" w:rsidDel="00000000" w:rsidP="00000000" w:rsidRDefault="00000000" w:rsidRPr="00000000" w14:paraId="00000092">
      <w:pPr>
        <w:spacing w:after="0" w:before="0"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rsidR="00000000" w:rsidDel="00000000" w:rsidP="00000000" w:rsidRDefault="00000000" w:rsidRPr="00000000" w14:paraId="0000009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Correlativo a lo anterior, es preciso referir una definición de </w:t>
      </w:r>
      <w:r w:rsidDel="00000000" w:rsidR="00000000" w:rsidRPr="00000000">
        <w:rPr>
          <w:rFonts w:ascii="Palatino Linotype" w:cs="Palatino Linotype" w:eastAsia="Palatino Linotype" w:hAnsi="Palatino Linotype"/>
          <w:i w:val="1"/>
          <w:sz w:val="22"/>
          <w:szCs w:val="22"/>
          <w:rtl w:val="0"/>
        </w:rPr>
        <w:t xml:space="preserve">póliza contable</w:t>
      </w:r>
      <w:r w:rsidDel="00000000" w:rsidR="00000000" w:rsidRPr="00000000">
        <w:rPr>
          <w:rFonts w:ascii="Palatino Linotype" w:cs="Palatino Linotype" w:eastAsia="Palatino Linotype" w:hAnsi="Palatino Linotype"/>
          <w:sz w:val="22"/>
          <w:szCs w:val="22"/>
          <w:rtl w:val="0"/>
        </w:rPr>
        <w:t xml:space="preserve">, la cual, primeramente, no está definida en el Código Financiero del Estado de México y Municipios; no obstante, los ya mencionados Glosarios la definen como: </w:t>
      </w:r>
    </w:p>
    <w:p w:rsidR="00000000" w:rsidDel="00000000" w:rsidP="00000000" w:rsidRDefault="00000000" w:rsidRPr="00000000" w14:paraId="00000096">
      <w:pPr>
        <w:spacing w:after="120" w:lineRule="auto"/>
        <w:ind w:left="851" w:right="89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7">
      <w:pPr>
        <w:spacing w:after="120" w:lineRule="auto"/>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PÓLIZA CONTABLE</w:t>
      </w:r>
    </w:p>
    <w:p w:rsidR="00000000" w:rsidDel="00000000" w:rsidP="00000000" w:rsidRDefault="00000000" w:rsidRPr="00000000" w14:paraId="00000098">
      <w:pPr>
        <w:spacing w:after="120" w:before="120" w:lineRule="auto"/>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Documento en el cual se asientan en forma individual todas y cada una de las operaciones desarrolladas por una institución, así como la información necesaria para la identificación de dichas operaciones.” </w:t>
      </w:r>
    </w:p>
    <w:p w:rsidR="00000000" w:rsidDel="00000000" w:rsidP="00000000" w:rsidRDefault="00000000" w:rsidRPr="00000000" w14:paraId="00000099">
      <w:pPr>
        <w:spacing w:after="120" w:before="120" w:lineRule="auto"/>
        <w:ind w:left="851" w:right="89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A">
      <w:pPr>
        <w:spacing w:after="0" w:before="12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se advierte que la </w:t>
      </w:r>
      <w:r w:rsidDel="00000000" w:rsidR="00000000" w:rsidRPr="00000000">
        <w:rPr>
          <w:rFonts w:ascii="Palatino Linotype" w:cs="Palatino Linotype" w:eastAsia="Palatino Linotype" w:hAnsi="Palatino Linotype"/>
          <w:i w:val="1"/>
          <w:sz w:val="22"/>
          <w:szCs w:val="22"/>
          <w:rtl w:val="0"/>
        </w:rPr>
        <w:t xml:space="preserve">póliza contable</w:t>
      </w:r>
      <w:r w:rsidDel="00000000" w:rsidR="00000000" w:rsidRPr="00000000">
        <w:rPr>
          <w:rFonts w:ascii="Palatino Linotype" w:cs="Palatino Linotype" w:eastAsia="Palatino Linotype" w:hAnsi="Palatino Linotype"/>
          <w:sz w:val="22"/>
          <w:szCs w:val="22"/>
          <w:rtl w:val="0"/>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rsidR="00000000" w:rsidDel="00000000" w:rsidP="00000000" w:rsidRDefault="00000000" w:rsidRPr="00000000" w14:paraId="0000009B">
      <w:pPr>
        <w:spacing w:before="0"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C">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Correlativo a lo anterior, es necesario precisar que de las constancias que obran en el expediente se logra vislumbrar que el Sujeto Obligado, turnó la solicitud de información a la Tesorería Municipal, por lo que, 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rsidR="00000000" w:rsidDel="00000000" w:rsidP="00000000" w:rsidRDefault="00000000" w:rsidRPr="00000000" w14:paraId="0000009D">
      <w:pPr>
        <w:spacing w:line="360" w:lineRule="auto"/>
        <w:ind w:right="56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E">
      <w:pPr>
        <w:keepNext w:val="0"/>
        <w:keepLines w:val="0"/>
        <w:pageBreakBefore w:val="0"/>
        <w:widowControl w:val="1"/>
        <w:numPr>
          <w:ilvl w:val="3"/>
          <w:numId w:val="3"/>
        </w:numPr>
        <w:pBdr>
          <w:top w:space="0" w:sz="0" w:val="nil"/>
          <w:left w:space="0" w:sz="0" w:val="nil"/>
          <w:bottom w:space="0" w:sz="0" w:val="nil"/>
          <w:right w:space="0" w:sz="0" w:val="nil"/>
          <w:between w:space="0" w:sz="0" w:val="nil"/>
        </w:pBdr>
        <w:shd w:fill="auto" w:val="clear"/>
        <w:spacing w:after="0" w:before="0" w:line="360" w:lineRule="auto"/>
        <w:ind w:left="567" w:right="56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 y</w:t>
      </w:r>
    </w:p>
    <w:p w:rsidR="00000000" w:rsidDel="00000000" w:rsidP="00000000" w:rsidRDefault="00000000" w:rsidRPr="00000000" w14:paraId="0000009F">
      <w:pPr>
        <w:spacing w:line="360" w:lineRule="auto"/>
        <w:ind w:left="567" w:right="56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3"/>
          <w:numId w:val="3"/>
        </w:numPr>
        <w:pBdr>
          <w:top w:space="0" w:sz="0" w:val="nil"/>
          <w:left w:space="0" w:sz="0" w:val="nil"/>
          <w:bottom w:space="0" w:sz="0" w:val="nil"/>
          <w:right w:space="0" w:sz="0" w:val="nil"/>
          <w:between w:space="0" w:sz="0" w:val="nil"/>
        </w:pBdr>
        <w:shd w:fill="auto" w:val="clear"/>
        <w:spacing w:after="0" w:before="0" w:line="360" w:lineRule="auto"/>
        <w:ind w:left="567" w:right="56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Los sujetos obligados </w:t>
      </w:r>
      <w:r w:rsidDel="00000000" w:rsidR="00000000" w:rsidRPr="00000000">
        <w:rPr>
          <w:rFonts w:ascii="Palatino Linotype" w:cs="Palatino Linotype" w:eastAsia="Palatino Linotype" w:hAnsi="Palatino Linotype"/>
          <w:sz w:val="22"/>
          <w:szCs w:val="22"/>
          <w:rtl w:val="0"/>
        </w:rPr>
        <w:t xml:space="preserve">otorgarán</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acceso a los documentos que se encuentren en sus archivos o que estén obligados a documentar de acuerdo con sus facultades, competencias o funciones, en el formato en que la solicitante manifieste, de entre aquellos formatos existentes.</w:t>
      </w:r>
    </w:p>
    <w:p w:rsidR="00000000" w:rsidDel="00000000" w:rsidP="00000000" w:rsidRDefault="00000000" w:rsidRPr="00000000" w14:paraId="000000A1">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2">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y conforme a lo establecido en párrafos anteriores, el Sujeto Obligado cumplió cabalmente con el procedimiento de búsqueda establecido en el artículo 162 de la Ley de Transparencia y Acceso a la Información Pública del Estado de México y Municipios. </w:t>
      </w:r>
    </w:p>
    <w:p w:rsidR="00000000" w:rsidDel="00000000" w:rsidP="00000000" w:rsidRDefault="00000000" w:rsidRPr="00000000" w14:paraId="000000A3">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4">
      <w:pPr>
        <w:spacing w:after="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en cuanto hace a los agravios hechos valer por la parte Recurrente, relativos a la falta de entrega de la información solicitada, es de mencionar que, del análisis al documento proporcionado por el Sujeto Obligado, se advierte que este hizo entrega del denominado Catálogo de Pólizas Contables el cual es un documento que debe entregarse al Órgano Superior de Fiscalización en cumplimiento de las obligaciones fiscales del Sujeto Obligado, tal como se puede observar a continuación:</w:t>
      </w:r>
    </w:p>
    <w:p w:rsidR="00000000" w:rsidDel="00000000" w:rsidP="00000000" w:rsidRDefault="00000000" w:rsidRPr="00000000" w14:paraId="000000A5">
      <w:pPr>
        <w:spacing w:before="0"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205816" cy="5512689"/>
            <wp:effectExtent b="0" l="0" r="0" t="0"/>
            <wp:docPr id="204732260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205816" cy="5512689"/>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se considera que el documento enviado, no corresponde con lo solicitado por la parte Recurrente, ya que no se tratan de las pólizas de egresos, sino del Catálogo de Pólizas Contables. </w:t>
      </w:r>
    </w:p>
    <w:p w:rsidR="00000000" w:rsidDel="00000000" w:rsidP="00000000" w:rsidRDefault="00000000" w:rsidRPr="00000000" w14:paraId="000000A7">
      <w:pPr>
        <w:spacing w:after="240" w:before="240"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Por lo que, el Sujeto Obligado, al no haber proporcionado la información solicitada, se considera que, los agravios hechos valer por el Recurrente devienen </w:t>
      </w:r>
      <w:r w:rsidDel="00000000" w:rsidR="00000000" w:rsidRPr="00000000">
        <w:rPr>
          <w:rFonts w:ascii="Palatino Linotype" w:cs="Palatino Linotype" w:eastAsia="Palatino Linotype" w:hAnsi="Palatino Linotype"/>
          <w:b w:val="1"/>
          <w:sz w:val="22"/>
          <w:szCs w:val="22"/>
          <w:rtl w:val="0"/>
        </w:rPr>
        <w:t xml:space="preserve">FUNDADOS. </w:t>
      </w:r>
    </w:p>
    <w:p w:rsidR="00000000" w:rsidDel="00000000" w:rsidP="00000000" w:rsidRDefault="00000000" w:rsidRPr="00000000" w14:paraId="000000A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Versión Pública.</w:t>
      </w:r>
      <w:r w:rsidDel="00000000" w:rsidR="00000000" w:rsidRPr="00000000">
        <w:rPr>
          <w:rFonts w:ascii="Palatino Linotype" w:cs="Palatino Linotype" w:eastAsia="Palatino Linotype" w:hAnsi="Palatino Linotype"/>
          <w:sz w:val="22"/>
          <w:szCs w:val="22"/>
          <w:rtl w:val="0"/>
        </w:rPr>
        <w:t xml:space="preserve"> Finalmente, debe señalarse que de ser el caso en que los documentos que vayan a ser entregados para dar cumplimiento a la presente resolución, contengan datos que deban ser clasificados,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deberá hacer la elaboración de la versión pública de los mismos a fin de satisfacer el derecho de acceso a la información pública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sin menoscabo al derecho a la protección de los datos personales de terceros.</w:t>
      </w:r>
    </w:p>
    <w:p w:rsidR="00000000" w:rsidDel="00000000" w:rsidP="00000000" w:rsidRDefault="00000000" w:rsidRPr="00000000" w14:paraId="000000A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número de OCR, CURP, el número de cuenta bancaria, que sean exclusivamente de particulares, entre otros.</w:t>
      </w:r>
    </w:p>
    <w:p w:rsidR="00000000" w:rsidDel="00000000" w:rsidP="00000000" w:rsidRDefault="00000000" w:rsidRPr="00000000" w14:paraId="000000AB">
      <w:pPr>
        <w:spacing w:line="360" w:lineRule="auto"/>
        <w:jc w:val="both"/>
        <w:rPr>
          <w:sz w:val="22"/>
          <w:szCs w:val="22"/>
        </w:rPr>
      </w:pPr>
      <w:r w:rsidDel="00000000" w:rsidR="00000000" w:rsidRPr="00000000">
        <w:rPr>
          <w:rtl w:val="0"/>
        </w:rPr>
      </w:r>
    </w:p>
    <w:p w:rsidR="00000000" w:rsidDel="00000000" w:rsidP="00000000" w:rsidRDefault="00000000" w:rsidRPr="00000000" w14:paraId="000000A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w:t>
      </w:r>
      <w:r w:rsidDel="00000000" w:rsidR="00000000" w:rsidRPr="00000000">
        <w:rPr>
          <w:rFonts w:ascii="Palatino Linotype" w:cs="Palatino Linotype" w:eastAsia="Palatino Linotype" w:hAnsi="Palatino Linotype"/>
          <w:b w:val="1"/>
          <w:sz w:val="22"/>
          <w:szCs w:val="22"/>
          <w:rtl w:val="0"/>
        </w:rPr>
        <w:t xml:space="preserve">clave de elector</w:t>
      </w:r>
      <w:r w:rsidDel="00000000" w:rsidR="00000000" w:rsidRPr="00000000">
        <w:rPr>
          <w:rFonts w:ascii="Palatino Linotype" w:cs="Palatino Linotype" w:eastAsia="Palatino Linotype" w:hAnsi="Palatino Linotype"/>
          <w:sz w:val="22"/>
          <w:szCs w:val="22"/>
          <w:rtl w:val="0"/>
        </w:rPr>
        <w:t xml:space="preserve">, es la composición alfanumérica compuesta de 18 caracteres, mismos que hacen identificable a una persona física, que se conforma por las primeras letras de los apellidos, año, mes, día, sexo, clave del estado en donde nació su titular, así como una homoclave que distingue a su titular de cualquier otro homónimo, por lo tanto, se trata de un dato personal que debe ser protegido.</w:t>
      </w:r>
    </w:p>
    <w:p w:rsidR="00000000" w:rsidDel="00000000" w:rsidP="00000000" w:rsidRDefault="00000000" w:rsidRPr="00000000" w14:paraId="000000AD">
      <w:pPr>
        <w:spacing w:line="360" w:lineRule="auto"/>
        <w:jc w:val="both"/>
        <w:rPr>
          <w:sz w:val="22"/>
          <w:szCs w:val="22"/>
        </w:rPr>
      </w:pPr>
      <w:r w:rsidDel="00000000" w:rsidR="00000000" w:rsidRPr="00000000">
        <w:rPr>
          <w:rtl w:val="0"/>
        </w:rPr>
      </w:r>
    </w:p>
    <w:p w:rsidR="00000000" w:rsidDel="00000000" w:rsidP="00000000" w:rsidRDefault="00000000" w:rsidRPr="00000000" w14:paraId="000000A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número de OCR,</w:t>
      </w:r>
      <w:r w:rsidDel="00000000" w:rsidR="00000000" w:rsidRPr="00000000">
        <w:rPr>
          <w:rFonts w:ascii="Palatino Linotype" w:cs="Palatino Linotype" w:eastAsia="Palatino Linotype" w:hAnsi="Palatino Linotype"/>
          <w:sz w:val="22"/>
          <w:szCs w:val="22"/>
          <w:rtl w:val="0"/>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geoelectoral ahí contenida, por lo que es susceptible de resguardarse.</w:t>
      </w:r>
    </w:p>
    <w:p w:rsidR="00000000" w:rsidDel="00000000" w:rsidP="00000000" w:rsidRDefault="00000000" w:rsidRPr="00000000" w14:paraId="000000AF">
      <w:pPr>
        <w:spacing w:line="360" w:lineRule="auto"/>
        <w:jc w:val="both"/>
        <w:rPr>
          <w:sz w:val="22"/>
          <w:szCs w:val="22"/>
        </w:rPr>
      </w:pPr>
      <w:r w:rsidDel="00000000" w:rsidR="00000000" w:rsidRPr="00000000">
        <w:rPr>
          <w:rtl w:val="0"/>
        </w:rPr>
      </w:r>
    </w:p>
    <w:p w:rsidR="00000000" w:rsidDel="00000000" w:rsidP="00000000" w:rsidRDefault="00000000" w:rsidRPr="00000000" w14:paraId="000000B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w:t>
      </w:r>
      <w:r w:rsidDel="00000000" w:rsidR="00000000" w:rsidRPr="00000000">
        <w:rPr>
          <w:rFonts w:ascii="Palatino Linotype" w:cs="Palatino Linotype" w:eastAsia="Palatino Linotype" w:hAnsi="Palatino Linotype"/>
          <w:b w:val="1"/>
          <w:sz w:val="22"/>
          <w:szCs w:val="22"/>
          <w:rtl w:val="0"/>
        </w:rPr>
        <w:t xml:space="preserve">clave única del registro de población,</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rsidR="00000000" w:rsidDel="00000000" w:rsidP="00000000" w:rsidRDefault="00000000" w:rsidRPr="00000000" w14:paraId="000000B1">
      <w:pPr>
        <w:spacing w:line="360" w:lineRule="auto"/>
        <w:jc w:val="both"/>
        <w:rPr>
          <w:sz w:val="22"/>
          <w:szCs w:val="22"/>
        </w:rPr>
      </w:pPr>
      <w:r w:rsidDel="00000000" w:rsidR="00000000" w:rsidRPr="00000000">
        <w:rPr>
          <w:rtl w:val="0"/>
        </w:rPr>
      </w:r>
    </w:p>
    <w:p w:rsidR="00000000" w:rsidDel="00000000" w:rsidP="00000000" w:rsidRDefault="00000000" w:rsidRPr="00000000" w14:paraId="000000B2">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Igualmente, resulta importante destacar que el </w:t>
      </w:r>
      <w:r w:rsidDel="00000000" w:rsidR="00000000" w:rsidRPr="00000000">
        <w:rPr>
          <w:rFonts w:ascii="Palatino Linotype" w:cs="Palatino Linotype" w:eastAsia="Palatino Linotype" w:hAnsi="Palatino Linotype"/>
          <w:i w:val="1"/>
          <w:sz w:val="22"/>
          <w:szCs w:val="22"/>
          <w:rtl w:val="0"/>
        </w:rPr>
        <w:t xml:space="preserve">número de cuenta bancaria</w:t>
      </w:r>
      <w:r w:rsidDel="00000000" w:rsidR="00000000" w:rsidRPr="00000000">
        <w:rPr>
          <w:rFonts w:ascii="Palatino Linotype" w:cs="Palatino Linotype" w:eastAsia="Palatino Linotype" w:hAnsi="Palatino Linotype"/>
          <w:sz w:val="22"/>
          <w:szCs w:val="22"/>
          <w:rtl w:val="0"/>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000000" w:rsidDel="00000000" w:rsidP="00000000" w:rsidRDefault="00000000" w:rsidRPr="00000000" w14:paraId="000000B3">
      <w:pPr>
        <w:spacing w:line="360" w:lineRule="auto"/>
        <w:ind w:right="50"/>
        <w:jc w:val="both"/>
        <w:rPr>
          <w:sz w:val="22"/>
          <w:szCs w:val="22"/>
        </w:rPr>
      </w:pPr>
      <w:r w:rsidDel="00000000" w:rsidR="00000000" w:rsidRPr="00000000">
        <w:rPr>
          <w:rtl w:val="0"/>
        </w:rPr>
      </w:r>
    </w:p>
    <w:p w:rsidR="00000000" w:rsidDel="00000000" w:rsidP="00000000" w:rsidRDefault="00000000" w:rsidRPr="00000000" w14:paraId="000000B4">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rsidR="00000000" w:rsidDel="00000000" w:rsidP="00000000" w:rsidRDefault="00000000" w:rsidRPr="00000000" w14:paraId="000000B5">
      <w:pPr>
        <w:spacing w:line="360" w:lineRule="auto"/>
        <w:ind w:right="50"/>
        <w:jc w:val="both"/>
        <w:rPr>
          <w:sz w:val="22"/>
          <w:szCs w:val="22"/>
        </w:rPr>
      </w:pPr>
      <w:r w:rsidDel="00000000" w:rsidR="00000000" w:rsidRPr="00000000">
        <w:rPr>
          <w:rtl w:val="0"/>
        </w:rPr>
      </w:r>
    </w:p>
    <w:p w:rsidR="00000000" w:rsidDel="00000000" w:rsidP="00000000" w:rsidRDefault="00000000" w:rsidRPr="00000000" w14:paraId="000000B6">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000000" w:rsidDel="00000000" w:rsidP="00000000" w:rsidRDefault="00000000" w:rsidRPr="00000000" w14:paraId="000000B7">
      <w:pPr>
        <w:spacing w:line="360" w:lineRule="auto"/>
        <w:ind w:right="50"/>
        <w:jc w:val="both"/>
        <w:rPr>
          <w:sz w:val="22"/>
          <w:szCs w:val="22"/>
        </w:rPr>
      </w:pPr>
      <w:r w:rsidDel="00000000" w:rsidR="00000000" w:rsidRPr="00000000">
        <w:rPr>
          <w:rtl w:val="0"/>
        </w:rPr>
      </w:r>
    </w:p>
    <w:p w:rsidR="00000000" w:rsidDel="00000000" w:rsidP="00000000" w:rsidRDefault="00000000" w:rsidRPr="00000000" w14:paraId="000000B8">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virtud, este Pleno determina que dicha información no puede ser del dominio público, toda vez que se podría dar un uso inadecuado a la misma o cometer algún ilícito o fraude como ya ha sido expuesto. </w:t>
      </w:r>
    </w:p>
    <w:p w:rsidR="00000000" w:rsidDel="00000000" w:rsidP="00000000" w:rsidRDefault="00000000" w:rsidRPr="00000000" w14:paraId="000000B9">
      <w:pPr>
        <w:spacing w:line="360" w:lineRule="auto"/>
        <w:ind w:right="50"/>
        <w:jc w:val="both"/>
        <w:rPr>
          <w:sz w:val="22"/>
          <w:szCs w:val="22"/>
        </w:rPr>
      </w:pPr>
      <w:r w:rsidDel="00000000" w:rsidR="00000000" w:rsidRPr="00000000">
        <w:rPr>
          <w:rtl w:val="0"/>
        </w:rPr>
      </w:r>
    </w:p>
    <w:p w:rsidR="00000000" w:rsidDel="00000000" w:rsidP="00000000" w:rsidRDefault="00000000" w:rsidRPr="00000000" w14:paraId="000000BA">
      <w:pPr>
        <w:spacing w:line="360" w:lineRule="auto"/>
        <w:ind w:right="50"/>
        <w:jc w:val="both"/>
        <w:rPr>
          <w:sz w:val="22"/>
          <w:szCs w:val="22"/>
        </w:rPr>
      </w:pPr>
      <w:r w:rsidDel="00000000" w:rsidR="00000000" w:rsidRPr="00000000">
        <w:rPr>
          <w:rFonts w:ascii="Palatino Linotype" w:cs="Palatino Linotype" w:eastAsia="Palatino Linotype" w:hAnsi="Palatino Linotype"/>
          <w:sz w:val="22"/>
          <w:szCs w:val="22"/>
          <w:rtl w:val="0"/>
        </w:rPr>
        <w:t xml:space="preserve">Es por esta razón que se debe omitir el o los números de cuentas bancarias de particulares en las versiones públicas que de las facturas se hagan, para ser entregadas.</w:t>
      </w:r>
      <w:r w:rsidDel="00000000" w:rsidR="00000000" w:rsidRPr="00000000">
        <w:rPr>
          <w:rtl w:val="0"/>
        </w:rPr>
      </w:r>
    </w:p>
    <w:p w:rsidR="00000000" w:rsidDel="00000000" w:rsidP="00000000" w:rsidRDefault="00000000" w:rsidRPr="00000000" w14:paraId="000000BB">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no es así tratándose de las cuentas bancarias o claves interbancarias de los Sujetos Obligados ya que su publicidad cede a la rendición de cuentas al transparentar la forma en que son administrados los recursos públicos.</w:t>
      </w:r>
    </w:p>
    <w:p w:rsidR="00000000" w:rsidDel="00000000" w:rsidP="00000000" w:rsidRDefault="00000000" w:rsidRPr="00000000" w14:paraId="000000BC">
      <w:pPr>
        <w:spacing w:line="360" w:lineRule="auto"/>
        <w:ind w:right="50"/>
        <w:jc w:val="both"/>
        <w:rPr>
          <w:sz w:val="22"/>
          <w:szCs w:val="22"/>
        </w:rPr>
      </w:pPr>
      <w:r w:rsidDel="00000000" w:rsidR="00000000" w:rsidRPr="00000000">
        <w:rPr>
          <w:rtl w:val="0"/>
        </w:rPr>
      </w:r>
    </w:p>
    <w:p w:rsidR="00000000" w:rsidDel="00000000" w:rsidP="00000000" w:rsidRDefault="00000000" w:rsidRPr="00000000" w14:paraId="000000BD">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argumentado encuentra sustento en los criterios orientadores 10/17 y 11/17 emitidos por el entonces Instituto Nacional de Transparencia, Acceso a la Información y Protección de Datos Personales, INAI, que llevan por rubro y texto los siguientes:</w:t>
      </w:r>
    </w:p>
    <w:p w:rsidR="00000000" w:rsidDel="00000000" w:rsidP="00000000" w:rsidRDefault="00000000" w:rsidRPr="00000000" w14:paraId="000000BE">
      <w:pPr>
        <w:spacing w:line="276" w:lineRule="auto"/>
        <w:ind w:right="50"/>
        <w:jc w:val="both"/>
        <w:rPr>
          <w:sz w:val="22"/>
          <w:szCs w:val="22"/>
        </w:rPr>
      </w:pPr>
      <w:r w:rsidDel="00000000" w:rsidR="00000000" w:rsidRPr="00000000">
        <w:rPr>
          <w:rtl w:val="0"/>
        </w:rPr>
      </w:r>
    </w:p>
    <w:p w:rsidR="00000000" w:rsidDel="00000000" w:rsidP="00000000" w:rsidRDefault="00000000" w:rsidRPr="00000000" w14:paraId="000000BF">
      <w:pPr>
        <w:spacing w:line="276" w:lineRule="auto"/>
        <w:ind w:left="851" w:right="900"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“Cuentas bancarias y/o CLABE interbancaria de personas físicas y morales privadas.</w:t>
      </w:r>
      <w:r w:rsidDel="00000000" w:rsidR="00000000" w:rsidRPr="00000000">
        <w:rPr>
          <w:rFonts w:ascii="Palatino Linotype" w:cs="Palatino Linotype" w:eastAsia="Palatino Linotype" w:hAnsi="Palatino Linotype"/>
          <w:i w:val="1"/>
          <w:sz w:val="22"/>
          <w:szCs w:val="22"/>
          <w:rtl w:val="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Del="00000000" w:rsidR="00000000" w:rsidRPr="00000000">
        <w:rPr>
          <w:rtl w:val="0"/>
        </w:rPr>
      </w:r>
    </w:p>
    <w:p w:rsidR="00000000" w:rsidDel="00000000" w:rsidP="00000000" w:rsidRDefault="00000000" w:rsidRPr="00000000" w14:paraId="000000C0">
      <w:pPr>
        <w:spacing w:line="276" w:lineRule="auto"/>
        <w:ind w:left="851" w:right="900"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Cuentas bancarias y/o CLABE interbancaria de sujetos obligados que reciben y/o transfieren recursos públicos, son información pública</w:t>
      </w:r>
      <w:r w:rsidDel="00000000" w:rsidR="00000000" w:rsidRPr="00000000">
        <w:rPr>
          <w:rFonts w:ascii="Palatino Linotype" w:cs="Palatino Linotype" w:eastAsia="Palatino Linotype" w:hAnsi="Palatino Linotype"/>
          <w:i w:val="1"/>
          <w:sz w:val="22"/>
          <w:szCs w:val="22"/>
          <w:rtl w:val="0"/>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r w:rsidDel="00000000" w:rsidR="00000000" w:rsidRPr="00000000">
        <w:rPr>
          <w:rtl w:val="0"/>
        </w:rPr>
      </w:r>
    </w:p>
    <w:p w:rsidR="00000000" w:rsidDel="00000000" w:rsidP="00000000" w:rsidRDefault="00000000" w:rsidRPr="00000000" w14:paraId="000000C1">
      <w:pP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2">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cuanto hace al </w:t>
      </w:r>
      <w:r w:rsidDel="00000000" w:rsidR="00000000" w:rsidRPr="00000000">
        <w:rPr>
          <w:rFonts w:ascii="Palatino Linotype" w:cs="Palatino Linotype" w:eastAsia="Palatino Linotype" w:hAnsi="Palatino Linotype"/>
          <w:b w:val="1"/>
          <w:sz w:val="22"/>
          <w:szCs w:val="22"/>
          <w:rtl w:val="0"/>
        </w:rPr>
        <w:t xml:space="preserve">Registro Federal de Contribuyentes (RFC) </w:t>
      </w:r>
      <w:r w:rsidDel="00000000" w:rsidR="00000000" w:rsidRPr="00000000">
        <w:rPr>
          <w:rFonts w:ascii="Palatino Linotype" w:cs="Palatino Linotype" w:eastAsia="Palatino Linotype" w:hAnsi="Palatino Linotype"/>
          <w:sz w:val="22"/>
          <w:szCs w:val="22"/>
          <w:rtl w:val="0"/>
        </w:rPr>
        <w:t xml:space="preserve">y</w:t>
      </w:r>
      <w:r w:rsidDel="00000000" w:rsidR="00000000" w:rsidRPr="00000000">
        <w:rPr>
          <w:rFonts w:ascii="Palatino Linotype" w:cs="Palatino Linotype" w:eastAsia="Palatino Linotype" w:hAnsi="Palatino Linotype"/>
          <w:b w:val="1"/>
          <w:sz w:val="22"/>
          <w:szCs w:val="22"/>
          <w:rtl w:val="0"/>
        </w:rPr>
        <w:t xml:space="preserve"> el domicilio fiscal </w:t>
      </w:r>
      <w:r w:rsidDel="00000000" w:rsidR="00000000" w:rsidRPr="00000000">
        <w:rPr>
          <w:rFonts w:ascii="Palatino Linotype" w:cs="Palatino Linotype" w:eastAsia="Palatino Linotype" w:hAnsi="Palatino Linotype"/>
          <w:sz w:val="22"/>
          <w:szCs w:val="22"/>
          <w:rtl w:val="0"/>
        </w:rPr>
        <w:t xml:space="preserve">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rsidR="00000000" w:rsidDel="00000000" w:rsidP="00000000" w:rsidRDefault="00000000" w:rsidRPr="00000000" w14:paraId="000000C3">
      <w:pPr>
        <w:spacing w:line="360" w:lineRule="auto"/>
        <w:ind w:right="50"/>
        <w:jc w:val="both"/>
        <w:rPr>
          <w:sz w:val="22"/>
          <w:szCs w:val="22"/>
        </w:rPr>
      </w:pPr>
      <w:r w:rsidDel="00000000" w:rsidR="00000000" w:rsidRPr="00000000">
        <w:rPr>
          <w:rtl w:val="0"/>
        </w:rPr>
      </w:r>
    </w:p>
    <w:p w:rsidR="00000000" w:rsidDel="00000000" w:rsidP="00000000" w:rsidRDefault="00000000" w:rsidRPr="00000000" w14:paraId="000000C4">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rsidR="00000000" w:rsidDel="00000000" w:rsidP="00000000" w:rsidRDefault="00000000" w:rsidRPr="00000000" w14:paraId="000000C5">
      <w:pPr>
        <w:spacing w:line="360" w:lineRule="auto"/>
        <w:ind w:right="50"/>
        <w:jc w:val="both"/>
        <w:rPr>
          <w:sz w:val="22"/>
          <w:szCs w:val="22"/>
        </w:rPr>
      </w:pPr>
      <w:r w:rsidDel="00000000" w:rsidR="00000000" w:rsidRPr="00000000">
        <w:rPr>
          <w:rtl w:val="0"/>
        </w:rPr>
      </w:r>
    </w:p>
    <w:p w:rsidR="00000000" w:rsidDel="00000000" w:rsidP="00000000" w:rsidRDefault="00000000" w:rsidRPr="00000000" w14:paraId="000000C6">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Del="00000000" w:rsidR="00000000" w:rsidRPr="00000000">
        <w:rPr>
          <w:rFonts w:ascii="Palatino Linotype" w:cs="Palatino Linotype" w:eastAsia="Palatino Linotype" w:hAnsi="Palatino Linotype"/>
          <w:b w:val="1"/>
          <w:sz w:val="22"/>
          <w:szCs w:val="22"/>
          <w:rtl w:val="0"/>
        </w:rPr>
        <w:t xml:space="preserve">no puede considerarse como información clasificada lo relativo a su nombre, registro federal de contribuyentes y domicilio fiscal</w:t>
      </w:r>
      <w:r w:rsidDel="00000000" w:rsidR="00000000" w:rsidRPr="00000000">
        <w:rPr>
          <w:rFonts w:ascii="Palatino Linotype" w:cs="Palatino Linotype" w:eastAsia="Palatino Linotype" w:hAnsi="Palatino Linotype"/>
          <w:sz w:val="22"/>
          <w:szCs w:val="22"/>
          <w:rtl w:val="0"/>
        </w:rPr>
        <w:t xml:space="preserve">, atento a que dicha información es la que puede generar certeza en los gobernados en que se está ejerciendo debidamente el presupuesto.</w:t>
      </w:r>
    </w:p>
    <w:p w:rsidR="00000000" w:rsidDel="00000000" w:rsidP="00000000" w:rsidRDefault="00000000" w:rsidRPr="00000000" w14:paraId="000000C7">
      <w:pPr>
        <w:spacing w:line="360" w:lineRule="auto"/>
        <w:ind w:right="50"/>
        <w:jc w:val="both"/>
        <w:rPr>
          <w:sz w:val="22"/>
          <w:szCs w:val="22"/>
        </w:rPr>
      </w:pPr>
      <w:r w:rsidDel="00000000" w:rsidR="00000000" w:rsidRPr="00000000">
        <w:rPr>
          <w:rtl w:val="0"/>
        </w:rPr>
      </w:r>
    </w:p>
    <w:p w:rsidR="00000000" w:rsidDel="00000000" w:rsidP="00000000" w:rsidRDefault="00000000" w:rsidRPr="00000000" w14:paraId="000000C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Robustece lo anterior el criterio orientador 04/21 emitido por el entonces Instituto Nacional de Transparencia, Acceso a la Información y Protección de Datos Personales, INAI, el cual refiere:</w:t>
      </w:r>
    </w:p>
    <w:p w:rsidR="00000000" w:rsidDel="00000000" w:rsidP="00000000" w:rsidRDefault="00000000" w:rsidRPr="00000000" w14:paraId="000000C9">
      <w:pPr>
        <w:spacing w:line="360" w:lineRule="auto"/>
        <w:jc w:val="both"/>
        <w:rPr>
          <w:sz w:val="22"/>
          <w:szCs w:val="22"/>
        </w:rPr>
      </w:pPr>
      <w:r w:rsidDel="00000000" w:rsidR="00000000" w:rsidRPr="00000000">
        <w:rPr>
          <w:rtl w:val="0"/>
        </w:rPr>
      </w:r>
    </w:p>
    <w:p w:rsidR="00000000" w:rsidDel="00000000" w:rsidP="00000000" w:rsidRDefault="00000000" w:rsidRPr="00000000" w14:paraId="000000CA">
      <w:pPr>
        <w:spacing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“Registro Federal de Contribuyentes (RFC) de personas físicas proveedoras o contratistas. </w:t>
      </w:r>
      <w:r w:rsidDel="00000000" w:rsidR="00000000" w:rsidRPr="00000000">
        <w:rPr>
          <w:rFonts w:ascii="Palatino Linotype" w:cs="Palatino Linotype" w:eastAsia="Palatino Linotype" w:hAnsi="Palatino Linotype"/>
          <w:i w:val="1"/>
          <w:sz w:val="22"/>
          <w:szCs w:val="22"/>
          <w:rtl w:val="0"/>
        </w:rPr>
        <w:t xml:space="preserve">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rsidR="00000000" w:rsidDel="00000000" w:rsidP="00000000" w:rsidRDefault="00000000" w:rsidRPr="00000000" w14:paraId="000000CB">
      <w:pPr>
        <w:spacing w:line="360" w:lineRule="auto"/>
        <w:ind w:left="851" w:right="902" w:firstLine="0"/>
        <w:jc w:val="both"/>
        <w:rPr>
          <w:sz w:val="22"/>
          <w:szCs w:val="22"/>
        </w:rPr>
      </w:pPr>
      <w:r w:rsidDel="00000000" w:rsidR="00000000" w:rsidRPr="00000000">
        <w:rPr>
          <w:rtl w:val="0"/>
        </w:rPr>
      </w:r>
    </w:p>
    <w:p w:rsidR="00000000" w:rsidDel="00000000" w:rsidP="00000000" w:rsidRDefault="00000000" w:rsidRPr="00000000" w14:paraId="000000CC">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Relacionado con lo anterior, el </w:t>
      </w:r>
      <w:r w:rsidDel="00000000" w:rsidR="00000000" w:rsidRPr="00000000">
        <w:rPr>
          <w:rFonts w:ascii="Palatino Linotype" w:cs="Palatino Linotype" w:eastAsia="Palatino Linotype" w:hAnsi="Palatino Linotype"/>
          <w:b w:val="1"/>
          <w:sz w:val="22"/>
          <w:szCs w:val="22"/>
          <w:rtl w:val="0"/>
        </w:rPr>
        <w:t xml:space="preserve">nombre de las personas físicas</w:t>
      </w:r>
      <w:r w:rsidDel="00000000" w:rsidR="00000000" w:rsidRPr="00000000">
        <w:rPr>
          <w:rFonts w:ascii="Palatino Linotype" w:cs="Palatino Linotype" w:eastAsia="Palatino Linotype" w:hAnsi="Palatino Linotype"/>
          <w:sz w:val="22"/>
          <w:szCs w:val="22"/>
          <w:rtl w:val="0"/>
        </w:rPr>
        <w:t xml:space="preserve"> o los </w:t>
      </w:r>
      <w:r w:rsidDel="00000000" w:rsidR="00000000" w:rsidRPr="00000000">
        <w:rPr>
          <w:rFonts w:ascii="Palatino Linotype" w:cs="Palatino Linotype" w:eastAsia="Palatino Linotype" w:hAnsi="Palatino Linotype"/>
          <w:b w:val="1"/>
          <w:sz w:val="22"/>
          <w:szCs w:val="22"/>
          <w:rtl w:val="0"/>
        </w:rPr>
        <w:t xml:space="preserve">representantes legales de las personas morales</w:t>
      </w:r>
      <w:r w:rsidDel="00000000" w:rsidR="00000000" w:rsidRPr="00000000">
        <w:rPr>
          <w:rFonts w:ascii="Palatino Linotype" w:cs="Palatino Linotype" w:eastAsia="Palatino Linotype" w:hAnsi="Palatino Linotype"/>
          <w:sz w:val="22"/>
          <w:szCs w:val="22"/>
          <w:rtl w:val="0"/>
        </w:rPr>
        <w:t xml:space="preserve">,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rsidR="00000000" w:rsidDel="00000000" w:rsidP="00000000" w:rsidRDefault="00000000" w:rsidRPr="00000000" w14:paraId="000000CD">
      <w:pPr>
        <w:spacing w:line="360" w:lineRule="auto"/>
        <w:ind w:right="50"/>
        <w:jc w:val="both"/>
        <w:rPr>
          <w:sz w:val="22"/>
          <w:szCs w:val="22"/>
        </w:rPr>
      </w:pPr>
      <w:r w:rsidDel="00000000" w:rsidR="00000000" w:rsidRPr="00000000">
        <w:rPr>
          <w:rtl w:val="0"/>
        </w:rPr>
      </w:r>
    </w:p>
    <w:p w:rsidR="00000000" w:rsidDel="00000000" w:rsidP="00000000" w:rsidRDefault="00000000" w:rsidRPr="00000000" w14:paraId="000000CE">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Argumentación que guarda sustento en lo estipulado por el artículo 23 de la Ley de Transparencia y Acceso a la Información Pública del Estado de México y Municipios en su penúltimo párrafo, mismo que es del tenor literal siguiente:</w:t>
      </w:r>
    </w:p>
    <w:p w:rsidR="00000000" w:rsidDel="00000000" w:rsidP="00000000" w:rsidRDefault="00000000" w:rsidRPr="00000000" w14:paraId="000000CF">
      <w:pPr>
        <w:spacing w:line="360" w:lineRule="auto"/>
        <w:ind w:right="50"/>
        <w:jc w:val="both"/>
        <w:rPr>
          <w:sz w:val="22"/>
          <w:szCs w:val="22"/>
        </w:rPr>
      </w:pPr>
      <w:r w:rsidDel="00000000" w:rsidR="00000000" w:rsidRPr="00000000">
        <w:rPr>
          <w:rtl w:val="0"/>
        </w:rPr>
      </w:r>
    </w:p>
    <w:p w:rsidR="00000000" w:rsidDel="00000000" w:rsidP="00000000" w:rsidRDefault="00000000" w:rsidRPr="00000000" w14:paraId="000000D0">
      <w:pPr>
        <w:spacing w:line="276" w:lineRule="auto"/>
        <w:ind w:left="851" w:right="902"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23.</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tl w:val="0"/>
        </w:rPr>
      </w:r>
    </w:p>
    <w:p w:rsidR="00000000" w:rsidDel="00000000" w:rsidP="00000000" w:rsidRDefault="00000000" w:rsidRPr="00000000" w14:paraId="000000D1">
      <w:pPr>
        <w:spacing w:line="276" w:lineRule="auto"/>
        <w:ind w:left="851" w:right="902"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w:t>
      </w:r>
      <w:r w:rsidDel="00000000" w:rsidR="00000000" w:rsidRPr="00000000">
        <w:rPr>
          <w:rtl w:val="0"/>
        </w:rPr>
      </w:r>
    </w:p>
    <w:p w:rsidR="00000000" w:rsidDel="00000000" w:rsidP="00000000" w:rsidRDefault="00000000" w:rsidRPr="00000000" w14:paraId="000000D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aplicable el contenido del criterio de interpretación 01/19 emitido por el Instituto Nacional de Transparencia, Acceso a la Información, y Protección de Datos Personales, INAI, que lleva por rubro y texto los siguientes</w:t>
      </w:r>
    </w:p>
    <w:p w:rsidR="00000000" w:rsidDel="00000000" w:rsidP="00000000" w:rsidRDefault="00000000" w:rsidRPr="00000000" w14:paraId="000000D4">
      <w:pPr>
        <w:spacing w:line="360" w:lineRule="auto"/>
        <w:jc w:val="both"/>
        <w:rPr>
          <w:sz w:val="22"/>
          <w:szCs w:val="22"/>
        </w:rPr>
      </w:pPr>
      <w:r w:rsidDel="00000000" w:rsidR="00000000" w:rsidRPr="00000000">
        <w:rPr>
          <w:rtl w:val="0"/>
        </w:rPr>
      </w:r>
    </w:p>
    <w:p w:rsidR="00000000" w:rsidDel="00000000" w:rsidP="00000000" w:rsidRDefault="00000000" w:rsidRPr="00000000" w14:paraId="000000D5">
      <w:pPr>
        <w:spacing w:line="276" w:lineRule="auto"/>
        <w:ind w:left="851" w:right="900"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“Datos de identificación del representante o apoderado legal.</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Naturaleza jurídica. </w:t>
      </w:r>
      <w:r w:rsidDel="00000000" w:rsidR="00000000" w:rsidRPr="00000000">
        <w:rPr>
          <w:rFonts w:ascii="Palatino Linotype" w:cs="Palatino Linotype" w:eastAsia="Palatino Linotype" w:hAnsi="Palatino Linotype"/>
          <w:i w:val="1"/>
          <w:sz w:val="22"/>
          <w:szCs w:val="22"/>
          <w:rtl w:val="0"/>
        </w:rPr>
        <w:t xml:space="preserve">El nombre, la firma y la rúbrica de una persona física, que actúe como representante o apoderado legal de un tercero que haya celebrado un acto jurídico, con algún sujeto obligado, </w:t>
      </w:r>
      <w:r w:rsidDel="00000000" w:rsidR="00000000" w:rsidRPr="00000000">
        <w:rPr>
          <w:rFonts w:ascii="Palatino Linotype" w:cs="Palatino Linotype" w:eastAsia="Palatino Linotype" w:hAnsi="Palatino Linotype"/>
          <w:b w:val="1"/>
          <w:i w:val="1"/>
          <w:sz w:val="22"/>
          <w:szCs w:val="22"/>
          <w:rtl w:val="0"/>
        </w:rPr>
        <w:t xml:space="preserve">es información pública, en razón de que tales datos fueron proporcionados con el objeto de expresar el consentimiento obligacional del tercero y otorgar validez a dicho instrumento jurídico</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D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Mientras que en el caso del </w:t>
      </w:r>
      <w:r w:rsidDel="00000000" w:rsidR="00000000" w:rsidRPr="00000000">
        <w:rPr>
          <w:rFonts w:ascii="Palatino Linotype" w:cs="Palatino Linotype" w:eastAsia="Palatino Linotype" w:hAnsi="Palatino Linotype"/>
          <w:b w:val="1"/>
          <w:sz w:val="22"/>
          <w:szCs w:val="22"/>
          <w:rtl w:val="0"/>
        </w:rPr>
        <w:t xml:space="preserve">folio fiscal</w:t>
      </w:r>
      <w:r w:rsidDel="00000000" w:rsidR="00000000" w:rsidRPr="00000000">
        <w:rPr>
          <w:rFonts w:ascii="Palatino Linotype" w:cs="Palatino Linotype" w:eastAsia="Palatino Linotype" w:hAnsi="Palatino Linotype"/>
          <w:sz w:val="22"/>
          <w:szCs w:val="22"/>
          <w:rtl w:val="0"/>
        </w:rPr>
        <w:t xml:space="preserve">, la </w:t>
      </w:r>
      <w:r w:rsidDel="00000000" w:rsidR="00000000" w:rsidRPr="00000000">
        <w:rPr>
          <w:rFonts w:ascii="Palatino Linotype" w:cs="Palatino Linotype" w:eastAsia="Palatino Linotype" w:hAnsi="Palatino Linotype"/>
          <w:b w:val="1"/>
          <w:sz w:val="22"/>
          <w:szCs w:val="22"/>
          <w:rtl w:val="0"/>
        </w:rPr>
        <w:t xml:space="preserve">cadena original, </w:t>
      </w:r>
      <w:r w:rsidDel="00000000" w:rsidR="00000000" w:rsidRPr="00000000">
        <w:rPr>
          <w:rFonts w:ascii="Palatino Linotype" w:cs="Palatino Linotype" w:eastAsia="Palatino Linotype" w:hAnsi="Palatino Linotype"/>
          <w:sz w:val="22"/>
          <w:szCs w:val="22"/>
          <w:rtl w:val="0"/>
        </w:rPr>
        <w:t xml:space="preserve">los</w:t>
      </w:r>
      <w:r w:rsidDel="00000000" w:rsidR="00000000" w:rsidRPr="00000000">
        <w:rPr>
          <w:rFonts w:ascii="Palatino Linotype" w:cs="Palatino Linotype" w:eastAsia="Palatino Linotype" w:hAnsi="Palatino Linotype"/>
          <w:b w:val="1"/>
          <w:sz w:val="22"/>
          <w:szCs w:val="22"/>
          <w:rtl w:val="0"/>
        </w:rPr>
        <w:t xml:space="preserve"> códigos bidimensionales o códigos QR,</w:t>
      </w:r>
      <w:r w:rsidDel="00000000" w:rsidR="00000000" w:rsidRPr="00000000">
        <w:rPr>
          <w:rFonts w:ascii="Palatino Linotype" w:cs="Palatino Linotype" w:eastAsia="Palatino Linotype" w:hAnsi="Palatino Linotype"/>
          <w:sz w:val="22"/>
          <w:szCs w:val="22"/>
          <w:rtl w:val="0"/>
        </w:rPr>
        <w:t xml:space="preserve"> y, en general, cualquier información de carácter fiscal,  pudiera contener un Comprobante Fiscal Digital por Internet, CFDI,  se debe hacer un análisis caso por caso, con la finalidad de determinar si de dicha información se pueden obtener datos personales que no sean susceptibles de conocimiento público, como por ejemplo la Clave Única del Registro de Población, que, de difundirse, pudieran hacer identificable a una persona, debiendo, de ser el caso,  clasificarse como información confidencial, de manera fundada y motivada en términos del artículo 143, fracción I de la Ley de Transparencia y Acceso a la Información Pública del Estado de México y Municipios, de lo contrario, no es procedente su clasificación.</w:t>
      </w:r>
    </w:p>
    <w:p w:rsidR="00000000" w:rsidDel="00000000" w:rsidP="00000000" w:rsidRDefault="00000000" w:rsidRPr="00000000" w14:paraId="000000D8">
      <w:pPr>
        <w:spacing w:line="360" w:lineRule="auto"/>
        <w:jc w:val="both"/>
        <w:rPr>
          <w:sz w:val="22"/>
          <w:szCs w:val="22"/>
        </w:rPr>
      </w:pPr>
      <w:r w:rsidDel="00000000" w:rsidR="00000000" w:rsidRPr="00000000">
        <w:rPr>
          <w:rtl w:val="0"/>
        </w:rPr>
      </w:r>
    </w:p>
    <w:p w:rsidR="00000000" w:rsidDel="00000000" w:rsidP="00000000" w:rsidRDefault="00000000" w:rsidRPr="00000000" w14:paraId="000000D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p>
    <w:p w:rsidR="00000000" w:rsidDel="00000000" w:rsidP="00000000" w:rsidRDefault="00000000" w:rsidRPr="00000000" w14:paraId="000000D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B">
      <w:pPr>
        <w:spacing w:line="360" w:lineRule="auto"/>
        <w:jc w:val="both"/>
        <w:rPr>
          <w:sz w:val="22"/>
          <w:szCs w:val="22"/>
        </w:rPr>
      </w:pPr>
      <w:r w:rsidDel="00000000" w:rsidR="00000000" w:rsidRPr="00000000">
        <w:rPr>
          <w:rFonts w:ascii="Palatino Linotype" w:cs="Palatino Linotype" w:eastAsia="Palatino Linotype" w:hAnsi="Palatino Linotype"/>
          <w:sz w:val="22"/>
          <w:szCs w:val="22"/>
          <w:rtl w:val="0"/>
        </w:rPr>
        <w:t xml:space="preserve">Asimismo, se destaca que la versión pública que elabore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 cumplir con las formalidades exigidas en la Ley, por lo que para tal efecto emitirá el Acuerdo del Comité de Transparencia en el que se expongan los fundamentos y razonamientos que le llevaron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tl w:val="0"/>
        </w:rPr>
      </w:r>
    </w:p>
    <w:p w:rsidR="00000000" w:rsidDel="00000000" w:rsidP="00000000" w:rsidRDefault="00000000" w:rsidRPr="00000000" w14:paraId="000000DC">
      <w:pPr>
        <w:rPr>
          <w:sz w:val="22"/>
          <w:szCs w:val="22"/>
        </w:rPr>
      </w:pPr>
      <w:r w:rsidDel="00000000" w:rsidR="00000000" w:rsidRPr="00000000">
        <w:rPr>
          <w:rtl w:val="0"/>
        </w:rPr>
      </w:r>
    </w:p>
    <w:p w:rsidR="00000000" w:rsidDel="00000000" w:rsidP="00000000" w:rsidRDefault="00000000" w:rsidRPr="00000000" w14:paraId="000000DD">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de conformidad con lo que señalan los artículos 3 fracciones IX, XX, XXI y XLV, 91, 132 fracciones II y III, y 143 de la Ley de Transparencia y Acceso a la Información Pública del Estado de México y Municipios que establecen:</w:t>
      </w:r>
    </w:p>
    <w:p w:rsidR="00000000" w:rsidDel="00000000" w:rsidP="00000000" w:rsidRDefault="00000000" w:rsidRPr="00000000" w14:paraId="000000DE">
      <w:pP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F">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0E0">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E1">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Datos personales: La información concerniente a una persona, identificada o identificable según lo dispuesto por la Ley de Protección de Datos Personales del Estado de México; </w:t>
      </w:r>
    </w:p>
    <w:p w:rsidR="00000000" w:rsidDel="00000000" w:rsidP="00000000" w:rsidRDefault="00000000" w:rsidRPr="00000000" w14:paraId="000000E2">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 Información clasificada: Aquella considerada por la presente Ley como reservada o confidencial;</w:t>
      </w:r>
    </w:p>
    <w:p w:rsidR="00000000" w:rsidDel="00000000" w:rsidP="00000000" w:rsidRDefault="00000000" w:rsidRPr="00000000" w14:paraId="000000E3">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0E4">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XLV. Versión pública: Documento en el que se elimine, suprime o borra la información clasificada como reservada o confidencial para permitir su acceso.</w:t>
      </w:r>
    </w:p>
    <w:p w:rsidR="00000000" w:rsidDel="00000000" w:rsidP="00000000" w:rsidRDefault="00000000" w:rsidRPr="00000000" w14:paraId="000000E5">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E6">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ésta sea clasificada como reservada o confidencial.</w:t>
      </w:r>
    </w:p>
    <w:p w:rsidR="00000000" w:rsidDel="00000000" w:rsidP="00000000" w:rsidRDefault="00000000" w:rsidRPr="00000000" w14:paraId="000000E7">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p>
    <w:p w:rsidR="00000000" w:rsidDel="00000000" w:rsidP="00000000" w:rsidRDefault="00000000" w:rsidRPr="00000000" w14:paraId="000000E8">
      <w:pPr>
        <w:tabs>
          <w:tab w:val="left" w:leader="none" w:pos="1134"/>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Se reciba una solicitud de acceso a la información;</w:t>
      </w:r>
    </w:p>
    <w:p w:rsidR="00000000" w:rsidDel="00000000" w:rsidP="00000000" w:rsidRDefault="00000000" w:rsidRPr="00000000" w14:paraId="000000E9">
      <w:pPr>
        <w:tabs>
          <w:tab w:val="left" w:leader="none" w:pos="1134"/>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Se determine mediante resolución de autoridad competente; o</w:t>
      </w:r>
    </w:p>
    <w:p w:rsidR="00000000" w:rsidDel="00000000" w:rsidP="00000000" w:rsidRDefault="00000000" w:rsidRPr="00000000" w14:paraId="000000EA">
      <w:pPr>
        <w:tabs>
          <w:tab w:val="left" w:leader="none" w:pos="1134"/>
        </w:tabs>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 generen versiones públicas para dar cumplimiento a las obligaciones de transparencia previstas en esta Ley.</w:t>
      </w:r>
    </w:p>
    <w:p w:rsidR="00000000" w:rsidDel="00000000" w:rsidP="00000000" w:rsidRDefault="00000000" w:rsidRPr="00000000" w14:paraId="000000EB">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EC">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0ED">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Se refiera a la información privada y los datos personales concernientes a una persona física o jurídico colectiva identificada o identificable;</w:t>
      </w:r>
    </w:p>
    <w:p w:rsidR="00000000" w:rsidDel="00000000" w:rsidP="00000000" w:rsidRDefault="00000000" w:rsidRPr="00000000" w14:paraId="000000EE">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0EF">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que presenten los particulares a los sujetos obligados, de conformidad con lo dispuesto por las leyes o los tratados internacionales.</w:t>
      </w:r>
    </w:p>
    <w:p w:rsidR="00000000" w:rsidDel="00000000" w:rsidP="00000000" w:rsidRDefault="00000000" w:rsidRPr="00000000" w14:paraId="000000F0">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0F1">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0F2">
      <w:pPr>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0F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de información señalan las formalidades que deberá llevar el acuerdo de clasificación que deberá emitir el Sujeto Obligado, siendo estas las siguientes:</w:t>
      </w:r>
    </w:p>
    <w:p w:rsidR="00000000" w:rsidDel="00000000" w:rsidP="00000000" w:rsidRDefault="00000000" w:rsidRPr="00000000" w14:paraId="000000F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7">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Quincuagésimo</w:t>
      </w:r>
      <w:r w:rsidDel="00000000" w:rsidR="00000000" w:rsidRPr="00000000">
        <w:rPr>
          <w:rFonts w:ascii="Palatino Linotype" w:cs="Palatino Linotype" w:eastAsia="Palatino Linotype" w:hAnsi="Palatino Linotype"/>
          <w:i w:val="1"/>
          <w:sz w:val="22"/>
          <w:szCs w:val="22"/>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0F8">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primero.</w:t>
      </w:r>
      <w:r w:rsidDel="00000000" w:rsidR="00000000" w:rsidRPr="00000000">
        <w:rPr>
          <w:rFonts w:ascii="Palatino Linotype" w:cs="Palatino Linotype" w:eastAsia="Palatino Linotype" w:hAnsi="Palatino Linotype"/>
          <w:i w:val="1"/>
          <w:sz w:val="22"/>
          <w:szCs w:val="22"/>
          <w:rtl w:val="0"/>
        </w:rPr>
        <w:t xml:space="preserve"> Toda acta del Comité de Transparencia deberá contener: </w:t>
      </w:r>
    </w:p>
    <w:p w:rsidR="00000000" w:rsidDel="00000000" w:rsidP="00000000" w:rsidRDefault="00000000" w:rsidRPr="00000000" w14:paraId="000000F9">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 número de sesión y fecha; </w:t>
      </w:r>
    </w:p>
    <w:p w:rsidR="00000000" w:rsidDel="00000000" w:rsidP="00000000" w:rsidRDefault="00000000" w:rsidRPr="00000000" w14:paraId="000000FA">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nombre del área que solicitó la clasificación de información; </w:t>
      </w:r>
    </w:p>
    <w:p w:rsidR="00000000" w:rsidDel="00000000" w:rsidP="00000000" w:rsidRDefault="00000000" w:rsidRPr="00000000" w14:paraId="000000FB">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fundamentación legal y motivación correspondiente; </w:t>
      </w:r>
    </w:p>
    <w:p w:rsidR="00000000" w:rsidDel="00000000" w:rsidP="00000000" w:rsidRDefault="00000000" w:rsidRPr="00000000" w14:paraId="000000FC">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La resolución o resoluciones aprobadas; y </w:t>
      </w:r>
    </w:p>
    <w:p w:rsidR="00000000" w:rsidDel="00000000" w:rsidP="00000000" w:rsidRDefault="00000000" w:rsidRPr="00000000" w14:paraId="000000FD">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rúbrica o firma digital de cada integrante del Comité de Transparencia. </w:t>
      </w:r>
    </w:p>
    <w:p w:rsidR="00000000" w:rsidDel="00000000" w:rsidP="00000000" w:rsidRDefault="00000000" w:rsidRPr="00000000" w14:paraId="000000FE">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0FF">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Los motivos y razonamientos que sustenten la confirmación o modificación de la prueba de daño;</w:t>
      </w:r>
    </w:p>
    <w:p w:rsidR="00000000" w:rsidDel="00000000" w:rsidP="00000000" w:rsidRDefault="00000000" w:rsidRPr="00000000" w14:paraId="00000100">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Descripción de las partes o secciones reservadas, en caso de clasificación parcial; </w:t>
      </w:r>
    </w:p>
    <w:p w:rsidR="00000000" w:rsidDel="00000000" w:rsidP="00000000" w:rsidRDefault="00000000" w:rsidRPr="00000000" w14:paraId="00000101">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El periodo por el que mantendrá su clasificación y fecha de expiración; y </w:t>
      </w:r>
    </w:p>
    <w:p w:rsidR="00000000" w:rsidDel="00000000" w:rsidP="00000000" w:rsidRDefault="00000000" w:rsidRPr="00000000" w14:paraId="00000102">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El nombre del titular y área encargada de realizar la versión pública del documento, en su caso. </w:t>
      </w:r>
    </w:p>
    <w:p w:rsidR="00000000" w:rsidDel="00000000" w:rsidP="00000000" w:rsidRDefault="00000000" w:rsidRPr="00000000" w14:paraId="00000103">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04">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05">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segundo.</w:t>
      </w:r>
      <w:r w:rsidDel="00000000" w:rsidR="00000000" w:rsidRPr="00000000">
        <w:rPr>
          <w:rFonts w:ascii="Palatino Linotype" w:cs="Palatino Linotype" w:eastAsia="Palatino Linotype" w:hAnsi="Palatino Linotype"/>
          <w:i w:val="1"/>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06">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específico de la clasificación y elaboración de versiones públicas de documentos que contengan información confidencial, las áreas de los sujetos obligados deberán: </w:t>
      </w:r>
    </w:p>
    <w:p w:rsidR="00000000" w:rsidDel="00000000" w:rsidP="00000000" w:rsidRDefault="00000000" w:rsidRPr="00000000" w14:paraId="00000107">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Fijar la fecha en que se elaboró la versión pública y la fecha en la cual el Comité de Transparencia confirmó dicha versión;</w:t>
      </w:r>
    </w:p>
    <w:p w:rsidR="00000000" w:rsidDel="00000000" w:rsidP="00000000" w:rsidRDefault="00000000" w:rsidRPr="00000000" w14:paraId="00000108">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109">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Señalar las personas o instancias autorizadas a acceder a la información clasificada.</w:t>
      </w:r>
    </w:p>
    <w:p w:rsidR="00000000" w:rsidDel="00000000" w:rsidP="00000000" w:rsidRDefault="00000000" w:rsidRPr="00000000" w14:paraId="0000010A">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0B">
      <w:pPr>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forma, deberá observar los Lineamientos Quincuagésimo cuarto, Quincuagésimo quinto, Quincuagésimo séptimo y Quincuagésimo octavo, vigentes a la fecha de la solicitud de información establecen lo siguiente:</w:t>
      </w:r>
    </w:p>
    <w:p w:rsidR="00000000" w:rsidDel="00000000" w:rsidP="00000000" w:rsidRDefault="00000000" w:rsidRPr="00000000" w14:paraId="0000010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Quincuagésimo cuarto.</w:t>
      </w:r>
      <w:r w:rsidDel="00000000" w:rsidR="00000000" w:rsidRPr="00000000">
        <w:rPr>
          <w:rFonts w:ascii="Palatino Linotype" w:cs="Palatino Linotype" w:eastAsia="Palatino Linotype" w:hAnsi="Palatino Linotype"/>
          <w:i w:val="1"/>
          <w:sz w:val="22"/>
          <w:szCs w:val="22"/>
          <w:rtl w:val="0"/>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rsidR="00000000" w:rsidDel="00000000" w:rsidP="00000000" w:rsidRDefault="00000000" w:rsidRPr="00000000" w14:paraId="0000010F">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quinto.</w:t>
      </w:r>
      <w:r w:rsidDel="00000000" w:rsidR="00000000" w:rsidRPr="00000000">
        <w:rPr>
          <w:rFonts w:ascii="Palatino Linotype" w:cs="Palatino Linotype" w:eastAsia="Palatino Linotype" w:hAnsi="Palatino Linotype"/>
          <w:i w:val="1"/>
          <w:sz w:val="22"/>
          <w:szCs w:val="22"/>
          <w:rtl w:val="0"/>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000000" w:rsidDel="00000000" w:rsidP="00000000" w:rsidRDefault="00000000" w:rsidRPr="00000000" w14:paraId="00000110">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11">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séptimo.</w:t>
      </w:r>
      <w:r w:rsidDel="00000000" w:rsidR="00000000" w:rsidRPr="00000000">
        <w:rPr>
          <w:rFonts w:ascii="Palatino Linotype" w:cs="Palatino Linotype" w:eastAsia="Palatino Linotype" w:hAnsi="Palatino Linotype"/>
          <w:i w:val="1"/>
          <w:sz w:val="22"/>
          <w:szCs w:val="22"/>
          <w:rtl w:val="0"/>
        </w:rPr>
        <w:t xml:space="preserve"> Se considera, en principio, como información pública y no podrá omitirse de las versiones públicas la siguiente: </w:t>
      </w:r>
    </w:p>
    <w:p w:rsidR="00000000" w:rsidDel="00000000" w:rsidP="00000000" w:rsidRDefault="00000000" w:rsidRPr="00000000" w14:paraId="00000112">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La relativa a las Obligaciones de Transparencia que contempla el Título V de la Ley General y las demás disposiciones legales aplicables; </w:t>
      </w:r>
    </w:p>
    <w:p w:rsidR="00000000" w:rsidDel="00000000" w:rsidP="00000000" w:rsidRDefault="00000000" w:rsidRPr="00000000" w14:paraId="00000113">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114">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115">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116">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Quincuagésimo octavo.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117">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1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rsidR="00000000" w:rsidDel="00000000" w:rsidP="00000000" w:rsidRDefault="00000000" w:rsidRPr="00000000" w14:paraId="0000011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A">
      <w:pPr>
        <w:spacing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Es así como, en mérito de lo expuesto en líneas anteriores, resultan fundadas las razones o motivos de inconformidad hechos valer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dentro del recurso de revisión </w:t>
      </w:r>
      <w:r w:rsidDel="00000000" w:rsidR="00000000" w:rsidRPr="00000000">
        <w:rPr>
          <w:rFonts w:ascii="Palatino Linotype" w:cs="Palatino Linotype" w:eastAsia="Palatino Linotype" w:hAnsi="Palatino Linotype"/>
          <w:b w:val="1"/>
          <w:sz w:val="22"/>
          <w:szCs w:val="22"/>
          <w:rtl w:val="0"/>
        </w:rPr>
        <w:t xml:space="preserve">07459/INFOEM/IP/RR/2025</w:t>
      </w:r>
      <w:r w:rsidDel="00000000" w:rsidR="00000000" w:rsidRPr="00000000">
        <w:rPr>
          <w:rFonts w:ascii="Palatino Linotype" w:cs="Palatino Linotype" w:eastAsia="Palatino Linotype" w:hAnsi="Palatino Linotype"/>
          <w:sz w:val="22"/>
          <w:szCs w:val="22"/>
          <w:rtl w:val="0"/>
        </w:rPr>
        <w:t xml:space="preserve">; por ello, y con fundamento en la fracción III del numeral 186 de la Ley de Transparencia y Acceso a la Información Pública del Estado de México y Municipios, se </w:t>
      </w:r>
      <w:r w:rsidDel="00000000" w:rsidR="00000000" w:rsidRPr="00000000">
        <w:rPr>
          <w:rFonts w:ascii="Palatino Linotype" w:cs="Palatino Linotype" w:eastAsia="Palatino Linotype" w:hAnsi="Palatino Linotype"/>
          <w:b w:val="1"/>
          <w:sz w:val="22"/>
          <w:szCs w:val="22"/>
          <w:rtl w:val="0"/>
        </w:rPr>
        <w:t xml:space="preserve">REVOCA </w:t>
      </w:r>
      <w:r w:rsidDel="00000000" w:rsidR="00000000" w:rsidRPr="00000000">
        <w:rPr>
          <w:rFonts w:ascii="Palatino Linotype" w:cs="Palatino Linotype" w:eastAsia="Palatino Linotype" w:hAnsi="Palatino Linotype"/>
          <w:sz w:val="22"/>
          <w:szCs w:val="22"/>
          <w:rtl w:val="0"/>
        </w:rPr>
        <w:t xml:space="preserve">la respuesta del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a la solicitud de información </w:t>
      </w:r>
      <w:r w:rsidDel="00000000" w:rsidR="00000000" w:rsidRPr="00000000">
        <w:rPr>
          <w:rFonts w:ascii="Palatino Linotype" w:cs="Palatino Linotype" w:eastAsia="Palatino Linotype" w:hAnsi="Palatino Linotype"/>
          <w:b w:val="1"/>
          <w:sz w:val="22"/>
          <w:szCs w:val="22"/>
          <w:rtl w:val="0"/>
        </w:rPr>
        <w:t xml:space="preserve">00381/ZINACANT/IP/2025. </w:t>
      </w:r>
    </w:p>
    <w:p w:rsidR="00000000" w:rsidDel="00000000" w:rsidP="00000000" w:rsidRDefault="00000000" w:rsidRPr="00000000" w14:paraId="0000011B">
      <w:pPr>
        <w:spacing w:line="360" w:lineRule="auto"/>
        <w:ind w:right="49"/>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1C">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trigésimo noveno, cuadragésimo y cuadragésimo primero,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sz w:val="22"/>
          <w:szCs w:val="22"/>
        </w:rPr>
      </w:pPr>
      <w:bookmarkStart w:colFirst="0" w:colLast="0" w:name="_heading=h.lnxbz9" w:id="10"/>
      <w:bookmarkEnd w:id="10"/>
      <w:r w:rsidDel="00000000" w:rsidR="00000000" w:rsidRPr="00000000">
        <w:rPr>
          <w:rFonts w:ascii="Palatino Linotype" w:cs="Palatino Linotype" w:eastAsia="Palatino Linotype" w:hAnsi="Palatino Linotype"/>
          <w:b w:val="1"/>
          <w:sz w:val="22"/>
          <w:szCs w:val="22"/>
          <w:rtl w:val="0"/>
        </w:rPr>
        <w:t xml:space="preserve">III. R E S U E L V E</w:t>
      </w:r>
    </w:p>
    <w:p w:rsidR="00000000" w:rsidDel="00000000" w:rsidP="00000000" w:rsidRDefault="00000000" w:rsidRPr="00000000" w14:paraId="0000011E">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Resultan parcialmente </w:t>
      </w:r>
      <w:r w:rsidDel="00000000" w:rsidR="00000000" w:rsidRPr="00000000">
        <w:rPr>
          <w:rFonts w:ascii="Palatino Linotype" w:cs="Palatino Linotype" w:eastAsia="Palatino Linotype" w:hAnsi="Palatino Linotype"/>
          <w:b w:val="1"/>
          <w:sz w:val="22"/>
          <w:szCs w:val="22"/>
          <w:rtl w:val="0"/>
        </w:rPr>
        <w:t xml:space="preserve">fundadas</w:t>
      </w:r>
      <w:r w:rsidDel="00000000" w:rsidR="00000000" w:rsidRPr="00000000">
        <w:rPr>
          <w:rFonts w:ascii="Palatino Linotype" w:cs="Palatino Linotype" w:eastAsia="Palatino Linotype" w:hAnsi="Palatino Linotype"/>
          <w:sz w:val="22"/>
          <w:szCs w:val="22"/>
          <w:rtl w:val="0"/>
        </w:rPr>
        <w:t xml:space="preserve"> las razones o motivos de inconformidad hechos valer por </w:t>
      </w:r>
      <w:r w:rsidDel="00000000" w:rsidR="00000000" w:rsidRPr="00000000">
        <w:rPr>
          <w:rFonts w:ascii="Palatino Linotype" w:cs="Palatino Linotype" w:eastAsia="Palatino Linotype" w:hAnsi="Palatino Linotype"/>
          <w:b w:val="1"/>
          <w:sz w:val="22"/>
          <w:szCs w:val="22"/>
          <w:rtl w:val="0"/>
        </w:rPr>
        <w:t xml:space="preserve">la parte Recurrente</w:t>
      </w:r>
      <w:r w:rsidDel="00000000" w:rsidR="00000000" w:rsidRPr="00000000">
        <w:rPr>
          <w:rFonts w:ascii="Palatino Linotype" w:cs="Palatino Linotype" w:eastAsia="Palatino Linotype" w:hAnsi="Palatino Linotype"/>
          <w:sz w:val="22"/>
          <w:szCs w:val="22"/>
          <w:rtl w:val="0"/>
        </w:rPr>
        <w:t xml:space="preserve"> en el recurso de revisión </w:t>
      </w:r>
      <w:r w:rsidDel="00000000" w:rsidR="00000000" w:rsidRPr="00000000">
        <w:rPr>
          <w:rFonts w:ascii="Palatino Linotype" w:cs="Palatino Linotype" w:eastAsia="Palatino Linotype" w:hAnsi="Palatino Linotype"/>
          <w:b w:val="1"/>
          <w:sz w:val="22"/>
          <w:szCs w:val="22"/>
          <w:rtl w:val="0"/>
        </w:rPr>
        <w:t xml:space="preserve">07459/INFOEM/IP/RR/2025</w:t>
      </w:r>
      <w:r w:rsidDel="00000000" w:rsidR="00000000" w:rsidRPr="00000000">
        <w:rPr>
          <w:rFonts w:ascii="Palatino Linotype" w:cs="Palatino Linotype" w:eastAsia="Palatino Linotype" w:hAnsi="Palatino Linotype"/>
          <w:sz w:val="22"/>
          <w:szCs w:val="22"/>
          <w:rtl w:val="0"/>
        </w:rPr>
        <w:t xml:space="preserve">; por lo que, en términos del </w:t>
      </w:r>
      <w:r w:rsidDel="00000000" w:rsidR="00000000" w:rsidRPr="00000000">
        <w:rPr>
          <w:rFonts w:ascii="Palatino Linotype" w:cs="Palatino Linotype" w:eastAsia="Palatino Linotype" w:hAnsi="Palatino Linotype"/>
          <w:b w:val="1"/>
          <w:sz w:val="22"/>
          <w:szCs w:val="22"/>
          <w:rtl w:val="0"/>
        </w:rPr>
        <w:t xml:space="preserve">Considerando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de esta resolución, se </w:t>
      </w:r>
      <w:r w:rsidDel="00000000" w:rsidR="00000000" w:rsidRPr="00000000">
        <w:rPr>
          <w:rFonts w:ascii="Palatino Linotype" w:cs="Palatino Linotype" w:eastAsia="Palatino Linotype" w:hAnsi="Palatino Linotype"/>
          <w:b w:val="1"/>
          <w:sz w:val="22"/>
          <w:szCs w:val="22"/>
          <w:rtl w:val="0"/>
        </w:rPr>
        <w:t xml:space="preserve">REVOCA </w:t>
      </w:r>
      <w:r w:rsidDel="00000000" w:rsidR="00000000" w:rsidRPr="00000000">
        <w:rPr>
          <w:rFonts w:ascii="Palatino Linotype" w:cs="Palatino Linotype" w:eastAsia="Palatino Linotype" w:hAnsi="Palatino Linotype"/>
          <w:sz w:val="22"/>
          <w:szCs w:val="22"/>
          <w:rtl w:val="0"/>
        </w:rPr>
        <w:t xml:space="preserve">la respuesta emitida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tl w:val="0"/>
        </w:rPr>
      </w:r>
    </w:p>
    <w:p w:rsidR="00000000" w:rsidDel="00000000" w:rsidP="00000000" w:rsidRDefault="00000000" w:rsidRPr="00000000" w14:paraId="0000011F">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w:t>
      </w:r>
      <w:r w:rsidDel="00000000" w:rsidR="00000000" w:rsidRPr="00000000">
        <w:rPr>
          <w:rFonts w:ascii="Palatino Linotype" w:cs="Palatino Linotype" w:eastAsia="Palatino Linotype" w:hAnsi="Palatino Linotype"/>
          <w:sz w:val="22"/>
          <w:szCs w:val="22"/>
          <w:rtl w:val="0"/>
        </w:rPr>
        <w:t xml:space="preserve">Se </w:t>
      </w:r>
      <w:r w:rsidDel="00000000" w:rsidR="00000000" w:rsidRPr="00000000">
        <w:rPr>
          <w:rFonts w:ascii="Palatino Linotype" w:cs="Palatino Linotype" w:eastAsia="Palatino Linotype" w:hAnsi="Palatino Linotype"/>
          <w:b w:val="1"/>
          <w:sz w:val="22"/>
          <w:szCs w:val="22"/>
          <w:rtl w:val="0"/>
        </w:rPr>
        <w:t xml:space="preserve">Ordena</w:t>
      </w:r>
      <w:r w:rsidDel="00000000" w:rsidR="00000000" w:rsidRPr="00000000">
        <w:rPr>
          <w:rFonts w:ascii="Palatino Linotype" w:cs="Palatino Linotype" w:eastAsia="Palatino Linotype" w:hAnsi="Palatino Linotype"/>
          <w:sz w:val="22"/>
          <w:szCs w:val="22"/>
          <w:rtl w:val="0"/>
        </w:rPr>
        <w:t xml:space="preserve">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 términos de los Considerandos </w:t>
      </w:r>
      <w:r w:rsidDel="00000000" w:rsidR="00000000" w:rsidRPr="00000000">
        <w:rPr>
          <w:rFonts w:ascii="Palatino Linotype" w:cs="Palatino Linotype" w:eastAsia="Palatino Linotype" w:hAnsi="Palatino Linotype"/>
          <w:b w:val="1"/>
          <w:sz w:val="22"/>
          <w:szCs w:val="22"/>
          <w:rtl w:val="0"/>
        </w:rPr>
        <w:t xml:space="preserve">Cuarto y Quinto </w:t>
      </w:r>
      <w:r w:rsidDel="00000000" w:rsidR="00000000" w:rsidRPr="00000000">
        <w:rPr>
          <w:rFonts w:ascii="Palatino Linotype" w:cs="Palatino Linotype" w:eastAsia="Palatino Linotype" w:hAnsi="Palatino Linotype"/>
          <w:sz w:val="22"/>
          <w:szCs w:val="22"/>
          <w:rtl w:val="0"/>
        </w:rPr>
        <w:t xml:space="preserve">de esta resolución, haga entrega vía SAIMEX, de ser procedente en versión pública, la siguiente información:</w:t>
      </w:r>
    </w:p>
    <w:p w:rsidR="00000000" w:rsidDel="00000000" w:rsidP="00000000" w:rsidRDefault="00000000" w:rsidRPr="00000000" w14:paraId="00000120">
      <w:pPr>
        <w:numPr>
          <w:ilvl w:val="0"/>
          <w:numId w:val="1"/>
        </w:numPr>
        <w:pBdr>
          <w:top w:space="0" w:sz="0" w:val="nil"/>
          <w:left w:space="0" w:sz="0" w:val="nil"/>
          <w:bottom w:space="0" w:sz="0" w:val="nil"/>
          <w:right w:space="0" w:sz="0" w:val="nil"/>
          <w:between w:space="0" w:sz="0" w:val="nil"/>
        </w:pBdr>
        <w:spacing w:line="360" w:lineRule="auto"/>
        <w:ind w:left="720" w:right="616"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Las pólizas de egresos del mes de marzo de dos mil veinticinco. </w:t>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line="276" w:lineRule="auto"/>
        <w:ind w:left="720" w:right="616"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2">
      <w:pPr>
        <w:tabs>
          <w:tab w:val="left" w:leader="none" w:pos="8222"/>
        </w:tabs>
        <w:spacing w:line="276" w:lineRule="auto"/>
        <w:ind w:left="426" w:right="61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y se ponga a disposición de la parte Recurrente, en términos de los artículos 49, fracción VIII, de la Ley de Transparencia y Acceso a la Información Pública del Estado de México y Municipios.</w:t>
      </w:r>
    </w:p>
    <w:p w:rsidR="00000000" w:rsidDel="00000000" w:rsidP="00000000" w:rsidRDefault="00000000" w:rsidRPr="00000000" w14:paraId="00000123">
      <w:pPr>
        <w:tabs>
          <w:tab w:val="left" w:leader="none" w:pos="8222"/>
        </w:tabs>
        <w:spacing w:line="276" w:lineRule="auto"/>
        <w:ind w:left="426" w:right="615"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24">
      <w:pPr>
        <w:tabs>
          <w:tab w:val="left" w:leader="none" w:pos="8222"/>
        </w:tabs>
        <w:spacing w:line="276" w:lineRule="auto"/>
        <w:ind w:left="426" w:right="615"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25">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Notifíquese vía SAIMEX, </w:t>
      </w:r>
      <w:r w:rsidDel="00000000" w:rsidR="00000000" w:rsidRPr="00000000">
        <w:rPr>
          <w:rFonts w:ascii="Palatino Linotype" w:cs="Palatino Linotype" w:eastAsia="Palatino Linotype" w:hAnsi="Palatino Linotype"/>
          <w:sz w:val="22"/>
          <w:szCs w:val="22"/>
          <w:rtl w:val="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000000" w:rsidDel="00000000" w:rsidP="00000000" w:rsidRDefault="00000000" w:rsidRPr="00000000" w14:paraId="00000126">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Notifíquese a través del SAIMEX, </w:t>
      </w:r>
      <w:r w:rsidDel="00000000" w:rsidR="00000000" w:rsidRPr="00000000">
        <w:rPr>
          <w:rFonts w:ascii="Palatino Linotype" w:cs="Palatino Linotype" w:eastAsia="Palatino Linotype" w:hAnsi="Palatino Linotype"/>
          <w:sz w:val="22"/>
          <w:szCs w:val="22"/>
          <w:rtl w:val="0"/>
        </w:rPr>
        <w:t xml:space="preserve">al Titular de la Unidad de Transparencia que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000000" w:rsidDel="00000000" w:rsidP="00000000" w:rsidRDefault="00000000" w:rsidRPr="00000000" w14:paraId="00000127">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Notifíquese vía SAIMEX, </w:t>
      </w:r>
      <w:r w:rsidDel="00000000" w:rsidR="00000000" w:rsidRPr="00000000">
        <w:rPr>
          <w:rFonts w:ascii="Palatino Linotype" w:cs="Palatino Linotype" w:eastAsia="Palatino Linotype" w:hAnsi="Palatino Linotype"/>
          <w:sz w:val="22"/>
          <w:szCs w:val="22"/>
          <w:rtl w:val="0"/>
        </w:rPr>
        <w:t xml:space="preserve">a</w:t>
      </w:r>
      <w:r w:rsidDel="00000000" w:rsidR="00000000" w:rsidRPr="00000000">
        <w:rPr>
          <w:rFonts w:ascii="Palatino Linotype" w:cs="Palatino Linotype" w:eastAsia="Palatino Linotype" w:hAnsi="Palatino Linotype"/>
          <w:b w:val="1"/>
          <w:sz w:val="22"/>
          <w:szCs w:val="22"/>
          <w:rtl w:val="0"/>
        </w:rPr>
        <w:t xml:space="preserve"> la parte Recurrente</w:t>
      </w:r>
      <w:r w:rsidDel="00000000" w:rsidR="00000000" w:rsidRPr="00000000">
        <w:rPr>
          <w:rFonts w:ascii="Palatino Linotype" w:cs="Palatino Linotype" w:eastAsia="Palatino Linotype" w:hAnsi="Palatino Linotype"/>
          <w:sz w:val="22"/>
          <w:szCs w:val="22"/>
          <w:rtl w:val="0"/>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 </w:t>
      </w:r>
    </w:p>
    <w:p w:rsidR="00000000" w:rsidDel="00000000" w:rsidP="00000000" w:rsidRDefault="00000000" w:rsidRPr="00000000" w14:paraId="0000012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SEGUNDA SESIÓN ORDINARIA, CELEBRADA EL DIEZ DE SEPTIEMBRE DE DOS MIL VEINTICINCO, ANTE EL SECRETARIO TÉCNICO DEL PLENO ALEXIS TAPIA RAMÍREZ. </w:t>
      </w:r>
    </w:p>
    <w:p w:rsidR="00000000" w:rsidDel="00000000" w:rsidP="00000000" w:rsidRDefault="00000000" w:rsidRPr="00000000" w14:paraId="00000129">
      <w:pPr>
        <w:rPr>
          <w:rFonts w:ascii="Palatino Linotype" w:cs="Palatino Linotype" w:eastAsia="Palatino Linotype" w:hAnsi="Palatino Linotype"/>
          <w:sz w:val="22"/>
          <w:szCs w:val="22"/>
        </w:rPr>
      </w:pPr>
      <w:bookmarkStart w:colFirst="0" w:colLast="0" w:name="_heading=h.17dp8vu" w:id="11"/>
      <w:bookmarkEnd w:id="11"/>
      <w:r w:rsidDel="00000000" w:rsidR="00000000" w:rsidRPr="00000000">
        <w:rPr>
          <w:rtl w:val="0"/>
        </w:rPr>
      </w:r>
    </w:p>
    <w:p w:rsidR="00000000" w:rsidDel="00000000" w:rsidP="00000000" w:rsidRDefault="00000000" w:rsidRPr="00000000" w14:paraId="0000012A">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B">
      <w:pPr>
        <w:spacing w:line="360" w:lineRule="auto"/>
        <w:jc w:val="both"/>
        <w:rPr>
          <w:rFonts w:ascii="Palatino Linotype" w:cs="Palatino Linotype" w:eastAsia="Palatino Linotype" w:hAnsi="Palatino Linotype"/>
          <w:sz w:val="22"/>
          <w:szCs w:val="22"/>
        </w:rPr>
      </w:pPr>
      <w:bookmarkStart w:colFirst="0" w:colLast="0" w:name="_heading=h.3rdcrjn" w:id="12"/>
      <w:bookmarkEnd w:id="12"/>
      <w:r w:rsidDel="00000000" w:rsidR="00000000" w:rsidRPr="00000000">
        <w:rPr>
          <w:rtl w:val="0"/>
        </w:rPr>
      </w:r>
    </w:p>
    <w:p w:rsidR="00000000" w:rsidDel="00000000" w:rsidP="00000000" w:rsidRDefault="00000000" w:rsidRPr="00000000" w14:paraId="0000012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E">
      <w:pPr>
        <w:spacing w:line="360" w:lineRule="auto"/>
        <w:jc w:val="both"/>
        <w:rPr>
          <w:rFonts w:ascii="Palatino Linotype" w:cs="Palatino Linotype" w:eastAsia="Palatino Linotype" w:hAnsi="Palatino Linotype"/>
          <w:sz w:val="22"/>
          <w:szCs w:val="22"/>
        </w:rPr>
      </w:pPr>
      <w:bookmarkStart w:colFirst="0" w:colLast="0" w:name="_heading=h.1t3h5sf" w:id="13"/>
      <w:bookmarkEnd w:id="13"/>
      <w:r w:rsidDel="00000000" w:rsidR="00000000" w:rsidRPr="00000000">
        <w:rPr>
          <w:rtl w:val="0"/>
        </w:rPr>
      </w:r>
    </w:p>
    <w:p w:rsidR="00000000" w:rsidDel="00000000" w:rsidP="00000000" w:rsidRDefault="00000000" w:rsidRPr="00000000" w14:paraId="0000012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3">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8">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A">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4">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-1080105</wp:posOffset>
          </wp:positionH>
          <wp:positionV relativeFrom="paragraph">
            <wp:posOffset>-488280</wp:posOffset>
          </wp:positionV>
          <wp:extent cx="7809865" cy="10165715"/>
          <wp:effectExtent b="0" l="0" r="0" t="0"/>
          <wp:wrapNone/>
          <wp:docPr id="204732260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1"/>
      <w:tblW w:w="7087.0" w:type="dxa"/>
      <w:jc w:val="left"/>
      <w:tblInd w:w="3261.0" w:type="dxa"/>
      <w:tblLayout w:type="fixed"/>
      <w:tblLook w:val="0400"/>
    </w:tblPr>
    <w:tblGrid>
      <w:gridCol w:w="2489"/>
      <w:gridCol w:w="4598"/>
      <w:tblGridChange w:id="0">
        <w:tblGrid>
          <w:gridCol w:w="2489"/>
          <w:gridCol w:w="4598"/>
        </w:tblGrid>
      </w:tblGridChange>
    </w:tblGrid>
    <w:tr>
      <w:trPr>
        <w:cantSplit w:val="0"/>
        <w:tblHeader w:val="0"/>
      </w:trPr>
      <w:tc>
        <w:tcPr/>
        <w:p w:rsidR="00000000" w:rsidDel="00000000" w:rsidP="00000000" w:rsidRDefault="00000000" w:rsidRPr="00000000" w14:paraId="00000145">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46">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07459/INFOEM/IP/RR/2025</w:t>
          </w:r>
        </w:p>
      </w:tc>
    </w:tr>
    <w:tr>
      <w:trPr>
        <w:cantSplit w:val="0"/>
        <w:trHeight w:val="228" w:hRule="atLeast"/>
        <w:tblHeader w:val="0"/>
      </w:trPr>
      <w:tc>
        <w:tcPr>
          <w:vAlign w:val="center"/>
        </w:tcPr>
        <w:p w:rsidR="00000000" w:rsidDel="00000000" w:rsidP="00000000" w:rsidRDefault="00000000" w:rsidRPr="00000000" w14:paraId="0000014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p w:rsidR="00000000" w:rsidDel="00000000" w:rsidP="00000000" w:rsidRDefault="00000000" w:rsidRPr="00000000" w14:paraId="00000148">
          <w:pPr>
            <w:rPr>
              <w:rFonts w:ascii="Palatino Linotype" w:cs="Palatino Linotype" w:eastAsia="Palatino Linotype" w:hAnsi="Palatino Linotype"/>
              <w:b w:val="1"/>
              <w:sz w:val="22"/>
              <w:szCs w:val="22"/>
            </w:rPr>
          </w:pPr>
          <w:r w:rsidDel="00000000" w:rsidR="00000000" w:rsidRPr="00000000">
            <w:rPr>
              <w:rtl w:val="0"/>
            </w:rPr>
          </w:r>
        </w:p>
      </w:tc>
      <w:tc>
        <w:tcPr>
          <w:vAlign w:val="center"/>
        </w:tcPr>
        <w:p w:rsidR="00000000" w:rsidDel="00000000" w:rsidP="00000000" w:rsidRDefault="00000000" w:rsidRPr="00000000" w14:paraId="00000149">
          <w:pPr>
            <w:ind w:left="-45" w:right="158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Zinacantepec</w:t>
          </w:r>
        </w:p>
      </w:tc>
    </w:tr>
    <w:tr>
      <w:trPr>
        <w:cantSplit w:val="0"/>
        <w:tblHeader w:val="0"/>
      </w:trPr>
      <w:tc>
        <w:tcPr>
          <w:vAlign w:val="center"/>
        </w:tcPr>
        <w:p w:rsidR="00000000" w:rsidDel="00000000" w:rsidP="00000000" w:rsidRDefault="00000000" w:rsidRPr="00000000" w14:paraId="0000014A">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4B">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4C">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D">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p>
  <w:tbl>
    <w:tblPr>
      <w:tblStyle w:val="Table2"/>
      <w:tblW w:w="6945.0" w:type="dxa"/>
      <w:jc w:val="left"/>
      <w:tblInd w:w="3261.0" w:type="dxa"/>
      <w:tblLayout w:type="fixed"/>
      <w:tblLook w:val="0400"/>
    </w:tblPr>
    <w:tblGrid>
      <w:gridCol w:w="2551"/>
      <w:gridCol w:w="4394"/>
      <w:tblGridChange w:id="0">
        <w:tblGrid>
          <w:gridCol w:w="2551"/>
          <w:gridCol w:w="4394"/>
        </w:tblGrid>
      </w:tblGridChange>
    </w:tblGrid>
    <w:tr>
      <w:trPr>
        <w:cantSplit w:val="0"/>
        <w:tblHeader w:val="0"/>
      </w:trPr>
      <w:tc>
        <w:tcPr>
          <w:vAlign w:val="center"/>
        </w:tcPr>
        <w:p w:rsidR="00000000" w:rsidDel="00000000" w:rsidP="00000000" w:rsidRDefault="00000000" w:rsidRPr="00000000" w14:paraId="0000014E">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4F">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07459/INFOEM/IP/RR/2025</w:t>
          </w:r>
        </w:p>
      </w:tc>
    </w:tr>
    <w:tr>
      <w:trPr>
        <w:cantSplit w:val="0"/>
        <w:trHeight w:val="130" w:hRule="atLeast"/>
        <w:tblHeader w:val="0"/>
      </w:trPr>
      <w:tc>
        <w:tcPr>
          <w:vAlign w:val="center"/>
        </w:tcPr>
        <w:p w:rsidR="00000000" w:rsidDel="00000000" w:rsidP="00000000" w:rsidRDefault="00000000" w:rsidRPr="00000000" w14:paraId="0000015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151">
          <w:pPr>
            <w:ind w:left="-45" w:right="1444" w:firstLine="0"/>
            <w:jc w:val="both"/>
            <w:rPr>
              <w:rFonts w:ascii="Palatino Linotype" w:cs="Palatino Linotype" w:eastAsia="Palatino Linotype" w:hAnsi="Palatino Linotype"/>
              <w:b w:val="1"/>
              <w:sz w:val="22"/>
              <w:szCs w:val="2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-4590414</wp:posOffset>
                </wp:positionH>
                <wp:positionV relativeFrom="paragraph">
                  <wp:posOffset>-676274</wp:posOffset>
                </wp:positionV>
                <wp:extent cx="7809865" cy="10165715"/>
                <wp:effectExtent b="0" l="0" r="0" t="0"/>
                <wp:wrapNone/>
                <wp:docPr id="204732260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c>
    </w:tr>
    <w:tr>
      <w:trPr>
        <w:cantSplit w:val="0"/>
        <w:trHeight w:val="228" w:hRule="atLeast"/>
        <w:tblHeader w:val="0"/>
      </w:trPr>
      <w:tc>
        <w:tcPr>
          <w:vAlign w:val="center"/>
        </w:tcPr>
        <w:p w:rsidR="00000000" w:rsidDel="00000000" w:rsidP="00000000" w:rsidRDefault="00000000" w:rsidRPr="00000000" w14:paraId="0000015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53">
          <w:pPr>
            <w:ind w:left="-45" w:right="158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Zinacantepec</w:t>
          </w:r>
        </w:p>
      </w:tc>
    </w:tr>
    <w:tr>
      <w:trPr>
        <w:cantSplit w:val="0"/>
        <w:tblHeader w:val="0"/>
      </w:trPr>
      <w:tc>
        <w:tcPr>
          <w:vAlign w:val="center"/>
        </w:tcPr>
        <w:p w:rsidR="00000000" w:rsidDel="00000000" w:rsidP="00000000" w:rsidRDefault="00000000" w:rsidRPr="00000000" w14:paraId="0000015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55">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56">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0"/>
      <w:numFmt w:val="bullet"/>
      <w:lvlText w:val="•"/>
      <w:lvlJc w:val="left"/>
      <w:pPr>
        <w:ind w:left="1080" w:hanging="72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MX"/>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7" w:customStyle="1">
    <w:name w:val="Table Normal7"/>
    <w:tblPr>
      <w:tblCellMar>
        <w:top w:w="0.0" w:type="dxa"/>
        <w:left w:w="0.0" w:type="dxa"/>
        <w:bottom w:w="0.0" w:type="dxa"/>
        <w:right w:w="0.0" w:type="dxa"/>
      </w:tblCellMar>
    </w:tblPr>
  </w:style>
  <w:style w:type="table" w:styleId="TableNormal6" w:customStyle="1">
    <w:name w:val="Table Normal6"/>
    <w:tblPr>
      <w:tblCellMar>
        <w:top w:w="0.0" w:type="dxa"/>
        <w:left w:w="0.0" w:type="dxa"/>
        <w:bottom w:w="0.0" w:type="dxa"/>
        <w:right w:w="0.0" w:type="dxa"/>
      </w:tblCellMar>
    </w:tblPr>
  </w:style>
  <w:style w:type="table" w:styleId="TableNormal5" w:customStyle="1">
    <w:name w:val="Table Normal5"/>
    <w:tblPr>
      <w:tblCellMar>
        <w:top w:w="0.0" w:type="dxa"/>
        <w:left w:w="0.0" w:type="dxa"/>
        <w:bottom w:w="0.0" w:type="dxa"/>
        <w:right w:w="0.0" w:type="dxa"/>
      </w:tblCellMar>
    </w:tblPr>
  </w:style>
  <w:style w:type="table" w:styleId="TableNormal4" w:customStyle="1">
    <w:name w:val="Table Normal4"/>
    <w:tblPr>
      <w:tblCellMar>
        <w:top w:w="0.0" w:type="dxa"/>
        <w:left w:w="0.0" w:type="dxa"/>
        <w:bottom w:w="0.0" w:type="dxa"/>
        <w:right w:w="0.0" w:type="dxa"/>
      </w:tblCellMar>
    </w:tblPr>
  </w:style>
  <w:style w:type="table" w:styleId="TableNormal30" w:customStyle="1">
    <w:name w:val="Table Normal3"/>
    <w:tblPr>
      <w:tblCellMar>
        <w:top w:w="0.0" w:type="dxa"/>
        <w:left w:w="0.0" w:type="dxa"/>
        <w:bottom w:w="0.0" w:type="dxa"/>
        <w:right w:w="0.0" w:type="dxa"/>
      </w:tblCellMar>
    </w:tblPr>
  </w:style>
  <w:style w:type="table" w:styleId="TableNormal20" w:customStyle="1">
    <w:name w:val="Table Normal2"/>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table" w:styleId="16" w:customStyle="1">
    <w:name w:val="16"/>
    <w:basedOn w:val="TableNormal10"/>
    <w:tblPr>
      <w:tblStyleRowBandSize w:val="1"/>
      <w:tblStyleColBandSize w:val="1"/>
      <w:tblCellMar>
        <w:left w:w="115.0" w:type="dxa"/>
        <w:right w:w="115.0" w:type="dxa"/>
      </w:tblCellMar>
    </w:tblPr>
  </w:style>
  <w:style w:type="table" w:styleId="15" w:customStyle="1">
    <w:name w:val="15"/>
    <w:basedOn w:val="TableNormal10"/>
    <w:tblPr>
      <w:tblStyleRowBandSize w:val="1"/>
      <w:tblStyleColBandSize w:val="1"/>
      <w:tblCellMar>
        <w:left w:w="115.0" w:type="dxa"/>
        <w:right w:w="115.0" w:type="dxa"/>
      </w:tblCellMar>
    </w:tblPr>
  </w:style>
  <w:style w:type="paragraph" w:styleId="Encabezado">
    <w:name w:val="header"/>
    <w:basedOn w:val="Normal"/>
    <w:link w:val="EncabezadoCar"/>
    <w:uiPriority w:val="99"/>
    <w:unhideWhenUsed w:val="1"/>
    <w:rsid w:val="00FE2A5A"/>
    <w:pPr>
      <w:tabs>
        <w:tab w:val="center" w:pos="4419"/>
        <w:tab w:val="right" w:pos="8838"/>
      </w:tabs>
    </w:pPr>
    <w:rPr>
      <w:lang w:val="es-ES"/>
    </w:rPr>
  </w:style>
  <w:style w:type="character" w:styleId="EncabezadoCar" w:customStyle="1">
    <w:name w:val="Encabezado Car"/>
    <w:basedOn w:val="Fuentedeprrafopredeter"/>
    <w:link w:val="Encabezado"/>
    <w:uiPriority w:val="99"/>
    <w:rsid w:val="00FE2A5A"/>
  </w:style>
  <w:style w:type="paragraph" w:styleId="Piedepgina">
    <w:name w:val="footer"/>
    <w:basedOn w:val="Normal"/>
    <w:link w:val="PiedepginaCar"/>
    <w:uiPriority w:val="99"/>
    <w:unhideWhenUsed w:val="1"/>
    <w:rsid w:val="00FE2A5A"/>
    <w:pPr>
      <w:tabs>
        <w:tab w:val="center" w:pos="4419"/>
        <w:tab w:val="right" w:pos="8838"/>
      </w:tabs>
    </w:pPr>
    <w:rPr>
      <w:lang w:val="es-ES"/>
    </w:rPr>
  </w:style>
  <w:style w:type="character" w:styleId="PiedepginaCar" w:customStyle="1">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val="1"/>
    <w:rsid w:val="00FE2A5A"/>
    <w:pPr>
      <w:ind w:left="720"/>
      <w:contextualSpacing w:val="1"/>
    </w:pPr>
    <w:rPr>
      <w:lang w:val="es-ES"/>
    </w:rPr>
  </w:style>
  <w:style w:type="table" w:styleId="Tablaconcuadrcula">
    <w:name w:val="Table Grid"/>
    <w:basedOn w:val="Tablanormal"/>
    <w:uiPriority w:val="39"/>
    <w:rsid w:val="0051350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9012F5"/>
    <w:pPr>
      <w:spacing w:after="100" w:afterAutospacing="1" w:before="100" w:beforeAutospacing="1"/>
    </w:pPr>
    <w:rPr>
      <w:lang w:val="es-ES"/>
    </w:rPr>
  </w:style>
  <w:style w:type="table" w:styleId="14" w:customStyle="1">
    <w:name w:val="14"/>
    <w:basedOn w:val="TableNormal10"/>
    <w:tblPr>
      <w:tblStyleRowBandSize w:val="1"/>
      <w:tblStyleColBandSize w:val="1"/>
      <w:tblCellMar>
        <w:left w:w="115.0" w:type="dxa"/>
        <w:right w:w="115.0" w:type="dxa"/>
      </w:tblCellMar>
    </w:tblPr>
  </w:style>
  <w:style w:type="table" w:styleId="13" w:customStyle="1">
    <w:name w:val="13"/>
    <w:basedOn w:val="TableNormal10"/>
    <w:tblPr>
      <w:tblStyleRowBandSize w:val="1"/>
      <w:tblStyleColBandSize w:val="1"/>
      <w:tblCellMar>
        <w:left w:w="115.0" w:type="dxa"/>
        <w:right w:w="115.0" w:type="dxa"/>
      </w:tblCellMar>
    </w:tblPr>
  </w:style>
  <w:style w:type="character" w:styleId="apple-tab-span" w:customStyle="1">
    <w:name w:val="apple-tab-span"/>
    <w:basedOn w:val="Fuentedeprrafopredeter"/>
    <w:rsid w:val="00355FC9"/>
  </w:style>
  <w:style w:type="table" w:styleId="12" w:customStyle="1">
    <w:name w:val="12"/>
    <w:basedOn w:val="TableNormal20"/>
    <w:tblPr>
      <w:tblStyleRowBandSize w:val="1"/>
      <w:tblStyleColBandSize w:val="1"/>
      <w:tblCellMar>
        <w:left w:w="115.0" w:type="dxa"/>
        <w:right w:w="115.0" w:type="dxa"/>
      </w:tblCellMar>
    </w:tblPr>
  </w:style>
  <w:style w:type="table" w:styleId="11" w:customStyle="1">
    <w:name w:val="11"/>
    <w:basedOn w:val="TableNormal20"/>
    <w:tblPr>
      <w:tblStyleRowBandSize w:val="1"/>
      <w:tblStyleColBandSize w:val="1"/>
      <w:tblCellMar>
        <w:left w:w="115.0" w:type="dxa"/>
        <w:right w:w="115.0" w:type="dxa"/>
      </w:tblCellMar>
    </w:tblPr>
  </w:style>
  <w:style w:type="character" w:styleId="Hipervnculo">
    <w:name w:val="Hyperlink"/>
    <w:basedOn w:val="Fuentedeprrafopredeter"/>
    <w:uiPriority w:val="99"/>
    <w:unhideWhenUsed w:val="1"/>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F759CF"/>
    <w:rPr>
      <w:sz w:val="20"/>
      <w:szCs w:val="20"/>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val="1"/>
    <w:qFormat w:val="1"/>
    <w:rsid w:val="00F759CF"/>
    <w:rPr>
      <w:vertAlign w:val="superscript"/>
    </w:rPr>
  </w:style>
  <w:style w:type="table" w:styleId="10" w:customStyle="1">
    <w:name w:val="10"/>
    <w:basedOn w:val="TableNormal30"/>
    <w:tblPr>
      <w:tblStyleRowBandSize w:val="1"/>
      <w:tblStyleColBandSize w:val="1"/>
      <w:tblCellMar>
        <w:left w:w="115.0" w:type="dxa"/>
        <w:right w:w="115.0" w:type="dxa"/>
      </w:tblCellMar>
    </w:tblPr>
  </w:style>
  <w:style w:type="table" w:styleId="9" w:customStyle="1">
    <w:name w:val="9"/>
    <w:basedOn w:val="TableNormal30"/>
    <w:tblPr>
      <w:tblStyleRowBandSize w:val="1"/>
      <w:tblStyleColBandSize w:val="1"/>
      <w:tblCellMar>
        <w:left w:w="115.0" w:type="dxa"/>
        <w:right w:w="115.0" w:type="dxa"/>
      </w:tblCellMar>
    </w:tbl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val="1"/>
    <w:locked w:val="1"/>
    <w:rsid w:val="00283BF5"/>
    <w:rPr>
      <w:lang w:val="es-ES"/>
    </w:rPr>
  </w:style>
  <w:style w:type="table" w:styleId="8" w:customStyle="1">
    <w:name w:val="8"/>
    <w:basedOn w:val="TableNormal4"/>
    <w:tblPr>
      <w:tblStyleRowBandSize w:val="1"/>
      <w:tblStyleColBandSize w:val="1"/>
      <w:tblCellMar>
        <w:left w:w="115.0" w:type="dxa"/>
        <w:right w:w="115.0" w:type="dxa"/>
      </w:tblCellMar>
    </w:tblPr>
  </w:style>
  <w:style w:type="table" w:styleId="7" w:customStyle="1">
    <w:name w:val="7"/>
    <w:basedOn w:val="TableNormal4"/>
    <w:tblPr>
      <w:tblStyleRowBandSize w:val="1"/>
      <w:tblStyleColBandSize w:val="1"/>
      <w:tblCellMar>
        <w:left w:w="115.0" w:type="dxa"/>
        <w:right w:w="115.0" w:type="dxa"/>
      </w:tblCellMar>
    </w:tblPr>
  </w:style>
  <w:style w:type="table" w:styleId="6" w:customStyle="1">
    <w:name w:val="6"/>
    <w:basedOn w:val="TableNormal5"/>
    <w:tblPr>
      <w:tblStyleRowBandSize w:val="1"/>
      <w:tblStyleColBandSize w:val="1"/>
      <w:tblCellMar>
        <w:left w:w="115.0" w:type="dxa"/>
        <w:right w:w="115.0" w:type="dxa"/>
      </w:tblCellMar>
    </w:tblPr>
  </w:style>
  <w:style w:type="table" w:styleId="5" w:customStyle="1">
    <w:name w:val="5"/>
    <w:basedOn w:val="TableNormal5"/>
    <w:tblPr>
      <w:tblStyleRowBandSize w:val="1"/>
      <w:tblStyleColBandSize w:val="1"/>
      <w:tblCellMar>
        <w:left w:w="115.0" w:type="dxa"/>
        <w:right w:w="115.0" w:type="dxa"/>
      </w:tblCellMar>
    </w:tblPr>
  </w:style>
  <w:style w:type="paragraph" w:styleId="Listaconvietas3">
    <w:name w:val="List Bullet 3"/>
    <w:basedOn w:val="Normal"/>
    <w:uiPriority w:val="99"/>
    <w:unhideWhenUsed w:val="1"/>
    <w:rsid w:val="0077142E"/>
    <w:pPr>
      <w:numPr>
        <w:numId w:val="5"/>
      </w:numPr>
      <w:contextualSpacing w:val="1"/>
    </w:pPr>
  </w:style>
  <w:style w:type="table" w:styleId="4" w:customStyle="1">
    <w:name w:val="4"/>
    <w:basedOn w:val="TableNormal6"/>
    <w:tblPr>
      <w:tblStyleRowBandSize w:val="1"/>
      <w:tblStyleColBandSize w:val="1"/>
      <w:tblCellMar>
        <w:left w:w="115.0" w:type="dxa"/>
        <w:right w:w="115.0" w:type="dxa"/>
      </w:tblCellMar>
    </w:tblPr>
  </w:style>
  <w:style w:type="table" w:styleId="3" w:customStyle="1">
    <w:name w:val="3"/>
    <w:basedOn w:val="TableNormal6"/>
    <w:tblPr>
      <w:tblStyleRowBandSize w:val="1"/>
      <w:tblStyleColBandSize w:val="1"/>
      <w:tblCellMar>
        <w:left w:w="115.0" w:type="dxa"/>
        <w:right w:w="115.0" w:type="dxa"/>
      </w:tblCellMar>
    </w:tblPr>
  </w:style>
  <w:style w:type="table" w:styleId="2" w:customStyle="1">
    <w:name w:val="2"/>
    <w:basedOn w:val="TableNormal7"/>
    <w:tblPr>
      <w:tblStyleRowBandSize w:val="1"/>
      <w:tblStyleColBandSize w:val="1"/>
      <w:tblCellMar>
        <w:left w:w="115.0" w:type="dxa"/>
        <w:right w:w="115.0" w:type="dxa"/>
      </w:tblCellMar>
    </w:tblPr>
  </w:style>
  <w:style w:type="table" w:styleId="1" w:customStyle="1">
    <w:name w:val="1"/>
    <w:basedOn w:val="TableNormal7"/>
    <w:tblPr>
      <w:tblStyleRowBandSize w:val="1"/>
      <w:tblStyleColBandSize w:val="1"/>
      <w:tblCellMar>
        <w:left w:w="115.0" w:type="dxa"/>
        <w:right w:w="115.0" w:type="dxa"/>
      </w:tblCellMar>
    </w:tblPr>
  </w:style>
  <w:style w:type="paragraph" w:styleId="Listaconvietas2">
    <w:name w:val="List Bullet 2"/>
    <w:basedOn w:val="Normal"/>
    <w:uiPriority w:val="99"/>
    <w:unhideWhenUsed w:val="1"/>
    <w:rsid w:val="00B910CA"/>
    <w:pPr>
      <w:tabs>
        <w:tab w:val="num" w:pos="720"/>
      </w:tabs>
      <w:ind w:left="720" w:hanging="720"/>
      <w:contextualSpacing w:val="1"/>
    </w:pPr>
  </w:style>
  <w:style w:type="paragraph" w:styleId="Textodeglobo">
    <w:name w:val="Balloon Text"/>
    <w:basedOn w:val="Normal"/>
    <w:link w:val="TextodegloboCar"/>
    <w:uiPriority w:val="99"/>
    <w:semiHidden w:val="1"/>
    <w:unhideWhenUsed w:val="1"/>
    <w:rsid w:val="003B3B2A"/>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3B3B2A"/>
    <w:rPr>
      <w:rFonts w:ascii="Segoe UI" w:cs="Segoe UI" w:hAnsi="Segoe UI"/>
      <w:sz w:val="18"/>
      <w:szCs w:val="18"/>
    </w:rPr>
  </w:style>
  <w:style w:type="character" w:styleId="Hipervnculovisitado">
    <w:name w:val="FollowedHyperlink"/>
    <w:basedOn w:val="Fuentedeprrafopredeter"/>
    <w:uiPriority w:val="99"/>
    <w:semiHidden w:val="1"/>
    <w:unhideWhenUsed w:val="1"/>
    <w:rsid w:val="00E9311B"/>
    <w:rPr>
      <w:color w:val="800080" w:themeColor="followedHyperlink"/>
      <w:u w:val="single"/>
    </w:rPr>
  </w:style>
  <w:style w:type="table" w:styleId="a" w:customStyle="1">
    <w:basedOn w:val="TableNormal3"/>
    <w:tblPr>
      <w:tblStyleRowBandSize w:val="1"/>
      <w:tblStyleColBandSize w:val="1"/>
      <w:tblCellMar>
        <w:left w:w="115.0" w:type="dxa"/>
        <w:right w:w="115.0" w:type="dxa"/>
      </w:tblCellMar>
    </w:tblPr>
  </w:style>
  <w:style w:type="table" w:styleId="a0" w:customStyle="1">
    <w:basedOn w:val="TableNormal3"/>
    <w:tblPr>
      <w:tblStyleRowBandSize w:val="1"/>
      <w:tblStyleColBandSize w:val="1"/>
      <w:tblCellMar>
        <w:left w:w="115.0" w:type="dxa"/>
        <w:right w:w="115.0" w:type="dxa"/>
      </w:tblCellMar>
    </w:tblPr>
  </w:style>
  <w:style w:type="table" w:styleId="a1" w:customStyle="1">
    <w:basedOn w:val="TableNormal2"/>
    <w:tblPr>
      <w:tblStyleRowBandSize w:val="1"/>
      <w:tblStyleColBandSize w:val="1"/>
      <w:tblCellMar>
        <w:left w:w="115.0" w:type="dxa"/>
        <w:right w:w="115.0" w:type="dxa"/>
      </w:tblCellMar>
    </w:tblPr>
  </w:style>
  <w:style w:type="table" w:styleId="a2" w:customStyle="1">
    <w:basedOn w:val="TableNormal2"/>
    <w:tblPr>
      <w:tblStyleRowBandSize w:val="1"/>
      <w:tblStyleColBandSize w:val="1"/>
      <w:tblCellMar>
        <w:left w:w="115.0" w:type="dxa"/>
        <w:right w:w="115.0" w:type="dxa"/>
      </w:tblCellMar>
    </w:tblPr>
  </w:style>
  <w:style w:type="table" w:styleId="a3" w:customStyle="1">
    <w:basedOn w:val="TableNormal1"/>
    <w:tblPr>
      <w:tblStyleRowBandSize w:val="1"/>
      <w:tblStyleColBandSize w:val="1"/>
      <w:tblCellMar>
        <w:left w:w="115.0" w:type="dxa"/>
        <w:right w:w="115.0" w:type="dxa"/>
      </w:tblCellMar>
    </w:tblPr>
  </w:style>
  <w:style w:type="table" w:styleId="a4" w:customStyle="1">
    <w:basedOn w:val="TableNormal1"/>
    <w:tblPr>
      <w:tblStyleRowBandSize w:val="1"/>
      <w:tblStyleColBandSize w:val="1"/>
      <w:tblCellMar>
        <w:left w:w="115.0" w:type="dxa"/>
        <w:right w:w="115.0" w:type="dxa"/>
      </w:tblCellMar>
    </w:tblPr>
  </w:style>
  <w:style w:type="character" w:styleId="Refdecomentario">
    <w:name w:val="annotation reference"/>
    <w:basedOn w:val="Fuentedeprrafopredeter"/>
    <w:uiPriority w:val="99"/>
    <w:semiHidden w:val="1"/>
    <w:unhideWhenUsed w:val="1"/>
    <w:rsid w:val="00C552ED"/>
    <w:rPr>
      <w:sz w:val="16"/>
      <w:szCs w:val="16"/>
    </w:rPr>
  </w:style>
  <w:style w:type="paragraph" w:styleId="Textocomentario">
    <w:name w:val="annotation text"/>
    <w:basedOn w:val="Normal"/>
    <w:link w:val="TextocomentarioCar"/>
    <w:uiPriority w:val="99"/>
    <w:semiHidden w:val="1"/>
    <w:unhideWhenUsed w:val="1"/>
    <w:rsid w:val="00C552ED"/>
    <w:rPr>
      <w:sz w:val="20"/>
      <w:szCs w:val="20"/>
    </w:rPr>
  </w:style>
  <w:style w:type="character" w:styleId="TextocomentarioCar" w:customStyle="1">
    <w:name w:val="Texto comentario Car"/>
    <w:basedOn w:val="Fuentedeprrafopredeter"/>
    <w:link w:val="Textocomentario"/>
    <w:uiPriority w:val="99"/>
    <w:semiHidden w:val="1"/>
    <w:rsid w:val="00C552ED"/>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C552ED"/>
    <w:rPr>
      <w:b w:val="1"/>
      <w:bCs w:val="1"/>
    </w:rPr>
  </w:style>
  <w:style w:type="character" w:styleId="AsuntodelcomentarioCar" w:customStyle="1">
    <w:name w:val="Asunto del comentario Car"/>
    <w:basedOn w:val="TextocomentarioCar"/>
    <w:link w:val="Asuntodelcomentario"/>
    <w:uiPriority w:val="99"/>
    <w:semiHidden w:val="1"/>
    <w:rsid w:val="00C552ED"/>
    <w:rPr>
      <w:b w:val="1"/>
      <w:bCs w:val="1"/>
      <w:sz w:val="20"/>
      <w:szCs w:val="20"/>
    </w:rPr>
  </w:style>
  <w:style w:type="table" w:styleId="a5" w:customStyle="1">
    <w:basedOn w:val="TableNormal0"/>
    <w:tblPr>
      <w:tblStyleRowBandSize w:val="1"/>
      <w:tblStyleColBandSize w:val="1"/>
      <w:tblCellMar>
        <w:left w:w="108.0" w:type="dxa"/>
        <w:right w:w="108.0" w:type="dxa"/>
      </w:tblCellMar>
    </w:tblPr>
  </w:style>
  <w:style w:type="table" w:styleId="a6" w:customStyle="1">
    <w:basedOn w:val="TableNormal0"/>
    <w:tblPr>
      <w:tblStyleRowBandSize w:val="1"/>
      <w:tblStyleColBandSize w:val="1"/>
      <w:tblCellMar>
        <w:left w:w="115.0" w:type="dxa"/>
        <w:right w:w="115.0" w:type="dxa"/>
      </w:tblCellMar>
    </w:tblPr>
  </w:style>
  <w:style w:type="table" w:styleId="a7"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pkaN9Ok+EXnbwcuSy50a1i+Xtg==">CgMxLjAyCWguMWZvYjl0ZTIJaC40ZDM0b2c4MghoLmdqZGd4czIJaC4zZHk2dmttMgloLjMwajB6bGwyCWguMnM4ZXlvMTIIaC50eWpjd3QyDWgudWJxbmc1bWhjNjUyCWguM3pueXNoNzIOaC43Zmg5emp0ZWIzeHQyCGgubG54Yno5MgloLjE3ZHA4dnUyCWguM3JkY3JqbjIJaC4xdDNoNXNmOAByITFkYWoyc1ZoRG5LRkZBYUxaUWt4RmktQ3FOckl6SDZLaQ==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2025-10-06T17:38:00Z</dcterms:created>
  <dc:creator>USUARIO</dc:creator>
</cp:coreProperties>
</file>