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4CA00654"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1214E3">
        <w:rPr>
          <w:rFonts w:eastAsia="Palatino Linotype" w:cs="Palatino Linotype"/>
          <w:color w:val="000000" w:themeColor="text1"/>
        </w:rPr>
        <w:t>cuatro de junio</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2C9CF103"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bookmarkStart w:id="0" w:name="_GoBack"/>
      <w:r w:rsidR="00E33D5C">
        <w:rPr>
          <w:rFonts w:eastAsia="Palatino Linotype" w:cs="Palatino Linotype"/>
          <w:b/>
          <w:bCs/>
          <w:color w:val="000000" w:themeColor="text1"/>
          <w:lang w:val="es-ES"/>
        </w:rPr>
        <w:t>03210/INFOEM/IP/RR/2025</w:t>
      </w:r>
      <w:bookmarkEnd w:id="0"/>
      <w:r w:rsidRPr="4DD9124E">
        <w:rPr>
          <w:rFonts w:eastAsia="Palatino Linotype" w:cs="Palatino Linotype"/>
          <w:color w:val="000000" w:themeColor="text1"/>
          <w:lang w:val="es-ES"/>
        </w:rPr>
        <w:t xml:space="preserve">, interpuesto por </w:t>
      </w:r>
      <w:r w:rsidR="00E33D5C">
        <w:rPr>
          <w:rFonts w:eastAsia="Palatino Linotype" w:cs="Palatino Linotype"/>
          <w:b/>
          <w:bCs/>
          <w:color w:val="000000" w:themeColor="text1"/>
          <w:lang w:val="es-ES"/>
        </w:rPr>
        <w:t>una persona de manera anónima</w:t>
      </w:r>
      <w:r w:rsidRPr="4DD9124E">
        <w:rPr>
          <w:rFonts w:eastAsia="Palatino Linotype" w:cs="Palatino Linotype"/>
          <w:color w:val="000000" w:themeColor="text1"/>
          <w:lang w:val="es-ES"/>
        </w:rPr>
        <w:t xml:space="preserve">, en lo sucesivo el </w:t>
      </w:r>
      <w:r w:rsidRPr="4DD9124E">
        <w:rPr>
          <w:rFonts w:eastAsia="Palatino Linotype" w:cs="Palatino Linotype"/>
          <w:b/>
          <w:bCs/>
          <w:color w:val="000000" w:themeColor="text1"/>
          <w:lang w:val="es-ES"/>
        </w:rPr>
        <w:t>Recurrente</w:t>
      </w:r>
      <w:r w:rsidRPr="4DD9124E">
        <w:rPr>
          <w:rFonts w:eastAsia="Palatino Linotype" w:cs="Palatino Linotype"/>
          <w:color w:val="000000" w:themeColor="text1"/>
          <w:lang w:val="es-ES"/>
        </w:rPr>
        <w:t>, en contra de la respuesta de</w:t>
      </w:r>
      <w:r w:rsidR="00E16DEF">
        <w:rPr>
          <w:rFonts w:eastAsia="Palatino Linotype" w:cs="Palatino Linotype"/>
          <w:color w:val="000000" w:themeColor="text1"/>
          <w:lang w:val="es-ES"/>
        </w:rPr>
        <w:t>l</w:t>
      </w:r>
      <w:r w:rsidR="00F851EA">
        <w:rPr>
          <w:rFonts w:eastAsia="Palatino Linotype" w:cs="Palatino Linotype"/>
          <w:b/>
          <w:bCs/>
          <w:color w:val="000000" w:themeColor="text1"/>
          <w:lang w:val="es-ES"/>
        </w:rPr>
        <w:t xml:space="preserve"> </w:t>
      </w:r>
      <w:r w:rsidR="00E33D5C">
        <w:rPr>
          <w:rFonts w:eastAsia="Palatino Linotype" w:cs="Palatino Linotype"/>
          <w:b/>
          <w:bCs/>
          <w:color w:val="000000" w:themeColor="text1"/>
          <w:lang w:val="es-ES"/>
        </w:rPr>
        <w:t xml:space="preserve">Ayuntamiento de </w:t>
      </w:r>
      <w:proofErr w:type="spellStart"/>
      <w:r w:rsidR="00E33D5C">
        <w:rPr>
          <w:rFonts w:eastAsia="Palatino Linotype" w:cs="Palatino Linotype"/>
          <w:b/>
          <w:bCs/>
          <w:color w:val="000000" w:themeColor="text1"/>
          <w:lang w:val="es-ES"/>
        </w:rPr>
        <w:t>Acambay</w:t>
      </w:r>
      <w:proofErr w:type="spellEnd"/>
      <w:r w:rsidR="00E33D5C">
        <w:rPr>
          <w:rFonts w:eastAsia="Palatino Linotype" w:cs="Palatino Linotype"/>
          <w:b/>
          <w:bCs/>
          <w:color w:val="000000" w:themeColor="text1"/>
          <w:lang w:val="es-ES"/>
        </w:rPr>
        <w:t xml:space="preserve"> de Ruíz Castañeda</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28F117E9"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704E9C">
        <w:rPr>
          <w:rFonts w:eastAsia="Palatino Linotype" w:cs="Palatino Linotype"/>
          <w:color w:val="000000" w:themeColor="text1"/>
        </w:rPr>
        <w:t>seis de marzo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E33D5C">
        <w:rPr>
          <w:rFonts w:eastAsia="Palatino Linotype" w:cs="Palatino Linotype"/>
          <w:b/>
          <w:bCs/>
          <w:color w:val="000000" w:themeColor="text1"/>
        </w:rPr>
        <w:t>00179/ACAMBAY/IP/2025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466BA13F" w:rsidR="00663A37" w:rsidRPr="009D62BC" w:rsidRDefault="4DD9124E" w:rsidP="4DD9124E">
      <w:pPr>
        <w:pStyle w:val="Sinespaciado"/>
        <w:rPr>
          <w:rFonts w:eastAsia="Palatino Linotype"/>
          <w:lang w:val="es-ES"/>
        </w:rPr>
      </w:pPr>
      <w:r w:rsidRPr="7B4D60A3">
        <w:rPr>
          <w:rFonts w:eastAsia="Palatino Linotype"/>
          <w:lang w:val="es-ES"/>
        </w:rPr>
        <w:t>«</w:t>
      </w:r>
      <w:r w:rsidR="00704E9C" w:rsidRPr="7B4D60A3">
        <w:rPr>
          <w:rFonts w:eastAsia="Palatino Linotype"/>
          <w:lang w:val="es-ES"/>
        </w:rPr>
        <w:t xml:space="preserve">Solicito que la presidenta me informe porque su portal de IPOMEX no se encuentra </w:t>
      </w:r>
      <w:proofErr w:type="gramStart"/>
      <w:r w:rsidR="00704E9C" w:rsidRPr="7B4D60A3">
        <w:rPr>
          <w:rFonts w:eastAsia="Palatino Linotype"/>
          <w:lang w:val="es-ES"/>
        </w:rPr>
        <w:t>actualizado</w:t>
      </w:r>
      <w:proofErr w:type="gramEnd"/>
      <w:r w:rsidR="00704E9C" w:rsidRPr="7B4D60A3">
        <w:rPr>
          <w:rFonts w:eastAsia="Palatino Linotype"/>
          <w:lang w:val="es-ES"/>
        </w:rPr>
        <w:t xml:space="preserve"> así mismo solicito me informe ya que estoy realizando una evaluación del Sistema Nacional de Transparencia Nacional.</w:t>
      </w:r>
      <w:r w:rsidRPr="7B4D60A3">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72AA3B9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704E9C">
        <w:rPr>
          <w:rFonts w:eastAsia="Palatino Linotype" w:cs="Palatino Linotype"/>
          <w:color w:val="000000"/>
          <w:szCs w:val="24"/>
        </w:rPr>
        <w:t>trece de marzo</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542675" w:rsidRDefault="00663A37" w:rsidP="00663A37">
      <w:pPr>
        <w:pBdr>
          <w:top w:val="nil"/>
          <w:left w:val="nil"/>
          <w:bottom w:val="nil"/>
          <w:right w:val="nil"/>
          <w:between w:val="nil"/>
        </w:pBdr>
        <w:contextualSpacing/>
        <w:rPr>
          <w:rFonts w:eastAsia="Palatino Linotype" w:cs="Palatino Linotype"/>
          <w:color w:val="000000"/>
          <w:sz w:val="20"/>
          <w:szCs w:val="24"/>
        </w:rPr>
      </w:pPr>
    </w:p>
    <w:p w14:paraId="1C30EA8A" w14:textId="07BD05B9" w:rsidR="00704E9C" w:rsidRDefault="4DD9124E" w:rsidP="00704E9C">
      <w:pPr>
        <w:pStyle w:val="Sinespaciado"/>
        <w:rPr>
          <w:rFonts w:eastAsia="Palatino Linotype"/>
          <w:lang w:val="es-ES"/>
        </w:rPr>
      </w:pPr>
      <w:r w:rsidRPr="4DD9124E">
        <w:rPr>
          <w:rFonts w:eastAsia="Palatino Linotype"/>
          <w:lang w:val="es-ES"/>
        </w:rPr>
        <w:t>«</w:t>
      </w:r>
      <w:r w:rsidR="00704E9C" w:rsidRPr="00704E9C">
        <w:rPr>
          <w:rFonts w:eastAsia="Palatino Linotype"/>
          <w:lang w:val="es-ES"/>
        </w:rPr>
        <w:t xml:space="preserve">En atención a su solicitud de información recibida por esta dependencia vía Sistema Electrónico Denominado Sistema de Acceso a la Información Mexiquense (SAIMEX), dirigida al Ayuntamiento de </w:t>
      </w:r>
      <w:proofErr w:type="spellStart"/>
      <w:r w:rsidR="00704E9C" w:rsidRPr="00704E9C">
        <w:rPr>
          <w:rFonts w:eastAsia="Palatino Linotype"/>
          <w:lang w:val="es-ES"/>
        </w:rPr>
        <w:t>Acambay</w:t>
      </w:r>
      <w:proofErr w:type="spellEnd"/>
      <w:r w:rsidR="00704E9C" w:rsidRPr="00704E9C">
        <w:rPr>
          <w:rFonts w:eastAsia="Palatino Linotype"/>
          <w:lang w:val="es-ES"/>
        </w:rPr>
        <w:t xml:space="preserve"> de Ruiz Castañeda, Estado de México, como sujeto Obligado de la Ley de Transparencia y Acceso a la Información Pública del Estado de México y Municipios. Se entrega lo siguiente referente a su petición, dando así contestación al solicitante,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335640E9" w14:textId="77777777" w:rsidR="00704E9C" w:rsidRPr="00704E9C" w:rsidRDefault="00704E9C" w:rsidP="00704E9C">
      <w:pPr>
        <w:pStyle w:val="Sinespaciado"/>
        <w:rPr>
          <w:rFonts w:eastAsia="Palatino Linotype"/>
          <w:lang w:val="es-ES"/>
        </w:rPr>
      </w:pPr>
    </w:p>
    <w:p w14:paraId="1BA26BB4" w14:textId="77777777" w:rsidR="00704E9C" w:rsidRPr="00704E9C" w:rsidRDefault="00704E9C" w:rsidP="00704E9C">
      <w:pPr>
        <w:pStyle w:val="Sinespaciado"/>
        <w:rPr>
          <w:rFonts w:eastAsia="Palatino Linotype"/>
          <w:lang w:val="es-ES"/>
        </w:rPr>
      </w:pPr>
      <w:r w:rsidRPr="00704E9C">
        <w:rPr>
          <w:rFonts w:eastAsia="Palatino Linotype"/>
          <w:lang w:val="es-ES"/>
        </w:rPr>
        <w:t>ATENTAMENTE</w:t>
      </w:r>
    </w:p>
    <w:p w14:paraId="38DF58A5" w14:textId="7991330A" w:rsidR="00663A37" w:rsidRPr="009D62BC" w:rsidRDefault="00704E9C" w:rsidP="00704E9C">
      <w:pPr>
        <w:pStyle w:val="Sinespaciado"/>
        <w:rPr>
          <w:rFonts w:eastAsia="Palatino Linotype"/>
        </w:rPr>
      </w:pPr>
      <w:r w:rsidRPr="00704E9C">
        <w:rPr>
          <w:rFonts w:eastAsia="Palatino Linotype"/>
          <w:lang w:val="es-ES"/>
        </w:rPr>
        <w:t>LIC. BERENICE CISNEROS RUIZ</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542675" w:rsidRDefault="00663A37" w:rsidP="00FA27A4">
      <w:pPr>
        <w:pBdr>
          <w:top w:val="nil"/>
          <w:left w:val="nil"/>
          <w:bottom w:val="nil"/>
          <w:right w:val="nil"/>
          <w:between w:val="nil"/>
        </w:pBdr>
        <w:ind w:right="567"/>
        <w:contextualSpacing/>
        <w:rPr>
          <w:rFonts w:eastAsia="Palatino Linotype" w:cs="Palatino Linotype"/>
          <w:iCs/>
          <w:color w:val="000000"/>
          <w:sz w:val="20"/>
          <w:szCs w:val="21"/>
        </w:rPr>
      </w:pPr>
    </w:p>
    <w:p w14:paraId="3D031FD5" w14:textId="52F5D267"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a su respuesta </w:t>
      </w:r>
      <w:r w:rsidR="00B45313">
        <w:rPr>
          <w:rFonts w:eastAsia="Palatino Linotype" w:cs="Palatino Linotype"/>
          <w:color w:val="000000" w:themeColor="text1"/>
          <w:lang w:val="es-ES"/>
        </w:rPr>
        <w:t>el</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Pr="4DD9124E">
        <w:rPr>
          <w:rFonts w:eastAsia="Palatino Linotype" w:cs="Palatino Linotype"/>
          <w:color w:val="000000" w:themeColor="text1"/>
          <w:lang w:val="es-ES"/>
        </w:rPr>
        <w:t xml:space="preserve"> denominado </w:t>
      </w:r>
      <w:r w:rsidRPr="4DD9124E">
        <w:rPr>
          <w:rFonts w:eastAsia="Palatino Linotype" w:cs="Palatino Linotype"/>
          <w:b/>
          <w:bCs/>
          <w:color w:val="000000" w:themeColor="text1"/>
          <w:lang w:val="es-ES"/>
        </w:rPr>
        <w:t>«</w:t>
      </w:r>
      <w:r w:rsidR="00704E9C">
        <w:rPr>
          <w:rFonts w:eastAsia="Palatino Linotype" w:cs="Palatino Linotype"/>
          <w:b/>
          <w:bCs/>
          <w:color w:val="000000" w:themeColor="text1"/>
          <w:lang w:val="es-ES"/>
        </w:rPr>
        <w:t>Sol 179</w:t>
      </w:r>
      <w:r w:rsidR="0059628C" w:rsidRPr="0059628C">
        <w:rPr>
          <w:rFonts w:eastAsia="Palatino Linotype" w:cs="Palatino Linotype"/>
          <w:b/>
          <w:bCs/>
          <w:color w:val="000000" w:themeColor="text1"/>
          <w:lang w:val="es-ES"/>
        </w:rPr>
        <w:t>.pdf</w:t>
      </w:r>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5C27F5C2"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704E9C">
        <w:rPr>
          <w:rFonts w:eastAsia="Palatino Linotype" w:cs="Palatino Linotype"/>
          <w:color w:val="000000"/>
          <w:szCs w:val="24"/>
        </w:rPr>
        <w:t>dieciocho de marzo</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E33D5C">
        <w:rPr>
          <w:rFonts w:eastAsia="Palatino Linotype" w:cs="Palatino Linotype"/>
          <w:b/>
          <w:color w:val="000000"/>
          <w:szCs w:val="24"/>
        </w:rPr>
        <w:t>03210/INFOEM/IP/RR/2025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5B2E507B" w:rsidR="00663A37" w:rsidRPr="009D62BC" w:rsidRDefault="4DD9124E" w:rsidP="4DD9124E">
      <w:pPr>
        <w:pStyle w:val="Sinespaciado"/>
        <w:rPr>
          <w:rFonts w:eastAsia="Palatino Linotype"/>
          <w:b/>
          <w:bCs/>
          <w:lang w:val="es-ES"/>
        </w:rPr>
      </w:pPr>
      <w:r w:rsidRPr="4DD9124E">
        <w:rPr>
          <w:rFonts w:eastAsia="Palatino Linotype"/>
          <w:lang w:val="es-ES"/>
        </w:rPr>
        <w:t>«</w:t>
      </w:r>
      <w:r w:rsidR="00704E9C" w:rsidRPr="00704E9C">
        <w:rPr>
          <w:rFonts w:eastAsia="Palatino Linotype"/>
          <w:lang w:val="es-ES"/>
        </w:rPr>
        <w:t>NO ESTA ACTUALIZADO ASI MISMO GENERARE UNA DENUNCIA O QUEJA ANTE EL INSTITUTO PARA QUE ELLOS MISMO REVISEN Y VERIFIQUEN QUE SU PORTAL NO SE ENCUNATRA ACTUALIZADO</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66DCF52E" w:rsidR="004B62DB" w:rsidRPr="009D62BC" w:rsidRDefault="004B62DB" w:rsidP="004B62DB">
      <w:pPr>
        <w:pStyle w:val="Sinespaciado"/>
        <w:rPr>
          <w:rFonts w:eastAsia="Palatino Linotype"/>
          <w:b/>
          <w:bCs/>
          <w:lang w:val="es-ES"/>
        </w:rPr>
      </w:pPr>
      <w:r w:rsidRPr="4DD9124E">
        <w:rPr>
          <w:rFonts w:eastAsia="Palatino Linotype"/>
          <w:lang w:val="es-ES"/>
        </w:rPr>
        <w:t>«</w:t>
      </w:r>
      <w:r w:rsidR="00704E9C" w:rsidRPr="00704E9C">
        <w:rPr>
          <w:rFonts w:eastAsia="Palatino Linotype"/>
          <w:lang w:val="es-ES"/>
        </w:rPr>
        <w:t>NO ESTA ACTUALIZADO ASI MISMO GENERARE UNA DENUNCIA O QUEJA ANTE EL INSTITUTO PARA QUE ELLOS MISMO REVISEN Y VERIFIQUEN QUE SU PORTAL NO SE ENCUNATRA ACTUALIZADO</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1AE627BF"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704E9C">
        <w:rPr>
          <w:rFonts w:eastAsia="Palatino Linotype" w:cs="Palatino Linotype"/>
          <w:color w:val="000000" w:themeColor="text1"/>
          <w:lang w:val="es-ES"/>
        </w:rPr>
        <w:t>veinte</w:t>
      </w:r>
      <w:r w:rsidR="00433A07">
        <w:rPr>
          <w:rFonts w:eastAsia="Palatino Linotype" w:cs="Palatino Linotype"/>
          <w:color w:val="000000" w:themeColor="text1"/>
          <w:lang w:val="es-ES"/>
        </w:rPr>
        <w:t xml:space="preserve"> de marzo</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30B71B9A" w14:textId="77777777" w:rsidR="00206618" w:rsidRPr="009D62BC" w:rsidRDefault="00206618" w:rsidP="00206618">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4B9B94B1" w14:textId="23BE4C11" w:rsidR="00663A37" w:rsidRPr="00022679" w:rsidRDefault="00663A37" w:rsidP="00663A37">
      <w:pPr>
        <w:pBdr>
          <w:top w:val="nil"/>
          <w:left w:val="nil"/>
          <w:bottom w:val="nil"/>
          <w:right w:val="nil"/>
          <w:between w:val="nil"/>
        </w:pBdr>
        <w:contextualSpacing/>
        <w:rPr>
          <w:rFonts w:eastAsia="Palatino Linotype" w:cs="Palatino Linotype"/>
          <w:color w:val="000000"/>
          <w:szCs w:val="24"/>
          <w:lang w:val="es-ES"/>
        </w:rPr>
      </w:pPr>
    </w:p>
    <w:p w14:paraId="2AA432C1" w14:textId="60A3BFAB" w:rsidR="00663A37" w:rsidRPr="009D62BC" w:rsidRDefault="00663A37" w:rsidP="00191B81">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Del cierre de instrucción.</w:t>
      </w:r>
    </w:p>
    <w:p w14:paraId="6E2F1FC8" w14:textId="224A4FD7" w:rsidR="001A0CCD" w:rsidRDefault="0028415D" w:rsidP="3098B94B">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704E9C">
        <w:rPr>
          <w:rFonts w:eastAsia="Palatino Linotype" w:cs="Palatino Linotype"/>
          <w:color w:val="000000" w:themeColor="text1"/>
          <w:lang w:val="es-ES"/>
        </w:rPr>
        <w:t xml:space="preserve">primero de abril </w:t>
      </w:r>
      <w:r w:rsidR="00694ED6" w:rsidRPr="3098B94B">
        <w:rPr>
          <w:rFonts w:eastAsia="Palatino Linotype" w:cs="Palatino Linotype"/>
          <w:color w:val="000000" w:themeColor="text1"/>
          <w:lang w:val="es-ES"/>
        </w:rPr>
        <w:t>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675E5B01" w14:textId="77777777" w:rsidR="00523F6A" w:rsidRPr="006054AA" w:rsidRDefault="00523F6A" w:rsidP="00523F6A">
      <w:pPr>
        <w:pStyle w:val="Ttulo2"/>
        <w:rPr>
          <w:rFonts w:eastAsiaTheme="minorHAnsi"/>
          <w:lang w:eastAsia="en-US"/>
        </w:rPr>
      </w:pPr>
      <w:r w:rsidRPr="006054AA">
        <w:rPr>
          <w:rFonts w:eastAsiaTheme="minorHAnsi"/>
          <w:lang w:eastAsia="en-US"/>
        </w:rPr>
        <w:t>SÉPTIMO. De la ampliación del término para resolver.</w:t>
      </w:r>
    </w:p>
    <w:p w14:paraId="29D616D9" w14:textId="5A550EFA" w:rsidR="00523F6A" w:rsidRPr="00546575" w:rsidRDefault="00523F6A" w:rsidP="00523F6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704E9C">
        <w:rPr>
          <w:rFonts w:eastAsiaTheme="minorHAnsi" w:cstheme="minorBidi"/>
          <w:szCs w:val="24"/>
          <w:lang w:eastAsia="en-US"/>
        </w:rPr>
        <w:t>doce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5FD742B" w14:textId="77777777" w:rsidR="00523F6A" w:rsidRPr="00E95FAE" w:rsidRDefault="00523F6A"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42FBF974"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Pr>
          <w:rFonts w:eastAsia="Palatino Linotype" w:cs="Palatino Linotype"/>
          <w:szCs w:val="24"/>
          <w:lang w:val="es-ES"/>
        </w:rPr>
        <w:t xml:space="preserve"> </w:t>
      </w:r>
      <w:r w:rsidR="00D112A2">
        <w:rPr>
          <w:rFonts w:eastAsia="Palatino Linotype" w:cs="Palatino Linotype"/>
          <w:szCs w:val="24"/>
          <w:lang w:val="es-ES"/>
        </w:rPr>
        <w:t>séptimo, trigésimo octavo</w:t>
      </w:r>
      <w:r w:rsidR="00433BF2">
        <w:rPr>
          <w:rFonts w:eastAsia="Palatino Linotype" w:cs="Palatino Linotype"/>
          <w:szCs w:val="24"/>
          <w:lang w:val="es-ES"/>
        </w:rPr>
        <w:t xml:space="preserve"> y trigésimo </w:t>
      </w:r>
      <w:r w:rsidR="00D112A2">
        <w:rPr>
          <w:rFonts w:eastAsia="Palatino Linotype" w:cs="Palatino Linotype"/>
          <w:szCs w:val="24"/>
          <w:lang w:val="es-ES"/>
        </w:rPr>
        <w:t>noveno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57EF4436" w14:textId="77777777" w:rsidR="00694ED6" w:rsidRPr="00F34F85" w:rsidRDefault="00694ED6" w:rsidP="00694ED6">
      <w:pPr>
        <w:pStyle w:val="Ttulo2"/>
      </w:pPr>
      <w:r w:rsidRPr="00F34F85">
        <w:t xml:space="preserve">TERCERO. Cuestiones de previo y especial pronunciamiento. </w:t>
      </w:r>
    </w:p>
    <w:p w14:paraId="1B24AEAA" w14:textId="77777777" w:rsidR="00187A0A" w:rsidRPr="00F34F85" w:rsidRDefault="00187A0A" w:rsidP="00187A0A">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694D6DF2" w14:textId="77777777" w:rsidR="00187A0A" w:rsidRPr="00F34F85" w:rsidRDefault="00187A0A" w:rsidP="00187A0A">
      <w:pPr>
        <w:rPr>
          <w:rFonts w:eastAsia="Palatino Linotype" w:cs="Palatino Linotype"/>
        </w:rPr>
      </w:pPr>
    </w:p>
    <w:p w14:paraId="5A7FD3F9"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74F3E95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4C4BD8C4"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14C7C4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4ECB230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20C391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9F6BD8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59D2019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6894E3DC"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2F66A7B" w14:textId="77777777" w:rsidR="00187A0A" w:rsidRPr="00F34F85" w:rsidRDefault="00187A0A" w:rsidP="00187A0A">
      <w:pPr>
        <w:spacing w:line="240" w:lineRule="auto"/>
        <w:ind w:left="567" w:right="567"/>
        <w:rPr>
          <w:rFonts w:eastAsia="Palatino Linotype" w:cs="Palatino Linotype"/>
          <w:i/>
          <w:sz w:val="22"/>
        </w:rPr>
      </w:pPr>
    </w:p>
    <w:p w14:paraId="325FB85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1D2EC7C8" w14:textId="77777777" w:rsidR="00187A0A" w:rsidRPr="00F34F85" w:rsidRDefault="00187A0A" w:rsidP="00187A0A">
      <w:pPr>
        <w:spacing w:line="240" w:lineRule="auto"/>
        <w:ind w:left="567" w:right="567"/>
        <w:rPr>
          <w:rFonts w:eastAsia="Palatino Linotype" w:cs="Palatino Linotype"/>
          <w:i/>
          <w:sz w:val="22"/>
        </w:rPr>
      </w:pPr>
    </w:p>
    <w:p w14:paraId="26B2FAA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3B46BEF2" w14:textId="77777777" w:rsidR="00187A0A" w:rsidRPr="00F34F85" w:rsidRDefault="00187A0A" w:rsidP="00187A0A">
      <w:pPr>
        <w:spacing w:line="240" w:lineRule="auto"/>
        <w:ind w:left="567" w:right="567"/>
        <w:rPr>
          <w:rFonts w:eastAsia="Palatino Linotype" w:cs="Palatino Linotype"/>
          <w:i/>
          <w:sz w:val="22"/>
        </w:rPr>
      </w:pPr>
    </w:p>
    <w:p w14:paraId="2418216F" w14:textId="77777777" w:rsidR="00187A0A" w:rsidRPr="00F34F85" w:rsidRDefault="00187A0A" w:rsidP="00187A0A">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4CC758CB" w14:textId="77777777" w:rsidR="00187A0A" w:rsidRPr="00F34F85" w:rsidRDefault="00187A0A" w:rsidP="00187A0A">
      <w:pPr>
        <w:rPr>
          <w:rFonts w:eastAsia="Palatino Linotype" w:cs="Palatino Linotype"/>
          <w:b/>
          <w:i/>
        </w:rPr>
      </w:pPr>
    </w:p>
    <w:p w14:paraId="16A649CD" w14:textId="77777777" w:rsidR="00187A0A" w:rsidRPr="00F34F85" w:rsidRDefault="00187A0A" w:rsidP="00187A0A">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6A0016" w14:textId="77777777" w:rsidR="00187A0A" w:rsidRPr="00F34F85" w:rsidRDefault="00187A0A" w:rsidP="00187A0A">
      <w:pPr>
        <w:rPr>
          <w:rFonts w:eastAsia="Palatino Linotype" w:cs="Palatino Linotype"/>
        </w:rPr>
      </w:pPr>
    </w:p>
    <w:p w14:paraId="719211D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0BC2B096" w14:textId="77777777" w:rsidR="00187A0A" w:rsidRPr="00F34F85" w:rsidRDefault="00187A0A" w:rsidP="00187A0A">
      <w:pPr>
        <w:spacing w:line="240" w:lineRule="auto"/>
        <w:ind w:left="567" w:right="567"/>
        <w:rPr>
          <w:rFonts w:eastAsia="Palatino Linotype" w:cs="Palatino Linotype"/>
          <w:i/>
          <w:sz w:val="22"/>
        </w:rPr>
      </w:pPr>
    </w:p>
    <w:p w14:paraId="46FD116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5909A7D"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783AEF6" w14:textId="77777777" w:rsidR="00187A0A" w:rsidRPr="00F34F85" w:rsidRDefault="00187A0A" w:rsidP="00187A0A">
      <w:pPr>
        <w:rPr>
          <w:rFonts w:eastAsia="Palatino Linotype" w:cs="Palatino Linotype"/>
        </w:rPr>
      </w:pPr>
    </w:p>
    <w:p w14:paraId="21DBEF75" w14:textId="77777777" w:rsidR="00187A0A" w:rsidRPr="00F34F85" w:rsidRDefault="00187A0A" w:rsidP="00187A0A">
      <w:pPr>
        <w:rPr>
          <w:rFonts w:eastAsia="Palatino Linotype" w:cs="Palatino Linotype"/>
        </w:rPr>
      </w:pPr>
      <w:r w:rsidRPr="00B97A1F">
        <w:rPr>
          <w:rFonts w:eastAsia="Palatino Linotype" w:cs="Palatino Linotype"/>
        </w:rPr>
        <w:t>Robusteciendo lo anterior se encuentra lo dispuesto en el artículo 5 párrafos trigésimo primero, trigésimo octavo y trigésimo noveno de la Constitución Política del Estado Libre y Soberano de México, se establece lo siguiente</w:t>
      </w:r>
      <w:r w:rsidRPr="00F34F85">
        <w:rPr>
          <w:rFonts w:eastAsia="Palatino Linotype" w:cs="Palatino Linotype"/>
        </w:rPr>
        <w:t>:</w:t>
      </w:r>
    </w:p>
    <w:p w14:paraId="0D7E180D" w14:textId="77777777" w:rsidR="00187A0A" w:rsidRPr="00F34F85" w:rsidRDefault="00187A0A" w:rsidP="00187A0A">
      <w:pPr>
        <w:rPr>
          <w:rFonts w:eastAsia="Palatino Linotype" w:cs="Palatino Linotype"/>
        </w:rPr>
      </w:pPr>
    </w:p>
    <w:p w14:paraId="396D553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F34F85">
        <w:rPr>
          <w:rFonts w:eastAsia="Palatino Linotype" w:cs="Palatino Linotype"/>
          <w:i/>
          <w:sz w:val="22"/>
        </w:rPr>
        <w:lastRenderedPageBreak/>
        <w:t>podrán restringirse ni suspenderse salvo en los casos y bajo las condiciones que la Constitución Política de los Estados Unidos Mexicanos establece.</w:t>
      </w:r>
    </w:p>
    <w:p w14:paraId="326AABB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14A870A" w14:textId="77777777" w:rsidR="00187A0A" w:rsidRPr="00F34F85" w:rsidRDefault="00187A0A" w:rsidP="00187A0A">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32B524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0FFFC70F"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2844172" w14:textId="77777777" w:rsidR="00187A0A" w:rsidRPr="00F34F85" w:rsidRDefault="00187A0A" w:rsidP="00187A0A">
      <w:pPr>
        <w:spacing w:line="240" w:lineRule="auto"/>
        <w:ind w:left="567" w:right="567"/>
        <w:rPr>
          <w:rFonts w:eastAsia="Palatino Linotype" w:cs="Palatino Linotype"/>
          <w:i/>
          <w:sz w:val="22"/>
        </w:rPr>
      </w:pPr>
    </w:p>
    <w:p w14:paraId="06CF98B2" w14:textId="77777777" w:rsidR="00187A0A" w:rsidRPr="00F34F85" w:rsidRDefault="00187A0A" w:rsidP="00187A0A">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2195D1" w14:textId="77777777" w:rsidR="00187A0A" w:rsidRPr="00F34F85" w:rsidRDefault="00187A0A" w:rsidP="00187A0A">
      <w:pPr>
        <w:spacing w:line="240" w:lineRule="auto"/>
        <w:ind w:left="567" w:right="567"/>
        <w:rPr>
          <w:rFonts w:eastAsia="Palatino Linotype" w:cs="Palatino Linotype"/>
          <w:i/>
          <w:sz w:val="22"/>
        </w:rPr>
      </w:pPr>
    </w:p>
    <w:p w14:paraId="547D52C2"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6DCC2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3E1F9E0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DFDEBA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146243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AE8DEF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2BED3B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DCDFF55" w14:textId="77777777" w:rsidR="00187A0A" w:rsidRPr="00F34F85" w:rsidRDefault="00187A0A" w:rsidP="00187A0A">
      <w:pPr>
        <w:ind w:left="567" w:right="567"/>
        <w:rPr>
          <w:rFonts w:eastAsia="Palatino Linotype" w:cs="Palatino Linotype"/>
        </w:rPr>
      </w:pPr>
    </w:p>
    <w:p w14:paraId="52C93B84" w14:textId="77777777" w:rsidR="00187A0A" w:rsidRPr="00F34F85" w:rsidRDefault="00187A0A" w:rsidP="00187A0A">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0CFD166A" w14:textId="77777777" w:rsidR="00187A0A" w:rsidRPr="00F34F85" w:rsidRDefault="00187A0A" w:rsidP="00187A0A">
      <w:pPr>
        <w:spacing w:line="240" w:lineRule="auto"/>
        <w:ind w:left="567" w:right="567"/>
        <w:rPr>
          <w:rFonts w:eastAsia="Palatino Linotype" w:cs="Palatino Linotype"/>
        </w:rPr>
      </w:pPr>
    </w:p>
    <w:p w14:paraId="6451A3B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xml:space="preserve">. En los Estados Unidos Mexicanos todas las personas gozarán de los derechos humanos reconocidos en esta Constitución y en los tratados internacionales de los que el </w:t>
      </w:r>
      <w:r w:rsidRPr="00F34F85">
        <w:rPr>
          <w:rFonts w:eastAsia="Palatino Linotype" w:cs="Palatino Linotype"/>
          <w:i/>
          <w:sz w:val="22"/>
        </w:rPr>
        <w:lastRenderedPageBreak/>
        <w:t>Estado Mexicano sea parte, así como de las garantías para su protección, cuyo ejercicio no podrá restringirse ni suspenderse, salvo en los casos y bajo las condiciones que esta Constitución establece.</w:t>
      </w:r>
    </w:p>
    <w:p w14:paraId="2B02A110" w14:textId="77777777" w:rsidR="00187A0A" w:rsidRPr="00F34F85" w:rsidRDefault="00187A0A" w:rsidP="00187A0A">
      <w:pPr>
        <w:spacing w:line="240" w:lineRule="auto"/>
        <w:ind w:left="567" w:right="567"/>
        <w:rPr>
          <w:rFonts w:eastAsia="Palatino Linotype" w:cs="Palatino Linotype"/>
          <w:i/>
          <w:sz w:val="22"/>
        </w:rPr>
      </w:pPr>
    </w:p>
    <w:p w14:paraId="1EE9A6C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4AFCA1B" w14:textId="77777777" w:rsidR="00187A0A" w:rsidRPr="00F34F85" w:rsidRDefault="00187A0A" w:rsidP="00187A0A">
      <w:pPr>
        <w:spacing w:line="240" w:lineRule="auto"/>
        <w:ind w:left="567" w:right="567"/>
        <w:rPr>
          <w:rFonts w:eastAsia="Palatino Linotype" w:cs="Palatino Linotype"/>
          <w:i/>
          <w:sz w:val="22"/>
        </w:rPr>
      </w:pPr>
    </w:p>
    <w:p w14:paraId="66E92EE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B9E7A8" w14:textId="77777777" w:rsidR="00187A0A" w:rsidRPr="00F34F85" w:rsidRDefault="00187A0A" w:rsidP="00187A0A">
      <w:pPr>
        <w:ind w:left="567" w:right="567"/>
        <w:rPr>
          <w:rFonts w:eastAsia="Palatino Linotype" w:cs="Palatino Linotype"/>
        </w:rPr>
      </w:pPr>
    </w:p>
    <w:p w14:paraId="68F8DC4A" w14:textId="77777777" w:rsidR="00187A0A" w:rsidRPr="00F34F85" w:rsidRDefault="00187A0A" w:rsidP="00187A0A">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E27EEEE" w14:textId="77777777" w:rsidR="00187A0A" w:rsidRPr="00F34F85" w:rsidRDefault="00187A0A" w:rsidP="00187A0A">
      <w:pPr>
        <w:rPr>
          <w:rFonts w:eastAsia="Palatino Linotype" w:cs="Palatino Linotype"/>
        </w:rPr>
      </w:pPr>
    </w:p>
    <w:p w14:paraId="03BB5915" w14:textId="0BA0DCC4" w:rsidR="00C5688E" w:rsidRPr="00C82353" w:rsidRDefault="00694ED6" w:rsidP="00191B81">
      <w:pPr>
        <w:pStyle w:val="Ttulo2"/>
        <w:rPr>
          <w:rFonts w:eastAsiaTheme="minorHAnsi"/>
          <w:lang w:eastAsia="en-US"/>
        </w:rPr>
      </w:pPr>
      <w:r>
        <w:rPr>
          <w:rFonts w:eastAsiaTheme="minorHAnsi"/>
          <w:lang w:eastAsia="en-US"/>
        </w:rPr>
        <w:t>CUARTO</w:t>
      </w:r>
      <w:r w:rsidR="00C5688E" w:rsidRPr="00C82353">
        <w:rPr>
          <w:rFonts w:eastAsiaTheme="minorHAnsi"/>
          <w:lang w:eastAsia="en-US"/>
        </w:rPr>
        <w:t xml:space="preserve">. </w:t>
      </w:r>
      <w:r w:rsidR="00C5688E" w:rsidRPr="006769D8">
        <w:rPr>
          <w:rFonts w:eastAsiaTheme="minorHAnsi"/>
          <w:lang w:eastAsia="en-US"/>
        </w:rPr>
        <w:t>Del estudio de las causas de improcedencia y sobreseimiento.</w:t>
      </w:r>
    </w:p>
    <w:p w14:paraId="4555361F" w14:textId="77777777" w:rsidR="00C5688E" w:rsidRPr="006769D8" w:rsidRDefault="00C5688E" w:rsidP="00C5688E">
      <w:pPr>
        <w:rPr>
          <w:rFonts w:eastAsiaTheme="minorHAnsi" w:cstheme="minorBidi"/>
          <w:szCs w:val="24"/>
          <w:lang w:eastAsia="en-US"/>
        </w:rPr>
      </w:pPr>
      <w:r>
        <w:rPr>
          <w:rFonts w:eastAsiaTheme="minorHAnsi" w:cstheme="minorBidi"/>
          <w:szCs w:val="24"/>
          <w:lang w:eastAsia="en-US"/>
        </w:rPr>
        <w:t>Es importante</w:t>
      </w:r>
      <w:r w:rsidRPr="006769D8">
        <w:rPr>
          <w:rFonts w:eastAsiaTheme="minorHAnsi" w:cstheme="minorBidi"/>
          <w:szCs w:val="24"/>
          <w:lang w:eastAsia="en-US"/>
        </w:rPr>
        <w:t xml:space="preserve"> resaltar que en el procedimiento de acceso a la información pública y de los medios de impugnación de la materia, se advierten diversos supuestos de </w:t>
      </w:r>
      <w:proofErr w:type="spellStart"/>
      <w:r w:rsidRPr="006769D8">
        <w:rPr>
          <w:rFonts w:eastAsiaTheme="minorHAnsi" w:cstheme="minorBidi"/>
          <w:szCs w:val="24"/>
          <w:lang w:eastAsia="en-US"/>
        </w:rPr>
        <w:t>procedibilidad</w:t>
      </w:r>
      <w:proofErr w:type="spellEnd"/>
      <w:r w:rsidRPr="006769D8">
        <w:rPr>
          <w:rFonts w:eastAsiaTheme="minorHAnsi" w:cstheme="minorBidi"/>
          <w:szCs w:val="24"/>
          <w:lang w:eastAsia="en-US"/>
        </w:rPr>
        <w:t xml:space="preserve"> que deben estudiarse con la finalidad de dar cumplimiento a los principios de legalidad y objeti</w:t>
      </w:r>
      <w:r>
        <w:rPr>
          <w:rFonts w:eastAsiaTheme="minorHAnsi" w:cstheme="minorBidi"/>
          <w:szCs w:val="24"/>
          <w:lang w:eastAsia="en-US"/>
        </w:rPr>
        <w:t>vidad inmersos en el artículo 9</w:t>
      </w:r>
      <w:r w:rsidRPr="006769D8">
        <w:rPr>
          <w:rFonts w:eastAsiaTheme="minorHAnsi" w:cstheme="minorBidi"/>
          <w:szCs w:val="24"/>
          <w:lang w:eastAsia="en-US"/>
        </w:rPr>
        <w:t xml:space="preserve"> de Ley de Transparencia y </w:t>
      </w:r>
      <w:r w:rsidRPr="006769D8">
        <w:rPr>
          <w:rFonts w:eastAsiaTheme="minorHAnsi" w:cstheme="minorBidi"/>
          <w:szCs w:val="24"/>
          <w:lang w:eastAsia="en-US"/>
        </w:rPr>
        <w:lastRenderedPageBreak/>
        <w:t>Acceso a la Información Pública del Estado de México y Municipios, en correlación con la seguridad jurídica que debe generar lo actuado ante este Organismo garante.</w:t>
      </w:r>
    </w:p>
    <w:p w14:paraId="710A25A4" w14:textId="77777777" w:rsidR="00C5688E" w:rsidRPr="006769D8" w:rsidRDefault="00C5688E" w:rsidP="00C5688E">
      <w:pPr>
        <w:rPr>
          <w:rFonts w:eastAsiaTheme="minorHAnsi" w:cstheme="minorBidi"/>
          <w:szCs w:val="24"/>
          <w:lang w:eastAsia="en-US"/>
        </w:rPr>
      </w:pPr>
    </w:p>
    <w:p w14:paraId="2D52F160"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t>Siendo una facultad legal entrar al estudio de las causas de improcedencia que hagan valer las partes o que se advier</w:t>
      </w:r>
      <w:r>
        <w:rPr>
          <w:rFonts w:eastAsiaTheme="minorHAnsi" w:cstheme="minorBidi"/>
          <w:szCs w:val="24"/>
          <w:lang w:eastAsia="en-US"/>
        </w:rPr>
        <w:t>tan de oficio por este Instituto</w:t>
      </w:r>
      <w:r w:rsidRPr="006769D8">
        <w:rPr>
          <w:rFonts w:eastAsiaTheme="minorHAnsi" w:cstheme="minorBidi"/>
          <w:szCs w:val="24"/>
          <w:lang w:eastAsia="en-US"/>
        </w:rPr>
        <w:t xml:space="preserve">; presupuestos procesales de inicio o trámite de un proceso que dotan de seguridad jurídica las resoluciones emitidas por </w:t>
      </w:r>
      <w:r>
        <w:rPr>
          <w:rFonts w:eastAsiaTheme="minorHAnsi" w:cstheme="minorBidi"/>
          <w:szCs w:val="24"/>
          <w:lang w:eastAsia="en-US"/>
        </w:rPr>
        <w:t>este organismo colegiado dado</w:t>
      </w:r>
      <w:r w:rsidRPr="006769D8">
        <w:rPr>
          <w:rFonts w:eastAsiaTheme="minorHAnsi" w:cstheme="minorBidi"/>
          <w:szCs w:val="24"/>
          <w:lang w:eastAsia="en-US"/>
        </w:rPr>
        <w:t xml:space="preserv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202BFD2" w14:textId="77777777" w:rsidR="00C5688E" w:rsidRPr="006769D8" w:rsidRDefault="00C5688E" w:rsidP="00C5688E">
      <w:pPr>
        <w:rPr>
          <w:rFonts w:eastAsiaTheme="minorHAnsi" w:cstheme="minorBidi"/>
          <w:szCs w:val="24"/>
          <w:lang w:eastAsia="en-US"/>
        </w:rPr>
      </w:pPr>
    </w:p>
    <w:p w14:paraId="1E85D43A" w14:textId="77777777" w:rsidR="00C5688E" w:rsidRPr="006769D8" w:rsidRDefault="00C5688E" w:rsidP="00C5688E">
      <w:pPr>
        <w:autoSpaceDE w:val="0"/>
        <w:autoSpaceDN w:val="0"/>
        <w:adjustRightInd w:val="0"/>
        <w:rPr>
          <w:rFonts w:eastAsia="Times New Roman" w:cs="Arial"/>
          <w:szCs w:val="24"/>
          <w:lang w:val="es-ES" w:eastAsia="es-ES"/>
        </w:rPr>
      </w:pPr>
      <w:r w:rsidRPr="006769D8">
        <w:rPr>
          <w:rFonts w:eastAsia="Times New Roman" w:cs="Arial"/>
          <w:szCs w:val="24"/>
          <w:lang w:val="es-ES" w:eastAsia="es-ES"/>
        </w:rPr>
        <w:t>Estudio de causales de improcedencia que no son incompatibles con el derecho de acceso a la justicia, ya que éste no se coarta por regular causas de improcedencia y sobreseimiento con tales fines</w:t>
      </w:r>
      <w:r w:rsidRPr="006769D8">
        <w:rPr>
          <w:rFonts w:eastAsia="Times New Roman" w:cs="Arial"/>
          <w:szCs w:val="24"/>
          <w:vertAlign w:val="superscript"/>
          <w:lang w:val="es-ES" w:eastAsia="es-ES"/>
        </w:rPr>
        <w:footnoteReference w:id="2"/>
      </w:r>
      <w:r w:rsidRPr="006769D8">
        <w:rPr>
          <w:rFonts w:eastAsia="Times New Roman" w:cs="Arial"/>
          <w:szCs w:val="24"/>
          <w:lang w:val="es-ES" w:eastAsia="es-ES"/>
        </w:rPr>
        <w:t>.</w:t>
      </w:r>
    </w:p>
    <w:p w14:paraId="0F2B6EFE" w14:textId="77777777" w:rsidR="00C5688E" w:rsidRPr="006769D8" w:rsidRDefault="00C5688E" w:rsidP="00C5688E">
      <w:pPr>
        <w:rPr>
          <w:rFonts w:eastAsiaTheme="minorHAnsi" w:cstheme="minorBidi"/>
          <w:szCs w:val="24"/>
          <w:lang w:eastAsia="en-US"/>
        </w:rPr>
      </w:pPr>
    </w:p>
    <w:p w14:paraId="104DC96A"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lastRenderedPageBreak/>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w:t>
      </w:r>
      <w:r>
        <w:rPr>
          <w:rFonts w:eastAsiaTheme="minorHAnsi" w:cstheme="minorBidi"/>
          <w:szCs w:val="24"/>
          <w:lang w:eastAsia="en-US"/>
        </w:rPr>
        <w:t>e revisión; es decir, no es posible</w:t>
      </w:r>
      <w:r w:rsidRPr="006769D8">
        <w:rPr>
          <w:rFonts w:eastAsiaTheme="minorHAnsi" w:cstheme="minorBidi"/>
          <w:szCs w:val="24"/>
          <w:lang w:eastAsia="en-US"/>
        </w:rPr>
        <w:t xml:space="preserve"> establecer una materia o un tema como objeto de derecho de acceso a la información, si de la solicitud no se entiende o no se precisan temas o materias objetivas; por ello es de notoria importancia el trabajo de interpretación que se le dé a las solicit</w:t>
      </w:r>
      <w:r>
        <w:rPr>
          <w:rFonts w:eastAsiaTheme="minorHAnsi" w:cstheme="minorBidi"/>
          <w:szCs w:val="24"/>
          <w:lang w:eastAsia="en-US"/>
        </w:rPr>
        <w:t>udes de información, ya que el Sujeto O</w:t>
      </w:r>
      <w:r w:rsidRPr="006769D8">
        <w:rPr>
          <w:rFonts w:eastAsiaTheme="minorHAnsi" w:cstheme="minorBidi"/>
          <w:szCs w:val="24"/>
          <w:lang w:eastAsia="en-US"/>
        </w:rPr>
        <w:t xml:space="preserve">bligado puede considerar una circunstancia en particular diversa a la que </w:t>
      </w:r>
      <w:r>
        <w:rPr>
          <w:rFonts w:eastAsiaTheme="minorHAnsi" w:cstheme="minorBidi"/>
          <w:szCs w:val="24"/>
          <w:lang w:eastAsia="en-US"/>
        </w:rPr>
        <w:t>el particular</w:t>
      </w:r>
      <w:r w:rsidRPr="006769D8">
        <w:rPr>
          <w:rFonts w:eastAsiaTheme="minorHAnsi" w:cstheme="minorBidi"/>
          <w:szCs w:val="24"/>
          <w:lang w:eastAsia="en-US"/>
        </w:rPr>
        <w:t xml:space="preserve"> objetivamente requiere.</w:t>
      </w:r>
    </w:p>
    <w:p w14:paraId="13349165" w14:textId="77777777" w:rsidR="00C5688E" w:rsidRPr="006769D8" w:rsidRDefault="00C5688E" w:rsidP="00C5688E">
      <w:pPr>
        <w:rPr>
          <w:rFonts w:eastAsiaTheme="minorHAnsi" w:cstheme="minorBidi"/>
          <w:szCs w:val="24"/>
          <w:lang w:eastAsia="en-US"/>
        </w:rPr>
      </w:pPr>
    </w:p>
    <w:p w14:paraId="62BA97C5"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B5D56BB" w14:textId="77777777" w:rsidR="00C5688E" w:rsidRPr="006769D8" w:rsidRDefault="00C5688E" w:rsidP="00C5688E">
      <w:pPr>
        <w:rPr>
          <w:rFonts w:eastAsiaTheme="minorHAnsi" w:cstheme="minorBidi"/>
          <w:szCs w:val="24"/>
          <w:lang w:eastAsia="en-US"/>
        </w:rPr>
      </w:pPr>
    </w:p>
    <w:p w14:paraId="36D50892" w14:textId="77777777" w:rsidR="00C5688E" w:rsidRDefault="00C5688E" w:rsidP="00C5688E">
      <w:pPr>
        <w:rPr>
          <w:rFonts w:eastAsiaTheme="minorHAnsi" w:cstheme="minorBidi"/>
          <w:szCs w:val="24"/>
          <w:lang w:eastAsia="en-US"/>
        </w:rPr>
      </w:pPr>
      <w:r w:rsidRPr="006769D8">
        <w:rPr>
          <w:rFonts w:eastAsiaTheme="minorHAnsi" w:cstheme="minorBidi"/>
          <w:szCs w:val="24"/>
          <w:lang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6769D8">
        <w:rPr>
          <w:rFonts w:eastAsiaTheme="minorHAnsi" w:cstheme="minorBidi"/>
          <w:szCs w:val="24"/>
          <w:lang w:eastAsia="en-US"/>
        </w:rPr>
        <w:lastRenderedPageBreak/>
        <w:t>demás leyes aplicables en la materia, así como en los tratados internacionales en los que el Estado Mexicano sea parte, en concordancia con el párrafo tercero del artículo 1, de la Cons</w:t>
      </w:r>
      <w:r>
        <w:rPr>
          <w:rFonts w:eastAsiaTheme="minorHAnsi" w:cstheme="minorBidi"/>
          <w:szCs w:val="24"/>
          <w:lang w:eastAsia="en-US"/>
        </w:rPr>
        <w:t>titución Federal y el artículo 8</w:t>
      </w:r>
      <w:r w:rsidRPr="006769D8">
        <w:rPr>
          <w:rFonts w:eastAsiaTheme="minorHAnsi" w:cstheme="minorBidi"/>
          <w:szCs w:val="24"/>
          <w:lang w:eastAsia="en-US"/>
        </w:rPr>
        <w:t xml:space="preserve"> de la Ley de Transparencia local.</w:t>
      </w:r>
    </w:p>
    <w:p w14:paraId="25B68B34" w14:textId="77777777" w:rsidR="00C5688E" w:rsidRDefault="00C5688E" w:rsidP="00C5688E">
      <w:pPr>
        <w:rPr>
          <w:rFonts w:eastAsiaTheme="minorHAnsi" w:cstheme="minorBidi"/>
          <w:szCs w:val="24"/>
          <w:lang w:eastAsia="en-US"/>
        </w:rPr>
      </w:pPr>
    </w:p>
    <w:p w14:paraId="67070C46"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146ED716" w14:textId="77777777" w:rsidR="00C5688E" w:rsidRDefault="00C5688E" w:rsidP="00C5688E">
      <w:pPr>
        <w:rPr>
          <w:rFonts w:eastAsiaTheme="minorHAnsi" w:cstheme="minorBidi"/>
          <w:szCs w:val="24"/>
          <w:lang w:eastAsia="en-US"/>
        </w:rPr>
      </w:pPr>
    </w:p>
    <w:p w14:paraId="7B3E31EB" w14:textId="77777777" w:rsidR="00C5688E" w:rsidRPr="00C82353" w:rsidRDefault="00C5688E" w:rsidP="00C5688E">
      <w:pPr>
        <w:rPr>
          <w:rFonts w:eastAsiaTheme="minorEastAsia" w:cstheme="minorBidi"/>
          <w:lang w:val="es-ES" w:eastAsia="en-US"/>
        </w:rPr>
      </w:pPr>
      <w:r w:rsidRPr="0B3F3BD6">
        <w:rPr>
          <w:rFonts w:eastAsiaTheme="minorEastAsia" w:cstheme="minorBidi"/>
          <w:lang w:val="es-ES" w:eastAsia="en-US"/>
        </w:rPr>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1C0DF6CA" w14:textId="77777777" w:rsidR="00C5688E" w:rsidRPr="00213154" w:rsidRDefault="00C5688E" w:rsidP="00C5688E">
      <w:pPr>
        <w:rPr>
          <w:rFonts w:eastAsiaTheme="minorHAnsi" w:cstheme="minorBidi"/>
          <w:sz w:val="22"/>
          <w:lang w:eastAsia="en-US"/>
        </w:rPr>
      </w:pPr>
    </w:p>
    <w:p w14:paraId="258D5D0B" w14:textId="6C1FEE17" w:rsidR="00B161E6" w:rsidRPr="005E3DF1" w:rsidRDefault="32A7C440" w:rsidP="0074470E">
      <w:pPr>
        <w:rPr>
          <w:rFonts w:eastAsiaTheme="minorEastAsia" w:cstheme="minorBidi"/>
          <w:lang w:eastAsia="en-US"/>
        </w:rPr>
      </w:pPr>
      <w:r w:rsidRPr="32A7C440">
        <w:rPr>
          <w:rFonts w:eastAsiaTheme="minorEastAsia" w:cstheme="minorBidi"/>
          <w:lang w:val="es-ES" w:eastAsia="en-US"/>
        </w:rPr>
        <w:t xml:space="preserve">En virtud de lo anterior, es conveniente recordar que el Recurrente </w:t>
      </w:r>
      <w:r w:rsidR="006415EA">
        <w:rPr>
          <w:rFonts w:eastAsiaTheme="minorEastAsia" w:cstheme="minorBidi"/>
          <w:lang w:val="es-ES" w:eastAsia="en-US"/>
        </w:rPr>
        <w:t xml:space="preserve">presentó una solicitud </w:t>
      </w:r>
      <w:r w:rsidR="00DF3090">
        <w:rPr>
          <w:rFonts w:eastAsiaTheme="minorEastAsia" w:cstheme="minorBidi"/>
          <w:lang w:val="es-ES" w:eastAsia="en-US"/>
        </w:rPr>
        <w:t>con la que requirió que</w:t>
      </w:r>
      <w:r w:rsidR="00704E9C">
        <w:rPr>
          <w:rFonts w:eastAsiaTheme="minorEastAsia" w:cstheme="minorBidi"/>
          <w:lang w:val="es-ES" w:eastAsia="en-US"/>
        </w:rPr>
        <w:t xml:space="preserve"> la Presidenta le informara </w:t>
      </w:r>
      <w:r w:rsidR="00DF3090">
        <w:rPr>
          <w:rFonts w:eastAsiaTheme="minorEastAsia" w:cstheme="minorBidi"/>
          <w:lang w:val="es-ES" w:eastAsia="en-US"/>
        </w:rPr>
        <w:t xml:space="preserve">el motivo por el cual </w:t>
      </w:r>
      <w:r w:rsidR="00704E9C">
        <w:rPr>
          <w:rFonts w:eastAsiaTheme="minorEastAsia" w:cstheme="minorBidi"/>
          <w:lang w:val="es-ES" w:eastAsia="en-US"/>
        </w:rPr>
        <w:t>el portal de Información Pública de O</w:t>
      </w:r>
      <w:r w:rsidR="007A6355">
        <w:rPr>
          <w:rFonts w:eastAsiaTheme="minorEastAsia" w:cstheme="minorBidi"/>
          <w:lang w:val="es-ES" w:eastAsia="en-US"/>
        </w:rPr>
        <w:t>ficio Mexiquense (IPOMEX) no se encontraba actualizado, ya que requiere que se le informe porque estaba realizando una evaluación del Sistema Nacional de Transparencia.</w:t>
      </w:r>
    </w:p>
    <w:p w14:paraId="382AF34A" w14:textId="77777777" w:rsidR="00C84636" w:rsidRPr="00E45F63" w:rsidRDefault="00C84636" w:rsidP="009F5C74">
      <w:pPr>
        <w:rPr>
          <w:rFonts w:eastAsiaTheme="minorHAnsi" w:cstheme="minorBidi"/>
          <w:szCs w:val="24"/>
          <w:lang w:eastAsia="en-US"/>
        </w:rPr>
      </w:pPr>
    </w:p>
    <w:p w14:paraId="599D5F1B" w14:textId="786E2849" w:rsidR="00837584"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lastRenderedPageBreak/>
        <w:t xml:space="preserve">Al respecto, el Sujeto Obligado respondió al solicitante </w:t>
      </w:r>
      <w:r w:rsidR="00E52089">
        <w:rPr>
          <w:rFonts w:eastAsia="Palatino Linotype" w:cs="Palatino Linotype"/>
          <w:color w:val="000000"/>
          <w:szCs w:val="24"/>
        </w:rPr>
        <w:t>mediante la entrega de</w:t>
      </w:r>
      <w:r w:rsidR="00022E67">
        <w:rPr>
          <w:rFonts w:eastAsia="Palatino Linotype" w:cs="Palatino Linotype"/>
          <w:color w:val="000000"/>
          <w:szCs w:val="24"/>
        </w:rPr>
        <w:t>l</w:t>
      </w:r>
      <w:r w:rsidR="00E52089">
        <w:rPr>
          <w:rFonts w:eastAsia="Palatino Linotype" w:cs="Palatino Linotype"/>
          <w:color w:val="000000"/>
          <w:szCs w:val="24"/>
        </w:rPr>
        <w:t xml:space="preserve"> siguiente documento:</w:t>
      </w:r>
    </w:p>
    <w:p w14:paraId="459DDA66" w14:textId="77777777" w:rsidR="00E52089" w:rsidRDefault="00E52089" w:rsidP="00663A37">
      <w:pPr>
        <w:pBdr>
          <w:top w:val="nil"/>
          <w:left w:val="nil"/>
          <w:bottom w:val="nil"/>
          <w:right w:val="nil"/>
          <w:between w:val="nil"/>
        </w:pBdr>
        <w:contextualSpacing/>
        <w:rPr>
          <w:rFonts w:eastAsia="Palatino Linotype" w:cs="Palatino Linotype"/>
          <w:color w:val="000000"/>
          <w:szCs w:val="24"/>
        </w:rPr>
      </w:pPr>
    </w:p>
    <w:p w14:paraId="12F4A9F6" w14:textId="12A68299" w:rsidR="00653A9F" w:rsidRPr="00A24B8B" w:rsidRDefault="007A6355" w:rsidP="007A6355">
      <w:pPr>
        <w:pStyle w:val="Prrafodelista"/>
        <w:numPr>
          <w:ilvl w:val="0"/>
          <w:numId w:val="41"/>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Sol 179</w:t>
      </w:r>
      <w:r w:rsidR="00311DA2" w:rsidRPr="00A24B8B">
        <w:rPr>
          <w:rFonts w:eastAsia="Palatino Linotype" w:cs="Palatino Linotype"/>
          <w:b/>
          <w:bCs/>
          <w:color w:val="000000"/>
        </w:rPr>
        <w:t>.pdf</w:t>
      </w:r>
      <w:r w:rsidR="000D3DF5" w:rsidRPr="00A24B8B">
        <w:rPr>
          <w:rFonts w:eastAsia="Palatino Linotype" w:cs="Palatino Linotype"/>
          <w:bCs/>
          <w:color w:val="000000"/>
        </w:rPr>
        <w:t xml:space="preserve">. </w:t>
      </w:r>
      <w:r>
        <w:rPr>
          <w:rFonts w:eastAsia="Palatino Linotype" w:cs="Palatino Linotype"/>
          <w:bCs/>
          <w:color w:val="000000"/>
        </w:rPr>
        <w:t>Oficio número UTAIPEM/315/2025 emitido por la Titular de la Unidad de Transparencia, mediante el cual informó que, si bien es cierto que el Sujeto Obligado tiene sus obligaciones de transparencia con base a los artículos 92 y 94 de la Ley de Transparencia estatal, cabe mencionar que dichas obligaciones están actualizadas hasta el cuarto trimestre del ejercicio 2024 y que el primer trimestre del ejercicio 2025 se actualizará en el mes de abril, puesto que las funciones de ese periodo terminan el treinta y uno de marzo.</w:t>
      </w:r>
    </w:p>
    <w:p w14:paraId="423A0245" w14:textId="77777777" w:rsidR="00022E67" w:rsidRDefault="00022E67" w:rsidP="00663A37">
      <w:pPr>
        <w:pBdr>
          <w:top w:val="nil"/>
          <w:left w:val="nil"/>
          <w:bottom w:val="nil"/>
          <w:right w:val="nil"/>
          <w:between w:val="nil"/>
        </w:pBdr>
        <w:contextualSpacing/>
        <w:rPr>
          <w:rFonts w:eastAsia="Palatino Linotype" w:cs="Palatino Linotype"/>
          <w:color w:val="000000"/>
          <w:szCs w:val="24"/>
        </w:rPr>
      </w:pPr>
    </w:p>
    <w:p w14:paraId="6419ECD9" w14:textId="6016CA52" w:rsidR="00663A37" w:rsidRPr="0027327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w:t>
      </w:r>
      <w:r w:rsidR="00B031E2">
        <w:rPr>
          <w:rFonts w:eastAsia="Palatino Linotype" w:cs="Palatino Linotype"/>
          <w:color w:val="000000"/>
          <w:szCs w:val="24"/>
        </w:rPr>
        <w:t xml:space="preserve">consideró que se trasgredió su derecho de acceso a la información, por lo que </w:t>
      </w:r>
      <w:r w:rsidRPr="009D62BC">
        <w:rPr>
          <w:rFonts w:eastAsia="Palatino Linotype" w:cs="Palatino Linotype"/>
          <w:color w:val="000000"/>
          <w:szCs w:val="24"/>
        </w:rPr>
        <w:t xml:space="preserve">interpuso el presente recurso de revisión </w:t>
      </w:r>
      <w:r w:rsidR="00B05A97" w:rsidRPr="009D62BC">
        <w:rPr>
          <w:rFonts w:eastAsia="Palatino Linotype" w:cs="Palatino Linotype"/>
          <w:color w:val="000000"/>
          <w:szCs w:val="24"/>
        </w:rPr>
        <w:t xml:space="preserve">señalando como </w:t>
      </w:r>
      <w:r w:rsidR="001060F0" w:rsidRPr="009D62BC">
        <w:rPr>
          <w:rFonts w:eastAsia="Palatino Linotype" w:cs="Palatino Linotype"/>
          <w:color w:val="000000"/>
          <w:szCs w:val="24"/>
        </w:rPr>
        <w:t>acto</w:t>
      </w:r>
      <w:r w:rsidR="00273277">
        <w:rPr>
          <w:rFonts w:eastAsia="Palatino Linotype" w:cs="Palatino Linotype"/>
          <w:color w:val="000000"/>
          <w:szCs w:val="24"/>
        </w:rPr>
        <w:t xml:space="preserve"> impugnado</w:t>
      </w:r>
      <w:r w:rsidR="00242DC4">
        <w:rPr>
          <w:rFonts w:eastAsia="Palatino Linotype" w:cs="Palatino Linotype"/>
          <w:color w:val="000000"/>
          <w:szCs w:val="24"/>
        </w:rPr>
        <w:t xml:space="preserve"> </w:t>
      </w:r>
      <w:r w:rsidR="00065A8D">
        <w:rPr>
          <w:rFonts w:eastAsia="Palatino Linotype" w:cs="Palatino Linotype"/>
          <w:color w:val="000000"/>
          <w:szCs w:val="24"/>
        </w:rPr>
        <w:t xml:space="preserve">y razones o motivos de inconformidad que </w:t>
      </w:r>
      <w:r w:rsidR="007A6355">
        <w:rPr>
          <w:rFonts w:eastAsia="Palatino Linotype" w:cs="Palatino Linotype"/>
          <w:color w:val="000000"/>
          <w:szCs w:val="24"/>
        </w:rPr>
        <w:t xml:space="preserve">el portal no está actualizado y que generará una denuncia o queja ante este Instituto para que se revise y verifique dicha situación. </w:t>
      </w:r>
    </w:p>
    <w:p w14:paraId="72D287F5" w14:textId="77777777" w:rsidR="008B1E60" w:rsidRDefault="008B1E60" w:rsidP="003E7329"/>
    <w:p w14:paraId="61A2F954" w14:textId="77777777" w:rsidR="00A307E5" w:rsidRPr="00A06672" w:rsidRDefault="00A307E5" w:rsidP="00A307E5">
      <w:r w:rsidRPr="0075736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w:t>
      </w:r>
      <w:r w:rsidRPr="00757365">
        <w:lastRenderedPageBreak/>
        <w:t xml:space="preserve">emitir la respuesta que ahora se impugna; no obstante, la falta de informe justificado no es óbice para que este </w:t>
      </w:r>
      <w:r>
        <w:t>Instituto</w:t>
      </w:r>
      <w:r w:rsidRPr="00757365">
        <w:t xml:space="preserve"> conozca y resuelva el recurso de revisión.</w:t>
      </w:r>
    </w:p>
    <w:p w14:paraId="21527529" w14:textId="77777777" w:rsidR="0035003B" w:rsidRDefault="0035003B" w:rsidP="003E7329"/>
    <w:p w14:paraId="2EF3CEB6" w14:textId="6D806C0F"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descritas las actuaciones en el expediente del recurso de revisión,</w:t>
      </w:r>
      <w:r w:rsidR="00020209">
        <w:rPr>
          <w:rFonts w:eastAsia="Palatino Linotype" w:cs="Palatino Linotype"/>
          <w:color w:val="000000"/>
          <w:szCs w:val="24"/>
        </w:rPr>
        <w:t xml:space="preserve"> es pertinente enfatizar lo que</w:t>
      </w:r>
      <w:r w:rsidR="00CE12DE">
        <w:rPr>
          <w:rFonts w:eastAsia="Palatino Linotype" w:cs="Palatino Linotype"/>
          <w:color w:val="000000"/>
          <w:szCs w:val="24"/>
        </w:rPr>
        <w:t>,</w:t>
      </w:r>
      <w:r w:rsidRPr="00C82353">
        <w:rPr>
          <w:rFonts w:eastAsia="Palatino Linotype" w:cs="Palatino Linotype"/>
          <w:color w:val="000000"/>
          <w:szCs w:val="24"/>
        </w:rPr>
        <w:t xml:space="preserve"> respecto al derecho de acceso a la informació</w:t>
      </w:r>
      <w:r w:rsidR="00273277">
        <w:rPr>
          <w:rFonts w:eastAsia="Palatino Linotype" w:cs="Palatino Linotype"/>
          <w:color w:val="000000"/>
          <w:szCs w:val="24"/>
        </w:rPr>
        <w:t xml:space="preserve">n pública, refiere el artículo 5° de </w:t>
      </w:r>
      <w:r w:rsidRPr="00C82353">
        <w:rPr>
          <w:rFonts w:eastAsia="Palatino Linotype" w:cs="Palatino Linotype"/>
          <w:color w:val="000000"/>
          <w:szCs w:val="24"/>
        </w:rPr>
        <w:t xml:space="preserve">la Constitución Política del Estado Libre y Soberano de México, </w:t>
      </w:r>
      <w:r w:rsidR="00020209">
        <w:rPr>
          <w:rFonts w:eastAsia="Palatino Linotype" w:cs="Palatino Linotype"/>
          <w:color w:val="000000"/>
          <w:szCs w:val="24"/>
        </w:rPr>
        <w:t xml:space="preserve">que en su parte conducente dispone </w:t>
      </w:r>
      <w:r w:rsidRPr="00C82353">
        <w:rPr>
          <w:rFonts w:eastAsia="Palatino Linotype" w:cs="Palatino Linotype"/>
          <w:color w:val="000000"/>
          <w:szCs w:val="24"/>
        </w:rPr>
        <w:t>lo siguiente:</w:t>
      </w:r>
    </w:p>
    <w:p w14:paraId="5A4DDF7A"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1257435E" w:rsidR="009A451E"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themeColor="text1"/>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w:t>
      </w:r>
      <w:r w:rsidR="00A16FEE">
        <w:rPr>
          <w:rFonts w:eastAsia="Palatino Linotype" w:cs="Palatino Linotype"/>
          <w:i/>
          <w:iCs/>
          <w:color w:val="000000" w:themeColor="text1"/>
          <w:sz w:val="22"/>
          <w:lang w:val="es-ES"/>
        </w:rPr>
        <w:t>[…]</w:t>
      </w:r>
    </w:p>
    <w:p w14:paraId="38C035AE" w14:textId="77777777" w:rsidR="00A16FEE" w:rsidRPr="00C82353" w:rsidRDefault="00A16FE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E7740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E96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18FE27F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444AD"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4521D3B2" w:rsidR="009A451E" w:rsidRPr="005444AD" w:rsidRDefault="009A451E" w:rsidP="009A451E">
      <w:pPr>
        <w:rPr>
          <w:rFonts w:eastAsia="Palatino Linotype" w:cs="Palatino Linotype"/>
          <w:szCs w:val="24"/>
        </w:rPr>
      </w:pPr>
      <w:r w:rsidRPr="005444AD">
        <w:rPr>
          <w:rFonts w:eastAsia="Palatino Linotype" w:cs="Palatino Linotype"/>
          <w:szCs w:val="24"/>
        </w:rPr>
        <w:t>En ese orden de ideas, la Ley de Transparencia y Acceso a la Información Pública del Estado de México y Municipios, pre</w:t>
      </w:r>
      <w:r>
        <w:rPr>
          <w:rFonts w:eastAsia="Palatino Linotype" w:cs="Palatino Linotype"/>
          <w:szCs w:val="24"/>
        </w:rPr>
        <w:t xml:space="preserve">vé en su artículo 23, fracción </w:t>
      </w:r>
      <w:r w:rsidR="00B16FB0">
        <w:rPr>
          <w:rFonts w:eastAsia="Palatino Linotype" w:cs="Palatino Linotype"/>
          <w:szCs w:val="24"/>
        </w:rPr>
        <w:t>I</w:t>
      </w:r>
      <w:r w:rsidR="00020209">
        <w:rPr>
          <w:rFonts w:eastAsia="Palatino Linotype" w:cs="Palatino Linotype"/>
          <w:szCs w:val="24"/>
        </w:rPr>
        <w:t>V</w:t>
      </w:r>
      <w:r w:rsidRPr="005444AD">
        <w:rPr>
          <w:rFonts w:eastAsia="Palatino Linotype" w:cs="Palatino Linotype"/>
          <w:szCs w:val="24"/>
        </w:rPr>
        <w:t>, lo siguiente:</w:t>
      </w:r>
    </w:p>
    <w:p w14:paraId="2A99F2B1" w14:textId="77777777" w:rsidR="009A451E" w:rsidRPr="005444AD" w:rsidRDefault="009A451E" w:rsidP="009A451E">
      <w:pPr>
        <w:rPr>
          <w:rFonts w:eastAsia="Palatino Linotype" w:cs="Palatino Linotype"/>
          <w:szCs w:val="24"/>
        </w:rPr>
      </w:pPr>
    </w:p>
    <w:p w14:paraId="6F00330F" w14:textId="77777777" w:rsidR="009A451E"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4C7A7B2C" w:rsidR="009A451E" w:rsidRPr="00C82353" w:rsidRDefault="00020209"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0BEFF0D2" w14:textId="327994EF" w:rsidR="009A451E" w:rsidRPr="00C82353" w:rsidRDefault="00B16FB0" w:rsidP="009A451E">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I</w:t>
      </w:r>
      <w:r w:rsidR="00020209">
        <w:rPr>
          <w:rFonts w:eastAsia="Palatino Linotype" w:cs="Palatino Linotype"/>
          <w:b/>
          <w:bCs/>
          <w:i/>
          <w:iCs/>
          <w:sz w:val="22"/>
          <w:lang w:val="es-ES"/>
        </w:rPr>
        <w:t>V</w:t>
      </w:r>
      <w:r w:rsidR="009A451E" w:rsidRPr="665C2826">
        <w:rPr>
          <w:rFonts w:eastAsia="Palatino Linotype" w:cs="Palatino Linotype"/>
          <w:b/>
          <w:bCs/>
          <w:i/>
          <w:iCs/>
          <w:sz w:val="22"/>
          <w:lang w:val="es-ES"/>
        </w:rPr>
        <w:t>.</w:t>
      </w:r>
      <w:r w:rsidR="009A451E" w:rsidRPr="665C2826">
        <w:rPr>
          <w:rFonts w:eastAsia="Palatino Linotype" w:cs="Palatino Linotype"/>
          <w:i/>
          <w:iCs/>
          <w:sz w:val="22"/>
          <w:lang w:val="es-ES"/>
        </w:rPr>
        <w:t xml:space="preserve"> </w:t>
      </w:r>
      <w:r w:rsidR="00020209">
        <w:rPr>
          <w:rFonts w:eastAsia="Palatino Linotype" w:cs="Palatino Linotype"/>
          <w:i/>
          <w:iCs/>
          <w:sz w:val="22"/>
          <w:lang w:val="es-ES"/>
        </w:rPr>
        <w:t>Los</w:t>
      </w:r>
      <w:r w:rsidR="009A451E">
        <w:rPr>
          <w:rFonts w:eastAsia="Palatino Linotype" w:cs="Palatino Linotype"/>
          <w:i/>
          <w:iCs/>
          <w:sz w:val="22"/>
          <w:lang w:val="es-ES"/>
        </w:rPr>
        <w:t xml:space="preserve"> </w:t>
      </w:r>
      <w:r w:rsidR="00020209" w:rsidRPr="00020209">
        <w:rPr>
          <w:rFonts w:eastAsia="Palatino Linotype" w:cs="Palatino Linotype"/>
          <w:i/>
          <w:iCs/>
          <w:sz w:val="22"/>
          <w:lang w:val="es-ES"/>
        </w:rPr>
        <w:t>ayuntamientos y las dependencias, organismos, órganos y entidades de la administración municipal</w:t>
      </w:r>
      <w:r w:rsidR="009A451E" w:rsidRPr="665C2826">
        <w:rPr>
          <w:rFonts w:eastAsia="Palatino Linotype" w:cs="Palatino Linotype"/>
          <w:i/>
          <w:iCs/>
          <w:sz w:val="22"/>
          <w:lang w:val="es-ES"/>
        </w:rPr>
        <w:t>;</w:t>
      </w:r>
    </w:p>
    <w:p w14:paraId="0EF64FEE" w14:textId="73A69CA3" w:rsidR="009A451E" w:rsidRPr="00C82353" w:rsidRDefault="00E02FC8"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r w:rsidR="009A451E" w:rsidRPr="665C2826">
        <w:rPr>
          <w:rFonts w:eastAsia="Palatino Linotype" w:cs="Palatino Linotype"/>
          <w:i/>
          <w:iCs/>
          <w:sz w:val="22"/>
          <w:lang w:val="es-ES"/>
        </w:rPr>
        <w:t>…</w:t>
      </w:r>
      <w:r>
        <w:rPr>
          <w:rFonts w:eastAsia="Palatino Linotype" w:cs="Palatino Linotype"/>
          <w:i/>
          <w:iCs/>
          <w:sz w:val="22"/>
          <w:lang w:val="es-ES"/>
        </w:rPr>
        <w:t>]</w:t>
      </w:r>
    </w:p>
    <w:p w14:paraId="1A651450"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77777777" w:rsidR="009A451E"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Es así </w:t>
      </w:r>
      <w:r>
        <w:rPr>
          <w:rFonts w:eastAsia="Palatino Linotype" w:cs="Palatino Linotype"/>
          <w:color w:val="000000"/>
          <w:szCs w:val="24"/>
        </w:rPr>
        <w:t>como</w:t>
      </w:r>
      <w:r w:rsidRPr="00C82353">
        <w:rPr>
          <w:rFonts w:eastAsia="Palatino Linotype" w:cs="Palatino Linotype"/>
          <w:color w:val="000000"/>
          <w:szCs w:val="24"/>
        </w:rPr>
        <w:t xml:space="preserve">, conforme a los preceptos legales citados, se desprende que el derecho de acceso a la información pública es un derecho individual que puede ser ejercido ante </w:t>
      </w:r>
      <w:r w:rsidRPr="00C82353">
        <w:rPr>
          <w:rFonts w:eastAsia="Palatino Linotype" w:cs="Palatino Linotype"/>
          <w:color w:val="000000"/>
          <w:szCs w:val="24"/>
        </w:rPr>
        <w:lastRenderedPageBreak/>
        <w:t>cualquier autoridad, entidad, órgano u organismo, tanto federales, como estatales, de la Ciudad de México o Municipales</w:t>
      </w:r>
      <w:r>
        <w:rPr>
          <w:rFonts w:eastAsia="Palatino Linotype" w:cs="Palatino Linotype"/>
          <w:color w:val="000000"/>
          <w:szCs w:val="24"/>
        </w:rPr>
        <w:t xml:space="preserve"> y autónomos</w:t>
      </w:r>
      <w:r w:rsidRPr="00C82353">
        <w:rPr>
          <w:rFonts w:eastAsia="Palatino Linotype" w:cs="Palatino Linotype"/>
          <w:color w:val="000000"/>
          <w:szCs w:val="24"/>
        </w:rPr>
        <w:t>, con el fin de que los particulares conozcan toda aquella información que es considerada como pública.</w:t>
      </w:r>
    </w:p>
    <w:p w14:paraId="70BB6D39" w14:textId="77777777" w:rsidR="009049EA" w:rsidRDefault="009049EA" w:rsidP="009A451E">
      <w:pPr>
        <w:pBdr>
          <w:top w:val="nil"/>
          <w:left w:val="nil"/>
          <w:bottom w:val="nil"/>
          <w:right w:val="nil"/>
          <w:between w:val="nil"/>
        </w:pBdr>
        <w:contextualSpacing/>
        <w:rPr>
          <w:rFonts w:eastAsia="Palatino Linotype" w:cs="Palatino Linotype"/>
          <w:color w:val="000000"/>
          <w:szCs w:val="24"/>
        </w:rPr>
      </w:pPr>
    </w:p>
    <w:p w14:paraId="47C57883" w14:textId="6688FF5E" w:rsidR="001136E6" w:rsidRDefault="009049EA" w:rsidP="003059EF">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segundo término</w:t>
      </w:r>
      <w:r w:rsidR="00F0272B">
        <w:rPr>
          <w:rFonts w:eastAsia="Palatino Linotype" w:cs="Palatino Linotype"/>
          <w:color w:val="000000"/>
          <w:szCs w:val="24"/>
        </w:rPr>
        <w:t xml:space="preserve">, </w:t>
      </w:r>
      <w:r w:rsidR="003059EF">
        <w:rPr>
          <w:rFonts w:eastAsia="Palatino Linotype" w:cs="Palatino Linotype"/>
          <w:color w:val="000000"/>
          <w:szCs w:val="24"/>
        </w:rPr>
        <w:t>se debe destacar que</w:t>
      </w:r>
      <w:r w:rsidR="00E01DCE">
        <w:rPr>
          <w:rFonts w:eastAsia="Palatino Linotype" w:cs="Palatino Linotype"/>
          <w:color w:val="000000"/>
          <w:szCs w:val="24"/>
        </w:rPr>
        <w:t xml:space="preserve"> el Recurrente requirió </w:t>
      </w:r>
      <w:r w:rsidR="0098719E">
        <w:rPr>
          <w:rFonts w:eastAsia="Palatino Linotype" w:cs="Palatino Linotype"/>
          <w:color w:val="000000"/>
          <w:szCs w:val="24"/>
        </w:rPr>
        <w:t xml:space="preserve">el motivo por el que el </w:t>
      </w:r>
      <w:r w:rsidR="007A6355">
        <w:rPr>
          <w:rFonts w:eastAsia="Palatino Linotype" w:cs="Palatino Linotype"/>
          <w:color w:val="000000"/>
          <w:szCs w:val="24"/>
        </w:rPr>
        <w:t xml:space="preserve">portal IPOMEX no se encontraba actualizado al día seis de marzo de dos mil veinticinco, por ser esta fecha el día en el que </w:t>
      </w:r>
      <w:r w:rsidR="00992689">
        <w:rPr>
          <w:rFonts w:eastAsia="Palatino Linotype" w:cs="Palatino Linotype"/>
          <w:color w:val="000000"/>
          <w:szCs w:val="24"/>
        </w:rPr>
        <w:t>se realizó la solicitud; a lo que el Sujeto Obligado respondió que la información se encontraba actualizada al cuarto trimestre del año 2024, en virtud de que la actualización del ejercicio 2025 se llevaría a cabo en el mes de abril toda vez que el periodo trimestral concluía el treinta y uno de marzo.</w:t>
      </w:r>
    </w:p>
    <w:p w14:paraId="1C680E7D" w14:textId="77777777" w:rsidR="00923AFC" w:rsidRDefault="00923AFC" w:rsidP="003059EF">
      <w:pPr>
        <w:pBdr>
          <w:top w:val="nil"/>
          <w:left w:val="nil"/>
          <w:bottom w:val="nil"/>
          <w:right w:val="nil"/>
          <w:between w:val="nil"/>
        </w:pBdr>
        <w:contextualSpacing/>
        <w:rPr>
          <w:rFonts w:eastAsia="Palatino Linotype" w:cs="Palatino Linotype"/>
          <w:color w:val="000000"/>
          <w:szCs w:val="24"/>
        </w:rPr>
      </w:pPr>
    </w:p>
    <w:p w14:paraId="49D671FD" w14:textId="3BAED3EF" w:rsidR="00A078D0" w:rsidRDefault="00B510AA" w:rsidP="00B510AA">
      <w:pPr>
        <w:rPr>
          <w:rFonts w:eastAsia="Palatino Linotype" w:cs="Palatino Linotype"/>
          <w:lang w:val="es-ES"/>
        </w:rPr>
      </w:pPr>
      <w:r w:rsidRPr="6A5992C8">
        <w:rPr>
          <w:rFonts w:eastAsia="Palatino Linotype" w:cs="Palatino Linotype"/>
          <w:lang w:val="es-ES"/>
        </w:rPr>
        <w:t xml:space="preserve">Al respecto, </w:t>
      </w:r>
      <w:r w:rsidR="00A078D0">
        <w:rPr>
          <w:rFonts w:eastAsia="Palatino Linotype" w:cs="Palatino Linotype"/>
          <w:lang w:val="es-ES"/>
        </w:rPr>
        <w:t>se tiene que, del análisis a la solicitud planteada, se desprende que el particular requiere que se le dé una explicación ante la situación específica que señala en su texto.</w:t>
      </w:r>
    </w:p>
    <w:p w14:paraId="22604482" w14:textId="77777777" w:rsidR="00A078D0" w:rsidRDefault="00A078D0" w:rsidP="00B510AA">
      <w:pPr>
        <w:rPr>
          <w:rFonts w:eastAsia="Palatino Linotype" w:cs="Palatino Linotype"/>
          <w:lang w:val="es-ES"/>
        </w:rPr>
      </w:pPr>
    </w:p>
    <w:p w14:paraId="4E6455AF" w14:textId="7DE030C2" w:rsidR="00B510AA" w:rsidRDefault="00A078D0" w:rsidP="00B510AA">
      <w:pPr>
        <w:rPr>
          <w:rFonts w:eastAsia="Palatino Linotype" w:cs="Palatino Linotype"/>
          <w:lang w:val="es-ES"/>
        </w:rPr>
      </w:pPr>
      <w:r>
        <w:rPr>
          <w:rFonts w:eastAsia="Palatino Linotype" w:cs="Palatino Linotype"/>
          <w:lang w:val="es-ES"/>
        </w:rPr>
        <w:t xml:space="preserve">Por lo anterior, se estima que en el caso en concreto </w:t>
      </w:r>
      <w:r w:rsidR="00B510AA" w:rsidRPr="6A5992C8">
        <w:rPr>
          <w:rFonts w:eastAsia="Palatino Linotype" w:cs="Palatino Linotype"/>
          <w:lang w:val="es-ES"/>
        </w:rPr>
        <w:t>no se está ante el ejercicio del derecho de acceso a la información pública, sino ante el derecho de petición. Lo anterior porque se considera que dicho requerimiento constituye un cuestionamiento respecto de presuntas situaciones referidas por el particular. Esto en virtud de que los requerido difícilmente puede colmarse con documentos previamente generados</w:t>
      </w:r>
      <w:r w:rsidR="00B510AA" w:rsidRPr="6A5992C8">
        <w:rPr>
          <w:rFonts w:eastAsia="Palatino Linotype" w:cs="Palatino Linotype"/>
          <w:color w:val="000000" w:themeColor="text1"/>
          <w:lang w:val="es-ES"/>
        </w:rPr>
        <w:t xml:space="preserve">, por lo que </w:t>
      </w:r>
      <w:r w:rsidR="00B510AA" w:rsidRPr="6A5992C8">
        <w:rPr>
          <w:rFonts w:eastAsia="Palatino Linotype" w:cs="Palatino Linotype"/>
          <w:lang w:val="es-ES"/>
        </w:rPr>
        <w:t xml:space="preserve">al no colmarse con la entrega de documentos sino con un pronunciamiento o posicionamiento por parte del Sujeto Obligado ante lo referido por el hoy Recurrente, se concluye que no se está en presencia del ejercicio del derecho de acceso a la información y por lo tanto no </w:t>
      </w:r>
      <w:r w:rsidR="00B510AA" w:rsidRPr="6A5992C8">
        <w:rPr>
          <w:rFonts w:eastAsia="Palatino Linotype" w:cs="Palatino Linotype"/>
          <w:lang w:val="es-ES"/>
        </w:rPr>
        <w:lastRenderedPageBreak/>
        <w:t>es atendible mediante una solicitud de acceso a la información, toda vez que se tratan de manifestaciones subjetivas vertidas por el Recurrente, es decir, se trata de interrogantes y cuestionamientos que no se colman con la entrega de documentos, sino con una postura o pronunciamiento ex profeso por parte del Sujeto Obligado.</w:t>
      </w:r>
    </w:p>
    <w:p w14:paraId="7A380126" w14:textId="0B285826" w:rsidR="00B510AA" w:rsidRDefault="00B510AA" w:rsidP="00B510AA"/>
    <w:p w14:paraId="51910232" w14:textId="77777777" w:rsidR="00B510AA" w:rsidRDefault="00B510AA" w:rsidP="00B510AA">
      <w:pPr>
        <w:rPr>
          <w:rFonts w:eastAsia="Palatino Linotype" w:cs="Palatino Linotype"/>
          <w:sz w:val="22"/>
          <w:lang w:val="es-ES"/>
        </w:rPr>
      </w:pPr>
      <w:r w:rsidRPr="6A5992C8">
        <w:rPr>
          <w:rFonts w:eastAsia="Palatino Linotype" w:cs="Palatino Linotype"/>
          <w:lang w:val="es-ES"/>
        </w:rPr>
        <w:t xml:space="preserve">Es de destacarse que la entrega de una explicación o un razonamiento por parte del Sujeto Obligado no es algo que la ley establezca como atribución, derecho, o facultad; pues ello implicaría un juicio de valor referente a un cuestionamiento realizado, lo cual se satisface vía derecho de petición dado que constituyen interrogantes, inquietudes y manifestaciones. </w:t>
      </w:r>
    </w:p>
    <w:p w14:paraId="430E0783" w14:textId="77777777" w:rsidR="00B510AA" w:rsidRDefault="00B510AA" w:rsidP="00B510AA">
      <w:pPr>
        <w:rPr>
          <w:rFonts w:eastAsia="Palatino Linotype" w:cs="Palatino Linotype"/>
          <w:lang w:val="es-ES"/>
        </w:rPr>
      </w:pPr>
    </w:p>
    <w:p w14:paraId="0C431425" w14:textId="77777777" w:rsidR="00B510AA" w:rsidRDefault="00B510AA" w:rsidP="00B510AA">
      <w:pPr>
        <w:rPr>
          <w:rFonts w:eastAsia="Palatino Linotype" w:cs="Palatino Linotype"/>
          <w:sz w:val="22"/>
          <w:lang w:val="es-ES"/>
        </w:rPr>
      </w:pPr>
      <w:r w:rsidRPr="6A5992C8">
        <w:rPr>
          <w:rFonts w:eastAsia="Palatino Linotype" w:cs="Palatino Linotype"/>
          <w:lang w:val="es-ES"/>
        </w:rPr>
        <w:t>Luego entonces, es importante dejar en claro lo que debe entenderse por derecho de petición y por derecho de acceso a la información pública.</w:t>
      </w:r>
    </w:p>
    <w:p w14:paraId="046883F8" w14:textId="25CA6AEB" w:rsidR="00B510AA" w:rsidRDefault="00B510AA" w:rsidP="00B510AA">
      <w:pPr>
        <w:rPr>
          <w:rFonts w:eastAsia="Palatino Linotype" w:cs="Palatino Linotype"/>
          <w:lang w:val="es-ES"/>
        </w:rPr>
      </w:pPr>
    </w:p>
    <w:p w14:paraId="389B813C" w14:textId="1AC251E2" w:rsidR="00B510AA" w:rsidRDefault="00B510AA" w:rsidP="00B510AA">
      <w:pPr>
        <w:rPr>
          <w:rFonts w:eastAsia="Palatino Linotype" w:cs="Palatino Linotype"/>
          <w:i/>
          <w:iCs/>
          <w:lang w:val="es-ES"/>
        </w:rPr>
      </w:pPr>
      <w:r w:rsidRPr="6A5992C8">
        <w:rPr>
          <w:rFonts w:eastAsia="Palatino Linotype" w:cs="Palatino Linotype"/>
          <w:lang w:val="es-ES"/>
        </w:rPr>
        <w:t xml:space="preserve">Por lo que respecta a la definición de derecho de petición, el Maestro Ignacio Burgoa Orihuela refiere: </w:t>
      </w:r>
      <w:proofErr w:type="gramStart"/>
      <w:r w:rsidRPr="6A5992C8">
        <w:rPr>
          <w:rFonts w:eastAsia="Palatino Linotype" w:cs="Palatino Linotype"/>
          <w:i/>
          <w:iCs/>
          <w:lang w:val="es-ES"/>
        </w:rPr>
        <w:t>«</w:t>
      </w:r>
      <w:r w:rsidR="0004465B">
        <w:rPr>
          <w:rFonts w:eastAsia="Palatino Linotype" w:cs="Palatino Linotype"/>
          <w:i/>
          <w:iCs/>
          <w:lang w:val="es-ES"/>
        </w:rPr>
        <w:t>[</w:t>
      </w:r>
      <w:proofErr w:type="gramEnd"/>
      <w:r w:rsidRPr="6A5992C8">
        <w:rPr>
          <w:rFonts w:eastAsia="Palatino Linotype" w:cs="Palatino Linotype"/>
          <w:i/>
          <w:iCs/>
          <w:lang w:val="es-ES"/>
        </w:rPr>
        <w:t>…</w:t>
      </w:r>
      <w:r w:rsidR="0004465B">
        <w:rPr>
          <w:rFonts w:eastAsia="Palatino Linotype" w:cs="Palatino Linotype"/>
          <w:i/>
          <w:iCs/>
          <w:lang w:val="es-ES"/>
        </w:rPr>
        <w:t>]</w:t>
      </w:r>
      <w:r w:rsidRPr="6A5992C8">
        <w:rPr>
          <w:rFonts w:eastAsia="Palatino Linotype" w:cs="Palatino Linotype"/>
          <w:i/>
          <w:iCs/>
          <w:lang w:val="es-ES"/>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04465B">
        <w:rPr>
          <w:rStyle w:val="Refdenotaalpie"/>
          <w:rFonts w:eastAsia="Palatino Linotype" w:cs="Palatino Linotype"/>
          <w:i/>
          <w:iCs/>
          <w:lang w:val="es-ES"/>
        </w:rPr>
        <w:footnoteReference w:id="3"/>
      </w:r>
      <w:r w:rsidR="0004465B" w:rsidRPr="6A5992C8">
        <w:rPr>
          <w:rFonts w:eastAsia="Palatino Linotype" w:cs="Palatino Linotype"/>
          <w:i/>
          <w:iCs/>
          <w:lang w:val="es-ES"/>
        </w:rPr>
        <w:t xml:space="preserve"> </w:t>
      </w:r>
      <w:r w:rsidRPr="6A5992C8">
        <w:rPr>
          <w:rFonts w:eastAsia="Palatino Linotype" w:cs="Palatino Linotype"/>
          <w:i/>
          <w:iCs/>
          <w:lang w:val="es-ES"/>
        </w:rPr>
        <w:t>(Sic)</w:t>
      </w:r>
    </w:p>
    <w:p w14:paraId="40B9A0DB" w14:textId="61748D4A" w:rsidR="00B510AA" w:rsidRDefault="00B510AA" w:rsidP="00B510AA"/>
    <w:p w14:paraId="2C5CC508" w14:textId="7F805C74" w:rsidR="00B510AA" w:rsidRDefault="00B510AA" w:rsidP="00B510AA">
      <w:r w:rsidRPr="6A5992C8">
        <w:rPr>
          <w:rFonts w:eastAsia="Palatino Linotype" w:cs="Palatino Linotype"/>
          <w:lang w:val="es-ES"/>
        </w:rPr>
        <w:lastRenderedPageBreak/>
        <w:t xml:space="preserve">Por su parte, David Cienfuegos Salgado, concibe al derecho de petición como </w:t>
      </w:r>
      <w:r w:rsidRPr="6A5992C8">
        <w:rPr>
          <w:rFonts w:eastAsia="Palatino Linotype" w:cs="Palatino Linotype"/>
          <w:i/>
          <w:iCs/>
          <w:lang w:val="es-ES"/>
        </w:rPr>
        <w:t xml:space="preserve">«el derecho de toda persona a ser escuchado por quienes ejercen el poder público.» </w:t>
      </w:r>
      <w:r w:rsidR="0004465B">
        <w:rPr>
          <w:rStyle w:val="Refdenotaalpie"/>
          <w:rFonts w:eastAsia="Palatino Linotype" w:cs="Palatino Linotype"/>
          <w:i/>
          <w:iCs/>
          <w:lang w:val="es-ES"/>
        </w:rPr>
        <w:footnoteReference w:id="4"/>
      </w:r>
      <w:r w:rsidRPr="6A5992C8">
        <w:rPr>
          <w:rFonts w:eastAsia="Palatino Linotype" w:cs="Palatino Linotype"/>
          <w:i/>
          <w:iCs/>
          <w:lang w:val="es-ES"/>
        </w:rPr>
        <w:t>(Sic)</w:t>
      </w:r>
      <w:r w:rsidRPr="6A5992C8">
        <w:rPr>
          <w:rFonts w:eastAsia="Palatino Linotype" w:cs="Palatino Linotype"/>
          <w:lang w:val="es-ES"/>
        </w:rPr>
        <w:t xml:space="preserve"> </w:t>
      </w:r>
    </w:p>
    <w:p w14:paraId="7DFF84B7" w14:textId="4F5D3A81" w:rsidR="00B510AA" w:rsidRDefault="00B510AA" w:rsidP="00B510AA"/>
    <w:p w14:paraId="4E936541" w14:textId="62ADD5A8" w:rsidR="00B510AA" w:rsidRDefault="00B510AA" w:rsidP="00B510AA">
      <w:r w:rsidRPr="6A5992C8">
        <w:rPr>
          <w:rFonts w:eastAsia="Palatino Linotype" w:cs="Palatino Linotype"/>
          <w:lang w:val="es-ES"/>
        </w:rPr>
        <w:t xml:space="preserve">Al respecto, para diferenciar el derecho de petición al derecho de acceso a la información, resulta conducente señalar que José Guadalupe Robles, conceptualiza el derecho a la información como </w:t>
      </w:r>
      <w:r w:rsidRPr="6A5992C8">
        <w:rPr>
          <w:rFonts w:eastAsia="Palatino Linotype" w:cs="Palatino Linotype"/>
          <w:i/>
          <w:iCs/>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00375DF2">
        <w:rPr>
          <w:rStyle w:val="Refdenotaalpie"/>
          <w:rFonts w:eastAsia="Palatino Linotype" w:cs="Palatino Linotype"/>
          <w:i/>
          <w:iCs/>
          <w:lang w:val="es-ES"/>
        </w:rPr>
        <w:footnoteReference w:id="5"/>
      </w:r>
      <w:r w:rsidRPr="6A5992C8">
        <w:rPr>
          <w:rFonts w:eastAsia="Palatino Linotype" w:cs="Palatino Linotype"/>
          <w:i/>
          <w:iCs/>
          <w:lang w:val="es-ES"/>
        </w:rPr>
        <w:t xml:space="preserve"> (Sic) </w:t>
      </w:r>
    </w:p>
    <w:p w14:paraId="07A0435C" w14:textId="469A52E9" w:rsidR="00B510AA" w:rsidRPr="000D4B93" w:rsidRDefault="00B510AA" w:rsidP="00B510AA"/>
    <w:p w14:paraId="2A44E49C" w14:textId="3B5869A9" w:rsidR="00B510AA" w:rsidRDefault="00B510AA" w:rsidP="00B510AA">
      <w:r w:rsidRPr="6A5992C8">
        <w:rPr>
          <w:rFonts w:eastAsia="Palatino Linotype" w:cs="Palatino Linotype"/>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6A5992C8">
        <w:rPr>
          <w:rFonts w:eastAsia="Palatino Linotype" w:cs="Palatino Linotype"/>
          <w:lang w:val="es-ES"/>
        </w:rPr>
        <w:t>Villanueva</w:t>
      </w:r>
      <w:proofErr w:type="spellEnd"/>
      <w:r w:rsidRPr="6A5992C8">
        <w:rPr>
          <w:rFonts w:eastAsia="Palatino Linotype" w:cs="Palatino Linotype"/>
          <w:lang w:val="es-ES"/>
        </w:rPr>
        <w:t xml:space="preserve"> que dice: </w:t>
      </w:r>
      <w:r w:rsidRPr="6A5992C8">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375DF2">
        <w:rPr>
          <w:rStyle w:val="Refdenotaalpie"/>
          <w:rFonts w:eastAsia="Palatino Linotype" w:cs="Palatino Linotype"/>
          <w:i/>
          <w:iCs/>
          <w:lang w:val="es-ES"/>
        </w:rPr>
        <w:footnoteReference w:id="6"/>
      </w:r>
      <w:r w:rsidRPr="6A5992C8">
        <w:rPr>
          <w:rFonts w:eastAsia="Palatino Linotype" w:cs="Palatino Linotype"/>
          <w:i/>
          <w:iCs/>
          <w:lang w:val="es-ES"/>
        </w:rPr>
        <w:t xml:space="preserve"> (Sic)</w:t>
      </w:r>
    </w:p>
    <w:p w14:paraId="3002F363" w14:textId="296B8BA3" w:rsidR="00B510AA" w:rsidRPr="000D4B93" w:rsidRDefault="00B510AA" w:rsidP="00B510AA"/>
    <w:p w14:paraId="7C3FF813" w14:textId="5F5A5C72" w:rsidR="00B510AA" w:rsidRDefault="00B510AA" w:rsidP="00B510AA">
      <w:r w:rsidRPr="6A5992C8">
        <w:rPr>
          <w:rFonts w:eastAsia="Palatino Linotype" w:cs="Palatino Linotype"/>
          <w:lang w:val="es-ES"/>
        </w:rPr>
        <w:lastRenderedPageBreak/>
        <w:t>Ahora bien</w:t>
      </w:r>
      <w:r w:rsidR="00375DF2">
        <w:rPr>
          <w:rFonts w:eastAsia="Palatino Linotype" w:cs="Palatino Linotype"/>
          <w:lang w:val="es-ES"/>
        </w:rPr>
        <w:t>,</w:t>
      </w:r>
      <w:r w:rsidRPr="6A5992C8">
        <w:rPr>
          <w:rFonts w:eastAsia="Palatino Linotype" w:cs="Palatino Linotype"/>
          <w:lang w:val="es-ES"/>
        </w:rPr>
        <w:t xml:space="preserv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D1CEC4F" w14:textId="1DD8C1A3" w:rsidR="00B510AA" w:rsidRDefault="00B510AA" w:rsidP="00B510AA"/>
    <w:p w14:paraId="19A272D6" w14:textId="0407F617" w:rsidR="00B510AA" w:rsidRDefault="00B510AA" w:rsidP="7B4D60A3">
      <w:pPr>
        <w:pStyle w:val="Sinespaciado"/>
        <w:rPr>
          <w:rFonts w:eastAsia="Palatino Linotype"/>
          <w:lang w:val="es-ES"/>
        </w:rPr>
      </w:pPr>
      <w:r w:rsidRPr="7B4D60A3">
        <w:rPr>
          <w:rFonts w:eastAsia="Palatino Linotype"/>
          <w:b/>
          <w:bCs/>
          <w:lang w:val="es-ES"/>
        </w:rPr>
        <w:t>INFORMACIÓN PÚBLICA, CONCEPTO DE, EN MATERIA DE TRANSPARENCIA. INTERPRETACIÓN TEMÁTICA DE LOS ARTÍCULOS 2</w:t>
      </w:r>
      <w:r w:rsidR="00432EF2" w:rsidRPr="7B4D60A3">
        <w:rPr>
          <w:rFonts w:eastAsia="Palatino Linotype"/>
          <w:b/>
          <w:bCs/>
          <w:lang w:val="es-ES"/>
        </w:rPr>
        <w:t>º</w:t>
      </w:r>
      <w:r w:rsidRPr="7B4D60A3">
        <w:rPr>
          <w:rFonts w:eastAsia="Palatino Linotype"/>
          <w:b/>
          <w:bCs/>
          <w:lang w:val="es-ES"/>
        </w:rPr>
        <w:t>, FRACCIÓN V, XV, Y XVI, 3</w:t>
      </w:r>
      <w:r w:rsidR="00C24761" w:rsidRPr="7B4D60A3">
        <w:rPr>
          <w:rFonts w:eastAsia="Palatino Linotype"/>
          <w:b/>
          <w:bCs/>
          <w:lang w:val="es-ES"/>
        </w:rPr>
        <w:t>º</w:t>
      </w:r>
      <w:r w:rsidRPr="7B4D60A3">
        <w:rPr>
          <w:rFonts w:eastAsia="Palatino Linotype"/>
          <w:b/>
          <w:bCs/>
          <w:lang w:val="es-ES"/>
        </w:rPr>
        <w:t>, 4</w:t>
      </w:r>
      <w:r w:rsidR="00C24761" w:rsidRPr="7B4D60A3">
        <w:rPr>
          <w:rFonts w:eastAsia="Palatino Linotype"/>
          <w:b/>
          <w:bCs/>
          <w:lang w:val="es-ES"/>
        </w:rPr>
        <w:t>º</w:t>
      </w:r>
      <w:r w:rsidRPr="7B4D60A3">
        <w:rPr>
          <w:rFonts w:eastAsia="Palatino Linotype"/>
          <w:b/>
          <w:bCs/>
          <w:lang w:val="es-ES"/>
        </w:rPr>
        <w:t xml:space="preserve">,11 Y 41. </w:t>
      </w:r>
      <w:r w:rsidRPr="7B4D60A3">
        <w:rPr>
          <w:rFonts w:eastAsia="Palatino Linotype"/>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643721" w14:textId="77777777" w:rsidR="00C05A11" w:rsidRDefault="00C05A11" w:rsidP="004572A8">
      <w:pPr>
        <w:pStyle w:val="Sinespaciado"/>
      </w:pPr>
    </w:p>
    <w:p w14:paraId="081C30F2" w14:textId="77777777" w:rsidR="00B510AA" w:rsidRDefault="00B510AA" w:rsidP="7B4D60A3">
      <w:pPr>
        <w:pStyle w:val="Sinespaciado"/>
        <w:rPr>
          <w:rFonts w:eastAsia="Palatino Linotype"/>
          <w:lang w:val="es-ES"/>
        </w:rPr>
      </w:pPr>
      <w:r w:rsidRPr="7B4D60A3">
        <w:rPr>
          <w:rFonts w:eastAsia="Palatino Linotype"/>
          <w:lang w:val="es-ES"/>
        </w:rPr>
        <w:t>En consecuencia el acceso a la información se refiere a que se cumplan cualquiera de los siguientes tres supuestos:</w:t>
      </w:r>
    </w:p>
    <w:p w14:paraId="06133E1D" w14:textId="77777777" w:rsidR="00C05A11" w:rsidRDefault="00C05A11" w:rsidP="004572A8">
      <w:pPr>
        <w:pStyle w:val="Sinespaciado"/>
      </w:pPr>
    </w:p>
    <w:p w14:paraId="3C8E660B"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sea generada por los Sujetos Obligados;</w:t>
      </w:r>
    </w:p>
    <w:p w14:paraId="3DED7B54"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sea administrada por los Sujetos Obligados, y</w:t>
      </w:r>
    </w:p>
    <w:p w14:paraId="5AA11C5B"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 encuentre en posesión de los Sujetos Obligados.</w:t>
      </w:r>
    </w:p>
    <w:p w14:paraId="71C9BCE7" w14:textId="77777777" w:rsidR="00B510AA" w:rsidRDefault="00B510AA" w:rsidP="00B510AA">
      <w:r w:rsidRPr="6A5992C8">
        <w:rPr>
          <w:rFonts w:eastAsia="Palatino Linotype" w:cs="Palatino Linotype"/>
          <w:lang w:val="es-ES"/>
        </w:rPr>
        <w:t xml:space="preserve"> </w:t>
      </w:r>
    </w:p>
    <w:p w14:paraId="6360CEB2" w14:textId="6FFE4AA5" w:rsidR="00B510AA" w:rsidRDefault="00B510AA" w:rsidP="00B510AA">
      <w:r w:rsidRPr="6A5992C8">
        <w:rPr>
          <w:rFonts w:eastAsia="Palatino Linotype" w:cs="Palatino Linotype"/>
          <w:lang w:val="es-ES"/>
        </w:rPr>
        <w:t xml:space="preserve">Es decir, el derecho a la información constituye una prerrogativa a acceder a documentación en poder de los </w:t>
      </w:r>
      <w:r w:rsidR="003F2479">
        <w:rPr>
          <w:rFonts w:eastAsia="Palatino Linotype" w:cs="Palatino Linotype"/>
          <w:lang w:val="es-ES"/>
        </w:rPr>
        <w:t>s</w:t>
      </w:r>
      <w:r w:rsidRPr="6A5992C8">
        <w:rPr>
          <w:rFonts w:eastAsia="Palatino Linotype" w:cs="Palatino Linotype"/>
          <w:lang w:val="es-ES"/>
        </w:rPr>
        <w:t xml:space="preserve">ujetos </w:t>
      </w:r>
      <w:r w:rsidR="003F2479">
        <w:rPr>
          <w:rFonts w:eastAsia="Palatino Linotype" w:cs="Palatino Linotype"/>
          <w:lang w:val="es-ES"/>
        </w:rPr>
        <w:t>o</w:t>
      </w:r>
      <w:r w:rsidRPr="6A5992C8">
        <w:rPr>
          <w:rFonts w:eastAsia="Palatino Linotype" w:cs="Palatino Linotype"/>
          <w:lang w:val="es-ES"/>
        </w:rPr>
        <w:t xml:space="preserve">bligados, no así a realizar cuestionamientos, o manifestaciones subjetivas. Sirve de apoyo a lo anterior la definición de derecho a la información de Ernesto Villanueva </w:t>
      </w:r>
      <w:proofErr w:type="spellStart"/>
      <w:r w:rsidRPr="6A5992C8">
        <w:rPr>
          <w:rFonts w:eastAsia="Palatino Linotype" w:cs="Palatino Linotype"/>
          <w:lang w:val="es-ES"/>
        </w:rPr>
        <w:t>Villanueva</w:t>
      </w:r>
      <w:proofErr w:type="spellEnd"/>
      <w:r w:rsidRPr="6A5992C8">
        <w:rPr>
          <w:rFonts w:eastAsia="Palatino Linotype" w:cs="Palatino Linotype"/>
          <w:lang w:val="es-ES"/>
        </w:rPr>
        <w:t xml:space="preserve"> que dice: «</w:t>
      </w:r>
      <w:r w:rsidRPr="6A5992C8">
        <w:rPr>
          <w:rFonts w:eastAsia="Palatino Linotype" w:cs="Palatino Linotype"/>
          <w:i/>
          <w:iCs/>
          <w:lang w:val="es-ES"/>
        </w:rPr>
        <w:t xml:space="preserve">la prerrogativa de la persona para acceder a datos, registros y todo tipo de informaciones en poder de entidades públicas y empresas </w:t>
      </w:r>
      <w:r w:rsidRPr="6A5992C8">
        <w:rPr>
          <w:rFonts w:eastAsia="Palatino Linotype" w:cs="Palatino Linotype"/>
          <w:i/>
          <w:iCs/>
          <w:lang w:val="es-ES"/>
        </w:rPr>
        <w:lastRenderedPageBreak/>
        <w:t>privadas que ejercen gasto público o cumplen funciones de autoridad, con las excepciones taxativas que establezca la ley en una sociedad democrática».</w:t>
      </w:r>
    </w:p>
    <w:p w14:paraId="13E66858" w14:textId="77777777" w:rsidR="00B510AA" w:rsidRDefault="00B510AA" w:rsidP="00B510AA">
      <w:r w:rsidRPr="6A5992C8">
        <w:rPr>
          <w:rFonts w:eastAsia="Palatino Linotype" w:cs="Palatino Linotype"/>
          <w:i/>
          <w:iCs/>
          <w:lang w:val="es-ES"/>
        </w:rPr>
        <w:t xml:space="preserve"> </w:t>
      </w:r>
    </w:p>
    <w:p w14:paraId="093DBE1B" w14:textId="2D44A430" w:rsidR="00B510AA" w:rsidRDefault="00B510AA" w:rsidP="00B510AA">
      <w:r w:rsidRPr="6A5992C8">
        <w:rPr>
          <w:rFonts w:eastAsia="Palatino Linotype" w:cs="Palatino Linotype"/>
          <w:lang w:val="es-ES"/>
        </w:rPr>
        <w:t>Por lo anterior, al no constituirse dicho cuestionamiento como materia del derecho de acceso a la información, se considera que el Sujeto Obligado no se encontraba constreñido a emitir una respuesta</w:t>
      </w:r>
      <w:r w:rsidR="002B71A8">
        <w:rPr>
          <w:rFonts w:eastAsia="Palatino Linotype" w:cs="Palatino Linotype"/>
          <w:lang w:val="es-ES"/>
        </w:rPr>
        <w:t xml:space="preserve">; sin embargo, esa autoridad </w:t>
      </w:r>
      <w:r w:rsidR="000D4B93">
        <w:rPr>
          <w:rFonts w:eastAsia="Palatino Linotype" w:cs="Palatino Linotype"/>
          <w:lang w:val="es-ES"/>
        </w:rPr>
        <w:t>hizo del conocimiento del Recurrente que la información, al momento del ingreso de la solicitud, estaba actualizada al cuarto trimestre del año 2024, ya que lo relativo al primer trimestre del 2025 será cargado en el mes de abril, al concluir el treinta y uno de marzo el periodo trimestral.</w:t>
      </w:r>
    </w:p>
    <w:p w14:paraId="739000B4" w14:textId="77777777" w:rsidR="00B510AA" w:rsidRDefault="00B510AA" w:rsidP="003059EF">
      <w:pPr>
        <w:pBdr>
          <w:top w:val="nil"/>
          <w:left w:val="nil"/>
          <w:bottom w:val="nil"/>
          <w:right w:val="nil"/>
          <w:between w:val="nil"/>
        </w:pBdr>
        <w:contextualSpacing/>
        <w:rPr>
          <w:rFonts w:eastAsia="Palatino Linotype" w:cs="Palatino Linotype"/>
          <w:color w:val="000000"/>
          <w:szCs w:val="24"/>
        </w:rPr>
      </w:pPr>
    </w:p>
    <w:p w14:paraId="458D6361" w14:textId="05A00A9C" w:rsidR="000C106D" w:rsidRDefault="008C5F89" w:rsidP="000C106D">
      <w:pPr>
        <w:pBdr>
          <w:top w:val="nil"/>
          <w:left w:val="nil"/>
          <w:bottom w:val="nil"/>
          <w:right w:val="nil"/>
          <w:between w:val="nil"/>
        </w:pBdr>
        <w:tabs>
          <w:tab w:val="left" w:pos="2044"/>
        </w:tabs>
        <w:rPr>
          <w:rFonts w:eastAsia="Times New Roman" w:cs="Times New Roman"/>
          <w:bCs/>
          <w:szCs w:val="24"/>
          <w:lang w:val="es-ES" w:eastAsia="es-ES"/>
        </w:rPr>
      </w:pPr>
      <w:r>
        <w:rPr>
          <w:rFonts w:eastAsia="Times New Roman" w:cs="Times New Roman"/>
          <w:bCs/>
          <w:szCs w:val="24"/>
          <w:lang w:val="es-ES" w:eastAsia="es-ES"/>
        </w:rPr>
        <w:t>De tal forma que</w:t>
      </w:r>
      <w:r w:rsidR="00302B98">
        <w:rPr>
          <w:rFonts w:eastAsia="Times New Roman" w:cs="Times New Roman"/>
          <w:bCs/>
          <w:szCs w:val="24"/>
          <w:lang w:val="es-ES" w:eastAsia="es-ES"/>
        </w:rPr>
        <w:t xml:space="preserve"> en el presente caso, al tratarse de</w:t>
      </w:r>
      <w:r w:rsidR="009B4FF8">
        <w:rPr>
          <w:rFonts w:eastAsia="Times New Roman" w:cs="Times New Roman"/>
          <w:bCs/>
          <w:szCs w:val="24"/>
          <w:lang w:val="es-ES" w:eastAsia="es-ES"/>
        </w:rPr>
        <w:t>l ejercicio del derecho de petición, se estima que se actualiza</w:t>
      </w:r>
      <w:r w:rsidR="000C106D">
        <w:rPr>
          <w:rFonts w:eastAsia="Times New Roman" w:cs="Times New Roman"/>
          <w:bCs/>
          <w:szCs w:val="24"/>
          <w:lang w:val="es-ES" w:eastAsia="es-ES"/>
        </w:rPr>
        <w:t xml:space="preserve"> la hipótesis prevista en la fracción </w:t>
      </w:r>
      <w:r w:rsidR="00C32224">
        <w:rPr>
          <w:rFonts w:eastAsia="Times New Roman" w:cs="Times New Roman"/>
          <w:bCs/>
          <w:szCs w:val="24"/>
          <w:lang w:val="es-ES" w:eastAsia="es-ES"/>
        </w:rPr>
        <w:t>VI</w:t>
      </w:r>
      <w:r w:rsidR="000C106D">
        <w:rPr>
          <w:rFonts w:eastAsia="Times New Roman" w:cs="Times New Roman"/>
          <w:bCs/>
          <w:szCs w:val="24"/>
          <w:lang w:val="es-ES" w:eastAsia="es-ES"/>
        </w:rPr>
        <w:t xml:space="preserve"> del artículo 191 con relación al artículo 192 fracción IV de la Ley de Transparencia estatal, que a la letra disponen lo siguiente:</w:t>
      </w:r>
    </w:p>
    <w:p w14:paraId="5C2A4805" w14:textId="77777777" w:rsidR="000C106D" w:rsidRDefault="000C106D" w:rsidP="000C106D">
      <w:pPr>
        <w:pBdr>
          <w:top w:val="nil"/>
          <w:left w:val="nil"/>
          <w:bottom w:val="nil"/>
          <w:right w:val="nil"/>
          <w:between w:val="nil"/>
        </w:pBdr>
        <w:tabs>
          <w:tab w:val="left" w:pos="2044"/>
        </w:tabs>
        <w:rPr>
          <w:rFonts w:eastAsia="Times New Roman" w:cs="Times New Roman"/>
          <w:bCs/>
          <w:szCs w:val="24"/>
          <w:lang w:val="es-ES" w:eastAsia="es-ES"/>
        </w:rPr>
      </w:pPr>
    </w:p>
    <w:p w14:paraId="66840CC4" w14:textId="77777777" w:rsidR="000C106D" w:rsidRPr="000C106D" w:rsidRDefault="000C106D" w:rsidP="000C106D">
      <w:pPr>
        <w:pStyle w:val="Sinespaciado"/>
        <w:rPr>
          <w:rFonts w:eastAsia="Palatino Linotype"/>
          <w:bCs/>
          <w:lang w:val="es-ES_tradnl"/>
        </w:rPr>
      </w:pPr>
      <w:r w:rsidRPr="000C106D">
        <w:rPr>
          <w:rFonts w:eastAsia="Palatino Linotype"/>
          <w:b/>
          <w:lang w:val="es-ES_tradnl"/>
        </w:rPr>
        <w:t xml:space="preserve">Artículo 191. </w:t>
      </w:r>
      <w:r w:rsidRPr="000C106D">
        <w:rPr>
          <w:rFonts w:eastAsia="Palatino Linotype"/>
          <w:bCs/>
          <w:lang w:val="es-ES_tradnl"/>
        </w:rPr>
        <w:t>El recurso será desechado por improcedente cuando:</w:t>
      </w:r>
    </w:p>
    <w:p w14:paraId="72EAAEAA" w14:textId="508DD95B" w:rsidR="000C106D" w:rsidRPr="000C106D" w:rsidRDefault="000C106D" w:rsidP="000C106D">
      <w:pPr>
        <w:pStyle w:val="Sinespaciado"/>
        <w:rPr>
          <w:rFonts w:eastAsia="Palatino Linotype"/>
          <w:bCs/>
          <w:lang w:val="es-ES_tradnl"/>
        </w:rPr>
      </w:pPr>
      <w:r>
        <w:rPr>
          <w:rFonts w:eastAsia="Palatino Linotype"/>
          <w:bCs/>
          <w:lang w:val="es-ES_tradnl"/>
        </w:rPr>
        <w:t>[…]</w:t>
      </w:r>
    </w:p>
    <w:p w14:paraId="303BAC71" w14:textId="54C31B51" w:rsidR="000C106D" w:rsidRPr="000C106D" w:rsidRDefault="00405AC4" w:rsidP="000C106D">
      <w:pPr>
        <w:pStyle w:val="Sinespaciado"/>
        <w:rPr>
          <w:rFonts w:eastAsia="Palatino Linotype"/>
          <w:bCs/>
          <w:lang w:val="es-ES_tradnl"/>
        </w:rPr>
      </w:pPr>
      <w:r>
        <w:rPr>
          <w:rFonts w:eastAsia="Palatino Linotype"/>
          <w:b/>
          <w:lang w:val="es-ES_tradnl"/>
        </w:rPr>
        <w:t>VI</w:t>
      </w:r>
      <w:r w:rsidR="000C106D" w:rsidRPr="000C106D">
        <w:rPr>
          <w:rFonts w:eastAsia="Palatino Linotype"/>
          <w:b/>
          <w:lang w:val="es-ES_tradnl"/>
        </w:rPr>
        <w:t>.</w:t>
      </w:r>
      <w:r w:rsidR="000C106D" w:rsidRPr="000C106D">
        <w:rPr>
          <w:rFonts w:eastAsia="Palatino Linotype"/>
          <w:bCs/>
          <w:lang w:val="es-ES_tradnl"/>
        </w:rPr>
        <w:t xml:space="preserve"> </w:t>
      </w:r>
      <w:r>
        <w:rPr>
          <w:rFonts w:eastAsia="Palatino Linotype"/>
          <w:bCs/>
          <w:lang w:val="es-ES_tradnl"/>
        </w:rPr>
        <w:t>Se</w:t>
      </w:r>
      <w:r w:rsidR="000C106D" w:rsidRPr="000C106D">
        <w:rPr>
          <w:rFonts w:eastAsia="Palatino Linotype"/>
          <w:bCs/>
          <w:lang w:val="es-ES_tradnl"/>
        </w:rPr>
        <w:t xml:space="preserve"> </w:t>
      </w:r>
      <w:r w:rsidRPr="00405AC4">
        <w:rPr>
          <w:rFonts w:eastAsia="Palatino Linotype"/>
          <w:bCs/>
          <w:lang w:val="es-ES_tradnl"/>
        </w:rPr>
        <w:t>trate de una consulta, o trámite en específico; y</w:t>
      </w:r>
    </w:p>
    <w:p w14:paraId="7C53281D" w14:textId="19EF794D" w:rsidR="000C106D" w:rsidRPr="000C106D" w:rsidRDefault="000C106D" w:rsidP="000C106D">
      <w:pPr>
        <w:pStyle w:val="Sinespaciado"/>
        <w:rPr>
          <w:rFonts w:eastAsia="Palatino Linotype"/>
          <w:bCs/>
          <w:lang w:val="es-ES_tradnl"/>
        </w:rPr>
      </w:pPr>
      <w:r>
        <w:rPr>
          <w:rFonts w:eastAsia="Palatino Linotype"/>
          <w:bCs/>
          <w:lang w:val="es-ES_tradnl"/>
        </w:rPr>
        <w:t>[…]</w:t>
      </w:r>
    </w:p>
    <w:p w14:paraId="1D36E22A" w14:textId="77777777" w:rsidR="000C106D" w:rsidRPr="000C106D" w:rsidRDefault="000C106D" w:rsidP="000C106D">
      <w:pPr>
        <w:pStyle w:val="Sinespaciado"/>
        <w:rPr>
          <w:rFonts w:eastAsia="Palatino Linotype"/>
          <w:b/>
          <w:lang w:val="es-ES_tradnl"/>
        </w:rPr>
      </w:pPr>
    </w:p>
    <w:p w14:paraId="5D8F2206" w14:textId="77777777" w:rsidR="000C106D" w:rsidRPr="000C106D" w:rsidRDefault="000C106D" w:rsidP="000C106D">
      <w:pPr>
        <w:pStyle w:val="Sinespaciado"/>
        <w:rPr>
          <w:rFonts w:eastAsia="Palatino Linotype"/>
          <w:lang w:val="es-ES_tradnl"/>
        </w:rPr>
      </w:pPr>
      <w:r w:rsidRPr="000C106D">
        <w:rPr>
          <w:rFonts w:eastAsia="Palatino Linotype"/>
          <w:b/>
          <w:lang w:val="es-ES_tradnl"/>
        </w:rPr>
        <w:t xml:space="preserve">Artículo 192. </w:t>
      </w:r>
      <w:r w:rsidRPr="000C106D">
        <w:rPr>
          <w:rFonts w:eastAsia="Palatino Linotype"/>
          <w:lang w:val="es-ES_tradnl"/>
        </w:rPr>
        <w:t>El recurso será sobreseído, en todo o en parte, cuando una vez admitido, se actualicen alguno de los siguientes supuestos:</w:t>
      </w:r>
    </w:p>
    <w:p w14:paraId="571925EE" w14:textId="2726AFB3" w:rsidR="000C106D" w:rsidRPr="000C106D" w:rsidRDefault="000C106D" w:rsidP="000C106D">
      <w:pPr>
        <w:pStyle w:val="Sinespaciado"/>
        <w:rPr>
          <w:rFonts w:eastAsia="Palatino Linotype"/>
          <w:lang w:val="es-ES_tradnl"/>
        </w:rPr>
      </w:pPr>
      <w:r>
        <w:rPr>
          <w:rFonts w:eastAsia="Palatino Linotype"/>
          <w:lang w:val="es-ES_tradnl"/>
        </w:rPr>
        <w:t>[…]</w:t>
      </w:r>
    </w:p>
    <w:p w14:paraId="7AD10EEC" w14:textId="77777777" w:rsidR="000C106D" w:rsidRPr="000C106D" w:rsidRDefault="000C106D" w:rsidP="000C106D">
      <w:pPr>
        <w:pStyle w:val="Sinespaciado"/>
        <w:rPr>
          <w:rFonts w:eastAsia="Palatino Linotype"/>
          <w:b/>
          <w:lang w:val="es-ES_tradnl"/>
        </w:rPr>
      </w:pPr>
      <w:r w:rsidRPr="000C106D">
        <w:rPr>
          <w:rFonts w:eastAsia="Palatino Linotype"/>
          <w:b/>
          <w:lang w:val="es-ES_tradnl"/>
        </w:rPr>
        <w:t xml:space="preserve">IV. </w:t>
      </w:r>
      <w:r w:rsidRPr="000C106D">
        <w:rPr>
          <w:rFonts w:eastAsia="Palatino Linotype"/>
          <w:bCs/>
          <w:lang w:val="es-ES_tradnl"/>
        </w:rPr>
        <w:t>Admitido el recurso de revisión, aparezca alguna causal de improcedencia en los términos de la presente Ley; y</w:t>
      </w:r>
    </w:p>
    <w:p w14:paraId="7EAD0F01" w14:textId="74035C0A" w:rsidR="004C7CA5" w:rsidRPr="000C106D" w:rsidRDefault="000C106D" w:rsidP="000C106D">
      <w:pPr>
        <w:pStyle w:val="Sinespaciado"/>
        <w:rPr>
          <w:rFonts w:eastAsia="Palatino Linotype"/>
          <w:bCs/>
          <w:lang w:val="es-ES_tradnl"/>
        </w:rPr>
      </w:pPr>
      <w:r>
        <w:rPr>
          <w:rFonts w:eastAsia="Palatino Linotype"/>
          <w:bCs/>
          <w:lang w:val="es-ES_tradnl"/>
        </w:rPr>
        <w:t>[…]</w:t>
      </w:r>
    </w:p>
    <w:p w14:paraId="5025893B" w14:textId="77777777" w:rsidR="004C7CA5" w:rsidRDefault="004C7CA5" w:rsidP="00C42B07">
      <w:pPr>
        <w:pBdr>
          <w:top w:val="nil"/>
          <w:left w:val="nil"/>
          <w:bottom w:val="nil"/>
          <w:right w:val="nil"/>
          <w:between w:val="nil"/>
        </w:pBdr>
        <w:contextualSpacing/>
        <w:rPr>
          <w:rFonts w:eastAsia="Palatino Linotype" w:cs="Palatino Linotype"/>
          <w:color w:val="000000"/>
          <w:szCs w:val="24"/>
          <w:lang w:val="es-ES"/>
        </w:rPr>
      </w:pPr>
    </w:p>
    <w:p w14:paraId="228DC81A" w14:textId="210595BB" w:rsidR="005B29AC" w:rsidRPr="00CB5413" w:rsidRDefault="005B29AC" w:rsidP="005B29AC">
      <w:pPr>
        <w:rPr>
          <w:szCs w:val="24"/>
          <w:lang w:val="es-ES"/>
        </w:rPr>
      </w:pPr>
      <w:r w:rsidRPr="00CB5413">
        <w:rPr>
          <w:szCs w:val="24"/>
        </w:rPr>
        <w:lastRenderedPageBreak/>
        <w:t xml:space="preserve">En ese sentido, es necesario referir que </w:t>
      </w:r>
      <w:r w:rsidRPr="00CB5413">
        <w:rPr>
          <w:szCs w:val="24"/>
          <w:lang w:val="es-ES"/>
        </w:rPr>
        <w:t>las causales de improcedencia deben ser examinadas de oficio y si de dicho examen se actualiza una causal de improcedencia, por técnica jurídica, es de estudio preferente.</w:t>
      </w:r>
      <w:r w:rsidR="000C106D">
        <w:rPr>
          <w:szCs w:val="24"/>
          <w:lang w:val="es-ES"/>
        </w:rPr>
        <w:t xml:space="preserve"> </w:t>
      </w:r>
      <w:r w:rsidRPr="00CB5413">
        <w:rPr>
          <w:szCs w:val="24"/>
          <w:lang w:val="es-ES"/>
        </w:rPr>
        <w:t>Sirve como criterio orientador, lo establecido en la jurisprudencia por reiteración con número de registro digital 194697</w:t>
      </w:r>
      <w:r w:rsidRPr="00CB5413">
        <w:rPr>
          <w:szCs w:val="24"/>
          <w:vertAlign w:val="superscript"/>
          <w:lang w:val="es-ES"/>
        </w:rPr>
        <w:footnoteReference w:id="7"/>
      </w:r>
      <w:r w:rsidRPr="00CB5413">
        <w:rPr>
          <w:szCs w:val="24"/>
          <w:lang w:val="es-ES"/>
        </w:rPr>
        <w:t xml:space="preserve">, emitida por la Primera Sala de la Suprema Corte de Justicia de la Nación, en la que se dispone lo siguiente: </w:t>
      </w:r>
    </w:p>
    <w:p w14:paraId="344247D1" w14:textId="77777777" w:rsidR="005B29AC" w:rsidRPr="00CB5413" w:rsidRDefault="005B29AC" w:rsidP="005B29AC">
      <w:pPr>
        <w:rPr>
          <w:szCs w:val="24"/>
          <w:lang w:val="es-ES"/>
        </w:rPr>
      </w:pPr>
    </w:p>
    <w:p w14:paraId="6DC9E381" w14:textId="77777777" w:rsidR="005B29AC" w:rsidRPr="00CB5413" w:rsidRDefault="005B29AC" w:rsidP="005B29AC">
      <w:pPr>
        <w:spacing w:line="240" w:lineRule="auto"/>
        <w:ind w:left="567" w:right="567"/>
        <w:rPr>
          <w:rFonts w:eastAsia="Times New Roman" w:cs="Times New Roman"/>
          <w:b/>
          <w:bCs/>
          <w:i/>
          <w:sz w:val="22"/>
          <w:szCs w:val="24"/>
          <w:lang w:val="es-MX" w:eastAsia="es-ES"/>
        </w:rPr>
      </w:pPr>
      <w:r w:rsidRPr="00CB5413">
        <w:rPr>
          <w:rFonts w:eastAsia="Times New Roman" w:cs="Times New Roman"/>
          <w:b/>
          <w:bCs/>
          <w:i/>
          <w:sz w:val="22"/>
          <w:szCs w:val="24"/>
          <w:lang w:val="es-MX" w:eastAsia="es-ES"/>
        </w:rPr>
        <w:t xml:space="preserve">IMPROCEDENCIA. ESTUDIO PREFERENCIAL DE LAS CAUSALES PREVISTAS EN EL ARTÍCULO 73 DE LA LEY DE AMPARO. </w:t>
      </w:r>
    </w:p>
    <w:p w14:paraId="7529D01C" w14:textId="77777777" w:rsidR="005B29AC" w:rsidRPr="00CB5413" w:rsidRDefault="005B29AC" w:rsidP="005B29AC">
      <w:pPr>
        <w:spacing w:line="240" w:lineRule="auto"/>
        <w:ind w:left="567" w:right="567"/>
        <w:rPr>
          <w:rFonts w:eastAsia="Times New Roman" w:cs="Times New Roman"/>
          <w:i/>
          <w:sz w:val="22"/>
          <w:szCs w:val="24"/>
          <w:lang w:val="es-MX" w:eastAsia="es-ES"/>
        </w:rPr>
      </w:pPr>
      <w:r w:rsidRPr="00CB5413">
        <w:rPr>
          <w:rFonts w:eastAsia="Times New Roman" w:cs="Times New Roman"/>
          <w:i/>
          <w:sz w:val="22"/>
          <w:szCs w:val="24"/>
          <w:lang w:val="es-MX" w:eastAsia="es-ES"/>
        </w:rPr>
        <w:t xml:space="preserve">De conformidad con lo dispuesto en el último párrafo del artículo 73 de la Ley de Amparo </w:t>
      </w:r>
      <w:r w:rsidRPr="00CB5413">
        <w:rPr>
          <w:rFonts w:eastAsia="Times New Roman" w:cs="Times New Roman"/>
          <w:b/>
          <w:bCs/>
          <w:i/>
          <w:sz w:val="22"/>
          <w:szCs w:val="24"/>
          <w:u w:val="single"/>
          <w:lang w:val="es-MX" w:eastAsia="es-ES"/>
        </w:rPr>
        <w:t xml:space="preserve">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w:t>
      </w:r>
      <w:r>
        <w:rPr>
          <w:rFonts w:eastAsia="Times New Roman" w:cs="Times New Roman"/>
          <w:b/>
          <w:bCs/>
          <w:i/>
          <w:sz w:val="22"/>
          <w:szCs w:val="24"/>
          <w:u w:val="single"/>
          <w:lang w:val="es-MX" w:eastAsia="es-ES"/>
        </w:rPr>
        <w:t>la Recurrente</w:t>
      </w:r>
      <w:r w:rsidRPr="00CB5413">
        <w:rPr>
          <w:rFonts w:eastAsia="Times New Roman" w:cs="Times New Roman"/>
          <w:i/>
          <w:sz w:val="22"/>
          <w:szCs w:val="24"/>
          <w:lang w:val="es-MX" w:eastAsia="es-ES"/>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021B2F0" w14:textId="77777777" w:rsidR="005B29AC" w:rsidRPr="00CB5413" w:rsidRDefault="005B29AC" w:rsidP="005B29AC">
      <w:pPr>
        <w:rPr>
          <w:szCs w:val="24"/>
          <w:lang w:val="es-ES"/>
        </w:rPr>
      </w:pPr>
    </w:p>
    <w:p w14:paraId="07DA8944" w14:textId="77777777" w:rsidR="005B29AC" w:rsidRPr="00CB5413" w:rsidRDefault="005B29AC" w:rsidP="005B29AC">
      <w:pPr>
        <w:rPr>
          <w:b/>
          <w:szCs w:val="24"/>
          <w:lang w:val="es-ES"/>
        </w:rPr>
      </w:pPr>
      <w:r w:rsidRPr="00CB5413">
        <w:rPr>
          <w:szCs w:val="24"/>
          <w:lang w:val="es-ES"/>
        </w:rPr>
        <w:lastRenderedPageBreak/>
        <w:t xml:space="preserve">Es importante resaltar a manera de analogía que la Suprema Corte de Justicia de la Nación mediante el número 2 de la Serie </w:t>
      </w:r>
      <w:r w:rsidRPr="00CB5413">
        <w:rPr>
          <w:i/>
          <w:szCs w:val="24"/>
          <w:lang w:val="es-ES"/>
        </w:rPr>
        <w:t xml:space="preserve">Estudios Introductorios sobre el Juicio de Amparo </w:t>
      </w:r>
      <w:r w:rsidRPr="00CB5413">
        <w:rPr>
          <w:szCs w:val="24"/>
          <w:lang w:val="es-ES"/>
        </w:rPr>
        <w:t xml:space="preserve">relativo a </w:t>
      </w:r>
      <w:r w:rsidRPr="00CB5413">
        <w:rPr>
          <w:i/>
          <w:szCs w:val="24"/>
          <w:lang w:val="es-ES"/>
        </w:rPr>
        <w:t xml:space="preserve">LA IMPROCEDENCIA DE LA ACCIÓN DE AMPARO </w:t>
      </w:r>
      <w:r w:rsidRPr="00CB5413">
        <w:rPr>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B5413">
        <w:rPr>
          <w:b/>
          <w:szCs w:val="24"/>
          <w:lang w:val="es-ES"/>
        </w:rPr>
        <w:t>lo que generará que la demanda sea desechada; o bien, después de admitida la demanda, lo que tendrá como consecuencia que se sobresea en el juicio.</w:t>
      </w:r>
    </w:p>
    <w:p w14:paraId="65D0B4A4" w14:textId="77777777" w:rsidR="005B29AC" w:rsidRPr="00CB5413" w:rsidRDefault="005B29AC" w:rsidP="005B29AC">
      <w:pPr>
        <w:rPr>
          <w:szCs w:val="24"/>
          <w:lang w:val="es-ES"/>
        </w:rPr>
      </w:pPr>
    </w:p>
    <w:p w14:paraId="12AEE799" w14:textId="77777777" w:rsidR="005B29AC" w:rsidRPr="00CB5413" w:rsidRDefault="005B29AC" w:rsidP="005B29AC">
      <w:r w:rsidRPr="00CB5413">
        <w:rPr>
          <w:szCs w:val="24"/>
        </w:rPr>
        <w:t>Por lo anterior, al acreditarse la procedencia del sobreseimiento, este Instituto está</w:t>
      </w:r>
      <w:r w:rsidRPr="00CB5413">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CB5413">
        <w:rPr>
          <w:rFonts w:eastAsia="Palatino Linotype" w:cs="Palatino Linotype"/>
          <w:vertAlign w:val="superscript"/>
        </w:rPr>
        <w:footnoteReference w:id="8"/>
      </w:r>
      <w:r w:rsidRPr="00CB5413">
        <w:t>, en la que se estipula lo siguiente:</w:t>
      </w:r>
    </w:p>
    <w:p w14:paraId="5AF7A143" w14:textId="77777777" w:rsidR="005B29AC" w:rsidRDefault="005B29AC" w:rsidP="005B29AC">
      <w:pPr>
        <w:rPr>
          <w:szCs w:val="24"/>
        </w:rPr>
      </w:pPr>
    </w:p>
    <w:p w14:paraId="68F26885" w14:textId="77777777" w:rsidR="005B29AC" w:rsidRPr="00CB5413" w:rsidRDefault="005B29AC" w:rsidP="005B29AC">
      <w:pPr>
        <w:spacing w:line="240" w:lineRule="auto"/>
        <w:ind w:left="567" w:right="567"/>
        <w:rPr>
          <w:rFonts w:eastAsia="Palatino Linotype" w:cs="Palatino Linotype"/>
          <w:b/>
          <w:bCs/>
          <w:iCs/>
          <w:sz w:val="22"/>
          <w:lang w:eastAsia="es-ES"/>
        </w:rPr>
      </w:pPr>
      <w:r w:rsidRPr="00CB5413">
        <w:rPr>
          <w:rFonts w:eastAsia="Palatino Linotype" w:cs="Palatino Linotype"/>
          <w:b/>
          <w:bCs/>
          <w:i/>
          <w:iCs/>
          <w:sz w:val="22"/>
          <w:lang w:eastAsia="es-ES"/>
        </w:rPr>
        <w:t>SOBRESEIMIENTO. IMPIDE EL ESTUDIO DE LAS CUESTIONES DE FONDO.</w:t>
      </w:r>
    </w:p>
    <w:p w14:paraId="36A0A6B6" w14:textId="77777777" w:rsidR="005B29AC" w:rsidRPr="00CB5413" w:rsidRDefault="005B29AC" w:rsidP="005B29AC">
      <w:pPr>
        <w:spacing w:line="240" w:lineRule="auto"/>
        <w:ind w:left="567" w:right="567"/>
        <w:rPr>
          <w:rFonts w:eastAsia="Palatino Linotype" w:cs="Palatino Linotype"/>
          <w:iCs/>
          <w:sz w:val="22"/>
          <w:lang w:eastAsia="es-ES"/>
        </w:rPr>
      </w:pPr>
      <w:r w:rsidRPr="00CB5413">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4C285947" w14:textId="77777777" w:rsidR="005B29AC" w:rsidRPr="00CB5413" w:rsidRDefault="005B29AC" w:rsidP="005B29AC"/>
    <w:p w14:paraId="42F5C55F" w14:textId="0C1BC537" w:rsidR="005B29AC" w:rsidRPr="00CB5413" w:rsidRDefault="005B29AC" w:rsidP="005B29AC">
      <w:pPr>
        <w:rPr>
          <w:szCs w:val="24"/>
        </w:rPr>
      </w:pPr>
      <w:r w:rsidRPr="00CB5413">
        <w:rPr>
          <w:szCs w:val="24"/>
        </w:rPr>
        <w:lastRenderedPageBreak/>
        <w:t>Así, con fundamento en lo prescrito en los artículos 36 fracciones II y III, así como en la segunda hipótesis de la fracción I del artícul</w:t>
      </w:r>
      <w:r w:rsidR="005B7D9A">
        <w:rPr>
          <w:szCs w:val="24"/>
        </w:rPr>
        <w:t xml:space="preserve">o 186 fracción I, 191 </w:t>
      </w:r>
      <w:proofErr w:type="gramStart"/>
      <w:r w:rsidR="005B7D9A">
        <w:rPr>
          <w:szCs w:val="24"/>
        </w:rPr>
        <w:t>fracción</w:t>
      </w:r>
      <w:proofErr w:type="gramEnd"/>
      <w:r w:rsidR="005B7D9A">
        <w:rPr>
          <w:szCs w:val="24"/>
        </w:rPr>
        <w:t xml:space="preserve"> V</w:t>
      </w:r>
      <w:r w:rsidRPr="00CB5413">
        <w:rPr>
          <w:szCs w:val="24"/>
        </w:rPr>
        <w:t>I y 192 fracción IV de la Ley de Transparencia y Acceso a la Información Pública del Estado de México y Municipios el Pleno de este Órgano Garante:</w:t>
      </w:r>
    </w:p>
    <w:p w14:paraId="69A19969" w14:textId="77777777" w:rsidR="005B29AC" w:rsidRDefault="005B29AC" w:rsidP="005B29AC">
      <w:pPr>
        <w:rPr>
          <w:lang w:val="es-ES"/>
        </w:rPr>
      </w:pPr>
    </w:p>
    <w:p w14:paraId="7787516B" w14:textId="77777777" w:rsidR="005B29AC" w:rsidRDefault="005B29AC" w:rsidP="005B29AC">
      <w:pPr>
        <w:pStyle w:val="Ttulo1"/>
        <w:rPr>
          <w:rFonts w:eastAsia="Palatino Linotype"/>
        </w:rPr>
      </w:pPr>
      <w:r>
        <w:rPr>
          <w:rFonts w:eastAsia="Palatino Linotype"/>
        </w:rPr>
        <w:t>R E S U E L V E</w:t>
      </w:r>
    </w:p>
    <w:p w14:paraId="1D4B74E1" w14:textId="77777777" w:rsidR="005B29AC" w:rsidRPr="008A6AC0" w:rsidRDefault="005B29AC" w:rsidP="005B7D9A"/>
    <w:p w14:paraId="72CF8AB7" w14:textId="25E506CE" w:rsidR="005B29AC" w:rsidRPr="008A6AC0" w:rsidRDefault="005B29AC" w:rsidP="005B7D9A">
      <w:pPr>
        <w:rPr>
          <w:color w:val="000000"/>
        </w:rPr>
      </w:pPr>
      <w:r w:rsidRPr="008A6AC0">
        <w:rPr>
          <w:b/>
        </w:rPr>
        <w:t>PRIMERO</w:t>
      </w:r>
      <w:r w:rsidRPr="008A6AC0">
        <w:rPr>
          <w:color w:val="000000"/>
        </w:rPr>
        <w:t xml:space="preserve"> Se</w:t>
      </w:r>
      <w:r w:rsidRPr="008A6AC0">
        <w:rPr>
          <w:b/>
          <w:color w:val="000000"/>
        </w:rPr>
        <w:t xml:space="preserve"> SOBRESEE </w:t>
      </w:r>
      <w:r w:rsidRPr="008A6AC0">
        <w:rPr>
          <w:color w:val="000000"/>
        </w:rPr>
        <w:t xml:space="preserve">el recurso de revisión número </w:t>
      </w:r>
      <w:r w:rsidR="00E33D5C">
        <w:rPr>
          <w:b/>
          <w:color w:val="000000"/>
        </w:rPr>
        <w:t>03210/INFOEM/IP/RR/2025</w:t>
      </w:r>
      <w:r w:rsidRPr="008A6AC0">
        <w:rPr>
          <w:color w:val="000000"/>
        </w:rPr>
        <w:t xml:space="preserve">, por improcedente al actualizarse lo dispuesto en el artículo 192 fracción IV, con relación </w:t>
      </w:r>
      <w:r w:rsidR="000C106D">
        <w:rPr>
          <w:color w:val="000000"/>
        </w:rPr>
        <w:t xml:space="preserve">a la fracción </w:t>
      </w:r>
      <w:r w:rsidR="00B65CBD">
        <w:rPr>
          <w:color w:val="000000"/>
        </w:rPr>
        <w:t>V</w:t>
      </w:r>
      <w:r w:rsidRPr="008A6AC0">
        <w:rPr>
          <w:color w:val="000000"/>
        </w:rPr>
        <w:t xml:space="preserve">I del artículo 191 de la </w:t>
      </w:r>
      <w:r w:rsidRPr="008A6AC0">
        <w:t xml:space="preserve">Ley de Transparencia y Acceso a la Información Pública del Estado de México y Municipios, </w:t>
      </w:r>
      <w:r w:rsidRPr="008A6AC0">
        <w:rPr>
          <w:color w:val="000000"/>
        </w:rPr>
        <w:t xml:space="preserve">en términos del </w:t>
      </w:r>
      <w:r w:rsidR="000C106D">
        <w:rPr>
          <w:b/>
          <w:color w:val="000000"/>
        </w:rPr>
        <w:t>Considerando CUARTO</w:t>
      </w:r>
      <w:r w:rsidRPr="008A6AC0">
        <w:rPr>
          <w:color w:val="000000"/>
        </w:rPr>
        <w:t xml:space="preserve"> de la presente resolución.</w:t>
      </w:r>
    </w:p>
    <w:p w14:paraId="1F098A6A" w14:textId="77777777" w:rsidR="005B29AC" w:rsidRPr="008A6AC0" w:rsidRDefault="005B29AC" w:rsidP="005B7D9A"/>
    <w:p w14:paraId="4C0FC89E" w14:textId="77777777" w:rsidR="005B29AC" w:rsidRPr="008A6AC0" w:rsidRDefault="005B29AC" w:rsidP="005B7D9A">
      <w:r w:rsidRPr="008A6AC0">
        <w:rPr>
          <w:b/>
        </w:rPr>
        <w:t>SEGUNDO.</w:t>
      </w:r>
      <w:r w:rsidRPr="008A6AC0">
        <w:t xml:space="preserve"> </w:t>
      </w:r>
      <w:r w:rsidRPr="008A6AC0">
        <w:rPr>
          <w:b/>
        </w:rPr>
        <w:t>Notifíquese</w:t>
      </w:r>
      <w:r w:rsidRPr="008A6AC0">
        <w:t xml:space="preserve"> la presente resolución al Titular de la Unidad de Transparencia del Sujeto Obligado mediante el Sistema de Acceso a la Información Mexiquense (SAIMEX).</w:t>
      </w:r>
    </w:p>
    <w:p w14:paraId="14903383" w14:textId="77777777" w:rsidR="005B29AC" w:rsidRPr="008A6AC0" w:rsidRDefault="005B29AC" w:rsidP="005B7D9A"/>
    <w:p w14:paraId="6B1A4089" w14:textId="710AF2CE" w:rsidR="005B29AC" w:rsidRPr="00E62A90" w:rsidRDefault="005B29AC" w:rsidP="005B7D9A">
      <w:r w:rsidRPr="008A6AC0">
        <w:rPr>
          <w:b/>
        </w:rPr>
        <w:t>TERCERO. Notifíquese</w:t>
      </w:r>
      <w:r>
        <w:t xml:space="preserve"> la presente resolución al</w:t>
      </w:r>
      <w:r w:rsidRPr="008A6AC0">
        <w:t xml:space="preserve"> Recurrente 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1F7D5E1A" w14:textId="64FA2AB4" w:rsidR="001F0CD5" w:rsidRPr="005B29AC" w:rsidRDefault="455F3573" w:rsidP="005B7D9A">
      <w:pPr>
        <w:ind w:right="-8"/>
        <w:rPr>
          <w:color w:val="000000"/>
        </w:rPr>
      </w:pPr>
      <w:r w:rsidRPr="455F3573">
        <w:rPr>
          <w:color w:val="000000" w:themeColor="text1"/>
        </w:rPr>
        <w:lastRenderedPageBreak/>
        <w:t xml:space="preserve">ASÍ LO RESUELVE POR </w:t>
      </w:r>
      <w:r w:rsidR="002500AB">
        <w:rPr>
          <w:color w:val="000000" w:themeColor="text1"/>
        </w:rPr>
        <w:t>UNANIMIDAD</w:t>
      </w:r>
      <w:r w:rsidRPr="455F3573">
        <w:rPr>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1203C">
        <w:rPr>
          <w:color w:val="000000" w:themeColor="text1"/>
        </w:rPr>
        <w:t xml:space="preserve"> </w:t>
      </w:r>
      <w:r w:rsidRPr="455F3573">
        <w:rPr>
          <w:color w:val="000000" w:themeColor="text1"/>
        </w:rPr>
        <w:t>Y GUADALUPE RAMÍREZ PEÑA, EN LA</w:t>
      </w:r>
      <w:r w:rsidR="00F15651">
        <w:rPr>
          <w:color w:val="000000" w:themeColor="text1"/>
        </w:rPr>
        <w:t xml:space="preserve"> </w:t>
      </w:r>
      <w:r w:rsidR="001214E3">
        <w:rPr>
          <w:color w:val="000000" w:themeColor="text1"/>
        </w:rPr>
        <w:t>VIGÉSIMA</w:t>
      </w:r>
      <w:r w:rsidR="00433BF2">
        <w:rPr>
          <w:color w:val="000000" w:themeColor="text1"/>
        </w:rPr>
        <w:t xml:space="preserve"> </w:t>
      </w:r>
      <w:r w:rsidRPr="455F3573">
        <w:rPr>
          <w:color w:val="000000" w:themeColor="text1"/>
        </w:rPr>
        <w:t>SESIÓN ORDINARIA CELEBRADA EL</w:t>
      </w:r>
      <w:r w:rsidR="00433BF2">
        <w:rPr>
          <w:color w:val="000000" w:themeColor="text1"/>
        </w:rPr>
        <w:t xml:space="preserve"> </w:t>
      </w:r>
      <w:r w:rsidR="001214E3">
        <w:rPr>
          <w:color w:val="000000" w:themeColor="text1"/>
        </w:rPr>
        <w:t>CUATRO DE JUNIO</w:t>
      </w:r>
      <w:r w:rsidR="00433BF2" w:rsidRPr="005B29AC">
        <w:rPr>
          <w:color w:val="000000" w:themeColor="text1"/>
        </w:rPr>
        <w:t xml:space="preserve"> </w:t>
      </w:r>
      <w:r w:rsidR="00F74234" w:rsidRPr="005B29AC">
        <w:rPr>
          <w:color w:val="000000" w:themeColor="text1"/>
        </w:rPr>
        <w:t>DE DOS MIL VEINTI</w:t>
      </w:r>
      <w:r w:rsidR="00F15651" w:rsidRPr="005B29AC">
        <w:rPr>
          <w:color w:val="000000" w:themeColor="text1"/>
        </w:rPr>
        <w:t>C</w:t>
      </w:r>
      <w:r w:rsidR="00A83E01">
        <w:rPr>
          <w:color w:val="000000" w:themeColor="text1"/>
        </w:rPr>
        <w:t>INCO</w:t>
      </w:r>
      <w:r w:rsidRPr="005B29AC">
        <w:rPr>
          <w:color w:val="000000" w:themeColor="text1"/>
        </w:rPr>
        <w:t>, ANTE EL SECRETARIO TÉCNICO DEL PLENO, ALEXIS TAPIA RAMÍREZ.--------------</w:t>
      </w:r>
      <w:r w:rsidR="000C106D">
        <w:rPr>
          <w:color w:val="000000" w:themeColor="text1"/>
        </w:rPr>
        <w:t>-------</w:t>
      </w:r>
      <w:r w:rsidR="00763ADE">
        <w:rPr>
          <w:color w:val="000000" w:themeColor="text1"/>
        </w:rPr>
        <w:t>----------------------------------------------------------------------------------------------------------------------------------------------------------------------------------------------------------------------------------------------------------------------------------------------------------------------------------------------------------------------------------------------------------------------------------------------------------------------------------------------------------------------------------------------------------------------------------------------------------------------------------------------------------------------------------------------------------------------------------------------------------------------------------------------------------------------------------</w:t>
      </w:r>
      <w:r w:rsidR="00B37A2E">
        <w:rPr>
          <w:color w:val="000000" w:themeColor="text1"/>
        </w:rPr>
        <w:t>---------------------------------------------------------------------------------------------------------------------</w:t>
      </w:r>
      <w:r w:rsidR="00B65CBD">
        <w:rPr>
          <w:color w:val="000000" w:themeColor="text1"/>
        </w:rPr>
        <w:t>---------------------------------------------------------------------------------------------------------------------------------------------------------------------------------------------------------------------------------------------------------------------------------------------------------------------------------------------------------------------------------------------------------------------------------------------------------------------------------------------------------------------------------------------------------------------------------------------------------</w:t>
      </w:r>
      <w:r w:rsidR="005B7D9A">
        <w:rPr>
          <w:color w:val="000000" w:themeColor="text1"/>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0526CC">
      <w:headerReference w:type="even" r:id="rId8"/>
      <w:headerReference w:type="default" r:id="rId9"/>
      <w:footerReference w:type="default" r:id="rId10"/>
      <w:headerReference w:type="first" r:id="rId11"/>
      <w:footerReference w:type="first" r:id="rId12"/>
      <w:pgSz w:w="12240" w:h="15800"/>
      <w:pgMar w:top="3261"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9C1E7" w14:textId="77777777" w:rsidR="00116918" w:rsidRDefault="00116918" w:rsidP="00F2498E">
      <w:pPr>
        <w:spacing w:line="240" w:lineRule="auto"/>
      </w:pPr>
      <w:r>
        <w:separator/>
      </w:r>
    </w:p>
  </w:endnote>
  <w:endnote w:type="continuationSeparator" w:id="0">
    <w:p w14:paraId="33CD10F2" w14:textId="77777777" w:rsidR="00116918" w:rsidRDefault="00116918" w:rsidP="00F2498E">
      <w:pPr>
        <w:spacing w:line="240" w:lineRule="auto"/>
      </w:pPr>
      <w:r>
        <w:continuationSeparator/>
      </w:r>
    </w:p>
  </w:endnote>
  <w:endnote w:type="continuationNotice" w:id="1">
    <w:p w14:paraId="462C81C7" w14:textId="77777777" w:rsidR="00116918" w:rsidRDefault="001169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D4B93" w:rsidRPr="00165289" w:rsidRDefault="000D4B93"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0D7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0D70">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D4B93" w:rsidRPr="0037201A" w:rsidRDefault="000D4B93"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0D7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0D70">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1E838" w14:textId="77777777" w:rsidR="00116918" w:rsidRDefault="00116918" w:rsidP="00F2498E">
      <w:pPr>
        <w:spacing w:line="240" w:lineRule="auto"/>
      </w:pPr>
      <w:r>
        <w:separator/>
      </w:r>
    </w:p>
  </w:footnote>
  <w:footnote w:type="continuationSeparator" w:id="0">
    <w:p w14:paraId="43135E55" w14:textId="77777777" w:rsidR="00116918" w:rsidRDefault="00116918" w:rsidP="00F2498E">
      <w:pPr>
        <w:spacing w:line="240" w:lineRule="auto"/>
      </w:pPr>
      <w:r>
        <w:continuationSeparator/>
      </w:r>
    </w:p>
  </w:footnote>
  <w:footnote w:type="continuationNotice" w:id="1">
    <w:p w14:paraId="5994A208" w14:textId="77777777" w:rsidR="00116918" w:rsidRDefault="00116918">
      <w:pPr>
        <w:spacing w:line="240" w:lineRule="auto"/>
      </w:pPr>
    </w:p>
  </w:footnote>
  <w:footnote w:id="2">
    <w:p w14:paraId="3C4A6F48" w14:textId="77777777" w:rsidR="000D4B93" w:rsidRPr="008544CF" w:rsidRDefault="000D4B93" w:rsidP="00C5688E">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E9BEF0E" w14:textId="77777777" w:rsidR="000D4B93" w:rsidRPr="008544CF" w:rsidRDefault="000D4B93" w:rsidP="00C5688E">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color w:val="auto"/>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color w:val="auto"/>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544CF">
        <w:rPr>
          <w:i/>
          <w:sz w:val="18"/>
          <w:szCs w:val="18"/>
        </w:rPr>
        <w:t>concesoria</w:t>
      </w:r>
      <w:proofErr w:type="spellEnd"/>
      <w:r w:rsidRPr="008544CF">
        <w:rPr>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BCC021A" w14:textId="3A0C23F7" w:rsidR="000D4B93" w:rsidRDefault="000D4B93">
      <w:pPr>
        <w:pStyle w:val="Textonotapie"/>
      </w:pPr>
      <w:r>
        <w:rPr>
          <w:rStyle w:val="Refdenotaalpie"/>
        </w:rPr>
        <w:footnoteRef/>
      </w:r>
      <w:r>
        <w:t xml:space="preserve"> </w:t>
      </w:r>
      <w:r w:rsidRPr="6A5992C8">
        <w:rPr>
          <w:rFonts w:eastAsia="Palatino Linotype" w:cs="Palatino Linotype"/>
          <w:sz w:val="16"/>
          <w:szCs w:val="16"/>
          <w:lang w:val="es-ES"/>
        </w:rPr>
        <w:t xml:space="preserve">BURGOA ORIHUELA Ignacio. </w:t>
      </w:r>
      <w:r w:rsidRPr="6A5992C8">
        <w:rPr>
          <w:rFonts w:eastAsia="Palatino Linotype" w:cs="Palatino Linotype"/>
          <w:i/>
          <w:iCs/>
          <w:sz w:val="16"/>
          <w:szCs w:val="16"/>
          <w:lang w:val="es-ES"/>
        </w:rPr>
        <w:t>Diccionario De Derecho Constitucional, Garantías y Amparo</w:t>
      </w:r>
      <w:r w:rsidRPr="6A5992C8">
        <w:rPr>
          <w:rFonts w:eastAsia="Palatino Linotype" w:cs="Palatino Linotype"/>
          <w:sz w:val="16"/>
          <w:szCs w:val="16"/>
          <w:lang w:val="es-ES"/>
        </w:rPr>
        <w:t xml:space="preserve">. Ed. Porrúa, S.A., México. 1992. </w:t>
      </w:r>
      <w:r>
        <w:rPr>
          <w:rFonts w:eastAsia="Palatino Linotype" w:cs="Palatino Linotype"/>
          <w:sz w:val="16"/>
          <w:szCs w:val="16"/>
          <w:lang w:val="es-ES"/>
        </w:rPr>
        <w:t>Pág</w:t>
      </w:r>
      <w:r w:rsidRPr="6A5992C8">
        <w:rPr>
          <w:rFonts w:eastAsia="Palatino Linotype" w:cs="Palatino Linotype"/>
          <w:sz w:val="16"/>
          <w:szCs w:val="16"/>
          <w:lang w:val="es-ES"/>
        </w:rPr>
        <w:t>. 115.</w:t>
      </w:r>
    </w:p>
  </w:footnote>
  <w:footnote w:id="4">
    <w:p w14:paraId="7A67C712" w14:textId="5E56FE34" w:rsidR="000D4B93" w:rsidRDefault="000D4B93">
      <w:pPr>
        <w:pStyle w:val="Textonotapie"/>
      </w:pPr>
      <w:r>
        <w:rPr>
          <w:rStyle w:val="Refdenotaalpie"/>
        </w:rPr>
        <w:footnoteRef/>
      </w:r>
      <w:r>
        <w:t xml:space="preserve"> </w:t>
      </w:r>
      <w:r w:rsidRPr="6A5992C8">
        <w:rPr>
          <w:rFonts w:eastAsia="Palatino Linotype" w:cs="Palatino Linotype"/>
          <w:sz w:val="16"/>
          <w:szCs w:val="16"/>
          <w:lang w:val="es-ES"/>
        </w:rPr>
        <w:t xml:space="preserve">CIENFUEGOS SALGADO David. </w:t>
      </w:r>
      <w:r w:rsidRPr="6A5992C8">
        <w:rPr>
          <w:rFonts w:eastAsia="Palatino Linotype" w:cs="Palatino Linotype"/>
          <w:i/>
          <w:iCs/>
          <w:sz w:val="16"/>
          <w:szCs w:val="16"/>
          <w:lang w:val="es-ES"/>
        </w:rPr>
        <w:t xml:space="preserve">El Derecho de Petición en México. </w:t>
      </w:r>
      <w:r w:rsidRPr="6A5992C8">
        <w:rPr>
          <w:rFonts w:eastAsia="Palatino Linotype" w:cs="Palatino Linotype"/>
          <w:sz w:val="16"/>
          <w:szCs w:val="16"/>
          <w:lang w:val="es-ES"/>
        </w:rPr>
        <w:t>Ed. Instituto de Investigaciones Jurídica UNAM. México 2004. P</w:t>
      </w:r>
      <w:r>
        <w:rPr>
          <w:rFonts w:eastAsia="Palatino Linotype" w:cs="Palatino Linotype"/>
          <w:sz w:val="16"/>
          <w:szCs w:val="16"/>
          <w:lang w:val="es-ES"/>
        </w:rPr>
        <w:t>ág.</w:t>
      </w:r>
      <w:r w:rsidRPr="6A5992C8">
        <w:rPr>
          <w:rFonts w:eastAsia="Palatino Linotype" w:cs="Palatino Linotype"/>
          <w:sz w:val="16"/>
          <w:szCs w:val="16"/>
          <w:lang w:val="es-ES"/>
        </w:rPr>
        <w:t xml:space="preserve"> 31</w:t>
      </w:r>
    </w:p>
  </w:footnote>
  <w:footnote w:id="5">
    <w:p w14:paraId="41EA767B" w14:textId="4C975859" w:rsidR="000D4B93" w:rsidRDefault="000D4B93">
      <w:pPr>
        <w:pStyle w:val="Textonotapie"/>
      </w:pPr>
      <w:r>
        <w:rPr>
          <w:rStyle w:val="Refdenotaalpie"/>
        </w:rPr>
        <w:footnoteRef/>
      </w:r>
      <w:r>
        <w:t xml:space="preserve"> </w:t>
      </w:r>
      <w:r w:rsidRPr="6A5992C8">
        <w:rPr>
          <w:rFonts w:eastAsia="Palatino Linotype" w:cs="Palatino Linotype"/>
          <w:sz w:val="16"/>
          <w:szCs w:val="16"/>
          <w:lang w:val="es-ES"/>
        </w:rPr>
        <w:t xml:space="preserve">ROBLES HERNÁNDEZ José Guadalupe. </w:t>
      </w:r>
      <w:r w:rsidRPr="6A5992C8">
        <w:rPr>
          <w:rFonts w:eastAsia="Palatino Linotype" w:cs="Palatino Linotype"/>
          <w:i/>
          <w:iCs/>
          <w:sz w:val="16"/>
          <w:szCs w:val="16"/>
          <w:lang w:val="es-ES"/>
        </w:rPr>
        <w:t xml:space="preserve">Derecho de la Información y Comunicación Pública. </w:t>
      </w:r>
      <w:r w:rsidRPr="6A5992C8">
        <w:rPr>
          <w:rFonts w:eastAsia="Palatino Linotype" w:cs="Palatino Linotype"/>
          <w:sz w:val="16"/>
          <w:szCs w:val="16"/>
          <w:lang w:val="es-ES"/>
        </w:rPr>
        <w:t>Ed. Universidad de Occidente. México. 2004, p</w:t>
      </w:r>
      <w:r>
        <w:rPr>
          <w:rFonts w:eastAsia="Palatino Linotype" w:cs="Palatino Linotype"/>
          <w:sz w:val="16"/>
          <w:szCs w:val="16"/>
          <w:lang w:val="es-ES"/>
        </w:rPr>
        <w:t>ág</w:t>
      </w:r>
      <w:r w:rsidRPr="6A5992C8">
        <w:rPr>
          <w:rFonts w:eastAsia="Palatino Linotype" w:cs="Palatino Linotype"/>
          <w:sz w:val="16"/>
          <w:szCs w:val="16"/>
          <w:lang w:val="es-ES"/>
        </w:rPr>
        <w:t>. 72</w:t>
      </w:r>
    </w:p>
  </w:footnote>
  <w:footnote w:id="6">
    <w:p w14:paraId="49DA3BAE" w14:textId="5DB5B774" w:rsidR="000D4B93" w:rsidRDefault="000D4B93">
      <w:pPr>
        <w:pStyle w:val="Textonotapie"/>
      </w:pPr>
      <w:r>
        <w:rPr>
          <w:rStyle w:val="Refdenotaalpie"/>
        </w:rPr>
        <w:footnoteRef/>
      </w:r>
      <w:r>
        <w:t xml:space="preserve"> </w:t>
      </w:r>
      <w:r w:rsidRPr="6A5992C8">
        <w:rPr>
          <w:rFonts w:eastAsia="Palatino Linotype" w:cs="Palatino Linotype"/>
          <w:sz w:val="16"/>
          <w:szCs w:val="16"/>
          <w:lang w:val="es-ES"/>
        </w:rPr>
        <w:t xml:space="preserve">VILLANUEVA </w:t>
      </w:r>
      <w:proofErr w:type="spellStart"/>
      <w:r w:rsidRPr="6A5992C8">
        <w:rPr>
          <w:rFonts w:eastAsia="Palatino Linotype" w:cs="Palatino Linotype"/>
          <w:sz w:val="16"/>
          <w:szCs w:val="16"/>
          <w:lang w:val="es-ES"/>
        </w:rPr>
        <w:t>VILLANUEVA</w:t>
      </w:r>
      <w:proofErr w:type="spellEnd"/>
      <w:r w:rsidRPr="6A5992C8">
        <w:rPr>
          <w:rFonts w:eastAsia="Palatino Linotype" w:cs="Palatino Linotype"/>
          <w:sz w:val="16"/>
          <w:szCs w:val="16"/>
          <w:lang w:val="es-ES"/>
        </w:rPr>
        <w:t xml:space="preserve"> Ernesto. Derecho de la Información, Ed. Porrúa. S.A., México. 2006. </w:t>
      </w:r>
      <w:r>
        <w:rPr>
          <w:rFonts w:eastAsia="Palatino Linotype" w:cs="Palatino Linotype"/>
          <w:sz w:val="16"/>
          <w:szCs w:val="16"/>
          <w:lang w:val="es-ES"/>
        </w:rPr>
        <w:t xml:space="preserve">Pág. </w:t>
      </w:r>
      <w:r w:rsidRPr="6A5992C8">
        <w:rPr>
          <w:rFonts w:eastAsia="Palatino Linotype" w:cs="Palatino Linotype"/>
          <w:sz w:val="16"/>
          <w:szCs w:val="16"/>
          <w:lang w:val="es-ES"/>
        </w:rPr>
        <w:t>270</w:t>
      </w:r>
    </w:p>
  </w:footnote>
  <w:footnote w:id="7">
    <w:p w14:paraId="692AAB59" w14:textId="77777777" w:rsidR="000D4B93" w:rsidRDefault="000D4B93" w:rsidP="005B29AC">
      <w:pPr>
        <w:pStyle w:val="Textonotapie"/>
      </w:pPr>
      <w:r>
        <w:rPr>
          <w:rStyle w:val="Refdenotaalpie"/>
        </w:rPr>
        <w:footnoteRef/>
      </w:r>
      <w:r>
        <w:t xml:space="preserve"> Tesis 1a</w:t>
      </w:r>
      <w:proofErr w:type="gramStart"/>
      <w:r>
        <w:t>./</w:t>
      </w:r>
      <w:proofErr w:type="gramEnd"/>
      <w:r>
        <w:t xml:space="preserve">J. 3/99, </w:t>
      </w:r>
      <w:r w:rsidRPr="00F74234">
        <w:rPr>
          <w:i/>
          <w:iCs/>
        </w:rPr>
        <w:t>Semanario Judicial de la Federación y su Gaceta</w:t>
      </w:r>
      <w:r>
        <w:t>, Novena Época, tomo IX, enero de 1999, pág. 13.</w:t>
      </w:r>
    </w:p>
  </w:footnote>
  <w:footnote w:id="8">
    <w:p w14:paraId="24FC5E9C" w14:textId="77777777" w:rsidR="000D4B93" w:rsidRPr="0027331A" w:rsidRDefault="000D4B93" w:rsidP="005B29AC">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D4B93" w:rsidRDefault="003B0D70">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D4B93" w:rsidRPr="00B17577" w14:paraId="37B9EBDE" w14:textId="77777777" w:rsidTr="00650CFB">
      <w:trPr>
        <w:trHeight w:val="227"/>
      </w:trPr>
      <w:tc>
        <w:tcPr>
          <w:tcW w:w="5103" w:type="dxa"/>
          <w:hideMark/>
        </w:tcPr>
        <w:p w14:paraId="4964FBC5" w14:textId="54CDA645" w:rsidR="000D4B93" w:rsidRPr="00096248" w:rsidRDefault="000D4B93"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761AEFA" w:rsidR="000D4B93" w:rsidRPr="00096248" w:rsidRDefault="000D4B93" w:rsidP="00024178">
          <w:pPr>
            <w:spacing w:after="120" w:line="240" w:lineRule="auto"/>
            <w:ind w:right="71"/>
            <w:jc w:val="right"/>
            <w:rPr>
              <w:rFonts w:cs="Arial"/>
              <w:b/>
              <w:szCs w:val="24"/>
            </w:rPr>
          </w:pPr>
          <w:r>
            <w:rPr>
              <w:rFonts w:cs="Arial"/>
              <w:b/>
              <w:bCs/>
              <w:szCs w:val="24"/>
            </w:rPr>
            <w:t>03210/INFOEM/IP/RR/2025</w:t>
          </w:r>
        </w:p>
      </w:tc>
    </w:tr>
    <w:tr w:rsidR="000D4B93" w14:paraId="7591D3C9" w14:textId="77777777" w:rsidTr="00650CFB">
      <w:trPr>
        <w:trHeight w:val="242"/>
      </w:trPr>
      <w:tc>
        <w:tcPr>
          <w:tcW w:w="5103" w:type="dxa"/>
          <w:hideMark/>
        </w:tcPr>
        <w:p w14:paraId="729A65A8" w14:textId="77777777" w:rsidR="000D4B93" w:rsidRPr="00096248" w:rsidRDefault="000D4B93"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2B618BD" w:rsidR="000D4B93" w:rsidRPr="00096248" w:rsidRDefault="000D4B93" w:rsidP="003E60BE">
          <w:pPr>
            <w:spacing w:after="120" w:line="240" w:lineRule="auto"/>
            <w:ind w:left="-74" w:right="74"/>
            <w:jc w:val="right"/>
            <w:rPr>
              <w:rFonts w:cs="Arial"/>
              <w:szCs w:val="24"/>
            </w:rPr>
          </w:pPr>
          <w:r>
            <w:rPr>
              <w:rFonts w:cs="Arial"/>
              <w:szCs w:val="24"/>
            </w:rPr>
            <w:t xml:space="preserve">Ayuntamiento de </w:t>
          </w:r>
          <w:proofErr w:type="spellStart"/>
          <w:r>
            <w:rPr>
              <w:rFonts w:cs="Arial"/>
              <w:szCs w:val="24"/>
            </w:rPr>
            <w:t>Acambay</w:t>
          </w:r>
          <w:proofErr w:type="spellEnd"/>
          <w:r>
            <w:rPr>
              <w:rFonts w:cs="Arial"/>
              <w:szCs w:val="24"/>
            </w:rPr>
            <w:t xml:space="preserve"> de Ruíz Castañeda</w:t>
          </w:r>
        </w:p>
      </w:tc>
    </w:tr>
    <w:tr w:rsidR="000D4B93" w:rsidRPr="00F63239" w14:paraId="037E914D" w14:textId="77777777" w:rsidTr="00650CFB">
      <w:trPr>
        <w:trHeight w:val="342"/>
      </w:trPr>
      <w:tc>
        <w:tcPr>
          <w:tcW w:w="5103" w:type="dxa"/>
          <w:hideMark/>
        </w:tcPr>
        <w:p w14:paraId="7676B68F" w14:textId="64D69EAF" w:rsidR="000D4B93" w:rsidRPr="00096248" w:rsidRDefault="000D4B93"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D4B93" w:rsidRPr="00096248" w:rsidRDefault="000D4B93"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D4B93" w:rsidRPr="00165289" w:rsidRDefault="003B0D70">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25pt;margin-top:-157.7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0D4B9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D4B93" w14:paraId="0F9FE9B6" w14:textId="77777777" w:rsidTr="00650CFB">
      <w:trPr>
        <w:trHeight w:val="227"/>
      </w:trPr>
      <w:tc>
        <w:tcPr>
          <w:tcW w:w="5245" w:type="dxa"/>
          <w:hideMark/>
        </w:tcPr>
        <w:p w14:paraId="6D1D9D71" w14:textId="11150E5A" w:rsidR="000D4B93" w:rsidRPr="00663A37" w:rsidRDefault="000D4B93"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F9FF120" w:rsidR="000D4B93" w:rsidRPr="00096248" w:rsidRDefault="000D4B93" w:rsidP="007B095F">
          <w:pPr>
            <w:spacing w:after="120" w:line="240" w:lineRule="auto"/>
            <w:ind w:left="72" w:right="68"/>
            <w:jc w:val="right"/>
            <w:rPr>
              <w:rFonts w:cs="Arial"/>
              <w:b/>
              <w:szCs w:val="24"/>
            </w:rPr>
          </w:pPr>
          <w:r>
            <w:rPr>
              <w:rFonts w:cs="Arial"/>
              <w:b/>
              <w:bCs/>
              <w:szCs w:val="24"/>
            </w:rPr>
            <w:t>03210/INFOEM/IP/RR/2025</w:t>
          </w:r>
        </w:p>
      </w:tc>
    </w:tr>
    <w:tr w:rsidR="000D4B93" w:rsidRPr="001F57CD" w14:paraId="1377D264" w14:textId="77777777" w:rsidTr="00650CFB">
      <w:trPr>
        <w:trHeight w:val="196"/>
      </w:trPr>
      <w:tc>
        <w:tcPr>
          <w:tcW w:w="5245" w:type="dxa"/>
          <w:hideMark/>
        </w:tcPr>
        <w:p w14:paraId="04D597A1" w14:textId="77777777" w:rsidR="000D4B93" w:rsidRPr="00663A37" w:rsidRDefault="000D4B93"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1CCB01B" w:rsidR="000D4B93" w:rsidRPr="00791E10" w:rsidRDefault="003B0D70" w:rsidP="007B095F">
          <w:pPr>
            <w:spacing w:after="120" w:line="240" w:lineRule="auto"/>
            <w:ind w:left="-70" w:right="68"/>
            <w:jc w:val="right"/>
            <w:rPr>
              <w:rFonts w:cs="Arial"/>
              <w:szCs w:val="24"/>
            </w:rPr>
          </w:pPr>
          <w:r>
            <w:rPr>
              <w:rFonts w:cs="Arial"/>
              <w:szCs w:val="24"/>
            </w:rPr>
            <w:t>XXXX</w:t>
          </w:r>
        </w:p>
      </w:tc>
    </w:tr>
    <w:tr w:rsidR="000D4B93" w14:paraId="4DC11993" w14:textId="77777777" w:rsidTr="00650CFB">
      <w:trPr>
        <w:trHeight w:val="242"/>
      </w:trPr>
      <w:tc>
        <w:tcPr>
          <w:tcW w:w="5245" w:type="dxa"/>
          <w:hideMark/>
        </w:tcPr>
        <w:p w14:paraId="76CEF1B5" w14:textId="0BCADD4F" w:rsidR="000D4B93" w:rsidRPr="00663A37" w:rsidRDefault="000D4B93" w:rsidP="00024178">
          <w:pPr>
            <w:spacing w:after="120" w:line="240" w:lineRule="auto"/>
            <w:ind w:right="68"/>
            <w:jc w:val="right"/>
            <w:rPr>
              <w:rFonts w:cs="Arial"/>
              <w:b/>
              <w:szCs w:val="24"/>
            </w:rPr>
          </w:pPr>
        </w:p>
      </w:tc>
      <w:tc>
        <w:tcPr>
          <w:tcW w:w="4395" w:type="dxa"/>
          <w:hideMark/>
        </w:tcPr>
        <w:p w14:paraId="7C1BB379" w14:textId="5E4254B0" w:rsidR="000D4B93" w:rsidRPr="00663A37" w:rsidRDefault="000D4B93" w:rsidP="007B095F">
          <w:pPr>
            <w:spacing w:after="120" w:line="240" w:lineRule="auto"/>
            <w:ind w:left="-70" w:right="68"/>
            <w:jc w:val="right"/>
            <w:rPr>
              <w:rFonts w:cs="Arial"/>
              <w:szCs w:val="24"/>
            </w:rPr>
          </w:pPr>
          <w:r>
            <w:rPr>
              <w:rFonts w:cs="Arial"/>
              <w:szCs w:val="24"/>
            </w:rPr>
            <w:t xml:space="preserve">Ayuntamiento de </w:t>
          </w:r>
          <w:proofErr w:type="spellStart"/>
          <w:r>
            <w:rPr>
              <w:rFonts w:cs="Arial"/>
              <w:szCs w:val="24"/>
            </w:rPr>
            <w:t>Acambay</w:t>
          </w:r>
          <w:proofErr w:type="spellEnd"/>
          <w:r>
            <w:rPr>
              <w:rFonts w:cs="Arial"/>
              <w:szCs w:val="24"/>
            </w:rPr>
            <w:t xml:space="preserve"> de Ruíz Castañeda</w:t>
          </w:r>
        </w:p>
      </w:tc>
    </w:tr>
    <w:tr w:rsidR="000D4B93" w14:paraId="5C2B511D" w14:textId="77777777" w:rsidTr="00650CFB">
      <w:trPr>
        <w:trHeight w:val="342"/>
      </w:trPr>
      <w:tc>
        <w:tcPr>
          <w:tcW w:w="5245" w:type="dxa"/>
          <w:hideMark/>
        </w:tcPr>
        <w:p w14:paraId="03FEF68C" w14:textId="45E91CF4" w:rsidR="000D4B93" w:rsidRPr="00663A37" w:rsidRDefault="000D4B93"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D4B93" w:rsidRPr="00663A37" w:rsidRDefault="000D4B93"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0D4B93" w:rsidRPr="0037201A" w:rsidRDefault="003B0D70">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5pt;margin-top:-157.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0D4B9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56B37"/>
    <w:multiLevelType w:val="hybridMultilevel"/>
    <w:tmpl w:val="C35C36A6"/>
    <w:lvl w:ilvl="0" w:tplc="E8A214DC">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E41656"/>
    <w:multiLevelType w:val="hybridMultilevel"/>
    <w:tmpl w:val="A70CF7CC"/>
    <w:lvl w:ilvl="0" w:tplc="72FCA474">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265B292C"/>
    <w:multiLevelType w:val="hybridMultilevel"/>
    <w:tmpl w:val="5BE61A62"/>
    <w:lvl w:ilvl="0" w:tplc="89AE71AE">
      <w:start w:val="1"/>
      <w:numFmt w:val="decimal"/>
      <w:lvlText w:val="%1)"/>
      <w:lvlJc w:val="left"/>
      <w:pPr>
        <w:ind w:left="1559"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437B1476"/>
    <w:multiLevelType w:val="hybridMultilevel"/>
    <w:tmpl w:val="A1CCB246"/>
    <w:lvl w:ilvl="0" w:tplc="C39CB47E">
      <w:start w:val="1"/>
      <w:numFmt w:val="decimal"/>
      <w:lvlText w:val="%1."/>
      <w:lvlJc w:val="left"/>
      <w:pPr>
        <w:ind w:left="709" w:hanging="425"/>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4BEB3AB3"/>
    <w:multiLevelType w:val="hybridMultilevel"/>
    <w:tmpl w:val="497CA7D0"/>
    <w:lvl w:ilvl="0" w:tplc="C3A4142C">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6"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552C3253"/>
    <w:multiLevelType w:val="hybridMultilevel"/>
    <w:tmpl w:val="ABD832B0"/>
    <w:lvl w:ilvl="0" w:tplc="EDDEF01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66426D"/>
    <w:multiLevelType w:val="hybridMultilevel"/>
    <w:tmpl w:val="5E9E6FA4"/>
    <w:lvl w:ilvl="0" w:tplc="89AE71AE">
      <w:start w:val="1"/>
      <w:numFmt w:val="decimal"/>
      <w:lvlText w:val="%1)"/>
      <w:lvlJc w:val="left"/>
      <w:pPr>
        <w:ind w:left="992" w:hanging="425"/>
      </w:pPr>
      <w:rPr>
        <w:rFonts w:hint="default"/>
        <w:i/>
        <w:iCs/>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B7674A"/>
    <w:multiLevelType w:val="hybridMultilevel"/>
    <w:tmpl w:val="5C74223C"/>
    <w:lvl w:ilvl="0" w:tplc="0E5C4C3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06387D"/>
    <w:multiLevelType w:val="hybridMultilevel"/>
    <w:tmpl w:val="A70CF7CC"/>
    <w:lvl w:ilvl="0" w:tplc="72FCA474">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38362E0"/>
    <w:multiLevelType w:val="hybridMultilevel"/>
    <w:tmpl w:val="45902074"/>
    <w:lvl w:ilvl="0" w:tplc="E278BC0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166E84"/>
    <w:multiLevelType w:val="hybridMultilevel"/>
    <w:tmpl w:val="20E44E92"/>
    <w:lvl w:ilvl="0" w:tplc="38DA763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6C31DF"/>
    <w:multiLevelType w:val="hybridMultilevel"/>
    <w:tmpl w:val="5456C38C"/>
    <w:lvl w:ilvl="0" w:tplc="4962C5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95401C"/>
    <w:multiLevelType w:val="hybridMultilevel"/>
    <w:tmpl w:val="AFDCFE5A"/>
    <w:lvl w:ilvl="0" w:tplc="A866EAF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6"/>
  </w:num>
  <w:num w:numId="3">
    <w:abstractNumId w:val="26"/>
  </w:num>
  <w:num w:numId="4">
    <w:abstractNumId w:val="36"/>
  </w:num>
  <w:num w:numId="5">
    <w:abstractNumId w:val="3"/>
  </w:num>
  <w:num w:numId="6">
    <w:abstractNumId w:val="35"/>
  </w:num>
  <w:num w:numId="7">
    <w:abstractNumId w:val="4"/>
  </w:num>
  <w:num w:numId="8">
    <w:abstractNumId w:val="32"/>
  </w:num>
  <w:num w:numId="9">
    <w:abstractNumId w:val="6"/>
  </w:num>
  <w:num w:numId="10">
    <w:abstractNumId w:val="39"/>
  </w:num>
  <w:num w:numId="11">
    <w:abstractNumId w:val="0"/>
  </w:num>
  <w:num w:numId="12">
    <w:abstractNumId w:val="15"/>
  </w:num>
  <w:num w:numId="13">
    <w:abstractNumId w:val="8"/>
  </w:num>
  <w:num w:numId="14">
    <w:abstractNumId w:val="13"/>
  </w:num>
  <w:num w:numId="15">
    <w:abstractNumId w:val="10"/>
  </w:num>
  <w:num w:numId="16">
    <w:abstractNumId w:val="18"/>
  </w:num>
  <w:num w:numId="17">
    <w:abstractNumId w:val="22"/>
  </w:num>
  <w:num w:numId="18">
    <w:abstractNumId w:val="37"/>
  </w:num>
  <w:num w:numId="19">
    <w:abstractNumId w:val="38"/>
  </w:num>
  <w:num w:numId="20">
    <w:abstractNumId w:val="21"/>
  </w:num>
  <w:num w:numId="21">
    <w:abstractNumId w:val="5"/>
  </w:num>
  <w:num w:numId="22">
    <w:abstractNumId w:val="30"/>
  </w:num>
  <w:num w:numId="23">
    <w:abstractNumId w:val="2"/>
  </w:num>
  <w:num w:numId="24">
    <w:abstractNumId w:val="12"/>
  </w:num>
  <w:num w:numId="25">
    <w:abstractNumId w:val="19"/>
  </w:num>
  <w:num w:numId="26">
    <w:abstractNumId w:val="17"/>
  </w:num>
  <w:num w:numId="27">
    <w:abstractNumId w:val="24"/>
  </w:num>
  <w:num w:numId="28">
    <w:abstractNumId w:val="23"/>
  </w:num>
  <w:num w:numId="29">
    <w:abstractNumId w:val="34"/>
  </w:num>
  <w:num w:numId="30">
    <w:abstractNumId w:val="16"/>
  </w:num>
  <w:num w:numId="31">
    <w:abstractNumId w:val="43"/>
  </w:num>
  <w:num w:numId="32">
    <w:abstractNumId w:val="1"/>
  </w:num>
  <w:num w:numId="33">
    <w:abstractNumId w:val="42"/>
  </w:num>
  <w:num w:numId="34">
    <w:abstractNumId w:val="33"/>
  </w:num>
  <w:num w:numId="35">
    <w:abstractNumId w:val="11"/>
  </w:num>
  <w:num w:numId="36">
    <w:abstractNumId w:val="41"/>
  </w:num>
  <w:num w:numId="37">
    <w:abstractNumId w:val="28"/>
  </w:num>
  <w:num w:numId="38">
    <w:abstractNumId w:val="44"/>
  </w:num>
  <w:num w:numId="39">
    <w:abstractNumId w:val="31"/>
  </w:num>
  <w:num w:numId="40">
    <w:abstractNumId w:val="20"/>
  </w:num>
  <w:num w:numId="41">
    <w:abstractNumId w:val="25"/>
  </w:num>
  <w:num w:numId="42">
    <w:abstractNumId w:val="45"/>
  </w:num>
  <w:num w:numId="43">
    <w:abstractNumId w:val="29"/>
  </w:num>
  <w:num w:numId="44">
    <w:abstractNumId w:val="27"/>
  </w:num>
  <w:num w:numId="45">
    <w:abstractNumId w:val="14"/>
  </w:num>
  <w:num w:numId="46">
    <w:abstractNumId w:val="9"/>
  </w:num>
  <w:num w:numId="47">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5EFC"/>
    <w:rsid w:val="00007857"/>
    <w:rsid w:val="00010701"/>
    <w:rsid w:val="000107F4"/>
    <w:rsid w:val="0001151F"/>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4416"/>
    <w:rsid w:val="0005480B"/>
    <w:rsid w:val="00054F6A"/>
    <w:rsid w:val="00055891"/>
    <w:rsid w:val="00055C90"/>
    <w:rsid w:val="000564B5"/>
    <w:rsid w:val="00056D77"/>
    <w:rsid w:val="000575E4"/>
    <w:rsid w:val="0005787D"/>
    <w:rsid w:val="00057B42"/>
    <w:rsid w:val="00060716"/>
    <w:rsid w:val="00061B46"/>
    <w:rsid w:val="00061B8D"/>
    <w:rsid w:val="000626A5"/>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39C"/>
    <w:rsid w:val="000B1C9E"/>
    <w:rsid w:val="000B1F27"/>
    <w:rsid w:val="000B28CF"/>
    <w:rsid w:val="000B2CD4"/>
    <w:rsid w:val="000B3E3F"/>
    <w:rsid w:val="000B51CE"/>
    <w:rsid w:val="000B5608"/>
    <w:rsid w:val="000B6502"/>
    <w:rsid w:val="000B65C3"/>
    <w:rsid w:val="000B7091"/>
    <w:rsid w:val="000C0203"/>
    <w:rsid w:val="000C04A1"/>
    <w:rsid w:val="000C066A"/>
    <w:rsid w:val="000C0E5D"/>
    <w:rsid w:val="000C106D"/>
    <w:rsid w:val="000C2D59"/>
    <w:rsid w:val="000C416A"/>
    <w:rsid w:val="000C4680"/>
    <w:rsid w:val="000C51AF"/>
    <w:rsid w:val="000C661C"/>
    <w:rsid w:val="000C7F8F"/>
    <w:rsid w:val="000D14DA"/>
    <w:rsid w:val="000D28AE"/>
    <w:rsid w:val="000D3DF5"/>
    <w:rsid w:val="000D4B93"/>
    <w:rsid w:val="000D55D2"/>
    <w:rsid w:val="000D5634"/>
    <w:rsid w:val="000D5C00"/>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918"/>
    <w:rsid w:val="00116A5A"/>
    <w:rsid w:val="00116E4B"/>
    <w:rsid w:val="00116F6B"/>
    <w:rsid w:val="001214E3"/>
    <w:rsid w:val="00121BF4"/>
    <w:rsid w:val="001233DB"/>
    <w:rsid w:val="001235A0"/>
    <w:rsid w:val="00123D0B"/>
    <w:rsid w:val="00126F9B"/>
    <w:rsid w:val="0013017E"/>
    <w:rsid w:val="00130C18"/>
    <w:rsid w:val="00131C6C"/>
    <w:rsid w:val="00131F2D"/>
    <w:rsid w:val="00134071"/>
    <w:rsid w:val="00134513"/>
    <w:rsid w:val="0013657B"/>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60D0B"/>
    <w:rsid w:val="001624E8"/>
    <w:rsid w:val="00162CEA"/>
    <w:rsid w:val="0016322B"/>
    <w:rsid w:val="0016339A"/>
    <w:rsid w:val="0016393A"/>
    <w:rsid w:val="00164BC0"/>
    <w:rsid w:val="00164F47"/>
    <w:rsid w:val="00165289"/>
    <w:rsid w:val="00165898"/>
    <w:rsid w:val="00166171"/>
    <w:rsid w:val="001665C7"/>
    <w:rsid w:val="00167338"/>
    <w:rsid w:val="00171192"/>
    <w:rsid w:val="00171BBC"/>
    <w:rsid w:val="0017523B"/>
    <w:rsid w:val="00175B42"/>
    <w:rsid w:val="001762E7"/>
    <w:rsid w:val="00176522"/>
    <w:rsid w:val="001809A8"/>
    <w:rsid w:val="001814D7"/>
    <w:rsid w:val="00181A9D"/>
    <w:rsid w:val="00182FC0"/>
    <w:rsid w:val="00184AD2"/>
    <w:rsid w:val="00184AEA"/>
    <w:rsid w:val="00185C61"/>
    <w:rsid w:val="00187A0A"/>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5FAC"/>
    <w:rsid w:val="00206618"/>
    <w:rsid w:val="0020763C"/>
    <w:rsid w:val="00207E11"/>
    <w:rsid w:val="0021063D"/>
    <w:rsid w:val="00210714"/>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4061"/>
    <w:rsid w:val="002350FF"/>
    <w:rsid w:val="0023573F"/>
    <w:rsid w:val="00236B9A"/>
    <w:rsid w:val="00236BFE"/>
    <w:rsid w:val="00240046"/>
    <w:rsid w:val="0024106E"/>
    <w:rsid w:val="00241510"/>
    <w:rsid w:val="002419CA"/>
    <w:rsid w:val="00242DC4"/>
    <w:rsid w:val="00243024"/>
    <w:rsid w:val="002432E1"/>
    <w:rsid w:val="002441CA"/>
    <w:rsid w:val="00245AC1"/>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626"/>
    <w:rsid w:val="00296E92"/>
    <w:rsid w:val="00297212"/>
    <w:rsid w:val="00297CAE"/>
    <w:rsid w:val="002A02E8"/>
    <w:rsid w:val="002A12D4"/>
    <w:rsid w:val="002A1797"/>
    <w:rsid w:val="002A3F98"/>
    <w:rsid w:val="002A51B8"/>
    <w:rsid w:val="002A5ADD"/>
    <w:rsid w:val="002A5FDF"/>
    <w:rsid w:val="002A629C"/>
    <w:rsid w:val="002A6E01"/>
    <w:rsid w:val="002A6FCE"/>
    <w:rsid w:val="002A7370"/>
    <w:rsid w:val="002A7410"/>
    <w:rsid w:val="002A7501"/>
    <w:rsid w:val="002B0BA6"/>
    <w:rsid w:val="002B0EA1"/>
    <w:rsid w:val="002B11F1"/>
    <w:rsid w:val="002B14A2"/>
    <w:rsid w:val="002B317E"/>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2F05"/>
    <w:rsid w:val="002D4953"/>
    <w:rsid w:val="002D4CD5"/>
    <w:rsid w:val="002D5CCE"/>
    <w:rsid w:val="002D6343"/>
    <w:rsid w:val="002D66E2"/>
    <w:rsid w:val="002E1023"/>
    <w:rsid w:val="002E1484"/>
    <w:rsid w:val="002E37DA"/>
    <w:rsid w:val="002E40AD"/>
    <w:rsid w:val="002E72F0"/>
    <w:rsid w:val="002F3312"/>
    <w:rsid w:val="002F368E"/>
    <w:rsid w:val="002F3AAF"/>
    <w:rsid w:val="002F40FF"/>
    <w:rsid w:val="002F5101"/>
    <w:rsid w:val="002F5D71"/>
    <w:rsid w:val="002F6D1E"/>
    <w:rsid w:val="002F713F"/>
    <w:rsid w:val="00300919"/>
    <w:rsid w:val="0030175D"/>
    <w:rsid w:val="00302B98"/>
    <w:rsid w:val="00302BF3"/>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AEC"/>
    <w:rsid w:val="003228CB"/>
    <w:rsid w:val="00324F09"/>
    <w:rsid w:val="003254AC"/>
    <w:rsid w:val="00327E82"/>
    <w:rsid w:val="00327FDF"/>
    <w:rsid w:val="0033070B"/>
    <w:rsid w:val="00331513"/>
    <w:rsid w:val="00332C5C"/>
    <w:rsid w:val="00333C1B"/>
    <w:rsid w:val="00333CC4"/>
    <w:rsid w:val="0033491A"/>
    <w:rsid w:val="00335395"/>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7344"/>
    <w:rsid w:val="0036188D"/>
    <w:rsid w:val="00362013"/>
    <w:rsid w:val="00363A92"/>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F77"/>
    <w:rsid w:val="003839F9"/>
    <w:rsid w:val="00385421"/>
    <w:rsid w:val="00386A48"/>
    <w:rsid w:val="00387CF3"/>
    <w:rsid w:val="003912F1"/>
    <w:rsid w:val="00391387"/>
    <w:rsid w:val="003915A6"/>
    <w:rsid w:val="00392022"/>
    <w:rsid w:val="0039214E"/>
    <w:rsid w:val="0039256B"/>
    <w:rsid w:val="00392BD0"/>
    <w:rsid w:val="0039393F"/>
    <w:rsid w:val="00396B52"/>
    <w:rsid w:val="00397677"/>
    <w:rsid w:val="00397733"/>
    <w:rsid w:val="003A01D0"/>
    <w:rsid w:val="003A0276"/>
    <w:rsid w:val="003A0B24"/>
    <w:rsid w:val="003A0BF2"/>
    <w:rsid w:val="003A3A32"/>
    <w:rsid w:val="003A45B0"/>
    <w:rsid w:val="003A59A6"/>
    <w:rsid w:val="003A6D5C"/>
    <w:rsid w:val="003A7ED9"/>
    <w:rsid w:val="003B0D70"/>
    <w:rsid w:val="003B10FB"/>
    <w:rsid w:val="003B1135"/>
    <w:rsid w:val="003B1154"/>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44C"/>
    <w:rsid w:val="003C76DE"/>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3319"/>
    <w:rsid w:val="004036DA"/>
    <w:rsid w:val="00405AC4"/>
    <w:rsid w:val="00406793"/>
    <w:rsid w:val="0040697D"/>
    <w:rsid w:val="00411C60"/>
    <w:rsid w:val="00411F8F"/>
    <w:rsid w:val="004135D8"/>
    <w:rsid w:val="00414020"/>
    <w:rsid w:val="0041428D"/>
    <w:rsid w:val="004154DB"/>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EF2"/>
    <w:rsid w:val="004338C7"/>
    <w:rsid w:val="00433A07"/>
    <w:rsid w:val="00433BF2"/>
    <w:rsid w:val="00433E65"/>
    <w:rsid w:val="00434C3F"/>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C9"/>
    <w:rsid w:val="004841AE"/>
    <w:rsid w:val="00484548"/>
    <w:rsid w:val="00484C7F"/>
    <w:rsid w:val="00485194"/>
    <w:rsid w:val="0048628D"/>
    <w:rsid w:val="00487A95"/>
    <w:rsid w:val="0049095E"/>
    <w:rsid w:val="004916E5"/>
    <w:rsid w:val="004933FC"/>
    <w:rsid w:val="00493B60"/>
    <w:rsid w:val="00493BA8"/>
    <w:rsid w:val="00494029"/>
    <w:rsid w:val="004960CF"/>
    <w:rsid w:val="004A212C"/>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7CA5"/>
    <w:rsid w:val="004C7D54"/>
    <w:rsid w:val="004D0234"/>
    <w:rsid w:val="004D0CC4"/>
    <w:rsid w:val="004D12E1"/>
    <w:rsid w:val="004D2698"/>
    <w:rsid w:val="004D3536"/>
    <w:rsid w:val="004D4942"/>
    <w:rsid w:val="004D571F"/>
    <w:rsid w:val="004D6095"/>
    <w:rsid w:val="004D65CC"/>
    <w:rsid w:val="004D66AD"/>
    <w:rsid w:val="004E07A1"/>
    <w:rsid w:val="004E1729"/>
    <w:rsid w:val="004E1B3C"/>
    <w:rsid w:val="004E2A2B"/>
    <w:rsid w:val="004E358F"/>
    <w:rsid w:val="004E3959"/>
    <w:rsid w:val="004E3F86"/>
    <w:rsid w:val="004E45CA"/>
    <w:rsid w:val="004E4AD1"/>
    <w:rsid w:val="004E5659"/>
    <w:rsid w:val="004E77E1"/>
    <w:rsid w:val="004F0AB7"/>
    <w:rsid w:val="004F2F9C"/>
    <w:rsid w:val="004F2F9E"/>
    <w:rsid w:val="004F3291"/>
    <w:rsid w:val="004F32D0"/>
    <w:rsid w:val="004F483D"/>
    <w:rsid w:val="004F6671"/>
    <w:rsid w:val="004F7009"/>
    <w:rsid w:val="004F784B"/>
    <w:rsid w:val="004F78C4"/>
    <w:rsid w:val="004F7BC1"/>
    <w:rsid w:val="00500557"/>
    <w:rsid w:val="00500E29"/>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36A5"/>
    <w:rsid w:val="00533D56"/>
    <w:rsid w:val="00533E23"/>
    <w:rsid w:val="00535912"/>
    <w:rsid w:val="005367E7"/>
    <w:rsid w:val="00541022"/>
    <w:rsid w:val="00542675"/>
    <w:rsid w:val="00542B22"/>
    <w:rsid w:val="00542CB1"/>
    <w:rsid w:val="00542CDB"/>
    <w:rsid w:val="00543B75"/>
    <w:rsid w:val="00544041"/>
    <w:rsid w:val="005444AD"/>
    <w:rsid w:val="005449D0"/>
    <w:rsid w:val="00550ECE"/>
    <w:rsid w:val="005515F8"/>
    <w:rsid w:val="00553B9B"/>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B7D9A"/>
    <w:rsid w:val="005C196C"/>
    <w:rsid w:val="005C309B"/>
    <w:rsid w:val="005C3DF3"/>
    <w:rsid w:val="005C5501"/>
    <w:rsid w:val="005C7AFE"/>
    <w:rsid w:val="005D01B4"/>
    <w:rsid w:val="005D10B3"/>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1B0"/>
    <w:rsid w:val="005F4D3D"/>
    <w:rsid w:val="005F5B10"/>
    <w:rsid w:val="005F6CAB"/>
    <w:rsid w:val="0060244C"/>
    <w:rsid w:val="006044C4"/>
    <w:rsid w:val="00605001"/>
    <w:rsid w:val="00610A95"/>
    <w:rsid w:val="0061203C"/>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68ED"/>
    <w:rsid w:val="00650CFB"/>
    <w:rsid w:val="006512F6"/>
    <w:rsid w:val="006535FA"/>
    <w:rsid w:val="00653A9F"/>
    <w:rsid w:val="00653B0F"/>
    <w:rsid w:val="0065443A"/>
    <w:rsid w:val="0065599C"/>
    <w:rsid w:val="006609B3"/>
    <w:rsid w:val="00660E52"/>
    <w:rsid w:val="0066148E"/>
    <w:rsid w:val="00661B3F"/>
    <w:rsid w:val="00661DF2"/>
    <w:rsid w:val="006625F9"/>
    <w:rsid w:val="00662714"/>
    <w:rsid w:val="00663A37"/>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C90"/>
    <w:rsid w:val="00701374"/>
    <w:rsid w:val="00701F34"/>
    <w:rsid w:val="00701F61"/>
    <w:rsid w:val="00703191"/>
    <w:rsid w:val="007031A2"/>
    <w:rsid w:val="0070417A"/>
    <w:rsid w:val="00704693"/>
    <w:rsid w:val="00704AB9"/>
    <w:rsid w:val="00704ADC"/>
    <w:rsid w:val="00704E9C"/>
    <w:rsid w:val="007054D8"/>
    <w:rsid w:val="00706D47"/>
    <w:rsid w:val="00707440"/>
    <w:rsid w:val="00711EE2"/>
    <w:rsid w:val="007130DA"/>
    <w:rsid w:val="00713DD5"/>
    <w:rsid w:val="00715F69"/>
    <w:rsid w:val="0071601C"/>
    <w:rsid w:val="00720D8F"/>
    <w:rsid w:val="00720EA4"/>
    <w:rsid w:val="0072149D"/>
    <w:rsid w:val="007214D9"/>
    <w:rsid w:val="00722BCF"/>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DFE"/>
    <w:rsid w:val="007410C2"/>
    <w:rsid w:val="007411F0"/>
    <w:rsid w:val="0074208A"/>
    <w:rsid w:val="00742CA1"/>
    <w:rsid w:val="0074470E"/>
    <w:rsid w:val="0074687E"/>
    <w:rsid w:val="00746DD6"/>
    <w:rsid w:val="00746E60"/>
    <w:rsid w:val="00746FA8"/>
    <w:rsid w:val="007479B5"/>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90F10"/>
    <w:rsid w:val="00791490"/>
    <w:rsid w:val="00791C7A"/>
    <w:rsid w:val="00791D59"/>
    <w:rsid w:val="00791E10"/>
    <w:rsid w:val="00792D4C"/>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6355"/>
    <w:rsid w:val="007A7CA2"/>
    <w:rsid w:val="007B095F"/>
    <w:rsid w:val="007B28B8"/>
    <w:rsid w:val="007B28CF"/>
    <w:rsid w:val="007B346F"/>
    <w:rsid w:val="007B4416"/>
    <w:rsid w:val="007B46BF"/>
    <w:rsid w:val="007B6226"/>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3762"/>
    <w:rsid w:val="00816C5A"/>
    <w:rsid w:val="00817678"/>
    <w:rsid w:val="0082049D"/>
    <w:rsid w:val="008210EE"/>
    <w:rsid w:val="008217BC"/>
    <w:rsid w:val="00822BA1"/>
    <w:rsid w:val="00822CEA"/>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8D5"/>
    <w:rsid w:val="008A3E6F"/>
    <w:rsid w:val="008A5787"/>
    <w:rsid w:val="008A6DA7"/>
    <w:rsid w:val="008A7AD7"/>
    <w:rsid w:val="008A7BD4"/>
    <w:rsid w:val="008A7EF2"/>
    <w:rsid w:val="008B0DFB"/>
    <w:rsid w:val="008B1389"/>
    <w:rsid w:val="008B1E60"/>
    <w:rsid w:val="008B3DD0"/>
    <w:rsid w:val="008B646D"/>
    <w:rsid w:val="008B664E"/>
    <w:rsid w:val="008B6842"/>
    <w:rsid w:val="008B6ADF"/>
    <w:rsid w:val="008B70C4"/>
    <w:rsid w:val="008B7F11"/>
    <w:rsid w:val="008C12FF"/>
    <w:rsid w:val="008C18C1"/>
    <w:rsid w:val="008C3DC2"/>
    <w:rsid w:val="008C442E"/>
    <w:rsid w:val="008C4943"/>
    <w:rsid w:val="008C499F"/>
    <w:rsid w:val="008C5658"/>
    <w:rsid w:val="008C5DCA"/>
    <w:rsid w:val="008C5F89"/>
    <w:rsid w:val="008C794F"/>
    <w:rsid w:val="008D019B"/>
    <w:rsid w:val="008D0ADE"/>
    <w:rsid w:val="008D344B"/>
    <w:rsid w:val="008D346A"/>
    <w:rsid w:val="008D370B"/>
    <w:rsid w:val="008D3EB9"/>
    <w:rsid w:val="008D41FC"/>
    <w:rsid w:val="008D4E9A"/>
    <w:rsid w:val="008D4ED9"/>
    <w:rsid w:val="008D6B04"/>
    <w:rsid w:val="008E2654"/>
    <w:rsid w:val="008F0926"/>
    <w:rsid w:val="008F1C22"/>
    <w:rsid w:val="008F2212"/>
    <w:rsid w:val="008F2554"/>
    <w:rsid w:val="008F408C"/>
    <w:rsid w:val="008F47DC"/>
    <w:rsid w:val="008F66C1"/>
    <w:rsid w:val="008F72E9"/>
    <w:rsid w:val="00901964"/>
    <w:rsid w:val="009025FB"/>
    <w:rsid w:val="009029DB"/>
    <w:rsid w:val="00902BAC"/>
    <w:rsid w:val="009038A8"/>
    <w:rsid w:val="009049EA"/>
    <w:rsid w:val="0090753F"/>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877"/>
    <w:rsid w:val="00935439"/>
    <w:rsid w:val="009357D5"/>
    <w:rsid w:val="00935CD9"/>
    <w:rsid w:val="0093768D"/>
    <w:rsid w:val="0093790F"/>
    <w:rsid w:val="00940F14"/>
    <w:rsid w:val="00941D0E"/>
    <w:rsid w:val="00942B41"/>
    <w:rsid w:val="009453A6"/>
    <w:rsid w:val="009464A3"/>
    <w:rsid w:val="00946522"/>
    <w:rsid w:val="00946796"/>
    <w:rsid w:val="00946A00"/>
    <w:rsid w:val="00947004"/>
    <w:rsid w:val="009472C7"/>
    <w:rsid w:val="00947B97"/>
    <w:rsid w:val="0095183B"/>
    <w:rsid w:val="0095204C"/>
    <w:rsid w:val="009520FE"/>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5F3"/>
    <w:rsid w:val="009845FD"/>
    <w:rsid w:val="0098663B"/>
    <w:rsid w:val="00986714"/>
    <w:rsid w:val="0098719E"/>
    <w:rsid w:val="0098722A"/>
    <w:rsid w:val="00990935"/>
    <w:rsid w:val="00990AFD"/>
    <w:rsid w:val="00991069"/>
    <w:rsid w:val="00992689"/>
    <w:rsid w:val="0099397C"/>
    <w:rsid w:val="0099458D"/>
    <w:rsid w:val="00996257"/>
    <w:rsid w:val="00996BCA"/>
    <w:rsid w:val="0099716F"/>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426E"/>
    <w:rsid w:val="009E439C"/>
    <w:rsid w:val="009E4CD1"/>
    <w:rsid w:val="009E6108"/>
    <w:rsid w:val="009E620D"/>
    <w:rsid w:val="009E7A1C"/>
    <w:rsid w:val="009E7F49"/>
    <w:rsid w:val="009F0B98"/>
    <w:rsid w:val="009F0BC2"/>
    <w:rsid w:val="009F1C46"/>
    <w:rsid w:val="009F206B"/>
    <w:rsid w:val="009F2079"/>
    <w:rsid w:val="009F3E42"/>
    <w:rsid w:val="009F4BE1"/>
    <w:rsid w:val="009F5C74"/>
    <w:rsid w:val="009F663A"/>
    <w:rsid w:val="009F69B5"/>
    <w:rsid w:val="00A004D3"/>
    <w:rsid w:val="00A0091D"/>
    <w:rsid w:val="00A015DE"/>
    <w:rsid w:val="00A04BF9"/>
    <w:rsid w:val="00A04D00"/>
    <w:rsid w:val="00A05378"/>
    <w:rsid w:val="00A078D0"/>
    <w:rsid w:val="00A07CA6"/>
    <w:rsid w:val="00A07FBC"/>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3EF9"/>
    <w:rsid w:val="00A742B4"/>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359A"/>
    <w:rsid w:val="00AE5D09"/>
    <w:rsid w:val="00AE665A"/>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9BA"/>
    <w:rsid w:val="00B35F3E"/>
    <w:rsid w:val="00B37176"/>
    <w:rsid w:val="00B373AA"/>
    <w:rsid w:val="00B37A2E"/>
    <w:rsid w:val="00B40823"/>
    <w:rsid w:val="00B40DF9"/>
    <w:rsid w:val="00B42083"/>
    <w:rsid w:val="00B421E1"/>
    <w:rsid w:val="00B429AB"/>
    <w:rsid w:val="00B43455"/>
    <w:rsid w:val="00B435F8"/>
    <w:rsid w:val="00B43948"/>
    <w:rsid w:val="00B45313"/>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4A8A"/>
    <w:rsid w:val="00B8745B"/>
    <w:rsid w:val="00B8769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277B"/>
    <w:rsid w:val="00BB3867"/>
    <w:rsid w:val="00BB4B5A"/>
    <w:rsid w:val="00BB5301"/>
    <w:rsid w:val="00BB57E8"/>
    <w:rsid w:val="00BB5A93"/>
    <w:rsid w:val="00BB7349"/>
    <w:rsid w:val="00BB73B0"/>
    <w:rsid w:val="00BB7A73"/>
    <w:rsid w:val="00BC0196"/>
    <w:rsid w:val="00BC0367"/>
    <w:rsid w:val="00BC0772"/>
    <w:rsid w:val="00BC2170"/>
    <w:rsid w:val="00BC219A"/>
    <w:rsid w:val="00BC38C1"/>
    <w:rsid w:val="00BC42A8"/>
    <w:rsid w:val="00BC4879"/>
    <w:rsid w:val="00BC66EE"/>
    <w:rsid w:val="00BC69F2"/>
    <w:rsid w:val="00BC7FFB"/>
    <w:rsid w:val="00BD034D"/>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5398"/>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2B07"/>
    <w:rsid w:val="00C43810"/>
    <w:rsid w:val="00C439F1"/>
    <w:rsid w:val="00C44517"/>
    <w:rsid w:val="00C44907"/>
    <w:rsid w:val="00C45035"/>
    <w:rsid w:val="00C456AF"/>
    <w:rsid w:val="00C514A9"/>
    <w:rsid w:val="00C51D13"/>
    <w:rsid w:val="00C536D2"/>
    <w:rsid w:val="00C54090"/>
    <w:rsid w:val="00C54558"/>
    <w:rsid w:val="00C558A4"/>
    <w:rsid w:val="00C559CD"/>
    <w:rsid w:val="00C560FA"/>
    <w:rsid w:val="00C5688E"/>
    <w:rsid w:val="00C57E04"/>
    <w:rsid w:val="00C61FEC"/>
    <w:rsid w:val="00C6288E"/>
    <w:rsid w:val="00C62B4F"/>
    <w:rsid w:val="00C65309"/>
    <w:rsid w:val="00C6557C"/>
    <w:rsid w:val="00C65918"/>
    <w:rsid w:val="00C659F8"/>
    <w:rsid w:val="00C65FA7"/>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742E"/>
    <w:rsid w:val="00C90FC8"/>
    <w:rsid w:val="00C91329"/>
    <w:rsid w:val="00C9443B"/>
    <w:rsid w:val="00C96E34"/>
    <w:rsid w:val="00C9717B"/>
    <w:rsid w:val="00C97586"/>
    <w:rsid w:val="00C97EB1"/>
    <w:rsid w:val="00C97F09"/>
    <w:rsid w:val="00CA0566"/>
    <w:rsid w:val="00CA1AD6"/>
    <w:rsid w:val="00CA2BF3"/>
    <w:rsid w:val="00CA2D1F"/>
    <w:rsid w:val="00CA39B7"/>
    <w:rsid w:val="00CA3C71"/>
    <w:rsid w:val="00CA40CE"/>
    <w:rsid w:val="00CA5AF6"/>
    <w:rsid w:val="00CB1389"/>
    <w:rsid w:val="00CB2149"/>
    <w:rsid w:val="00CB2159"/>
    <w:rsid w:val="00CB3163"/>
    <w:rsid w:val="00CB4BBD"/>
    <w:rsid w:val="00CB4C86"/>
    <w:rsid w:val="00CB55B6"/>
    <w:rsid w:val="00CB5B7B"/>
    <w:rsid w:val="00CB6418"/>
    <w:rsid w:val="00CC05DF"/>
    <w:rsid w:val="00CC0C48"/>
    <w:rsid w:val="00CC36B6"/>
    <w:rsid w:val="00CC3DCA"/>
    <w:rsid w:val="00CC4C84"/>
    <w:rsid w:val="00CC4F1E"/>
    <w:rsid w:val="00CC5FBE"/>
    <w:rsid w:val="00CC6BC0"/>
    <w:rsid w:val="00CC6FFC"/>
    <w:rsid w:val="00CC7706"/>
    <w:rsid w:val="00CD09F1"/>
    <w:rsid w:val="00CD19A8"/>
    <w:rsid w:val="00CD19DB"/>
    <w:rsid w:val="00CD30FC"/>
    <w:rsid w:val="00CD39A2"/>
    <w:rsid w:val="00CD4B87"/>
    <w:rsid w:val="00CD4EE3"/>
    <w:rsid w:val="00CD55DB"/>
    <w:rsid w:val="00CD63AD"/>
    <w:rsid w:val="00CE0761"/>
    <w:rsid w:val="00CE12DE"/>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846"/>
    <w:rsid w:val="00D15A3D"/>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142C"/>
    <w:rsid w:val="00D6189E"/>
    <w:rsid w:val="00D61E4F"/>
    <w:rsid w:val="00D62E71"/>
    <w:rsid w:val="00D637A2"/>
    <w:rsid w:val="00D65159"/>
    <w:rsid w:val="00D65C56"/>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79CF"/>
    <w:rsid w:val="00DA0B8F"/>
    <w:rsid w:val="00DA1F2A"/>
    <w:rsid w:val="00DA432C"/>
    <w:rsid w:val="00DA4387"/>
    <w:rsid w:val="00DA4518"/>
    <w:rsid w:val="00DA7E58"/>
    <w:rsid w:val="00DB08A2"/>
    <w:rsid w:val="00DB0D6D"/>
    <w:rsid w:val="00DB1035"/>
    <w:rsid w:val="00DB1F84"/>
    <w:rsid w:val="00DB3C79"/>
    <w:rsid w:val="00DB44A1"/>
    <w:rsid w:val="00DB46A3"/>
    <w:rsid w:val="00DB5CD7"/>
    <w:rsid w:val="00DB5DB4"/>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060"/>
    <w:rsid w:val="00DD3144"/>
    <w:rsid w:val="00DD68C2"/>
    <w:rsid w:val="00DD7FD2"/>
    <w:rsid w:val="00DE0E0F"/>
    <w:rsid w:val="00DE0F3E"/>
    <w:rsid w:val="00DE1DEE"/>
    <w:rsid w:val="00DE3048"/>
    <w:rsid w:val="00DE3218"/>
    <w:rsid w:val="00DE33F9"/>
    <w:rsid w:val="00DF01C0"/>
    <w:rsid w:val="00DF06C4"/>
    <w:rsid w:val="00DF0BD1"/>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5C"/>
    <w:rsid w:val="00E34A4E"/>
    <w:rsid w:val="00E35837"/>
    <w:rsid w:val="00E3699D"/>
    <w:rsid w:val="00E36B19"/>
    <w:rsid w:val="00E41D0D"/>
    <w:rsid w:val="00E45F63"/>
    <w:rsid w:val="00E46685"/>
    <w:rsid w:val="00E47D6C"/>
    <w:rsid w:val="00E507BE"/>
    <w:rsid w:val="00E50A06"/>
    <w:rsid w:val="00E51D63"/>
    <w:rsid w:val="00E52089"/>
    <w:rsid w:val="00E5265D"/>
    <w:rsid w:val="00E546D8"/>
    <w:rsid w:val="00E55C26"/>
    <w:rsid w:val="00E55EA0"/>
    <w:rsid w:val="00E55EDB"/>
    <w:rsid w:val="00E5775F"/>
    <w:rsid w:val="00E600CD"/>
    <w:rsid w:val="00E6032A"/>
    <w:rsid w:val="00E62A90"/>
    <w:rsid w:val="00E62EF4"/>
    <w:rsid w:val="00E64284"/>
    <w:rsid w:val="00E65521"/>
    <w:rsid w:val="00E6737E"/>
    <w:rsid w:val="00E67455"/>
    <w:rsid w:val="00E701AC"/>
    <w:rsid w:val="00E719E2"/>
    <w:rsid w:val="00E730F3"/>
    <w:rsid w:val="00E73660"/>
    <w:rsid w:val="00E73E43"/>
    <w:rsid w:val="00E75115"/>
    <w:rsid w:val="00E75386"/>
    <w:rsid w:val="00E758A1"/>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2106"/>
    <w:rsid w:val="00E92204"/>
    <w:rsid w:val="00E93AE1"/>
    <w:rsid w:val="00E93F35"/>
    <w:rsid w:val="00E9581A"/>
    <w:rsid w:val="00E95FAE"/>
    <w:rsid w:val="00E96F04"/>
    <w:rsid w:val="00E97F10"/>
    <w:rsid w:val="00EA3875"/>
    <w:rsid w:val="00EA4C1F"/>
    <w:rsid w:val="00EA5B2B"/>
    <w:rsid w:val="00EA7EA7"/>
    <w:rsid w:val="00EB0AFA"/>
    <w:rsid w:val="00EB1AEF"/>
    <w:rsid w:val="00EB1DED"/>
    <w:rsid w:val="00EB217D"/>
    <w:rsid w:val="00EB2BE8"/>
    <w:rsid w:val="00EB3FD5"/>
    <w:rsid w:val="00EB4897"/>
    <w:rsid w:val="00EB5F05"/>
    <w:rsid w:val="00EB6155"/>
    <w:rsid w:val="00EB65D1"/>
    <w:rsid w:val="00EC0642"/>
    <w:rsid w:val="00EC06A5"/>
    <w:rsid w:val="00EC0B7B"/>
    <w:rsid w:val="00EC1362"/>
    <w:rsid w:val="00EC1761"/>
    <w:rsid w:val="00EC238F"/>
    <w:rsid w:val="00EC291E"/>
    <w:rsid w:val="00EC2EEA"/>
    <w:rsid w:val="00EC330F"/>
    <w:rsid w:val="00EC3519"/>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72B"/>
    <w:rsid w:val="00F02D93"/>
    <w:rsid w:val="00F039E2"/>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D3"/>
    <w:rsid w:val="00F610C8"/>
    <w:rsid w:val="00F62371"/>
    <w:rsid w:val="00F63021"/>
    <w:rsid w:val="00F63239"/>
    <w:rsid w:val="00F656E5"/>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7EF"/>
    <w:rsid w:val="00F97115"/>
    <w:rsid w:val="00F97289"/>
    <w:rsid w:val="00F97B3C"/>
    <w:rsid w:val="00F97DE7"/>
    <w:rsid w:val="00FA00A8"/>
    <w:rsid w:val="00FA1F4B"/>
    <w:rsid w:val="00FA27A4"/>
    <w:rsid w:val="00FA3644"/>
    <w:rsid w:val="00FA44C8"/>
    <w:rsid w:val="00FA4A6C"/>
    <w:rsid w:val="00FA4CAD"/>
    <w:rsid w:val="00FA4DC7"/>
    <w:rsid w:val="00FA5D15"/>
    <w:rsid w:val="00FA7190"/>
    <w:rsid w:val="00FB053B"/>
    <w:rsid w:val="00FB1D4C"/>
    <w:rsid w:val="00FB35CF"/>
    <w:rsid w:val="00FB4E64"/>
    <w:rsid w:val="00FB61F5"/>
    <w:rsid w:val="00FB6398"/>
    <w:rsid w:val="00FB654B"/>
    <w:rsid w:val="00FC16AB"/>
    <w:rsid w:val="00FC1A6C"/>
    <w:rsid w:val="00FC3FBD"/>
    <w:rsid w:val="00FC4BF1"/>
    <w:rsid w:val="00FC54A4"/>
    <w:rsid w:val="00FC5CDF"/>
    <w:rsid w:val="00FC71C7"/>
    <w:rsid w:val="00FD0A58"/>
    <w:rsid w:val="00FD160B"/>
    <w:rsid w:val="00FD19B7"/>
    <w:rsid w:val="00FD1AE2"/>
    <w:rsid w:val="00FD20F4"/>
    <w:rsid w:val="00FD39C9"/>
    <w:rsid w:val="00FD3CDC"/>
    <w:rsid w:val="00FD3FD2"/>
    <w:rsid w:val="00FD4378"/>
    <w:rsid w:val="00FD51DA"/>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13514845"/>
    <w:rsid w:val="3098B94B"/>
    <w:rsid w:val="32A7C440"/>
    <w:rsid w:val="455F3573"/>
    <w:rsid w:val="4DD9124E"/>
    <w:rsid w:val="51B6DF6F"/>
    <w:rsid w:val="7B4D6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10"/>
      </w:numPr>
    </w:pPr>
  </w:style>
  <w:style w:type="numbering" w:customStyle="1" w:styleId="Listaactual10">
    <w:name w:val="Lista actual10"/>
    <w:uiPriority w:val="99"/>
    <w:rsid w:val="00081FBA"/>
    <w:pPr>
      <w:numPr>
        <w:numId w:val="11"/>
      </w:numPr>
    </w:pPr>
  </w:style>
  <w:style w:type="numbering" w:customStyle="1" w:styleId="Listaactual11">
    <w:name w:val="Lista actual11"/>
    <w:uiPriority w:val="99"/>
    <w:rsid w:val="00D175DF"/>
    <w:pPr>
      <w:numPr>
        <w:numId w:val="12"/>
      </w:numPr>
    </w:pPr>
  </w:style>
  <w:style w:type="numbering" w:customStyle="1" w:styleId="Listaactual12">
    <w:name w:val="Lista actual12"/>
    <w:uiPriority w:val="99"/>
    <w:rsid w:val="00D175DF"/>
    <w:pPr>
      <w:numPr>
        <w:numId w:val="13"/>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4"/>
      </w:numPr>
    </w:pPr>
  </w:style>
  <w:style w:type="numbering" w:customStyle="1" w:styleId="Listaactual14">
    <w:name w:val="Lista actual14"/>
    <w:uiPriority w:val="99"/>
    <w:rsid w:val="00E00478"/>
    <w:pPr>
      <w:numPr>
        <w:numId w:val="15"/>
      </w:numPr>
    </w:pPr>
  </w:style>
  <w:style w:type="numbering" w:customStyle="1" w:styleId="Listaactual15">
    <w:name w:val="Lista actual15"/>
    <w:uiPriority w:val="99"/>
    <w:rsid w:val="00E00478"/>
    <w:pPr>
      <w:numPr>
        <w:numId w:val="16"/>
      </w:numPr>
    </w:pPr>
  </w:style>
  <w:style w:type="numbering" w:customStyle="1" w:styleId="Listaactual16">
    <w:name w:val="Lista actual16"/>
    <w:uiPriority w:val="99"/>
    <w:rsid w:val="00E00478"/>
    <w:pPr>
      <w:numPr>
        <w:numId w:val="17"/>
      </w:numPr>
    </w:pPr>
  </w:style>
  <w:style w:type="numbering" w:customStyle="1" w:styleId="Listaactual17">
    <w:name w:val="Lista actual17"/>
    <w:uiPriority w:val="99"/>
    <w:rsid w:val="00E00478"/>
    <w:pPr>
      <w:numPr>
        <w:numId w:val="18"/>
      </w:numPr>
    </w:pPr>
  </w:style>
  <w:style w:type="numbering" w:customStyle="1" w:styleId="Listaactual18">
    <w:name w:val="Lista actual18"/>
    <w:uiPriority w:val="99"/>
    <w:rsid w:val="00E00478"/>
    <w:pPr>
      <w:numPr>
        <w:numId w:val="19"/>
      </w:numPr>
    </w:pPr>
  </w:style>
  <w:style w:type="numbering" w:customStyle="1" w:styleId="Listaactual19">
    <w:name w:val="Lista actual19"/>
    <w:uiPriority w:val="99"/>
    <w:rsid w:val="00E00478"/>
    <w:pPr>
      <w:numPr>
        <w:numId w:val="20"/>
      </w:numPr>
    </w:pPr>
  </w:style>
  <w:style w:type="numbering" w:customStyle="1" w:styleId="Listaactual20">
    <w:name w:val="Lista actual20"/>
    <w:uiPriority w:val="99"/>
    <w:rsid w:val="00E00478"/>
    <w:pPr>
      <w:numPr>
        <w:numId w:val="21"/>
      </w:numPr>
    </w:pPr>
  </w:style>
  <w:style w:type="numbering" w:customStyle="1" w:styleId="Listaactual21">
    <w:name w:val="Lista actual21"/>
    <w:uiPriority w:val="99"/>
    <w:rsid w:val="002B14A2"/>
    <w:pPr>
      <w:numPr>
        <w:numId w:val="22"/>
      </w:numPr>
    </w:pPr>
  </w:style>
  <w:style w:type="numbering" w:customStyle="1" w:styleId="Listaactual22">
    <w:name w:val="Lista actual22"/>
    <w:uiPriority w:val="99"/>
    <w:rsid w:val="007D6BD4"/>
    <w:pPr>
      <w:numPr>
        <w:numId w:val="23"/>
      </w:numPr>
    </w:pPr>
  </w:style>
  <w:style w:type="numbering" w:customStyle="1" w:styleId="Listaactual23">
    <w:name w:val="Lista actual23"/>
    <w:uiPriority w:val="99"/>
    <w:rsid w:val="009628DF"/>
    <w:pPr>
      <w:numPr>
        <w:numId w:val="24"/>
      </w:numPr>
    </w:pPr>
  </w:style>
  <w:style w:type="numbering" w:customStyle="1" w:styleId="Listaactual24">
    <w:name w:val="Lista actual24"/>
    <w:uiPriority w:val="99"/>
    <w:rsid w:val="009628DF"/>
    <w:pPr>
      <w:numPr>
        <w:numId w:val="25"/>
      </w:numPr>
    </w:pPr>
  </w:style>
  <w:style w:type="numbering" w:customStyle="1" w:styleId="Listaactual25">
    <w:name w:val="Lista actual25"/>
    <w:uiPriority w:val="99"/>
    <w:rsid w:val="0099716F"/>
    <w:pPr>
      <w:numPr>
        <w:numId w:val="26"/>
      </w:numPr>
    </w:pPr>
  </w:style>
  <w:style w:type="numbering" w:customStyle="1" w:styleId="Listaactual26">
    <w:name w:val="Lista actual26"/>
    <w:uiPriority w:val="99"/>
    <w:rsid w:val="00854FC0"/>
    <w:pPr>
      <w:numPr>
        <w:numId w:val="27"/>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38"/>
      </w:numPr>
    </w:pPr>
  </w:style>
  <w:style w:type="numbering" w:customStyle="1" w:styleId="Listaactual28">
    <w:name w:val="Lista actual28"/>
    <w:uiPriority w:val="99"/>
    <w:rsid w:val="00116A5A"/>
    <w:pPr>
      <w:numPr>
        <w:numId w:val="40"/>
      </w:numPr>
    </w:pPr>
  </w:style>
  <w:style w:type="numbering" w:customStyle="1" w:styleId="Listaactual29">
    <w:name w:val="Lista actual29"/>
    <w:uiPriority w:val="99"/>
    <w:rsid w:val="00116A5A"/>
    <w:pPr>
      <w:numPr>
        <w:numId w:val="42"/>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44"/>
      </w:numPr>
    </w:pPr>
  </w:style>
  <w:style w:type="numbering" w:customStyle="1" w:styleId="Listaactual31">
    <w:name w:val="Lista actual31"/>
    <w:uiPriority w:val="99"/>
    <w:rsid w:val="003F247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35080-73C5-407B-90D1-7F21BD4B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5859</Words>
  <Characters>32230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349</cp:revision>
  <cp:lastPrinted>2025-06-06T16:56:00Z</cp:lastPrinted>
  <dcterms:created xsi:type="dcterms:W3CDTF">2024-07-15T20:33:00Z</dcterms:created>
  <dcterms:modified xsi:type="dcterms:W3CDTF">2025-06-25T15:15:00Z</dcterms:modified>
</cp:coreProperties>
</file>