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97CFA" w14:textId="49AA2750" w:rsidR="00BE4215" w:rsidRPr="00B34A68" w:rsidRDefault="00BE4215" w:rsidP="00747C38">
      <w:pPr>
        <w:shd w:val="clear" w:color="auto" w:fill="FFFFFF"/>
        <w:spacing w:after="0" w:line="360" w:lineRule="auto"/>
        <w:jc w:val="both"/>
        <w:rPr>
          <w:rFonts w:ascii="Palatino Linotype" w:eastAsia="Times New Roman" w:hAnsi="Palatino Linotype" w:cs="Arial"/>
          <w:sz w:val="24"/>
          <w:szCs w:val="24"/>
          <w:lang w:eastAsia="es-MX"/>
        </w:rPr>
      </w:pPr>
      <w:r w:rsidRPr="00B34A68">
        <w:rPr>
          <w:rFonts w:ascii="Palatino Linotype" w:eastAsia="Times New Roman" w:hAnsi="Palatino Linotype" w:cs="Arial"/>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A630FA">
        <w:rPr>
          <w:rFonts w:ascii="Palatino Linotype" w:eastAsia="Times New Roman" w:hAnsi="Palatino Linotype" w:cs="Arial"/>
          <w:sz w:val="24"/>
          <w:szCs w:val="24"/>
          <w:lang w:eastAsia="es-MX"/>
        </w:rPr>
        <w:t xml:space="preserve">veintidós </w:t>
      </w:r>
      <w:r w:rsidRPr="00B34A68">
        <w:rPr>
          <w:rFonts w:ascii="Palatino Linotype" w:eastAsia="Times New Roman" w:hAnsi="Palatino Linotype" w:cs="Arial"/>
          <w:sz w:val="24"/>
          <w:szCs w:val="24"/>
          <w:lang w:eastAsia="es-MX"/>
        </w:rPr>
        <w:t xml:space="preserve">de </w:t>
      </w:r>
      <w:r w:rsidR="009C46A6">
        <w:rPr>
          <w:rFonts w:ascii="Palatino Linotype" w:eastAsia="Times New Roman" w:hAnsi="Palatino Linotype" w:cs="Arial"/>
          <w:sz w:val="24"/>
          <w:szCs w:val="24"/>
          <w:lang w:eastAsia="es-MX"/>
        </w:rPr>
        <w:t>enero</w:t>
      </w:r>
      <w:r w:rsidRPr="00B34A68">
        <w:rPr>
          <w:rFonts w:ascii="Palatino Linotype" w:eastAsia="Times New Roman" w:hAnsi="Palatino Linotype" w:cs="Arial"/>
          <w:sz w:val="24"/>
          <w:szCs w:val="24"/>
          <w:lang w:eastAsia="es-MX"/>
        </w:rPr>
        <w:t xml:space="preserve"> de dos mil veintic</w:t>
      </w:r>
      <w:r w:rsidR="009C46A6">
        <w:rPr>
          <w:rFonts w:ascii="Palatino Linotype" w:eastAsia="Times New Roman" w:hAnsi="Palatino Linotype" w:cs="Arial"/>
          <w:sz w:val="24"/>
          <w:szCs w:val="24"/>
          <w:lang w:eastAsia="es-MX"/>
        </w:rPr>
        <w:t>inco</w:t>
      </w:r>
      <w:r w:rsidRPr="00B34A68">
        <w:rPr>
          <w:rFonts w:ascii="Palatino Linotype" w:eastAsia="Times New Roman" w:hAnsi="Palatino Linotype" w:cs="Arial"/>
          <w:sz w:val="24"/>
          <w:szCs w:val="24"/>
          <w:lang w:eastAsia="es-MX"/>
        </w:rPr>
        <w:t>.</w:t>
      </w:r>
      <w:bookmarkStart w:id="0" w:name="_GoBack"/>
      <w:bookmarkEnd w:id="0"/>
    </w:p>
    <w:p w14:paraId="272C76F6" w14:textId="77777777" w:rsidR="00BE4215" w:rsidRPr="00B34A68" w:rsidRDefault="00BE4215" w:rsidP="00747C38">
      <w:pPr>
        <w:shd w:val="clear" w:color="auto" w:fill="FFFFFF"/>
        <w:spacing w:after="0" w:line="360" w:lineRule="auto"/>
        <w:jc w:val="both"/>
        <w:rPr>
          <w:rFonts w:ascii="Palatino Linotype" w:eastAsia="Times New Roman" w:hAnsi="Palatino Linotype" w:cs="Arial"/>
          <w:sz w:val="24"/>
          <w:szCs w:val="24"/>
          <w:lang w:eastAsia="es-MX"/>
        </w:rPr>
      </w:pPr>
    </w:p>
    <w:p w14:paraId="6FDC83AC" w14:textId="448B0388" w:rsidR="00BE4215" w:rsidRPr="00B34A68" w:rsidRDefault="00BE4215" w:rsidP="00747C38">
      <w:pPr>
        <w:tabs>
          <w:tab w:val="left" w:pos="1701"/>
        </w:tabs>
        <w:spacing w:after="0" w:line="360" w:lineRule="auto"/>
        <w:jc w:val="both"/>
        <w:rPr>
          <w:rFonts w:ascii="Palatino Linotype" w:hAnsi="Palatino Linotype" w:cs="Arial"/>
          <w:b/>
          <w:sz w:val="24"/>
          <w:szCs w:val="24"/>
        </w:rPr>
      </w:pPr>
      <w:r w:rsidRPr="00B34A68">
        <w:rPr>
          <w:rFonts w:ascii="Palatino Linotype" w:hAnsi="Palatino Linotype" w:cs="Arial"/>
          <w:b/>
          <w:sz w:val="24"/>
          <w:szCs w:val="24"/>
        </w:rPr>
        <w:t>VISTO</w:t>
      </w:r>
      <w:r w:rsidRPr="00B34A68">
        <w:rPr>
          <w:rFonts w:ascii="Palatino Linotype" w:hAnsi="Palatino Linotype" w:cs="Arial"/>
          <w:sz w:val="24"/>
          <w:szCs w:val="24"/>
        </w:rPr>
        <w:t xml:space="preserve"> el expediente electrónico formado con motivo del recurso de revisión con número </w:t>
      </w:r>
      <w:r w:rsidR="009C46A6">
        <w:rPr>
          <w:rFonts w:ascii="Palatino Linotype" w:hAnsi="Palatino Linotype" w:cs="Arial"/>
          <w:b/>
          <w:bCs/>
          <w:sz w:val="24"/>
          <w:szCs w:val="24"/>
          <w:lang w:eastAsia="es-MX"/>
        </w:rPr>
        <w:t>07445/INFOEM/IP/RR/2024</w:t>
      </w:r>
      <w:r w:rsidRPr="00B34A68">
        <w:rPr>
          <w:rFonts w:ascii="Palatino Linotype" w:hAnsi="Palatino Linotype" w:cs="Arial"/>
          <w:sz w:val="24"/>
          <w:szCs w:val="24"/>
        </w:rPr>
        <w:t xml:space="preserve">, </w:t>
      </w:r>
      <w:r w:rsidRPr="00B34A68">
        <w:rPr>
          <w:rFonts w:ascii="Palatino Linotype" w:eastAsia="Palatino Linotype" w:hAnsi="Palatino Linotype" w:cs="Palatino Linotype"/>
          <w:sz w:val="24"/>
          <w:szCs w:val="24"/>
        </w:rPr>
        <w:t xml:space="preserve">promovido por </w:t>
      </w:r>
      <w:r w:rsidR="00A652D4">
        <w:rPr>
          <w:rFonts w:ascii="Palatino Linotype" w:eastAsia="Palatino Linotype" w:hAnsi="Palatino Linotype" w:cs="Palatino Linotype"/>
          <w:b/>
          <w:bCs/>
          <w:sz w:val="24"/>
          <w:szCs w:val="24"/>
        </w:rPr>
        <w:t>XXXXXXXXXXXXX</w:t>
      </w:r>
      <w:r w:rsidR="009C46A6" w:rsidRPr="009C46A6">
        <w:rPr>
          <w:rFonts w:ascii="Palatino Linotype" w:eastAsia="Palatino Linotype" w:hAnsi="Palatino Linotype" w:cs="Palatino Linotype"/>
          <w:b/>
          <w:bCs/>
          <w:sz w:val="24"/>
          <w:szCs w:val="24"/>
        </w:rPr>
        <w:t xml:space="preserve"> </w:t>
      </w:r>
      <w:r w:rsidR="00A652D4">
        <w:rPr>
          <w:rFonts w:ascii="Palatino Linotype" w:eastAsia="Palatino Linotype" w:hAnsi="Palatino Linotype" w:cs="Palatino Linotype"/>
          <w:b/>
          <w:bCs/>
          <w:sz w:val="24"/>
          <w:szCs w:val="24"/>
        </w:rPr>
        <w:t>XXXXXXXXXXXXXXXXX</w:t>
      </w:r>
      <w:r w:rsidRPr="00B34A68">
        <w:rPr>
          <w:rFonts w:ascii="Palatino Linotype" w:eastAsia="Palatino Linotype" w:hAnsi="Palatino Linotype" w:cs="Palatino Linotype"/>
          <w:b/>
          <w:sz w:val="24"/>
          <w:szCs w:val="24"/>
        </w:rPr>
        <w:t>,</w:t>
      </w:r>
      <w:r w:rsidRPr="00B34A68">
        <w:rPr>
          <w:rFonts w:ascii="Palatino Linotype" w:hAnsi="Palatino Linotype"/>
          <w:sz w:val="24"/>
          <w:szCs w:val="24"/>
        </w:rPr>
        <w:t xml:space="preserve"> quien en lo sucesivo se le denominara como la parte </w:t>
      </w:r>
      <w:r w:rsidRPr="00B34A68">
        <w:rPr>
          <w:rFonts w:ascii="Palatino Linotype" w:hAnsi="Palatino Linotype"/>
          <w:b/>
          <w:sz w:val="24"/>
          <w:szCs w:val="24"/>
        </w:rPr>
        <w:t>Recurrente</w:t>
      </w:r>
      <w:r w:rsidRPr="00B34A68">
        <w:rPr>
          <w:rFonts w:ascii="Palatino Linotype" w:hAnsi="Palatino Linotype" w:cs="Arial"/>
          <w:sz w:val="24"/>
          <w:szCs w:val="24"/>
        </w:rPr>
        <w:t xml:space="preserve">, en contra de la respuesta del </w:t>
      </w:r>
      <w:r w:rsidR="009C46A6">
        <w:rPr>
          <w:rFonts w:ascii="Palatino Linotype" w:hAnsi="Palatino Linotype" w:cs="Arial"/>
          <w:b/>
          <w:sz w:val="24"/>
          <w:szCs w:val="24"/>
        </w:rPr>
        <w:t>Ayuntamiento de Temoaya</w:t>
      </w:r>
      <w:r w:rsidRPr="00B34A68">
        <w:rPr>
          <w:rFonts w:ascii="Palatino Linotype" w:hAnsi="Palatino Linotype" w:cs="Arial"/>
          <w:b/>
          <w:sz w:val="24"/>
          <w:szCs w:val="24"/>
        </w:rPr>
        <w:t xml:space="preserve">, </w:t>
      </w:r>
      <w:r w:rsidRPr="00B34A68">
        <w:rPr>
          <w:rFonts w:ascii="Palatino Linotype" w:hAnsi="Palatino Linotype" w:cs="Arial"/>
          <w:sz w:val="24"/>
          <w:szCs w:val="24"/>
        </w:rPr>
        <w:t>en lo subsecuente</w:t>
      </w:r>
      <w:r w:rsidRPr="00B34A68">
        <w:rPr>
          <w:rFonts w:ascii="Palatino Linotype" w:hAnsi="Palatino Linotype" w:cs="Arial"/>
          <w:b/>
          <w:sz w:val="24"/>
          <w:szCs w:val="24"/>
        </w:rPr>
        <w:t xml:space="preserve"> el Sujeto Obligado, </w:t>
      </w:r>
      <w:r w:rsidRPr="00B34A68">
        <w:rPr>
          <w:rFonts w:ascii="Palatino Linotype" w:hAnsi="Palatino Linotype" w:cs="Arial"/>
          <w:sz w:val="24"/>
          <w:szCs w:val="24"/>
        </w:rPr>
        <w:t>se procede a dictar la presente resolución.</w:t>
      </w:r>
    </w:p>
    <w:p w14:paraId="79B4422F" w14:textId="77777777" w:rsidR="00BE4215" w:rsidRPr="00B34A68" w:rsidRDefault="00BE4215" w:rsidP="00747C38">
      <w:pPr>
        <w:tabs>
          <w:tab w:val="left" w:pos="6960"/>
        </w:tabs>
        <w:spacing w:after="0" w:line="360" w:lineRule="auto"/>
        <w:jc w:val="both"/>
        <w:rPr>
          <w:rFonts w:ascii="Palatino Linotype" w:hAnsi="Palatino Linotype" w:cs="Arial"/>
          <w:sz w:val="24"/>
          <w:szCs w:val="24"/>
        </w:rPr>
      </w:pPr>
    </w:p>
    <w:p w14:paraId="135C0A13" w14:textId="77777777" w:rsidR="00BE4215" w:rsidRPr="00B34A68" w:rsidRDefault="00BE4215" w:rsidP="00747C38">
      <w:pPr>
        <w:spacing w:after="0" w:line="360" w:lineRule="auto"/>
        <w:jc w:val="center"/>
        <w:rPr>
          <w:rFonts w:ascii="Palatino Linotype" w:hAnsi="Palatino Linotype" w:cs="Arial"/>
          <w:b/>
          <w:sz w:val="28"/>
          <w:szCs w:val="24"/>
        </w:rPr>
      </w:pPr>
      <w:r w:rsidRPr="00B34A68">
        <w:rPr>
          <w:rFonts w:ascii="Palatino Linotype" w:hAnsi="Palatino Linotype" w:cs="Arial"/>
          <w:b/>
          <w:sz w:val="28"/>
          <w:szCs w:val="24"/>
        </w:rPr>
        <w:t>A N T E C E D E N T E S</w:t>
      </w:r>
    </w:p>
    <w:p w14:paraId="4CFB3E43" w14:textId="77777777" w:rsidR="00BE4215" w:rsidRPr="00B34A68" w:rsidRDefault="00BE4215" w:rsidP="00747C38">
      <w:pPr>
        <w:spacing w:after="0" w:line="360" w:lineRule="auto"/>
        <w:rPr>
          <w:rFonts w:ascii="Palatino Linotype" w:hAnsi="Palatino Linotype" w:cs="Arial"/>
          <w:b/>
          <w:sz w:val="24"/>
          <w:szCs w:val="24"/>
        </w:rPr>
      </w:pPr>
    </w:p>
    <w:p w14:paraId="5D90757E" w14:textId="0657D3F0"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b/>
          <w:sz w:val="28"/>
          <w:szCs w:val="28"/>
        </w:rPr>
        <w:t xml:space="preserve">PRIMERO. </w:t>
      </w:r>
      <w:r w:rsidRPr="00B34A68">
        <w:rPr>
          <w:rFonts w:ascii="Palatino Linotype" w:hAnsi="Palatino Linotype" w:cs="Arial"/>
          <w:sz w:val="24"/>
          <w:szCs w:val="24"/>
        </w:rPr>
        <w:t xml:space="preserve">Con fecha </w:t>
      </w:r>
      <w:r w:rsidR="009C46A6">
        <w:rPr>
          <w:rFonts w:ascii="Palatino Linotype" w:hAnsi="Palatino Linotype" w:cs="Arial"/>
          <w:sz w:val="24"/>
          <w:szCs w:val="24"/>
        </w:rPr>
        <w:t xml:space="preserve">siete de noviembre </w:t>
      </w:r>
      <w:r w:rsidRPr="00B34A68">
        <w:rPr>
          <w:rFonts w:ascii="Palatino Linotype" w:hAnsi="Palatino Linotype" w:cs="Arial"/>
          <w:sz w:val="24"/>
          <w:szCs w:val="24"/>
        </w:rPr>
        <w:t>de dos mil veinticuatro, la parte</w:t>
      </w:r>
      <w:r w:rsidRPr="00B34A68">
        <w:rPr>
          <w:rFonts w:ascii="Palatino Linotype" w:hAnsi="Palatino Linotype" w:cs="Arial"/>
          <w:b/>
          <w:sz w:val="24"/>
          <w:szCs w:val="24"/>
        </w:rPr>
        <w:t xml:space="preserve"> Recurrente</w:t>
      </w:r>
      <w:r w:rsidRPr="00B34A68">
        <w:rPr>
          <w:rFonts w:ascii="Palatino Linotype" w:hAnsi="Palatino Linotype" w:cs="Arial"/>
          <w:sz w:val="24"/>
          <w:szCs w:val="24"/>
        </w:rPr>
        <w:t xml:space="preserve"> presentó a través del Sistema de Acceso a la Información Mexiquense, en lo posterior el </w:t>
      </w:r>
      <w:r w:rsidRPr="00B34A68">
        <w:rPr>
          <w:rFonts w:ascii="Palatino Linotype" w:hAnsi="Palatino Linotype" w:cs="Arial"/>
          <w:b/>
          <w:sz w:val="24"/>
          <w:szCs w:val="24"/>
        </w:rPr>
        <w:t>SAIMEX</w:t>
      </w:r>
      <w:r w:rsidRPr="00B34A68">
        <w:rPr>
          <w:rFonts w:ascii="Palatino Linotype" w:hAnsi="Palatino Linotype" w:cs="Arial"/>
          <w:sz w:val="24"/>
          <w:szCs w:val="24"/>
        </w:rPr>
        <w:t xml:space="preserve">, ante </w:t>
      </w:r>
      <w:r w:rsidRPr="00B34A68">
        <w:rPr>
          <w:rFonts w:ascii="Palatino Linotype" w:hAnsi="Palatino Linotype" w:cs="Arial"/>
          <w:b/>
          <w:sz w:val="24"/>
          <w:szCs w:val="24"/>
        </w:rPr>
        <w:t>el Sujeto Obligado</w:t>
      </w:r>
      <w:r w:rsidRPr="00B34A68">
        <w:rPr>
          <w:rFonts w:ascii="Palatino Linotype" w:hAnsi="Palatino Linotype" w:cs="Arial"/>
          <w:sz w:val="24"/>
          <w:szCs w:val="24"/>
        </w:rPr>
        <w:t>, solicitud de acceso a la información pública, la cual quedó registrada bajo el número de expedientes</w:t>
      </w:r>
      <w:r w:rsidRPr="00B34A68">
        <w:rPr>
          <w:rFonts w:ascii="Palatino Linotype" w:hAnsi="Palatino Linotype" w:cs="Arial"/>
          <w:b/>
          <w:sz w:val="24"/>
          <w:szCs w:val="24"/>
        </w:rPr>
        <w:t xml:space="preserve"> </w:t>
      </w:r>
      <w:r w:rsidR="009C46A6">
        <w:rPr>
          <w:rFonts w:ascii="Palatino Linotype" w:hAnsi="Palatino Linotype" w:cs="Arial"/>
          <w:b/>
          <w:bCs/>
          <w:sz w:val="24"/>
          <w:szCs w:val="24"/>
        </w:rPr>
        <w:t>00147/TEMOAYA/IP/2024</w:t>
      </w:r>
      <w:r w:rsidRPr="00B34A68">
        <w:rPr>
          <w:rFonts w:ascii="Palatino Linotype" w:hAnsi="Palatino Linotype" w:cs="Arial"/>
          <w:b/>
          <w:bCs/>
          <w:sz w:val="24"/>
          <w:szCs w:val="24"/>
        </w:rPr>
        <w:t xml:space="preserve">, </w:t>
      </w:r>
      <w:r w:rsidRPr="00B34A68">
        <w:rPr>
          <w:rFonts w:ascii="Palatino Linotype" w:hAnsi="Palatino Linotype" w:cs="Arial"/>
          <w:sz w:val="24"/>
          <w:szCs w:val="24"/>
        </w:rPr>
        <w:t>mediante la cual solicitó información en el tenor siguiente:</w:t>
      </w:r>
    </w:p>
    <w:p w14:paraId="09F844DC" w14:textId="77777777" w:rsidR="00BE4215" w:rsidRPr="00B34A68" w:rsidRDefault="00BE4215" w:rsidP="00747C38">
      <w:pPr>
        <w:spacing w:after="0" w:line="360" w:lineRule="auto"/>
        <w:jc w:val="both"/>
        <w:rPr>
          <w:rFonts w:ascii="Palatino Linotype" w:hAnsi="Palatino Linotype" w:cs="Arial"/>
          <w:sz w:val="24"/>
          <w:szCs w:val="24"/>
        </w:rPr>
      </w:pPr>
    </w:p>
    <w:p w14:paraId="1476567C" w14:textId="5EA7A6C0" w:rsidR="00BE4215" w:rsidRPr="00B34A68" w:rsidRDefault="00BE4215" w:rsidP="00747C38">
      <w:pPr>
        <w:spacing w:after="0" w:line="240" w:lineRule="auto"/>
        <w:ind w:left="567" w:right="567"/>
        <w:jc w:val="both"/>
        <w:rPr>
          <w:rFonts w:ascii="Palatino Linotype" w:hAnsi="Palatino Linotype" w:cs="Arial"/>
          <w:szCs w:val="24"/>
        </w:rPr>
      </w:pPr>
      <w:r w:rsidRPr="00B34A68">
        <w:rPr>
          <w:rFonts w:ascii="Palatino Linotype" w:hAnsi="Palatino Linotype" w:cs="Arial"/>
          <w:i/>
          <w:szCs w:val="24"/>
        </w:rPr>
        <w:t>“</w:t>
      </w:r>
      <w:r w:rsidR="009C46A6" w:rsidRPr="009C46A6">
        <w:rPr>
          <w:rFonts w:ascii="Palatino Linotype" w:hAnsi="Palatino Linotype" w:cs="Arial"/>
          <w:i/>
          <w:szCs w:val="24"/>
        </w:rPr>
        <w:t>solicito los sueldos mensuales del secretario particular de presidencia, secretario particular adjunto en caso de existir, secretario técnico de presidencia y sus áreas staff, así como sus nombres y ficha curricular. Igualmente, en caso de existir el sueldo mensual de los secretarios particulares de las Direcciones de área.</w:t>
      </w:r>
      <w:r w:rsidRPr="00B34A68">
        <w:rPr>
          <w:rFonts w:ascii="Palatino Linotype" w:hAnsi="Palatino Linotype" w:cs="Arial"/>
          <w:i/>
          <w:szCs w:val="24"/>
        </w:rPr>
        <w:t>”</w:t>
      </w:r>
      <w:r w:rsidRPr="00B34A68">
        <w:rPr>
          <w:rFonts w:ascii="Palatino Linotype" w:hAnsi="Palatino Linotype" w:cs="Arial"/>
          <w:szCs w:val="24"/>
        </w:rPr>
        <w:t xml:space="preserve"> (sic)</w:t>
      </w:r>
    </w:p>
    <w:p w14:paraId="1AE08D1E" w14:textId="77777777" w:rsidR="00BE4215" w:rsidRPr="00B34A68" w:rsidRDefault="00BE4215" w:rsidP="00747C38">
      <w:pPr>
        <w:tabs>
          <w:tab w:val="left" w:pos="5647"/>
        </w:tabs>
        <w:spacing w:after="0" w:line="360" w:lineRule="auto"/>
        <w:jc w:val="both"/>
        <w:rPr>
          <w:rFonts w:ascii="Palatino Linotype" w:eastAsia="Times New Roman" w:hAnsi="Palatino Linotype" w:cs="Times New Roman"/>
          <w:sz w:val="24"/>
          <w:szCs w:val="24"/>
          <w:lang w:val="es-ES_tradnl" w:eastAsia="es-ES"/>
        </w:rPr>
      </w:pPr>
    </w:p>
    <w:p w14:paraId="339288F9" w14:textId="77777777" w:rsidR="00BE4215" w:rsidRPr="00B34A68" w:rsidRDefault="00BE4215" w:rsidP="00747C38">
      <w:pPr>
        <w:tabs>
          <w:tab w:val="left" w:pos="5647"/>
        </w:tabs>
        <w:spacing w:after="0" w:line="360" w:lineRule="auto"/>
        <w:jc w:val="both"/>
        <w:rPr>
          <w:rFonts w:ascii="Palatino Linotype" w:hAnsi="Palatino Linotype"/>
          <w:sz w:val="24"/>
          <w:szCs w:val="24"/>
        </w:rPr>
      </w:pPr>
      <w:r w:rsidRPr="00B34A68">
        <w:rPr>
          <w:rFonts w:ascii="Palatino Linotype" w:eastAsia="Times New Roman" w:hAnsi="Palatino Linotype" w:cs="Times New Roman"/>
          <w:sz w:val="24"/>
          <w:szCs w:val="24"/>
          <w:lang w:val="es-ES_tradnl" w:eastAsia="es-ES"/>
        </w:rPr>
        <w:t xml:space="preserve">Modalidad de entrega: </w:t>
      </w:r>
      <w:r w:rsidRPr="00B34A68">
        <w:rPr>
          <w:rFonts w:ascii="Palatino Linotype" w:hAnsi="Palatino Linotype"/>
          <w:b/>
          <w:i/>
          <w:sz w:val="24"/>
          <w:szCs w:val="24"/>
        </w:rPr>
        <w:t>A través del SAIMEX</w:t>
      </w:r>
    </w:p>
    <w:p w14:paraId="179D8077" w14:textId="77777777" w:rsidR="00BE4215" w:rsidRPr="00B34A68" w:rsidRDefault="00BE4215" w:rsidP="00747C38">
      <w:pPr>
        <w:tabs>
          <w:tab w:val="left" w:pos="5647"/>
        </w:tabs>
        <w:spacing w:after="0" w:line="360" w:lineRule="auto"/>
        <w:jc w:val="both"/>
        <w:rPr>
          <w:rFonts w:ascii="Palatino Linotype" w:hAnsi="Palatino Linotype"/>
          <w:sz w:val="24"/>
          <w:szCs w:val="24"/>
        </w:rPr>
      </w:pPr>
    </w:p>
    <w:p w14:paraId="10561E10" w14:textId="620E5B0C" w:rsidR="00BE4215" w:rsidRPr="00B34A68" w:rsidRDefault="00BE4215" w:rsidP="00747C38">
      <w:pPr>
        <w:spacing w:after="0" w:line="360" w:lineRule="auto"/>
        <w:jc w:val="both"/>
        <w:rPr>
          <w:rFonts w:ascii="Palatino Linotype" w:eastAsia="Times New Roman" w:hAnsi="Palatino Linotype" w:cs="Times New Roman"/>
          <w:sz w:val="24"/>
          <w:szCs w:val="24"/>
          <w:lang w:val="es-ES" w:eastAsia="es-ES"/>
        </w:rPr>
      </w:pPr>
      <w:r w:rsidRPr="00B34A68">
        <w:rPr>
          <w:rFonts w:ascii="Palatino Linotype" w:hAnsi="Palatino Linotype" w:cs="Arial"/>
          <w:b/>
          <w:sz w:val="28"/>
          <w:szCs w:val="24"/>
        </w:rPr>
        <w:lastRenderedPageBreak/>
        <w:t>SEGUNDO</w:t>
      </w:r>
      <w:r w:rsidRPr="00B34A68">
        <w:rPr>
          <w:rFonts w:ascii="Palatino Linotype" w:hAnsi="Palatino Linotype" w:cs="Arial"/>
          <w:b/>
          <w:sz w:val="24"/>
          <w:szCs w:val="24"/>
        </w:rPr>
        <w:t xml:space="preserve">. </w:t>
      </w:r>
      <w:r w:rsidRPr="00B34A68">
        <w:rPr>
          <w:rFonts w:ascii="Palatino Linotype" w:hAnsi="Palatino Linotype" w:cs="Arial"/>
          <w:sz w:val="24"/>
          <w:szCs w:val="24"/>
        </w:rPr>
        <w:t xml:space="preserve">En fecha </w:t>
      </w:r>
      <w:r w:rsidR="009C46A6">
        <w:rPr>
          <w:rFonts w:ascii="Palatino Linotype" w:hAnsi="Palatino Linotype" w:cs="Arial"/>
          <w:sz w:val="24"/>
          <w:szCs w:val="24"/>
        </w:rPr>
        <w:t xml:space="preserve">veintinueve de noviembre </w:t>
      </w:r>
      <w:r w:rsidRPr="00B34A68">
        <w:rPr>
          <w:rFonts w:ascii="Palatino Linotype" w:hAnsi="Palatino Linotype" w:cs="Arial"/>
          <w:sz w:val="24"/>
          <w:szCs w:val="24"/>
        </w:rPr>
        <w:t xml:space="preserve">de dos mil veinticuatro, de conformidad con las constancias electrónicas, se observa que 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notificó al entonces </w:t>
      </w:r>
      <w:r w:rsidRPr="00B34A68">
        <w:rPr>
          <w:rFonts w:ascii="Palatino Linotype" w:hAnsi="Palatino Linotype" w:cs="Arial"/>
          <w:b/>
          <w:sz w:val="24"/>
          <w:szCs w:val="24"/>
        </w:rPr>
        <w:t>Solicitante,</w:t>
      </w:r>
      <w:r w:rsidRPr="00B34A68">
        <w:rPr>
          <w:rFonts w:ascii="Palatino Linotype" w:hAnsi="Palatino Linotype" w:cs="Arial"/>
          <w:bCs/>
          <w:sz w:val="24"/>
          <w:szCs w:val="24"/>
        </w:rPr>
        <w:t xml:space="preserve"> la </w:t>
      </w:r>
      <w:r w:rsidRPr="00B34A68">
        <w:rPr>
          <w:rFonts w:ascii="Palatino Linotype" w:eastAsia="Times New Roman" w:hAnsi="Palatino Linotype" w:cs="Times New Roman"/>
          <w:sz w:val="24"/>
          <w:szCs w:val="24"/>
          <w:lang w:val="es-ES" w:eastAsia="es-ES"/>
        </w:rPr>
        <w:t>respuesta, en los términos siguientes:</w:t>
      </w:r>
    </w:p>
    <w:p w14:paraId="52CC1491" w14:textId="77777777" w:rsidR="00BE4215" w:rsidRPr="00B34A68" w:rsidRDefault="00BE4215" w:rsidP="00747C38">
      <w:pPr>
        <w:spacing w:after="0" w:line="360" w:lineRule="auto"/>
        <w:jc w:val="both"/>
        <w:rPr>
          <w:rFonts w:ascii="Palatino Linotype" w:eastAsia="Times New Roman" w:hAnsi="Palatino Linotype" w:cs="Times New Roman"/>
          <w:sz w:val="24"/>
          <w:szCs w:val="24"/>
          <w:lang w:val="es-ES" w:eastAsia="es-ES"/>
        </w:rPr>
      </w:pPr>
    </w:p>
    <w:p w14:paraId="76361717" w14:textId="77777777" w:rsidR="009C46A6" w:rsidRPr="009C46A6" w:rsidRDefault="00BE4215" w:rsidP="00747C38">
      <w:pPr>
        <w:spacing w:after="0" w:line="240" w:lineRule="auto"/>
        <w:ind w:left="567" w:right="567"/>
        <w:jc w:val="both"/>
        <w:rPr>
          <w:rFonts w:ascii="Palatino Linotype" w:hAnsi="Palatino Linotype" w:cs="Arial"/>
          <w:i/>
          <w:szCs w:val="24"/>
        </w:rPr>
      </w:pPr>
      <w:r w:rsidRPr="00B34A68">
        <w:rPr>
          <w:rFonts w:ascii="Palatino Linotype" w:hAnsi="Palatino Linotype" w:cs="Arial"/>
          <w:i/>
          <w:szCs w:val="24"/>
        </w:rPr>
        <w:t>“</w:t>
      </w:r>
      <w:r w:rsidR="009C46A6" w:rsidRPr="009C46A6">
        <w:rPr>
          <w:rFonts w:ascii="Palatino Linotype" w:hAnsi="Palatino Linotype" w:cs="Arial"/>
          <w:i/>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E4201B4" w14:textId="1420C984" w:rsidR="00BE4215" w:rsidRPr="00B34A68" w:rsidRDefault="009C46A6" w:rsidP="00747C38">
      <w:pPr>
        <w:spacing w:after="0" w:line="240" w:lineRule="auto"/>
        <w:ind w:left="567" w:right="567"/>
        <w:jc w:val="both"/>
        <w:rPr>
          <w:rFonts w:ascii="Palatino Linotype" w:hAnsi="Palatino Linotype" w:cs="Arial"/>
          <w:iCs/>
          <w:szCs w:val="24"/>
        </w:rPr>
      </w:pPr>
      <w:r w:rsidRPr="009C46A6">
        <w:rPr>
          <w:rFonts w:ascii="Palatino Linotype" w:hAnsi="Palatino Linotype" w:cs="Arial"/>
          <w:i/>
          <w:szCs w:val="24"/>
        </w:rPr>
        <w:t>Se adjunta respuesta en formato pdf, del Departamento de la Jefatura de Recursos Humanos y Tesorería Municipal del Ayuntamiento de Temoaya.</w:t>
      </w:r>
      <w:r w:rsidR="00BE4215" w:rsidRPr="00B34A68">
        <w:rPr>
          <w:rFonts w:ascii="Palatino Linotype" w:hAnsi="Palatino Linotype" w:cs="Arial"/>
          <w:iCs/>
          <w:szCs w:val="24"/>
        </w:rPr>
        <w:t xml:space="preserve"> (sic)</w:t>
      </w:r>
    </w:p>
    <w:p w14:paraId="25484CC7" w14:textId="77777777" w:rsidR="00BE4215" w:rsidRPr="00B34A68" w:rsidRDefault="00BE4215" w:rsidP="00747C38">
      <w:pPr>
        <w:spacing w:after="0" w:line="360" w:lineRule="auto"/>
        <w:jc w:val="both"/>
        <w:rPr>
          <w:rFonts w:ascii="Palatino Linotype" w:eastAsia="Times New Roman" w:hAnsi="Palatino Linotype" w:cs="Times New Roman"/>
          <w:sz w:val="24"/>
          <w:szCs w:val="24"/>
          <w:lang w:eastAsia="es-ES"/>
        </w:rPr>
      </w:pPr>
    </w:p>
    <w:p w14:paraId="61B647D5" w14:textId="6A00848E" w:rsidR="00BE4215" w:rsidRPr="00B34A68" w:rsidRDefault="00BE4215" w:rsidP="00747C38">
      <w:pPr>
        <w:spacing w:after="0" w:line="360" w:lineRule="auto"/>
        <w:jc w:val="both"/>
        <w:rPr>
          <w:rFonts w:ascii="Palatino Linotype" w:eastAsia="Times New Roman" w:hAnsi="Palatino Linotype" w:cs="Times New Roman"/>
          <w:sz w:val="24"/>
          <w:szCs w:val="24"/>
          <w:lang w:eastAsia="es-ES"/>
        </w:rPr>
      </w:pPr>
      <w:r w:rsidRPr="00B34A68">
        <w:rPr>
          <w:rFonts w:ascii="Palatino Linotype" w:eastAsia="Times New Roman" w:hAnsi="Palatino Linotype" w:cs="Times New Roman"/>
          <w:sz w:val="24"/>
          <w:szCs w:val="24"/>
          <w:lang w:eastAsia="es-ES"/>
        </w:rPr>
        <w:t xml:space="preserve">Asimismo, se hace constar que el </w:t>
      </w:r>
      <w:r w:rsidRPr="00B34A68">
        <w:rPr>
          <w:rFonts w:ascii="Palatino Linotype" w:eastAsia="Times New Roman" w:hAnsi="Palatino Linotype" w:cs="Times New Roman"/>
          <w:b/>
          <w:bCs/>
          <w:sz w:val="24"/>
          <w:szCs w:val="24"/>
          <w:lang w:eastAsia="es-ES"/>
        </w:rPr>
        <w:t>Sujeto Obligado</w:t>
      </w:r>
      <w:r w:rsidRPr="00B34A68">
        <w:rPr>
          <w:rFonts w:ascii="Palatino Linotype" w:eastAsia="Times New Roman" w:hAnsi="Palatino Linotype" w:cs="Times New Roman"/>
          <w:sz w:val="24"/>
          <w:szCs w:val="24"/>
          <w:lang w:eastAsia="es-ES"/>
        </w:rPr>
        <w:t xml:space="preserve"> adjuntó los documentos electrónicos </w:t>
      </w:r>
      <w:r w:rsidRPr="00B34A68">
        <w:rPr>
          <w:rFonts w:ascii="Palatino Linotype" w:eastAsia="Times New Roman" w:hAnsi="Palatino Linotype" w:cs="Times New Roman"/>
          <w:i/>
          <w:sz w:val="24"/>
          <w:szCs w:val="24"/>
          <w:lang w:eastAsia="es-ES"/>
        </w:rPr>
        <w:t>“</w:t>
      </w:r>
      <w:r w:rsidR="009C46A6" w:rsidRPr="009C46A6">
        <w:rPr>
          <w:rFonts w:ascii="Palatino Linotype" w:eastAsia="Times New Roman" w:hAnsi="Palatino Linotype" w:cs="Times New Roman"/>
          <w:b/>
          <w:i/>
          <w:sz w:val="24"/>
          <w:szCs w:val="24"/>
          <w:lang w:eastAsia="es-ES"/>
        </w:rPr>
        <w:t>saimex 147.pdf</w:t>
      </w:r>
      <w:r w:rsidR="009C46A6">
        <w:rPr>
          <w:rFonts w:ascii="Palatino Linotype" w:eastAsia="Times New Roman" w:hAnsi="Palatino Linotype" w:cs="Times New Roman"/>
          <w:b/>
          <w:i/>
          <w:sz w:val="24"/>
          <w:szCs w:val="24"/>
          <w:lang w:eastAsia="es-ES"/>
        </w:rPr>
        <w:t xml:space="preserve">, </w:t>
      </w:r>
      <w:r w:rsidR="009C46A6" w:rsidRPr="009C46A6">
        <w:rPr>
          <w:rFonts w:ascii="Palatino Linotype" w:eastAsia="Times New Roman" w:hAnsi="Palatino Linotype" w:cs="Times New Roman"/>
          <w:b/>
          <w:i/>
          <w:sz w:val="24"/>
          <w:szCs w:val="24"/>
          <w:lang w:eastAsia="es-ES"/>
        </w:rPr>
        <w:t>anexo 147.pdf</w:t>
      </w:r>
      <w:r w:rsidR="009C46A6" w:rsidRPr="009C46A6">
        <w:rPr>
          <w:rFonts w:ascii="Palatino Linotype" w:eastAsia="Times New Roman" w:hAnsi="Palatino Linotype" w:cs="Times New Roman"/>
          <w:bCs/>
          <w:iCs/>
          <w:sz w:val="24"/>
          <w:szCs w:val="24"/>
          <w:lang w:eastAsia="es-ES"/>
        </w:rPr>
        <w:t xml:space="preserve"> y </w:t>
      </w:r>
      <w:r w:rsidR="009C46A6" w:rsidRPr="009C46A6">
        <w:rPr>
          <w:rFonts w:ascii="Palatino Linotype" w:eastAsia="Times New Roman" w:hAnsi="Palatino Linotype" w:cs="Times New Roman"/>
          <w:b/>
          <w:i/>
          <w:sz w:val="24"/>
          <w:szCs w:val="24"/>
          <w:lang w:eastAsia="es-ES"/>
        </w:rPr>
        <w:t>TESORERIA MUNICIPAL SOL. 147.pdf</w:t>
      </w:r>
      <w:r w:rsidRPr="00B34A68">
        <w:rPr>
          <w:rFonts w:ascii="Palatino Linotype" w:eastAsia="Times New Roman" w:hAnsi="Palatino Linotype" w:cs="Times New Roman"/>
          <w:i/>
          <w:sz w:val="24"/>
          <w:szCs w:val="24"/>
          <w:lang w:eastAsia="es-ES"/>
        </w:rPr>
        <w:t>”</w:t>
      </w:r>
      <w:r w:rsidRPr="00B34A68">
        <w:rPr>
          <w:rFonts w:ascii="Palatino Linotype" w:eastAsia="Times New Roman" w:hAnsi="Palatino Linotype" w:cs="Times New Roman"/>
          <w:sz w:val="24"/>
          <w:szCs w:val="24"/>
          <w:lang w:eastAsia="es-ES"/>
        </w:rPr>
        <w:t>, que habrán ser objeto de estudio y análisis en el apartado correspondiente, en obvio de repeticiones innecesarias.</w:t>
      </w:r>
    </w:p>
    <w:p w14:paraId="28EE928B" w14:textId="77777777" w:rsidR="00BE4215" w:rsidRPr="00B34A68" w:rsidRDefault="00BE4215" w:rsidP="00747C38">
      <w:pPr>
        <w:spacing w:after="0" w:line="360" w:lineRule="auto"/>
        <w:jc w:val="both"/>
        <w:rPr>
          <w:rFonts w:ascii="Palatino Linotype" w:eastAsia="Times New Roman" w:hAnsi="Palatino Linotype" w:cs="Times New Roman"/>
          <w:sz w:val="24"/>
          <w:szCs w:val="24"/>
          <w:lang w:eastAsia="es-ES"/>
        </w:rPr>
      </w:pPr>
    </w:p>
    <w:p w14:paraId="6378A201" w14:textId="5B2A2C8A" w:rsidR="00BE4215" w:rsidRPr="00B34A68" w:rsidRDefault="00BE4215" w:rsidP="00747C38">
      <w:pPr>
        <w:spacing w:after="0" w:line="360" w:lineRule="auto"/>
        <w:jc w:val="both"/>
        <w:rPr>
          <w:rFonts w:ascii="Palatino Linotype" w:eastAsia="Times New Roman" w:hAnsi="Palatino Linotype" w:cs="Arial"/>
          <w:sz w:val="24"/>
          <w:szCs w:val="24"/>
          <w:lang w:val="es-ES" w:eastAsia="es-ES"/>
        </w:rPr>
      </w:pPr>
      <w:r w:rsidRPr="00B34A68">
        <w:rPr>
          <w:rFonts w:ascii="Palatino Linotype" w:hAnsi="Palatino Linotype" w:cs="Arial"/>
          <w:b/>
          <w:sz w:val="28"/>
          <w:szCs w:val="24"/>
        </w:rPr>
        <w:t>TERCERO</w:t>
      </w:r>
      <w:r w:rsidRPr="00B34A68">
        <w:rPr>
          <w:rFonts w:ascii="Palatino Linotype" w:hAnsi="Palatino Linotype" w:cs="Arial"/>
          <w:b/>
          <w:sz w:val="24"/>
          <w:szCs w:val="24"/>
        </w:rPr>
        <w:t>.</w:t>
      </w:r>
      <w:r w:rsidRPr="00B34A68">
        <w:rPr>
          <w:rFonts w:ascii="Palatino Linotype" w:hAnsi="Palatino Linotype" w:cs="Arial"/>
          <w:sz w:val="24"/>
          <w:szCs w:val="24"/>
        </w:rPr>
        <w:t xml:space="preserve"> </w:t>
      </w:r>
      <w:r w:rsidRPr="00B34A68">
        <w:rPr>
          <w:rFonts w:ascii="Palatino Linotype" w:eastAsia="Times New Roman" w:hAnsi="Palatino Linotype" w:cs="Arial"/>
          <w:sz w:val="24"/>
          <w:szCs w:val="24"/>
          <w:lang w:val="es-ES" w:eastAsia="es-ES"/>
        </w:rPr>
        <w:t xml:space="preserve">Inconforme con la respuesta, el día </w:t>
      </w:r>
      <w:r w:rsidR="009C46A6">
        <w:rPr>
          <w:rFonts w:ascii="Palatino Linotype" w:eastAsia="Times New Roman" w:hAnsi="Palatino Linotype" w:cs="Arial"/>
          <w:sz w:val="24"/>
          <w:szCs w:val="24"/>
          <w:lang w:val="es-ES" w:eastAsia="es-ES"/>
        </w:rPr>
        <w:t xml:space="preserve">dos de diciembre </w:t>
      </w:r>
      <w:r w:rsidRPr="00B34A68">
        <w:rPr>
          <w:rFonts w:ascii="Palatino Linotype" w:eastAsia="Times New Roman" w:hAnsi="Palatino Linotype" w:cs="Arial"/>
          <w:sz w:val="24"/>
          <w:szCs w:val="24"/>
          <w:lang w:val="es-ES" w:eastAsia="es-ES"/>
        </w:rPr>
        <w:t>de dos mil veinticuatro, la parte</w:t>
      </w:r>
      <w:r w:rsidRPr="00B34A68">
        <w:rPr>
          <w:rFonts w:ascii="Palatino Linotype" w:eastAsia="Times New Roman" w:hAnsi="Palatino Linotype" w:cs="Arial"/>
          <w:b/>
          <w:sz w:val="24"/>
          <w:szCs w:val="24"/>
          <w:lang w:val="es-ES" w:eastAsia="es-ES"/>
        </w:rPr>
        <w:t xml:space="preserve"> Recurrente</w:t>
      </w:r>
      <w:r w:rsidRPr="00B34A68">
        <w:rPr>
          <w:rFonts w:ascii="Palatino Linotype" w:eastAsia="Times New Roman" w:hAnsi="Palatino Linotype" w:cs="Arial"/>
          <w:sz w:val="24"/>
          <w:szCs w:val="24"/>
          <w:lang w:val="es-ES" w:eastAsia="es-ES"/>
        </w:rPr>
        <w:t xml:space="preserve"> interpuso recurso de revisión, quedando registrado en el</w:t>
      </w:r>
      <w:r w:rsidRPr="00B34A68">
        <w:rPr>
          <w:rFonts w:ascii="Palatino Linotype" w:eastAsia="Arial Unicode MS" w:hAnsi="Palatino Linotype" w:cs="Arial"/>
          <w:b/>
          <w:sz w:val="24"/>
          <w:szCs w:val="24"/>
          <w:lang w:val="es-ES" w:eastAsia="es-ES"/>
        </w:rPr>
        <w:t xml:space="preserve"> SAIMEX</w:t>
      </w:r>
      <w:r w:rsidRPr="00B34A68">
        <w:rPr>
          <w:rFonts w:ascii="Palatino Linotype" w:eastAsia="Arial Unicode MS" w:hAnsi="Palatino Linotype" w:cs="Arial"/>
          <w:sz w:val="24"/>
          <w:szCs w:val="24"/>
          <w:lang w:val="es-ES" w:eastAsia="es-ES"/>
        </w:rPr>
        <w:t xml:space="preserve"> con el número de recurso </w:t>
      </w:r>
      <w:r w:rsidR="009C46A6">
        <w:rPr>
          <w:rFonts w:ascii="Palatino Linotype" w:hAnsi="Palatino Linotype" w:cs="Arial"/>
          <w:b/>
          <w:bCs/>
          <w:sz w:val="24"/>
          <w:szCs w:val="24"/>
          <w:lang w:eastAsia="es-MX"/>
        </w:rPr>
        <w:t>07445/INFOEM/IP/RR/2024</w:t>
      </w:r>
      <w:r w:rsidRPr="00B34A68">
        <w:rPr>
          <w:rFonts w:ascii="Palatino Linotype" w:eastAsia="Times New Roman" w:hAnsi="Palatino Linotype" w:cs="Times New Roman"/>
          <w:b/>
          <w:sz w:val="24"/>
          <w:szCs w:val="24"/>
          <w:lang w:val="es-ES" w:eastAsia="es-ES"/>
        </w:rPr>
        <w:t xml:space="preserve">, </w:t>
      </w:r>
      <w:r w:rsidRPr="00B34A68">
        <w:rPr>
          <w:rFonts w:ascii="Palatino Linotype" w:eastAsia="Times New Roman" w:hAnsi="Palatino Linotype" w:cs="Arial"/>
          <w:sz w:val="24"/>
          <w:szCs w:val="24"/>
          <w:lang w:val="es-ES" w:eastAsia="es-ES"/>
        </w:rPr>
        <w:t xml:space="preserve">en </w:t>
      </w:r>
      <w:r w:rsidR="009C46A6">
        <w:rPr>
          <w:rFonts w:ascii="Palatino Linotype" w:eastAsia="Times New Roman" w:hAnsi="Palatino Linotype" w:cs="Arial"/>
          <w:sz w:val="24"/>
          <w:szCs w:val="24"/>
          <w:lang w:val="es-ES" w:eastAsia="es-ES"/>
        </w:rPr>
        <w:t>el</w:t>
      </w:r>
      <w:r w:rsidRPr="00B34A68">
        <w:rPr>
          <w:rFonts w:ascii="Palatino Linotype" w:eastAsia="Times New Roman" w:hAnsi="Palatino Linotype" w:cs="Arial"/>
          <w:sz w:val="24"/>
          <w:szCs w:val="24"/>
          <w:lang w:val="es-ES" w:eastAsia="es-ES"/>
        </w:rPr>
        <w:t xml:space="preserve"> que expresó como acto impugnado y razones o motivos de inconformidad, lo siguiente:</w:t>
      </w:r>
    </w:p>
    <w:p w14:paraId="25EBF374" w14:textId="77777777" w:rsidR="00BE4215" w:rsidRPr="00B34A68" w:rsidRDefault="00BE4215" w:rsidP="00747C38">
      <w:pPr>
        <w:spacing w:after="0" w:line="360" w:lineRule="auto"/>
        <w:jc w:val="both"/>
        <w:rPr>
          <w:rFonts w:ascii="Palatino Linotype" w:eastAsia="Times New Roman" w:hAnsi="Palatino Linotype" w:cs="Arial"/>
          <w:sz w:val="24"/>
          <w:szCs w:val="24"/>
          <w:lang w:val="es-ES" w:eastAsia="es-ES"/>
        </w:rPr>
      </w:pPr>
    </w:p>
    <w:p w14:paraId="67E782FA" w14:textId="77777777" w:rsidR="00BE4215" w:rsidRPr="00B34A68" w:rsidRDefault="00BE4215" w:rsidP="00747C38">
      <w:pPr>
        <w:spacing w:after="0" w:line="360" w:lineRule="auto"/>
        <w:ind w:right="51"/>
        <w:jc w:val="both"/>
        <w:rPr>
          <w:rFonts w:ascii="Palatino Linotype" w:eastAsia="Times New Roman" w:hAnsi="Palatino Linotype" w:cs="Arial"/>
          <w:b/>
          <w:sz w:val="24"/>
          <w:szCs w:val="24"/>
          <w:lang w:val="es-ES" w:eastAsia="es-ES"/>
        </w:rPr>
      </w:pPr>
      <w:r w:rsidRPr="00B34A68">
        <w:rPr>
          <w:rFonts w:ascii="Palatino Linotype" w:eastAsia="Times New Roman" w:hAnsi="Palatino Linotype" w:cs="Arial"/>
          <w:b/>
          <w:sz w:val="24"/>
          <w:szCs w:val="24"/>
          <w:lang w:val="es-ES" w:eastAsia="es-ES"/>
        </w:rPr>
        <w:t>Acto impugnado:</w:t>
      </w:r>
    </w:p>
    <w:p w14:paraId="3798A8DB" w14:textId="77777777" w:rsidR="00BE4215" w:rsidRPr="00B34A68" w:rsidRDefault="00BE4215" w:rsidP="00747C38">
      <w:pPr>
        <w:spacing w:after="0" w:line="360" w:lineRule="auto"/>
        <w:ind w:right="51"/>
        <w:jc w:val="both"/>
        <w:rPr>
          <w:rFonts w:ascii="Palatino Linotype" w:eastAsia="Times New Roman" w:hAnsi="Palatino Linotype" w:cs="Arial"/>
          <w:sz w:val="24"/>
          <w:szCs w:val="24"/>
          <w:lang w:val="es-ES" w:eastAsia="es-ES"/>
        </w:rPr>
      </w:pPr>
    </w:p>
    <w:p w14:paraId="7692B2F2" w14:textId="7AAE23F8" w:rsidR="00BE4215" w:rsidRPr="00B34A68" w:rsidRDefault="00BE4215" w:rsidP="00747C38">
      <w:pPr>
        <w:spacing w:after="0" w:line="240" w:lineRule="auto"/>
        <w:ind w:left="567" w:right="567"/>
        <w:jc w:val="both"/>
        <w:rPr>
          <w:rFonts w:ascii="Palatino Linotype" w:hAnsi="Palatino Linotype"/>
        </w:rPr>
      </w:pPr>
      <w:r w:rsidRPr="00B34A68">
        <w:rPr>
          <w:rFonts w:ascii="Palatino Linotype" w:hAnsi="Palatino Linotype" w:cs="Arial"/>
          <w:i/>
          <w:szCs w:val="24"/>
        </w:rPr>
        <w:t>“</w:t>
      </w:r>
      <w:r w:rsidR="009C46A6" w:rsidRPr="009C46A6">
        <w:rPr>
          <w:rFonts w:ascii="Palatino Linotype" w:hAnsi="Palatino Linotype" w:cs="Arial"/>
          <w:i/>
          <w:szCs w:val="24"/>
        </w:rPr>
        <w:t>la información presentada</w:t>
      </w:r>
      <w:r w:rsidRPr="00B34A68">
        <w:rPr>
          <w:rFonts w:ascii="Palatino Linotype" w:hAnsi="Palatino Linotype" w:cs="Arial"/>
          <w:i/>
          <w:szCs w:val="24"/>
        </w:rPr>
        <w:t>”</w:t>
      </w:r>
      <w:r w:rsidRPr="00B34A68">
        <w:rPr>
          <w:rFonts w:ascii="Palatino Linotype" w:hAnsi="Palatino Linotype"/>
        </w:rPr>
        <w:t>(Sic)</w:t>
      </w:r>
    </w:p>
    <w:p w14:paraId="74E7E280" w14:textId="77777777" w:rsidR="00BE4215" w:rsidRPr="00B34A68" w:rsidRDefault="00BE4215" w:rsidP="00747C38">
      <w:pPr>
        <w:spacing w:after="0" w:line="360" w:lineRule="auto"/>
        <w:ind w:right="51"/>
        <w:jc w:val="both"/>
        <w:rPr>
          <w:rFonts w:ascii="Palatino Linotype" w:eastAsia="Times New Roman" w:hAnsi="Palatino Linotype" w:cs="Arial"/>
          <w:sz w:val="24"/>
          <w:szCs w:val="24"/>
          <w:lang w:val="es-ES" w:eastAsia="es-ES"/>
        </w:rPr>
      </w:pPr>
    </w:p>
    <w:p w14:paraId="7EE93A9D" w14:textId="77777777" w:rsidR="00BE4215" w:rsidRPr="00B34A68" w:rsidRDefault="00BE4215" w:rsidP="00747C38">
      <w:pPr>
        <w:spacing w:after="0" w:line="360" w:lineRule="auto"/>
        <w:ind w:right="51"/>
        <w:jc w:val="both"/>
        <w:rPr>
          <w:rFonts w:ascii="Palatino Linotype" w:eastAsia="Times New Roman" w:hAnsi="Palatino Linotype" w:cs="Arial"/>
          <w:b/>
          <w:sz w:val="24"/>
          <w:szCs w:val="24"/>
          <w:lang w:val="es-ES" w:eastAsia="es-ES"/>
        </w:rPr>
      </w:pPr>
      <w:r w:rsidRPr="00B34A68">
        <w:rPr>
          <w:rFonts w:ascii="Palatino Linotype" w:eastAsia="Times New Roman" w:hAnsi="Palatino Linotype" w:cs="Arial"/>
          <w:b/>
          <w:sz w:val="24"/>
          <w:szCs w:val="24"/>
          <w:lang w:val="es-ES" w:eastAsia="es-ES"/>
        </w:rPr>
        <w:t>Razones o motivos de inconformidad:</w:t>
      </w:r>
    </w:p>
    <w:p w14:paraId="547A8B73" w14:textId="77777777" w:rsidR="00BE4215" w:rsidRPr="00B34A68" w:rsidRDefault="00BE4215" w:rsidP="00747C38">
      <w:pPr>
        <w:spacing w:after="0" w:line="360" w:lineRule="auto"/>
        <w:ind w:right="51"/>
        <w:jc w:val="both"/>
        <w:rPr>
          <w:rFonts w:ascii="Palatino Linotype" w:eastAsia="Times New Roman" w:hAnsi="Palatino Linotype" w:cs="Arial"/>
          <w:sz w:val="24"/>
          <w:szCs w:val="24"/>
          <w:lang w:val="es-ES" w:eastAsia="es-ES"/>
        </w:rPr>
      </w:pPr>
    </w:p>
    <w:p w14:paraId="7C44A2B3" w14:textId="3637EDEE" w:rsidR="00BE4215" w:rsidRPr="00B34A68" w:rsidRDefault="00BE4215" w:rsidP="00747C38">
      <w:pPr>
        <w:spacing w:after="0" w:line="240" w:lineRule="auto"/>
        <w:ind w:left="567" w:right="567"/>
        <w:jc w:val="both"/>
        <w:rPr>
          <w:rFonts w:ascii="Palatino Linotype" w:eastAsia="Times New Roman" w:hAnsi="Palatino Linotype" w:cs="Arial"/>
          <w:iCs/>
          <w:sz w:val="24"/>
          <w:szCs w:val="24"/>
          <w:lang w:val="es-ES" w:eastAsia="es-ES"/>
        </w:rPr>
      </w:pPr>
      <w:r w:rsidRPr="00B34A68">
        <w:rPr>
          <w:rFonts w:ascii="Palatino Linotype" w:hAnsi="Palatino Linotype" w:cs="Arial"/>
          <w:i/>
          <w:szCs w:val="24"/>
        </w:rPr>
        <w:lastRenderedPageBreak/>
        <w:t>“</w:t>
      </w:r>
      <w:bookmarkStart w:id="1" w:name="_Hlk187245387"/>
      <w:r w:rsidR="009C46A6" w:rsidRPr="009C46A6">
        <w:rPr>
          <w:rFonts w:ascii="Palatino Linotype" w:hAnsi="Palatino Linotype" w:cs="Arial"/>
          <w:i/>
          <w:szCs w:val="24"/>
        </w:rPr>
        <w:t>la información no contiene los sueldos mensuales de los puestos solicitados, además de estar incompleta porque faltan las demás áreas.</w:t>
      </w:r>
      <w:bookmarkEnd w:id="1"/>
      <w:r w:rsidR="0068361A">
        <w:rPr>
          <w:rFonts w:ascii="Palatino Linotype" w:hAnsi="Palatino Linotype" w:cs="Arial"/>
          <w:i/>
          <w:szCs w:val="24"/>
        </w:rPr>
        <w:t>”</w:t>
      </w:r>
      <w:r w:rsidRPr="00B34A68">
        <w:rPr>
          <w:rFonts w:ascii="Palatino Linotype" w:hAnsi="Palatino Linotype" w:cs="Arial"/>
          <w:szCs w:val="24"/>
        </w:rPr>
        <w:t xml:space="preserve"> (Sic)</w:t>
      </w:r>
    </w:p>
    <w:p w14:paraId="6FD2DEB2" w14:textId="77777777" w:rsidR="009C46A6" w:rsidRDefault="009C46A6" w:rsidP="00747C38">
      <w:pPr>
        <w:spacing w:after="0" w:line="360" w:lineRule="auto"/>
        <w:ind w:right="49"/>
        <w:jc w:val="both"/>
        <w:rPr>
          <w:rFonts w:ascii="Palatino Linotype" w:hAnsi="Palatino Linotype" w:cs="Arial"/>
          <w:sz w:val="24"/>
          <w:szCs w:val="24"/>
          <w:lang w:val="es-ES"/>
        </w:rPr>
      </w:pPr>
    </w:p>
    <w:p w14:paraId="29EA38A0"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_tradnl" w:eastAsia="es-ES"/>
        </w:rPr>
      </w:pPr>
      <w:r w:rsidRPr="00B34A68">
        <w:rPr>
          <w:rFonts w:ascii="Palatino Linotype" w:eastAsia="Times New Roman" w:hAnsi="Palatino Linotype" w:cs="Arial"/>
          <w:b/>
          <w:sz w:val="28"/>
          <w:szCs w:val="28"/>
          <w:lang w:val="es-ES_tradnl" w:eastAsia="es-ES"/>
        </w:rPr>
        <w:t xml:space="preserve">CUARTO. </w:t>
      </w:r>
      <w:r w:rsidRPr="00B34A68">
        <w:rPr>
          <w:rFonts w:ascii="Palatino Linotype" w:hAnsi="Palatino Linotype" w:cs="Arial"/>
          <w:sz w:val="24"/>
          <w:szCs w:val="24"/>
          <w:lang w:val="es-ES"/>
        </w:rPr>
        <w:t xml:space="preserve">Recurso de revisión que, </w:t>
      </w:r>
      <w:r w:rsidRPr="00B34A68">
        <w:rPr>
          <w:rFonts w:ascii="Palatino Linotype" w:eastAsia="Times New Roman" w:hAnsi="Palatino Linotype" w:cs="Arial"/>
          <w:sz w:val="24"/>
          <w:szCs w:val="24"/>
          <w:lang w:val="es-ES_tradnl" w:eastAsia="es-ES"/>
        </w:rPr>
        <w:t xml:space="preserve">se envió electrónicamente al Instituto de </w:t>
      </w:r>
      <w:r w:rsidRPr="00B34A68">
        <w:rPr>
          <w:rFonts w:ascii="Palatino Linotype" w:eastAsia="Arial Unicode MS" w:hAnsi="Palatino Linotype" w:cs="Arial"/>
          <w:sz w:val="24"/>
          <w:szCs w:val="24"/>
          <w:lang w:val="es-ES" w:eastAsia="es-ES"/>
        </w:rPr>
        <w:t>Transparencia</w:t>
      </w:r>
      <w:r w:rsidRPr="00B34A68">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B34A68">
        <w:rPr>
          <w:rFonts w:ascii="Palatino Linotype" w:eastAsia="Times New Roman" w:hAnsi="Palatino Linotype" w:cs="Times New Roman"/>
          <w:sz w:val="24"/>
          <w:szCs w:val="24"/>
          <w:lang w:val="es-ES" w:eastAsia="es-ES"/>
        </w:rPr>
        <w:t>Ley de Transparencia y Acceso a la Información Pública del Estado de México y Municipios</w:t>
      </w:r>
      <w:r w:rsidRPr="00B34A68">
        <w:rPr>
          <w:rFonts w:ascii="Palatino Linotype" w:eastAsia="Times New Roman" w:hAnsi="Palatino Linotype" w:cs="Arial"/>
          <w:sz w:val="24"/>
          <w:szCs w:val="24"/>
          <w:lang w:val="es-ES_tradnl" w:eastAsia="es-ES"/>
        </w:rPr>
        <w:t>, se turnó a través del</w:t>
      </w:r>
      <w:r w:rsidRPr="00B34A68">
        <w:rPr>
          <w:rFonts w:ascii="Palatino Linotype" w:eastAsia="Arial Unicode MS" w:hAnsi="Palatino Linotype" w:cs="Arial"/>
          <w:sz w:val="24"/>
          <w:szCs w:val="24"/>
          <w:lang w:val="es-ES_tradnl" w:eastAsia="es-ES"/>
        </w:rPr>
        <w:t xml:space="preserve"> </w:t>
      </w:r>
      <w:r w:rsidRPr="00B34A68">
        <w:rPr>
          <w:rFonts w:ascii="Palatino Linotype" w:eastAsia="Arial Unicode MS" w:hAnsi="Palatino Linotype" w:cs="Arial"/>
          <w:b/>
          <w:sz w:val="24"/>
          <w:szCs w:val="24"/>
          <w:lang w:val="es-ES_tradnl" w:eastAsia="es-ES"/>
        </w:rPr>
        <w:t>SAIMEX</w:t>
      </w:r>
      <w:r w:rsidRPr="00B34A68">
        <w:rPr>
          <w:rFonts w:ascii="Palatino Linotype" w:eastAsia="Times New Roman" w:hAnsi="Palatino Linotype" w:cs="Times New Roman"/>
          <w:sz w:val="24"/>
          <w:szCs w:val="24"/>
          <w:lang w:val="es-ES" w:eastAsia="es-ES"/>
        </w:rPr>
        <w:t xml:space="preserve"> al </w:t>
      </w:r>
      <w:r w:rsidRPr="00B34A68">
        <w:rPr>
          <w:rFonts w:ascii="Palatino Linotype" w:eastAsia="Times New Roman" w:hAnsi="Palatino Linotype" w:cs="Arial"/>
          <w:sz w:val="24"/>
          <w:szCs w:val="24"/>
          <w:lang w:val="es-ES_tradnl" w:eastAsia="es-ES"/>
        </w:rPr>
        <w:t xml:space="preserve">Comisionado Presidente </w:t>
      </w:r>
      <w:r w:rsidRPr="00B34A68">
        <w:rPr>
          <w:rFonts w:ascii="Palatino Linotype" w:eastAsia="Times New Roman" w:hAnsi="Palatino Linotype" w:cs="Arial"/>
          <w:b/>
          <w:sz w:val="24"/>
          <w:szCs w:val="24"/>
          <w:lang w:val="es-ES_tradnl" w:eastAsia="es-ES"/>
        </w:rPr>
        <w:t xml:space="preserve">JOSÉ MARTÍNEZ VILCHIS, </w:t>
      </w:r>
      <w:r w:rsidRPr="00B34A68">
        <w:rPr>
          <w:rFonts w:ascii="Palatino Linotype" w:eastAsia="Times New Roman" w:hAnsi="Palatino Linotype" w:cs="Arial"/>
          <w:sz w:val="24"/>
          <w:szCs w:val="24"/>
          <w:lang w:val="es-ES_tradnl" w:eastAsia="es-ES"/>
        </w:rPr>
        <w:t>a efecto de que decretara su admisión o desechamiento.</w:t>
      </w:r>
    </w:p>
    <w:p w14:paraId="198B12CA"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_tradnl" w:eastAsia="es-ES"/>
        </w:rPr>
      </w:pPr>
    </w:p>
    <w:p w14:paraId="075C9FDC" w14:textId="3C378683"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_tradnl" w:eastAsia="es-ES"/>
        </w:rPr>
        <w:t>E</w:t>
      </w:r>
      <w:r w:rsidRPr="00B34A68">
        <w:rPr>
          <w:rFonts w:ascii="Palatino Linotype" w:eastAsia="Times New Roman" w:hAnsi="Palatino Linotype" w:cs="Arial"/>
          <w:sz w:val="24"/>
          <w:szCs w:val="24"/>
          <w:lang w:val="es-ES" w:eastAsia="es-ES"/>
        </w:rPr>
        <w:t xml:space="preserve">n fecha </w:t>
      </w:r>
      <w:r w:rsidR="00606DB7">
        <w:rPr>
          <w:rFonts w:ascii="Palatino Linotype" w:eastAsia="Times New Roman" w:hAnsi="Palatino Linotype" w:cs="Arial"/>
          <w:sz w:val="24"/>
          <w:szCs w:val="24"/>
          <w:lang w:val="es-ES" w:eastAsia="es-ES"/>
        </w:rPr>
        <w:t xml:space="preserve">cinco de diciembre </w:t>
      </w:r>
      <w:r w:rsidRPr="00B34A68">
        <w:rPr>
          <w:rFonts w:ascii="Palatino Linotype" w:eastAsia="Times New Roman" w:hAnsi="Palatino Linotype" w:cs="Arial"/>
          <w:sz w:val="24"/>
          <w:szCs w:val="24"/>
          <w:lang w:val="es-ES" w:eastAsia="es-ES"/>
        </w:rPr>
        <w:t xml:space="preserve">de dos mil veinticuatro, atentos a lo dispuesto en el </w:t>
      </w:r>
      <w:r w:rsidRPr="00B34A68">
        <w:rPr>
          <w:rFonts w:ascii="Palatino Linotype" w:eastAsia="Times New Roman" w:hAnsi="Palatino Linotype" w:cs="Arial"/>
          <w:sz w:val="24"/>
          <w:szCs w:val="24"/>
          <w:lang w:val="es-ES_tradnl" w:eastAsia="es-ES"/>
        </w:rPr>
        <w:t>artículo</w:t>
      </w:r>
      <w:r w:rsidRPr="00B34A68">
        <w:rPr>
          <w:rFonts w:ascii="Palatino Linotype" w:eastAsia="Times New Roman" w:hAnsi="Palatino Linotype" w:cs="Arial"/>
          <w:sz w:val="24"/>
          <w:szCs w:val="24"/>
          <w:lang w:val="es-ES" w:eastAsia="es-ES"/>
        </w:rPr>
        <w:t xml:space="preserve"> 185 fracciones I, II y IV </w:t>
      </w:r>
      <w:r w:rsidRPr="00B34A68">
        <w:rPr>
          <w:rFonts w:ascii="Palatino Linotype" w:eastAsia="Times New Roman" w:hAnsi="Palatino Linotype" w:cs="Arial"/>
          <w:sz w:val="24"/>
          <w:szCs w:val="24"/>
          <w:lang w:val="es-ES_tradnl" w:eastAsia="es-ES"/>
        </w:rPr>
        <w:t xml:space="preserve">de la </w:t>
      </w:r>
      <w:r w:rsidRPr="00B34A68">
        <w:rPr>
          <w:rFonts w:ascii="Palatino Linotype" w:eastAsia="Times New Roman" w:hAnsi="Palatino Linotype" w:cs="Times New Roman"/>
          <w:sz w:val="24"/>
          <w:szCs w:val="24"/>
          <w:lang w:val="es-ES" w:eastAsia="es-ES"/>
        </w:rPr>
        <w:t>Ley de Transparencia y Acceso a la Información Pública del Estado de México y Municipios, se a</w:t>
      </w:r>
      <w:r w:rsidRPr="00B34A68">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puso a disposición de las partes, para que en un plazo máximo de siete días hábiles, realizarán manifestaciones y ofrecieran las pruebas y alegatos que a su derecho conviniera o exhibieran el informe justificado, según fuera el caso.</w:t>
      </w:r>
    </w:p>
    <w:p w14:paraId="076D718C"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p>
    <w:p w14:paraId="4A273C1C" w14:textId="66B37DE9"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b/>
          <w:sz w:val="28"/>
          <w:szCs w:val="28"/>
        </w:rPr>
        <w:t xml:space="preserve">QUINTO. </w:t>
      </w:r>
      <w:r w:rsidRPr="00B34A68">
        <w:rPr>
          <w:rFonts w:ascii="Palatino Linotype" w:hAnsi="Palatino Linotype" w:cs="Arial"/>
          <w:sz w:val="24"/>
          <w:szCs w:val="24"/>
        </w:rPr>
        <w:t>Una vez abierta la etapa de instrucción, se advierte que</w:t>
      </w:r>
      <w:r w:rsidR="00606DB7">
        <w:rPr>
          <w:rFonts w:ascii="Palatino Linotype" w:hAnsi="Palatino Linotype" w:cs="Arial"/>
          <w:sz w:val="24"/>
          <w:szCs w:val="24"/>
        </w:rPr>
        <w:t xml:space="preserve"> tanto </w:t>
      </w:r>
      <w:r w:rsidRPr="00B34A68">
        <w:rPr>
          <w:rFonts w:ascii="Palatino Linotype" w:hAnsi="Palatino Linotype" w:cs="Arial"/>
          <w:sz w:val="24"/>
          <w:szCs w:val="24"/>
        </w:rPr>
        <w:t xml:space="preserve">el </w:t>
      </w:r>
      <w:r w:rsidRPr="00B34A68">
        <w:rPr>
          <w:rFonts w:ascii="Palatino Linotype" w:hAnsi="Palatino Linotype" w:cs="Arial"/>
          <w:b/>
          <w:sz w:val="24"/>
          <w:szCs w:val="24"/>
        </w:rPr>
        <w:t>Sujeto Obligado</w:t>
      </w:r>
      <w:r w:rsidRPr="00B34A68">
        <w:rPr>
          <w:rFonts w:ascii="Palatino Linotype" w:hAnsi="Palatino Linotype" w:cs="Arial"/>
          <w:sz w:val="24"/>
          <w:szCs w:val="24"/>
        </w:rPr>
        <w:t xml:space="preserve"> </w:t>
      </w:r>
      <w:r w:rsidR="00606DB7">
        <w:rPr>
          <w:rFonts w:ascii="Palatino Linotype" w:hAnsi="Palatino Linotype" w:cs="Arial"/>
          <w:sz w:val="24"/>
          <w:szCs w:val="24"/>
        </w:rPr>
        <w:t>como</w:t>
      </w:r>
      <w:r w:rsidRPr="00B34A68">
        <w:rPr>
          <w:rFonts w:ascii="Palatino Linotype" w:hAnsi="Palatino Linotype" w:cs="Arial"/>
          <w:sz w:val="24"/>
          <w:szCs w:val="24"/>
        </w:rPr>
        <w:t xml:space="preserve"> la parte </w:t>
      </w:r>
      <w:r w:rsidRPr="00B34A68">
        <w:rPr>
          <w:rFonts w:ascii="Palatino Linotype" w:hAnsi="Palatino Linotype" w:cs="Arial"/>
          <w:b/>
          <w:sz w:val="24"/>
          <w:szCs w:val="24"/>
        </w:rPr>
        <w:t>Recurrente</w:t>
      </w:r>
      <w:r w:rsidRPr="00B34A68">
        <w:rPr>
          <w:rFonts w:ascii="Palatino Linotype" w:hAnsi="Palatino Linotype" w:cs="Arial"/>
          <w:bCs/>
          <w:sz w:val="24"/>
          <w:szCs w:val="24"/>
        </w:rPr>
        <w:t xml:space="preserve">, </w:t>
      </w:r>
      <w:r w:rsidR="00606DB7">
        <w:rPr>
          <w:rFonts w:ascii="Palatino Linotype" w:hAnsi="Palatino Linotype" w:cs="Arial"/>
          <w:bCs/>
          <w:sz w:val="24"/>
          <w:szCs w:val="24"/>
        </w:rPr>
        <w:t xml:space="preserve">fueron omisos en rendir el informe justificado y </w:t>
      </w:r>
      <w:r w:rsidRPr="00B34A68">
        <w:rPr>
          <w:rFonts w:ascii="Palatino Linotype" w:hAnsi="Palatino Linotype" w:cs="Arial"/>
          <w:bCs/>
          <w:sz w:val="24"/>
          <w:szCs w:val="24"/>
        </w:rPr>
        <w:t xml:space="preserve">las </w:t>
      </w:r>
      <w:r w:rsidRPr="00B34A68">
        <w:rPr>
          <w:rFonts w:ascii="Palatino Linotype" w:hAnsi="Palatino Linotype" w:cs="Arial"/>
          <w:sz w:val="24"/>
          <w:szCs w:val="24"/>
        </w:rPr>
        <w:t xml:space="preserve">manifestaciones que a sus intereses conviniera, </w:t>
      </w:r>
      <w:r w:rsidR="00606DB7">
        <w:rPr>
          <w:rFonts w:ascii="Palatino Linotype" w:hAnsi="Palatino Linotype" w:cs="Arial"/>
          <w:sz w:val="24"/>
          <w:szCs w:val="24"/>
        </w:rPr>
        <w:t xml:space="preserve">respectivamente. </w:t>
      </w:r>
      <w:r w:rsidRPr="00B34A68">
        <w:rPr>
          <w:rFonts w:ascii="Palatino Linotype" w:hAnsi="Palatino Linotype" w:cs="Arial"/>
          <w:sz w:val="24"/>
          <w:szCs w:val="24"/>
        </w:rPr>
        <w:t>Asimismo, se aprecia que no se llevaron a cabo audiencias durante la sustanciación del recurso de revisión todo lo anterior en términos de los artículos 185 fracciones II y IV, y 195 de la Ley de Transparencia y Acceso a la Información Pública del Estado de México y Municipios.</w:t>
      </w:r>
    </w:p>
    <w:p w14:paraId="6AD90B81" w14:textId="2AC82A57"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r w:rsidRPr="00B34A68">
        <w:rPr>
          <w:rFonts w:ascii="Palatino Linotype" w:hAnsi="Palatino Linotype" w:cs="Arial"/>
          <w:b/>
          <w:sz w:val="28"/>
          <w:szCs w:val="28"/>
        </w:rPr>
        <w:lastRenderedPageBreak/>
        <w:t>SEXTO.</w:t>
      </w:r>
      <w:r w:rsidRPr="00B34A68">
        <w:rPr>
          <w:rFonts w:ascii="Palatino Linotype" w:hAnsi="Palatino Linotype" w:cs="Arial"/>
          <w:bCs/>
          <w:sz w:val="28"/>
          <w:szCs w:val="28"/>
        </w:rPr>
        <w:t xml:space="preserve"> </w:t>
      </w:r>
      <w:r w:rsidRPr="00B34A68">
        <w:rPr>
          <w:rFonts w:ascii="Palatino Linotype" w:eastAsia="Times New Roman" w:hAnsi="Palatino Linotype" w:cs="Arial"/>
          <w:sz w:val="24"/>
          <w:szCs w:val="24"/>
          <w:lang w:val="es-ES" w:eastAsia="es-ES"/>
        </w:rPr>
        <w:t xml:space="preserve">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A630FA">
        <w:rPr>
          <w:rFonts w:ascii="Palatino Linotype" w:eastAsia="Times New Roman" w:hAnsi="Palatino Linotype" w:cs="Arial"/>
          <w:sz w:val="24"/>
          <w:szCs w:val="24"/>
          <w:lang w:val="es-ES" w:eastAsia="es-ES"/>
        </w:rPr>
        <w:t>quince de enero de dos mil veinticinco</w:t>
      </w:r>
      <w:r w:rsidRPr="00B34A68">
        <w:rPr>
          <w:rFonts w:ascii="Palatino Linotype" w:eastAsia="Times New Roman" w:hAnsi="Palatino Linotype" w:cs="Arial"/>
          <w:sz w:val="24"/>
          <w:szCs w:val="24"/>
          <w:lang w:val="es-ES" w:eastAsia="es-ES"/>
        </w:rPr>
        <w:t>, en términos del artículo 185 fracción VI de la Ley de Transparencia y Acceso a la Información Pública del Estado de México y Municipios, ordenándose turnar los expedientes a la resolución que en derecho proceda.</w:t>
      </w:r>
    </w:p>
    <w:p w14:paraId="239B36B2" w14:textId="77777777" w:rsidR="00BE4215" w:rsidRPr="00B34A68" w:rsidRDefault="00BE4215" w:rsidP="00747C38">
      <w:pPr>
        <w:spacing w:after="0" w:line="360" w:lineRule="auto"/>
        <w:ind w:right="49"/>
        <w:jc w:val="both"/>
        <w:rPr>
          <w:rFonts w:ascii="Palatino Linotype" w:eastAsia="Times New Roman" w:hAnsi="Palatino Linotype" w:cs="Arial"/>
          <w:sz w:val="24"/>
          <w:szCs w:val="24"/>
          <w:lang w:val="es-ES" w:eastAsia="es-ES"/>
        </w:rPr>
      </w:pPr>
    </w:p>
    <w:p w14:paraId="148E149F" w14:textId="77777777" w:rsidR="00BE4215" w:rsidRPr="00B34A68" w:rsidRDefault="00BE4215" w:rsidP="00747C38">
      <w:pPr>
        <w:spacing w:after="0" w:line="360" w:lineRule="auto"/>
        <w:jc w:val="center"/>
        <w:rPr>
          <w:rFonts w:ascii="Palatino Linotype" w:hAnsi="Palatino Linotype" w:cs="Arial"/>
          <w:sz w:val="24"/>
          <w:szCs w:val="24"/>
        </w:rPr>
      </w:pPr>
      <w:r w:rsidRPr="00B34A68">
        <w:rPr>
          <w:rFonts w:ascii="Palatino Linotype" w:hAnsi="Palatino Linotype" w:cs="Arial"/>
          <w:b/>
          <w:sz w:val="28"/>
          <w:szCs w:val="24"/>
        </w:rPr>
        <w:t xml:space="preserve">C O N S I D E R A N D O </w:t>
      </w:r>
    </w:p>
    <w:p w14:paraId="29B9D5F4" w14:textId="77777777" w:rsidR="00BE4215" w:rsidRPr="00B34A68" w:rsidRDefault="00BE4215" w:rsidP="00747C38">
      <w:pPr>
        <w:spacing w:after="0" w:line="360" w:lineRule="auto"/>
        <w:jc w:val="center"/>
        <w:rPr>
          <w:rFonts w:ascii="Palatino Linotype" w:hAnsi="Palatino Linotype" w:cs="Arial"/>
          <w:sz w:val="24"/>
          <w:szCs w:val="24"/>
        </w:rPr>
      </w:pPr>
    </w:p>
    <w:p w14:paraId="5951C256" w14:textId="77777777" w:rsidR="00BE4215" w:rsidRPr="00B34A68" w:rsidRDefault="00BE4215" w:rsidP="00747C38">
      <w:pPr>
        <w:spacing w:after="0" w:line="360" w:lineRule="auto"/>
        <w:jc w:val="both"/>
        <w:rPr>
          <w:rFonts w:ascii="Palatino Linotype" w:hAnsi="Palatino Linotype" w:cs="Arial"/>
          <w:sz w:val="28"/>
          <w:szCs w:val="28"/>
        </w:rPr>
      </w:pPr>
      <w:r w:rsidRPr="00B34A68">
        <w:rPr>
          <w:rFonts w:ascii="Palatino Linotype" w:hAnsi="Palatino Linotype" w:cs="Arial"/>
          <w:b/>
          <w:sz w:val="28"/>
          <w:szCs w:val="28"/>
        </w:rPr>
        <w:t xml:space="preserve">PRIMERO. </w:t>
      </w:r>
      <w:r w:rsidRPr="00B34A68">
        <w:rPr>
          <w:rFonts w:ascii="Palatino Linotype" w:hAnsi="Palatino Linotype" w:cs="Arial"/>
          <w:b/>
          <w:sz w:val="26"/>
          <w:szCs w:val="26"/>
        </w:rPr>
        <w:t>De la competencia</w:t>
      </w:r>
      <w:r w:rsidRPr="00B34A68">
        <w:rPr>
          <w:rFonts w:ascii="Palatino Linotype" w:hAnsi="Palatino Linotype" w:cs="Arial"/>
          <w:sz w:val="26"/>
          <w:szCs w:val="26"/>
        </w:rPr>
        <w:t>.</w:t>
      </w:r>
    </w:p>
    <w:p w14:paraId="30994F22" w14:textId="77777777"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 xml:space="preserve">Este Instituto de Transparencia, Acceso a la Información Pública y Protección de Datos Personales del Estado de México y Municipios, es competente para conocer y resolver los presentes recursos de revisión interpuestos por el ahora </w:t>
      </w:r>
      <w:r w:rsidRPr="00B34A68">
        <w:rPr>
          <w:rFonts w:ascii="Palatino Linotype" w:hAnsi="Palatino Linotype" w:cs="Arial"/>
          <w:b/>
          <w:sz w:val="24"/>
          <w:szCs w:val="24"/>
        </w:rPr>
        <w:t>Recurrente</w:t>
      </w:r>
      <w:r w:rsidRPr="00B34A68">
        <w:rPr>
          <w:rFonts w:ascii="Palatino Linotype" w:hAnsi="Palatino Linotype" w:cs="Arial"/>
          <w:sz w:val="24"/>
          <w:szCs w:val="24"/>
        </w:rPr>
        <w:t>,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047DA8CB" w14:textId="4A3B7858" w:rsidR="00BE4215" w:rsidRDefault="00BE4215" w:rsidP="00747C38">
      <w:pPr>
        <w:spacing w:after="0" w:line="360" w:lineRule="auto"/>
        <w:jc w:val="both"/>
        <w:rPr>
          <w:rFonts w:ascii="Palatino Linotype" w:hAnsi="Palatino Linotype" w:cs="Arial"/>
          <w:sz w:val="24"/>
          <w:szCs w:val="24"/>
        </w:rPr>
      </w:pPr>
    </w:p>
    <w:p w14:paraId="6684B669" w14:textId="77777777" w:rsidR="00606DB7" w:rsidRPr="00B34A68" w:rsidRDefault="00606DB7" w:rsidP="00747C38">
      <w:pPr>
        <w:spacing w:after="0" w:line="360" w:lineRule="auto"/>
        <w:jc w:val="both"/>
        <w:rPr>
          <w:rFonts w:ascii="Palatino Linotype" w:hAnsi="Palatino Linotype" w:cs="Arial"/>
          <w:sz w:val="24"/>
          <w:szCs w:val="24"/>
        </w:rPr>
      </w:pPr>
    </w:p>
    <w:p w14:paraId="63C11443" w14:textId="77777777" w:rsidR="00BE4215" w:rsidRPr="00B34A68" w:rsidRDefault="00BE4215" w:rsidP="00747C38">
      <w:pPr>
        <w:autoSpaceDE w:val="0"/>
        <w:autoSpaceDN w:val="0"/>
        <w:adjustRightInd w:val="0"/>
        <w:spacing w:after="0" w:line="360" w:lineRule="auto"/>
        <w:jc w:val="both"/>
        <w:rPr>
          <w:rFonts w:ascii="Palatino Linotype" w:hAnsi="Palatino Linotype" w:cs="Arial"/>
          <w:bCs/>
          <w:sz w:val="24"/>
          <w:szCs w:val="24"/>
        </w:rPr>
      </w:pPr>
      <w:r w:rsidRPr="00B34A68">
        <w:rPr>
          <w:rFonts w:ascii="Palatino Linotype" w:hAnsi="Palatino Linotype" w:cs="Arial"/>
          <w:b/>
          <w:sz w:val="28"/>
          <w:szCs w:val="28"/>
        </w:rPr>
        <w:lastRenderedPageBreak/>
        <w:t>SEGUNDO. Del alcance de los recursos de revisión.</w:t>
      </w:r>
      <w:r w:rsidRPr="00B34A68">
        <w:rPr>
          <w:rFonts w:ascii="Palatino Linotype" w:hAnsi="Palatino Linotype" w:cs="Arial"/>
          <w:bCs/>
          <w:sz w:val="28"/>
          <w:szCs w:val="28"/>
        </w:rPr>
        <w:t xml:space="preserve"> </w:t>
      </w:r>
    </w:p>
    <w:p w14:paraId="0133481A" w14:textId="77777777" w:rsidR="00BE4215" w:rsidRPr="00B34A68" w:rsidRDefault="00BE4215" w:rsidP="00747C3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r w:rsidRPr="00B34A68">
        <w:rPr>
          <w:rFonts w:ascii="Palatino Linotype" w:eastAsia="Palatino Linotype" w:hAnsi="Palatino Linotype" w:cs="Palatino Linotype"/>
          <w:sz w:val="24"/>
          <w:szCs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2761C74B" w14:textId="77777777" w:rsidR="00BE4215" w:rsidRPr="00B34A68" w:rsidRDefault="00BE4215" w:rsidP="00747C38">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lang w:val="es-ES_tradnl" w:eastAsia="es-MX"/>
        </w:rPr>
      </w:pPr>
    </w:p>
    <w:p w14:paraId="1519B0A3" w14:textId="77777777" w:rsidR="00BE4215" w:rsidRPr="00B34A68" w:rsidRDefault="00BE4215" w:rsidP="00747C38">
      <w:pPr>
        <w:autoSpaceDE w:val="0"/>
        <w:autoSpaceDN w:val="0"/>
        <w:adjustRightInd w:val="0"/>
        <w:spacing w:after="0" w:line="360" w:lineRule="auto"/>
        <w:jc w:val="both"/>
        <w:rPr>
          <w:rFonts w:ascii="Palatino Linotype" w:hAnsi="Palatino Linotype" w:cs="Arial"/>
          <w:b/>
          <w:sz w:val="28"/>
          <w:szCs w:val="28"/>
        </w:rPr>
      </w:pPr>
      <w:r w:rsidRPr="00B34A68">
        <w:rPr>
          <w:rFonts w:ascii="Palatino Linotype" w:hAnsi="Palatino Linotype" w:cs="Arial"/>
          <w:b/>
          <w:sz w:val="28"/>
          <w:szCs w:val="28"/>
        </w:rPr>
        <w:t xml:space="preserve">TERCERO. Del estudio de las causas de improcedencia. </w:t>
      </w:r>
    </w:p>
    <w:p w14:paraId="159A17BD"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p>
    <w:p w14:paraId="538D5BD1"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p>
    <w:p w14:paraId="71083691"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b/>
          <w:bCs/>
          <w:i/>
        </w:rPr>
        <w:t xml:space="preserve">IMPROCEDENCIA Y SOBRESEIMIENTO EN EL JUICIO DE AMPARO. LAS CAUSAS PREVISTAS EN LOS ARTÍCULOS 73 Y 74 DE LA LEY DE LA MATERIA, RESPECTIVAMENTE, NO SON INCOMPATIBLES CON EL ARTÍCULO 25.1 DE LA CONVENCIÓN AMERICANA SOBRE DERECHOS </w:t>
      </w:r>
      <w:r w:rsidRPr="00B34A68">
        <w:rPr>
          <w:rFonts w:ascii="Palatino Linotype" w:hAnsi="Palatino Linotype"/>
          <w:b/>
          <w:bCs/>
          <w:i/>
        </w:rPr>
        <w:lastRenderedPageBreak/>
        <w:t xml:space="preserve">HUMANOS. </w:t>
      </w:r>
      <w:r w:rsidRPr="00B34A68">
        <w:rPr>
          <w:rFonts w:ascii="Palatino Linotype" w:hAnsi="Palatino Linotype"/>
          <w:i/>
        </w:rPr>
        <w:t xml:space="preserve">Del examen de compatibilidad de los artículos </w:t>
      </w:r>
      <w:hyperlink r:id="rId7" w:history="1">
        <w:r w:rsidRPr="00B34A68">
          <w:rPr>
            <w:rFonts w:ascii="Palatino Linotype" w:eastAsia="Calibri" w:hAnsi="Palatino Linotype"/>
            <w:i/>
            <w:u w:val="single"/>
          </w:rPr>
          <w:t>73 y 74 de la Ley de Amparo</w:t>
        </w:r>
      </w:hyperlink>
      <w:r w:rsidRPr="00B34A68">
        <w:rPr>
          <w:rFonts w:ascii="Palatino Linotype" w:eastAsia="Calibri" w:hAnsi="Palatino Linotype"/>
          <w:i/>
          <w:u w:val="single"/>
        </w:rPr>
        <w:t xml:space="preserve"> </w:t>
      </w:r>
      <w:r w:rsidRPr="00B34A68">
        <w:rPr>
          <w:rFonts w:ascii="Palatino Linotype" w:hAnsi="Palatino Linotype"/>
          <w:i/>
        </w:rPr>
        <w:t xml:space="preserve">con el artículo </w:t>
      </w:r>
      <w:hyperlink r:id="rId8" w:history="1">
        <w:r w:rsidRPr="00B34A68">
          <w:rPr>
            <w:rFonts w:ascii="Palatino Linotype" w:eastAsia="Calibri" w:hAnsi="Palatino Linotype"/>
            <w:i/>
            <w:u w:val="single"/>
          </w:rPr>
          <w:t>25.1 de la Convención Americana sobre Derechos Humanos</w:t>
        </w:r>
      </w:hyperlink>
      <w:r w:rsidRPr="00B34A68">
        <w:rPr>
          <w:rFonts w:ascii="Palatino Linotype" w:hAnsi="Palatino Linotype"/>
          <w:i/>
        </w:rPr>
        <w:t xml:space="preserve"> </w:t>
      </w:r>
      <w:r w:rsidRPr="00B34A68">
        <w:rPr>
          <w:rFonts w:ascii="Palatino Linotype" w:hAnsi="Palatino Linotype"/>
          <w:b/>
          <w:i/>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B34A68">
        <w:rPr>
          <w:rFonts w:ascii="Palatino Linotype" w:hAnsi="Palatino Linotype"/>
          <w:i/>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3224A1E"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5823B0A"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t>Por lo que, una vez analizadas las constancias de los expedientes, se cae en la cuenta de que, no se actualiza ninguna de las casuales a continuación transcritas:</w:t>
      </w:r>
    </w:p>
    <w:p w14:paraId="601FB5D0"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p>
    <w:p w14:paraId="3B8EDBD5"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i/>
          <w:lang w:val="es-ES" w:eastAsia="es-ES"/>
        </w:rPr>
        <w:t>“</w:t>
      </w:r>
      <w:r w:rsidRPr="00B34A68">
        <w:rPr>
          <w:rFonts w:ascii="Palatino Linotype" w:eastAsia="Times New Roman" w:hAnsi="Palatino Linotype" w:cs="Arial"/>
          <w:b/>
          <w:i/>
          <w:lang w:val="es-ES" w:eastAsia="es-ES"/>
        </w:rPr>
        <w:t>Artículo 191</w:t>
      </w:r>
      <w:r w:rsidRPr="00B34A68">
        <w:rPr>
          <w:rFonts w:ascii="Palatino Linotype" w:eastAsia="Times New Roman" w:hAnsi="Palatino Linotype" w:cs="Arial"/>
          <w:i/>
          <w:lang w:val="es-ES" w:eastAsia="es-ES"/>
        </w:rPr>
        <w:t xml:space="preserve">. El recurso será desechado por improcedente cuando:  </w:t>
      </w:r>
    </w:p>
    <w:p w14:paraId="72944A1A"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w:t>
      </w:r>
      <w:r w:rsidRPr="00B34A68">
        <w:rPr>
          <w:rFonts w:ascii="Palatino Linotype" w:eastAsia="Times New Roman" w:hAnsi="Palatino Linotype" w:cs="Arial"/>
          <w:i/>
          <w:lang w:val="es-ES" w:eastAsia="es-ES"/>
        </w:rPr>
        <w:t xml:space="preserve">. Sea extemporáneo por haber transcurrido el plazo establecido en la presente Ley, a partir de la respuesta;  </w:t>
      </w:r>
    </w:p>
    <w:p w14:paraId="3DEBAB7A"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II</w:t>
      </w:r>
      <w:r w:rsidRPr="00B34A68">
        <w:rPr>
          <w:rFonts w:ascii="Palatino Linotype" w:eastAsia="Times New Roman" w:hAnsi="Palatino Linotype" w:cs="Arial"/>
          <w:i/>
          <w:lang w:val="es-ES" w:eastAsia="es-ES"/>
        </w:rPr>
        <w:t xml:space="preserve">. Se esté tramitando ante el Poder Judicial de la Federación algún recurso o medio de defensa interpuesto por el recurrente;  </w:t>
      </w:r>
    </w:p>
    <w:p w14:paraId="151E2DAE"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III</w:t>
      </w:r>
      <w:r w:rsidRPr="00B34A68">
        <w:rPr>
          <w:rFonts w:ascii="Palatino Linotype" w:eastAsia="Times New Roman" w:hAnsi="Palatino Linotype" w:cs="Arial"/>
          <w:i/>
          <w:lang w:val="es-ES" w:eastAsia="es-ES"/>
        </w:rPr>
        <w:t xml:space="preserve">. No actualice alguno de los supuestos previstos en la presente Ley;  </w:t>
      </w:r>
    </w:p>
    <w:p w14:paraId="41CB3531"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IV</w:t>
      </w:r>
      <w:r w:rsidRPr="00B34A68">
        <w:rPr>
          <w:rFonts w:ascii="Palatino Linotype" w:eastAsia="Times New Roman" w:hAnsi="Palatino Linotype" w:cs="Arial"/>
          <w:i/>
          <w:lang w:val="es-ES" w:eastAsia="es-ES"/>
        </w:rPr>
        <w:t xml:space="preserve">. No se haya desahogado la prevención en los términos establecidos en la presente Ley;  </w:t>
      </w:r>
    </w:p>
    <w:p w14:paraId="2BC46F7F"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w:t>
      </w:r>
      <w:r w:rsidRPr="00B34A68">
        <w:rPr>
          <w:rFonts w:ascii="Palatino Linotype" w:eastAsia="Times New Roman" w:hAnsi="Palatino Linotype" w:cs="Arial"/>
          <w:i/>
          <w:lang w:val="es-ES" w:eastAsia="es-ES"/>
        </w:rPr>
        <w:t xml:space="preserve">. Se impugne la veracidad de la información proporcionada;  </w:t>
      </w:r>
    </w:p>
    <w:p w14:paraId="29F614AF"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VI</w:t>
      </w:r>
      <w:r w:rsidRPr="00B34A68">
        <w:rPr>
          <w:rFonts w:ascii="Palatino Linotype" w:eastAsia="Times New Roman" w:hAnsi="Palatino Linotype" w:cs="Arial"/>
          <w:i/>
          <w:lang w:val="es-ES" w:eastAsia="es-ES"/>
        </w:rPr>
        <w:t xml:space="preserve">. Se trate de una consulta, o trámite en específico; y  </w:t>
      </w:r>
    </w:p>
    <w:p w14:paraId="6084443B" w14:textId="77777777" w:rsidR="00BE4215" w:rsidRPr="00B34A68" w:rsidRDefault="00BE4215" w:rsidP="00747C38">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B34A68">
        <w:rPr>
          <w:rFonts w:ascii="Palatino Linotype" w:eastAsia="Times New Roman" w:hAnsi="Palatino Linotype" w:cs="Arial"/>
          <w:b/>
          <w:i/>
          <w:lang w:val="es-ES" w:eastAsia="es-ES"/>
        </w:rPr>
        <w:t>VII</w:t>
      </w:r>
      <w:r w:rsidRPr="00B34A68">
        <w:rPr>
          <w:rFonts w:ascii="Palatino Linotype" w:eastAsia="Times New Roman" w:hAnsi="Palatino Linotype" w:cs="Arial"/>
          <w:i/>
          <w:lang w:val="es-ES" w:eastAsia="es-ES"/>
        </w:rPr>
        <w:t>. El recurrente amplíe su solicitud en el recurso de revisión, únicamente respecto de los nuevos contenidos.”</w:t>
      </w:r>
    </w:p>
    <w:p w14:paraId="4D3A7049" w14:textId="54C1E7D8" w:rsidR="00BE4215" w:rsidRDefault="00BE4215" w:rsidP="00747C38">
      <w:pPr>
        <w:autoSpaceDE w:val="0"/>
        <w:autoSpaceDN w:val="0"/>
        <w:adjustRightInd w:val="0"/>
        <w:spacing w:after="0" w:line="360" w:lineRule="auto"/>
        <w:jc w:val="both"/>
        <w:rPr>
          <w:rFonts w:ascii="Palatino Linotype" w:hAnsi="Palatino Linotype" w:cs="Arial"/>
          <w:sz w:val="24"/>
          <w:szCs w:val="24"/>
        </w:rPr>
      </w:pPr>
    </w:p>
    <w:p w14:paraId="2DE81BAB" w14:textId="77777777" w:rsidR="00747C38" w:rsidRPr="00B34A68" w:rsidRDefault="00747C38" w:rsidP="00747C38">
      <w:pPr>
        <w:autoSpaceDE w:val="0"/>
        <w:autoSpaceDN w:val="0"/>
        <w:adjustRightInd w:val="0"/>
        <w:spacing w:after="0" w:line="360" w:lineRule="auto"/>
        <w:jc w:val="both"/>
        <w:rPr>
          <w:rFonts w:ascii="Palatino Linotype" w:hAnsi="Palatino Linotype" w:cs="Arial"/>
          <w:sz w:val="24"/>
          <w:szCs w:val="24"/>
        </w:rPr>
      </w:pPr>
    </w:p>
    <w:p w14:paraId="55F28D17"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cs="Arial"/>
          <w:sz w:val="24"/>
          <w:szCs w:val="24"/>
        </w:rPr>
        <w:lastRenderedPageBreak/>
        <w:t>Ya que no fue interpuesto de forma extemporánea, no se está tramitando ante el Poder Judicial Federal, no es una consulta, o trámite en específico, ni tampoco se advierte que la parte</w:t>
      </w:r>
      <w:r w:rsidRPr="00B34A68">
        <w:rPr>
          <w:rFonts w:ascii="Palatino Linotype" w:hAnsi="Palatino Linotype" w:cs="Arial"/>
          <w:b/>
          <w:sz w:val="24"/>
          <w:szCs w:val="24"/>
        </w:rPr>
        <w:t xml:space="preserve"> Recurrente</w:t>
      </w:r>
      <w:r w:rsidRPr="00B34A68">
        <w:rPr>
          <w:rFonts w:ascii="Palatino Linotype" w:hAnsi="Palatino Linotype" w:cs="Arial"/>
          <w:sz w:val="24"/>
          <w:szCs w:val="24"/>
        </w:rPr>
        <w:t xml:space="preserve"> amplíe su solicitud en el recurso de revisión, por lo que al no existir causas de improcedencia invocadas por las partes ni advertidas de oficio, este Órgano Garante de la Transparencia se avoca al análisis del fondo del asunto que nos ocupa.</w:t>
      </w:r>
    </w:p>
    <w:p w14:paraId="551B8CC3"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p>
    <w:p w14:paraId="1CF3F3C7" w14:textId="77777777" w:rsidR="00BE4215" w:rsidRPr="00B34A68" w:rsidRDefault="00BE4215" w:rsidP="00747C38">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sidRPr="00B34A68">
        <w:rPr>
          <w:rFonts w:ascii="Palatino Linotype" w:eastAsia="Times New Roman" w:hAnsi="Palatino Linotype" w:cs="Arial"/>
          <w:b/>
          <w:sz w:val="28"/>
          <w:szCs w:val="28"/>
          <w:lang w:val="es-ES" w:eastAsia="es-ES"/>
        </w:rPr>
        <w:t xml:space="preserve">CUARTO. </w:t>
      </w:r>
      <w:r w:rsidRPr="00B34A68">
        <w:rPr>
          <w:rFonts w:ascii="Palatino Linotype" w:eastAsia="Times New Roman" w:hAnsi="Palatino Linotype" w:cs="Arial"/>
          <w:b/>
          <w:sz w:val="26"/>
          <w:szCs w:val="26"/>
          <w:lang w:val="es-ES" w:eastAsia="es-ES"/>
        </w:rPr>
        <w:t>Estudio y resolución de los recursos de revisión.</w:t>
      </w:r>
    </w:p>
    <w:p w14:paraId="55DBD216"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Se procede al análisis de los presentes recursos,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6D178A0E"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B1822CA" w14:textId="67D29B18"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Atentos a la redacción de la solicitud de información, se puede apreciar que la parte </w:t>
      </w:r>
      <w:r w:rsidRPr="00B34A68">
        <w:rPr>
          <w:rFonts w:ascii="Palatino Linotype" w:eastAsia="Times New Roman" w:hAnsi="Palatino Linotype" w:cs="Arial"/>
          <w:b/>
          <w:sz w:val="24"/>
          <w:szCs w:val="24"/>
          <w:lang w:val="es-ES" w:eastAsia="es-ES"/>
        </w:rPr>
        <w:t>Recurrente</w:t>
      </w:r>
      <w:r w:rsidRPr="00B34A68">
        <w:rPr>
          <w:rFonts w:ascii="Palatino Linotype" w:eastAsia="Times New Roman" w:hAnsi="Palatino Linotype" w:cs="Arial"/>
          <w:sz w:val="24"/>
          <w:szCs w:val="24"/>
          <w:lang w:val="es-ES" w:eastAsia="es-ES"/>
        </w:rPr>
        <w:t xml:space="preserve"> peticiona</w:t>
      </w:r>
      <w:r w:rsidR="00747C38">
        <w:rPr>
          <w:rFonts w:ascii="Palatino Linotype" w:eastAsia="Times New Roman" w:hAnsi="Palatino Linotype" w:cs="Arial"/>
          <w:sz w:val="24"/>
          <w:szCs w:val="24"/>
          <w:lang w:val="es-ES" w:eastAsia="es-ES"/>
        </w:rPr>
        <w:t xml:space="preserve"> del Secretario particular de presidencia, secretario particular adjunto, secretario técnico de presidencia y sus áreas staff y de los secretarios particulares de las direcciones de área,</w:t>
      </w:r>
      <w:r w:rsidRPr="00B34A68">
        <w:rPr>
          <w:rFonts w:ascii="Palatino Linotype" w:eastAsia="Times New Roman" w:hAnsi="Palatino Linotype" w:cs="Arial"/>
          <w:sz w:val="24"/>
          <w:szCs w:val="24"/>
          <w:lang w:val="es-ES" w:eastAsia="es-ES"/>
        </w:rPr>
        <w:t xml:space="preserve"> lo siguiente:</w:t>
      </w:r>
    </w:p>
    <w:p w14:paraId="27FB61D9"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2D37DB3" w14:textId="569015D5" w:rsidR="00747C38" w:rsidRPr="00747C38" w:rsidRDefault="001D4923" w:rsidP="00747C38">
      <w:pPr>
        <w:pStyle w:val="Prrafodelista"/>
        <w:numPr>
          <w:ilvl w:val="0"/>
          <w:numId w:val="11"/>
        </w:numPr>
        <w:autoSpaceDE w:val="0"/>
        <w:autoSpaceDN w:val="0"/>
        <w:adjustRightInd w:val="0"/>
        <w:spacing w:line="360" w:lineRule="auto"/>
        <w:jc w:val="both"/>
        <w:rPr>
          <w:rFonts w:ascii="Palatino Linotype" w:hAnsi="Palatino Linotype" w:cs="Arial"/>
        </w:rPr>
      </w:pPr>
      <w:r>
        <w:rPr>
          <w:rFonts w:ascii="Palatino Linotype" w:hAnsi="Palatino Linotype" w:cs="Arial"/>
        </w:rPr>
        <w:t>D</w:t>
      </w:r>
      <w:r w:rsidR="00747C38" w:rsidRPr="00747C38">
        <w:rPr>
          <w:rFonts w:ascii="Palatino Linotype" w:hAnsi="Palatino Linotype" w:cs="Arial"/>
        </w:rPr>
        <w:t xml:space="preserve">el secretario particular de presidencia, secretario particular adjunto en caso de existir, secretario técnico de presidencia y sus áreas staff: </w:t>
      </w:r>
    </w:p>
    <w:p w14:paraId="1C94B549" w14:textId="612E5368" w:rsidR="00747C38" w:rsidRPr="00747C38" w:rsidRDefault="00747C38" w:rsidP="00747C38">
      <w:pPr>
        <w:pStyle w:val="Prrafodelista"/>
        <w:numPr>
          <w:ilvl w:val="1"/>
          <w:numId w:val="11"/>
        </w:numPr>
        <w:autoSpaceDE w:val="0"/>
        <w:autoSpaceDN w:val="0"/>
        <w:adjustRightInd w:val="0"/>
        <w:spacing w:line="360" w:lineRule="auto"/>
        <w:jc w:val="both"/>
        <w:rPr>
          <w:rFonts w:ascii="Palatino Linotype" w:hAnsi="Palatino Linotype" w:cs="Arial"/>
        </w:rPr>
      </w:pPr>
      <w:r w:rsidRPr="00747C38">
        <w:rPr>
          <w:rFonts w:ascii="Palatino Linotype" w:hAnsi="Palatino Linotype" w:cs="Arial"/>
        </w:rPr>
        <w:t xml:space="preserve">los sueldos mensuales; </w:t>
      </w:r>
    </w:p>
    <w:p w14:paraId="12BDF75A" w14:textId="29B0B7EC" w:rsidR="00747C38" w:rsidRDefault="00747C38" w:rsidP="00747C38">
      <w:pPr>
        <w:pStyle w:val="Prrafodelista"/>
        <w:numPr>
          <w:ilvl w:val="1"/>
          <w:numId w:val="11"/>
        </w:numPr>
        <w:autoSpaceDE w:val="0"/>
        <w:autoSpaceDN w:val="0"/>
        <w:adjustRightInd w:val="0"/>
        <w:spacing w:line="360" w:lineRule="auto"/>
        <w:jc w:val="both"/>
        <w:rPr>
          <w:rFonts w:ascii="Palatino Linotype" w:hAnsi="Palatino Linotype" w:cs="Arial"/>
        </w:rPr>
      </w:pPr>
      <w:r w:rsidRPr="00747C38">
        <w:rPr>
          <w:rFonts w:ascii="Palatino Linotype" w:hAnsi="Palatino Linotype" w:cs="Arial"/>
        </w:rPr>
        <w:t>nombres;</w:t>
      </w:r>
      <w:r w:rsidR="001D4923">
        <w:rPr>
          <w:rFonts w:ascii="Palatino Linotype" w:hAnsi="Palatino Linotype" w:cs="Arial"/>
        </w:rPr>
        <w:t xml:space="preserve"> y</w:t>
      </w:r>
    </w:p>
    <w:p w14:paraId="20229939" w14:textId="29222C6E" w:rsidR="001D4923" w:rsidRPr="00747C38" w:rsidRDefault="001D4923" w:rsidP="00747C38">
      <w:pPr>
        <w:pStyle w:val="Prrafodelista"/>
        <w:numPr>
          <w:ilvl w:val="1"/>
          <w:numId w:val="11"/>
        </w:numPr>
        <w:autoSpaceDE w:val="0"/>
        <w:autoSpaceDN w:val="0"/>
        <w:adjustRightInd w:val="0"/>
        <w:spacing w:line="360" w:lineRule="auto"/>
        <w:jc w:val="both"/>
        <w:rPr>
          <w:rFonts w:ascii="Palatino Linotype" w:hAnsi="Palatino Linotype" w:cs="Arial"/>
        </w:rPr>
      </w:pPr>
      <w:r>
        <w:rPr>
          <w:rFonts w:ascii="Palatino Linotype" w:hAnsi="Palatino Linotype" w:cs="Arial"/>
        </w:rPr>
        <w:lastRenderedPageBreak/>
        <w:t>Ficha curricular.</w:t>
      </w:r>
    </w:p>
    <w:p w14:paraId="70DEB5C7" w14:textId="60D14043" w:rsidR="00747C38" w:rsidRPr="00747C38" w:rsidRDefault="001D4923" w:rsidP="00747C38">
      <w:pPr>
        <w:pStyle w:val="Prrafodelista"/>
        <w:numPr>
          <w:ilvl w:val="0"/>
          <w:numId w:val="11"/>
        </w:numPr>
        <w:autoSpaceDE w:val="0"/>
        <w:autoSpaceDN w:val="0"/>
        <w:adjustRightInd w:val="0"/>
        <w:spacing w:line="360" w:lineRule="auto"/>
        <w:jc w:val="both"/>
        <w:rPr>
          <w:rFonts w:ascii="Palatino Linotype" w:hAnsi="Palatino Linotype" w:cs="Arial"/>
        </w:rPr>
      </w:pPr>
      <w:bookmarkStart w:id="2" w:name="_Hlk187332178"/>
      <w:r>
        <w:rPr>
          <w:rFonts w:ascii="Palatino Linotype" w:hAnsi="Palatino Linotype" w:cs="Arial"/>
        </w:rPr>
        <w:t>D</w:t>
      </w:r>
      <w:r w:rsidR="00747C38" w:rsidRPr="00747C38">
        <w:rPr>
          <w:rFonts w:ascii="Palatino Linotype" w:hAnsi="Palatino Linotype" w:cs="Arial"/>
        </w:rPr>
        <w:t>e los secretarios particulares de las Direcciones de área</w:t>
      </w:r>
      <w:bookmarkEnd w:id="2"/>
      <w:r w:rsidR="00747C38" w:rsidRPr="00747C38">
        <w:rPr>
          <w:rFonts w:ascii="Palatino Linotype" w:hAnsi="Palatino Linotype" w:cs="Arial"/>
        </w:rPr>
        <w:t>:</w:t>
      </w:r>
    </w:p>
    <w:p w14:paraId="5FF02814" w14:textId="5B3EB5D0" w:rsidR="00747C38" w:rsidRPr="00747C38" w:rsidRDefault="00747C38" w:rsidP="00747C38">
      <w:pPr>
        <w:pStyle w:val="Prrafodelista"/>
        <w:numPr>
          <w:ilvl w:val="1"/>
          <w:numId w:val="11"/>
        </w:numPr>
        <w:autoSpaceDE w:val="0"/>
        <w:autoSpaceDN w:val="0"/>
        <w:adjustRightInd w:val="0"/>
        <w:spacing w:line="360" w:lineRule="auto"/>
        <w:jc w:val="both"/>
        <w:rPr>
          <w:rFonts w:ascii="Palatino Linotype" w:hAnsi="Palatino Linotype" w:cs="Arial"/>
        </w:rPr>
      </w:pPr>
      <w:r w:rsidRPr="00747C38">
        <w:rPr>
          <w:rFonts w:ascii="Palatino Linotype" w:hAnsi="Palatino Linotype" w:cs="Arial"/>
        </w:rPr>
        <w:t>sueldo mensual</w:t>
      </w:r>
    </w:p>
    <w:p w14:paraId="1F95398A"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CD2898" w14:textId="10A6C6A0" w:rsidR="00BE4215" w:rsidRPr="00B34A68" w:rsidRDefault="00BE4215" w:rsidP="00747C38">
      <w:pPr>
        <w:autoSpaceDE w:val="0"/>
        <w:autoSpaceDN w:val="0"/>
        <w:adjustRightInd w:val="0"/>
        <w:spacing w:after="0" w:line="360" w:lineRule="auto"/>
        <w:jc w:val="both"/>
        <w:rPr>
          <w:rFonts w:ascii="Palatino Linotype" w:eastAsia="Times New Roman" w:hAnsi="Palatino Linotype" w:cs="Times New Roman"/>
          <w:sz w:val="24"/>
          <w:szCs w:val="24"/>
          <w:lang w:eastAsia="es-ES"/>
        </w:rPr>
      </w:pPr>
      <w:r w:rsidRPr="00B34A68">
        <w:rPr>
          <w:rFonts w:ascii="Palatino Linotype" w:eastAsia="Times New Roman" w:hAnsi="Palatino Linotype" w:cs="Arial"/>
          <w:sz w:val="24"/>
          <w:szCs w:val="24"/>
          <w:lang w:val="es-ES" w:eastAsia="es-ES"/>
        </w:rPr>
        <w:t xml:space="preserve">El </w:t>
      </w:r>
      <w:r w:rsidRPr="00B34A68">
        <w:rPr>
          <w:rFonts w:ascii="Palatino Linotype" w:eastAsia="Times New Roman" w:hAnsi="Palatino Linotype" w:cs="Arial"/>
          <w:b/>
          <w:sz w:val="24"/>
          <w:szCs w:val="24"/>
          <w:lang w:val="es-ES" w:eastAsia="es-ES"/>
        </w:rPr>
        <w:t>Sujeto Obligado</w:t>
      </w:r>
      <w:r w:rsidRPr="00B34A68">
        <w:rPr>
          <w:rFonts w:ascii="Palatino Linotype" w:eastAsia="Times New Roman" w:hAnsi="Palatino Linotype" w:cs="Arial"/>
          <w:sz w:val="24"/>
          <w:szCs w:val="24"/>
          <w:lang w:val="es-ES" w:eastAsia="es-ES"/>
        </w:rPr>
        <w:t xml:space="preserve"> emitió respuesta por medio de </w:t>
      </w:r>
      <w:r w:rsidRPr="00B34A68">
        <w:rPr>
          <w:rFonts w:ascii="Palatino Linotype" w:eastAsia="Times New Roman" w:hAnsi="Palatino Linotype" w:cs="Times New Roman"/>
          <w:sz w:val="24"/>
          <w:szCs w:val="24"/>
          <w:lang w:eastAsia="es-ES"/>
        </w:rPr>
        <w:t xml:space="preserve">los archivos electrónicos </w:t>
      </w:r>
      <w:r w:rsidR="008B4F8D" w:rsidRPr="00B34A68">
        <w:rPr>
          <w:rFonts w:ascii="Palatino Linotype" w:eastAsia="Times New Roman" w:hAnsi="Palatino Linotype" w:cs="Times New Roman"/>
          <w:i/>
          <w:sz w:val="24"/>
          <w:szCs w:val="24"/>
          <w:lang w:eastAsia="es-ES"/>
        </w:rPr>
        <w:t>“</w:t>
      </w:r>
      <w:r w:rsidR="008B4F8D" w:rsidRPr="009C46A6">
        <w:rPr>
          <w:rFonts w:ascii="Palatino Linotype" w:eastAsia="Times New Roman" w:hAnsi="Palatino Linotype" w:cs="Times New Roman"/>
          <w:b/>
          <w:i/>
          <w:sz w:val="24"/>
          <w:szCs w:val="24"/>
          <w:lang w:eastAsia="es-ES"/>
        </w:rPr>
        <w:t>saimex 147.pdf</w:t>
      </w:r>
      <w:r w:rsidR="008B4F8D">
        <w:rPr>
          <w:rFonts w:ascii="Palatino Linotype" w:eastAsia="Times New Roman" w:hAnsi="Palatino Linotype" w:cs="Times New Roman"/>
          <w:b/>
          <w:i/>
          <w:sz w:val="24"/>
          <w:szCs w:val="24"/>
          <w:lang w:eastAsia="es-ES"/>
        </w:rPr>
        <w:t xml:space="preserve">, </w:t>
      </w:r>
      <w:r w:rsidR="008B4F8D" w:rsidRPr="009C46A6">
        <w:rPr>
          <w:rFonts w:ascii="Palatino Linotype" w:eastAsia="Times New Roman" w:hAnsi="Palatino Linotype" w:cs="Times New Roman"/>
          <w:b/>
          <w:i/>
          <w:sz w:val="24"/>
          <w:szCs w:val="24"/>
          <w:lang w:eastAsia="es-ES"/>
        </w:rPr>
        <w:t>anexo 147.pdf</w:t>
      </w:r>
      <w:r w:rsidR="008B4F8D" w:rsidRPr="009C46A6">
        <w:rPr>
          <w:rFonts w:ascii="Palatino Linotype" w:eastAsia="Times New Roman" w:hAnsi="Palatino Linotype" w:cs="Times New Roman"/>
          <w:bCs/>
          <w:iCs/>
          <w:sz w:val="24"/>
          <w:szCs w:val="24"/>
          <w:lang w:eastAsia="es-ES"/>
        </w:rPr>
        <w:t xml:space="preserve"> y </w:t>
      </w:r>
      <w:r w:rsidR="008B4F8D" w:rsidRPr="009C46A6">
        <w:rPr>
          <w:rFonts w:ascii="Palatino Linotype" w:eastAsia="Times New Roman" w:hAnsi="Palatino Linotype" w:cs="Times New Roman"/>
          <w:b/>
          <w:i/>
          <w:sz w:val="24"/>
          <w:szCs w:val="24"/>
          <w:lang w:eastAsia="es-ES"/>
        </w:rPr>
        <w:t>TESORERIA MUNICIPAL SOL. 147.pdf</w:t>
      </w:r>
      <w:r w:rsidR="008B4F8D" w:rsidRPr="00B34A68">
        <w:rPr>
          <w:rFonts w:ascii="Palatino Linotype" w:eastAsia="Times New Roman" w:hAnsi="Palatino Linotype" w:cs="Times New Roman"/>
          <w:i/>
          <w:sz w:val="24"/>
          <w:szCs w:val="24"/>
          <w:lang w:eastAsia="es-ES"/>
        </w:rPr>
        <w:t>”</w:t>
      </w:r>
      <w:r w:rsidR="008B4F8D" w:rsidRPr="00B34A68">
        <w:rPr>
          <w:rFonts w:ascii="Palatino Linotype" w:eastAsia="Times New Roman" w:hAnsi="Palatino Linotype" w:cs="Times New Roman"/>
          <w:sz w:val="24"/>
          <w:szCs w:val="24"/>
          <w:lang w:eastAsia="es-ES"/>
        </w:rPr>
        <w:t>,</w:t>
      </w:r>
      <w:r w:rsidRPr="00B34A68">
        <w:rPr>
          <w:rFonts w:ascii="Palatino Linotype" w:eastAsia="Times New Roman" w:hAnsi="Palatino Linotype" w:cs="Times New Roman"/>
          <w:sz w:val="24"/>
          <w:szCs w:val="24"/>
          <w:lang w:eastAsia="es-ES"/>
        </w:rPr>
        <w:t xml:space="preserve"> de los que se desprende el contenido siguiente:</w:t>
      </w:r>
    </w:p>
    <w:p w14:paraId="6B9B114E"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Times New Roman"/>
          <w:sz w:val="24"/>
          <w:szCs w:val="24"/>
          <w:lang w:eastAsia="es-ES"/>
        </w:rPr>
      </w:pPr>
    </w:p>
    <w:p w14:paraId="36F3BF1E" w14:textId="14CA39D7" w:rsidR="00BE4215" w:rsidRPr="00B34A68" w:rsidRDefault="008B4F8D" w:rsidP="00747C38">
      <w:pPr>
        <w:pStyle w:val="Prrafodelista"/>
        <w:numPr>
          <w:ilvl w:val="0"/>
          <w:numId w:val="2"/>
        </w:numPr>
        <w:autoSpaceDE w:val="0"/>
        <w:autoSpaceDN w:val="0"/>
        <w:adjustRightInd w:val="0"/>
        <w:spacing w:line="360" w:lineRule="auto"/>
        <w:jc w:val="both"/>
        <w:rPr>
          <w:rFonts w:ascii="Palatino Linotype" w:hAnsi="Palatino Linotype"/>
        </w:rPr>
      </w:pPr>
      <w:r w:rsidRPr="009C46A6">
        <w:rPr>
          <w:rFonts w:ascii="Palatino Linotype" w:hAnsi="Palatino Linotype"/>
          <w:b/>
          <w:i/>
        </w:rPr>
        <w:t>saimex 147.pdf</w:t>
      </w:r>
      <w:r w:rsidR="00BE4215" w:rsidRPr="00B34A68">
        <w:rPr>
          <w:rFonts w:ascii="Palatino Linotype" w:hAnsi="Palatino Linotype"/>
        </w:rPr>
        <w:t xml:space="preserve">: </w:t>
      </w:r>
      <w:r>
        <w:rPr>
          <w:rFonts w:ascii="Palatino Linotype" w:hAnsi="Palatino Linotype"/>
        </w:rPr>
        <w:t>Oficio DRH/0772/</w:t>
      </w:r>
      <w:r w:rsidR="001D4923">
        <w:rPr>
          <w:rFonts w:ascii="Palatino Linotype" w:hAnsi="Palatino Linotype"/>
        </w:rPr>
        <w:t>2024</w:t>
      </w:r>
      <w:r w:rsidR="001D4923" w:rsidRPr="00B34A68">
        <w:rPr>
          <w:rFonts w:ascii="Palatino Linotype" w:hAnsi="Palatino Linotype"/>
        </w:rPr>
        <w:t xml:space="preserve"> </w:t>
      </w:r>
      <w:r w:rsidR="001D4923">
        <w:rPr>
          <w:rFonts w:ascii="Palatino Linotype" w:hAnsi="Palatino Linotype"/>
        </w:rPr>
        <w:t>a</w:t>
      </w:r>
      <w:r>
        <w:rPr>
          <w:rFonts w:ascii="Palatino Linotype" w:hAnsi="Palatino Linotype"/>
        </w:rPr>
        <w:t xml:space="preserve"> través del cual la </w:t>
      </w:r>
      <w:r w:rsidR="001D4923">
        <w:rPr>
          <w:rFonts w:ascii="Palatino Linotype" w:hAnsi="Palatino Linotype"/>
        </w:rPr>
        <w:t>jefa</w:t>
      </w:r>
      <w:r>
        <w:rPr>
          <w:rFonts w:ascii="Palatino Linotype" w:hAnsi="Palatino Linotype"/>
        </w:rPr>
        <w:t xml:space="preserve"> del Departamento de Recursos Humanos emitió respuesta, informando sustancialmente lo siguiente:</w:t>
      </w:r>
    </w:p>
    <w:p w14:paraId="3FF7BD63" w14:textId="41E8C828" w:rsidR="00BE4215" w:rsidRDefault="00BE4215" w:rsidP="008B4F8D">
      <w:pPr>
        <w:pStyle w:val="Prrafodelista"/>
        <w:autoSpaceDE w:val="0"/>
        <w:autoSpaceDN w:val="0"/>
        <w:adjustRightInd w:val="0"/>
        <w:spacing w:line="360" w:lineRule="auto"/>
        <w:ind w:left="720"/>
        <w:rPr>
          <w:rFonts w:ascii="Palatino Linotype" w:hAnsi="Palatino Linotype"/>
          <w:noProof/>
          <w:lang w:val="es-MX" w:eastAsia="es-MX"/>
        </w:rPr>
      </w:pPr>
    </w:p>
    <w:p w14:paraId="1A53797B" w14:textId="13466818" w:rsidR="008B4F8D" w:rsidRPr="008B4F8D" w:rsidRDefault="008B4F8D" w:rsidP="008B4F8D">
      <w:pPr>
        <w:pStyle w:val="Prrafodelista"/>
        <w:autoSpaceDE w:val="0"/>
        <w:autoSpaceDN w:val="0"/>
        <w:adjustRightInd w:val="0"/>
        <w:ind w:left="720"/>
        <w:jc w:val="both"/>
        <w:rPr>
          <w:rFonts w:ascii="Palatino Linotype" w:hAnsi="Palatino Linotype"/>
          <w:i/>
          <w:iCs/>
          <w:sz w:val="22"/>
          <w:szCs w:val="22"/>
        </w:rPr>
      </w:pPr>
      <w:r>
        <w:rPr>
          <w:rFonts w:ascii="Palatino Linotype" w:hAnsi="Palatino Linotype"/>
          <w:i/>
          <w:iCs/>
          <w:noProof/>
          <w:sz w:val="22"/>
          <w:szCs w:val="22"/>
          <w:lang w:val="es-MX" w:eastAsia="es-MX"/>
        </w:rPr>
        <w:t xml:space="preserve">“… </w:t>
      </w:r>
      <w:r w:rsidRPr="008B4F8D">
        <w:rPr>
          <w:rFonts w:ascii="Palatino Linotype" w:hAnsi="Palatino Linotype"/>
          <w:i/>
          <w:iCs/>
          <w:noProof/>
          <w:sz w:val="22"/>
          <w:szCs w:val="22"/>
          <w:lang w:val="es-MX" w:eastAsia="es-MX"/>
        </w:rPr>
        <w:t>de acuerdo a la información</w:t>
      </w:r>
      <w:r>
        <w:rPr>
          <w:rFonts w:ascii="Palatino Linotype" w:hAnsi="Palatino Linotype"/>
          <w:i/>
          <w:iCs/>
          <w:noProof/>
          <w:sz w:val="22"/>
          <w:szCs w:val="22"/>
          <w:lang w:val="es-MX" w:eastAsia="es-MX"/>
        </w:rPr>
        <w:t xml:space="preserve"> </w:t>
      </w:r>
      <w:r w:rsidRPr="008B4F8D">
        <w:rPr>
          <w:rFonts w:ascii="Palatino Linotype" w:hAnsi="Palatino Linotype"/>
          <w:i/>
          <w:iCs/>
          <w:noProof/>
          <w:sz w:val="22"/>
          <w:szCs w:val="22"/>
          <w:lang w:val="es-MX" w:eastAsia="es-MX"/>
        </w:rPr>
        <w:t>solicitada y que obra en los archivos de este Departamento, las CC. María Guadalupe Escobar Sánchez e Irene Olmos Fabela, ocupan los cargos de Encargada de la</w:t>
      </w:r>
      <w:r>
        <w:rPr>
          <w:rFonts w:ascii="Palatino Linotype" w:hAnsi="Palatino Linotype"/>
          <w:i/>
          <w:iCs/>
          <w:noProof/>
          <w:sz w:val="22"/>
          <w:szCs w:val="22"/>
          <w:lang w:val="es-MX" w:eastAsia="es-MX"/>
        </w:rPr>
        <w:t xml:space="preserve"> </w:t>
      </w:r>
      <w:r w:rsidRPr="008B4F8D">
        <w:rPr>
          <w:rFonts w:ascii="Palatino Linotype" w:hAnsi="Palatino Linotype"/>
          <w:i/>
          <w:iCs/>
          <w:noProof/>
          <w:sz w:val="22"/>
          <w:szCs w:val="22"/>
          <w:lang w:val="es-MX" w:eastAsia="es-MX"/>
        </w:rPr>
        <w:t>Secretaría Técnica y Secretaria Particular, respectivamente. Asimismo, se adjunta su</w:t>
      </w:r>
      <w:r>
        <w:rPr>
          <w:rFonts w:ascii="Palatino Linotype" w:hAnsi="Palatino Linotype"/>
          <w:i/>
          <w:iCs/>
          <w:noProof/>
          <w:sz w:val="22"/>
          <w:szCs w:val="22"/>
          <w:lang w:val="es-MX" w:eastAsia="es-MX"/>
        </w:rPr>
        <w:t xml:space="preserve"> </w:t>
      </w:r>
      <w:r w:rsidRPr="008B4F8D">
        <w:rPr>
          <w:rFonts w:ascii="Palatino Linotype" w:hAnsi="Palatino Linotype"/>
          <w:i/>
          <w:iCs/>
          <w:noProof/>
          <w:sz w:val="22"/>
          <w:szCs w:val="22"/>
          <w:lang w:val="es-MX" w:eastAsia="es-MX"/>
        </w:rPr>
        <w:t>ficha curricular en versión pública.</w:t>
      </w:r>
      <w:r>
        <w:rPr>
          <w:rFonts w:ascii="Palatino Linotype" w:hAnsi="Palatino Linotype"/>
          <w:i/>
          <w:iCs/>
          <w:noProof/>
          <w:sz w:val="22"/>
          <w:szCs w:val="22"/>
          <w:lang w:val="es-MX" w:eastAsia="es-MX"/>
        </w:rPr>
        <w:t>”</w:t>
      </w:r>
    </w:p>
    <w:p w14:paraId="1E29507D" w14:textId="77777777" w:rsidR="00BE4215" w:rsidRPr="00B34A68" w:rsidRDefault="00BE4215" w:rsidP="00747C38">
      <w:pPr>
        <w:autoSpaceDE w:val="0"/>
        <w:autoSpaceDN w:val="0"/>
        <w:adjustRightInd w:val="0"/>
        <w:spacing w:after="0" w:line="360" w:lineRule="auto"/>
        <w:jc w:val="both"/>
        <w:rPr>
          <w:rFonts w:ascii="Palatino Linotype" w:hAnsi="Palatino Linotype"/>
          <w:sz w:val="24"/>
        </w:rPr>
      </w:pPr>
    </w:p>
    <w:p w14:paraId="320196DD" w14:textId="064E10D0" w:rsidR="00BE4215" w:rsidRPr="00B34A68" w:rsidRDefault="008B4F8D" w:rsidP="00747C38">
      <w:pPr>
        <w:pStyle w:val="Prrafodelista"/>
        <w:numPr>
          <w:ilvl w:val="0"/>
          <w:numId w:val="2"/>
        </w:numPr>
        <w:autoSpaceDE w:val="0"/>
        <w:autoSpaceDN w:val="0"/>
        <w:adjustRightInd w:val="0"/>
        <w:spacing w:line="360" w:lineRule="auto"/>
        <w:jc w:val="both"/>
        <w:rPr>
          <w:rFonts w:ascii="Palatino Linotype" w:hAnsi="Palatino Linotype"/>
        </w:rPr>
      </w:pPr>
      <w:r w:rsidRPr="008B4F8D">
        <w:rPr>
          <w:rFonts w:ascii="Palatino Linotype" w:hAnsi="Palatino Linotype"/>
          <w:b/>
        </w:rPr>
        <w:t>anexo 147.pdf</w:t>
      </w:r>
      <w:r w:rsidR="00BE4215" w:rsidRPr="00B34A68">
        <w:rPr>
          <w:rFonts w:ascii="Palatino Linotype" w:hAnsi="Palatino Linotype"/>
        </w:rPr>
        <w:t xml:space="preserve">: </w:t>
      </w:r>
      <w:r>
        <w:rPr>
          <w:rFonts w:ascii="Palatino Linotype" w:hAnsi="Palatino Linotype"/>
        </w:rPr>
        <w:t xml:space="preserve">consistente en las fichas curriculares de las servidoras públicas que ostentan el cargo de </w:t>
      </w:r>
      <w:r w:rsidRPr="008B4F8D">
        <w:rPr>
          <w:rFonts w:ascii="Palatino Linotype" w:hAnsi="Palatino Linotype"/>
        </w:rPr>
        <w:t>Secretaría Técnica y Secretaria Particular</w:t>
      </w:r>
      <w:r>
        <w:rPr>
          <w:rFonts w:ascii="Palatino Linotype" w:hAnsi="Palatino Linotype"/>
        </w:rPr>
        <w:t>.</w:t>
      </w:r>
    </w:p>
    <w:p w14:paraId="020572C2" w14:textId="77777777" w:rsidR="00BE4215" w:rsidRPr="00B34A68" w:rsidRDefault="00BE4215" w:rsidP="00747C38">
      <w:pPr>
        <w:autoSpaceDE w:val="0"/>
        <w:autoSpaceDN w:val="0"/>
        <w:adjustRightInd w:val="0"/>
        <w:spacing w:after="0" w:line="360" w:lineRule="auto"/>
        <w:jc w:val="both"/>
        <w:rPr>
          <w:rFonts w:ascii="Palatino Linotype" w:hAnsi="Palatino Linotype"/>
          <w:sz w:val="24"/>
        </w:rPr>
      </w:pPr>
    </w:p>
    <w:p w14:paraId="2610211E" w14:textId="26A01022" w:rsidR="00BE4215" w:rsidRDefault="008B4F8D" w:rsidP="00747C38">
      <w:pPr>
        <w:pStyle w:val="Prrafodelista"/>
        <w:numPr>
          <w:ilvl w:val="0"/>
          <w:numId w:val="2"/>
        </w:numPr>
        <w:autoSpaceDE w:val="0"/>
        <w:autoSpaceDN w:val="0"/>
        <w:adjustRightInd w:val="0"/>
        <w:spacing w:line="360" w:lineRule="auto"/>
        <w:jc w:val="both"/>
        <w:rPr>
          <w:rFonts w:ascii="Palatino Linotype" w:hAnsi="Palatino Linotype"/>
        </w:rPr>
      </w:pPr>
      <w:r w:rsidRPr="008B4F8D">
        <w:rPr>
          <w:rFonts w:ascii="Palatino Linotype" w:hAnsi="Palatino Linotype"/>
          <w:b/>
        </w:rPr>
        <w:t>TESORERIA MUNICIPAL SOL. 147.pdf</w:t>
      </w:r>
      <w:r w:rsidR="00BE4215" w:rsidRPr="00B34A68">
        <w:rPr>
          <w:rFonts w:ascii="Palatino Linotype" w:hAnsi="Palatino Linotype"/>
        </w:rPr>
        <w:t xml:space="preserve">: Oficio </w:t>
      </w:r>
      <w:r>
        <w:rPr>
          <w:rFonts w:ascii="Palatino Linotype" w:hAnsi="Palatino Linotype"/>
        </w:rPr>
        <w:t>TM/0441/2024</w:t>
      </w:r>
      <w:r w:rsidR="00BE4215" w:rsidRPr="00B34A68">
        <w:rPr>
          <w:rFonts w:ascii="Palatino Linotype" w:hAnsi="Palatino Linotype"/>
        </w:rPr>
        <w:t xml:space="preserve"> remitido por el </w:t>
      </w:r>
      <w:r>
        <w:rPr>
          <w:rFonts w:ascii="Palatino Linotype" w:hAnsi="Palatino Linotype"/>
        </w:rPr>
        <w:t>Tesorero Municipal a</w:t>
      </w:r>
      <w:r w:rsidR="00BE4215" w:rsidRPr="00B34A68">
        <w:rPr>
          <w:rFonts w:ascii="Palatino Linotype" w:hAnsi="Palatino Linotype"/>
        </w:rPr>
        <w:t>l Titular de la Unidad de Transparencia</w:t>
      </w:r>
      <w:r>
        <w:rPr>
          <w:rFonts w:ascii="Palatino Linotype" w:hAnsi="Palatino Linotype"/>
        </w:rPr>
        <w:t>, ambos</w:t>
      </w:r>
      <w:r w:rsidR="00BE4215" w:rsidRPr="00B34A68">
        <w:rPr>
          <w:rFonts w:ascii="Palatino Linotype" w:hAnsi="Palatino Linotype"/>
        </w:rPr>
        <w:t xml:space="preserve"> del Sujeto Obligado, a través del cual informó </w:t>
      </w:r>
      <w:r>
        <w:rPr>
          <w:rFonts w:ascii="Palatino Linotype" w:hAnsi="Palatino Linotype"/>
        </w:rPr>
        <w:t>lo siguiente:</w:t>
      </w:r>
    </w:p>
    <w:p w14:paraId="07F67B04" w14:textId="77777777" w:rsidR="008B4F8D" w:rsidRPr="008B4F8D" w:rsidRDefault="008B4F8D" w:rsidP="008B4F8D">
      <w:pPr>
        <w:pStyle w:val="Prrafodelista"/>
        <w:rPr>
          <w:rFonts w:ascii="Palatino Linotype" w:hAnsi="Palatino Linotype"/>
        </w:rPr>
      </w:pPr>
    </w:p>
    <w:p w14:paraId="6597B48D" w14:textId="2B5E14C5" w:rsidR="008B4F8D" w:rsidRPr="008B4F8D" w:rsidRDefault="008B4F8D" w:rsidP="008B4F8D">
      <w:pPr>
        <w:pStyle w:val="Prrafodelista"/>
        <w:ind w:left="720"/>
        <w:jc w:val="both"/>
        <w:rPr>
          <w:rFonts w:ascii="Palatino Linotype" w:hAnsi="Palatino Linotype"/>
          <w:i/>
          <w:iCs/>
          <w:sz w:val="22"/>
          <w:szCs w:val="22"/>
        </w:rPr>
      </w:pPr>
      <w:r>
        <w:rPr>
          <w:rFonts w:ascii="Palatino Linotype" w:hAnsi="Palatino Linotype"/>
          <w:i/>
          <w:iCs/>
          <w:sz w:val="22"/>
          <w:szCs w:val="22"/>
        </w:rPr>
        <w:t>“…</w:t>
      </w:r>
      <w:r w:rsidRPr="008B4F8D">
        <w:rPr>
          <w:rFonts w:ascii="Palatino Linotype" w:hAnsi="Palatino Linotype"/>
          <w:i/>
          <w:iCs/>
          <w:lang w:val="es-419"/>
        </w:rPr>
        <w:t>que de acuerdo a las atribuciones referidas en el artículo 95</w:t>
      </w:r>
      <w:r>
        <w:rPr>
          <w:rFonts w:ascii="Palatino Linotype" w:hAnsi="Palatino Linotype"/>
          <w:i/>
          <w:iCs/>
          <w:lang w:val="es-419"/>
        </w:rPr>
        <w:t xml:space="preserve"> </w:t>
      </w:r>
      <w:r w:rsidRPr="008B4F8D">
        <w:rPr>
          <w:rFonts w:ascii="Palatino Linotype" w:hAnsi="Palatino Linotype"/>
          <w:i/>
          <w:iCs/>
          <w:lang w:val="es-419"/>
        </w:rPr>
        <w:t xml:space="preserve">de la Ley Orgánica Municipal del Estado de México y Municipios, en el Capítulo </w:t>
      </w:r>
      <w:r>
        <w:rPr>
          <w:rFonts w:ascii="Palatino Linotype" w:hAnsi="Palatino Linotype"/>
          <w:i/>
          <w:iCs/>
          <w:lang w:val="es-419"/>
        </w:rPr>
        <w:t xml:space="preserve">III </w:t>
      </w:r>
      <w:r w:rsidRPr="008B4F8D">
        <w:rPr>
          <w:rFonts w:ascii="Palatino Linotype" w:hAnsi="Palatino Linotype"/>
          <w:i/>
          <w:iCs/>
          <w:lang w:val="es-419"/>
        </w:rPr>
        <w:t>De la Tesorería Municipal del Bando Municipal vigente, en el Título V del Manual</w:t>
      </w:r>
      <w:r>
        <w:rPr>
          <w:rFonts w:ascii="Palatino Linotype" w:hAnsi="Palatino Linotype"/>
          <w:i/>
          <w:iCs/>
          <w:lang w:val="es-419"/>
        </w:rPr>
        <w:t xml:space="preserve"> </w:t>
      </w:r>
      <w:r w:rsidRPr="008B4F8D">
        <w:rPr>
          <w:rFonts w:ascii="Palatino Linotype" w:hAnsi="Palatino Linotype"/>
          <w:i/>
          <w:iCs/>
          <w:lang w:val="es-419"/>
        </w:rPr>
        <w:t>de Organización de la Tesorería Municipal y en el Numeral 11 Tesorería, del</w:t>
      </w:r>
      <w:r>
        <w:rPr>
          <w:rFonts w:ascii="Palatino Linotype" w:hAnsi="Palatino Linotype"/>
          <w:i/>
          <w:iCs/>
          <w:lang w:val="es-419"/>
        </w:rPr>
        <w:t xml:space="preserve"> </w:t>
      </w:r>
      <w:r w:rsidRPr="008B4F8D">
        <w:rPr>
          <w:rFonts w:ascii="Palatino Linotype" w:hAnsi="Palatino Linotype"/>
          <w:i/>
          <w:iCs/>
          <w:lang w:val="es-419"/>
        </w:rPr>
        <w:t xml:space="preserve">Manual General de </w:t>
      </w:r>
      <w:r w:rsidRPr="008B4F8D">
        <w:rPr>
          <w:rFonts w:ascii="Palatino Linotype" w:hAnsi="Palatino Linotype"/>
          <w:i/>
          <w:iCs/>
          <w:lang w:val="es-419"/>
        </w:rPr>
        <w:lastRenderedPageBreak/>
        <w:t>Organización de la Administración Pública Municipal de</w:t>
      </w:r>
      <w:r>
        <w:rPr>
          <w:rFonts w:ascii="Palatino Linotype" w:hAnsi="Palatino Linotype"/>
          <w:i/>
          <w:iCs/>
          <w:lang w:val="es-419"/>
        </w:rPr>
        <w:t xml:space="preserve"> </w:t>
      </w:r>
      <w:r w:rsidRPr="008B4F8D">
        <w:rPr>
          <w:rFonts w:ascii="Palatino Linotype" w:hAnsi="Palatino Linotype"/>
          <w:i/>
          <w:iCs/>
          <w:lang w:val="es-419"/>
        </w:rPr>
        <w:t>Temoaya, no son atribuciones del Tesorero Municipal la asignación de sueldos;</w:t>
      </w:r>
      <w:r>
        <w:rPr>
          <w:rFonts w:ascii="Palatino Linotype" w:hAnsi="Palatino Linotype"/>
          <w:i/>
          <w:iCs/>
          <w:lang w:val="es-419"/>
        </w:rPr>
        <w:t xml:space="preserve"> </w:t>
      </w:r>
      <w:r w:rsidRPr="008B4F8D">
        <w:rPr>
          <w:rFonts w:ascii="Palatino Linotype" w:hAnsi="Palatino Linotype"/>
          <w:i/>
          <w:iCs/>
          <w:lang w:val="es-419"/>
        </w:rPr>
        <w:t>derivado de lo anterior, es necesario redireccionar al área ejecutora de las</w:t>
      </w:r>
      <w:r>
        <w:rPr>
          <w:rFonts w:ascii="Palatino Linotype" w:hAnsi="Palatino Linotype"/>
          <w:i/>
          <w:iCs/>
          <w:lang w:val="es-419"/>
        </w:rPr>
        <w:t xml:space="preserve"> </w:t>
      </w:r>
      <w:r w:rsidRPr="008B4F8D">
        <w:rPr>
          <w:rFonts w:ascii="Palatino Linotype" w:hAnsi="Palatino Linotype"/>
          <w:i/>
          <w:iCs/>
          <w:sz w:val="22"/>
          <w:szCs w:val="22"/>
          <w:lang w:val="es-419"/>
        </w:rPr>
        <w:t>mismas.</w:t>
      </w:r>
      <w:r>
        <w:rPr>
          <w:rFonts w:ascii="Palatino Linotype" w:hAnsi="Palatino Linotype"/>
          <w:i/>
          <w:iCs/>
          <w:sz w:val="22"/>
          <w:szCs w:val="22"/>
          <w:lang w:val="es-419"/>
        </w:rPr>
        <w:t>”</w:t>
      </w:r>
    </w:p>
    <w:p w14:paraId="53D34EEC" w14:textId="77777777" w:rsidR="00BE4215" w:rsidRPr="00B34A68" w:rsidRDefault="00BE4215" w:rsidP="00747C38">
      <w:pPr>
        <w:autoSpaceDE w:val="0"/>
        <w:autoSpaceDN w:val="0"/>
        <w:adjustRightInd w:val="0"/>
        <w:spacing w:after="0" w:line="360" w:lineRule="auto"/>
        <w:jc w:val="both"/>
        <w:rPr>
          <w:rFonts w:ascii="Palatino Linotype" w:hAnsi="Palatino Linotype"/>
          <w:sz w:val="24"/>
        </w:rPr>
      </w:pPr>
    </w:p>
    <w:p w14:paraId="2D610A5A" w14:textId="713CB974"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Inconforme con la respuesta, la parte </w:t>
      </w:r>
      <w:r w:rsidRPr="00B34A68">
        <w:rPr>
          <w:rFonts w:ascii="Palatino Linotype" w:eastAsia="Times New Roman" w:hAnsi="Palatino Linotype" w:cs="Arial"/>
          <w:b/>
          <w:bCs/>
          <w:sz w:val="24"/>
          <w:szCs w:val="24"/>
          <w:lang w:val="es-ES" w:eastAsia="es-ES"/>
        </w:rPr>
        <w:t>Recurrente</w:t>
      </w:r>
      <w:r w:rsidRPr="00B34A68">
        <w:rPr>
          <w:rFonts w:ascii="Palatino Linotype" w:eastAsia="Times New Roman" w:hAnsi="Palatino Linotype" w:cs="Arial"/>
          <w:sz w:val="24"/>
          <w:szCs w:val="24"/>
          <w:lang w:val="es-ES" w:eastAsia="es-ES"/>
        </w:rPr>
        <w:t xml:space="preserve"> interpuso el recurso de revisión, señalando como </w:t>
      </w:r>
      <w:r w:rsidRPr="00B34A68">
        <w:rPr>
          <w:rFonts w:ascii="Palatino Linotype" w:eastAsia="Times New Roman" w:hAnsi="Palatino Linotype" w:cs="Arial"/>
          <w:b/>
          <w:bCs/>
          <w:sz w:val="24"/>
          <w:szCs w:val="24"/>
          <w:lang w:val="es-ES" w:eastAsia="es-ES"/>
        </w:rPr>
        <w:t>razones o motivos de inconformidad</w:t>
      </w:r>
      <w:r w:rsidRPr="00B34A68">
        <w:rPr>
          <w:rFonts w:ascii="Palatino Linotype" w:eastAsia="Times New Roman" w:hAnsi="Palatino Linotype" w:cs="Arial"/>
          <w:sz w:val="24"/>
          <w:szCs w:val="24"/>
          <w:lang w:val="es-ES" w:eastAsia="es-ES"/>
        </w:rPr>
        <w:t xml:space="preserve"> </w:t>
      </w:r>
      <w:r w:rsidRPr="00B34A68">
        <w:rPr>
          <w:rFonts w:ascii="Palatino Linotype" w:eastAsia="Times New Roman" w:hAnsi="Palatino Linotype" w:cs="Arial"/>
          <w:i/>
          <w:sz w:val="24"/>
          <w:szCs w:val="24"/>
          <w:lang w:val="es-ES" w:eastAsia="es-ES"/>
        </w:rPr>
        <w:t>“</w:t>
      </w:r>
      <w:r w:rsidR="0068361A" w:rsidRPr="0068361A">
        <w:rPr>
          <w:rFonts w:ascii="Palatino Linotype" w:hAnsi="Palatino Linotype" w:cs="Arial"/>
          <w:i/>
          <w:sz w:val="24"/>
          <w:szCs w:val="24"/>
        </w:rPr>
        <w:t>la información no contiene los sueldos mensuales de los puestos solicitados, además de estar incompleta porque faltan las demás áreas.</w:t>
      </w:r>
      <w:r w:rsidRPr="00B34A68">
        <w:rPr>
          <w:rFonts w:ascii="Palatino Linotype" w:hAnsi="Palatino Linotype" w:cs="Arial"/>
          <w:i/>
          <w:sz w:val="24"/>
          <w:szCs w:val="24"/>
        </w:rPr>
        <w:t>”</w:t>
      </w:r>
      <w:r w:rsidRPr="00B34A68">
        <w:rPr>
          <w:rFonts w:ascii="Palatino Linotype" w:hAnsi="Palatino Linotype" w:cs="Arial"/>
          <w:iCs/>
          <w:sz w:val="24"/>
          <w:szCs w:val="24"/>
        </w:rPr>
        <w:t xml:space="preserve">. </w:t>
      </w:r>
      <w:r w:rsidRPr="00B34A68">
        <w:rPr>
          <w:rFonts w:ascii="Palatino Linotype" w:eastAsia="Times New Roman" w:hAnsi="Palatino Linotype" w:cs="Arial"/>
          <w:sz w:val="24"/>
          <w:szCs w:val="24"/>
          <w:lang w:val="es-ES" w:eastAsia="es-ES"/>
        </w:rPr>
        <w:t xml:space="preserve">Consideraciones que se traducen en la entrega </w:t>
      </w:r>
      <w:r w:rsidR="0068361A">
        <w:rPr>
          <w:rFonts w:ascii="Palatino Linotype" w:eastAsia="Times New Roman" w:hAnsi="Palatino Linotype" w:cs="Arial"/>
          <w:sz w:val="24"/>
          <w:szCs w:val="24"/>
          <w:lang w:val="es-ES" w:eastAsia="es-ES"/>
        </w:rPr>
        <w:t xml:space="preserve">incompleta </w:t>
      </w:r>
      <w:r w:rsidRPr="00B34A68">
        <w:rPr>
          <w:rFonts w:ascii="Palatino Linotype" w:eastAsia="Times New Roman" w:hAnsi="Palatino Linotype" w:cs="Arial"/>
          <w:sz w:val="24"/>
          <w:szCs w:val="24"/>
          <w:lang w:val="es-ES" w:eastAsia="es-ES"/>
        </w:rPr>
        <w:t>de la información, las cuales resultan fundadas para la interposición del recurso de revisión al encuadrar en la fracción V del artículo 179 de la Ley de Transparencia Local</w:t>
      </w:r>
      <w:r w:rsidRPr="00B34A68">
        <w:rPr>
          <w:rStyle w:val="Refdenotaalpie"/>
          <w:rFonts w:ascii="Palatino Linotype" w:eastAsia="Times New Roman" w:hAnsi="Palatino Linotype" w:cs="Arial"/>
          <w:sz w:val="24"/>
          <w:szCs w:val="24"/>
          <w:lang w:val="es-ES" w:eastAsia="es-ES"/>
        </w:rPr>
        <w:footnoteReference w:id="1"/>
      </w:r>
      <w:r w:rsidRPr="00B34A68">
        <w:rPr>
          <w:rFonts w:ascii="Palatino Linotype" w:eastAsia="Times New Roman" w:hAnsi="Palatino Linotype" w:cs="Arial"/>
          <w:sz w:val="24"/>
          <w:szCs w:val="24"/>
          <w:lang w:val="es-ES" w:eastAsia="es-ES"/>
        </w:rPr>
        <w:t>.</w:t>
      </w:r>
    </w:p>
    <w:p w14:paraId="7ED6D889"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2BEF25" w14:textId="40CBA125"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95579A">
        <w:rPr>
          <w:rFonts w:ascii="Palatino Linotype" w:eastAsia="Times New Roman" w:hAnsi="Palatino Linotype" w:cs="Arial"/>
          <w:sz w:val="24"/>
          <w:szCs w:val="24"/>
          <w:lang w:val="es-ES" w:eastAsia="es-ES"/>
        </w:rPr>
        <w:t xml:space="preserve">Acotado lo anterior, podemos establecer que la </w:t>
      </w:r>
      <w:r w:rsidRPr="0095579A">
        <w:rPr>
          <w:rFonts w:ascii="Palatino Linotype" w:eastAsia="Times New Roman" w:hAnsi="Palatino Linotype" w:cs="Arial"/>
          <w:b/>
          <w:i/>
          <w:sz w:val="24"/>
          <w:szCs w:val="24"/>
          <w:lang w:val="es-ES" w:eastAsia="es-ES"/>
        </w:rPr>
        <w:t>Litis</w:t>
      </w:r>
      <w:r w:rsidRPr="0095579A">
        <w:rPr>
          <w:rFonts w:ascii="Palatino Linotype" w:eastAsia="Times New Roman" w:hAnsi="Palatino Linotype" w:cs="Arial"/>
          <w:sz w:val="24"/>
          <w:szCs w:val="24"/>
          <w:lang w:val="es-ES" w:eastAsia="es-ES"/>
        </w:rPr>
        <w:t xml:space="preserve"> en el presente asunto, se delimita en determinar si la respuesta del </w:t>
      </w:r>
      <w:r w:rsidRPr="0095579A">
        <w:rPr>
          <w:rFonts w:ascii="Palatino Linotype" w:eastAsia="Times New Roman" w:hAnsi="Palatino Linotype" w:cs="Arial"/>
          <w:b/>
          <w:sz w:val="24"/>
          <w:szCs w:val="24"/>
          <w:lang w:val="es-ES" w:eastAsia="es-ES"/>
        </w:rPr>
        <w:t>Sujeto Obligado</w:t>
      </w:r>
      <w:r w:rsidRPr="0095579A">
        <w:rPr>
          <w:rFonts w:ascii="Palatino Linotype" w:eastAsia="Times New Roman" w:hAnsi="Palatino Linotype" w:cs="Arial"/>
          <w:bCs/>
          <w:sz w:val="24"/>
          <w:szCs w:val="24"/>
          <w:lang w:val="es-ES" w:eastAsia="es-ES"/>
        </w:rPr>
        <w:t>, en lo que corresponde a</w:t>
      </w:r>
      <w:r w:rsidR="001D4923" w:rsidRPr="0095579A">
        <w:rPr>
          <w:rFonts w:ascii="Palatino Linotype" w:eastAsia="Times New Roman" w:hAnsi="Palatino Linotype" w:cs="Arial"/>
          <w:bCs/>
          <w:sz w:val="24"/>
          <w:szCs w:val="24"/>
          <w:lang w:val="es-ES" w:eastAsia="es-ES"/>
        </w:rPr>
        <w:t xml:space="preserve"> </w:t>
      </w:r>
      <w:r w:rsidRPr="0095579A">
        <w:rPr>
          <w:rFonts w:ascii="Palatino Linotype" w:eastAsia="Times New Roman" w:hAnsi="Palatino Linotype" w:cs="Arial"/>
          <w:bCs/>
          <w:sz w:val="24"/>
          <w:szCs w:val="24"/>
          <w:lang w:val="es-ES" w:eastAsia="es-ES"/>
        </w:rPr>
        <w:t>l</w:t>
      </w:r>
      <w:r w:rsidR="001D4923" w:rsidRPr="0095579A">
        <w:rPr>
          <w:rFonts w:ascii="Palatino Linotype" w:eastAsia="Times New Roman" w:hAnsi="Palatino Linotype" w:cs="Arial"/>
          <w:bCs/>
          <w:sz w:val="24"/>
          <w:szCs w:val="24"/>
          <w:lang w:val="es-ES" w:eastAsia="es-ES"/>
        </w:rPr>
        <w:t>a entrega incompleta de la información.</w:t>
      </w:r>
    </w:p>
    <w:p w14:paraId="26825CB3" w14:textId="77777777" w:rsidR="00BE4215" w:rsidRPr="00B34A68"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22AF50C" w14:textId="4217BD96" w:rsidR="00BE4215" w:rsidRDefault="00BE4215"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B34A68">
        <w:rPr>
          <w:rFonts w:ascii="Palatino Linotype" w:eastAsia="Times New Roman" w:hAnsi="Palatino Linotype" w:cs="Arial"/>
          <w:sz w:val="24"/>
          <w:szCs w:val="24"/>
          <w:lang w:val="es-ES" w:eastAsia="es-ES"/>
        </w:rPr>
        <w:t xml:space="preserve">Una vez descritas las constancias que integran el expediente electrónico, </w:t>
      </w:r>
      <w:r w:rsidR="001D4923">
        <w:rPr>
          <w:rFonts w:ascii="Palatino Linotype" w:eastAsia="Times New Roman" w:hAnsi="Palatino Linotype" w:cs="Arial"/>
          <w:sz w:val="24"/>
          <w:szCs w:val="24"/>
          <w:lang w:val="es-ES" w:eastAsia="es-ES"/>
        </w:rPr>
        <w:t>resulta necesario la elaboración de un cuadro comparativo que permita contrastar los requerimientos de información y la información proporcionada, a efecto de determinar si la respuesta satisface el derecho de acceso a la información de la parte Recurrente, por lo que, se procede en los términos siguientes:</w:t>
      </w:r>
    </w:p>
    <w:p w14:paraId="23D0ECB3" w14:textId="48A31114" w:rsidR="001D4923" w:rsidRDefault="001D4923"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2D310F8" w14:textId="663ED8BA" w:rsidR="00A630FA" w:rsidRDefault="00A630FA"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40D4139" w14:textId="77777777" w:rsidR="00A630FA" w:rsidRDefault="00A630FA" w:rsidP="00747C3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tbl>
      <w:tblPr>
        <w:tblStyle w:val="Tablaconcuadrcula"/>
        <w:tblW w:w="0" w:type="auto"/>
        <w:jc w:val="center"/>
        <w:tblLook w:val="04A0" w:firstRow="1" w:lastRow="0" w:firstColumn="1" w:lastColumn="0" w:noHBand="0" w:noVBand="1"/>
      </w:tblPr>
      <w:tblGrid>
        <w:gridCol w:w="4007"/>
        <w:gridCol w:w="4008"/>
      </w:tblGrid>
      <w:tr w:rsidR="00C262DE" w:rsidRPr="001D4923" w14:paraId="2C93A93E" w14:textId="77777777" w:rsidTr="00C262DE">
        <w:trPr>
          <w:trHeight w:val="343"/>
          <w:jc w:val="center"/>
        </w:trPr>
        <w:tc>
          <w:tcPr>
            <w:tcW w:w="4007" w:type="dxa"/>
            <w:shd w:val="clear" w:color="auto" w:fill="D5DCE4" w:themeFill="text2" w:themeFillTint="33"/>
            <w:vAlign w:val="center"/>
          </w:tcPr>
          <w:p w14:paraId="0734FA13" w14:textId="0194B1D7" w:rsidR="00C262DE" w:rsidRPr="001D4923" w:rsidRDefault="00C262DE" w:rsidP="001D4923">
            <w:pPr>
              <w:autoSpaceDE w:val="0"/>
              <w:autoSpaceDN w:val="0"/>
              <w:adjustRightInd w:val="0"/>
              <w:spacing w:line="276" w:lineRule="auto"/>
              <w:jc w:val="center"/>
              <w:rPr>
                <w:rFonts w:ascii="Palatino Linotype" w:eastAsia="Calibri" w:hAnsi="Palatino Linotype" w:cs="Times New Roman"/>
                <w:b/>
                <w:bCs/>
                <w:lang w:val="es-ES_tradnl" w:eastAsia="es-ES"/>
              </w:rPr>
            </w:pPr>
            <w:r>
              <w:rPr>
                <w:rFonts w:ascii="Palatino Linotype" w:eastAsia="Calibri" w:hAnsi="Palatino Linotype" w:cs="Times New Roman"/>
                <w:b/>
                <w:bCs/>
                <w:lang w:val="es-ES_tradnl" w:eastAsia="es-ES"/>
              </w:rPr>
              <w:lastRenderedPageBreak/>
              <w:t>Requerimiento</w:t>
            </w:r>
          </w:p>
        </w:tc>
        <w:tc>
          <w:tcPr>
            <w:tcW w:w="4008" w:type="dxa"/>
            <w:shd w:val="clear" w:color="auto" w:fill="D5DCE4" w:themeFill="text2" w:themeFillTint="33"/>
            <w:vAlign w:val="center"/>
          </w:tcPr>
          <w:p w14:paraId="166A6726" w14:textId="7BB2D594" w:rsidR="00C262DE" w:rsidRPr="001D4923" w:rsidRDefault="00C262DE" w:rsidP="001D4923">
            <w:pPr>
              <w:autoSpaceDE w:val="0"/>
              <w:autoSpaceDN w:val="0"/>
              <w:adjustRightInd w:val="0"/>
              <w:spacing w:line="276" w:lineRule="auto"/>
              <w:jc w:val="center"/>
              <w:rPr>
                <w:rFonts w:ascii="Palatino Linotype" w:eastAsia="Calibri" w:hAnsi="Palatino Linotype" w:cs="Times New Roman"/>
                <w:b/>
                <w:bCs/>
                <w:lang w:val="es-ES_tradnl" w:eastAsia="es-ES"/>
              </w:rPr>
            </w:pPr>
            <w:r>
              <w:rPr>
                <w:rFonts w:ascii="Palatino Linotype" w:eastAsia="Calibri" w:hAnsi="Palatino Linotype" w:cs="Times New Roman"/>
                <w:b/>
                <w:bCs/>
                <w:lang w:val="es-ES_tradnl" w:eastAsia="es-ES"/>
              </w:rPr>
              <w:t>Respuesta</w:t>
            </w:r>
          </w:p>
        </w:tc>
      </w:tr>
      <w:tr w:rsidR="00C262DE" w:rsidRPr="001D4923" w14:paraId="5DC5E1CA" w14:textId="77777777" w:rsidTr="00C262DE">
        <w:trPr>
          <w:trHeight w:val="686"/>
          <w:jc w:val="center"/>
        </w:trPr>
        <w:tc>
          <w:tcPr>
            <w:tcW w:w="8015" w:type="dxa"/>
            <w:gridSpan w:val="2"/>
            <w:shd w:val="clear" w:color="auto" w:fill="D5DCE4" w:themeFill="text2" w:themeFillTint="33"/>
            <w:vAlign w:val="center"/>
          </w:tcPr>
          <w:p w14:paraId="03867D1A" w14:textId="49E048AA"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val="es-ES_tradnl" w:eastAsia="es-ES"/>
              </w:rPr>
            </w:pPr>
            <w:r w:rsidRPr="001D4923">
              <w:rPr>
                <w:rFonts w:ascii="Palatino Linotype" w:eastAsia="Calibri" w:hAnsi="Palatino Linotype" w:cs="Times New Roman"/>
                <w:lang w:val="es-ES_tradnl" w:eastAsia="es-ES"/>
              </w:rPr>
              <w:t>1.</w:t>
            </w:r>
            <w:r w:rsidRPr="001D4923">
              <w:rPr>
                <w:rFonts w:ascii="Palatino Linotype" w:eastAsia="Calibri" w:hAnsi="Palatino Linotype" w:cs="Times New Roman"/>
                <w:lang w:val="es-ES_tradnl" w:eastAsia="es-ES"/>
              </w:rPr>
              <w:tab/>
              <w:t>Del secretario particular de presidencia, secretario particular adjunto en caso de existir, secretario técnico de presidencia y sus áreas staff:</w:t>
            </w:r>
          </w:p>
        </w:tc>
      </w:tr>
      <w:tr w:rsidR="00C262DE" w:rsidRPr="001D4923" w14:paraId="50E9C16A" w14:textId="77777777" w:rsidTr="00C262DE">
        <w:trPr>
          <w:trHeight w:val="1387"/>
          <w:jc w:val="center"/>
        </w:trPr>
        <w:tc>
          <w:tcPr>
            <w:tcW w:w="4007" w:type="dxa"/>
            <w:shd w:val="clear" w:color="auto" w:fill="F2F2F2" w:themeFill="background1" w:themeFillShade="F2"/>
            <w:vAlign w:val="center"/>
          </w:tcPr>
          <w:p w14:paraId="0B73E25F" w14:textId="5732DB60"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val="es-ES_tradnl" w:eastAsia="es-ES"/>
              </w:rPr>
            </w:pPr>
            <w:r w:rsidRPr="001D4923">
              <w:rPr>
                <w:rFonts w:ascii="Palatino Linotype" w:eastAsia="Calibri" w:hAnsi="Palatino Linotype" w:cs="Times New Roman"/>
                <w:lang w:val="es-ES_tradnl" w:eastAsia="es-ES"/>
              </w:rPr>
              <w:t>1.1</w:t>
            </w:r>
            <w:r w:rsidRPr="001D4923">
              <w:rPr>
                <w:rFonts w:ascii="Palatino Linotype" w:eastAsia="Calibri" w:hAnsi="Palatino Linotype" w:cs="Times New Roman"/>
                <w:lang w:val="es-ES_tradnl" w:eastAsia="es-ES"/>
              </w:rPr>
              <w:tab/>
              <w:t>los sueldos mensuales;</w:t>
            </w:r>
          </w:p>
        </w:tc>
        <w:tc>
          <w:tcPr>
            <w:tcW w:w="4008" w:type="dxa"/>
            <w:shd w:val="clear" w:color="auto" w:fill="F2F2F2" w:themeFill="background1" w:themeFillShade="F2"/>
            <w:vAlign w:val="center"/>
          </w:tcPr>
          <w:p w14:paraId="77BFFDC5" w14:textId="22FC9E6D"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val="es-ES_tradnl" w:eastAsia="es-ES"/>
              </w:rPr>
            </w:pPr>
            <w:r>
              <w:rPr>
                <w:rFonts w:ascii="Palatino Linotype" w:eastAsia="Calibri" w:hAnsi="Palatino Linotype" w:cs="Times New Roman"/>
                <w:lang w:val="es-ES_tradnl" w:eastAsia="es-ES"/>
              </w:rPr>
              <w:t>El Tesorero Municipal informó no tener atribuciones para la asignación de sueldos</w:t>
            </w:r>
          </w:p>
        </w:tc>
      </w:tr>
      <w:tr w:rsidR="00C262DE" w:rsidRPr="001D4923" w14:paraId="5A8D1025" w14:textId="77777777" w:rsidTr="00C262DE">
        <w:trPr>
          <w:trHeight w:val="2074"/>
          <w:jc w:val="center"/>
        </w:trPr>
        <w:tc>
          <w:tcPr>
            <w:tcW w:w="4007" w:type="dxa"/>
            <w:shd w:val="clear" w:color="auto" w:fill="D9D9D9" w:themeFill="background1" w:themeFillShade="D9"/>
            <w:vAlign w:val="center"/>
          </w:tcPr>
          <w:p w14:paraId="32ADE45D" w14:textId="5D8F1B63"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val="es-ES_tradnl" w:eastAsia="es-ES"/>
              </w:rPr>
            </w:pPr>
            <w:r w:rsidRPr="001D4923">
              <w:rPr>
                <w:rFonts w:ascii="Palatino Linotype" w:eastAsia="Calibri" w:hAnsi="Palatino Linotype" w:cs="Times New Roman"/>
                <w:lang w:val="es-ES_tradnl" w:eastAsia="es-ES"/>
              </w:rPr>
              <w:t>1.2</w:t>
            </w:r>
            <w:r w:rsidRPr="001D4923">
              <w:rPr>
                <w:rFonts w:ascii="Palatino Linotype" w:eastAsia="Calibri" w:hAnsi="Palatino Linotype" w:cs="Times New Roman"/>
                <w:lang w:val="es-ES_tradnl" w:eastAsia="es-ES"/>
              </w:rPr>
              <w:tab/>
              <w:t>nombres;</w:t>
            </w:r>
            <w:r>
              <w:rPr>
                <w:rFonts w:ascii="Palatino Linotype" w:eastAsia="Calibri" w:hAnsi="Palatino Linotype" w:cs="Times New Roman"/>
                <w:lang w:val="es-ES_tradnl" w:eastAsia="es-ES"/>
              </w:rPr>
              <w:t xml:space="preserve"> y</w:t>
            </w:r>
          </w:p>
        </w:tc>
        <w:tc>
          <w:tcPr>
            <w:tcW w:w="4008" w:type="dxa"/>
            <w:shd w:val="clear" w:color="auto" w:fill="D9D9D9" w:themeFill="background1" w:themeFillShade="D9"/>
            <w:vAlign w:val="center"/>
          </w:tcPr>
          <w:p w14:paraId="541E89FE" w14:textId="5388DE9C"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val="es-ES_tradnl" w:eastAsia="es-ES"/>
              </w:rPr>
            </w:pPr>
            <w:r>
              <w:rPr>
                <w:rFonts w:ascii="Palatino Linotype" w:eastAsia="Calibri" w:hAnsi="Palatino Linotype" w:cs="Times New Roman"/>
                <w:i/>
                <w:iCs/>
                <w:lang w:eastAsia="es-ES"/>
              </w:rPr>
              <w:t>“…</w:t>
            </w:r>
            <w:r w:rsidRPr="001D4923">
              <w:rPr>
                <w:rFonts w:ascii="Palatino Linotype" w:eastAsia="Calibri" w:hAnsi="Palatino Linotype" w:cs="Times New Roman"/>
                <w:i/>
                <w:iCs/>
                <w:lang w:eastAsia="es-ES"/>
              </w:rPr>
              <w:t>las CC. María Guadalupe Escobar Sánchez e Irene Olmos Fabela, ocupan los cargos de Encargada de la Secretaría Técnica y Secretaria Particular, respectivamente</w:t>
            </w:r>
            <w:r>
              <w:rPr>
                <w:rFonts w:ascii="Palatino Linotype" w:eastAsia="Calibri" w:hAnsi="Palatino Linotype" w:cs="Times New Roman"/>
                <w:i/>
                <w:iCs/>
                <w:lang w:eastAsia="es-ES"/>
              </w:rPr>
              <w:t>…”</w:t>
            </w:r>
          </w:p>
        </w:tc>
      </w:tr>
      <w:tr w:rsidR="00C262DE" w:rsidRPr="001D4923" w14:paraId="6236930A" w14:textId="77777777" w:rsidTr="00C262DE">
        <w:trPr>
          <w:trHeight w:val="1387"/>
          <w:jc w:val="center"/>
        </w:trPr>
        <w:tc>
          <w:tcPr>
            <w:tcW w:w="4007" w:type="dxa"/>
            <w:shd w:val="clear" w:color="auto" w:fill="F2F2F2" w:themeFill="background1" w:themeFillShade="F2"/>
            <w:vAlign w:val="center"/>
          </w:tcPr>
          <w:p w14:paraId="0BC04E70" w14:textId="521F3CE6"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val="es-ES_tradnl" w:eastAsia="es-ES"/>
              </w:rPr>
            </w:pPr>
            <w:r w:rsidRPr="001D4923">
              <w:rPr>
                <w:rFonts w:ascii="Palatino Linotype" w:eastAsia="Calibri" w:hAnsi="Palatino Linotype" w:cs="Times New Roman"/>
                <w:lang w:val="es-ES_tradnl" w:eastAsia="es-ES"/>
              </w:rPr>
              <w:t>1.3</w:t>
            </w:r>
            <w:r w:rsidRPr="001D4923">
              <w:rPr>
                <w:rFonts w:ascii="Palatino Linotype" w:eastAsia="Calibri" w:hAnsi="Palatino Linotype" w:cs="Times New Roman"/>
                <w:lang w:val="es-ES_tradnl" w:eastAsia="es-ES"/>
              </w:rPr>
              <w:tab/>
              <w:t>Ficha curricular.</w:t>
            </w:r>
          </w:p>
        </w:tc>
        <w:tc>
          <w:tcPr>
            <w:tcW w:w="4008" w:type="dxa"/>
            <w:shd w:val="clear" w:color="auto" w:fill="F2F2F2" w:themeFill="background1" w:themeFillShade="F2"/>
            <w:vAlign w:val="center"/>
          </w:tcPr>
          <w:p w14:paraId="6B8DE079" w14:textId="34760E37"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eastAsia="es-ES"/>
              </w:rPr>
            </w:pPr>
            <w:r>
              <w:rPr>
                <w:rFonts w:ascii="Palatino Linotype" w:eastAsia="Calibri" w:hAnsi="Palatino Linotype" w:cs="Times New Roman"/>
                <w:lang w:eastAsia="es-ES"/>
              </w:rPr>
              <w:t xml:space="preserve">Por medio del archivo </w:t>
            </w:r>
            <w:r w:rsidRPr="001D4923">
              <w:rPr>
                <w:rFonts w:ascii="Palatino Linotype" w:eastAsia="Calibri" w:hAnsi="Palatino Linotype" w:cs="Times New Roman"/>
                <w:lang w:eastAsia="es-ES"/>
              </w:rPr>
              <w:t>anexo 147.pdf</w:t>
            </w:r>
            <w:r>
              <w:rPr>
                <w:rFonts w:ascii="Palatino Linotype" w:eastAsia="Calibri" w:hAnsi="Palatino Linotype" w:cs="Times New Roman"/>
                <w:lang w:eastAsia="es-ES"/>
              </w:rPr>
              <w:t>, entregó las fichas curriculares de las servidoras públicas</w:t>
            </w:r>
          </w:p>
        </w:tc>
      </w:tr>
      <w:tr w:rsidR="00C262DE" w:rsidRPr="001D4923" w14:paraId="2FC8A446" w14:textId="77777777" w:rsidTr="00C262DE">
        <w:trPr>
          <w:trHeight w:val="703"/>
          <w:jc w:val="center"/>
        </w:trPr>
        <w:tc>
          <w:tcPr>
            <w:tcW w:w="8015" w:type="dxa"/>
            <w:gridSpan w:val="2"/>
            <w:shd w:val="clear" w:color="auto" w:fill="D5DCE4" w:themeFill="text2" w:themeFillTint="33"/>
            <w:vAlign w:val="center"/>
          </w:tcPr>
          <w:p w14:paraId="3EACB5A5" w14:textId="390D3689"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val="es-ES_tradnl" w:eastAsia="es-ES"/>
              </w:rPr>
            </w:pPr>
            <w:r w:rsidRPr="001D4923">
              <w:rPr>
                <w:rFonts w:ascii="Palatino Linotype" w:eastAsia="Calibri" w:hAnsi="Palatino Linotype" w:cs="Times New Roman"/>
                <w:lang w:val="es-ES_tradnl" w:eastAsia="es-ES"/>
              </w:rPr>
              <w:t>2.</w:t>
            </w:r>
            <w:r w:rsidRPr="001D4923">
              <w:rPr>
                <w:rFonts w:ascii="Palatino Linotype" w:eastAsia="Calibri" w:hAnsi="Palatino Linotype" w:cs="Times New Roman"/>
                <w:lang w:val="es-ES_tradnl" w:eastAsia="es-ES"/>
              </w:rPr>
              <w:tab/>
              <w:t>De los secretarios particulares de las Direcciones de área:</w:t>
            </w:r>
          </w:p>
        </w:tc>
      </w:tr>
      <w:tr w:rsidR="00C262DE" w:rsidRPr="001D4923" w14:paraId="0DA9FCD6" w14:textId="77777777" w:rsidTr="00C262DE">
        <w:trPr>
          <w:trHeight w:val="343"/>
          <w:jc w:val="center"/>
        </w:trPr>
        <w:tc>
          <w:tcPr>
            <w:tcW w:w="4007" w:type="dxa"/>
            <w:shd w:val="clear" w:color="auto" w:fill="F2F2F2" w:themeFill="background1" w:themeFillShade="F2"/>
            <w:vAlign w:val="center"/>
          </w:tcPr>
          <w:p w14:paraId="3F52EB92" w14:textId="6C6D87F7"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val="es-ES_tradnl" w:eastAsia="es-ES"/>
              </w:rPr>
            </w:pPr>
            <w:r w:rsidRPr="001D4923">
              <w:rPr>
                <w:rFonts w:ascii="Palatino Linotype" w:eastAsia="Calibri" w:hAnsi="Palatino Linotype" w:cs="Times New Roman"/>
                <w:lang w:val="es-ES_tradnl" w:eastAsia="es-ES"/>
              </w:rPr>
              <w:t>2.1</w:t>
            </w:r>
            <w:r w:rsidRPr="001D4923">
              <w:rPr>
                <w:rFonts w:ascii="Palatino Linotype" w:eastAsia="Calibri" w:hAnsi="Palatino Linotype" w:cs="Times New Roman"/>
                <w:lang w:val="es-ES_tradnl" w:eastAsia="es-ES"/>
              </w:rPr>
              <w:tab/>
              <w:t>sueldo mensual</w:t>
            </w:r>
          </w:p>
        </w:tc>
        <w:tc>
          <w:tcPr>
            <w:tcW w:w="4008" w:type="dxa"/>
            <w:shd w:val="clear" w:color="auto" w:fill="F2F2F2" w:themeFill="background1" w:themeFillShade="F2"/>
            <w:vAlign w:val="center"/>
          </w:tcPr>
          <w:p w14:paraId="6B240738" w14:textId="4D867BB5" w:rsidR="00C262DE" w:rsidRPr="001D4923" w:rsidRDefault="00C262DE" w:rsidP="001D4923">
            <w:pPr>
              <w:autoSpaceDE w:val="0"/>
              <w:autoSpaceDN w:val="0"/>
              <w:adjustRightInd w:val="0"/>
              <w:spacing w:line="276" w:lineRule="auto"/>
              <w:jc w:val="both"/>
              <w:rPr>
                <w:rFonts w:ascii="Palatino Linotype" w:eastAsia="Calibri" w:hAnsi="Palatino Linotype" w:cs="Times New Roman"/>
                <w:lang w:val="es-ES_tradnl" w:eastAsia="es-ES"/>
              </w:rPr>
            </w:pPr>
            <w:r>
              <w:rPr>
                <w:rFonts w:ascii="Palatino Linotype" w:eastAsia="Calibri" w:hAnsi="Palatino Linotype" w:cs="Times New Roman"/>
                <w:lang w:val="es-ES_tradnl" w:eastAsia="es-ES"/>
              </w:rPr>
              <w:t>Sin pronunciamiento</w:t>
            </w:r>
          </w:p>
        </w:tc>
      </w:tr>
    </w:tbl>
    <w:p w14:paraId="7507CC23" w14:textId="4990278A" w:rsidR="00BE4215" w:rsidRDefault="00BE4215"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3A49BF09" w14:textId="7846BF8E" w:rsidR="001D4923" w:rsidRDefault="004B15F9"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Atentos al cuadro anterior, así como a las respuestas del Tesorero Municipal, se procede al estudio del marco normativo que rige el actuar del Sujeto Obligado, a efecto de determinar si existe facultad, función y/o atribución que lo constriña a tener la información en sus archivos, por lo que, se traen a colación los artículos </w:t>
      </w:r>
      <w:r w:rsidR="008C4F3C">
        <w:rPr>
          <w:rFonts w:ascii="Palatino Linotype" w:eastAsia="Calibri" w:hAnsi="Palatino Linotype" w:cs="Times New Roman"/>
          <w:sz w:val="24"/>
          <w:szCs w:val="24"/>
          <w:lang w:val="es-ES_tradnl" w:eastAsia="es-ES"/>
        </w:rPr>
        <w:t>3, 31 fracción I, 87 y 95</w:t>
      </w:r>
      <w:r>
        <w:rPr>
          <w:rFonts w:ascii="Palatino Linotype" w:eastAsia="Calibri" w:hAnsi="Palatino Linotype" w:cs="Times New Roman"/>
          <w:sz w:val="24"/>
          <w:szCs w:val="24"/>
          <w:lang w:val="es-ES_tradnl" w:eastAsia="es-ES"/>
        </w:rPr>
        <w:t xml:space="preserve"> de la </w:t>
      </w:r>
      <w:r w:rsidRPr="004B15F9">
        <w:rPr>
          <w:rFonts w:ascii="Palatino Linotype" w:eastAsia="Calibri" w:hAnsi="Palatino Linotype" w:cs="Times New Roman"/>
          <w:sz w:val="24"/>
          <w:szCs w:val="24"/>
          <w:lang w:val="es-ES_tradnl" w:eastAsia="es-ES"/>
        </w:rPr>
        <w:t>Ley Orgánica Municipal del Estado de México</w:t>
      </w:r>
      <w:r>
        <w:rPr>
          <w:rFonts w:ascii="Palatino Linotype" w:eastAsia="Calibri" w:hAnsi="Palatino Linotype" w:cs="Times New Roman"/>
          <w:sz w:val="24"/>
          <w:szCs w:val="24"/>
          <w:lang w:val="es-ES_tradnl" w:eastAsia="es-ES"/>
        </w:rPr>
        <w:t>, los cuales establecen:</w:t>
      </w:r>
    </w:p>
    <w:p w14:paraId="43E420F5" w14:textId="21D1332B" w:rsidR="004B15F9" w:rsidRDefault="004B15F9"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71A4BC21" w14:textId="5308FA89" w:rsidR="004B15F9"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val="es-ES_tradnl" w:eastAsia="es-ES"/>
        </w:rPr>
      </w:pPr>
      <w:r>
        <w:rPr>
          <w:rFonts w:ascii="Palatino Linotype" w:eastAsia="Calibri" w:hAnsi="Palatino Linotype" w:cs="Times New Roman"/>
          <w:i/>
          <w:iCs/>
          <w:lang w:val="es-ES_tradnl" w:eastAsia="es-ES"/>
        </w:rPr>
        <w:t>“</w:t>
      </w:r>
      <w:r w:rsidRPr="004B15F9">
        <w:rPr>
          <w:rFonts w:ascii="Palatino Linotype" w:eastAsia="Calibri" w:hAnsi="Palatino Linotype" w:cs="Times New Roman"/>
          <w:b/>
          <w:bCs/>
          <w:i/>
          <w:iCs/>
          <w:lang w:val="es-ES_tradnl" w:eastAsia="es-ES"/>
        </w:rPr>
        <w:t>Artículo 3.-</w:t>
      </w:r>
      <w:r w:rsidRPr="004B15F9">
        <w:rPr>
          <w:rFonts w:ascii="Palatino Linotype" w:eastAsia="Calibri" w:hAnsi="Palatino Linotype" w:cs="Times New Roman"/>
          <w:i/>
          <w:iCs/>
          <w:lang w:val="es-ES_tradnl" w:eastAsia="es-ES"/>
        </w:rPr>
        <w:t xml:space="preserve"> Los municipios del Estado regularán su funcionamiento de conformidad con lo que</w:t>
      </w:r>
      <w:r>
        <w:rPr>
          <w:rFonts w:ascii="Palatino Linotype" w:eastAsia="Calibri" w:hAnsi="Palatino Linotype" w:cs="Times New Roman"/>
          <w:i/>
          <w:iCs/>
          <w:lang w:val="es-ES_tradnl" w:eastAsia="es-ES"/>
        </w:rPr>
        <w:t xml:space="preserve"> </w:t>
      </w:r>
      <w:r w:rsidRPr="004B15F9">
        <w:rPr>
          <w:rFonts w:ascii="Palatino Linotype" w:eastAsia="Calibri" w:hAnsi="Palatino Linotype" w:cs="Times New Roman"/>
          <w:i/>
          <w:iCs/>
          <w:lang w:val="es-ES_tradnl" w:eastAsia="es-ES"/>
        </w:rPr>
        <w:t>establece esta Ley, los Bandos municipales, reglamentos y demás disposiciones legales</w:t>
      </w:r>
      <w:r>
        <w:rPr>
          <w:rFonts w:ascii="Palatino Linotype" w:eastAsia="Calibri" w:hAnsi="Palatino Linotype" w:cs="Times New Roman"/>
          <w:i/>
          <w:iCs/>
          <w:lang w:val="es-ES_tradnl" w:eastAsia="es-ES"/>
        </w:rPr>
        <w:t xml:space="preserve"> </w:t>
      </w:r>
      <w:r w:rsidRPr="004B15F9">
        <w:rPr>
          <w:rFonts w:ascii="Palatino Linotype" w:eastAsia="Calibri" w:hAnsi="Palatino Linotype" w:cs="Times New Roman"/>
          <w:i/>
          <w:iCs/>
          <w:lang w:val="es-ES_tradnl" w:eastAsia="es-ES"/>
        </w:rPr>
        <w:t>aplicables.</w:t>
      </w:r>
    </w:p>
    <w:p w14:paraId="1A803961" w14:textId="5B8BDF87" w:rsidR="004B15F9"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val="es-ES_tradnl" w:eastAsia="es-ES"/>
        </w:rPr>
      </w:pPr>
    </w:p>
    <w:p w14:paraId="347F381D" w14:textId="77777777" w:rsidR="004B15F9"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4B15F9">
        <w:rPr>
          <w:rFonts w:ascii="Palatino Linotype" w:eastAsia="Calibri" w:hAnsi="Palatino Linotype" w:cs="Times New Roman"/>
          <w:b/>
          <w:bCs/>
          <w:i/>
          <w:iCs/>
          <w:lang w:eastAsia="es-ES"/>
        </w:rPr>
        <w:t>Artículo 31.-</w:t>
      </w:r>
      <w:r w:rsidRPr="004B15F9">
        <w:rPr>
          <w:rFonts w:ascii="Palatino Linotype" w:eastAsia="Calibri" w:hAnsi="Palatino Linotype" w:cs="Times New Roman"/>
          <w:i/>
          <w:iCs/>
          <w:lang w:eastAsia="es-ES"/>
        </w:rPr>
        <w:t xml:space="preserve"> Son atribuciones de los ayuntamientos: </w:t>
      </w:r>
    </w:p>
    <w:p w14:paraId="032917F1" w14:textId="2C0AC6F4" w:rsidR="004B15F9"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4B15F9">
        <w:rPr>
          <w:rFonts w:ascii="Palatino Linotype" w:eastAsia="Calibri" w:hAnsi="Palatino Linotype" w:cs="Times New Roman"/>
          <w:b/>
          <w:bCs/>
          <w:i/>
          <w:iCs/>
          <w:lang w:eastAsia="es-ES"/>
        </w:rPr>
        <w:lastRenderedPageBreak/>
        <w:t>I</w:t>
      </w:r>
      <w:r w:rsidRPr="004B15F9">
        <w:rPr>
          <w:rFonts w:ascii="Palatino Linotype" w:eastAsia="Calibri" w:hAnsi="Palatino Linotype" w:cs="Times New Roman"/>
          <w:i/>
          <w:iCs/>
          <w:lang w:eastAsia="es-ES"/>
        </w:rPr>
        <w:t>. Expedir y reformar el Bando Municipal, así como los reglamentos, circulares y disposiciones administrativas de observancia general dentro del territorio del municipio, que sean necesarios para su organización, prestación de los servicios públicos y, en general, para el cumplimiento de sus atribuciones;</w:t>
      </w:r>
    </w:p>
    <w:p w14:paraId="079279A9" w14:textId="4B7BD284" w:rsidR="004B15F9"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Pr>
          <w:rFonts w:ascii="Palatino Linotype" w:eastAsia="Calibri" w:hAnsi="Palatino Linotype" w:cs="Times New Roman"/>
          <w:i/>
          <w:iCs/>
          <w:lang w:eastAsia="es-ES"/>
        </w:rPr>
        <w:t>…</w:t>
      </w:r>
    </w:p>
    <w:p w14:paraId="6847F83A" w14:textId="77777777" w:rsidR="004B15F9"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val="es-ES_tradnl" w:eastAsia="es-ES"/>
        </w:rPr>
      </w:pPr>
    </w:p>
    <w:p w14:paraId="1D92D0B5" w14:textId="77777777" w:rsidR="008C4F3C"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Artículo 87.-</w:t>
      </w:r>
      <w:r w:rsidRPr="004B15F9">
        <w:rPr>
          <w:rFonts w:ascii="Palatino Linotype" w:eastAsia="Calibri" w:hAnsi="Palatino Linotype" w:cs="Times New Roman"/>
          <w:i/>
          <w:iCs/>
          <w:lang w:eastAsia="es-ES"/>
        </w:rPr>
        <w:t xml:space="preserve"> Para el despacho, estudio y planeación de los diversos asuntos de la administración municipal, el ayuntamiento contará por lo menos con las siguientes Dependencias: </w:t>
      </w:r>
    </w:p>
    <w:p w14:paraId="53899971" w14:textId="6A7ECD31" w:rsidR="008C4F3C"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I</w:t>
      </w:r>
      <w:r w:rsidRPr="004B15F9">
        <w:rPr>
          <w:rFonts w:ascii="Palatino Linotype" w:eastAsia="Calibri" w:hAnsi="Palatino Linotype" w:cs="Times New Roman"/>
          <w:i/>
          <w:iCs/>
          <w:lang w:eastAsia="es-ES"/>
        </w:rPr>
        <w:t xml:space="preserve">. La secretaría del ayuntamiento; </w:t>
      </w:r>
    </w:p>
    <w:p w14:paraId="3752471C" w14:textId="77777777" w:rsidR="008C4F3C"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II</w:t>
      </w:r>
      <w:r w:rsidRPr="004B15F9">
        <w:rPr>
          <w:rFonts w:ascii="Palatino Linotype" w:eastAsia="Calibri" w:hAnsi="Palatino Linotype" w:cs="Times New Roman"/>
          <w:i/>
          <w:iCs/>
          <w:lang w:eastAsia="es-ES"/>
        </w:rPr>
        <w:t xml:space="preserve">. La tesorería municipal. </w:t>
      </w:r>
    </w:p>
    <w:p w14:paraId="778C1EA8" w14:textId="60D06F7F" w:rsidR="008C4F3C"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III</w:t>
      </w:r>
      <w:r w:rsidRPr="004B15F9">
        <w:rPr>
          <w:rFonts w:ascii="Palatino Linotype" w:eastAsia="Calibri" w:hAnsi="Palatino Linotype" w:cs="Times New Roman"/>
          <w:i/>
          <w:iCs/>
          <w:lang w:eastAsia="es-ES"/>
        </w:rPr>
        <w:t xml:space="preserve">. La Dirección de Obras Públicas o equivalente. </w:t>
      </w:r>
    </w:p>
    <w:p w14:paraId="46D72624" w14:textId="46DF1742" w:rsidR="008C4F3C"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IV</w:t>
      </w:r>
      <w:r w:rsidRPr="004B15F9">
        <w:rPr>
          <w:rFonts w:ascii="Palatino Linotype" w:eastAsia="Calibri" w:hAnsi="Palatino Linotype" w:cs="Times New Roman"/>
          <w:i/>
          <w:iCs/>
          <w:lang w:eastAsia="es-ES"/>
        </w:rPr>
        <w:t xml:space="preserve">. La Dirección de Desarrollo Económico o equivalente. </w:t>
      </w:r>
    </w:p>
    <w:p w14:paraId="37A2FC79" w14:textId="009DF546" w:rsidR="004B15F9" w:rsidRDefault="004B15F9" w:rsidP="004B15F9">
      <w:pPr>
        <w:autoSpaceDE w:val="0"/>
        <w:autoSpaceDN w:val="0"/>
        <w:adjustRightInd w:val="0"/>
        <w:spacing w:after="0" w:line="240" w:lineRule="auto"/>
        <w:ind w:left="567" w:right="567"/>
        <w:jc w:val="both"/>
        <w:rPr>
          <w:rFonts w:ascii="Palatino Linotype" w:eastAsia="Calibri" w:hAnsi="Palatino Linotype" w:cs="Times New Roman"/>
          <w:i/>
          <w:iCs/>
          <w:lang w:val="es-ES_tradnl" w:eastAsia="es-ES"/>
        </w:rPr>
      </w:pPr>
      <w:r w:rsidRPr="008C4F3C">
        <w:rPr>
          <w:rFonts w:ascii="Palatino Linotype" w:eastAsia="Calibri" w:hAnsi="Palatino Linotype" w:cs="Times New Roman"/>
          <w:b/>
          <w:bCs/>
          <w:i/>
          <w:iCs/>
          <w:lang w:eastAsia="es-ES"/>
        </w:rPr>
        <w:t>V</w:t>
      </w:r>
      <w:r w:rsidRPr="004B15F9">
        <w:rPr>
          <w:rFonts w:ascii="Palatino Linotype" w:eastAsia="Calibri" w:hAnsi="Palatino Linotype" w:cs="Times New Roman"/>
          <w:i/>
          <w:iCs/>
          <w:lang w:eastAsia="es-ES"/>
        </w:rPr>
        <w:t>. La Dirección de Desarrollo Urbano o equivalente;</w:t>
      </w:r>
    </w:p>
    <w:p w14:paraId="22AC955A" w14:textId="77777777" w:rsidR="008C4F3C" w:rsidRDefault="008C4F3C"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VI</w:t>
      </w:r>
      <w:r w:rsidRPr="008C4F3C">
        <w:rPr>
          <w:rFonts w:ascii="Palatino Linotype" w:eastAsia="Calibri" w:hAnsi="Palatino Linotype" w:cs="Times New Roman"/>
          <w:i/>
          <w:iCs/>
          <w:lang w:eastAsia="es-ES"/>
        </w:rPr>
        <w:t xml:space="preserve">. La Dirección de Ecología o equivalente. </w:t>
      </w:r>
    </w:p>
    <w:p w14:paraId="265E0978" w14:textId="77777777" w:rsidR="008C4F3C" w:rsidRDefault="008C4F3C"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VII</w:t>
      </w:r>
      <w:r w:rsidRPr="008C4F3C">
        <w:rPr>
          <w:rFonts w:ascii="Palatino Linotype" w:eastAsia="Calibri" w:hAnsi="Palatino Linotype" w:cs="Times New Roman"/>
          <w:i/>
          <w:iCs/>
          <w:lang w:eastAsia="es-ES"/>
        </w:rPr>
        <w:t xml:space="preserve">. La Dirección de Desarrollo Social o equivalente. </w:t>
      </w:r>
    </w:p>
    <w:p w14:paraId="6D1964CD" w14:textId="51EA58D0" w:rsidR="008C4F3C" w:rsidRDefault="008C4F3C"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VIII</w:t>
      </w:r>
      <w:r w:rsidRPr="008C4F3C">
        <w:rPr>
          <w:rFonts w:ascii="Palatino Linotype" w:eastAsia="Calibri" w:hAnsi="Palatino Linotype" w:cs="Times New Roman"/>
          <w:i/>
          <w:iCs/>
          <w:lang w:eastAsia="es-ES"/>
        </w:rPr>
        <w:t xml:space="preserve">. La Coordinación Municipal de Protección Civil o equivalente. </w:t>
      </w:r>
    </w:p>
    <w:p w14:paraId="7A4D23E7" w14:textId="77777777" w:rsidR="008C4F3C" w:rsidRDefault="008C4F3C"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IX</w:t>
      </w:r>
      <w:r w:rsidRPr="008C4F3C">
        <w:rPr>
          <w:rFonts w:ascii="Palatino Linotype" w:eastAsia="Calibri" w:hAnsi="Palatino Linotype" w:cs="Times New Roman"/>
          <w:i/>
          <w:iCs/>
          <w:lang w:eastAsia="es-ES"/>
        </w:rPr>
        <w:t xml:space="preserve">. La Dirección de las Mujeres o equivalente. </w:t>
      </w:r>
    </w:p>
    <w:p w14:paraId="150316AC" w14:textId="023D0749" w:rsidR="004B15F9" w:rsidRDefault="008C4F3C"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X</w:t>
      </w:r>
      <w:r w:rsidRPr="008C4F3C">
        <w:rPr>
          <w:rFonts w:ascii="Palatino Linotype" w:eastAsia="Calibri" w:hAnsi="Palatino Linotype" w:cs="Times New Roman"/>
          <w:i/>
          <w:iCs/>
          <w:lang w:eastAsia="es-ES"/>
        </w:rPr>
        <w:t>. Dirección del Campo o equivalente, preferentemente en los municipios cuyas características geográficas, territoriales, sociales, culturales, políticas y económicas sean predominantemente inherentes al ámbito rural.</w:t>
      </w:r>
    </w:p>
    <w:p w14:paraId="65D5EC2C" w14:textId="5AD245CD" w:rsidR="008C4F3C" w:rsidRDefault="008C4F3C"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p>
    <w:p w14:paraId="4F0C54D3" w14:textId="77777777" w:rsidR="008C4F3C" w:rsidRDefault="008C4F3C"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Artículo 95.-</w:t>
      </w:r>
      <w:r w:rsidRPr="008C4F3C">
        <w:rPr>
          <w:rFonts w:ascii="Palatino Linotype" w:eastAsia="Calibri" w:hAnsi="Palatino Linotype" w:cs="Times New Roman"/>
          <w:i/>
          <w:iCs/>
          <w:lang w:eastAsia="es-ES"/>
        </w:rPr>
        <w:t xml:space="preserve"> Son atribuciones del tesorero municipal: </w:t>
      </w:r>
    </w:p>
    <w:p w14:paraId="3EC82A9B" w14:textId="2C836509" w:rsidR="008C4F3C" w:rsidRDefault="008C4F3C" w:rsidP="00855866">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I</w:t>
      </w:r>
      <w:r w:rsidRPr="008C4F3C">
        <w:rPr>
          <w:rFonts w:ascii="Palatino Linotype" w:eastAsia="Calibri" w:hAnsi="Palatino Linotype" w:cs="Times New Roman"/>
          <w:i/>
          <w:iCs/>
          <w:lang w:eastAsia="es-ES"/>
        </w:rPr>
        <w:t xml:space="preserve">. </w:t>
      </w:r>
      <w:r w:rsidR="00855866">
        <w:rPr>
          <w:rFonts w:ascii="Palatino Linotype" w:eastAsia="Calibri" w:hAnsi="Palatino Linotype" w:cs="Times New Roman"/>
          <w:i/>
          <w:iCs/>
          <w:lang w:eastAsia="es-ES"/>
        </w:rPr>
        <w:t>…</w:t>
      </w:r>
      <w:r w:rsidRPr="008C4F3C">
        <w:rPr>
          <w:rFonts w:ascii="Palatino Linotype" w:eastAsia="Calibri" w:hAnsi="Palatino Linotype" w:cs="Times New Roman"/>
          <w:i/>
          <w:iCs/>
          <w:lang w:eastAsia="es-ES"/>
        </w:rPr>
        <w:t xml:space="preserve">; </w:t>
      </w:r>
    </w:p>
    <w:p w14:paraId="383A1988" w14:textId="77777777" w:rsidR="008C4F3C" w:rsidRDefault="008C4F3C" w:rsidP="004B15F9">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8C4F3C">
        <w:rPr>
          <w:rFonts w:ascii="Palatino Linotype" w:eastAsia="Calibri" w:hAnsi="Palatino Linotype" w:cs="Times New Roman"/>
          <w:b/>
          <w:bCs/>
          <w:i/>
          <w:iCs/>
          <w:lang w:eastAsia="es-ES"/>
        </w:rPr>
        <w:t>IV</w:t>
      </w:r>
      <w:r w:rsidRPr="00855866">
        <w:rPr>
          <w:rFonts w:ascii="Palatino Linotype" w:eastAsia="Calibri" w:hAnsi="Palatino Linotype" w:cs="Times New Roman"/>
          <w:i/>
          <w:iCs/>
          <w:lang w:eastAsia="es-ES"/>
        </w:rPr>
        <w:t xml:space="preserve">. </w:t>
      </w:r>
      <w:bookmarkStart w:id="3" w:name="_Hlk187329470"/>
      <w:r w:rsidRPr="00855866">
        <w:rPr>
          <w:rFonts w:ascii="Palatino Linotype" w:eastAsia="Calibri" w:hAnsi="Palatino Linotype" w:cs="Times New Roman"/>
          <w:i/>
          <w:iCs/>
          <w:lang w:eastAsia="es-ES"/>
        </w:rPr>
        <w:t>Llevar los registros contables, financieros y administrativos de los ingresos, egresos, e inventarios</w:t>
      </w:r>
      <w:bookmarkEnd w:id="3"/>
      <w:r w:rsidRPr="008C4F3C">
        <w:rPr>
          <w:rFonts w:ascii="Palatino Linotype" w:eastAsia="Calibri" w:hAnsi="Palatino Linotype" w:cs="Times New Roman"/>
          <w:i/>
          <w:iCs/>
          <w:lang w:eastAsia="es-ES"/>
        </w:rPr>
        <w:t xml:space="preserve">; </w:t>
      </w:r>
    </w:p>
    <w:p w14:paraId="705A8801" w14:textId="78BA1E1F" w:rsidR="004B15F9" w:rsidRDefault="00855866" w:rsidP="004B15F9">
      <w:pPr>
        <w:autoSpaceDE w:val="0"/>
        <w:autoSpaceDN w:val="0"/>
        <w:adjustRightInd w:val="0"/>
        <w:spacing w:after="0" w:line="240" w:lineRule="auto"/>
        <w:ind w:left="567" w:right="567"/>
        <w:jc w:val="both"/>
        <w:rPr>
          <w:rFonts w:ascii="Palatino Linotype" w:eastAsia="Calibri" w:hAnsi="Palatino Linotype" w:cs="Times New Roman"/>
          <w:i/>
          <w:iCs/>
          <w:lang w:val="es-ES_tradnl" w:eastAsia="es-ES"/>
        </w:rPr>
      </w:pPr>
      <w:r w:rsidRPr="00855866">
        <w:rPr>
          <w:rFonts w:ascii="Palatino Linotype" w:eastAsia="Calibri" w:hAnsi="Palatino Linotype" w:cs="Times New Roman"/>
          <w:i/>
          <w:iCs/>
          <w:lang w:eastAsia="es-ES"/>
        </w:rPr>
        <w:t>…</w:t>
      </w:r>
      <w:r w:rsidR="008C4F3C" w:rsidRPr="008C4F3C">
        <w:rPr>
          <w:rFonts w:ascii="Palatino Linotype" w:eastAsia="Calibri" w:hAnsi="Palatino Linotype" w:cs="Times New Roman"/>
          <w:i/>
          <w:iCs/>
          <w:lang w:eastAsia="es-ES"/>
        </w:rPr>
        <w:t>;</w:t>
      </w:r>
      <w:r w:rsidR="0095579A">
        <w:rPr>
          <w:rFonts w:ascii="Palatino Linotype" w:eastAsia="Calibri" w:hAnsi="Palatino Linotype" w:cs="Times New Roman"/>
          <w:i/>
          <w:iCs/>
          <w:lang w:eastAsia="es-ES"/>
        </w:rPr>
        <w:t>”</w:t>
      </w:r>
    </w:p>
    <w:p w14:paraId="41E37FC6" w14:textId="4FA9B31C" w:rsidR="001D4923" w:rsidRDefault="001D4923"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3C490D64" w14:textId="0D915F3D" w:rsidR="001D4923" w:rsidRDefault="0095579A"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Preceptos legales los cuales establecen la libre administración de los municipios, </w:t>
      </w:r>
      <w:r w:rsidR="00855866">
        <w:rPr>
          <w:rFonts w:ascii="Palatino Linotype" w:eastAsia="Calibri" w:hAnsi="Palatino Linotype" w:cs="Times New Roman"/>
          <w:sz w:val="24"/>
          <w:szCs w:val="24"/>
          <w:lang w:val="es-ES_tradnl" w:eastAsia="es-ES"/>
        </w:rPr>
        <w:t>así como las dependencias mínimas que deben integra su estructura orgánica, resultando de particularidad</w:t>
      </w:r>
      <w:r>
        <w:rPr>
          <w:rFonts w:ascii="Palatino Linotype" w:eastAsia="Calibri" w:hAnsi="Palatino Linotype" w:cs="Times New Roman"/>
          <w:sz w:val="24"/>
          <w:szCs w:val="24"/>
          <w:lang w:val="es-ES_tradnl" w:eastAsia="es-ES"/>
        </w:rPr>
        <w:t xml:space="preserve"> </w:t>
      </w:r>
      <w:r w:rsidR="00855866">
        <w:rPr>
          <w:rFonts w:ascii="Palatino Linotype" w:eastAsia="Calibri" w:hAnsi="Palatino Linotype" w:cs="Times New Roman"/>
          <w:sz w:val="24"/>
          <w:szCs w:val="24"/>
          <w:lang w:val="es-ES_tradnl" w:eastAsia="es-ES"/>
        </w:rPr>
        <w:t xml:space="preserve">la Tesorería Municipal, quien dentro de sus atribuciones cuenta con el llevar el registro contable, financiero y administrativo de los </w:t>
      </w:r>
      <w:r w:rsidR="0032093C">
        <w:rPr>
          <w:rFonts w:ascii="Palatino Linotype" w:eastAsia="Calibri" w:hAnsi="Palatino Linotype" w:cs="Times New Roman"/>
          <w:sz w:val="24"/>
          <w:szCs w:val="24"/>
          <w:lang w:val="es-ES_tradnl" w:eastAsia="es-ES"/>
        </w:rPr>
        <w:t>ingresos,</w:t>
      </w:r>
      <w:r w:rsidR="00855866">
        <w:rPr>
          <w:rFonts w:ascii="Palatino Linotype" w:eastAsia="Calibri" w:hAnsi="Palatino Linotype" w:cs="Times New Roman"/>
          <w:sz w:val="24"/>
          <w:szCs w:val="24"/>
          <w:lang w:val="es-ES_tradnl" w:eastAsia="es-ES"/>
        </w:rPr>
        <w:t xml:space="preserve"> egresos e inventarios.</w:t>
      </w:r>
    </w:p>
    <w:p w14:paraId="257BC5AE" w14:textId="185B676D" w:rsidR="0095579A" w:rsidRDefault="0095579A"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059B7174" w14:textId="2133B7F9" w:rsidR="0095579A" w:rsidRDefault="00347C91"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lastRenderedPageBreak/>
        <w:t xml:space="preserve">Ahora bien, el </w:t>
      </w:r>
      <w:r w:rsidRPr="00347C91">
        <w:rPr>
          <w:rFonts w:ascii="Palatino Linotype" w:eastAsia="Calibri" w:hAnsi="Palatino Linotype" w:cs="Times New Roman"/>
          <w:sz w:val="24"/>
          <w:szCs w:val="24"/>
          <w:lang w:val="es-ES_tradnl" w:eastAsia="es-ES"/>
        </w:rPr>
        <w:t>Manual General de Organización de la Administración Pública Municipal de Temoaya</w:t>
      </w:r>
      <w:r w:rsidR="000221E2">
        <w:rPr>
          <w:rStyle w:val="Refdenotaalpie"/>
          <w:rFonts w:ascii="Palatino Linotype" w:eastAsia="Calibri" w:hAnsi="Palatino Linotype" w:cs="Times New Roman"/>
          <w:sz w:val="24"/>
          <w:szCs w:val="24"/>
          <w:lang w:val="es-ES_tradnl" w:eastAsia="es-ES"/>
        </w:rPr>
        <w:footnoteReference w:id="2"/>
      </w:r>
      <w:r>
        <w:rPr>
          <w:rFonts w:ascii="Palatino Linotype" w:eastAsia="Calibri" w:hAnsi="Palatino Linotype" w:cs="Times New Roman"/>
          <w:sz w:val="24"/>
          <w:szCs w:val="24"/>
          <w:lang w:val="es-ES_tradnl" w:eastAsia="es-ES"/>
        </w:rPr>
        <w:t xml:space="preserve">, establece las diferentes </w:t>
      </w:r>
      <w:r w:rsidR="0074360E">
        <w:rPr>
          <w:rFonts w:ascii="Palatino Linotype" w:eastAsia="Calibri" w:hAnsi="Palatino Linotype" w:cs="Times New Roman"/>
          <w:sz w:val="24"/>
          <w:szCs w:val="24"/>
          <w:lang w:val="es-ES_tradnl" w:eastAsia="es-ES"/>
        </w:rPr>
        <w:t>dependencias municipales que integran su estructura orgánica, las cuales son las siguientes:</w:t>
      </w:r>
    </w:p>
    <w:p w14:paraId="4F4FDA52" w14:textId="45774A04" w:rsidR="0074360E" w:rsidRDefault="0074360E"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050A28D5" w14:textId="57C2CAD9" w:rsidR="00C0364F" w:rsidRPr="00C0364F" w:rsidRDefault="00C0364F" w:rsidP="0074360E">
      <w:pPr>
        <w:autoSpaceDE w:val="0"/>
        <w:autoSpaceDN w:val="0"/>
        <w:adjustRightInd w:val="0"/>
        <w:spacing w:after="0" w:line="240" w:lineRule="auto"/>
        <w:ind w:left="567" w:right="567"/>
        <w:jc w:val="both"/>
        <w:rPr>
          <w:rFonts w:ascii="Palatino Linotype" w:eastAsia="Calibri" w:hAnsi="Palatino Linotype" w:cs="Times New Roman"/>
          <w:b/>
          <w:bCs/>
          <w:i/>
          <w:iCs/>
          <w:lang w:eastAsia="es-ES"/>
        </w:rPr>
      </w:pPr>
      <w:r>
        <w:rPr>
          <w:rFonts w:ascii="Palatino Linotype" w:eastAsia="Calibri" w:hAnsi="Palatino Linotype" w:cs="Times New Roman"/>
          <w:b/>
          <w:bCs/>
          <w:i/>
          <w:iCs/>
          <w:lang w:eastAsia="es-ES"/>
        </w:rPr>
        <w:t>“</w:t>
      </w:r>
      <w:r w:rsidR="0074360E" w:rsidRPr="00C0364F">
        <w:rPr>
          <w:rFonts w:ascii="Palatino Linotype" w:eastAsia="Calibri" w:hAnsi="Palatino Linotype" w:cs="Times New Roman"/>
          <w:b/>
          <w:bCs/>
          <w:i/>
          <w:iCs/>
          <w:lang w:eastAsia="es-ES"/>
        </w:rPr>
        <w:t xml:space="preserve">Dependencias Municipales </w:t>
      </w:r>
    </w:p>
    <w:p w14:paraId="6586B1AA" w14:textId="77777777"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PRESIDENCIA MUNICIPAL </w:t>
      </w:r>
    </w:p>
    <w:p w14:paraId="2EA80693" w14:textId="71CD2162" w:rsidR="00C0364F" w:rsidRP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u w:val="single"/>
          <w:lang w:eastAsia="es-ES"/>
        </w:rPr>
      </w:pPr>
      <w:r w:rsidRPr="00C0364F">
        <w:rPr>
          <w:rFonts w:ascii="Palatino Linotype" w:eastAsia="Calibri" w:hAnsi="Palatino Linotype" w:cs="Times New Roman"/>
          <w:i/>
          <w:iCs/>
          <w:u w:val="single"/>
          <w:lang w:eastAsia="es-ES"/>
        </w:rPr>
        <w:t xml:space="preserve">SECRETARÍA PARTICULAR </w:t>
      </w:r>
    </w:p>
    <w:p w14:paraId="49B9AF45" w14:textId="77777777"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COMUNICACIÓN SOCIAL </w:t>
      </w:r>
    </w:p>
    <w:p w14:paraId="152925A8" w14:textId="7F10FCA8"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UNIDAD DE TRANSPARENCIA </w:t>
      </w:r>
    </w:p>
    <w:p w14:paraId="0F342963" w14:textId="5F247854"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CONTRALORÍA INTERNA </w:t>
      </w:r>
    </w:p>
    <w:p w14:paraId="0D486900" w14:textId="2DF0F001" w:rsidR="00C0364F" w:rsidRPr="007355D5"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355D5">
        <w:rPr>
          <w:rFonts w:ascii="Palatino Linotype" w:eastAsia="Calibri" w:hAnsi="Palatino Linotype" w:cs="Times New Roman"/>
          <w:i/>
          <w:iCs/>
          <w:lang w:eastAsia="es-ES"/>
        </w:rPr>
        <w:t xml:space="preserve">SECRETARÍA DEL AYUNTAMIENTO </w:t>
      </w:r>
    </w:p>
    <w:p w14:paraId="6BAA49DE" w14:textId="7EE0B338" w:rsidR="00C0364F" w:rsidRP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u w:val="single"/>
          <w:lang w:eastAsia="es-ES"/>
        </w:rPr>
      </w:pPr>
      <w:r w:rsidRPr="00C0364F">
        <w:rPr>
          <w:rFonts w:ascii="Palatino Linotype" w:eastAsia="Calibri" w:hAnsi="Palatino Linotype" w:cs="Times New Roman"/>
          <w:i/>
          <w:iCs/>
          <w:u w:val="single"/>
          <w:lang w:eastAsia="es-ES"/>
        </w:rPr>
        <w:t xml:space="preserve">SECRETARIA TECNICA </w:t>
      </w:r>
    </w:p>
    <w:p w14:paraId="45FD2DA2" w14:textId="1CCC7B7E"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REGISTRO CIVIL 01, 02 Y 03 </w:t>
      </w:r>
    </w:p>
    <w:p w14:paraId="26B6BD5F" w14:textId="4B8B9C6F"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DELEGADOS </w:t>
      </w:r>
    </w:p>
    <w:p w14:paraId="44932563" w14:textId="5C0E2BE4"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ARCHIVO MUNICIPAL </w:t>
      </w:r>
    </w:p>
    <w:p w14:paraId="292D6FFF" w14:textId="43E508E6"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TESORERÍA </w:t>
      </w:r>
    </w:p>
    <w:p w14:paraId="1CD1DCB8" w14:textId="4F2E431B"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CATASTRO MUNICIPAL </w:t>
      </w:r>
    </w:p>
    <w:p w14:paraId="64FF51E0" w14:textId="31F4F117"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SEGURIDAD PÚBLICA MUNICIPAL </w:t>
      </w:r>
    </w:p>
    <w:p w14:paraId="67D1AB76" w14:textId="71ABC05B" w:rsidR="00C0364F" w:rsidRPr="007355D5"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355D5">
        <w:rPr>
          <w:rFonts w:ascii="Palatino Linotype" w:eastAsia="Calibri" w:hAnsi="Palatino Linotype" w:cs="Times New Roman"/>
          <w:i/>
          <w:iCs/>
          <w:lang w:eastAsia="es-ES"/>
        </w:rPr>
        <w:t xml:space="preserve">SECRETARIO TÉCNICO DEL CONSEJO MUNICIPAL DE SEGURIDAD PÚBLICA </w:t>
      </w:r>
    </w:p>
    <w:p w14:paraId="2A493071" w14:textId="54D4190B"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PROTECCIÓN CIVIL Y BOMBEROS </w:t>
      </w:r>
    </w:p>
    <w:p w14:paraId="0CA5C8D6" w14:textId="4F166C65"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DESARROLLO URBANO </w:t>
      </w:r>
    </w:p>
    <w:p w14:paraId="0E0CC550" w14:textId="1AFA3A93"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SUBDIRECCIÓN DE DESARROLLO URBANO </w:t>
      </w:r>
    </w:p>
    <w:p w14:paraId="52FB4319" w14:textId="0C4A00C9"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OBRAS PÚBLICAS </w:t>
      </w:r>
    </w:p>
    <w:p w14:paraId="5BD8A872" w14:textId="21C30DF5"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SUBDIRECCIÓN DE OBRAS PÚBLICAS </w:t>
      </w:r>
    </w:p>
    <w:p w14:paraId="0E4AB58B" w14:textId="632349F2" w:rsidR="00C0364F" w:rsidRPr="000221E2"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u w:val="single"/>
          <w:lang w:eastAsia="es-ES"/>
        </w:rPr>
      </w:pPr>
      <w:r w:rsidRPr="000221E2">
        <w:rPr>
          <w:rFonts w:ascii="Palatino Linotype" w:eastAsia="Calibri" w:hAnsi="Palatino Linotype" w:cs="Times New Roman"/>
          <w:i/>
          <w:iCs/>
          <w:u w:val="single"/>
          <w:lang w:eastAsia="es-ES"/>
        </w:rPr>
        <w:t xml:space="preserve">DIRECCIÓN DE ADMINISTRACIÓN </w:t>
      </w:r>
    </w:p>
    <w:p w14:paraId="65EEC5F1" w14:textId="142C9B33" w:rsidR="00C0364F" w:rsidRP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u w:val="single"/>
          <w:lang w:eastAsia="es-ES"/>
        </w:rPr>
      </w:pPr>
      <w:r w:rsidRPr="000221E2">
        <w:rPr>
          <w:rFonts w:ascii="Palatino Linotype" w:eastAsia="Calibri" w:hAnsi="Palatino Linotype" w:cs="Times New Roman"/>
          <w:i/>
          <w:iCs/>
          <w:u w:val="single"/>
          <w:lang w:eastAsia="es-ES"/>
        </w:rPr>
        <w:t>DEPARTAMENTO DE PERSONAL</w:t>
      </w:r>
      <w:r w:rsidRPr="00C0364F">
        <w:rPr>
          <w:rFonts w:ascii="Palatino Linotype" w:eastAsia="Calibri" w:hAnsi="Palatino Linotype" w:cs="Times New Roman"/>
          <w:i/>
          <w:iCs/>
          <w:u w:val="single"/>
          <w:lang w:eastAsia="es-ES"/>
        </w:rPr>
        <w:t xml:space="preserve"> </w:t>
      </w:r>
    </w:p>
    <w:p w14:paraId="799CFE8C" w14:textId="16DE36F3"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EVENTOS ESPECIALES </w:t>
      </w:r>
    </w:p>
    <w:p w14:paraId="20E24402" w14:textId="2357C7E9"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INFORMÁTICA </w:t>
      </w:r>
    </w:p>
    <w:p w14:paraId="3134F5A8" w14:textId="57C0F776"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JURÍDICA </w:t>
      </w:r>
    </w:p>
    <w:p w14:paraId="0116FD50" w14:textId="6A008681"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DESARROLLO SOCIAL </w:t>
      </w:r>
    </w:p>
    <w:p w14:paraId="5F703647" w14:textId="6EDF218C"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ATENCIÓN A LA JUVENTUD </w:t>
      </w:r>
    </w:p>
    <w:p w14:paraId="780962D2" w14:textId="1B2116B1"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ATENCIÓN A LA MUJER CRECES </w:t>
      </w:r>
    </w:p>
    <w:p w14:paraId="19F0BC4F" w14:textId="4374EF33"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DESARROLLO ECONÓMICO </w:t>
      </w:r>
    </w:p>
    <w:p w14:paraId="166109D8" w14:textId="23C3646F"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TURISMO </w:t>
      </w:r>
    </w:p>
    <w:p w14:paraId="09935503" w14:textId="7430FCD9"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DESARROLLO AGROPECUARIO </w:t>
      </w:r>
    </w:p>
    <w:p w14:paraId="3BCA919D" w14:textId="6540FF69"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lastRenderedPageBreak/>
        <w:t xml:space="preserve">DIRECCIÓN DE PLANEACIÓN </w:t>
      </w:r>
    </w:p>
    <w:p w14:paraId="7EBD97E9" w14:textId="4A79C014"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GOBERNACIÓN </w:t>
      </w:r>
    </w:p>
    <w:p w14:paraId="7FAC89BF" w14:textId="192D6D0F"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ASUNTOS RELIGIOSOS </w:t>
      </w:r>
    </w:p>
    <w:p w14:paraId="0C5F4736" w14:textId="4CD76E3A"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DIRECCIÓN DE CULTURA DIRECCIÓN DE EDUCACIÓN</w:t>
      </w:r>
    </w:p>
    <w:p w14:paraId="3B2D1DA7" w14:textId="77777777" w:rsidR="00C0364F"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BIBLIOTECAS </w:t>
      </w:r>
    </w:p>
    <w:p w14:paraId="3C7684A1" w14:textId="436956A0"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AGUA POTABLE DIRECCIÓN DE ECOLOGÍA </w:t>
      </w:r>
    </w:p>
    <w:p w14:paraId="68B8A31A" w14:textId="77777777"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SERVICIOS PÚBLICOS </w:t>
      </w:r>
    </w:p>
    <w:p w14:paraId="290DAD43" w14:textId="29CAEB7B"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COORDINACIÓN DE ALUMBRADO PÚBLICO Y ELECTRICIDAD </w:t>
      </w:r>
    </w:p>
    <w:p w14:paraId="1331145E" w14:textId="5CE71B42"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TRANSPORTE Y VIALIDAD </w:t>
      </w:r>
    </w:p>
    <w:p w14:paraId="56627EBA" w14:textId="1BA48FE5"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DE ASUNTOS INDÍGENAS </w:t>
      </w:r>
    </w:p>
    <w:p w14:paraId="5E04803C" w14:textId="6DB8675E"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OFICIALÍA CONCILIADORA Y CALIFICADORA </w:t>
      </w:r>
    </w:p>
    <w:p w14:paraId="45C9EC7A" w14:textId="30AFA973"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DIRECCIÓN FORESTAL </w:t>
      </w:r>
    </w:p>
    <w:p w14:paraId="144B8811" w14:textId="77777777"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p>
    <w:p w14:paraId="09794272" w14:textId="05471DB6" w:rsidR="0074360E" w:rsidRPr="000221E2" w:rsidRDefault="0074360E" w:rsidP="0074360E">
      <w:pPr>
        <w:autoSpaceDE w:val="0"/>
        <w:autoSpaceDN w:val="0"/>
        <w:adjustRightInd w:val="0"/>
        <w:spacing w:after="0" w:line="240" w:lineRule="auto"/>
        <w:ind w:left="567" w:right="567"/>
        <w:jc w:val="both"/>
        <w:rPr>
          <w:rFonts w:ascii="Palatino Linotype" w:eastAsia="Calibri" w:hAnsi="Palatino Linotype" w:cs="Times New Roman"/>
          <w:b/>
          <w:bCs/>
          <w:i/>
          <w:iCs/>
          <w:lang w:eastAsia="es-ES"/>
        </w:rPr>
      </w:pPr>
      <w:r w:rsidRPr="000221E2">
        <w:rPr>
          <w:rFonts w:ascii="Palatino Linotype" w:eastAsia="Calibri" w:hAnsi="Palatino Linotype" w:cs="Times New Roman"/>
          <w:b/>
          <w:bCs/>
          <w:i/>
          <w:iCs/>
          <w:lang w:eastAsia="es-ES"/>
        </w:rPr>
        <w:t xml:space="preserve">Órganos Desconcentrados </w:t>
      </w:r>
    </w:p>
    <w:p w14:paraId="1648E35D" w14:textId="77777777"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 xml:space="preserve">DIF MUNICIPAL </w:t>
      </w:r>
    </w:p>
    <w:p w14:paraId="54DA3DD2" w14:textId="0BF6CDFC"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4360E">
        <w:rPr>
          <w:rFonts w:ascii="Palatino Linotype" w:eastAsia="Calibri" w:hAnsi="Palatino Linotype" w:cs="Times New Roman"/>
          <w:i/>
          <w:iCs/>
          <w:lang w:eastAsia="es-ES"/>
        </w:rPr>
        <w:t>INSTITUTO MUNICIPAL DE CULTURA FÍSICA Y DEPORTE DEFENSORÍA DE LOS DERECHOS HUMANOS</w:t>
      </w:r>
    </w:p>
    <w:p w14:paraId="4EDFFC7D" w14:textId="745FF161" w:rsidR="0074360E" w:rsidRDefault="0074360E"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p>
    <w:p w14:paraId="4AABEF8A" w14:textId="77777777" w:rsidR="007F309A" w:rsidRP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b/>
          <w:bCs/>
          <w:i/>
          <w:iCs/>
          <w:lang w:eastAsia="es-ES"/>
        </w:rPr>
      </w:pPr>
      <w:r w:rsidRPr="007F309A">
        <w:rPr>
          <w:rFonts w:ascii="Palatino Linotype" w:eastAsia="Calibri" w:hAnsi="Palatino Linotype" w:cs="Times New Roman"/>
          <w:b/>
          <w:bCs/>
          <w:i/>
          <w:iCs/>
          <w:lang w:eastAsia="es-ES"/>
        </w:rPr>
        <w:t>TESORERÍA</w:t>
      </w:r>
    </w:p>
    <w:p w14:paraId="0EBE5D9A" w14:textId="41116576"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F309A">
        <w:rPr>
          <w:rFonts w:ascii="Palatino Linotype" w:eastAsia="Calibri" w:hAnsi="Palatino Linotype" w:cs="Times New Roman"/>
          <w:i/>
          <w:iCs/>
          <w:lang w:eastAsia="es-ES"/>
        </w:rPr>
        <w:t xml:space="preserve">Objetivo: </w:t>
      </w:r>
    </w:p>
    <w:p w14:paraId="34EFDDBA" w14:textId="711A0853"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F309A">
        <w:rPr>
          <w:rFonts w:ascii="Palatino Linotype" w:eastAsia="Calibri" w:hAnsi="Palatino Linotype" w:cs="Times New Roman"/>
          <w:i/>
          <w:iCs/>
          <w:lang w:eastAsia="es-ES"/>
        </w:rPr>
        <w:t>Formular, desarrollar, coordinar y ejecutar la política de ingresos y crédito público asegurando que los recursos públicos Estatales, Federales y Recaudaciones que ingresen al Municipio se utilicen con legalidad y de manera eficiente en beneficio de la ciudadanía; que</w:t>
      </w:r>
      <w:r>
        <w:rPr>
          <w:rFonts w:ascii="Palatino Linotype" w:eastAsia="Calibri" w:hAnsi="Palatino Linotype" w:cs="Times New Roman"/>
          <w:i/>
          <w:iCs/>
          <w:lang w:eastAsia="es-ES"/>
        </w:rPr>
        <w:t xml:space="preserve"> </w:t>
      </w:r>
      <w:r w:rsidRPr="007F309A">
        <w:rPr>
          <w:rFonts w:ascii="Palatino Linotype" w:eastAsia="Calibri" w:hAnsi="Palatino Linotype" w:cs="Times New Roman"/>
          <w:i/>
          <w:iCs/>
          <w:lang w:eastAsia="es-ES"/>
        </w:rPr>
        <w:t xml:space="preserve">permitan contar con finanzas sanas y la solvencia económica para cumplir las obligaciones, funciones y atribuciones de la Administración Pública Municipal con base a las disposiciones legales y lineamientos establecidos por el Ejecutivo Municipal </w:t>
      </w:r>
    </w:p>
    <w:p w14:paraId="19957D1E" w14:textId="16ED9EC0"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7F309A">
        <w:rPr>
          <w:rFonts w:ascii="Palatino Linotype" w:eastAsia="Calibri" w:hAnsi="Palatino Linotype" w:cs="Times New Roman"/>
          <w:i/>
          <w:iCs/>
          <w:lang w:eastAsia="es-ES"/>
        </w:rPr>
        <w:t xml:space="preserve">Funciones: </w:t>
      </w:r>
    </w:p>
    <w:p w14:paraId="033FA86B" w14:textId="3C2CB12A"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I</w:t>
      </w:r>
      <w:r w:rsidRPr="007F309A">
        <w:rPr>
          <w:rFonts w:ascii="Palatino Linotype" w:eastAsia="Calibri" w:hAnsi="Palatino Linotype" w:cs="Times New Roman"/>
          <w:i/>
          <w:iCs/>
          <w:lang w:eastAsia="es-ES"/>
        </w:rPr>
        <w:t xml:space="preserve">. Elaborar, desarrollar, implementar y supervisar en tiempo y forma los programas de ingresos y egresos conjuntamente con la Dirección de Planeación a consideración del Ejecutivo Municipal </w:t>
      </w:r>
    </w:p>
    <w:p w14:paraId="6C32EE2E" w14:textId="78E84F85"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II</w:t>
      </w:r>
      <w:r w:rsidRPr="007F309A">
        <w:rPr>
          <w:rFonts w:ascii="Palatino Linotype" w:eastAsia="Calibri" w:hAnsi="Palatino Linotype" w:cs="Times New Roman"/>
          <w:i/>
          <w:iCs/>
          <w:lang w:eastAsia="es-ES"/>
        </w:rPr>
        <w:t xml:space="preserve">. Informar oportunamente a las instancias de los Gobiernos Federal, Estatal y del Cabildo, los resultados de los programas de ingresos y egresos del año fiscal correspondiente </w:t>
      </w:r>
    </w:p>
    <w:p w14:paraId="28817ABA" w14:textId="0A4DF815"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III</w:t>
      </w:r>
      <w:r w:rsidRPr="007F309A">
        <w:rPr>
          <w:rFonts w:ascii="Palatino Linotype" w:eastAsia="Calibri" w:hAnsi="Palatino Linotype" w:cs="Times New Roman"/>
          <w:i/>
          <w:iCs/>
          <w:lang w:eastAsia="es-ES"/>
        </w:rPr>
        <w:t xml:space="preserve">. Dirigir la recaudación, custodia y registro de los fondos provenientes de la aplicación de la Ley de Ingresos, así como otros conceptos que tenga derecho a percibir el Ayuntamiento </w:t>
      </w:r>
    </w:p>
    <w:p w14:paraId="34B3EC01" w14:textId="7571C437"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IV</w:t>
      </w:r>
      <w:r w:rsidRPr="007F309A">
        <w:rPr>
          <w:rFonts w:ascii="Palatino Linotype" w:eastAsia="Calibri" w:hAnsi="Palatino Linotype" w:cs="Times New Roman"/>
          <w:i/>
          <w:iCs/>
          <w:lang w:eastAsia="es-ES"/>
        </w:rPr>
        <w:t xml:space="preserve">. Elaborar y actualizar el padrón de contribuyentes municipales </w:t>
      </w:r>
    </w:p>
    <w:p w14:paraId="0983299C" w14:textId="07DFEDD6"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V</w:t>
      </w:r>
      <w:r w:rsidRPr="007F309A">
        <w:rPr>
          <w:rFonts w:ascii="Palatino Linotype" w:eastAsia="Calibri" w:hAnsi="Palatino Linotype" w:cs="Times New Roman"/>
          <w:i/>
          <w:iCs/>
          <w:lang w:eastAsia="es-ES"/>
        </w:rPr>
        <w:t xml:space="preserve">. Orientar a los contribuyentes en el cumplimiento de sus obligaciones fiscales </w:t>
      </w:r>
    </w:p>
    <w:p w14:paraId="6C66BD4C" w14:textId="3C79035F"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VI</w:t>
      </w:r>
      <w:r w:rsidRPr="007F309A">
        <w:rPr>
          <w:rFonts w:ascii="Palatino Linotype" w:eastAsia="Calibri" w:hAnsi="Palatino Linotype" w:cs="Times New Roman"/>
          <w:i/>
          <w:iCs/>
          <w:lang w:eastAsia="es-ES"/>
        </w:rPr>
        <w:t xml:space="preserve">. Verificar que las multas impuestas por las autoridades municipales ingresen a la Tesorería Municipal </w:t>
      </w:r>
    </w:p>
    <w:p w14:paraId="591665E9" w14:textId="4B508E0F"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VII</w:t>
      </w:r>
      <w:r w:rsidRPr="007F309A">
        <w:rPr>
          <w:rFonts w:ascii="Palatino Linotype" w:eastAsia="Calibri" w:hAnsi="Palatino Linotype" w:cs="Times New Roman"/>
          <w:i/>
          <w:iCs/>
          <w:lang w:eastAsia="es-ES"/>
        </w:rPr>
        <w:t xml:space="preserve">. Efectuar las comprobaciones de los recursos aplicados y resguardar la documentación contable y fiscal de las operaciones realizadas, conforme a la normatividad en esta materia </w:t>
      </w:r>
    </w:p>
    <w:p w14:paraId="4BF1C755" w14:textId="1578DF2C"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lastRenderedPageBreak/>
        <w:t>VIII</w:t>
      </w:r>
      <w:r w:rsidRPr="007F309A">
        <w:rPr>
          <w:rFonts w:ascii="Palatino Linotype" w:eastAsia="Calibri" w:hAnsi="Palatino Linotype" w:cs="Times New Roman"/>
          <w:i/>
          <w:iCs/>
          <w:lang w:eastAsia="es-ES"/>
        </w:rPr>
        <w:t xml:space="preserve">. Comunicar al Presidente Municipal, las irregularidades en que incurran los empleados a su cargo </w:t>
      </w:r>
    </w:p>
    <w:p w14:paraId="2FA45A30" w14:textId="4F24A599"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IX</w:t>
      </w:r>
      <w:r w:rsidRPr="007F309A">
        <w:rPr>
          <w:rFonts w:ascii="Palatino Linotype" w:eastAsia="Calibri" w:hAnsi="Palatino Linotype" w:cs="Times New Roman"/>
          <w:i/>
          <w:iCs/>
          <w:lang w:eastAsia="es-ES"/>
        </w:rPr>
        <w:t xml:space="preserve">. Atender las revisiones y auditorias que se practiquen por las Autoridades Municipales, Estatales y Federales, así como aquellas de carácter externo y desahogar en los plazos establecidos las observaciones determinadas </w:t>
      </w:r>
    </w:p>
    <w:p w14:paraId="3801D374" w14:textId="3919D8F1"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w:t>
      </w:r>
      <w:r w:rsidRPr="007F309A">
        <w:rPr>
          <w:rFonts w:ascii="Palatino Linotype" w:eastAsia="Calibri" w:hAnsi="Palatino Linotype" w:cs="Times New Roman"/>
          <w:i/>
          <w:iCs/>
          <w:lang w:eastAsia="es-ES"/>
        </w:rPr>
        <w:t xml:space="preserve">. Representar el interés del Municipio en materia fiscal, así como participar y verificar que en la celebración de los actos y contratos que realice el Ayuntamiento se observen las disposiciones relativas a la Hacienda Pública Municipal </w:t>
      </w:r>
    </w:p>
    <w:p w14:paraId="5BA966A6" w14:textId="0CD3E4EB"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XI</w:t>
      </w:r>
      <w:r w:rsidRPr="007F309A">
        <w:rPr>
          <w:rFonts w:ascii="Palatino Linotype" w:eastAsia="Calibri" w:hAnsi="Palatino Linotype" w:cs="Times New Roman"/>
          <w:i/>
          <w:iCs/>
          <w:lang w:eastAsia="es-ES"/>
        </w:rPr>
        <w:t xml:space="preserve">. </w:t>
      </w:r>
      <w:r w:rsidRPr="007F309A">
        <w:rPr>
          <w:rFonts w:ascii="Palatino Linotype" w:eastAsia="Calibri" w:hAnsi="Palatino Linotype" w:cs="Times New Roman"/>
          <w:i/>
          <w:iCs/>
          <w:u w:val="single"/>
          <w:lang w:eastAsia="es-ES"/>
        </w:rPr>
        <w:t>Elaborar y emitir la nómina para el pago del recurso humano que labora en la Administración Pública del Ayuntamiento a través del control y registro de las altas, bajas, promociones, cambios de adscripción e incidencias de personal</w:t>
      </w:r>
      <w:r w:rsidRPr="007F309A">
        <w:rPr>
          <w:rFonts w:ascii="Palatino Linotype" w:eastAsia="Calibri" w:hAnsi="Palatino Linotype" w:cs="Times New Roman"/>
          <w:i/>
          <w:iCs/>
          <w:lang w:eastAsia="es-ES"/>
        </w:rPr>
        <w:t xml:space="preserve"> </w:t>
      </w:r>
    </w:p>
    <w:p w14:paraId="7D5CDF32" w14:textId="6EEB8064"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XII</w:t>
      </w:r>
      <w:r w:rsidRPr="007F309A">
        <w:rPr>
          <w:rFonts w:ascii="Palatino Linotype" w:eastAsia="Calibri" w:hAnsi="Palatino Linotype" w:cs="Times New Roman"/>
          <w:i/>
          <w:iCs/>
          <w:lang w:eastAsia="es-ES"/>
        </w:rPr>
        <w:t xml:space="preserve">. Generar, autorizar y controlar la lista de raya del recurso humano que labora en el Administración Pública del Ayuntamiento </w:t>
      </w:r>
    </w:p>
    <w:p w14:paraId="7DA602F2" w14:textId="64CBE6A9"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XIII</w:t>
      </w:r>
      <w:r w:rsidRPr="007F309A">
        <w:rPr>
          <w:rFonts w:ascii="Palatino Linotype" w:eastAsia="Calibri" w:hAnsi="Palatino Linotype" w:cs="Times New Roman"/>
          <w:i/>
          <w:iCs/>
          <w:lang w:eastAsia="es-ES"/>
        </w:rPr>
        <w:t xml:space="preserve">. Suministrar los materiales de oficina requeridos por las distintas Áreas de la Administración Municipal, así como el mobiliario y equipo requerido para el cumplimiento de sus funciones </w:t>
      </w:r>
    </w:p>
    <w:p w14:paraId="1FBC14A5" w14:textId="4541855C" w:rsidR="000221E2"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XIV</w:t>
      </w:r>
      <w:r w:rsidRPr="007F309A">
        <w:rPr>
          <w:rFonts w:ascii="Palatino Linotype" w:eastAsia="Calibri" w:hAnsi="Palatino Linotype" w:cs="Times New Roman"/>
          <w:i/>
          <w:iCs/>
          <w:lang w:eastAsia="es-ES"/>
        </w:rPr>
        <w:t>. Establecer, desarrollar y emitir los lineamientos que deban observar las Áreas de la Administración Municipal con base en las políticas del ejercicio presupuestal vigente</w:t>
      </w:r>
    </w:p>
    <w:p w14:paraId="7D2D1312" w14:textId="77777777"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XV</w:t>
      </w:r>
      <w:r w:rsidRPr="007F309A">
        <w:rPr>
          <w:rFonts w:ascii="Palatino Linotype" w:eastAsia="Calibri" w:hAnsi="Palatino Linotype" w:cs="Times New Roman"/>
          <w:i/>
          <w:iCs/>
          <w:lang w:eastAsia="es-ES"/>
        </w:rPr>
        <w:t xml:space="preserve">. Diseñar e implementar las disposiciones de racionalidad, austeridad y disciplina presupuestal </w:t>
      </w:r>
    </w:p>
    <w:p w14:paraId="76855BBC" w14:textId="751D3953"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XVI</w:t>
      </w:r>
      <w:r w:rsidRPr="007F309A">
        <w:rPr>
          <w:rFonts w:ascii="Palatino Linotype" w:eastAsia="Calibri" w:hAnsi="Palatino Linotype" w:cs="Times New Roman"/>
          <w:i/>
          <w:iCs/>
          <w:lang w:eastAsia="es-ES"/>
        </w:rPr>
        <w:t xml:space="preserve">. Crear, instrumentar, desarrollar y supervisar las medidas necesarias para incrementar la recaudación fiscal conforme a la ley aplicable </w:t>
      </w:r>
    </w:p>
    <w:p w14:paraId="7A6340C8" w14:textId="4CB929CC"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XVII</w:t>
      </w:r>
      <w:r w:rsidRPr="007F309A">
        <w:rPr>
          <w:rFonts w:ascii="Palatino Linotype" w:eastAsia="Calibri" w:hAnsi="Palatino Linotype" w:cs="Times New Roman"/>
          <w:i/>
          <w:iCs/>
          <w:lang w:eastAsia="es-ES"/>
        </w:rPr>
        <w:t xml:space="preserve">. Presentar las declaraciones que correspondan respecto a las contribuciones a cargo del Municipio </w:t>
      </w:r>
    </w:p>
    <w:p w14:paraId="581469E2" w14:textId="222ED9B9"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XVIII</w:t>
      </w:r>
      <w:r w:rsidRPr="007F309A">
        <w:rPr>
          <w:rFonts w:ascii="Palatino Linotype" w:eastAsia="Calibri" w:hAnsi="Palatino Linotype" w:cs="Times New Roman"/>
          <w:i/>
          <w:iCs/>
          <w:lang w:eastAsia="es-ES"/>
        </w:rPr>
        <w:t xml:space="preserve">. Coordinar conjuntamente con la Dirección de Planeación la realización del Presupuesto Basado en Resultados Municipales para el ejercicio fiscal correspondiente </w:t>
      </w:r>
    </w:p>
    <w:p w14:paraId="788540BC" w14:textId="2B117724" w:rsidR="007F309A"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XIX</w:t>
      </w:r>
      <w:r w:rsidRPr="007F309A">
        <w:rPr>
          <w:rFonts w:ascii="Palatino Linotype" w:eastAsia="Calibri" w:hAnsi="Palatino Linotype" w:cs="Times New Roman"/>
          <w:i/>
          <w:iCs/>
          <w:lang w:eastAsia="es-ES"/>
        </w:rPr>
        <w:t xml:space="preserve">. Vigilar el correcto funcionamiento de la Dirección de Catastro Municipal, procurando su adecuado desempeño </w:t>
      </w:r>
    </w:p>
    <w:p w14:paraId="39CB8B18" w14:textId="6154426D" w:rsidR="000221E2" w:rsidRDefault="007F309A" w:rsidP="0074360E">
      <w:pPr>
        <w:autoSpaceDE w:val="0"/>
        <w:autoSpaceDN w:val="0"/>
        <w:adjustRightInd w:val="0"/>
        <w:spacing w:after="0" w:line="240" w:lineRule="auto"/>
        <w:ind w:left="567" w:right="567"/>
        <w:jc w:val="both"/>
        <w:rPr>
          <w:rFonts w:ascii="Palatino Linotype" w:eastAsia="Calibri" w:hAnsi="Palatino Linotype" w:cs="Times New Roman"/>
          <w:i/>
          <w:iCs/>
          <w:lang w:eastAsia="es-ES"/>
        </w:rPr>
      </w:pPr>
      <w:r w:rsidRPr="00084E71">
        <w:rPr>
          <w:rFonts w:ascii="Palatino Linotype" w:eastAsia="Calibri" w:hAnsi="Palatino Linotype" w:cs="Times New Roman"/>
          <w:b/>
          <w:bCs/>
          <w:i/>
          <w:iCs/>
          <w:lang w:eastAsia="es-ES"/>
        </w:rPr>
        <w:t>XX</w:t>
      </w:r>
      <w:r w:rsidRPr="007F309A">
        <w:rPr>
          <w:rFonts w:ascii="Palatino Linotype" w:eastAsia="Calibri" w:hAnsi="Palatino Linotype" w:cs="Times New Roman"/>
          <w:i/>
          <w:iCs/>
          <w:lang w:eastAsia="es-ES"/>
        </w:rPr>
        <w:t>. Las demás que le señalen las leyes, reglamentos y disposiciones de observancia general, o las que le señale el Ejecutivo Municipal o por acuerdo de Cabildo le sean conferidas inherentes y aplicables al área de su competencia</w:t>
      </w:r>
    </w:p>
    <w:p w14:paraId="57489E50" w14:textId="37E900CE" w:rsidR="007F309A" w:rsidRPr="007F309A" w:rsidRDefault="007F309A" w:rsidP="007F309A">
      <w:pPr>
        <w:autoSpaceDE w:val="0"/>
        <w:autoSpaceDN w:val="0"/>
        <w:adjustRightInd w:val="0"/>
        <w:spacing w:after="0" w:line="240" w:lineRule="auto"/>
        <w:ind w:left="567" w:right="567"/>
        <w:jc w:val="right"/>
        <w:rPr>
          <w:rFonts w:ascii="Palatino Linotype" w:eastAsia="Calibri" w:hAnsi="Palatino Linotype" w:cs="Times New Roman"/>
          <w:lang w:eastAsia="es-ES"/>
        </w:rPr>
      </w:pPr>
      <w:r>
        <w:rPr>
          <w:rFonts w:ascii="Palatino Linotype" w:eastAsia="Calibri" w:hAnsi="Palatino Linotype" w:cs="Times New Roman"/>
          <w:lang w:eastAsia="es-ES"/>
        </w:rPr>
        <w:t>(Énfasis añadido)</w:t>
      </w:r>
    </w:p>
    <w:p w14:paraId="26966E3B" w14:textId="740F8B2C" w:rsidR="00347C91" w:rsidRDefault="00347C91"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1AAF8DB3" w14:textId="5C9A38C3" w:rsidR="009246A4" w:rsidRDefault="00362A78"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Ordenamiento en el cual se establecen de manera precisa las unidades administrativas que integran al Sujeto Obligado, resultando de relevancia la secretaría particular de presidencia municipal</w:t>
      </w:r>
      <w:r w:rsidR="007355D5">
        <w:rPr>
          <w:rFonts w:ascii="Palatino Linotype" w:eastAsia="Calibri" w:hAnsi="Palatino Linotype" w:cs="Times New Roman"/>
          <w:sz w:val="24"/>
          <w:szCs w:val="24"/>
          <w:lang w:val="es-ES_tradnl" w:eastAsia="es-ES"/>
        </w:rPr>
        <w:t xml:space="preserve"> y la</w:t>
      </w:r>
      <w:r>
        <w:rPr>
          <w:rFonts w:ascii="Palatino Linotype" w:eastAsia="Calibri" w:hAnsi="Palatino Linotype" w:cs="Times New Roman"/>
          <w:sz w:val="24"/>
          <w:szCs w:val="24"/>
          <w:lang w:val="es-ES_tradnl" w:eastAsia="es-ES"/>
        </w:rPr>
        <w:t xml:space="preserve"> Secretaría Técnica</w:t>
      </w:r>
      <w:r w:rsidR="007355D5">
        <w:rPr>
          <w:rFonts w:ascii="Palatino Linotype" w:eastAsia="Calibri" w:hAnsi="Palatino Linotype" w:cs="Times New Roman"/>
          <w:sz w:val="24"/>
          <w:szCs w:val="24"/>
          <w:lang w:val="es-ES_tradnl" w:eastAsia="es-ES"/>
        </w:rPr>
        <w:t xml:space="preserve">, de quienes se peticionó la información. </w:t>
      </w:r>
      <w:r w:rsidR="009246A4">
        <w:rPr>
          <w:rFonts w:ascii="Palatino Linotype" w:eastAsia="Calibri" w:hAnsi="Palatino Linotype" w:cs="Times New Roman"/>
          <w:sz w:val="24"/>
          <w:szCs w:val="24"/>
          <w:lang w:val="es-ES_tradnl" w:eastAsia="es-ES"/>
        </w:rPr>
        <w:t>Información que, concatenada con el organigrama del Sujeto Obligado, s</w:t>
      </w:r>
      <w:r w:rsidR="007355D5">
        <w:rPr>
          <w:rFonts w:ascii="Palatino Linotype" w:eastAsia="Calibri" w:hAnsi="Palatino Linotype" w:cs="Times New Roman"/>
          <w:sz w:val="24"/>
          <w:szCs w:val="24"/>
          <w:lang w:val="es-ES_tradnl" w:eastAsia="es-ES"/>
        </w:rPr>
        <w:t xml:space="preserve">e acredita que </w:t>
      </w:r>
      <w:r w:rsidR="009246A4">
        <w:rPr>
          <w:rFonts w:ascii="Palatino Linotype" w:eastAsia="Calibri" w:hAnsi="Palatino Linotype" w:cs="Times New Roman"/>
          <w:sz w:val="24"/>
          <w:szCs w:val="24"/>
          <w:lang w:val="es-ES_tradnl" w:eastAsia="es-ES"/>
        </w:rPr>
        <w:lastRenderedPageBreak/>
        <w:t>dichas unidades no cuentan con áreas staff, se inserta el organigrama a continuación para pronta referencia:</w:t>
      </w:r>
    </w:p>
    <w:p w14:paraId="188AE6D2" w14:textId="77777777" w:rsidR="009246A4" w:rsidRDefault="009246A4"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135B0A9A" w14:textId="4713D6A8" w:rsidR="00347C91" w:rsidRDefault="009246A4" w:rsidP="009246A4">
      <w:pPr>
        <w:autoSpaceDE w:val="0"/>
        <w:autoSpaceDN w:val="0"/>
        <w:adjustRightInd w:val="0"/>
        <w:spacing w:after="0" w:line="360" w:lineRule="auto"/>
        <w:jc w:val="center"/>
        <w:rPr>
          <w:rFonts w:ascii="Palatino Linotype" w:eastAsia="Calibri" w:hAnsi="Palatino Linotype" w:cs="Times New Roman"/>
          <w:sz w:val="24"/>
          <w:szCs w:val="24"/>
          <w:lang w:val="es-ES_tradnl" w:eastAsia="es-ES"/>
        </w:rPr>
      </w:pPr>
      <w:r w:rsidRPr="009246A4">
        <w:rPr>
          <w:rFonts w:ascii="Palatino Linotype" w:eastAsia="Calibri" w:hAnsi="Palatino Linotype" w:cs="Times New Roman"/>
          <w:noProof/>
          <w:sz w:val="24"/>
          <w:szCs w:val="24"/>
          <w:lang w:eastAsia="es-MX"/>
        </w:rPr>
        <w:drawing>
          <wp:inline distT="0" distB="0" distL="0" distR="0" wp14:anchorId="5F1EB31C" wp14:editId="14629F0D">
            <wp:extent cx="5378431" cy="2703443"/>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2751" cy="2715667"/>
                    </a:xfrm>
                    <a:prstGeom prst="rect">
                      <a:avLst/>
                    </a:prstGeom>
                  </pic:spPr>
                </pic:pic>
              </a:graphicData>
            </a:graphic>
          </wp:inline>
        </w:drawing>
      </w:r>
    </w:p>
    <w:p w14:paraId="271593CD" w14:textId="77777777" w:rsidR="00347C91" w:rsidRDefault="00347C91"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3028C74D" w14:textId="77777777" w:rsidR="001F2FC6" w:rsidRDefault="009246A4"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Una vez advertidas las unidades administrativas secretaría particular y secretaría técnica, se acredita que el </w:t>
      </w:r>
      <w:r w:rsidRPr="00F52670">
        <w:rPr>
          <w:rFonts w:ascii="Palatino Linotype" w:eastAsia="Calibri" w:hAnsi="Palatino Linotype" w:cs="Times New Roman"/>
          <w:b/>
          <w:bCs/>
          <w:sz w:val="24"/>
          <w:szCs w:val="24"/>
          <w:lang w:val="es-ES_tradnl" w:eastAsia="es-ES"/>
        </w:rPr>
        <w:t>Sujeto Obligado</w:t>
      </w:r>
      <w:r>
        <w:rPr>
          <w:rFonts w:ascii="Palatino Linotype" w:eastAsia="Calibri" w:hAnsi="Palatino Linotype" w:cs="Times New Roman"/>
          <w:sz w:val="24"/>
          <w:szCs w:val="24"/>
          <w:lang w:val="es-ES_tradnl" w:eastAsia="es-ES"/>
        </w:rPr>
        <w:t xml:space="preserve"> proporcionó la información requerida en los requerimientos 1.2 y 1.3, relativos a los nombres y fichas curriculares de los servidores públicos que ocupan </w:t>
      </w:r>
      <w:r w:rsidR="00F52670">
        <w:rPr>
          <w:rFonts w:ascii="Palatino Linotype" w:eastAsia="Calibri" w:hAnsi="Palatino Linotype" w:cs="Times New Roman"/>
          <w:sz w:val="24"/>
          <w:szCs w:val="24"/>
          <w:lang w:val="es-ES_tradnl" w:eastAsia="es-ES"/>
        </w:rPr>
        <w:t>dichos cargos, teniéndose por satisfechos</w:t>
      </w:r>
      <w:r w:rsidR="00C262DE">
        <w:rPr>
          <w:rFonts w:ascii="Palatino Linotype" w:eastAsia="Calibri" w:hAnsi="Palatino Linotype" w:cs="Times New Roman"/>
          <w:sz w:val="24"/>
          <w:szCs w:val="24"/>
          <w:lang w:val="es-ES_tradnl" w:eastAsia="es-ES"/>
        </w:rPr>
        <w:t xml:space="preserve">. </w:t>
      </w:r>
    </w:p>
    <w:p w14:paraId="73D1C871" w14:textId="77777777" w:rsidR="001F2FC6" w:rsidRDefault="001F2FC6"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0FCEC69F" w14:textId="73485FD3" w:rsidR="00347C91" w:rsidRDefault="001F2FC6"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Ahora bien, en lo que corresponde a los requerimientos 1.1 y 2.1, relativos a los sueldos. El </w:t>
      </w:r>
      <w:r w:rsidRPr="00084E71">
        <w:rPr>
          <w:rFonts w:ascii="Palatino Linotype" w:eastAsia="Calibri" w:hAnsi="Palatino Linotype" w:cs="Times New Roman"/>
          <w:b/>
          <w:bCs/>
          <w:sz w:val="24"/>
          <w:szCs w:val="24"/>
          <w:lang w:val="es-ES_tradnl" w:eastAsia="es-ES"/>
        </w:rPr>
        <w:t>Sujeto Obligado</w:t>
      </w:r>
      <w:r>
        <w:rPr>
          <w:rFonts w:ascii="Palatino Linotype" w:eastAsia="Calibri" w:hAnsi="Palatino Linotype" w:cs="Times New Roman"/>
          <w:sz w:val="24"/>
          <w:szCs w:val="24"/>
          <w:lang w:val="es-ES_tradnl" w:eastAsia="es-ES"/>
        </w:rPr>
        <w:t xml:space="preserve"> respondió</w:t>
      </w:r>
      <w:r w:rsidR="00084E71">
        <w:rPr>
          <w:rFonts w:ascii="Palatino Linotype" w:eastAsia="Calibri" w:hAnsi="Palatino Linotype" w:cs="Times New Roman"/>
          <w:sz w:val="24"/>
          <w:szCs w:val="24"/>
          <w:lang w:val="es-ES_tradnl" w:eastAsia="es-ES"/>
        </w:rPr>
        <w:t>,</w:t>
      </w:r>
      <w:r>
        <w:rPr>
          <w:rFonts w:ascii="Palatino Linotype" w:eastAsia="Calibri" w:hAnsi="Palatino Linotype" w:cs="Times New Roman"/>
          <w:sz w:val="24"/>
          <w:szCs w:val="24"/>
          <w:lang w:val="es-ES_tradnl" w:eastAsia="es-ES"/>
        </w:rPr>
        <w:t xml:space="preserve"> a través del Tesorero Municipal</w:t>
      </w:r>
      <w:r w:rsidR="00084E71">
        <w:rPr>
          <w:rFonts w:ascii="Palatino Linotype" w:eastAsia="Calibri" w:hAnsi="Palatino Linotype" w:cs="Times New Roman"/>
          <w:sz w:val="24"/>
          <w:szCs w:val="24"/>
          <w:lang w:val="es-ES_tradnl" w:eastAsia="es-ES"/>
        </w:rPr>
        <w:t>,</w:t>
      </w:r>
      <w:r>
        <w:rPr>
          <w:rFonts w:ascii="Palatino Linotype" w:eastAsia="Calibri" w:hAnsi="Palatino Linotype" w:cs="Times New Roman"/>
          <w:sz w:val="24"/>
          <w:szCs w:val="24"/>
          <w:lang w:val="es-ES_tradnl" w:eastAsia="es-ES"/>
        </w:rPr>
        <w:t xml:space="preserve"> no contar con atribuciones para la asignación de </w:t>
      </w:r>
      <w:r w:rsidR="00FC1CC0">
        <w:rPr>
          <w:rFonts w:ascii="Palatino Linotype" w:eastAsia="Calibri" w:hAnsi="Palatino Linotype" w:cs="Times New Roman"/>
          <w:sz w:val="24"/>
          <w:szCs w:val="24"/>
          <w:lang w:val="es-ES_tradnl" w:eastAsia="es-ES"/>
        </w:rPr>
        <w:t>sueldos</w:t>
      </w:r>
      <w:r w:rsidR="00084E71">
        <w:rPr>
          <w:rFonts w:ascii="Palatino Linotype" w:eastAsia="Calibri" w:hAnsi="Palatino Linotype" w:cs="Times New Roman"/>
          <w:sz w:val="24"/>
          <w:szCs w:val="24"/>
          <w:lang w:val="es-ES_tradnl" w:eastAsia="es-ES"/>
        </w:rPr>
        <w:t>. C</w:t>
      </w:r>
      <w:r w:rsidR="00FC1CC0">
        <w:rPr>
          <w:rFonts w:ascii="Palatino Linotype" w:eastAsia="Calibri" w:hAnsi="Palatino Linotype" w:cs="Times New Roman"/>
          <w:sz w:val="24"/>
          <w:szCs w:val="24"/>
          <w:lang w:val="es-ES_tradnl" w:eastAsia="es-ES"/>
        </w:rPr>
        <w:t>ircunstancia que</w:t>
      </w:r>
      <w:r w:rsidR="00084E71">
        <w:rPr>
          <w:rFonts w:ascii="Palatino Linotype" w:eastAsia="Calibri" w:hAnsi="Palatino Linotype" w:cs="Times New Roman"/>
          <w:sz w:val="24"/>
          <w:szCs w:val="24"/>
          <w:lang w:val="es-ES_tradnl" w:eastAsia="es-ES"/>
        </w:rPr>
        <w:t>,</w:t>
      </w:r>
      <w:r w:rsidR="00FC1CC0">
        <w:rPr>
          <w:rFonts w:ascii="Palatino Linotype" w:eastAsia="Calibri" w:hAnsi="Palatino Linotype" w:cs="Times New Roman"/>
          <w:sz w:val="24"/>
          <w:szCs w:val="24"/>
          <w:lang w:val="es-ES_tradnl" w:eastAsia="es-ES"/>
        </w:rPr>
        <w:t xml:space="preserve"> efectivamente, se tiene por acreditada conforma a las atribuciones consagradas en los ordenamientos ya citados, como son la Ley Orgánica Municipal del Estado de México y el </w:t>
      </w:r>
      <w:r w:rsidR="00FC1CC0" w:rsidRPr="00347C91">
        <w:rPr>
          <w:rFonts w:ascii="Palatino Linotype" w:eastAsia="Calibri" w:hAnsi="Palatino Linotype" w:cs="Times New Roman"/>
          <w:sz w:val="24"/>
          <w:szCs w:val="24"/>
          <w:lang w:val="es-ES_tradnl" w:eastAsia="es-ES"/>
        </w:rPr>
        <w:t>Manual General de Organización de la Administración Pública Municipal</w:t>
      </w:r>
      <w:r w:rsidR="00FC1CC0">
        <w:rPr>
          <w:rFonts w:ascii="Palatino Linotype" w:eastAsia="Calibri" w:hAnsi="Palatino Linotype" w:cs="Times New Roman"/>
          <w:sz w:val="24"/>
          <w:szCs w:val="24"/>
          <w:lang w:val="es-ES_tradnl" w:eastAsia="es-ES"/>
        </w:rPr>
        <w:t xml:space="preserve"> del Sujeto Obligado, no obstante, en dichos ordenamientos, se consagran las atribuciones del l</w:t>
      </w:r>
      <w:r w:rsidR="00FC1CC0" w:rsidRPr="00FC1CC0">
        <w:rPr>
          <w:rFonts w:ascii="Palatino Linotype" w:eastAsia="Calibri" w:hAnsi="Palatino Linotype" w:cs="Times New Roman"/>
          <w:sz w:val="24"/>
          <w:szCs w:val="24"/>
          <w:lang w:val="es-ES_tradnl" w:eastAsia="es-ES"/>
        </w:rPr>
        <w:t xml:space="preserve">levar los </w:t>
      </w:r>
      <w:r w:rsidR="00FC1CC0" w:rsidRPr="00FC1CC0">
        <w:rPr>
          <w:rFonts w:ascii="Palatino Linotype" w:eastAsia="Calibri" w:hAnsi="Palatino Linotype" w:cs="Times New Roman"/>
          <w:sz w:val="24"/>
          <w:szCs w:val="24"/>
          <w:lang w:val="es-ES_tradnl" w:eastAsia="es-ES"/>
        </w:rPr>
        <w:lastRenderedPageBreak/>
        <w:t>registros</w:t>
      </w:r>
      <w:r w:rsidR="001E6025">
        <w:rPr>
          <w:rFonts w:ascii="Palatino Linotype" w:eastAsia="Calibri" w:hAnsi="Palatino Linotype" w:cs="Times New Roman"/>
          <w:sz w:val="24"/>
          <w:szCs w:val="24"/>
          <w:lang w:val="es-ES_tradnl" w:eastAsia="es-ES"/>
        </w:rPr>
        <w:t xml:space="preserve"> de</w:t>
      </w:r>
      <w:r w:rsidR="00FC1CC0" w:rsidRPr="00FC1CC0">
        <w:rPr>
          <w:rFonts w:ascii="Palatino Linotype" w:eastAsia="Calibri" w:hAnsi="Palatino Linotype" w:cs="Times New Roman"/>
          <w:sz w:val="24"/>
          <w:szCs w:val="24"/>
          <w:lang w:val="es-ES_tradnl" w:eastAsia="es-ES"/>
        </w:rPr>
        <w:t xml:space="preserve"> egresos,</w:t>
      </w:r>
      <w:r w:rsidR="001E6025">
        <w:rPr>
          <w:rFonts w:ascii="Palatino Linotype" w:eastAsia="Calibri" w:hAnsi="Palatino Linotype" w:cs="Times New Roman"/>
          <w:sz w:val="24"/>
          <w:szCs w:val="24"/>
          <w:lang w:val="es-ES_tradnl" w:eastAsia="es-ES"/>
        </w:rPr>
        <w:t xml:space="preserve"> así como la elaboración y emisión de la nómina para el pago de los recursos humanos.</w:t>
      </w:r>
    </w:p>
    <w:p w14:paraId="1192653E" w14:textId="3842C87A" w:rsidR="001E6025" w:rsidRDefault="001E6025"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369FC22A" w14:textId="6BF22A22" w:rsidR="001E6025" w:rsidRPr="00273613" w:rsidRDefault="001E6025" w:rsidP="001E6025">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E</w:t>
      </w:r>
      <w:r w:rsidRPr="00273613">
        <w:rPr>
          <w:rFonts w:ascii="Palatino Linotype" w:hAnsi="Palatino Linotype" w:cs="Arial"/>
          <w:sz w:val="24"/>
          <w:szCs w:val="24"/>
        </w:rPr>
        <w:t>n nuestra legislación no existe como tal una definición de “</w:t>
      </w:r>
      <w:r w:rsidRPr="00273613">
        <w:rPr>
          <w:rFonts w:ascii="Palatino Linotype" w:hAnsi="Palatino Linotype" w:cs="Arial"/>
          <w:b/>
          <w:bCs/>
          <w:sz w:val="24"/>
          <w:szCs w:val="24"/>
        </w:rPr>
        <w:t>nómina</w:t>
      </w:r>
      <w:r w:rsidRPr="00273613">
        <w:rPr>
          <w:rFonts w:ascii="Palatino Linotype" w:hAnsi="Palatino Linotype" w:cs="Arial"/>
          <w:sz w:val="24"/>
          <w:szCs w:val="24"/>
        </w:rPr>
        <w:t>”</w:t>
      </w:r>
      <w:r w:rsidR="00084E71">
        <w:rPr>
          <w:rFonts w:ascii="Palatino Linotype" w:hAnsi="Palatino Linotype" w:cs="Arial"/>
          <w:sz w:val="24"/>
          <w:szCs w:val="24"/>
        </w:rPr>
        <w:t>,</w:t>
      </w:r>
      <w:r w:rsidRPr="00273613">
        <w:rPr>
          <w:rFonts w:ascii="Palatino Linotype" w:hAnsi="Palatino Linotype" w:cs="Arial"/>
          <w:sz w:val="24"/>
          <w:szCs w:val="24"/>
        </w:rPr>
        <w:t xml:space="preserve"> sin embargo</w:t>
      </w:r>
      <w:r w:rsidR="00084E71">
        <w:rPr>
          <w:rFonts w:ascii="Palatino Linotype" w:hAnsi="Palatino Linotype" w:cs="Arial"/>
          <w:sz w:val="24"/>
          <w:szCs w:val="24"/>
        </w:rPr>
        <w:t>,</w:t>
      </w:r>
      <w:r w:rsidRPr="00273613">
        <w:rPr>
          <w:rFonts w:ascii="Palatino Linotype" w:hAnsi="Palatino Linotype" w:cs="Arial"/>
          <w:sz w:val="24"/>
          <w:szCs w:val="24"/>
        </w:rPr>
        <w:t xml:space="preserve"> tanto en el “Glosario de Términos Usuales de Finanzas Públicas” del Centro de Estudios de las Finanzas Públicas de la Cámara de Diputados del H. Congreso de la Unión, como en el “Glosario de Términos Administrativos”, emitido por el Instituto Nacional de Administración Pública, A.C. y en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encontramos la siguiente definición de la palabra nómina:</w:t>
      </w:r>
    </w:p>
    <w:p w14:paraId="29E89642" w14:textId="77777777" w:rsidR="001E6025" w:rsidRPr="00273613" w:rsidRDefault="001E6025" w:rsidP="001E6025">
      <w:pPr>
        <w:spacing w:after="0" w:line="360" w:lineRule="auto"/>
        <w:jc w:val="both"/>
        <w:rPr>
          <w:rFonts w:ascii="Palatino Linotype" w:hAnsi="Palatino Linotype" w:cs="Arial"/>
          <w:sz w:val="24"/>
          <w:szCs w:val="24"/>
        </w:rPr>
      </w:pPr>
    </w:p>
    <w:p w14:paraId="5AD92303" w14:textId="77777777" w:rsidR="001E6025" w:rsidRPr="00273613" w:rsidRDefault="001E6025" w:rsidP="001E6025">
      <w:pPr>
        <w:tabs>
          <w:tab w:val="left" w:pos="8505"/>
        </w:tabs>
        <w:spacing w:after="0" w:line="240" w:lineRule="auto"/>
        <w:ind w:left="567" w:right="567"/>
        <w:jc w:val="both"/>
        <w:rPr>
          <w:rFonts w:ascii="Palatino Linotype" w:eastAsia="Times New Roman" w:hAnsi="Palatino Linotype" w:cs="Arial"/>
          <w:i/>
          <w:lang w:val="es-ES" w:eastAsia="es-ES"/>
        </w:rPr>
      </w:pPr>
      <w:r w:rsidRPr="00273613">
        <w:rPr>
          <w:rFonts w:ascii="Palatino Linotype" w:eastAsia="Times New Roman" w:hAnsi="Palatino Linotype" w:cs="Arial"/>
          <w:b/>
          <w:i/>
          <w:lang w:val="es-ES" w:eastAsia="es-ES"/>
        </w:rPr>
        <w:t>“NÓMINA</w:t>
      </w:r>
      <w:r w:rsidRPr="00273613">
        <w:rPr>
          <w:rFonts w:ascii="Palatino Linotype" w:eastAsia="Times New Roman" w:hAnsi="Palatino Linotype" w:cs="Arial"/>
          <w:i/>
          <w:lang w:val="es-ES" w:eastAsia="es-ES"/>
        </w:rPr>
        <w:t xml:space="preserve"> Listado general de los trabajadores de una institución, en el cual se asientan las percepciones brutas, deducciones y alcance neto de las mismas; la nómina es utilizada para efectuar los pagos periódicos (semanales, quincenales o mensuales) a los trabajadores por concepto de sueldos y salarios.”</w:t>
      </w:r>
    </w:p>
    <w:p w14:paraId="57211D67" w14:textId="77777777" w:rsidR="001E6025" w:rsidRPr="00273613" w:rsidRDefault="001E6025" w:rsidP="001E6025">
      <w:pPr>
        <w:spacing w:after="0" w:line="360" w:lineRule="auto"/>
        <w:jc w:val="both"/>
        <w:rPr>
          <w:rFonts w:ascii="Palatino Linotype" w:hAnsi="Palatino Linotype"/>
        </w:rPr>
      </w:pPr>
    </w:p>
    <w:p w14:paraId="2C71E72A" w14:textId="77777777" w:rsidR="001E6025" w:rsidRPr="00273613" w:rsidRDefault="001E6025" w:rsidP="001E6025">
      <w:pPr>
        <w:spacing w:after="0" w:line="360" w:lineRule="auto"/>
        <w:jc w:val="both"/>
        <w:rPr>
          <w:rFonts w:ascii="Palatino Linotype" w:hAnsi="Palatino Linotype" w:cs="Arial"/>
          <w:sz w:val="24"/>
          <w:szCs w:val="24"/>
        </w:rPr>
      </w:pPr>
      <w:r>
        <w:rPr>
          <w:rFonts w:ascii="Palatino Linotype" w:hAnsi="Palatino Linotype" w:cs="Arial"/>
          <w:sz w:val="24"/>
          <w:szCs w:val="24"/>
        </w:rPr>
        <w:t>D</w:t>
      </w:r>
      <w:r w:rsidRPr="00273613">
        <w:rPr>
          <w:rFonts w:ascii="Palatino Linotype" w:hAnsi="Palatino Linotype" w:cs="Arial"/>
          <w:sz w:val="24"/>
          <w:szCs w:val="24"/>
        </w:rPr>
        <w:t xml:space="preserve">icho término es mencionado en diferentes ordenamientos legales, tal es el caso del artículo 804 de la Ley Federal de Trabajo, fracción II que establece: </w:t>
      </w:r>
    </w:p>
    <w:p w14:paraId="28BDFB91" w14:textId="77777777" w:rsidR="001E6025" w:rsidRPr="00273613" w:rsidRDefault="001E6025" w:rsidP="001E6025">
      <w:pPr>
        <w:spacing w:after="0" w:line="360" w:lineRule="auto"/>
        <w:jc w:val="both"/>
        <w:rPr>
          <w:rFonts w:ascii="Palatino Linotype" w:hAnsi="Palatino Linotype" w:cs="Arial"/>
          <w:sz w:val="24"/>
          <w:szCs w:val="24"/>
        </w:rPr>
      </w:pPr>
    </w:p>
    <w:p w14:paraId="1B68C431" w14:textId="77777777" w:rsidR="001E6025" w:rsidRPr="00273613" w:rsidRDefault="001E6025" w:rsidP="001E6025">
      <w:pPr>
        <w:tabs>
          <w:tab w:val="right" w:leader="dot" w:pos="8505"/>
        </w:tabs>
        <w:spacing w:after="0" w:line="240" w:lineRule="auto"/>
        <w:ind w:left="567" w:right="567"/>
        <w:jc w:val="both"/>
        <w:rPr>
          <w:rFonts w:ascii="Palatino Linotype" w:eastAsia="MS Mincho" w:hAnsi="Palatino Linotype" w:cs="Arial"/>
          <w:b/>
          <w:i/>
          <w:szCs w:val="24"/>
          <w:lang w:val="es-ES" w:eastAsia="es-ES"/>
        </w:rPr>
      </w:pPr>
      <w:r w:rsidRPr="00273613">
        <w:rPr>
          <w:rFonts w:ascii="Palatino Linotype" w:eastAsia="MS Mincho" w:hAnsi="Palatino Linotype" w:cs="Arial"/>
          <w:b/>
          <w:bCs/>
          <w:i/>
          <w:szCs w:val="24"/>
          <w:lang w:val="es-ES" w:eastAsia="es-ES"/>
        </w:rPr>
        <w:t>“Artículo 804.-</w:t>
      </w:r>
      <w:r w:rsidRPr="00273613">
        <w:rPr>
          <w:rFonts w:ascii="Palatino Linotype" w:eastAsia="MS Mincho" w:hAnsi="Palatino Linotype" w:cs="Arial"/>
          <w:i/>
          <w:szCs w:val="24"/>
          <w:lang w:val="es-ES" w:eastAsia="es-ES"/>
        </w:rPr>
        <w:t xml:space="preserve"> </w:t>
      </w:r>
      <w:r w:rsidRPr="00273613">
        <w:rPr>
          <w:rFonts w:ascii="Palatino Linotype" w:eastAsia="MS Mincho" w:hAnsi="Palatino Linotype" w:cs="Arial"/>
          <w:b/>
          <w:i/>
          <w:szCs w:val="24"/>
          <w:lang w:val="es-ES" w:eastAsia="es-ES"/>
        </w:rPr>
        <w:t>El patrón tiene obligación de conservar y exhibir en juicio los documentos que a continuación se precisan:</w:t>
      </w:r>
    </w:p>
    <w:p w14:paraId="1D3B4F77" w14:textId="77777777" w:rsidR="001E6025" w:rsidRPr="00273613" w:rsidRDefault="001E6025" w:rsidP="001E6025">
      <w:pPr>
        <w:tabs>
          <w:tab w:val="right" w:leader="dot" w:pos="8505"/>
        </w:tabs>
        <w:spacing w:after="0" w:line="240" w:lineRule="auto"/>
        <w:ind w:left="567" w:right="567"/>
        <w:jc w:val="both"/>
        <w:rPr>
          <w:rFonts w:ascii="Palatino Linotype" w:eastAsia="MS Mincho" w:hAnsi="Palatino Linotype" w:cs="Arial"/>
          <w:i/>
          <w:szCs w:val="24"/>
          <w:lang w:val="es-ES" w:eastAsia="es-ES"/>
        </w:rPr>
      </w:pPr>
      <w:r w:rsidRPr="00273613">
        <w:rPr>
          <w:rFonts w:ascii="Palatino Linotype" w:eastAsia="MS Mincho" w:hAnsi="Palatino Linotype" w:cs="Arial"/>
          <w:i/>
          <w:szCs w:val="24"/>
          <w:lang w:val="es-ES" w:eastAsia="es-ES"/>
        </w:rPr>
        <w:t>…</w:t>
      </w:r>
    </w:p>
    <w:p w14:paraId="07643C89" w14:textId="77777777" w:rsidR="001E6025" w:rsidRPr="00273613" w:rsidRDefault="001E6025" w:rsidP="001E6025">
      <w:pPr>
        <w:tabs>
          <w:tab w:val="right" w:leader="dot" w:pos="8505"/>
        </w:tabs>
        <w:spacing w:after="0" w:line="240" w:lineRule="auto"/>
        <w:ind w:left="567" w:right="567"/>
        <w:jc w:val="both"/>
        <w:rPr>
          <w:rFonts w:ascii="Palatino Linotype" w:eastAsia="MS Mincho" w:hAnsi="Palatino Linotype" w:cs="Arial"/>
          <w:i/>
          <w:szCs w:val="24"/>
          <w:u w:val="single"/>
          <w:lang w:val="es-ES" w:eastAsia="es-ES"/>
        </w:rPr>
      </w:pPr>
      <w:r w:rsidRPr="00273613">
        <w:rPr>
          <w:rFonts w:ascii="Palatino Linotype" w:eastAsia="MS Mincho" w:hAnsi="Palatino Linotype" w:cs="Arial"/>
          <w:b/>
          <w:i/>
          <w:szCs w:val="24"/>
          <w:lang w:val="es-ES" w:eastAsia="es-ES"/>
        </w:rPr>
        <w:t>II.</w:t>
      </w:r>
      <w:r w:rsidRPr="00273613">
        <w:rPr>
          <w:rFonts w:ascii="Palatino Linotype" w:eastAsia="MS Mincho" w:hAnsi="Palatino Linotype" w:cs="Arial"/>
          <w:i/>
          <w:szCs w:val="24"/>
          <w:lang w:val="es-ES" w:eastAsia="es-ES"/>
        </w:rPr>
        <w:t xml:space="preserve"> Listas</w:t>
      </w:r>
      <w:r w:rsidRPr="00273613">
        <w:rPr>
          <w:rFonts w:ascii="Palatino Linotype" w:eastAsia="MS Mincho" w:hAnsi="Palatino Linotype" w:cs="Arial"/>
          <w:b/>
          <w:i/>
          <w:szCs w:val="24"/>
          <w:lang w:val="es-ES" w:eastAsia="es-ES"/>
        </w:rPr>
        <w:t xml:space="preserve"> </w:t>
      </w:r>
      <w:r w:rsidRPr="00273613">
        <w:rPr>
          <w:rFonts w:ascii="Palatino Linotype" w:eastAsia="MS Mincho" w:hAnsi="Palatino Linotype" w:cs="Arial"/>
          <w:i/>
          <w:szCs w:val="24"/>
          <w:lang w:val="es-ES" w:eastAsia="es-ES"/>
        </w:rPr>
        <w:t xml:space="preserve">de raya o </w:t>
      </w:r>
      <w:r w:rsidRPr="00273613">
        <w:rPr>
          <w:rFonts w:ascii="Palatino Linotype" w:eastAsia="MS Mincho" w:hAnsi="Palatino Linotype" w:cs="Arial"/>
          <w:i/>
          <w:szCs w:val="24"/>
          <w:u w:val="single"/>
          <w:lang w:val="es-ES" w:eastAsia="es-ES"/>
        </w:rPr>
        <w:t>nómina de personal</w:t>
      </w:r>
      <w:r w:rsidRPr="00273613">
        <w:rPr>
          <w:rFonts w:ascii="Palatino Linotype" w:eastAsia="MS Mincho" w:hAnsi="Palatino Linotype" w:cs="Arial"/>
          <w:i/>
          <w:szCs w:val="24"/>
          <w:lang w:val="es-ES" w:eastAsia="es-ES"/>
        </w:rPr>
        <w:t>, cuando se lleven en el centro de trabajo; o recibos de pagos de salarios;</w:t>
      </w:r>
    </w:p>
    <w:p w14:paraId="2B72FF01" w14:textId="77777777" w:rsidR="001E6025" w:rsidRPr="00273613" w:rsidRDefault="001E6025" w:rsidP="001E6025">
      <w:pPr>
        <w:tabs>
          <w:tab w:val="right" w:leader="dot" w:pos="8505"/>
        </w:tabs>
        <w:spacing w:after="0" w:line="240" w:lineRule="auto"/>
        <w:ind w:left="567" w:right="567"/>
        <w:jc w:val="both"/>
        <w:rPr>
          <w:rFonts w:ascii="Palatino Linotype" w:eastAsia="MS Mincho" w:hAnsi="Palatino Linotype" w:cs="Arial"/>
          <w:i/>
          <w:szCs w:val="24"/>
          <w:lang w:val="es-ES" w:eastAsia="es-ES"/>
        </w:rPr>
      </w:pPr>
      <w:r w:rsidRPr="00273613">
        <w:rPr>
          <w:rFonts w:ascii="Palatino Linotype" w:eastAsia="MS Mincho" w:hAnsi="Palatino Linotype" w:cs="Arial"/>
          <w:i/>
          <w:szCs w:val="24"/>
          <w:lang w:val="es-ES" w:eastAsia="es-ES"/>
        </w:rPr>
        <w:t>…</w:t>
      </w:r>
    </w:p>
    <w:p w14:paraId="75AD9BC8" w14:textId="77777777" w:rsidR="001E6025" w:rsidRPr="00273613" w:rsidRDefault="001E6025" w:rsidP="001E6025">
      <w:pPr>
        <w:tabs>
          <w:tab w:val="right" w:leader="dot" w:pos="8505"/>
        </w:tabs>
        <w:spacing w:after="0" w:line="240" w:lineRule="auto"/>
        <w:ind w:left="567" w:right="567"/>
        <w:jc w:val="both"/>
        <w:rPr>
          <w:rFonts w:ascii="Palatino Linotype" w:eastAsia="Times New Roman" w:hAnsi="Palatino Linotype" w:cs="Arial"/>
          <w:i/>
          <w:szCs w:val="24"/>
          <w:lang w:eastAsia="es-ES"/>
        </w:rPr>
      </w:pPr>
      <w:r w:rsidRPr="00273613">
        <w:rPr>
          <w:rFonts w:ascii="Palatino Linotype" w:eastAsia="Times New Roman" w:hAnsi="Palatino Linotype" w:cs="Arial"/>
          <w:i/>
          <w:szCs w:val="24"/>
          <w:lang w:eastAsia="es-ES"/>
        </w:rPr>
        <w:lastRenderedPageBreak/>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p>
    <w:p w14:paraId="203E405E" w14:textId="77777777" w:rsidR="001E6025" w:rsidRPr="00273613" w:rsidRDefault="001E6025" w:rsidP="001E6025">
      <w:pPr>
        <w:spacing w:after="0" w:line="360" w:lineRule="auto"/>
        <w:jc w:val="both"/>
        <w:rPr>
          <w:rFonts w:ascii="Palatino Linotype" w:hAnsi="Palatino Linotype" w:cs="Arial"/>
          <w:sz w:val="24"/>
          <w:szCs w:val="24"/>
        </w:rPr>
      </w:pPr>
    </w:p>
    <w:p w14:paraId="0F38219B" w14:textId="77777777" w:rsidR="001E6025" w:rsidRPr="00273613" w:rsidRDefault="001E6025" w:rsidP="001E6025">
      <w:pPr>
        <w:spacing w:after="0" w:line="360" w:lineRule="auto"/>
        <w:jc w:val="both"/>
        <w:rPr>
          <w:rFonts w:ascii="Palatino Linotype" w:hAnsi="Palatino Linotype" w:cs="Arial"/>
          <w:sz w:val="24"/>
          <w:szCs w:val="24"/>
        </w:rPr>
      </w:pPr>
      <w:r w:rsidRPr="00273613">
        <w:rPr>
          <w:rFonts w:ascii="Palatino Linotype" w:hAnsi="Palatino Linotype" w:cs="Arial"/>
          <w:sz w:val="24"/>
          <w:szCs w:val="24"/>
        </w:rPr>
        <w:t>Ahora bien, tratándose de servidores públicos de los Municipios la Ley del Trabajo de los Servidores Públicos del Estado y Municipios, en su artículo 220-K fracciones II y IV y último párrafo, establecen lo siguiente:</w:t>
      </w:r>
    </w:p>
    <w:p w14:paraId="776DE769" w14:textId="77777777" w:rsidR="001E6025" w:rsidRPr="00273613" w:rsidRDefault="001E6025" w:rsidP="001E6025">
      <w:pPr>
        <w:spacing w:after="0" w:line="360" w:lineRule="auto"/>
        <w:jc w:val="both"/>
        <w:rPr>
          <w:rFonts w:ascii="Palatino Linotype" w:hAnsi="Palatino Linotype" w:cs="Arial"/>
          <w:sz w:val="24"/>
          <w:szCs w:val="24"/>
        </w:rPr>
      </w:pPr>
    </w:p>
    <w:p w14:paraId="4E539883" w14:textId="77777777" w:rsidR="001E6025" w:rsidRPr="00273613" w:rsidRDefault="001E6025" w:rsidP="001E6025">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“ARTÍCULO 220 K.-</w:t>
      </w:r>
      <w:r w:rsidRPr="00273613">
        <w:rPr>
          <w:rFonts w:ascii="Palatino Linotype" w:eastAsia="Times New Roman" w:hAnsi="Palatino Linotype"/>
          <w:bCs/>
          <w:i/>
        </w:rPr>
        <w:t xml:space="preserve"> La institución o dependencia pública tiene la obligación de conservar y exhibir en el proceso los documentos que a continuación se precisan:</w:t>
      </w:r>
    </w:p>
    <w:p w14:paraId="780EACAF" w14:textId="77777777" w:rsidR="001E6025" w:rsidRPr="00273613" w:rsidRDefault="001E6025" w:rsidP="001E6025">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w:t>
      </w:r>
      <w:r w:rsidRPr="00273613">
        <w:rPr>
          <w:rFonts w:ascii="Palatino Linotype" w:eastAsia="Times New Roman" w:hAnsi="Palatino Linotype"/>
          <w:bCs/>
          <w:i/>
        </w:rPr>
        <w:t>)</w:t>
      </w:r>
    </w:p>
    <w:p w14:paraId="6603A045" w14:textId="77777777" w:rsidR="001E6025" w:rsidRPr="00273613" w:rsidRDefault="001E6025" w:rsidP="001E6025">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II.</w:t>
      </w:r>
      <w:r w:rsidRPr="00273613">
        <w:rPr>
          <w:rFonts w:ascii="Palatino Linotype" w:eastAsia="Times New Roman" w:hAnsi="Palatino Linotype"/>
          <w:bCs/>
          <w:i/>
        </w:rPr>
        <w:t xml:space="preserve"> </w:t>
      </w:r>
      <w:r w:rsidRPr="00273613">
        <w:rPr>
          <w:rFonts w:ascii="Palatino Linotype" w:eastAsia="Times New Roman" w:hAnsi="Palatino Linotype"/>
          <w:b/>
          <w:bCs/>
          <w:i/>
        </w:rPr>
        <w:t>Recibos de pagos de salarios</w:t>
      </w:r>
      <w:r w:rsidRPr="00273613">
        <w:rPr>
          <w:rFonts w:ascii="Palatino Linotype" w:eastAsia="Times New Roman" w:hAnsi="Palatino Linotype"/>
          <w:bCs/>
          <w:i/>
        </w:rPr>
        <w:t xml:space="preserve"> o las constancias documentales del pago de salario cuando sea por depósito o mediante información electrónica;</w:t>
      </w:r>
    </w:p>
    <w:p w14:paraId="34286A15" w14:textId="77777777" w:rsidR="001E6025" w:rsidRPr="00273613" w:rsidRDefault="001E6025" w:rsidP="001E6025">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w:t>
      </w:r>
    </w:p>
    <w:p w14:paraId="0D7A7A81" w14:textId="77777777" w:rsidR="001E6025" w:rsidRPr="00273613" w:rsidRDefault="001E6025" w:rsidP="001E6025">
      <w:pPr>
        <w:spacing w:after="0" w:line="240" w:lineRule="auto"/>
        <w:ind w:left="567" w:right="567"/>
        <w:jc w:val="both"/>
        <w:rPr>
          <w:rFonts w:ascii="Palatino Linotype" w:eastAsia="Times New Roman" w:hAnsi="Palatino Linotype"/>
          <w:b/>
          <w:bCs/>
          <w:i/>
        </w:rPr>
      </w:pPr>
      <w:r w:rsidRPr="00273613">
        <w:rPr>
          <w:rFonts w:ascii="Palatino Linotype" w:eastAsia="Times New Roman" w:hAnsi="Palatino Linotype"/>
          <w:b/>
          <w:bCs/>
          <w:i/>
        </w:rPr>
        <w:t>IV.</w:t>
      </w:r>
      <w:r w:rsidRPr="00273613">
        <w:rPr>
          <w:rFonts w:ascii="Palatino Linotype" w:eastAsia="Times New Roman" w:hAnsi="Palatino Linotype"/>
          <w:bCs/>
          <w:i/>
        </w:rPr>
        <w:t xml:space="preserve"> </w:t>
      </w:r>
      <w:r w:rsidRPr="00273613">
        <w:rPr>
          <w:rFonts w:ascii="Palatino Linotype" w:eastAsia="Times New Roman" w:hAnsi="Palatino Linotype"/>
          <w:b/>
          <w:bCs/>
          <w:i/>
        </w:rPr>
        <w:t xml:space="preserve">Recibos </w:t>
      </w:r>
      <w:r w:rsidRPr="00273613">
        <w:rPr>
          <w:rFonts w:ascii="Palatino Linotype" w:eastAsia="Times New Roman" w:hAnsi="Palatino Linotype"/>
          <w:bCs/>
          <w:i/>
        </w:rPr>
        <w:t xml:space="preserve">o las constancias de depósito o del medio de información magnética o electrónica que </w:t>
      </w:r>
      <w:r w:rsidRPr="00273613">
        <w:rPr>
          <w:rFonts w:ascii="Palatino Linotype" w:eastAsia="Times New Roman" w:hAnsi="Palatino Linotype"/>
          <w:b/>
          <w:bCs/>
          <w:i/>
          <w:u w:val="single"/>
        </w:rPr>
        <w:t>sean utilizadas para el pago de salarios, prima vacacional, aguinaldo</w:t>
      </w:r>
      <w:r w:rsidRPr="00273613">
        <w:rPr>
          <w:rFonts w:ascii="Palatino Linotype" w:eastAsia="Times New Roman" w:hAnsi="Palatino Linotype"/>
          <w:b/>
          <w:bCs/>
          <w:i/>
        </w:rPr>
        <w:t xml:space="preserve"> </w:t>
      </w:r>
      <w:r w:rsidRPr="00273613">
        <w:rPr>
          <w:rFonts w:ascii="Palatino Linotype" w:eastAsia="Times New Roman" w:hAnsi="Palatino Linotype"/>
          <w:bCs/>
          <w:i/>
        </w:rPr>
        <w:t>y demás prestaciones establecidas en la presente ley;</w:t>
      </w:r>
      <w:r w:rsidRPr="00273613">
        <w:rPr>
          <w:rFonts w:ascii="Palatino Linotype" w:eastAsia="Times New Roman" w:hAnsi="Palatino Linotype"/>
          <w:b/>
          <w:bCs/>
          <w:i/>
        </w:rPr>
        <w:t xml:space="preserve"> y</w:t>
      </w:r>
    </w:p>
    <w:p w14:paraId="2EBA564B" w14:textId="77777777" w:rsidR="001E6025" w:rsidRPr="00273613" w:rsidRDefault="001E6025" w:rsidP="001E6025">
      <w:pPr>
        <w:spacing w:after="0" w:line="240" w:lineRule="auto"/>
        <w:ind w:left="567" w:right="567"/>
        <w:jc w:val="both"/>
        <w:rPr>
          <w:rFonts w:ascii="Palatino Linotype" w:eastAsia="Times New Roman" w:hAnsi="Palatino Linotype"/>
          <w:b/>
          <w:bCs/>
          <w:i/>
        </w:rPr>
      </w:pPr>
    </w:p>
    <w:p w14:paraId="3D8D5443" w14:textId="77777777" w:rsidR="001E6025" w:rsidRPr="00273613" w:rsidRDefault="001E6025" w:rsidP="001E6025">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
          <w:bCs/>
          <w:i/>
        </w:rPr>
        <w:t>Los documentos señalados en la fracción I de este artículo, deberán conservarse mientras dure la relación laboral y hasta un año después;</w:t>
      </w:r>
      <w:r w:rsidRPr="00273613">
        <w:rPr>
          <w:rFonts w:ascii="Palatino Linotype" w:eastAsia="Times New Roman" w:hAnsi="Palatino Linotype"/>
          <w:bCs/>
          <w:i/>
        </w:rPr>
        <w:t xml:space="preserve"> los señalados por las fracciones II, III, IV durante el último año y un año después de que se extinga la relación laboral, y los mencionados en la fracción V, conforme lo señalen las leyes que los rijan.</w:t>
      </w:r>
    </w:p>
    <w:p w14:paraId="71E66015" w14:textId="77777777" w:rsidR="001E6025" w:rsidRPr="00273613" w:rsidRDefault="001E6025" w:rsidP="001E6025">
      <w:pPr>
        <w:spacing w:after="0" w:line="240" w:lineRule="auto"/>
        <w:ind w:left="567" w:right="567"/>
        <w:jc w:val="both"/>
        <w:rPr>
          <w:rFonts w:ascii="Palatino Linotype" w:eastAsia="Times New Roman" w:hAnsi="Palatino Linotype"/>
          <w:bCs/>
          <w:i/>
        </w:rPr>
      </w:pPr>
    </w:p>
    <w:p w14:paraId="2E010C5A" w14:textId="77777777" w:rsidR="001E6025" w:rsidRPr="00273613" w:rsidRDefault="001E6025" w:rsidP="001E6025">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Cs/>
          <w:i/>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7943A2F2" w14:textId="77777777" w:rsidR="001E6025" w:rsidRPr="00273613" w:rsidRDefault="001E6025" w:rsidP="001E6025">
      <w:pPr>
        <w:spacing w:after="0" w:line="240" w:lineRule="auto"/>
        <w:ind w:left="567" w:right="567"/>
        <w:jc w:val="both"/>
        <w:rPr>
          <w:rFonts w:ascii="Palatino Linotype" w:eastAsia="Times New Roman" w:hAnsi="Palatino Linotype"/>
          <w:bCs/>
          <w:i/>
        </w:rPr>
      </w:pPr>
      <w:r w:rsidRPr="00273613">
        <w:rPr>
          <w:rFonts w:ascii="Palatino Linotype" w:eastAsia="Times New Roman" w:hAnsi="Palatino Linotype"/>
          <w:bCs/>
          <w:i/>
        </w:rPr>
        <w:t>El incumplimiento por lo dispuesto por este artículo, establecerá la presunción de ser ciertos los hechos que el actor exprese en su demanda, en relación con tales documentos, salvo prueba en contrario.” (Sic)</w:t>
      </w:r>
    </w:p>
    <w:p w14:paraId="32CF1E58" w14:textId="77777777" w:rsidR="001E6025" w:rsidRPr="00273613" w:rsidRDefault="001E6025" w:rsidP="001E6025">
      <w:pPr>
        <w:spacing w:after="0" w:line="360" w:lineRule="auto"/>
        <w:jc w:val="both"/>
        <w:rPr>
          <w:rFonts w:ascii="Palatino Linotype" w:hAnsi="Palatino Linotype" w:cs="Arial"/>
          <w:sz w:val="24"/>
          <w:szCs w:val="24"/>
        </w:rPr>
      </w:pPr>
    </w:p>
    <w:p w14:paraId="4ECBD655" w14:textId="77777777" w:rsidR="001E6025" w:rsidRPr="00273613" w:rsidRDefault="001E6025" w:rsidP="001E6025">
      <w:pPr>
        <w:spacing w:after="0" w:line="360" w:lineRule="auto"/>
        <w:ind w:right="51"/>
        <w:jc w:val="both"/>
        <w:rPr>
          <w:rFonts w:ascii="Palatino Linotype" w:eastAsia="Calibri" w:hAnsi="Palatino Linotype" w:cs="Arial"/>
          <w:sz w:val="24"/>
          <w:szCs w:val="24"/>
          <w:lang w:val="es-ES" w:eastAsia="es-ES"/>
        </w:rPr>
      </w:pPr>
      <w:r w:rsidRPr="00273613">
        <w:rPr>
          <w:rFonts w:ascii="Palatino Linotype" w:eastAsia="Calibri" w:hAnsi="Palatino Linotype" w:cs="Arial"/>
          <w:sz w:val="24"/>
          <w:szCs w:val="24"/>
          <w:lang w:val="es-ES" w:eastAsia="es-ES"/>
        </w:rPr>
        <w:t xml:space="preserve">Si bien es cierto, la Ley del Trabajo de los Servidores Públicos del Estado y Municipios no hace referencia expresa al término “nómina” como lo hace la Ley Federal del Trabajo, sí hace mención a los comprobantes que las instituciones públicas realizan </w:t>
      </w:r>
      <w:r w:rsidRPr="00273613">
        <w:rPr>
          <w:rFonts w:ascii="Palatino Linotype" w:eastAsia="Calibri" w:hAnsi="Palatino Linotype" w:cs="Arial"/>
          <w:sz w:val="24"/>
          <w:szCs w:val="24"/>
          <w:lang w:val="es-ES" w:eastAsia="es-ES"/>
        </w:rPr>
        <w:lastRenderedPageBreak/>
        <w:t xml:space="preserve">para documentar el pago de salarios y demás prestaciones otorgadas a un servidor público, denominándolos “recibos o comprobantes de pago”, los cuales constituyen un instrumento mediante el cual el </w:t>
      </w:r>
      <w:r w:rsidRPr="00273613">
        <w:rPr>
          <w:rFonts w:ascii="Palatino Linotype" w:eastAsia="Calibri" w:hAnsi="Palatino Linotype" w:cs="Arial"/>
          <w:b/>
          <w:sz w:val="24"/>
          <w:szCs w:val="24"/>
          <w:lang w:val="es-ES" w:eastAsia="es-ES"/>
        </w:rPr>
        <w:t>Sujeto Obligado</w:t>
      </w:r>
      <w:r w:rsidRPr="00273613">
        <w:rPr>
          <w:rFonts w:ascii="Palatino Linotype" w:eastAsia="Calibri" w:hAnsi="Palatino Linotype" w:cs="Arial"/>
          <w:sz w:val="24"/>
          <w:szCs w:val="24"/>
          <w:lang w:val="es-ES" w:eastAsia="es-ES"/>
        </w:rPr>
        <w:t xml:space="preserve"> acredita las remuneraciones al personal y que de acuerdo al uso implantado en la colectividad se denominan “recibos de nómina”.</w:t>
      </w:r>
    </w:p>
    <w:p w14:paraId="7CEA55D7" w14:textId="77777777" w:rsidR="001E6025" w:rsidRPr="00273613" w:rsidRDefault="001E6025" w:rsidP="001E6025">
      <w:pPr>
        <w:spacing w:after="0" w:line="360" w:lineRule="auto"/>
        <w:ind w:right="51"/>
        <w:jc w:val="both"/>
        <w:rPr>
          <w:rFonts w:ascii="Palatino Linotype" w:eastAsia="Calibri" w:hAnsi="Palatino Linotype" w:cs="Arial"/>
          <w:sz w:val="24"/>
          <w:szCs w:val="24"/>
          <w:lang w:val="es-ES" w:eastAsia="es-ES"/>
        </w:rPr>
      </w:pPr>
    </w:p>
    <w:p w14:paraId="44EC0693" w14:textId="77777777" w:rsidR="001E6025" w:rsidRPr="00273613" w:rsidRDefault="001E6025" w:rsidP="001E6025">
      <w:pPr>
        <w:autoSpaceDE w:val="0"/>
        <w:autoSpaceDN w:val="0"/>
        <w:adjustRightInd w:val="0"/>
        <w:spacing w:after="0" w:line="360" w:lineRule="auto"/>
        <w:jc w:val="both"/>
        <w:rPr>
          <w:rFonts w:ascii="Palatino Linotype" w:eastAsia="Calibri" w:hAnsi="Palatino Linotype" w:cs="Arial"/>
          <w:sz w:val="24"/>
          <w:szCs w:val="24"/>
          <w:lang w:val="es-ES" w:eastAsia="es-ES"/>
        </w:rPr>
      </w:pPr>
      <w:r w:rsidRPr="00273613">
        <w:rPr>
          <w:rFonts w:ascii="Palatino Linotype" w:eastAsia="Calibri" w:hAnsi="Palatino Linotype" w:cs="Arial"/>
          <w:sz w:val="24"/>
          <w:szCs w:val="24"/>
          <w:lang w:val="es-ES" w:eastAsia="es-ES"/>
        </w:rPr>
        <w:t>Efectivamente, todos los servidores públicos tienen el derecho de recibir remuneraciones irrenunciables por el desempeño de un empleo, cargo o comisión, en función de las responsabilidades asumidas, las cuales abarcan el sueldo, compensaciones, gratificaciones, habitación, primas, comisiones, prestaciones en especie y cualquier otra percepción entregada con motivo del cargo desempeñado; remuneraciones que según el texto constitucional serán públicas.</w:t>
      </w:r>
    </w:p>
    <w:p w14:paraId="7511B8B3" w14:textId="686C8957" w:rsidR="001E6025" w:rsidRDefault="001E6025" w:rsidP="00747C38">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59E5B724" w14:textId="21E3FD2D" w:rsidR="001E6025" w:rsidRDefault="001E6025" w:rsidP="001E6025">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conformidad con lo anterior, se acredita la existencia de la obligación del </w:t>
      </w:r>
      <w:r w:rsidRPr="002E1D58">
        <w:rPr>
          <w:rFonts w:ascii="Palatino Linotype" w:hAnsi="Palatino Linotype" w:cs="Arial"/>
          <w:b/>
          <w:bCs/>
          <w:sz w:val="24"/>
          <w:szCs w:val="24"/>
        </w:rPr>
        <w:t>Sujeto Obligado</w:t>
      </w:r>
      <w:r>
        <w:rPr>
          <w:rFonts w:ascii="Palatino Linotype" w:hAnsi="Palatino Linotype" w:cs="Arial"/>
          <w:sz w:val="24"/>
          <w:szCs w:val="24"/>
        </w:rPr>
        <w:t xml:space="preserve"> de generar, administrar y poseer el soporte documental en que obra la información relativa al sueldo de los servidores públicos que ocupan los cargos de </w:t>
      </w:r>
      <w:r w:rsidRPr="001E6025">
        <w:rPr>
          <w:rFonts w:ascii="Palatino Linotype" w:hAnsi="Palatino Linotype" w:cs="Arial"/>
          <w:sz w:val="24"/>
          <w:szCs w:val="24"/>
        </w:rPr>
        <w:t xml:space="preserve">la Secretaría Técnica y </w:t>
      </w:r>
      <w:r w:rsidR="000B3808" w:rsidRPr="001E6025">
        <w:rPr>
          <w:rFonts w:ascii="Palatino Linotype" w:hAnsi="Palatino Linotype" w:cs="Arial"/>
          <w:sz w:val="24"/>
          <w:szCs w:val="24"/>
        </w:rPr>
        <w:t>secretaria</w:t>
      </w:r>
      <w:r w:rsidRPr="001E6025">
        <w:rPr>
          <w:rFonts w:ascii="Palatino Linotype" w:hAnsi="Palatino Linotype" w:cs="Arial"/>
          <w:sz w:val="24"/>
          <w:szCs w:val="24"/>
        </w:rPr>
        <w:t xml:space="preserve"> Particular</w:t>
      </w:r>
      <w:r w:rsidR="000B3808">
        <w:rPr>
          <w:rFonts w:ascii="Palatino Linotype" w:hAnsi="Palatino Linotype" w:cs="Arial"/>
          <w:sz w:val="24"/>
          <w:szCs w:val="24"/>
        </w:rPr>
        <w:t>, resultando dable ordenar su entrega, debiendo tutelar los datos de carácter sensible y/o confidencial.</w:t>
      </w:r>
    </w:p>
    <w:p w14:paraId="42746025" w14:textId="05993925" w:rsidR="006C1B97" w:rsidRDefault="006C1B97" w:rsidP="001E6025">
      <w:pPr>
        <w:spacing w:after="0" w:line="360" w:lineRule="auto"/>
        <w:jc w:val="both"/>
        <w:rPr>
          <w:rFonts w:ascii="Palatino Linotype" w:hAnsi="Palatino Linotype" w:cs="Arial"/>
          <w:sz w:val="24"/>
          <w:szCs w:val="24"/>
        </w:rPr>
      </w:pPr>
    </w:p>
    <w:p w14:paraId="623201C7" w14:textId="37C15A0A" w:rsidR="006C1B97" w:rsidRDefault="006C1B97" w:rsidP="001E6025">
      <w:pPr>
        <w:spacing w:after="0" w:line="360" w:lineRule="auto"/>
        <w:jc w:val="both"/>
        <w:rPr>
          <w:rFonts w:ascii="Palatino Linotype" w:hAnsi="Palatino Linotype" w:cs="Arial"/>
          <w:sz w:val="24"/>
          <w:szCs w:val="24"/>
        </w:rPr>
      </w:pPr>
      <w:r w:rsidRPr="00BF7BF5">
        <w:rPr>
          <w:rFonts w:ascii="Palatino Linotype" w:hAnsi="Palatino Linotype" w:cs="Arial"/>
          <w:sz w:val="24"/>
          <w:szCs w:val="24"/>
          <w:highlight w:val="yellow"/>
        </w:rPr>
        <w:t>No pasa desapercibido que el particular no resulta experto en terminología de administración pública o incluso transparencia, en este sentido, se comprende que resulta de su interés el sueldo bruto y neto percibido de forma mensual.</w:t>
      </w:r>
    </w:p>
    <w:p w14:paraId="26DDBF39" w14:textId="68A08F77" w:rsidR="001E6025" w:rsidRDefault="001E6025" w:rsidP="00747C38">
      <w:pPr>
        <w:autoSpaceDE w:val="0"/>
        <w:autoSpaceDN w:val="0"/>
        <w:adjustRightInd w:val="0"/>
        <w:spacing w:after="0" w:line="360" w:lineRule="auto"/>
        <w:jc w:val="both"/>
        <w:rPr>
          <w:rFonts w:ascii="Palatino Linotype" w:eastAsia="Calibri" w:hAnsi="Palatino Linotype" w:cs="Times New Roman"/>
          <w:sz w:val="24"/>
          <w:szCs w:val="24"/>
          <w:lang w:eastAsia="es-ES"/>
        </w:rPr>
      </w:pPr>
    </w:p>
    <w:p w14:paraId="650E8FFC" w14:textId="77777777" w:rsidR="000B3808" w:rsidRPr="007813EC" w:rsidRDefault="000B3808" w:rsidP="000B3808">
      <w:pPr>
        <w:spacing w:after="0" w:line="360" w:lineRule="auto"/>
        <w:jc w:val="both"/>
        <w:rPr>
          <w:rFonts w:ascii="Palatino Linotype" w:eastAsia="Times New Roman" w:hAnsi="Palatino Linotype" w:cs="Times New Roman"/>
          <w:sz w:val="24"/>
          <w:szCs w:val="24"/>
          <w:lang w:val="es-ES_tradnl" w:eastAsia="es-ES"/>
        </w:rPr>
      </w:pPr>
      <w:r>
        <w:rPr>
          <w:rFonts w:ascii="Palatino Linotype" w:hAnsi="Palatino Linotype" w:cs="Arial"/>
          <w:sz w:val="24"/>
          <w:szCs w:val="24"/>
        </w:rPr>
        <w:t>Finalmente, se observa que no estableció una temporalidad o periodo de la información, en ese sentido, resulta de observancia el criterio</w:t>
      </w:r>
      <w:r w:rsidRPr="007813EC">
        <w:rPr>
          <w:rFonts w:ascii="Palatino Linotype" w:hAnsi="Palatino Linotype" w:cs="Arial"/>
          <w:sz w:val="24"/>
          <w:szCs w:val="24"/>
        </w:rPr>
        <w:t xml:space="preserve"> </w:t>
      </w:r>
      <w:bookmarkStart w:id="4" w:name="_Hlk174534850"/>
      <w:r>
        <w:rPr>
          <w:rFonts w:ascii="Palatino Linotype" w:eastAsia="Times New Roman" w:hAnsi="Palatino Linotype" w:cs="Times New Roman"/>
          <w:sz w:val="24"/>
          <w:szCs w:val="24"/>
          <w:lang w:val="es-ES_tradnl" w:eastAsia="es-ES"/>
        </w:rPr>
        <w:t>reiterado</w:t>
      </w:r>
      <w:r w:rsidRPr="007813EC">
        <w:rPr>
          <w:rFonts w:ascii="Palatino Linotype" w:eastAsia="Times New Roman" w:hAnsi="Palatino Linotype" w:cs="Times New Roman"/>
          <w:sz w:val="24"/>
          <w:szCs w:val="24"/>
          <w:lang w:val="es-ES_tradnl" w:eastAsia="es-ES"/>
        </w:rPr>
        <w:t xml:space="preserve"> </w:t>
      </w:r>
      <w:r w:rsidRPr="007813EC">
        <w:rPr>
          <w:rFonts w:ascii="Palatino Linotype" w:eastAsia="Times New Roman" w:hAnsi="Palatino Linotype" w:cs="Times New Roman"/>
          <w:b/>
          <w:sz w:val="24"/>
          <w:szCs w:val="24"/>
          <w:lang w:val="es-ES_tradnl" w:eastAsia="es-ES"/>
        </w:rPr>
        <w:t>0</w:t>
      </w:r>
      <w:r>
        <w:rPr>
          <w:rFonts w:ascii="Palatino Linotype" w:eastAsia="Times New Roman" w:hAnsi="Palatino Linotype" w:cs="Times New Roman"/>
          <w:b/>
          <w:sz w:val="24"/>
          <w:szCs w:val="24"/>
          <w:lang w:val="es-ES_tradnl" w:eastAsia="es-ES"/>
        </w:rPr>
        <w:t>4</w:t>
      </w:r>
      <w:r w:rsidRPr="007813EC">
        <w:rPr>
          <w:rFonts w:ascii="Palatino Linotype" w:eastAsia="Times New Roman" w:hAnsi="Palatino Linotype" w:cs="Times New Roman"/>
          <w:b/>
          <w:sz w:val="24"/>
          <w:szCs w:val="24"/>
          <w:lang w:val="es-ES_tradnl" w:eastAsia="es-ES"/>
        </w:rPr>
        <w:t>/</w:t>
      </w:r>
      <w:r>
        <w:rPr>
          <w:rFonts w:ascii="Palatino Linotype" w:eastAsia="Times New Roman" w:hAnsi="Palatino Linotype" w:cs="Times New Roman"/>
          <w:b/>
          <w:sz w:val="24"/>
          <w:szCs w:val="24"/>
          <w:lang w:val="es-ES_tradnl" w:eastAsia="es-ES"/>
        </w:rPr>
        <w:t>2024</w:t>
      </w:r>
      <w:r w:rsidRPr="007813EC">
        <w:rPr>
          <w:rFonts w:ascii="Palatino Linotype" w:eastAsia="Times New Roman" w:hAnsi="Palatino Linotype" w:cs="Times New Roman"/>
          <w:sz w:val="24"/>
          <w:szCs w:val="24"/>
          <w:lang w:val="es-ES_tradnl" w:eastAsia="es-ES"/>
        </w:rPr>
        <w:t xml:space="preserve"> emitido </w:t>
      </w:r>
      <w:r w:rsidRPr="007813EC">
        <w:rPr>
          <w:rFonts w:ascii="Palatino Linotype" w:eastAsia="Times New Roman" w:hAnsi="Palatino Linotype" w:cs="Times New Roman"/>
          <w:sz w:val="24"/>
          <w:szCs w:val="24"/>
          <w:lang w:val="es-ES_tradnl" w:eastAsia="es-ES"/>
        </w:rPr>
        <w:lastRenderedPageBreak/>
        <w:t>por e</w:t>
      </w:r>
      <w:r>
        <w:rPr>
          <w:rFonts w:ascii="Palatino Linotype" w:eastAsia="Times New Roman" w:hAnsi="Palatino Linotype" w:cs="Times New Roman"/>
          <w:sz w:val="24"/>
          <w:szCs w:val="24"/>
          <w:lang w:val="es-ES_tradnl" w:eastAsia="es-ES"/>
        </w:rPr>
        <w:t>ste Instituto de Transparencia Local,</w:t>
      </w:r>
      <w:bookmarkEnd w:id="4"/>
      <w:r w:rsidRPr="007813EC">
        <w:rPr>
          <w:rFonts w:ascii="Palatino Linotype" w:eastAsia="Times New Roman" w:hAnsi="Palatino Linotype" w:cs="Times New Roman"/>
          <w:sz w:val="24"/>
          <w:szCs w:val="24"/>
          <w:lang w:val="es-ES_tradnl" w:eastAsia="es-ES"/>
        </w:rPr>
        <w:t xml:space="preserve"> cuyo contenido dispone a la literalidad lo siguiente: </w:t>
      </w:r>
    </w:p>
    <w:p w14:paraId="7AB696FA" w14:textId="77777777" w:rsidR="000B3808" w:rsidRPr="007813EC" w:rsidRDefault="000B3808" w:rsidP="000B3808">
      <w:pPr>
        <w:spacing w:after="0" w:line="360" w:lineRule="auto"/>
        <w:jc w:val="both"/>
        <w:rPr>
          <w:rFonts w:ascii="Palatino Linotype" w:eastAsia="Times New Roman" w:hAnsi="Palatino Linotype" w:cs="Times New Roman"/>
          <w:sz w:val="24"/>
          <w:szCs w:val="24"/>
          <w:lang w:val="es-ES_tradnl" w:eastAsia="es-ES"/>
        </w:rPr>
      </w:pPr>
    </w:p>
    <w:p w14:paraId="49CAEC41" w14:textId="77777777" w:rsidR="000B3808" w:rsidRPr="00B5366E" w:rsidRDefault="000B3808" w:rsidP="000B3808">
      <w:pPr>
        <w:spacing w:after="0" w:line="240" w:lineRule="auto"/>
        <w:ind w:left="567" w:right="616"/>
        <w:jc w:val="both"/>
        <w:rPr>
          <w:rFonts w:ascii="Palatino Linotype" w:eastAsia="Times New Roman" w:hAnsi="Palatino Linotype" w:cs="Times New Roman"/>
          <w:bCs/>
          <w:i/>
          <w:szCs w:val="24"/>
          <w:lang w:val="es-ES_tradnl" w:eastAsia="es-ES"/>
        </w:rPr>
      </w:pPr>
      <w:r w:rsidRPr="007813EC">
        <w:rPr>
          <w:rFonts w:ascii="Palatino Linotype" w:eastAsia="Times New Roman" w:hAnsi="Palatino Linotype" w:cs="Times New Roman"/>
          <w:i/>
          <w:szCs w:val="24"/>
          <w:lang w:val="es-ES_tradnl" w:eastAsia="es-ES"/>
        </w:rPr>
        <w:t>“</w:t>
      </w:r>
      <w:r w:rsidRPr="00B5366E">
        <w:rPr>
          <w:rFonts w:ascii="Palatino Linotype" w:eastAsia="Times New Roman" w:hAnsi="Palatino Linotype" w:cs="Times New Roman"/>
          <w:b/>
          <w:i/>
          <w:szCs w:val="24"/>
          <w:lang w:val="es-ES_tradnl" w:eastAsia="es-ES"/>
        </w:rPr>
        <w:t xml:space="preserve">NÓMINA DE SERVIDORES PÚBLICOS. PERIODO DE BÚSQUEDA Y ENTREGA DE LA INFORMACIÓN, CUANDO NO SE PRECISA EN LA SOLICITUD DE INFORMACIÓN. </w:t>
      </w:r>
      <w:r w:rsidRPr="00B5366E">
        <w:rPr>
          <w:rFonts w:ascii="Palatino Linotype" w:eastAsia="Times New Roman" w:hAnsi="Palatino Linotype" w:cs="Times New Roman"/>
          <w:bCs/>
          <w:i/>
          <w:szCs w:val="24"/>
          <w:lang w:val="es-ES_tradnl" w:eastAsia="es-ES"/>
        </w:rPr>
        <w:t xml:space="preserve">Cuando el particular no refiriera el periodo respecto del cual requiere la información, o bien, de la solicitud presentada no se adviertan elementos que permitan identificarlo, </w:t>
      </w:r>
      <w:r w:rsidRPr="00B5366E">
        <w:rPr>
          <w:rFonts w:ascii="Palatino Linotype" w:eastAsia="Times New Roman" w:hAnsi="Palatino Linotype" w:cs="Times New Roman"/>
          <w:bCs/>
          <w:i/>
          <w:szCs w:val="24"/>
          <w:u w:val="single"/>
          <w:lang w:val="es-ES_tradnl" w:eastAsia="es-ES"/>
        </w:rPr>
        <w:t>tratándose exclusivamente de información relativa a la nómina, se deberá hacer entrega de la información relativa a las últimas dos quincenas pagadas previo a la fecha en que se presentó la solicitud</w:t>
      </w:r>
      <w:r w:rsidRPr="00B5366E">
        <w:rPr>
          <w:rFonts w:ascii="Palatino Linotype" w:eastAsia="Times New Roman" w:hAnsi="Palatino Linotype" w:cs="Times New Roman"/>
          <w:bCs/>
          <w:i/>
          <w:szCs w:val="24"/>
          <w:lang w:val="es-ES_tradnl" w:eastAsia="es-ES"/>
        </w:rPr>
        <w:t>.</w:t>
      </w:r>
    </w:p>
    <w:p w14:paraId="08D66823" w14:textId="77777777" w:rsidR="000B3808" w:rsidRPr="00B5366E" w:rsidRDefault="000B3808" w:rsidP="000B3808">
      <w:pPr>
        <w:spacing w:after="0" w:line="240" w:lineRule="auto"/>
        <w:ind w:left="567" w:right="616"/>
        <w:jc w:val="both"/>
        <w:rPr>
          <w:rFonts w:ascii="Palatino Linotype" w:eastAsia="Times New Roman" w:hAnsi="Palatino Linotype" w:cs="Times New Roman"/>
          <w:bCs/>
          <w:i/>
          <w:szCs w:val="24"/>
          <w:lang w:val="es-ES_tradnl" w:eastAsia="es-ES"/>
        </w:rPr>
      </w:pPr>
      <w:r w:rsidRPr="00B5366E">
        <w:rPr>
          <w:rFonts w:ascii="Palatino Linotype" w:eastAsia="Times New Roman" w:hAnsi="Palatino Linotype" w:cs="Times New Roman"/>
          <w:bCs/>
          <w:i/>
          <w:szCs w:val="24"/>
          <w:lang w:val="es-ES_tradnl" w:eastAsia="es-ES"/>
        </w:rPr>
        <w:t xml:space="preserve">Precedentes: </w:t>
      </w:r>
    </w:p>
    <w:p w14:paraId="6D2EE0C6" w14:textId="77777777" w:rsidR="000B3808" w:rsidRPr="00B5366E" w:rsidRDefault="000B3808" w:rsidP="000B3808">
      <w:pPr>
        <w:spacing w:after="0" w:line="240" w:lineRule="auto"/>
        <w:ind w:left="567" w:right="616"/>
        <w:jc w:val="both"/>
        <w:rPr>
          <w:rFonts w:ascii="Palatino Linotype" w:eastAsia="Times New Roman" w:hAnsi="Palatino Linotype" w:cs="Times New Roman"/>
          <w:bCs/>
          <w:i/>
          <w:szCs w:val="24"/>
          <w:lang w:val="es-ES_tradnl" w:eastAsia="es-ES"/>
        </w:rPr>
      </w:pPr>
      <w:r w:rsidRPr="00B5366E">
        <w:rPr>
          <w:rFonts w:ascii="Palatino Linotype" w:eastAsia="Times New Roman" w:hAnsi="Palatino Linotype" w:cs="Times New Roman"/>
          <w:bCs/>
          <w:i/>
          <w:szCs w:val="24"/>
          <w:lang w:val="es-ES_tradnl" w:eastAsia="es-ES"/>
        </w:rPr>
        <w:t>•</w:t>
      </w:r>
      <w:r w:rsidRPr="00B5366E">
        <w:rPr>
          <w:rFonts w:ascii="Palatino Linotype" w:eastAsia="Times New Roman" w:hAnsi="Palatino Linotype" w:cs="Times New Roman"/>
          <w:bCs/>
          <w:i/>
          <w:szCs w:val="24"/>
          <w:lang w:val="es-ES_tradnl" w:eastAsia="es-ES"/>
        </w:rPr>
        <w:tab/>
        <w:t xml:space="preserve">En materia de acceso a la información pública. 16752/INFOEM/IP/RR/2022 y acumulados. Aprobada por mayoría de votos, emitiendo voto particular los Comisionados Sharon Cristina Morales Martínez, Guadalupe Ramírez Peña y Luis Gustavo Parra Noriega. Ayuntamiento de Toluca. Comisionada Ponente Sharon Cristina Morales Martínez. Sesión 43 – 2023. </w:t>
      </w:r>
    </w:p>
    <w:p w14:paraId="3A71F4D4" w14:textId="77777777" w:rsidR="000B3808" w:rsidRPr="00B5366E" w:rsidRDefault="000B3808" w:rsidP="000B3808">
      <w:pPr>
        <w:spacing w:after="0" w:line="240" w:lineRule="auto"/>
        <w:ind w:left="567" w:right="616"/>
        <w:jc w:val="both"/>
        <w:rPr>
          <w:rFonts w:ascii="Palatino Linotype" w:eastAsia="Times New Roman" w:hAnsi="Palatino Linotype" w:cs="Times New Roman"/>
          <w:bCs/>
          <w:i/>
          <w:szCs w:val="24"/>
          <w:lang w:val="es-ES_tradnl" w:eastAsia="es-ES"/>
        </w:rPr>
      </w:pPr>
      <w:r w:rsidRPr="00B5366E">
        <w:rPr>
          <w:rFonts w:ascii="Palatino Linotype" w:eastAsia="Times New Roman" w:hAnsi="Palatino Linotype" w:cs="Times New Roman"/>
          <w:bCs/>
          <w:i/>
          <w:szCs w:val="24"/>
          <w:lang w:val="es-ES_tradnl" w:eastAsia="es-ES"/>
        </w:rPr>
        <w:t>•</w:t>
      </w:r>
      <w:r w:rsidRPr="00B5366E">
        <w:rPr>
          <w:rFonts w:ascii="Palatino Linotype" w:eastAsia="Times New Roman" w:hAnsi="Palatino Linotype" w:cs="Times New Roman"/>
          <w:bCs/>
          <w:i/>
          <w:szCs w:val="24"/>
          <w:lang w:val="es-ES_tradnl" w:eastAsia="es-ES"/>
        </w:rPr>
        <w:tab/>
        <w:t>En materia de acceso a la información pública. 07558/INFOEM/IP/RR/2023. Aprobada por unanimidad de votos. Ayuntamiento de Ecatepec de Morelos. Comisionada Ponente María del Rosario Mejía Ayala. Sesión 03 – 2024.</w:t>
      </w:r>
    </w:p>
    <w:p w14:paraId="40CA4E3E" w14:textId="77777777" w:rsidR="000B3808" w:rsidRPr="00B5366E" w:rsidRDefault="000B3808" w:rsidP="000B3808">
      <w:pPr>
        <w:spacing w:after="0" w:line="240" w:lineRule="auto"/>
        <w:ind w:left="567" w:right="616"/>
        <w:jc w:val="both"/>
        <w:rPr>
          <w:rFonts w:ascii="Palatino Linotype" w:eastAsia="Times New Roman" w:hAnsi="Palatino Linotype" w:cs="Times New Roman"/>
          <w:bCs/>
          <w:i/>
          <w:szCs w:val="24"/>
          <w:lang w:val="es-ES_tradnl" w:eastAsia="es-ES"/>
        </w:rPr>
      </w:pPr>
      <w:r w:rsidRPr="00B5366E">
        <w:rPr>
          <w:rFonts w:ascii="Palatino Linotype" w:eastAsia="Times New Roman" w:hAnsi="Palatino Linotype" w:cs="Times New Roman"/>
          <w:bCs/>
          <w:i/>
          <w:szCs w:val="24"/>
          <w:lang w:val="es-ES_tradnl" w:eastAsia="es-ES"/>
        </w:rPr>
        <w:t>•</w:t>
      </w:r>
      <w:r w:rsidRPr="00B5366E">
        <w:rPr>
          <w:rFonts w:ascii="Palatino Linotype" w:eastAsia="Times New Roman" w:hAnsi="Palatino Linotype" w:cs="Times New Roman"/>
          <w:bCs/>
          <w:i/>
          <w:szCs w:val="24"/>
          <w:lang w:val="es-ES_tradnl" w:eastAsia="es-ES"/>
        </w:rPr>
        <w:tab/>
        <w:t xml:space="preserve">En materia de acceso a la información pública. 07557/INFOEM/IP/RR/2023. Aprobada por unanimidad de votos, emitiendo voto disidente la Comisionada Guadalupe Ramírez Peña. Secretaría de Educación. Comisionada Ponente Sharon Cristina Morales Martínez. Sesión 05 – 2024. </w:t>
      </w:r>
    </w:p>
    <w:p w14:paraId="2C288993" w14:textId="77777777" w:rsidR="000B3808" w:rsidRPr="007813EC" w:rsidRDefault="000B3808" w:rsidP="000B3808">
      <w:pPr>
        <w:spacing w:after="0" w:line="240" w:lineRule="auto"/>
        <w:ind w:left="567" w:right="616"/>
        <w:jc w:val="both"/>
        <w:rPr>
          <w:rFonts w:ascii="Palatino Linotype" w:eastAsia="Times New Roman" w:hAnsi="Palatino Linotype" w:cs="Times New Roman"/>
          <w:sz w:val="20"/>
          <w:szCs w:val="24"/>
          <w:lang w:val="es-ES_tradnl" w:eastAsia="es-ES"/>
        </w:rPr>
      </w:pPr>
      <w:r w:rsidRPr="00B5366E">
        <w:rPr>
          <w:rFonts w:ascii="Palatino Linotype" w:eastAsia="Times New Roman" w:hAnsi="Palatino Linotype" w:cs="Times New Roman"/>
          <w:bCs/>
          <w:i/>
          <w:szCs w:val="24"/>
          <w:lang w:val="es-ES_tradnl" w:eastAsia="es-ES"/>
        </w:rPr>
        <w:t>Tercera Época</w:t>
      </w:r>
      <w:r w:rsidRPr="00B5366E">
        <w:rPr>
          <w:rFonts w:ascii="Palatino Linotype" w:eastAsia="Times New Roman" w:hAnsi="Palatino Linotype" w:cs="Times New Roman"/>
          <w:bCs/>
          <w:i/>
          <w:szCs w:val="24"/>
          <w:lang w:val="es-ES_tradnl" w:eastAsia="es-ES"/>
        </w:rPr>
        <w:tab/>
        <w:t>Criterio Reiterado 04/2024</w:t>
      </w:r>
      <w:r w:rsidRPr="007813EC">
        <w:rPr>
          <w:rFonts w:ascii="Palatino Linotype" w:eastAsia="Times New Roman" w:hAnsi="Palatino Linotype" w:cs="Times New Roman"/>
          <w:i/>
          <w:sz w:val="20"/>
          <w:szCs w:val="24"/>
          <w:lang w:val="es-ES_tradnl" w:eastAsia="es-ES"/>
        </w:rPr>
        <w:t>”</w:t>
      </w:r>
    </w:p>
    <w:p w14:paraId="2A329935" w14:textId="77777777" w:rsidR="000B3808" w:rsidRPr="007813EC" w:rsidRDefault="000B3808" w:rsidP="000B3808">
      <w:pPr>
        <w:spacing w:after="0" w:line="240" w:lineRule="auto"/>
        <w:ind w:left="567" w:right="616"/>
        <w:jc w:val="both"/>
        <w:rPr>
          <w:rFonts w:ascii="Palatino Linotype" w:eastAsia="Times New Roman" w:hAnsi="Palatino Linotype" w:cs="Times New Roman"/>
          <w:sz w:val="20"/>
          <w:szCs w:val="24"/>
          <w:lang w:val="es-ES_tradnl" w:eastAsia="es-ES"/>
        </w:rPr>
      </w:pPr>
    </w:p>
    <w:p w14:paraId="722C40B2" w14:textId="77777777" w:rsidR="000B3808" w:rsidRPr="007813EC" w:rsidRDefault="000B3808" w:rsidP="000B3808">
      <w:pPr>
        <w:spacing w:after="0" w:line="240" w:lineRule="auto"/>
        <w:ind w:left="567" w:right="616"/>
        <w:jc w:val="right"/>
        <w:rPr>
          <w:rFonts w:ascii="Palatino Linotype" w:eastAsia="Times New Roman" w:hAnsi="Palatino Linotype" w:cs="Times New Roman"/>
          <w:sz w:val="20"/>
          <w:szCs w:val="24"/>
          <w:lang w:val="es-ES_tradnl" w:eastAsia="es-ES"/>
        </w:rPr>
      </w:pPr>
      <w:r w:rsidRPr="007813EC">
        <w:rPr>
          <w:rFonts w:ascii="Palatino Linotype" w:eastAsia="Times New Roman" w:hAnsi="Palatino Linotype" w:cs="Times New Roman"/>
          <w:sz w:val="20"/>
          <w:szCs w:val="24"/>
          <w:lang w:val="es-ES_tradnl" w:eastAsia="es-ES"/>
        </w:rPr>
        <w:t>(Énfasis añadido)</w:t>
      </w:r>
    </w:p>
    <w:p w14:paraId="26BAE094" w14:textId="77777777" w:rsidR="000B3808" w:rsidRPr="007813EC" w:rsidRDefault="000B3808" w:rsidP="000B3808">
      <w:pPr>
        <w:spacing w:after="0" w:line="360" w:lineRule="auto"/>
        <w:ind w:right="616"/>
        <w:jc w:val="both"/>
        <w:rPr>
          <w:rFonts w:ascii="Palatino Linotype" w:eastAsia="Times New Roman" w:hAnsi="Palatino Linotype" w:cs="Arial"/>
          <w:color w:val="000000" w:themeColor="text1"/>
          <w:sz w:val="24"/>
          <w:szCs w:val="24"/>
          <w:lang w:val="es-ES_tradnl" w:eastAsia="es-ES"/>
        </w:rPr>
      </w:pPr>
    </w:p>
    <w:p w14:paraId="6A46679A" w14:textId="7D65AE0C" w:rsidR="000B3808" w:rsidRPr="007813EC" w:rsidRDefault="000B3808" w:rsidP="000B3808">
      <w:pPr>
        <w:spacing w:after="0" w:line="360" w:lineRule="auto"/>
        <w:jc w:val="both"/>
        <w:rPr>
          <w:rFonts w:ascii="Palatino Linotype" w:eastAsia="MS Mincho" w:hAnsi="Palatino Linotype" w:cs="Arial"/>
          <w:sz w:val="24"/>
          <w:lang w:val="es-ES_tradnl"/>
        </w:rPr>
      </w:pPr>
      <w:r w:rsidRPr="007813EC">
        <w:rPr>
          <w:rFonts w:ascii="Palatino Linotype" w:eastAsia="MS Mincho" w:hAnsi="Palatino Linotype" w:cs="Arial"/>
          <w:sz w:val="24"/>
          <w:lang w:val="es-ES_tradnl"/>
        </w:rPr>
        <w:t xml:space="preserve">Criterio que establece en los supuestos que no se establezca </w:t>
      </w:r>
      <w:r w:rsidRPr="007813EC">
        <w:rPr>
          <w:rFonts w:ascii="Palatino Linotype" w:eastAsia="MS Mincho" w:hAnsi="Palatino Linotype" w:cs="Arial"/>
          <w:b/>
          <w:sz w:val="24"/>
          <w:lang w:val="es-ES_tradnl"/>
        </w:rPr>
        <w:t>periodo de la información</w:t>
      </w:r>
      <w:r w:rsidRPr="007813EC">
        <w:rPr>
          <w:rFonts w:ascii="Palatino Linotype" w:eastAsia="MS Mincho" w:hAnsi="Palatino Linotype" w:cs="Arial"/>
          <w:sz w:val="24"/>
          <w:lang w:val="es-ES_tradnl"/>
        </w:rPr>
        <w:t xml:space="preserve"> peticionada, </w:t>
      </w:r>
      <w:r>
        <w:rPr>
          <w:rFonts w:ascii="Palatino Linotype" w:eastAsia="MS Mincho" w:hAnsi="Palatino Linotype" w:cs="Arial"/>
          <w:sz w:val="24"/>
          <w:lang w:val="es-ES_tradnl"/>
        </w:rPr>
        <w:t xml:space="preserve">en tema de nómina, </w:t>
      </w:r>
      <w:r w:rsidRPr="007813EC">
        <w:rPr>
          <w:rFonts w:ascii="Palatino Linotype" w:eastAsia="MS Mincho" w:hAnsi="Palatino Linotype" w:cs="Arial"/>
          <w:sz w:val="24"/>
          <w:lang w:val="es-ES_tradnl"/>
        </w:rPr>
        <w:t>se deberá establecer el</w:t>
      </w:r>
      <w:r>
        <w:rPr>
          <w:rFonts w:ascii="Palatino Linotype" w:eastAsia="MS Mincho" w:hAnsi="Palatino Linotype" w:cs="Arial"/>
          <w:sz w:val="24"/>
          <w:lang w:val="es-ES_tradnl"/>
        </w:rPr>
        <w:t xml:space="preserve"> periodo de las últimas dos quincenas previas al ingreso de la solicitud</w:t>
      </w:r>
      <w:r w:rsidRPr="007813EC">
        <w:rPr>
          <w:rFonts w:ascii="Palatino Linotype" w:eastAsia="MS Mincho" w:hAnsi="Palatino Linotype" w:cs="Arial"/>
          <w:sz w:val="24"/>
          <w:lang w:val="es-ES_tradnl"/>
        </w:rPr>
        <w:t xml:space="preserve">, en el caso particular, </w:t>
      </w:r>
      <w:r w:rsidRPr="007813EC">
        <w:rPr>
          <w:rFonts w:ascii="Palatino Linotype" w:eastAsia="MS Mincho" w:hAnsi="Palatino Linotype" w:cs="Arial"/>
          <w:b/>
          <w:sz w:val="24"/>
          <w:lang w:val="es-ES_tradnl"/>
        </w:rPr>
        <w:t xml:space="preserve">corresponde del </w:t>
      </w:r>
      <w:r>
        <w:rPr>
          <w:rFonts w:ascii="Palatino Linotype" w:eastAsia="MS Mincho" w:hAnsi="Palatino Linotype" w:cs="Arial"/>
          <w:b/>
          <w:sz w:val="24"/>
          <w:lang w:val="es-ES_tradnl"/>
        </w:rPr>
        <w:t xml:space="preserve">uno al treinta y uno de octubre </w:t>
      </w:r>
      <w:r w:rsidRPr="007813EC">
        <w:rPr>
          <w:rFonts w:ascii="Palatino Linotype" w:eastAsia="MS Mincho" w:hAnsi="Palatino Linotype" w:cs="Arial"/>
          <w:b/>
          <w:sz w:val="24"/>
          <w:lang w:val="es-ES_tradnl"/>
        </w:rPr>
        <w:t>de dos mil veinticuatro.</w:t>
      </w:r>
    </w:p>
    <w:p w14:paraId="72ACAA4F" w14:textId="44474101" w:rsidR="000B3808" w:rsidRDefault="000B3808"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7C959781" w14:textId="11E22F65" w:rsidR="00084E71" w:rsidRDefault="00084E71"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2D40EF2A" w14:textId="77777777" w:rsidR="00084E71" w:rsidRPr="000B3808" w:rsidRDefault="00084E71" w:rsidP="00747C38">
      <w:pPr>
        <w:autoSpaceDE w:val="0"/>
        <w:autoSpaceDN w:val="0"/>
        <w:adjustRightInd w:val="0"/>
        <w:spacing w:after="0" w:line="360" w:lineRule="auto"/>
        <w:jc w:val="both"/>
        <w:rPr>
          <w:rFonts w:ascii="Palatino Linotype" w:eastAsia="Calibri" w:hAnsi="Palatino Linotype" w:cs="Times New Roman"/>
          <w:sz w:val="24"/>
          <w:szCs w:val="24"/>
          <w:lang w:val="es-ES_tradnl" w:eastAsia="es-ES"/>
        </w:rPr>
      </w:pPr>
    </w:p>
    <w:p w14:paraId="235EE579" w14:textId="77777777" w:rsidR="00BE4215" w:rsidRPr="00B34A68" w:rsidRDefault="00BE4215" w:rsidP="00747C38">
      <w:pPr>
        <w:pStyle w:val="Prrafodelista"/>
        <w:numPr>
          <w:ilvl w:val="0"/>
          <w:numId w:val="6"/>
        </w:numPr>
        <w:spacing w:line="360" w:lineRule="auto"/>
        <w:jc w:val="both"/>
        <w:rPr>
          <w:rFonts w:ascii="Palatino Linotype" w:hAnsi="Palatino Linotype" w:cs="Arial"/>
          <w:b/>
          <w:i/>
          <w:sz w:val="28"/>
        </w:rPr>
      </w:pPr>
      <w:r w:rsidRPr="00B34A68">
        <w:rPr>
          <w:rFonts w:ascii="Palatino Linotype" w:hAnsi="Palatino Linotype" w:cs="Arial"/>
          <w:b/>
          <w:i/>
          <w:sz w:val="28"/>
        </w:rPr>
        <w:lastRenderedPageBreak/>
        <w:t xml:space="preserve">De la Versión Pública </w:t>
      </w:r>
    </w:p>
    <w:p w14:paraId="0A962874" w14:textId="77777777" w:rsidR="00BE4215" w:rsidRPr="00B34A68" w:rsidRDefault="00BE4215" w:rsidP="00747C38">
      <w:pPr>
        <w:spacing w:after="0" w:line="360" w:lineRule="auto"/>
        <w:jc w:val="both"/>
        <w:rPr>
          <w:rFonts w:ascii="Palatino Linotype" w:hAnsi="Palatino Linotype" w:cs="Arial"/>
          <w:sz w:val="24"/>
        </w:rPr>
      </w:pPr>
    </w:p>
    <w:p w14:paraId="3D9AA748"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Derivado de que la información es insoslayable, resaltar que la información puede contener datos personales susceptibles de clasificar, ello es así ya que la excepción de publicidad, es aquella información que tenga el carácter de confidencial (datos personales), por lo que debe privilegiarse el acceso a la información bajo el principio de máxima divulgación, empero sin violar el derecho a la intimidad por medio de la protección de datos personales, por ende de la información que se ponga a disposición, su entrega deberá ser en versión pública; referencia cuyo fundamento legal aplicable se encuentra inmerso en los numerales de la Ley de la materia, que a la letra esgrimen:</w:t>
      </w:r>
    </w:p>
    <w:p w14:paraId="45A615A5" w14:textId="77777777" w:rsidR="001B1315" w:rsidRPr="00B34A68" w:rsidRDefault="001B1315" w:rsidP="00747C38">
      <w:pPr>
        <w:spacing w:after="0" w:line="360" w:lineRule="auto"/>
        <w:jc w:val="both"/>
        <w:rPr>
          <w:rFonts w:ascii="Palatino Linotype" w:hAnsi="Palatino Linotype" w:cs="Arial"/>
          <w:sz w:val="24"/>
        </w:rPr>
      </w:pPr>
    </w:p>
    <w:p w14:paraId="1AF54FD4"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Artículo 3. </w:t>
      </w:r>
      <w:r w:rsidRPr="00B34A68">
        <w:rPr>
          <w:rFonts w:ascii="Palatino Linotype" w:hAnsi="Palatino Linotype" w:cs="Arial"/>
          <w:bCs/>
          <w:i/>
          <w:iCs/>
        </w:rPr>
        <w:t>Para los efectos de la presente Ley se entenderá por:</w:t>
      </w:r>
    </w:p>
    <w:p w14:paraId="500429FE"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Cs/>
          <w:i/>
          <w:iCs/>
        </w:rPr>
        <w:t>[…]</w:t>
      </w:r>
    </w:p>
    <w:p w14:paraId="4ACBD508"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IX. Datos personales: </w:t>
      </w:r>
      <w:r w:rsidRPr="00B34A68">
        <w:rPr>
          <w:rFonts w:ascii="Palatino Linotype" w:hAnsi="Palatino Linotype" w:cs="Arial"/>
          <w:bCs/>
          <w:i/>
          <w:iCs/>
        </w:rPr>
        <w:t>La información concerniente a una persona, identificada o identificable según lo dispuesto por la Ley de Protección de Datos Personales del Estado de México;</w:t>
      </w:r>
    </w:p>
    <w:p w14:paraId="08B872FE"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w:t>
      </w:r>
    </w:p>
    <w:p w14:paraId="27204102"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XLV. Versión pública: </w:t>
      </w:r>
      <w:r w:rsidRPr="00B34A68">
        <w:rPr>
          <w:rFonts w:ascii="Palatino Linotype" w:hAnsi="Palatino Linotype" w:cs="Arial"/>
          <w:bCs/>
          <w:i/>
          <w:iCs/>
        </w:rPr>
        <w:t>Documento en el que se elimine, suprime o borra la información clasificada como reservada o confidencial para permitir su acceso.</w:t>
      </w:r>
    </w:p>
    <w:p w14:paraId="1B6AAF30" w14:textId="77777777" w:rsidR="00BE4215" w:rsidRPr="00B34A68" w:rsidRDefault="00BE4215" w:rsidP="00747C38">
      <w:pPr>
        <w:spacing w:after="0" w:line="240" w:lineRule="auto"/>
        <w:ind w:left="567" w:right="567"/>
        <w:jc w:val="both"/>
        <w:rPr>
          <w:rFonts w:ascii="Palatino Linotype" w:hAnsi="Palatino Linotype" w:cs="Arial"/>
        </w:rPr>
      </w:pPr>
    </w:p>
    <w:p w14:paraId="66CF8686"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Artículo 122.</w:t>
      </w:r>
      <w:r w:rsidRPr="00B34A68">
        <w:rPr>
          <w:rFonts w:ascii="Palatino Linotype" w:hAnsi="Palatino Linotype" w:cs="Arial"/>
          <w:i/>
          <w:iCs/>
        </w:rPr>
        <w:t xml:space="preserve"> La clasificación es el proceso mediante el cual el sujeto obligado determina que la información en su poder actualiza alguno de los supuestos de reserva o confidencialidad, de conformidad con lo dispuesto en el presente título.</w:t>
      </w:r>
    </w:p>
    <w:p w14:paraId="4268A476"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i/>
          <w:iCs/>
        </w:rPr>
        <w:t>[…]</w:t>
      </w:r>
    </w:p>
    <w:p w14:paraId="437A1E48" w14:textId="77777777" w:rsidR="00BE4215" w:rsidRPr="00B34A68" w:rsidRDefault="00BE4215" w:rsidP="00747C38">
      <w:pPr>
        <w:spacing w:after="0" w:line="240" w:lineRule="auto"/>
        <w:ind w:left="567" w:right="567"/>
        <w:jc w:val="both"/>
        <w:rPr>
          <w:rFonts w:ascii="Palatino Linotype" w:hAnsi="Palatino Linotype" w:cs="Arial"/>
          <w:bCs/>
          <w:i/>
          <w:iCs/>
        </w:rPr>
      </w:pPr>
    </w:p>
    <w:p w14:paraId="3EE87AB6"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Artículo 132.</w:t>
      </w:r>
      <w:r w:rsidRPr="00B34A68">
        <w:rPr>
          <w:rFonts w:ascii="Palatino Linotype" w:hAnsi="Palatino Linotype" w:cs="Arial"/>
          <w:i/>
          <w:iCs/>
        </w:rPr>
        <w:t xml:space="preserve"> La clasificación de la información se llevará a cabo en el momento en que:</w:t>
      </w:r>
    </w:p>
    <w:p w14:paraId="77B867B0"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i/>
          <w:iCs/>
        </w:rPr>
        <w:t>[…]</w:t>
      </w:r>
    </w:p>
    <w:p w14:paraId="786EC764"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II. Se determine mediante resolución de autoridad competente; o</w:t>
      </w:r>
    </w:p>
    <w:p w14:paraId="4CE43C4A" w14:textId="77777777" w:rsidR="00BE4215" w:rsidRPr="00B34A68" w:rsidRDefault="00BE4215" w:rsidP="00747C38">
      <w:pPr>
        <w:spacing w:after="0" w:line="240" w:lineRule="auto"/>
        <w:ind w:left="567" w:right="567"/>
        <w:jc w:val="both"/>
        <w:rPr>
          <w:rFonts w:ascii="Palatino Linotype" w:hAnsi="Palatino Linotype" w:cs="Arial"/>
        </w:rPr>
      </w:pPr>
    </w:p>
    <w:p w14:paraId="6AE9D18D" w14:textId="77777777" w:rsidR="00BE4215" w:rsidRPr="00B34A68" w:rsidRDefault="00BE4215" w:rsidP="00747C38">
      <w:pPr>
        <w:spacing w:after="0" w:line="240" w:lineRule="auto"/>
        <w:ind w:left="567" w:right="567"/>
        <w:jc w:val="both"/>
        <w:rPr>
          <w:rFonts w:ascii="Palatino Linotype" w:hAnsi="Palatino Linotype" w:cs="Arial"/>
        </w:rPr>
      </w:pPr>
      <w:r w:rsidRPr="00B34A68">
        <w:rPr>
          <w:rFonts w:ascii="Palatino Linotype" w:hAnsi="Palatino Linotype" w:cs="Arial"/>
          <w:b/>
          <w:bCs/>
          <w:i/>
          <w:iCs/>
        </w:rPr>
        <w:t xml:space="preserve">Artículo 137. </w:t>
      </w:r>
      <w:r w:rsidRPr="00B34A68">
        <w:rPr>
          <w:rFonts w:ascii="Palatino Linotype" w:hAnsi="Palatino Linotype" w:cs="Arial"/>
          <w:bCs/>
          <w:i/>
          <w:iCs/>
        </w:rPr>
        <w:t xml:space="preserve">Cuando un mismo medio, impreso o electrónico, contenga información pública y reservada o confidencial, la Unidad de Transparencia para efectos de atender una solicitud de información, deberán elaborar una versión pública en la que se testen las partes </w:t>
      </w:r>
      <w:r w:rsidRPr="00B34A68">
        <w:rPr>
          <w:rFonts w:ascii="Palatino Linotype" w:hAnsi="Palatino Linotype" w:cs="Arial"/>
          <w:bCs/>
          <w:i/>
          <w:iCs/>
        </w:rPr>
        <w:lastRenderedPageBreak/>
        <w:t xml:space="preserve">o secciones clasificadas, indicando su contenido </w:t>
      </w:r>
      <w:r w:rsidRPr="00B34A68">
        <w:rPr>
          <w:rFonts w:ascii="Palatino Linotype" w:hAnsi="Palatino Linotype" w:cs="Arial"/>
          <w:bCs/>
          <w:i/>
          <w:iCs/>
          <w:u w:val="single"/>
        </w:rPr>
        <w:t>de manera genérica y fundando y motivando su clasificación.</w:t>
      </w:r>
      <w:r w:rsidRPr="00B34A68">
        <w:rPr>
          <w:rFonts w:ascii="Palatino Linotype" w:hAnsi="Palatino Linotype" w:cs="Arial"/>
          <w:bCs/>
          <w:i/>
          <w:iCs/>
        </w:rPr>
        <w:t>”</w:t>
      </w:r>
    </w:p>
    <w:p w14:paraId="2718F2EE" w14:textId="77777777" w:rsidR="00BE4215" w:rsidRPr="00B34A68" w:rsidRDefault="00BE4215" w:rsidP="00747C38">
      <w:pPr>
        <w:spacing w:after="0" w:line="240" w:lineRule="auto"/>
        <w:ind w:left="567" w:right="567"/>
        <w:jc w:val="right"/>
        <w:rPr>
          <w:rFonts w:ascii="Palatino Linotype" w:hAnsi="Palatino Linotype" w:cs="Arial"/>
        </w:rPr>
      </w:pPr>
      <w:r w:rsidRPr="00B34A68">
        <w:rPr>
          <w:rFonts w:ascii="Palatino Linotype" w:hAnsi="Palatino Linotype" w:cs="Arial"/>
        </w:rPr>
        <w:t>(Énfasis añadido)</w:t>
      </w:r>
    </w:p>
    <w:p w14:paraId="032C4CBC" w14:textId="77777777" w:rsidR="00BE4215" w:rsidRPr="00B34A68" w:rsidRDefault="00BE4215" w:rsidP="00747C38">
      <w:pPr>
        <w:spacing w:after="0" w:line="360" w:lineRule="auto"/>
        <w:jc w:val="both"/>
        <w:rPr>
          <w:rFonts w:ascii="Palatino Linotype" w:hAnsi="Palatino Linotype" w:cs="Arial"/>
          <w:sz w:val="24"/>
        </w:rPr>
      </w:pPr>
    </w:p>
    <w:p w14:paraId="55888B95" w14:textId="77777777" w:rsidR="00BE4215" w:rsidRPr="00B34A68" w:rsidRDefault="00BE4215" w:rsidP="00747C38">
      <w:pPr>
        <w:spacing w:after="0" w:line="360" w:lineRule="auto"/>
        <w:jc w:val="both"/>
        <w:rPr>
          <w:rFonts w:ascii="Palatino Linotype" w:hAnsi="Palatino Linotype" w:cs="Arial"/>
          <w:sz w:val="24"/>
          <w:lang w:val="es-ES"/>
        </w:rPr>
      </w:pPr>
      <w:r w:rsidRPr="00B34A68">
        <w:rPr>
          <w:rFonts w:ascii="Palatino Linotype" w:hAnsi="Palatino Linotype" w:cs="Arial"/>
          <w:sz w:val="24"/>
        </w:rPr>
        <w:t xml:space="preserve">En este sentido, el numeral trigésimo tercero fracción V de los Lineamientos Generales, precisa que para motivar la clasificación se deben acreditar las circunstancias de tiempo, modo y lugar, en suma </w:t>
      </w:r>
      <w:r w:rsidRPr="00B34A68">
        <w:rPr>
          <w:rFonts w:ascii="Palatino Linotype" w:hAnsi="Palatino Linotype" w:cs="Arial"/>
          <w:sz w:val="24"/>
          <w:lang w:val="es-ES_tradnl"/>
        </w:rPr>
        <w:t xml:space="preserve">el Sujeto Obligado </w:t>
      </w:r>
      <w:r w:rsidRPr="00B34A68">
        <w:rPr>
          <w:rFonts w:ascii="Palatino Linotype" w:hAnsi="Palatino Linotype" w:cs="Arial"/>
          <w:sz w:val="24"/>
          <w:lang w:val="es-ES"/>
        </w:rPr>
        <w:t xml:space="preserve">deberá cumplir cabalmente con las formalidades previstas en el artículo 137, de la Ley de Transparencia y Acceso a la Información Pública del Estado de México y Municipios, así como con los numerales aplicables de los </w:t>
      </w:r>
      <w:r w:rsidRPr="00B34A68">
        <w:rPr>
          <w:rFonts w:ascii="Palatino Linotype" w:hAnsi="Palatino Linotype" w:cs="Arial"/>
          <w:b/>
          <w:sz w:val="24"/>
          <w:lang w:val="es-ES"/>
        </w:rPr>
        <w:t>LINEAMIENTOS GENERALES EN MATERIA DE CLASIFICACIÓN Y DESCLASIFICACIÓN DE LA INFORMACIÓN, ASÍ COMO PARA LA ELABORACIÓN DE VERSIONES PÚBLICAS</w:t>
      </w:r>
      <w:r w:rsidRPr="00B34A68">
        <w:rPr>
          <w:rFonts w:ascii="Palatino Linotype" w:hAnsi="Palatino Linotype" w:cs="Arial"/>
          <w:sz w:val="24"/>
          <w:lang w:val="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725FB150" w14:textId="77777777" w:rsidR="00BE4215" w:rsidRPr="00B34A68" w:rsidRDefault="00BE4215" w:rsidP="00747C38">
      <w:pPr>
        <w:spacing w:after="0" w:line="360" w:lineRule="auto"/>
        <w:jc w:val="both"/>
        <w:rPr>
          <w:rFonts w:ascii="Palatino Linotype" w:hAnsi="Palatino Linotype" w:cs="Arial"/>
          <w:sz w:val="24"/>
          <w:lang w:val="es-ES"/>
        </w:rPr>
      </w:pPr>
    </w:p>
    <w:p w14:paraId="5C224744"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2A14E9A0" w14:textId="77777777" w:rsidR="00BE4215" w:rsidRPr="00B34A68" w:rsidRDefault="00BE4215" w:rsidP="00747C38">
      <w:pPr>
        <w:spacing w:after="0" w:line="360" w:lineRule="auto"/>
        <w:jc w:val="both"/>
        <w:rPr>
          <w:rFonts w:ascii="Palatino Linotype" w:hAnsi="Palatino Linotype" w:cs="Arial"/>
          <w:sz w:val="24"/>
        </w:rPr>
      </w:pPr>
    </w:p>
    <w:p w14:paraId="7F536481" w14:textId="6329237C" w:rsidR="00BE4215" w:rsidRDefault="00BE4215" w:rsidP="00747C38">
      <w:pPr>
        <w:spacing w:after="0" w:line="360" w:lineRule="auto"/>
        <w:jc w:val="both"/>
        <w:rPr>
          <w:rFonts w:ascii="Palatino Linotype" w:hAnsi="Palatino Linotype" w:cs="Arial"/>
          <w:sz w:val="24"/>
          <w:lang w:val="es-ES"/>
        </w:rPr>
      </w:pPr>
      <w:r w:rsidRPr="00B34A68">
        <w:rPr>
          <w:rFonts w:ascii="Palatino Linotype" w:hAnsi="Palatino Linotype" w:cs="Arial"/>
          <w:sz w:val="24"/>
        </w:rPr>
        <w:t>En el mismo sentido, en el caso específico</w:t>
      </w:r>
      <w:r w:rsidRPr="00B34A68">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B34A68">
        <w:rPr>
          <w:rFonts w:ascii="Palatino Linotype" w:hAnsi="Palatino Linotype" w:cs="Arial"/>
          <w:b/>
          <w:sz w:val="24"/>
          <w:lang w:val="es-ES"/>
        </w:rPr>
        <w:t>Registro Federal de Contribuyentes</w:t>
      </w:r>
      <w:r w:rsidRPr="00B34A68">
        <w:rPr>
          <w:rFonts w:ascii="Palatino Linotype" w:hAnsi="Palatino Linotype" w:cs="Arial"/>
          <w:sz w:val="24"/>
          <w:lang w:val="es-ES"/>
        </w:rPr>
        <w:t xml:space="preserve"> (RFC) y la </w:t>
      </w:r>
      <w:r w:rsidRPr="00B34A68">
        <w:rPr>
          <w:rFonts w:ascii="Palatino Linotype" w:hAnsi="Palatino Linotype" w:cs="Arial"/>
          <w:b/>
          <w:sz w:val="24"/>
          <w:lang w:val="es-ES"/>
        </w:rPr>
        <w:t>Clave Única de Registro de Población</w:t>
      </w:r>
      <w:r w:rsidRPr="00B34A68">
        <w:rPr>
          <w:rFonts w:ascii="Palatino Linotype" w:hAnsi="Palatino Linotype" w:cs="Arial"/>
          <w:sz w:val="24"/>
          <w:lang w:val="es-ES"/>
        </w:rPr>
        <w:t xml:space="preserve"> (CURP).</w:t>
      </w:r>
    </w:p>
    <w:p w14:paraId="3C4335D9" w14:textId="77777777" w:rsidR="00C5626B" w:rsidRPr="00B34A68" w:rsidRDefault="00C5626B" w:rsidP="00747C38">
      <w:pPr>
        <w:spacing w:after="0" w:line="360" w:lineRule="auto"/>
        <w:jc w:val="both"/>
        <w:rPr>
          <w:rFonts w:ascii="Palatino Linotype" w:hAnsi="Palatino Linotype" w:cs="Arial"/>
          <w:sz w:val="24"/>
          <w:lang w:val="es-ES"/>
        </w:rPr>
      </w:pPr>
    </w:p>
    <w:p w14:paraId="68DEF5BB" w14:textId="51F694E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lastRenderedPageBreak/>
        <w:t xml:space="preserve">En cuanto al Registro Federal de Contribuyentes (RFC) de las personas físicas que </w:t>
      </w:r>
      <w:r w:rsidRPr="00B34A68">
        <w:rPr>
          <w:rFonts w:ascii="Palatino Linotype" w:hAnsi="Palatino Linotype" w:cs="Arial"/>
          <w:b/>
          <w:sz w:val="24"/>
        </w:rPr>
        <w:t>no son proveedores</w:t>
      </w:r>
      <w:r w:rsidRPr="00B34A68">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7BBB3DDA" w14:textId="77777777" w:rsidR="007B2B0D" w:rsidRPr="00B34A68" w:rsidRDefault="007B2B0D" w:rsidP="00747C38">
      <w:pPr>
        <w:spacing w:after="0" w:line="360" w:lineRule="auto"/>
        <w:jc w:val="both"/>
        <w:rPr>
          <w:rFonts w:ascii="Palatino Linotype" w:hAnsi="Palatino Linotype" w:cs="Arial"/>
          <w:sz w:val="24"/>
        </w:rPr>
      </w:pPr>
    </w:p>
    <w:p w14:paraId="4C85E8F0"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48462F81" w14:textId="77777777" w:rsidR="00BE4215" w:rsidRPr="00B34A68" w:rsidRDefault="00BE4215" w:rsidP="00747C38">
      <w:pPr>
        <w:spacing w:after="0" w:line="360" w:lineRule="auto"/>
        <w:jc w:val="both"/>
        <w:rPr>
          <w:rFonts w:ascii="Palatino Linotype" w:hAnsi="Palatino Linotype" w:cs="Arial"/>
          <w:sz w:val="24"/>
        </w:rPr>
      </w:pPr>
    </w:p>
    <w:p w14:paraId="47994C6B" w14:textId="77777777" w:rsidR="00BE4215" w:rsidRPr="00B34A68" w:rsidRDefault="00BE4215" w:rsidP="00747C38">
      <w:pPr>
        <w:spacing w:after="0" w:line="240" w:lineRule="auto"/>
        <w:ind w:left="567" w:right="567"/>
        <w:jc w:val="both"/>
        <w:rPr>
          <w:rFonts w:ascii="Palatino Linotype" w:hAnsi="Palatino Linotype" w:cs="Arial"/>
          <w:b/>
          <w:bCs/>
          <w:i/>
        </w:rPr>
      </w:pPr>
      <w:r w:rsidRPr="00B34A68">
        <w:rPr>
          <w:rFonts w:ascii="Palatino Linotype" w:hAnsi="Palatino Linotype" w:cs="Arial"/>
          <w:bCs/>
          <w:i/>
        </w:rPr>
        <w:t>“</w:t>
      </w:r>
      <w:r w:rsidRPr="00B34A68">
        <w:rPr>
          <w:rFonts w:ascii="Palatino Linotype" w:hAnsi="Palatino Linotype" w:cs="Arial"/>
          <w:b/>
          <w:bCs/>
          <w:i/>
        </w:rPr>
        <w:t xml:space="preserve">Registro Federal de Contribuyentes (RFC) de personas físicas. </w:t>
      </w:r>
      <w:r w:rsidRPr="00B34A68">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14:paraId="5F157591" w14:textId="77777777" w:rsidR="00BE4215" w:rsidRPr="00B34A68" w:rsidRDefault="00BE4215" w:rsidP="00747C38">
      <w:pPr>
        <w:spacing w:after="0" w:line="240" w:lineRule="auto"/>
        <w:ind w:left="567" w:right="567"/>
        <w:jc w:val="both"/>
        <w:rPr>
          <w:rFonts w:ascii="Palatino Linotype" w:hAnsi="Palatino Linotype" w:cs="Arial"/>
          <w:bCs/>
          <w:i/>
        </w:rPr>
      </w:pPr>
      <w:r w:rsidRPr="00B34A68">
        <w:rPr>
          <w:rFonts w:ascii="Palatino Linotype" w:hAnsi="Palatino Linotype" w:cs="Arial"/>
          <w:bCs/>
          <w:i/>
        </w:rPr>
        <w:t>Resoluciones:</w:t>
      </w:r>
    </w:p>
    <w:p w14:paraId="554C2D91" w14:textId="77777777" w:rsidR="00BE4215" w:rsidRPr="00B34A68" w:rsidRDefault="00BE4215" w:rsidP="00747C38">
      <w:pPr>
        <w:spacing w:after="0" w:line="240" w:lineRule="auto"/>
        <w:ind w:left="567" w:right="567"/>
        <w:jc w:val="both"/>
        <w:rPr>
          <w:rFonts w:ascii="Palatino Linotype" w:hAnsi="Palatino Linotype" w:cs="Arial"/>
          <w:bCs/>
          <w:i/>
        </w:rPr>
      </w:pPr>
      <w:r w:rsidRPr="00B34A68">
        <w:rPr>
          <w:rFonts w:ascii="Palatino Linotype" w:hAnsi="Palatino Linotype" w:cs="Arial"/>
          <w:bCs/>
          <w:i/>
        </w:rPr>
        <w:t>•</w:t>
      </w:r>
      <w:r w:rsidRPr="00B34A68">
        <w:rPr>
          <w:rFonts w:ascii="Palatino Linotype" w:hAnsi="Palatino Linotype" w:cs="Arial"/>
          <w:bCs/>
          <w:i/>
        </w:rPr>
        <w:tab/>
        <w:t>RRA 0189/17. Morena. 08 de febrero de 2017. Por unanimidad. Comisionado Ponente Joel Salas Suárez.</w:t>
      </w:r>
    </w:p>
    <w:p w14:paraId="667CF11C" w14:textId="77777777" w:rsidR="00BE4215" w:rsidRPr="00B34A68" w:rsidRDefault="00BE4215" w:rsidP="00747C38">
      <w:pPr>
        <w:spacing w:after="0" w:line="240" w:lineRule="auto"/>
        <w:ind w:left="567" w:right="567"/>
        <w:jc w:val="both"/>
        <w:rPr>
          <w:rFonts w:ascii="Palatino Linotype" w:hAnsi="Palatino Linotype" w:cs="Arial"/>
          <w:bCs/>
          <w:i/>
        </w:rPr>
      </w:pPr>
      <w:r w:rsidRPr="00B34A68">
        <w:rPr>
          <w:rFonts w:ascii="Palatino Linotype" w:hAnsi="Palatino Linotype" w:cs="Arial"/>
          <w:bCs/>
          <w:i/>
        </w:rPr>
        <w:t>•</w:t>
      </w:r>
      <w:r w:rsidRPr="00B34A68">
        <w:rPr>
          <w:rFonts w:ascii="Palatino Linotype" w:hAnsi="Palatino Linotype" w:cs="Arial"/>
          <w:bCs/>
          <w:i/>
        </w:rPr>
        <w:tab/>
        <w:t xml:space="preserve">RRA 0677/17. Universidad Nacional Autónoma de México. 08 de marzo de 2017. Por unanimidad. Comisionado Ponente Rosendoevgueni Monterrey Chepov. </w:t>
      </w:r>
    </w:p>
    <w:p w14:paraId="623AAC6A"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Cs/>
          <w:i/>
        </w:rPr>
        <w:t>•</w:t>
      </w:r>
      <w:r w:rsidRPr="00B34A68">
        <w:rPr>
          <w:rFonts w:ascii="Palatino Linotype" w:hAnsi="Palatino Linotype" w:cs="Arial"/>
          <w:bCs/>
          <w:i/>
        </w:rPr>
        <w:tab/>
        <w:t>RRA 1564/17. Tribunal Electoral del Poder Judicial de la Federación. 26 de abril de 2017. Por unanimidad. Comisionado Ponente Oscar Mauricio Guerra Ford.</w:t>
      </w:r>
      <w:r w:rsidRPr="00B34A68">
        <w:rPr>
          <w:rFonts w:ascii="Palatino Linotype" w:hAnsi="Palatino Linotype" w:cs="Arial"/>
          <w:i/>
        </w:rPr>
        <w:t>”</w:t>
      </w:r>
    </w:p>
    <w:p w14:paraId="7FF55843" w14:textId="77777777" w:rsidR="00BE4215" w:rsidRPr="00B34A68" w:rsidRDefault="00BE4215" w:rsidP="00747C38">
      <w:pPr>
        <w:spacing w:after="0" w:line="360" w:lineRule="auto"/>
        <w:jc w:val="both"/>
        <w:rPr>
          <w:rFonts w:ascii="Palatino Linotype" w:hAnsi="Palatino Linotype" w:cs="Arial"/>
          <w:sz w:val="24"/>
        </w:rPr>
      </w:pPr>
    </w:p>
    <w:p w14:paraId="024808EA"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Así, el </w:t>
      </w:r>
      <w:r w:rsidRPr="00B34A68">
        <w:rPr>
          <w:rFonts w:ascii="Palatino Linotype" w:hAnsi="Palatino Linotype" w:cs="Arial"/>
          <w:b/>
          <w:sz w:val="24"/>
        </w:rPr>
        <w:t>RFC</w:t>
      </w:r>
      <w:r w:rsidRPr="00B34A68">
        <w:rPr>
          <w:rFonts w:ascii="Palatino Linotype" w:hAnsi="Palatino Linotype" w:cs="Arial"/>
          <w:sz w:val="24"/>
        </w:rPr>
        <w:t xml:space="preserve"> se vincula al nombre de su titular, permite identificar la edad de la persona, su fecha de nacimiento, así como su homoclave, la cual es única e irrepetible y determina justamente la identificación de dicha persona para efectos fiscales, por lo que éste constituye un dato personal que concierne a una persona física identificada e identificable.</w:t>
      </w:r>
    </w:p>
    <w:p w14:paraId="045553B9" w14:textId="56E2573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lastRenderedPageBreak/>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B34A68">
        <w:rPr>
          <w:rFonts w:ascii="Palatino Linotype" w:hAnsi="Palatino Linotype" w:cs="Arial"/>
          <w:b/>
          <w:sz w:val="24"/>
        </w:rPr>
        <w:t>SO/008/2019</w:t>
      </w:r>
      <w:r w:rsidRPr="00B34A68">
        <w:rPr>
          <w:rFonts w:ascii="Palatino Linotype" w:hAnsi="Palatino Linotype" w:cs="Arial"/>
          <w:sz w:val="24"/>
        </w:rPr>
        <w:t xml:space="preserve"> de la Segunda Época, el cual es del tenor literal siguiente:</w:t>
      </w:r>
    </w:p>
    <w:p w14:paraId="4438BB83" w14:textId="77777777" w:rsidR="00BE4215" w:rsidRPr="00B34A68" w:rsidRDefault="00BE4215" w:rsidP="00747C38">
      <w:pPr>
        <w:spacing w:after="0" w:line="360" w:lineRule="auto"/>
        <w:jc w:val="both"/>
        <w:rPr>
          <w:rFonts w:ascii="Palatino Linotype" w:hAnsi="Palatino Linotype" w:cs="Arial"/>
          <w:sz w:val="24"/>
        </w:rPr>
      </w:pPr>
    </w:p>
    <w:p w14:paraId="5879988D"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
          <w:i/>
        </w:rPr>
        <w:t>“Razón social y RFC de personas morales.</w:t>
      </w:r>
      <w:r w:rsidRPr="00B34A68">
        <w:rPr>
          <w:rFonts w:ascii="Palatino Linotype" w:hAnsi="Palatino Linotype" w:cs="Arial"/>
          <w:i/>
        </w:rPr>
        <w:t xml:space="preserve"> La denominación o razón social de personas morales </w:t>
      </w:r>
      <w:r w:rsidRPr="00B34A68">
        <w:rPr>
          <w:rFonts w:ascii="Palatino Linotype" w:hAnsi="Palatino Linotype" w:cs="Arial"/>
          <w:b/>
          <w:i/>
          <w:u w:val="single"/>
        </w:rPr>
        <w:t>es pública</w:t>
      </w:r>
      <w:r w:rsidRPr="00B34A68">
        <w:rPr>
          <w:rFonts w:ascii="Palatino Linotype" w:hAnsi="Palatino Linotype" w:cs="Arial"/>
          <w:i/>
        </w:rPr>
        <w:t xml:space="preserve">, por encontrarse inscritas en el Registro Público de Comercio; asimismo, </w:t>
      </w:r>
      <w:r w:rsidRPr="00B34A68">
        <w:rPr>
          <w:rFonts w:ascii="Palatino Linotype" w:hAnsi="Palatino Linotype" w:cs="Arial"/>
          <w:i/>
          <w:u w:val="single"/>
        </w:rPr>
        <w:t>su Registro Federal de Contribuyentes (RFC), en principio, también es público</w:t>
      </w:r>
      <w:r w:rsidRPr="00B34A68">
        <w:rPr>
          <w:rFonts w:ascii="Palatino Linotype" w:hAnsi="Palatino Linotype" w:cs="Arial"/>
          <w:i/>
        </w:rPr>
        <w:t>, ya que no se refiere a hechos o actos de carácter económico, contable, jurídico o administrativo que sean útiles o representen una ventaja a sus competidores.</w:t>
      </w:r>
    </w:p>
    <w:p w14:paraId="4BDE49D7"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i/>
        </w:rPr>
        <w:t>Precedentes:</w:t>
      </w:r>
    </w:p>
    <w:p w14:paraId="29C3972C"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4F8B3333"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i/>
        </w:rPr>
        <w:tab/>
        <w:t>Acceso a la información pública. RRA 5402/17. Sesión del 25 de octubre de 2017. Votación por unanimidad. Sin votos disidentes o particulares. Comisión Federal para la Protección contra Riesgos Sanitarios. Comisionado Ponente Rosendoevgueni Monterrey Chepov.</w:t>
      </w:r>
    </w:p>
    <w:p w14:paraId="2A37F88E"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i/>
        </w:rPr>
        <w:t>•</w:t>
      </w:r>
      <w:r w:rsidRPr="00B34A68">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40472EEF" w14:textId="77777777" w:rsidR="00BE4215" w:rsidRPr="00B34A68" w:rsidRDefault="00BE4215" w:rsidP="00747C38">
      <w:pPr>
        <w:spacing w:after="0" w:line="360" w:lineRule="auto"/>
        <w:jc w:val="both"/>
        <w:rPr>
          <w:rFonts w:ascii="Palatino Linotype" w:hAnsi="Palatino Linotype" w:cs="Arial"/>
          <w:sz w:val="24"/>
        </w:rPr>
      </w:pPr>
    </w:p>
    <w:p w14:paraId="05E06E61"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B34A68">
        <w:rPr>
          <w:rFonts w:ascii="Palatino Linotype" w:hAnsi="Palatino Linotype" w:cs="Arial"/>
          <w:sz w:val="24"/>
          <w:lang w:val="es-ES_tradnl"/>
        </w:rPr>
        <w:t>el Sujeto Obligado</w:t>
      </w:r>
      <w:r w:rsidRPr="00B34A68">
        <w:rPr>
          <w:rFonts w:ascii="Palatino Linotype" w:hAnsi="Palatino Linotype" w:cs="Arial"/>
          <w:sz w:val="24"/>
        </w:rPr>
        <w:t xml:space="preserve"> precise las razones objetivas </w:t>
      </w:r>
      <w:r w:rsidRPr="00B34A68">
        <w:rPr>
          <w:rFonts w:ascii="Palatino Linotype" w:hAnsi="Palatino Linotype" w:cs="Arial"/>
          <w:sz w:val="24"/>
        </w:rPr>
        <w:lastRenderedPageBreak/>
        <w:t>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0DF733C4" w14:textId="77777777" w:rsidR="00BE4215" w:rsidRPr="00B34A68" w:rsidRDefault="00BE4215" w:rsidP="00747C38">
      <w:pPr>
        <w:spacing w:after="0" w:line="360" w:lineRule="auto"/>
        <w:jc w:val="both"/>
        <w:rPr>
          <w:rFonts w:ascii="Palatino Linotype" w:hAnsi="Palatino Linotype" w:cs="Arial"/>
          <w:sz w:val="24"/>
        </w:rPr>
      </w:pPr>
    </w:p>
    <w:p w14:paraId="5F89A657"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3EBF4407" w14:textId="77777777" w:rsidR="00BE4215" w:rsidRPr="00B34A68" w:rsidRDefault="00BE4215" w:rsidP="00747C38">
      <w:pPr>
        <w:spacing w:after="0" w:line="360" w:lineRule="auto"/>
        <w:jc w:val="both"/>
        <w:rPr>
          <w:rFonts w:ascii="Palatino Linotype" w:hAnsi="Palatino Linotype" w:cs="Arial"/>
          <w:sz w:val="24"/>
        </w:rPr>
      </w:pPr>
    </w:p>
    <w:p w14:paraId="4AA19403"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Al respecto, el máximo tribunal del país ha establecido jurisprudencia respecto a qué debe entenderse por fundamentación y motivación, en los siguientes términos:</w:t>
      </w:r>
    </w:p>
    <w:p w14:paraId="33B81E44" w14:textId="77777777" w:rsidR="00BE4215" w:rsidRPr="00B34A68" w:rsidRDefault="00BE4215" w:rsidP="00747C38">
      <w:pPr>
        <w:spacing w:after="0" w:line="360" w:lineRule="auto"/>
        <w:jc w:val="both"/>
        <w:rPr>
          <w:rFonts w:ascii="Palatino Linotype" w:hAnsi="Palatino Linotype" w:cs="Arial"/>
          <w:sz w:val="24"/>
        </w:rPr>
      </w:pPr>
    </w:p>
    <w:p w14:paraId="396DF51D"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
          <w:i/>
        </w:rPr>
        <w:t xml:space="preserve">“FUNDAMENTACIÓN Y MOTIVACIÓN. </w:t>
      </w:r>
      <w:r w:rsidRPr="00B34A68">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4A612E47" w14:textId="77777777" w:rsidR="00BE4215" w:rsidRPr="00B34A68" w:rsidRDefault="00BE4215" w:rsidP="00747C38">
      <w:pPr>
        <w:spacing w:after="0" w:line="360" w:lineRule="auto"/>
        <w:jc w:val="both"/>
        <w:rPr>
          <w:rFonts w:ascii="Palatino Linotype" w:hAnsi="Palatino Linotype" w:cs="Arial"/>
          <w:sz w:val="24"/>
        </w:rPr>
      </w:pPr>
    </w:p>
    <w:p w14:paraId="0D394458"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68FFA2AE" w14:textId="77777777" w:rsidR="00BE4215" w:rsidRPr="00B34A68" w:rsidRDefault="00BE4215" w:rsidP="00747C38">
      <w:pPr>
        <w:spacing w:after="0" w:line="360" w:lineRule="auto"/>
        <w:jc w:val="both"/>
        <w:rPr>
          <w:rFonts w:ascii="Palatino Linotype" w:hAnsi="Palatino Linotype" w:cs="Arial"/>
          <w:sz w:val="24"/>
        </w:rPr>
      </w:pPr>
    </w:p>
    <w:p w14:paraId="3210EEB0"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B293F3E" w14:textId="77777777" w:rsidR="00BE4215" w:rsidRPr="00B34A68" w:rsidRDefault="00BE4215" w:rsidP="00747C38">
      <w:pPr>
        <w:spacing w:after="0" w:line="240" w:lineRule="auto"/>
        <w:ind w:left="567" w:right="567"/>
        <w:jc w:val="both"/>
        <w:rPr>
          <w:rFonts w:ascii="Palatino Linotype" w:hAnsi="Palatino Linotype" w:cs="Arial"/>
          <w:i/>
        </w:rPr>
      </w:pPr>
      <w:r w:rsidRPr="00B34A68">
        <w:rPr>
          <w:rFonts w:ascii="Palatino Linotype" w:hAnsi="Palatino Linotype" w:cs="Arial"/>
          <w:b/>
          <w:i/>
        </w:rPr>
        <w:lastRenderedPageBreak/>
        <w:t>“FUNDAMENTACIÓN Y MOTIVACIÓN. EL ASPECTO FORMAL DE LA GARANTÍA Y SU FINALIDAD SE TRADUCEN EN EXPLICAR, JUSTIFICAR, POSIBILITAR LA DEFENSA Y COMUNICAR LA DECISIÓN</w:t>
      </w:r>
      <w:r w:rsidRPr="00B34A68">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86C021E" w14:textId="77777777" w:rsidR="00BE4215" w:rsidRPr="00B34A68" w:rsidRDefault="00BE4215" w:rsidP="00747C38">
      <w:pPr>
        <w:spacing w:after="0" w:line="360" w:lineRule="auto"/>
        <w:jc w:val="both"/>
        <w:rPr>
          <w:rFonts w:ascii="Palatino Linotype" w:hAnsi="Palatino Linotype" w:cs="Arial"/>
          <w:sz w:val="24"/>
        </w:rPr>
      </w:pPr>
    </w:p>
    <w:p w14:paraId="129A1583" w14:textId="77777777" w:rsidR="00BE4215" w:rsidRPr="00B34A68" w:rsidRDefault="00BE4215" w:rsidP="00747C38">
      <w:pPr>
        <w:spacing w:after="0" w:line="360" w:lineRule="auto"/>
        <w:jc w:val="both"/>
        <w:rPr>
          <w:rFonts w:ascii="Palatino Linotype" w:hAnsi="Palatino Linotype" w:cs="Arial"/>
          <w:sz w:val="24"/>
        </w:rPr>
      </w:pPr>
      <w:r w:rsidRPr="00B34A68">
        <w:rPr>
          <w:rFonts w:ascii="Palatino Linotype" w:hAnsi="Palatino Linotype" w:cs="Arial"/>
          <w:sz w:val="24"/>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3C38098C" w14:textId="77777777" w:rsidR="00BE4215" w:rsidRPr="00B34A68" w:rsidRDefault="00BE4215" w:rsidP="00747C38">
      <w:pPr>
        <w:spacing w:after="0" w:line="360" w:lineRule="auto"/>
        <w:jc w:val="both"/>
        <w:rPr>
          <w:rFonts w:ascii="Palatino Linotype" w:hAnsi="Palatino Linotype" w:cs="Arial"/>
          <w:sz w:val="24"/>
        </w:rPr>
      </w:pPr>
    </w:p>
    <w:p w14:paraId="4CD31A39" w14:textId="77777777" w:rsidR="00BE4215" w:rsidRPr="00B34A68" w:rsidRDefault="00BE4215" w:rsidP="00747C38">
      <w:pPr>
        <w:spacing w:after="0" w:line="360" w:lineRule="auto"/>
        <w:jc w:val="both"/>
        <w:rPr>
          <w:rFonts w:ascii="Palatino Linotype" w:hAnsi="Palatino Linotype" w:cs="Arial"/>
          <w:sz w:val="24"/>
          <w:lang w:val="es-ES"/>
        </w:rPr>
      </w:pPr>
      <w:r w:rsidRPr="00B34A68">
        <w:rPr>
          <w:rFonts w:ascii="Palatino Linotype" w:hAnsi="Palatino Linotype" w:cs="Arial"/>
          <w:sz w:val="24"/>
          <w:lang w:val="es-ES"/>
        </w:rPr>
        <w:t>Por lo tanto, la entrega de documentos en su versión pública debe acompañarse necesariamente del Acuerdo del Comité de Transparencia del Sujeto Obligado</w:t>
      </w:r>
      <w:r w:rsidRPr="00B34A68">
        <w:rPr>
          <w:rFonts w:ascii="Palatino Linotype" w:hAnsi="Palatino Linotype" w:cs="Arial"/>
          <w:b/>
          <w:sz w:val="24"/>
          <w:lang w:val="es-ES"/>
        </w:rPr>
        <w:t xml:space="preserve"> </w:t>
      </w:r>
      <w:r w:rsidRPr="00B34A68">
        <w:rPr>
          <w:rFonts w:ascii="Palatino Linotype" w:hAnsi="Palatino Linotype" w:cs="Arial"/>
          <w:sz w:val="24"/>
          <w:lang w:val="es-ES"/>
        </w:rPr>
        <w:t xml:space="preserve">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w:t>
      </w:r>
      <w:r w:rsidRPr="00B34A68">
        <w:rPr>
          <w:rFonts w:ascii="Palatino Linotype" w:hAnsi="Palatino Linotype" w:cs="Arial"/>
          <w:sz w:val="24"/>
          <w:lang w:val="es-ES"/>
        </w:rPr>
        <w:lastRenderedPageBreak/>
        <w:t>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9A1D8CB" w14:textId="77777777" w:rsidR="00BE4215" w:rsidRPr="00B34A68" w:rsidRDefault="00BE4215" w:rsidP="00747C38">
      <w:pPr>
        <w:spacing w:after="0" w:line="360" w:lineRule="auto"/>
        <w:jc w:val="both"/>
        <w:rPr>
          <w:rFonts w:ascii="Palatino Linotype" w:hAnsi="Palatino Linotype" w:cs="Arial"/>
          <w:sz w:val="24"/>
          <w:lang w:val="es-ES"/>
        </w:rPr>
      </w:pPr>
    </w:p>
    <w:p w14:paraId="3106C6A7" w14:textId="1AB73856"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 xml:space="preserve">En mérito de lo expuesto en líneas anteriores, este Instituto considera que los motivos de inconformidad planteados por la parte </w:t>
      </w:r>
      <w:r w:rsidRPr="00B34A68">
        <w:rPr>
          <w:rFonts w:ascii="Palatino Linotype" w:eastAsia="Palatino Linotype" w:hAnsi="Palatino Linotype" w:cs="Palatino Linotype"/>
          <w:b/>
          <w:sz w:val="24"/>
          <w:szCs w:val="24"/>
          <w:lang w:eastAsia="es-MX"/>
        </w:rPr>
        <w:t>Recurrente</w:t>
      </w:r>
      <w:r w:rsidRPr="00B34A68">
        <w:rPr>
          <w:rFonts w:ascii="Palatino Linotype" w:eastAsia="Palatino Linotype" w:hAnsi="Palatino Linotype" w:cs="Palatino Linotype"/>
          <w:sz w:val="24"/>
          <w:szCs w:val="24"/>
          <w:lang w:eastAsia="es-MX"/>
        </w:rPr>
        <w:t xml:space="preserve"> resultan fundados; por ello </w:t>
      </w:r>
      <w:r w:rsidRPr="00B34A68">
        <w:rPr>
          <w:rFonts w:ascii="Palatino Linotype" w:eastAsia="Palatino Linotype" w:hAnsi="Palatino Linotype" w:cs="Palatino Linotype"/>
          <w:b/>
          <w:sz w:val="24"/>
          <w:szCs w:val="24"/>
          <w:lang w:eastAsia="es-MX"/>
        </w:rPr>
        <w:t xml:space="preserve">con fundamento en la segunda hipótesis de la fracción III del artículo 186 </w:t>
      </w:r>
      <w:r w:rsidRPr="00B34A68">
        <w:rPr>
          <w:rFonts w:ascii="Palatino Linotype" w:eastAsia="Palatino Linotype" w:hAnsi="Palatino Linotype" w:cs="Palatino Linotype"/>
          <w:sz w:val="24"/>
          <w:szCs w:val="24"/>
          <w:lang w:eastAsia="es-MX"/>
        </w:rPr>
        <w:t xml:space="preserve">de la Ley de Transparencia y Acceso a la Información Pública del Estado de México y Municipios, se </w:t>
      </w:r>
      <w:r w:rsidRPr="00B34A68">
        <w:rPr>
          <w:rFonts w:ascii="Palatino Linotype" w:eastAsia="Palatino Linotype" w:hAnsi="Palatino Linotype" w:cs="Palatino Linotype"/>
          <w:b/>
          <w:sz w:val="24"/>
          <w:szCs w:val="24"/>
          <w:lang w:eastAsia="es-MX"/>
        </w:rPr>
        <w:t xml:space="preserve">MODIFICA </w:t>
      </w:r>
      <w:r w:rsidRPr="00B34A68">
        <w:rPr>
          <w:rFonts w:ascii="Palatino Linotype" w:eastAsia="Palatino Linotype" w:hAnsi="Palatino Linotype" w:cs="Palatino Linotype"/>
          <w:sz w:val="24"/>
          <w:szCs w:val="24"/>
          <w:lang w:eastAsia="es-MX"/>
        </w:rPr>
        <w:t>la respuesta proporcionada a la solicitud de información número</w:t>
      </w:r>
      <w:r w:rsidRPr="00B34A68">
        <w:rPr>
          <w:rFonts w:ascii="Palatino Linotype" w:eastAsia="Palatino Linotype" w:hAnsi="Palatino Linotype" w:cs="Palatino Linotype"/>
          <w:b/>
          <w:sz w:val="24"/>
          <w:szCs w:val="24"/>
          <w:lang w:eastAsia="es-MX"/>
        </w:rPr>
        <w:t xml:space="preserve"> </w:t>
      </w:r>
      <w:r w:rsidR="009C46A6">
        <w:rPr>
          <w:rFonts w:ascii="Palatino Linotype" w:hAnsi="Palatino Linotype" w:cs="Arial"/>
          <w:b/>
          <w:bCs/>
          <w:sz w:val="24"/>
          <w:szCs w:val="24"/>
        </w:rPr>
        <w:t>00147/TEMOAYA/IP/2024</w:t>
      </w:r>
      <w:r w:rsidRPr="00B34A68">
        <w:rPr>
          <w:rFonts w:ascii="Palatino Linotype" w:eastAsia="Palatino Linotype" w:hAnsi="Palatino Linotype" w:cs="Palatino Linotype"/>
          <w:sz w:val="24"/>
          <w:szCs w:val="24"/>
          <w:lang w:eastAsia="es-MX"/>
        </w:rPr>
        <w:t>,</w:t>
      </w:r>
      <w:r w:rsidRPr="00B34A68">
        <w:rPr>
          <w:rFonts w:ascii="Palatino Linotype" w:eastAsia="Palatino Linotype" w:hAnsi="Palatino Linotype" w:cs="Palatino Linotype"/>
          <w:b/>
          <w:sz w:val="24"/>
          <w:szCs w:val="24"/>
          <w:lang w:eastAsia="es-MX"/>
        </w:rPr>
        <w:t xml:space="preserve"> </w:t>
      </w:r>
      <w:r w:rsidRPr="00B34A68">
        <w:rPr>
          <w:rFonts w:ascii="Palatino Linotype" w:eastAsia="Palatino Linotype" w:hAnsi="Palatino Linotype" w:cs="Palatino Linotype"/>
          <w:sz w:val="24"/>
          <w:szCs w:val="24"/>
          <w:lang w:eastAsia="es-MX"/>
        </w:rPr>
        <w:t>que ha sido materia del presente estudio.</w:t>
      </w:r>
    </w:p>
    <w:p w14:paraId="6BFFC583"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4E49326B"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Por lo antes expuesto y fundado es de resolverse y,</w:t>
      </w:r>
    </w:p>
    <w:p w14:paraId="69200836"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0CE7FB8D" w14:textId="77777777" w:rsidR="00BE4215" w:rsidRPr="00B34A68" w:rsidRDefault="00BE4215" w:rsidP="00747C38">
      <w:pPr>
        <w:pBdr>
          <w:top w:val="nil"/>
          <w:left w:val="nil"/>
          <w:bottom w:val="nil"/>
          <w:right w:val="nil"/>
          <w:between w:val="nil"/>
        </w:pBdr>
        <w:spacing w:after="0" w:line="360" w:lineRule="auto"/>
        <w:jc w:val="center"/>
        <w:rPr>
          <w:rFonts w:ascii="Palatino Linotype" w:eastAsia="Palatino Linotype" w:hAnsi="Palatino Linotype" w:cs="Palatino Linotype"/>
          <w:b/>
          <w:sz w:val="28"/>
          <w:szCs w:val="28"/>
          <w:lang w:eastAsia="es-MX"/>
        </w:rPr>
      </w:pPr>
      <w:r w:rsidRPr="00B34A68">
        <w:rPr>
          <w:rFonts w:ascii="Palatino Linotype" w:eastAsia="Palatino Linotype" w:hAnsi="Palatino Linotype" w:cs="Palatino Linotype"/>
          <w:b/>
          <w:sz w:val="28"/>
          <w:szCs w:val="28"/>
          <w:lang w:eastAsia="es-MX"/>
        </w:rPr>
        <w:t>S E    R E S U E L V E</w:t>
      </w:r>
    </w:p>
    <w:p w14:paraId="3AAA1455" w14:textId="77777777" w:rsidR="00BE4215" w:rsidRPr="00B34A68" w:rsidRDefault="00BE4215" w:rsidP="00747C38">
      <w:pPr>
        <w:pBdr>
          <w:top w:val="nil"/>
          <w:left w:val="nil"/>
          <w:bottom w:val="nil"/>
          <w:right w:val="nil"/>
          <w:between w:val="nil"/>
        </w:pBdr>
        <w:spacing w:after="0" w:line="360" w:lineRule="auto"/>
        <w:jc w:val="center"/>
        <w:rPr>
          <w:rFonts w:ascii="Palatino Linotype" w:eastAsia="Palatino Linotype" w:hAnsi="Palatino Linotype" w:cs="Palatino Linotype"/>
          <w:bCs/>
          <w:sz w:val="24"/>
          <w:szCs w:val="24"/>
          <w:lang w:eastAsia="es-MX"/>
        </w:rPr>
      </w:pPr>
    </w:p>
    <w:p w14:paraId="29DADEFE" w14:textId="46176883"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PRIMERO</w:t>
      </w:r>
      <w:r w:rsidRPr="00B34A68">
        <w:rPr>
          <w:rFonts w:ascii="Palatino Linotype" w:eastAsia="Palatino Linotype" w:hAnsi="Palatino Linotype" w:cs="Palatino Linotype"/>
          <w:b/>
          <w:sz w:val="24"/>
          <w:szCs w:val="24"/>
          <w:lang w:eastAsia="es-MX"/>
        </w:rPr>
        <w:t>.</w:t>
      </w:r>
      <w:r w:rsidRPr="00B34A68">
        <w:rPr>
          <w:rFonts w:ascii="Palatino Linotype" w:eastAsia="Palatino Linotype" w:hAnsi="Palatino Linotype" w:cs="Palatino Linotype"/>
          <w:sz w:val="24"/>
          <w:szCs w:val="24"/>
          <w:lang w:eastAsia="es-MX"/>
        </w:rPr>
        <w:t xml:space="preserve"> Se </w:t>
      </w:r>
      <w:r w:rsidRPr="00B34A68">
        <w:rPr>
          <w:rFonts w:ascii="Palatino Linotype" w:eastAsia="Palatino Linotype" w:hAnsi="Palatino Linotype" w:cs="Palatino Linotype"/>
          <w:b/>
          <w:sz w:val="24"/>
          <w:szCs w:val="24"/>
          <w:lang w:eastAsia="es-MX"/>
        </w:rPr>
        <w:t>MODIFICA</w:t>
      </w:r>
      <w:r w:rsidRPr="00B34A68">
        <w:rPr>
          <w:rFonts w:ascii="Palatino Linotype" w:eastAsia="Palatino Linotype" w:hAnsi="Palatino Linotype" w:cs="Palatino Linotype"/>
          <w:sz w:val="24"/>
          <w:szCs w:val="24"/>
          <w:lang w:eastAsia="es-MX"/>
        </w:rPr>
        <w:t xml:space="preserve"> la respuesta entregada por el </w:t>
      </w:r>
      <w:r w:rsidRPr="00B34A68">
        <w:rPr>
          <w:rFonts w:ascii="Palatino Linotype" w:eastAsia="Palatino Linotype" w:hAnsi="Palatino Linotype" w:cs="Palatino Linotype"/>
          <w:b/>
          <w:sz w:val="24"/>
          <w:szCs w:val="24"/>
          <w:lang w:eastAsia="es-MX"/>
        </w:rPr>
        <w:t xml:space="preserve">Sujeto Obligado </w:t>
      </w:r>
      <w:r w:rsidRPr="00B34A68">
        <w:rPr>
          <w:rFonts w:ascii="Palatino Linotype" w:eastAsia="Palatino Linotype" w:hAnsi="Palatino Linotype" w:cs="Palatino Linotype"/>
          <w:sz w:val="24"/>
          <w:szCs w:val="24"/>
          <w:lang w:eastAsia="es-MX"/>
        </w:rPr>
        <w:t xml:space="preserve">a la solicitud de información </w:t>
      </w:r>
      <w:r w:rsidR="009C46A6">
        <w:rPr>
          <w:rFonts w:ascii="Palatino Linotype" w:hAnsi="Palatino Linotype" w:cs="Arial"/>
          <w:b/>
          <w:bCs/>
          <w:sz w:val="24"/>
          <w:szCs w:val="24"/>
        </w:rPr>
        <w:t>00147/TEMOAYA/IP/2024</w:t>
      </w:r>
      <w:r w:rsidRPr="00B34A68">
        <w:rPr>
          <w:rFonts w:ascii="Palatino Linotype" w:eastAsia="Palatino Linotype" w:hAnsi="Palatino Linotype" w:cs="Palatino Linotype"/>
          <w:sz w:val="24"/>
          <w:szCs w:val="24"/>
          <w:lang w:eastAsia="es-MX"/>
        </w:rPr>
        <w:t xml:space="preserve">, por resultar fundados los motivos de inconformidad argüidos por la parte </w:t>
      </w:r>
      <w:r w:rsidRPr="00B34A68">
        <w:rPr>
          <w:rFonts w:ascii="Palatino Linotype" w:eastAsia="Palatino Linotype" w:hAnsi="Palatino Linotype" w:cs="Palatino Linotype"/>
          <w:b/>
          <w:sz w:val="24"/>
          <w:szCs w:val="24"/>
          <w:lang w:eastAsia="es-MX"/>
        </w:rPr>
        <w:t>Recurrente</w:t>
      </w:r>
      <w:r w:rsidRPr="00B34A68">
        <w:rPr>
          <w:rFonts w:ascii="Palatino Linotype" w:eastAsia="Palatino Linotype" w:hAnsi="Palatino Linotype" w:cs="Palatino Linotype"/>
          <w:sz w:val="24"/>
          <w:szCs w:val="24"/>
          <w:lang w:eastAsia="es-MX"/>
        </w:rPr>
        <w:t>, en términos del considerando</w:t>
      </w:r>
      <w:r w:rsidRPr="00B34A68">
        <w:rPr>
          <w:rFonts w:ascii="Palatino Linotype" w:eastAsia="Palatino Linotype" w:hAnsi="Palatino Linotype" w:cs="Palatino Linotype"/>
          <w:b/>
          <w:sz w:val="24"/>
          <w:szCs w:val="24"/>
          <w:lang w:eastAsia="es-MX"/>
        </w:rPr>
        <w:t xml:space="preserve"> CUARTO </w:t>
      </w:r>
      <w:r w:rsidRPr="00B34A68">
        <w:rPr>
          <w:rFonts w:ascii="Palatino Linotype" w:eastAsia="Palatino Linotype" w:hAnsi="Palatino Linotype" w:cs="Palatino Linotype"/>
          <w:sz w:val="24"/>
          <w:szCs w:val="24"/>
          <w:lang w:eastAsia="es-MX"/>
        </w:rPr>
        <w:t xml:space="preserve">de la presente resolución. </w:t>
      </w:r>
    </w:p>
    <w:p w14:paraId="4CA96F25"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1"/>
          <w:szCs w:val="21"/>
          <w:lang w:eastAsia="es-MX"/>
        </w:rPr>
      </w:pPr>
    </w:p>
    <w:p w14:paraId="1B19B31D" w14:textId="1EF5ACB9"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SEGUNDO</w:t>
      </w:r>
      <w:r w:rsidRPr="00B34A68">
        <w:rPr>
          <w:rFonts w:ascii="Palatino Linotype" w:eastAsia="Palatino Linotype" w:hAnsi="Palatino Linotype" w:cs="Palatino Linotype"/>
          <w:b/>
          <w:sz w:val="24"/>
          <w:szCs w:val="24"/>
          <w:lang w:eastAsia="es-MX"/>
        </w:rPr>
        <w:t>.</w:t>
      </w:r>
      <w:r w:rsidRPr="00B34A68">
        <w:rPr>
          <w:rFonts w:ascii="Palatino Linotype" w:eastAsia="Palatino Linotype" w:hAnsi="Palatino Linotype" w:cs="Palatino Linotype"/>
          <w:sz w:val="24"/>
          <w:szCs w:val="24"/>
          <w:lang w:eastAsia="es-MX"/>
        </w:rPr>
        <w:t xml:space="preserve"> </w:t>
      </w:r>
      <w:r w:rsidR="00C5626B" w:rsidRPr="009027EB">
        <w:rPr>
          <w:rFonts w:ascii="Palatino Linotype" w:eastAsia="Palatino Linotype" w:hAnsi="Palatino Linotype" w:cs="Palatino Linotype"/>
          <w:sz w:val="24"/>
          <w:szCs w:val="24"/>
          <w:lang w:eastAsia="es-MX"/>
        </w:rPr>
        <w:t xml:space="preserve">Se </w:t>
      </w:r>
      <w:r w:rsidR="00C5626B" w:rsidRPr="009027EB">
        <w:rPr>
          <w:rFonts w:ascii="Palatino Linotype" w:eastAsia="Palatino Linotype" w:hAnsi="Palatino Linotype" w:cs="Palatino Linotype"/>
          <w:b/>
          <w:sz w:val="24"/>
          <w:szCs w:val="24"/>
          <w:lang w:eastAsia="es-MX"/>
        </w:rPr>
        <w:t>ORDENA</w:t>
      </w:r>
      <w:r w:rsidR="00C5626B" w:rsidRPr="009027EB">
        <w:rPr>
          <w:rFonts w:ascii="Palatino Linotype" w:eastAsia="Palatino Linotype" w:hAnsi="Palatino Linotype" w:cs="Palatino Linotype"/>
          <w:sz w:val="24"/>
          <w:szCs w:val="24"/>
          <w:lang w:eastAsia="es-MX"/>
        </w:rPr>
        <w:t xml:space="preserve"> al </w:t>
      </w:r>
      <w:r w:rsidR="00C5626B" w:rsidRPr="009027EB">
        <w:rPr>
          <w:rFonts w:ascii="Palatino Linotype" w:eastAsia="Palatino Linotype" w:hAnsi="Palatino Linotype" w:cs="Palatino Linotype"/>
          <w:b/>
          <w:sz w:val="24"/>
          <w:szCs w:val="24"/>
          <w:lang w:eastAsia="es-MX"/>
        </w:rPr>
        <w:t>Sujeto Obligado</w:t>
      </w:r>
      <w:r w:rsidR="00C5626B" w:rsidRPr="009027EB">
        <w:rPr>
          <w:rFonts w:ascii="Palatino Linotype" w:eastAsia="Palatino Linotype" w:hAnsi="Palatino Linotype" w:cs="Palatino Linotype"/>
          <w:sz w:val="24"/>
          <w:szCs w:val="24"/>
          <w:lang w:eastAsia="es-MX"/>
        </w:rPr>
        <w:t xml:space="preserve"> que, haga entrega a la parte </w:t>
      </w:r>
      <w:r w:rsidR="00C5626B" w:rsidRPr="009027EB">
        <w:rPr>
          <w:rFonts w:ascii="Palatino Linotype" w:eastAsia="Palatino Linotype" w:hAnsi="Palatino Linotype" w:cs="Palatino Linotype"/>
          <w:b/>
          <w:sz w:val="24"/>
          <w:szCs w:val="24"/>
          <w:lang w:eastAsia="es-MX"/>
        </w:rPr>
        <w:t>Recurrente</w:t>
      </w:r>
      <w:r w:rsidR="00C5626B" w:rsidRPr="009027EB">
        <w:rPr>
          <w:rFonts w:ascii="Palatino Linotype" w:eastAsia="Palatino Linotype" w:hAnsi="Palatino Linotype" w:cs="Palatino Linotype"/>
          <w:sz w:val="24"/>
          <w:szCs w:val="24"/>
          <w:lang w:eastAsia="es-MX"/>
        </w:rPr>
        <w:t xml:space="preserve"> mediante el Sistema de Acceso a la Información Mexiquense (SAIMEX), en versión pública del soporte documental en que obre</w:t>
      </w:r>
      <w:r w:rsidR="00C5626B">
        <w:rPr>
          <w:rFonts w:ascii="Palatino Linotype" w:eastAsia="Palatino Linotype" w:hAnsi="Palatino Linotype" w:cs="Palatino Linotype"/>
          <w:sz w:val="24"/>
          <w:szCs w:val="24"/>
          <w:lang w:eastAsia="es-MX"/>
        </w:rPr>
        <w:t xml:space="preserve"> </w:t>
      </w:r>
      <w:r w:rsidR="00C5626B" w:rsidRPr="009027EB">
        <w:rPr>
          <w:rFonts w:ascii="Palatino Linotype" w:eastAsia="Palatino Linotype" w:hAnsi="Palatino Linotype" w:cs="Palatino Linotype"/>
          <w:sz w:val="24"/>
          <w:szCs w:val="24"/>
          <w:lang w:eastAsia="es-MX"/>
        </w:rPr>
        <w:t>lo siguiente:</w:t>
      </w:r>
    </w:p>
    <w:p w14:paraId="43F91CC0" w14:textId="7E6F9146"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3115E84C" w14:textId="3D61C1E6" w:rsidR="001B1315" w:rsidRDefault="00C5626B" w:rsidP="00747C38">
      <w:pPr>
        <w:pStyle w:val="Prrafodelista"/>
        <w:numPr>
          <w:ilvl w:val="0"/>
          <w:numId w:val="10"/>
        </w:numPr>
        <w:autoSpaceDE w:val="0"/>
        <w:autoSpaceDN w:val="0"/>
        <w:adjustRightInd w:val="0"/>
        <w:spacing w:line="360" w:lineRule="auto"/>
        <w:jc w:val="both"/>
        <w:rPr>
          <w:rFonts w:ascii="Palatino Linotype" w:hAnsi="Palatino Linotype" w:cs="Arial"/>
        </w:rPr>
      </w:pPr>
      <w:r w:rsidRPr="00C5626B">
        <w:rPr>
          <w:rFonts w:ascii="Palatino Linotype" w:hAnsi="Palatino Linotype" w:cs="Arial"/>
        </w:rPr>
        <w:lastRenderedPageBreak/>
        <w:t>Del secretario particular de presidencia</w:t>
      </w:r>
      <w:r>
        <w:rPr>
          <w:rFonts w:ascii="Palatino Linotype" w:hAnsi="Palatino Linotype" w:cs="Arial"/>
        </w:rPr>
        <w:t xml:space="preserve"> y del </w:t>
      </w:r>
      <w:r w:rsidRPr="00C5626B">
        <w:rPr>
          <w:rFonts w:ascii="Palatino Linotype" w:hAnsi="Palatino Linotype" w:cs="Arial"/>
        </w:rPr>
        <w:t xml:space="preserve">secretario técnico de presidencia </w:t>
      </w:r>
      <w:r>
        <w:rPr>
          <w:rFonts w:ascii="Palatino Linotype" w:hAnsi="Palatino Linotype" w:cs="Arial"/>
        </w:rPr>
        <w:t>el sueldo</w:t>
      </w:r>
      <w:r w:rsidR="00126F69">
        <w:rPr>
          <w:rFonts w:ascii="Palatino Linotype" w:hAnsi="Palatino Linotype" w:cs="Arial"/>
        </w:rPr>
        <w:t xml:space="preserve"> </w:t>
      </w:r>
      <w:r w:rsidR="00126F69" w:rsidRPr="00BF7BF5">
        <w:rPr>
          <w:rFonts w:ascii="Palatino Linotype" w:hAnsi="Palatino Linotype" w:cs="Arial"/>
          <w:highlight w:val="yellow"/>
        </w:rPr>
        <w:t>bruto y neto</w:t>
      </w:r>
      <w:r>
        <w:rPr>
          <w:rFonts w:ascii="Palatino Linotype" w:hAnsi="Palatino Linotype" w:cs="Arial"/>
        </w:rPr>
        <w:t xml:space="preserve"> mensual del mes de octubre de dos mil veinticuatro; y</w:t>
      </w:r>
    </w:p>
    <w:p w14:paraId="7CF0E05C" w14:textId="4D9205C3" w:rsidR="00C5626B" w:rsidRPr="00B34A68" w:rsidRDefault="00C5626B" w:rsidP="00747C38">
      <w:pPr>
        <w:pStyle w:val="Prrafodelista"/>
        <w:numPr>
          <w:ilvl w:val="0"/>
          <w:numId w:val="10"/>
        </w:numPr>
        <w:autoSpaceDE w:val="0"/>
        <w:autoSpaceDN w:val="0"/>
        <w:adjustRightInd w:val="0"/>
        <w:spacing w:line="360" w:lineRule="auto"/>
        <w:jc w:val="both"/>
        <w:rPr>
          <w:rFonts w:ascii="Palatino Linotype" w:hAnsi="Palatino Linotype" w:cs="Arial"/>
        </w:rPr>
      </w:pPr>
      <w:r w:rsidRPr="00C5626B">
        <w:rPr>
          <w:rFonts w:ascii="Palatino Linotype" w:hAnsi="Palatino Linotype" w:cs="Arial"/>
        </w:rPr>
        <w:t>De los secretarios particulares de las Direcciones de área</w:t>
      </w:r>
      <w:r>
        <w:rPr>
          <w:rFonts w:ascii="Palatino Linotype" w:hAnsi="Palatino Linotype" w:cs="Arial"/>
        </w:rPr>
        <w:t>, el</w:t>
      </w:r>
      <w:r w:rsidRPr="00C5626B">
        <w:rPr>
          <w:rFonts w:ascii="Palatino Linotype" w:hAnsi="Palatino Linotype" w:cs="Arial"/>
        </w:rPr>
        <w:t xml:space="preserve"> sueldo</w:t>
      </w:r>
      <w:r w:rsidR="00126F69">
        <w:rPr>
          <w:rFonts w:ascii="Palatino Linotype" w:hAnsi="Palatino Linotype" w:cs="Arial"/>
        </w:rPr>
        <w:t xml:space="preserve"> </w:t>
      </w:r>
      <w:r w:rsidR="00126F69" w:rsidRPr="00BF7BF5">
        <w:rPr>
          <w:rFonts w:ascii="Palatino Linotype" w:hAnsi="Palatino Linotype" w:cs="Arial"/>
          <w:highlight w:val="yellow"/>
        </w:rPr>
        <w:t>bruto y neto</w:t>
      </w:r>
      <w:r w:rsidRPr="00C5626B">
        <w:rPr>
          <w:rFonts w:ascii="Palatino Linotype" w:hAnsi="Palatino Linotype" w:cs="Arial"/>
        </w:rPr>
        <w:t xml:space="preserve"> mensual del mes de octubre de dos mil veinticuatro</w:t>
      </w:r>
      <w:r>
        <w:rPr>
          <w:rFonts w:ascii="Palatino Linotype" w:hAnsi="Palatino Linotype" w:cs="Arial"/>
        </w:rPr>
        <w:t>.</w:t>
      </w:r>
    </w:p>
    <w:p w14:paraId="19252491" w14:textId="40F88526" w:rsidR="001B1315" w:rsidRPr="00B34A68" w:rsidRDefault="001B13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val="es-ES" w:eastAsia="es-MX"/>
        </w:rPr>
      </w:pPr>
    </w:p>
    <w:p w14:paraId="5CE0671D" w14:textId="5940CF8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sz w:val="24"/>
          <w:szCs w:val="24"/>
          <w:lang w:eastAsia="es-MX"/>
        </w:rPr>
        <w:t>Para la entrega en versión pública de la información ordenada,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Recurrente.</w:t>
      </w:r>
    </w:p>
    <w:p w14:paraId="6A6259F0" w14:textId="77777777" w:rsidR="00B34A68" w:rsidRPr="00B34A68" w:rsidRDefault="00B34A68"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A214366" w14:textId="47949D3E" w:rsidR="00B34A68" w:rsidRPr="00B34A68" w:rsidRDefault="00C5626B"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Pr>
          <w:rFonts w:ascii="Palatino Linotype" w:eastAsia="Palatino Linotype" w:hAnsi="Palatino Linotype" w:cs="Palatino Linotype"/>
          <w:sz w:val="24"/>
          <w:szCs w:val="24"/>
          <w:lang w:eastAsia="es-MX"/>
        </w:rPr>
        <w:t>Respecto del numeral 2, en el supuesto de no contar con la información por no haber sido generada, bastará que lo haga del conocimiento en términos del párrafo segundo del artículo 19 de la Ley de Transparencia local.</w:t>
      </w:r>
    </w:p>
    <w:p w14:paraId="26664749" w14:textId="77777777" w:rsidR="007B2B0D" w:rsidRPr="00B34A68" w:rsidRDefault="007B2B0D"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2DF1F32E" w14:textId="7ACDF50C" w:rsidR="00BE4215" w:rsidRPr="00B34A68" w:rsidRDefault="00BE4215" w:rsidP="00747C38">
      <w:pPr>
        <w:spacing w:after="0" w:line="360" w:lineRule="auto"/>
        <w:jc w:val="both"/>
        <w:rPr>
          <w:rFonts w:ascii="Palatino Linotype" w:eastAsia="Times New Roman" w:hAnsi="Palatino Linotype" w:cs="Tahoma"/>
          <w:sz w:val="24"/>
          <w:szCs w:val="24"/>
          <w:lang w:eastAsia="es-ES"/>
        </w:rPr>
      </w:pPr>
      <w:r w:rsidRPr="00B34A68">
        <w:rPr>
          <w:rFonts w:ascii="Palatino Linotype" w:eastAsia="Palatino Linotype" w:hAnsi="Palatino Linotype" w:cs="Palatino Linotype"/>
          <w:b/>
          <w:sz w:val="26"/>
          <w:szCs w:val="26"/>
          <w:lang w:eastAsia="es-MX"/>
        </w:rPr>
        <w:t>TERCERO</w:t>
      </w:r>
      <w:r w:rsidRPr="00B34A68">
        <w:rPr>
          <w:rFonts w:ascii="Palatino Linotype" w:eastAsia="Palatino Linotype" w:hAnsi="Palatino Linotype" w:cs="Palatino Linotype"/>
          <w:b/>
          <w:sz w:val="24"/>
          <w:szCs w:val="24"/>
          <w:lang w:eastAsia="es-MX"/>
        </w:rPr>
        <w:t xml:space="preserve">. </w:t>
      </w:r>
      <w:r w:rsidRPr="00B34A68">
        <w:rPr>
          <w:rFonts w:ascii="Palatino Linotype" w:eastAsia="Times New Roman" w:hAnsi="Palatino Linotype" w:cs="Tahoma"/>
          <w:b/>
          <w:sz w:val="24"/>
          <w:szCs w:val="24"/>
          <w:lang w:eastAsia="es-ES"/>
        </w:rPr>
        <w:t xml:space="preserve">NOTIFÍQUESE </w:t>
      </w:r>
      <w:r w:rsidRPr="00B34A68">
        <w:rPr>
          <w:rFonts w:ascii="Palatino Linotype" w:eastAsia="Times New Roman" w:hAnsi="Palatino Linotype" w:cs="Tahoma"/>
          <w:sz w:val="24"/>
          <w:szCs w:val="24"/>
          <w:lang w:eastAsia="es-ES"/>
        </w:rPr>
        <w:t xml:space="preserve">la presente resolución a través del Sistema de Acceso a la Información Mexiquense (SAIMEX)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w:t>
      </w:r>
      <w:r w:rsidRPr="00B34A68">
        <w:rPr>
          <w:rFonts w:ascii="Palatino Linotype" w:eastAsia="Times New Roman" w:hAnsi="Palatino Linotype" w:cs="Tahoma"/>
          <w:sz w:val="24"/>
          <w:szCs w:val="24"/>
          <w:lang w:eastAsia="es-ES"/>
        </w:rPr>
        <w:lastRenderedPageBreak/>
        <w:t>y 216 de la Ley de Transparencia y Acceso a la Información Pública del Estado de México y Municipios.</w:t>
      </w:r>
    </w:p>
    <w:p w14:paraId="4A3ED940" w14:textId="77777777" w:rsidR="00CC6874" w:rsidRPr="00B34A68" w:rsidRDefault="00CC6874" w:rsidP="00747C38">
      <w:pPr>
        <w:spacing w:after="0" w:line="360" w:lineRule="auto"/>
        <w:jc w:val="both"/>
        <w:rPr>
          <w:rFonts w:ascii="Palatino Linotype" w:eastAsia="Times New Roman" w:hAnsi="Palatino Linotype" w:cs="Tahoma"/>
          <w:sz w:val="24"/>
          <w:szCs w:val="24"/>
          <w:lang w:eastAsia="es-ES"/>
        </w:rPr>
      </w:pPr>
    </w:p>
    <w:p w14:paraId="360AFAB0"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r w:rsidRPr="00B34A68">
        <w:rPr>
          <w:rFonts w:ascii="Palatino Linotype" w:eastAsia="Palatino Linotype" w:hAnsi="Palatino Linotype" w:cs="Palatino Linotype"/>
          <w:b/>
          <w:sz w:val="26"/>
          <w:szCs w:val="26"/>
          <w:lang w:eastAsia="es-MX"/>
        </w:rPr>
        <w:t>CUARTO</w:t>
      </w:r>
      <w:r w:rsidRPr="00B34A68">
        <w:rPr>
          <w:rFonts w:ascii="Palatino Linotype" w:eastAsia="Palatino Linotype" w:hAnsi="Palatino Linotype" w:cs="Palatino Linotype"/>
          <w:b/>
          <w:sz w:val="24"/>
          <w:szCs w:val="24"/>
          <w:lang w:eastAsia="es-MX"/>
        </w:rPr>
        <w:t xml:space="preserve">. </w:t>
      </w:r>
      <w:r w:rsidRPr="00B34A68">
        <w:rPr>
          <w:rFonts w:ascii="Palatino Linotype" w:eastAsia="Palatino Linotype" w:hAnsi="Palatino Linotype" w:cs="Palatino Linotype"/>
          <w:sz w:val="24"/>
          <w:szCs w:val="24"/>
          <w:lang w:eastAsia="es-MX"/>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E3FF6A5" w14:textId="77777777" w:rsidR="00BE4215" w:rsidRPr="00B34A68" w:rsidRDefault="00BE4215" w:rsidP="00747C3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lang w:eastAsia="es-MX"/>
        </w:rPr>
      </w:pPr>
    </w:p>
    <w:p w14:paraId="56E6076F" w14:textId="77777777" w:rsidR="00BE4215" w:rsidRPr="00B34A68" w:rsidRDefault="00BE4215" w:rsidP="00747C38">
      <w:pPr>
        <w:autoSpaceDE w:val="0"/>
        <w:autoSpaceDN w:val="0"/>
        <w:adjustRightInd w:val="0"/>
        <w:spacing w:after="0" w:line="360" w:lineRule="auto"/>
        <w:jc w:val="both"/>
        <w:rPr>
          <w:rFonts w:ascii="Palatino Linotype" w:hAnsi="Palatino Linotype" w:cs="Arial"/>
          <w:sz w:val="24"/>
          <w:szCs w:val="24"/>
        </w:rPr>
      </w:pPr>
      <w:r w:rsidRPr="00B34A68">
        <w:rPr>
          <w:rFonts w:ascii="Palatino Linotype" w:hAnsi="Palatino Linotype"/>
          <w:b/>
          <w:sz w:val="28"/>
          <w:szCs w:val="28"/>
        </w:rPr>
        <w:t>QUINTO</w:t>
      </w:r>
      <w:r w:rsidRPr="00B34A68">
        <w:rPr>
          <w:rFonts w:ascii="Palatino Linotype" w:hAnsi="Palatino Linotype"/>
          <w:b/>
          <w:sz w:val="24"/>
          <w:szCs w:val="24"/>
        </w:rPr>
        <w:t xml:space="preserve">. </w:t>
      </w:r>
      <w:r w:rsidRPr="00B34A68">
        <w:rPr>
          <w:rFonts w:ascii="Palatino Linotype" w:hAnsi="Palatino Linotype" w:cs="Arial"/>
          <w:b/>
          <w:sz w:val="24"/>
          <w:szCs w:val="24"/>
        </w:rPr>
        <w:t>NOTIFÍQUESE</w:t>
      </w:r>
      <w:r w:rsidRPr="00B34A68">
        <w:rPr>
          <w:rFonts w:ascii="Palatino Linotype" w:hAnsi="Palatino Linotype" w:cs="Arial"/>
          <w:sz w:val="24"/>
          <w:szCs w:val="24"/>
        </w:rPr>
        <w:t xml:space="preserve"> a través del Sistema de Acceso a la Información Mexiquense (SAIMEX), a la parte </w:t>
      </w:r>
      <w:r w:rsidRPr="00B34A68">
        <w:rPr>
          <w:rFonts w:ascii="Palatino Linotype" w:hAnsi="Palatino Linotype" w:cs="Arial"/>
          <w:b/>
          <w:sz w:val="24"/>
          <w:szCs w:val="24"/>
        </w:rPr>
        <w:t>Recurrente</w:t>
      </w:r>
      <w:r w:rsidRPr="00B34A68">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189F8832" w14:textId="77777777" w:rsidR="007B2B0D" w:rsidRPr="00B34A68" w:rsidRDefault="007B2B0D" w:rsidP="00747C38">
      <w:pPr>
        <w:spacing w:after="0" w:line="360" w:lineRule="auto"/>
        <w:jc w:val="both"/>
        <w:rPr>
          <w:rFonts w:ascii="Palatino Linotype" w:hAnsi="Palatino Linotype" w:cs="Arial"/>
          <w:sz w:val="24"/>
          <w:szCs w:val="24"/>
        </w:rPr>
      </w:pPr>
    </w:p>
    <w:p w14:paraId="39E09E4E" w14:textId="731B5DA3" w:rsidR="00BE4215" w:rsidRPr="00B34A68" w:rsidRDefault="00BE4215" w:rsidP="00747C38">
      <w:pPr>
        <w:spacing w:after="0" w:line="360" w:lineRule="auto"/>
        <w:jc w:val="both"/>
        <w:rPr>
          <w:rFonts w:ascii="Palatino Linotype" w:hAnsi="Palatino Linotype" w:cs="Arial"/>
          <w:sz w:val="24"/>
          <w:szCs w:val="24"/>
        </w:rPr>
      </w:pPr>
      <w:r w:rsidRPr="00B34A68">
        <w:rPr>
          <w:rFonts w:ascii="Palatino Linotype" w:hAnsi="Palatino Linotype" w:cs="Arial"/>
          <w:sz w:val="24"/>
          <w:szCs w:val="24"/>
        </w:rPr>
        <w:t>ASÍ LO RESUELVE, POR UNANIMIDAD DE VOTOS DEL PLENO DEL</w:t>
      </w:r>
      <w:r w:rsidRPr="00B34A68">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B34A68">
        <w:rPr>
          <w:rFonts w:ascii="Palatino Linotype" w:hAnsi="Palatino Linotype" w:cs="Arial"/>
          <w:sz w:val="24"/>
          <w:szCs w:val="24"/>
        </w:rPr>
        <w:t xml:space="preserve">, CONFORMADO POR LOS COMISIONADOS JOSÉ MARTÍNEZ VILCHIS, MARÍA DEL ROSARIO MEJÍA AYALA, SHARON CRISTINA MORALES MARTÍNEZ, LUIS GUSTAVO PARRA NORIEGA Y GUADALUPE RAMÍREZ PEÑA, EN LA </w:t>
      </w:r>
      <w:r w:rsidR="00A630FA">
        <w:rPr>
          <w:rFonts w:ascii="Palatino Linotype" w:hAnsi="Palatino Linotype" w:cs="Arial"/>
          <w:sz w:val="24"/>
          <w:szCs w:val="24"/>
        </w:rPr>
        <w:t>SEGUNDA</w:t>
      </w:r>
      <w:r w:rsidRPr="00B34A68">
        <w:rPr>
          <w:rFonts w:ascii="Palatino Linotype" w:hAnsi="Palatino Linotype" w:cs="Arial"/>
          <w:sz w:val="24"/>
          <w:szCs w:val="24"/>
        </w:rPr>
        <w:t xml:space="preserve"> SESIÓN ORDINARIA CELEBRADA EL </w:t>
      </w:r>
      <w:r w:rsidR="00A630FA">
        <w:rPr>
          <w:rFonts w:ascii="Palatino Linotype" w:hAnsi="Palatino Linotype" w:cs="Arial"/>
          <w:sz w:val="24"/>
          <w:szCs w:val="24"/>
        </w:rPr>
        <w:t xml:space="preserve">VEINTIDÓS </w:t>
      </w:r>
      <w:r w:rsidRPr="00B34A68">
        <w:rPr>
          <w:rFonts w:ascii="Palatino Linotype" w:hAnsi="Palatino Linotype" w:cs="Arial"/>
          <w:sz w:val="24"/>
          <w:szCs w:val="24"/>
        </w:rPr>
        <w:t xml:space="preserve">DE </w:t>
      </w:r>
      <w:r w:rsidR="00C5626B">
        <w:rPr>
          <w:rFonts w:ascii="Palatino Linotype" w:hAnsi="Palatino Linotype" w:cs="Arial"/>
          <w:sz w:val="24"/>
          <w:szCs w:val="24"/>
        </w:rPr>
        <w:t>ENERO</w:t>
      </w:r>
      <w:r w:rsidRPr="00B34A68">
        <w:rPr>
          <w:rFonts w:ascii="Palatino Linotype" w:hAnsi="Palatino Linotype" w:cs="Arial"/>
          <w:sz w:val="24"/>
          <w:szCs w:val="24"/>
        </w:rPr>
        <w:t xml:space="preserve"> DE DOS MIL VEINTIC</w:t>
      </w:r>
      <w:r w:rsidR="00C5626B">
        <w:rPr>
          <w:rFonts w:ascii="Palatino Linotype" w:hAnsi="Palatino Linotype" w:cs="Arial"/>
          <w:sz w:val="24"/>
          <w:szCs w:val="24"/>
        </w:rPr>
        <w:t>INCO</w:t>
      </w:r>
      <w:r w:rsidRPr="00B34A68">
        <w:rPr>
          <w:rFonts w:ascii="Palatino Linotype" w:hAnsi="Palatino Linotype" w:cs="Arial"/>
          <w:sz w:val="24"/>
          <w:szCs w:val="24"/>
        </w:rPr>
        <w:t>, ANTE EL SECRETARIO TÉCNICO DEL PLENO, ALEXIS TAPIA RAMÍREZ. ---------------------------</w:t>
      </w:r>
      <w:r w:rsidR="00C5626B">
        <w:rPr>
          <w:rFonts w:ascii="Palatino Linotype" w:hAnsi="Palatino Linotype" w:cs="Arial"/>
          <w:sz w:val="24"/>
          <w:szCs w:val="24"/>
        </w:rPr>
        <w:t>---------</w:t>
      </w:r>
      <w:r w:rsidR="00BF7BF5">
        <w:rPr>
          <w:rFonts w:ascii="Palatino Linotype" w:hAnsi="Palatino Linotype" w:cs="Arial"/>
          <w:sz w:val="24"/>
          <w:szCs w:val="24"/>
        </w:rPr>
        <w:t>----------</w:t>
      </w:r>
      <w:r w:rsidR="00C5626B">
        <w:rPr>
          <w:rFonts w:ascii="Palatino Linotype" w:hAnsi="Palatino Linotype" w:cs="Arial"/>
          <w:sz w:val="24"/>
          <w:szCs w:val="24"/>
        </w:rPr>
        <w:t>-------------------------------------</w:t>
      </w:r>
      <w:r w:rsidRPr="00B34A68">
        <w:rPr>
          <w:rFonts w:ascii="Palatino Linotype" w:hAnsi="Palatino Linotype" w:cs="Arial"/>
          <w:sz w:val="24"/>
          <w:szCs w:val="24"/>
        </w:rPr>
        <w:t>---------------</w:t>
      </w:r>
    </w:p>
    <w:p w14:paraId="29034D67" w14:textId="77777777" w:rsidR="00BE4215" w:rsidRPr="00AA0B11" w:rsidRDefault="00BE4215" w:rsidP="00747C38">
      <w:pPr>
        <w:spacing w:after="0" w:line="360" w:lineRule="auto"/>
        <w:jc w:val="both"/>
        <w:rPr>
          <w:rFonts w:ascii="Palatino Linotype" w:hAnsi="Palatino Linotype" w:cs="Arial"/>
          <w:sz w:val="20"/>
        </w:rPr>
      </w:pPr>
      <w:r w:rsidRPr="00B34A68">
        <w:rPr>
          <w:rFonts w:ascii="Palatino Linotype" w:hAnsi="Palatino Linotype" w:cs="Arial"/>
          <w:sz w:val="20"/>
        </w:rPr>
        <w:t>CCR/*</w:t>
      </w:r>
    </w:p>
    <w:p w14:paraId="7EBD3285" w14:textId="77777777" w:rsidR="00BE4215" w:rsidRPr="00AA0B11" w:rsidRDefault="00BE4215" w:rsidP="00747C38">
      <w:pPr>
        <w:spacing w:after="0" w:line="360" w:lineRule="auto"/>
        <w:jc w:val="both"/>
        <w:rPr>
          <w:rFonts w:ascii="Palatino Linotype" w:hAnsi="Palatino Linotype" w:cs="Arial"/>
          <w:sz w:val="24"/>
          <w:szCs w:val="24"/>
        </w:rPr>
      </w:pPr>
    </w:p>
    <w:p w14:paraId="3B48164F" w14:textId="77777777" w:rsidR="00BE4215" w:rsidRPr="00AA0B11" w:rsidRDefault="00BE4215" w:rsidP="00747C38">
      <w:pPr>
        <w:spacing w:after="0" w:line="360" w:lineRule="auto"/>
        <w:jc w:val="both"/>
        <w:rPr>
          <w:rFonts w:ascii="Palatino Linotype" w:hAnsi="Palatino Linotype" w:cs="Arial"/>
          <w:sz w:val="24"/>
          <w:szCs w:val="24"/>
        </w:rPr>
      </w:pPr>
    </w:p>
    <w:p w14:paraId="578CABD7" w14:textId="77777777" w:rsidR="00BE4215" w:rsidRPr="00AA0B11" w:rsidRDefault="00BE4215" w:rsidP="00747C38">
      <w:pPr>
        <w:spacing w:after="0" w:line="360" w:lineRule="auto"/>
        <w:jc w:val="both"/>
        <w:rPr>
          <w:rFonts w:ascii="Palatino Linotype" w:hAnsi="Palatino Linotype" w:cs="Arial"/>
          <w:sz w:val="24"/>
          <w:szCs w:val="24"/>
        </w:rPr>
      </w:pPr>
    </w:p>
    <w:p w14:paraId="4AA93A76" w14:textId="77777777" w:rsidR="00BE4215" w:rsidRPr="00AA0B11" w:rsidRDefault="00BE4215" w:rsidP="00747C38">
      <w:pPr>
        <w:spacing w:after="0"/>
        <w:rPr>
          <w:rFonts w:ascii="Palatino Linotype" w:hAnsi="Palatino Linotype"/>
        </w:rPr>
      </w:pPr>
    </w:p>
    <w:p w14:paraId="59349529" w14:textId="77777777" w:rsidR="00BE4215" w:rsidRPr="00AA0B11" w:rsidRDefault="00BE4215" w:rsidP="00747C38">
      <w:pPr>
        <w:spacing w:after="0"/>
        <w:rPr>
          <w:rFonts w:ascii="Palatino Linotype" w:hAnsi="Palatino Linotype"/>
        </w:rPr>
      </w:pPr>
    </w:p>
    <w:p w14:paraId="514B2CFF" w14:textId="77777777" w:rsidR="00BE4215" w:rsidRPr="00AA0B11" w:rsidRDefault="00BE4215" w:rsidP="00747C38">
      <w:pPr>
        <w:spacing w:after="0"/>
        <w:rPr>
          <w:rFonts w:ascii="Palatino Linotype" w:hAnsi="Palatino Linotype"/>
        </w:rPr>
      </w:pPr>
    </w:p>
    <w:p w14:paraId="4C0A0A14" w14:textId="77777777" w:rsidR="00BE4215" w:rsidRPr="00AA0B11" w:rsidRDefault="00BE4215" w:rsidP="00747C38">
      <w:pPr>
        <w:spacing w:after="0"/>
        <w:rPr>
          <w:rFonts w:ascii="Palatino Linotype" w:hAnsi="Palatino Linotype"/>
        </w:rPr>
      </w:pPr>
    </w:p>
    <w:p w14:paraId="38317A22" w14:textId="77777777" w:rsidR="00BE4215" w:rsidRPr="00AA0B11" w:rsidRDefault="00BE4215" w:rsidP="00747C38">
      <w:pPr>
        <w:spacing w:after="0"/>
        <w:rPr>
          <w:rFonts w:ascii="Palatino Linotype" w:hAnsi="Palatino Linotype"/>
        </w:rPr>
      </w:pPr>
    </w:p>
    <w:p w14:paraId="5D272E29" w14:textId="77777777" w:rsidR="00BE4215" w:rsidRPr="00AA0B11" w:rsidRDefault="00BE4215" w:rsidP="00747C38">
      <w:pPr>
        <w:spacing w:after="0"/>
        <w:rPr>
          <w:rFonts w:ascii="Palatino Linotype" w:hAnsi="Palatino Linotype"/>
        </w:rPr>
      </w:pPr>
    </w:p>
    <w:p w14:paraId="4322C37F" w14:textId="77777777" w:rsidR="00BE4215" w:rsidRPr="00AA0B11" w:rsidRDefault="00BE4215" w:rsidP="00747C38">
      <w:pPr>
        <w:spacing w:after="0"/>
        <w:rPr>
          <w:rFonts w:ascii="Palatino Linotype" w:hAnsi="Palatino Linotype"/>
        </w:rPr>
      </w:pPr>
    </w:p>
    <w:p w14:paraId="27B2A87E" w14:textId="77777777" w:rsidR="00BE4215" w:rsidRPr="00AA0B11" w:rsidRDefault="00BE4215" w:rsidP="00747C38">
      <w:pPr>
        <w:spacing w:after="0"/>
        <w:rPr>
          <w:rFonts w:ascii="Palatino Linotype" w:hAnsi="Palatino Linotype"/>
        </w:rPr>
      </w:pPr>
    </w:p>
    <w:p w14:paraId="0BF6BCF3" w14:textId="77777777" w:rsidR="00BE4215" w:rsidRPr="00AA0B11" w:rsidRDefault="00BE4215" w:rsidP="00747C38">
      <w:pPr>
        <w:spacing w:after="0"/>
        <w:rPr>
          <w:rFonts w:ascii="Palatino Linotype" w:hAnsi="Palatino Linotype"/>
        </w:rPr>
      </w:pPr>
    </w:p>
    <w:p w14:paraId="13BB5B38" w14:textId="77777777" w:rsidR="00BE4215" w:rsidRPr="00AA0B11" w:rsidRDefault="00BE4215" w:rsidP="00747C38">
      <w:pPr>
        <w:spacing w:after="0"/>
        <w:rPr>
          <w:rFonts w:ascii="Palatino Linotype" w:hAnsi="Palatino Linotype"/>
        </w:rPr>
      </w:pPr>
    </w:p>
    <w:p w14:paraId="15A73BE1" w14:textId="77777777" w:rsidR="00BE4215" w:rsidRPr="00AA0B11" w:rsidRDefault="00BE4215" w:rsidP="00747C38">
      <w:pPr>
        <w:spacing w:after="0"/>
        <w:rPr>
          <w:rFonts w:ascii="Palatino Linotype" w:hAnsi="Palatino Linotype"/>
        </w:rPr>
      </w:pPr>
    </w:p>
    <w:p w14:paraId="4BB0D39F" w14:textId="77777777" w:rsidR="00BE4215" w:rsidRPr="00AA0B11" w:rsidRDefault="00BE4215" w:rsidP="00747C38">
      <w:pPr>
        <w:spacing w:after="0"/>
        <w:rPr>
          <w:rFonts w:ascii="Palatino Linotype" w:hAnsi="Palatino Linotype"/>
        </w:rPr>
      </w:pPr>
    </w:p>
    <w:p w14:paraId="59B34D08" w14:textId="77777777" w:rsidR="00BE4215" w:rsidRPr="00AA0B11" w:rsidRDefault="00BE4215" w:rsidP="00747C38">
      <w:pPr>
        <w:spacing w:after="0"/>
        <w:rPr>
          <w:rFonts w:ascii="Palatino Linotype" w:hAnsi="Palatino Linotype"/>
        </w:rPr>
      </w:pPr>
    </w:p>
    <w:p w14:paraId="4E9F16AE" w14:textId="77777777" w:rsidR="00BE4215" w:rsidRPr="00AA0B11" w:rsidRDefault="00BE4215" w:rsidP="00747C38">
      <w:pPr>
        <w:spacing w:after="0"/>
        <w:rPr>
          <w:rFonts w:ascii="Palatino Linotype" w:hAnsi="Palatino Linotype"/>
        </w:rPr>
      </w:pPr>
    </w:p>
    <w:p w14:paraId="4835E4D5" w14:textId="77777777" w:rsidR="00BE4215" w:rsidRPr="00AA0B11" w:rsidRDefault="00BE4215" w:rsidP="00747C38">
      <w:pPr>
        <w:spacing w:after="0"/>
        <w:rPr>
          <w:rFonts w:ascii="Palatino Linotype" w:hAnsi="Palatino Linotype"/>
        </w:rPr>
      </w:pPr>
    </w:p>
    <w:p w14:paraId="56988E21" w14:textId="77777777" w:rsidR="00BE4215" w:rsidRPr="00AA0B11" w:rsidRDefault="00BE4215" w:rsidP="00747C38">
      <w:pPr>
        <w:spacing w:after="0"/>
        <w:rPr>
          <w:rFonts w:ascii="Palatino Linotype" w:hAnsi="Palatino Linotype"/>
        </w:rPr>
      </w:pPr>
    </w:p>
    <w:p w14:paraId="35915E28" w14:textId="77777777" w:rsidR="00BE4215" w:rsidRPr="00AA0B11" w:rsidRDefault="00BE4215" w:rsidP="00747C38">
      <w:pPr>
        <w:spacing w:after="0"/>
        <w:rPr>
          <w:rFonts w:ascii="Palatino Linotype" w:hAnsi="Palatino Linotype"/>
        </w:rPr>
      </w:pPr>
    </w:p>
    <w:p w14:paraId="24D5FA07" w14:textId="77777777" w:rsidR="00BE4215" w:rsidRPr="00AA0B11" w:rsidRDefault="00BE4215" w:rsidP="00747C38">
      <w:pPr>
        <w:spacing w:after="0"/>
        <w:rPr>
          <w:rFonts w:ascii="Palatino Linotype" w:hAnsi="Palatino Linotype"/>
        </w:rPr>
      </w:pPr>
    </w:p>
    <w:p w14:paraId="2AC66B93" w14:textId="77777777" w:rsidR="000E6C00" w:rsidRDefault="000E6C00" w:rsidP="00747C38">
      <w:pPr>
        <w:spacing w:after="0"/>
      </w:pPr>
    </w:p>
    <w:sectPr w:rsidR="000E6C00" w:rsidSect="000E48BC">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4878" w14:textId="77777777" w:rsidR="00DD326F" w:rsidRDefault="00DD326F" w:rsidP="00BE4215">
      <w:pPr>
        <w:spacing w:after="0" w:line="240" w:lineRule="auto"/>
      </w:pPr>
      <w:r>
        <w:separator/>
      </w:r>
    </w:p>
  </w:endnote>
  <w:endnote w:type="continuationSeparator" w:id="0">
    <w:p w14:paraId="10470E25" w14:textId="77777777" w:rsidR="00DD326F" w:rsidRDefault="00DD326F" w:rsidP="00BE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34F76A1" w14:textId="77777777" w:rsidR="00BF7BF5" w:rsidRPr="002D6DD8" w:rsidRDefault="00CD54A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652D4">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652D4">
              <w:rPr>
                <w:rFonts w:ascii="Palatino Linotype" w:hAnsi="Palatino Linotype"/>
                <w:bCs/>
                <w:noProof/>
                <w:sz w:val="20"/>
              </w:rPr>
              <w:t>29</w:t>
            </w:r>
            <w:r>
              <w:rPr>
                <w:rFonts w:ascii="Palatino Linotype" w:hAnsi="Palatino Linotype"/>
                <w:bCs/>
                <w:noProof/>
                <w:sz w:val="20"/>
              </w:rPr>
              <w:fldChar w:fldCharType="end"/>
            </w:r>
          </w:p>
        </w:sdtContent>
      </w:sdt>
    </w:sdtContent>
  </w:sdt>
  <w:p w14:paraId="6A86A752" w14:textId="77777777" w:rsidR="00BF7BF5" w:rsidRDefault="00BF7B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70396" w14:textId="77777777" w:rsidR="00BF7BF5" w:rsidRPr="000B69FA" w:rsidRDefault="00CD54A0" w:rsidP="000E48B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652D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652D4">
      <w:rPr>
        <w:rFonts w:ascii="Palatino Linotype" w:hAnsi="Palatino Linotype"/>
        <w:bCs/>
        <w:noProof/>
        <w:sz w:val="20"/>
      </w:rPr>
      <w:t>29</w:t>
    </w:r>
    <w:r>
      <w:rPr>
        <w:rFonts w:ascii="Palatino Linotype" w:hAnsi="Palatino Linotype"/>
        <w:bCs/>
        <w:noProof/>
        <w:sz w:val="20"/>
      </w:rPr>
      <w:fldChar w:fldCharType="end"/>
    </w:r>
  </w:p>
  <w:p w14:paraId="1CC15737" w14:textId="77777777" w:rsidR="00BF7BF5" w:rsidRDefault="00BF7B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D9CDC" w14:textId="77777777" w:rsidR="00DD326F" w:rsidRDefault="00DD326F" w:rsidP="00BE4215">
      <w:pPr>
        <w:spacing w:after="0" w:line="240" w:lineRule="auto"/>
      </w:pPr>
      <w:r>
        <w:separator/>
      </w:r>
    </w:p>
  </w:footnote>
  <w:footnote w:type="continuationSeparator" w:id="0">
    <w:p w14:paraId="6C510698" w14:textId="77777777" w:rsidR="00DD326F" w:rsidRDefault="00DD326F" w:rsidP="00BE4215">
      <w:pPr>
        <w:spacing w:after="0" w:line="240" w:lineRule="auto"/>
      </w:pPr>
      <w:r>
        <w:continuationSeparator/>
      </w:r>
    </w:p>
  </w:footnote>
  <w:footnote w:id="1">
    <w:p w14:paraId="3AAD0E62" w14:textId="77777777" w:rsidR="00BE4215" w:rsidRPr="002A7358" w:rsidRDefault="00BE4215" w:rsidP="00BE4215">
      <w:pPr>
        <w:pStyle w:val="Textonotapie"/>
        <w:jc w:val="both"/>
        <w:rPr>
          <w:rFonts w:ascii="Palatino Linotype" w:hAnsi="Palatino Linotype"/>
          <w:i/>
          <w:iCs/>
        </w:rPr>
      </w:pPr>
      <w:r>
        <w:rPr>
          <w:rStyle w:val="Refdenotaalpie"/>
        </w:rPr>
        <w:footnoteRef/>
      </w:r>
      <w:r>
        <w:t xml:space="preserve"> </w:t>
      </w:r>
      <w:r w:rsidRPr="002A7358">
        <w:rPr>
          <w:rFonts w:ascii="Palatino Linotype" w:hAnsi="Palatino Linotype"/>
          <w:b/>
          <w:i/>
          <w:iCs/>
        </w:rPr>
        <w:t>Artículo 179.</w:t>
      </w:r>
      <w:r w:rsidRPr="002A7358">
        <w:rPr>
          <w:rFonts w:ascii="Palatino Linotype" w:hAnsi="Palatino Linotype"/>
          <w:i/>
          <w:iCs/>
        </w:rPr>
        <w:t xml:space="preserve"> El recurso de revisión es un medio de protección que la Ley otorga a los particulares, para hacer valer su derecho de acceso a la información pública, y procederá en contra de las siguientes causas:</w:t>
      </w:r>
    </w:p>
    <w:p w14:paraId="1C0D8691" w14:textId="77777777" w:rsidR="00BE4215" w:rsidRDefault="00BE4215" w:rsidP="00BE4215">
      <w:pPr>
        <w:pStyle w:val="Textonotapie"/>
        <w:jc w:val="both"/>
        <w:rPr>
          <w:rFonts w:ascii="Palatino Linotype" w:hAnsi="Palatino Linotype"/>
          <w:i/>
          <w:iCs/>
        </w:rPr>
      </w:pPr>
      <w:r w:rsidRPr="002A7358">
        <w:rPr>
          <w:rFonts w:ascii="Palatino Linotype" w:hAnsi="Palatino Linotype"/>
          <w:b/>
          <w:i/>
          <w:iCs/>
        </w:rPr>
        <w:t>I</w:t>
      </w:r>
      <w:r w:rsidRPr="002A7358">
        <w:rPr>
          <w:rFonts w:ascii="Palatino Linotype" w:hAnsi="Palatino Linotype"/>
          <w:i/>
          <w:iCs/>
        </w:rPr>
        <w:t>.</w:t>
      </w:r>
      <w:r w:rsidRPr="00D229D7">
        <w:rPr>
          <w:rFonts w:ascii="Palatino Linotype" w:hAnsi="Palatino Linotype"/>
          <w:i/>
          <w:iCs/>
        </w:rPr>
        <w:t xml:space="preserve"> </w:t>
      </w:r>
      <w:r>
        <w:rPr>
          <w:rFonts w:ascii="Palatino Linotype" w:hAnsi="Palatino Linotype"/>
          <w:i/>
          <w:iCs/>
        </w:rPr>
        <w:t>…</w:t>
      </w:r>
      <w:r w:rsidRPr="00D229D7">
        <w:rPr>
          <w:rFonts w:ascii="Palatino Linotype" w:hAnsi="Palatino Linotype"/>
          <w:i/>
          <w:iCs/>
        </w:rPr>
        <w:t>;</w:t>
      </w:r>
    </w:p>
    <w:p w14:paraId="4DF02EA9" w14:textId="7B0294A3" w:rsidR="00BE4215" w:rsidRPr="00D229D7" w:rsidRDefault="0068361A" w:rsidP="00BE4215">
      <w:pPr>
        <w:pStyle w:val="Textonotapie"/>
        <w:jc w:val="both"/>
        <w:rPr>
          <w:rFonts w:ascii="Palatino Linotype" w:hAnsi="Palatino Linotype"/>
          <w:i/>
          <w:iCs/>
        </w:rPr>
      </w:pPr>
      <w:r w:rsidRPr="0068361A">
        <w:rPr>
          <w:rFonts w:ascii="Palatino Linotype" w:hAnsi="Palatino Linotype"/>
          <w:b/>
          <w:i/>
          <w:iCs/>
        </w:rPr>
        <w:t>V.</w:t>
      </w:r>
      <w:r w:rsidRPr="0068361A">
        <w:rPr>
          <w:rFonts w:ascii="Palatino Linotype" w:hAnsi="Palatino Linotype"/>
          <w:bCs/>
          <w:i/>
          <w:iCs/>
        </w:rPr>
        <w:t xml:space="preserve"> La entrega de información incompleta</w:t>
      </w:r>
      <w:r w:rsidR="00BE4215" w:rsidRPr="00CF43CE">
        <w:rPr>
          <w:rFonts w:ascii="Palatino Linotype" w:hAnsi="Palatino Linotype"/>
          <w:i/>
          <w:iCs/>
        </w:rPr>
        <w:t>;</w:t>
      </w:r>
    </w:p>
  </w:footnote>
  <w:footnote w:id="2">
    <w:p w14:paraId="58259C9A" w14:textId="7B32194B" w:rsidR="000221E2" w:rsidRPr="000221E2" w:rsidRDefault="000221E2" w:rsidP="000221E2">
      <w:pPr>
        <w:pStyle w:val="Textonotapie"/>
        <w:jc w:val="both"/>
        <w:rPr>
          <w:lang w:val="es-419"/>
        </w:rPr>
      </w:pPr>
      <w:r>
        <w:rPr>
          <w:rStyle w:val="Refdenotaalpie"/>
        </w:rPr>
        <w:footnoteRef/>
      </w:r>
      <w:r w:rsidRPr="000221E2">
        <w:rPr>
          <w:lang w:val="es-419"/>
        </w:rPr>
        <w:t xml:space="preserve"> </w:t>
      </w:r>
      <w:hyperlink r:id="rId1" w:history="1">
        <w:r w:rsidRPr="000221E2">
          <w:rPr>
            <w:rStyle w:val="Hipervnculo"/>
            <w:rFonts w:ascii="Palatino Linotype" w:hAnsi="Palatino Linotype"/>
            <w:lang w:val="es-419"/>
          </w:rPr>
          <w:t>https://www.temoaya.gob.mx/DOC/LGCG/CONAC%202017/CUENTA%20PUBLICA%202016/C.%20INFORMACION%20PROGRAMATICA/2.pdf</w:t>
        </w:r>
      </w:hyperlink>
      <w:r w:rsidRPr="000221E2">
        <w:rPr>
          <w:rFonts w:ascii="Palatino Linotype" w:hAnsi="Palatino Linotype"/>
          <w:lang w:val="es-419"/>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64550" w14:paraId="28A2A272" w14:textId="77777777" w:rsidTr="000E48BC">
      <w:trPr>
        <w:trHeight w:val="227"/>
      </w:trPr>
      <w:tc>
        <w:tcPr>
          <w:tcW w:w="4820" w:type="dxa"/>
          <w:hideMark/>
        </w:tcPr>
        <w:p w14:paraId="123AD5E6" w14:textId="77777777" w:rsidR="00BF7BF5" w:rsidRPr="00641471" w:rsidRDefault="00CD54A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762C9D7C" w14:textId="1F63D521" w:rsidR="00BF7BF5" w:rsidRPr="00641471" w:rsidRDefault="009C46A6"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07445/INFOEM/IP/RR/2024</w:t>
          </w:r>
        </w:p>
      </w:tc>
    </w:tr>
    <w:tr w:rsidR="00264550" w14:paraId="42B44819" w14:textId="77777777" w:rsidTr="000E48BC">
      <w:trPr>
        <w:trHeight w:val="242"/>
      </w:trPr>
      <w:tc>
        <w:tcPr>
          <w:tcW w:w="4820" w:type="dxa"/>
          <w:hideMark/>
        </w:tcPr>
        <w:p w14:paraId="023EC7C2" w14:textId="77777777" w:rsidR="00BF7BF5" w:rsidRPr="00641471" w:rsidRDefault="00CD54A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3D8216DF" w14:textId="76459CCC" w:rsidR="00BF7BF5" w:rsidRPr="00641471" w:rsidRDefault="009C46A6" w:rsidP="000E48BC">
          <w:pPr>
            <w:spacing w:after="120" w:line="256" w:lineRule="auto"/>
            <w:ind w:left="-486" w:right="214" w:firstLine="284"/>
            <w:jc w:val="right"/>
            <w:rPr>
              <w:rFonts w:ascii="Palatino Linotype" w:hAnsi="Palatino Linotype" w:cs="Arial"/>
              <w:b/>
              <w:szCs w:val="20"/>
            </w:rPr>
          </w:pPr>
          <w:r>
            <w:rPr>
              <w:rFonts w:ascii="Palatino Linotype" w:hAnsi="Palatino Linotype" w:cs="Arial"/>
              <w:b/>
              <w:bCs/>
              <w:szCs w:val="20"/>
            </w:rPr>
            <w:t>Ayuntamiento de Temoaya</w:t>
          </w:r>
        </w:p>
      </w:tc>
    </w:tr>
    <w:tr w:rsidR="00264550" w14:paraId="6EE9C47C" w14:textId="77777777" w:rsidTr="000E48BC">
      <w:trPr>
        <w:trHeight w:val="342"/>
      </w:trPr>
      <w:tc>
        <w:tcPr>
          <w:tcW w:w="4820" w:type="dxa"/>
          <w:hideMark/>
        </w:tcPr>
        <w:p w14:paraId="193EC4D2" w14:textId="77777777" w:rsidR="00BF7BF5" w:rsidRPr="00641471" w:rsidRDefault="00CD54A0" w:rsidP="000E48BC">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5103" w:type="dxa"/>
          <w:hideMark/>
        </w:tcPr>
        <w:p w14:paraId="181168AF" w14:textId="77777777" w:rsidR="00BF7BF5" w:rsidRPr="00641471" w:rsidRDefault="00CD54A0" w:rsidP="000E48BC">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1923AAC2" w14:textId="77777777" w:rsidR="00BF7BF5" w:rsidRPr="00AE046A" w:rsidRDefault="00CD54A0" w:rsidP="000E48BC">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4A81F3E7" wp14:editId="7676D2C3">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4820"/>
      <w:gridCol w:w="5103"/>
    </w:tblGrid>
    <w:tr w:rsidR="00264550" w14:paraId="7F0E83F3" w14:textId="77777777" w:rsidTr="000E48BC">
      <w:trPr>
        <w:trHeight w:val="227"/>
      </w:trPr>
      <w:tc>
        <w:tcPr>
          <w:tcW w:w="4820" w:type="dxa"/>
          <w:hideMark/>
        </w:tcPr>
        <w:p w14:paraId="5A33E655" w14:textId="77777777" w:rsidR="00BF7BF5" w:rsidRPr="00641471" w:rsidRDefault="00CD54A0" w:rsidP="000E48BC">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5103" w:type="dxa"/>
          <w:hideMark/>
        </w:tcPr>
        <w:p w14:paraId="141830A2" w14:textId="057E4C9E" w:rsidR="00BF7BF5" w:rsidRPr="00641471" w:rsidRDefault="009C46A6" w:rsidP="003A1B3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07445/INFOEM/IP/RR/2024</w:t>
          </w:r>
        </w:p>
      </w:tc>
    </w:tr>
    <w:tr w:rsidR="00264550" w14:paraId="0FB614AA" w14:textId="77777777" w:rsidTr="000E48BC">
      <w:trPr>
        <w:trHeight w:val="242"/>
      </w:trPr>
      <w:tc>
        <w:tcPr>
          <w:tcW w:w="4820" w:type="dxa"/>
          <w:hideMark/>
        </w:tcPr>
        <w:p w14:paraId="6AE8FDF5" w14:textId="77777777" w:rsidR="00BF7BF5" w:rsidRPr="00641471" w:rsidRDefault="00CD54A0" w:rsidP="000E48BC">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5103" w:type="dxa"/>
          <w:hideMark/>
        </w:tcPr>
        <w:p w14:paraId="07638370" w14:textId="097772DD" w:rsidR="00BF7BF5" w:rsidRPr="00641471" w:rsidRDefault="009C46A6" w:rsidP="00AE6CFE">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Ayuntamiento de Temoaya</w:t>
          </w:r>
        </w:p>
      </w:tc>
    </w:tr>
    <w:tr w:rsidR="00264550" w14:paraId="6948AF79" w14:textId="77777777" w:rsidTr="000E48BC">
      <w:trPr>
        <w:trHeight w:val="342"/>
      </w:trPr>
      <w:tc>
        <w:tcPr>
          <w:tcW w:w="4820" w:type="dxa"/>
        </w:tcPr>
        <w:p w14:paraId="57438158" w14:textId="77777777" w:rsidR="00BF7BF5" w:rsidRPr="00641471" w:rsidRDefault="00CD54A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5103" w:type="dxa"/>
        </w:tcPr>
        <w:p w14:paraId="53C5E0AA" w14:textId="04D002C3" w:rsidR="00BF7BF5" w:rsidRPr="00641471" w:rsidRDefault="00A652D4" w:rsidP="00A652D4">
          <w:pPr>
            <w:spacing w:after="120" w:line="256" w:lineRule="auto"/>
            <w:ind w:left="-486" w:right="214" w:firstLine="567"/>
            <w:jc w:val="right"/>
            <w:rPr>
              <w:rFonts w:ascii="Palatino Linotype" w:hAnsi="Palatino Linotype" w:cs="Arial"/>
              <w:b/>
            </w:rPr>
          </w:pPr>
          <w:r>
            <w:rPr>
              <w:rFonts w:ascii="Palatino Linotype" w:hAnsi="Palatino Linotype" w:cs="Arial"/>
              <w:b/>
            </w:rPr>
            <w:t>XXXXXXXXXXXXXXXXXXXXXXXX</w:t>
          </w:r>
          <w:r w:rsidR="009C46A6" w:rsidRPr="009C46A6">
            <w:rPr>
              <w:rFonts w:ascii="Palatino Linotype" w:hAnsi="Palatino Linotype" w:cs="Arial"/>
              <w:b/>
            </w:rPr>
            <w:t xml:space="preserve"> </w:t>
          </w:r>
          <w:r>
            <w:rPr>
              <w:rFonts w:ascii="Palatino Linotype" w:hAnsi="Palatino Linotype" w:cs="Arial"/>
              <w:b/>
            </w:rPr>
            <w:t>XXXXXXXX</w:t>
          </w:r>
          <w:r w:rsidR="009C46A6" w:rsidRPr="009C46A6">
            <w:rPr>
              <w:rFonts w:ascii="Palatino Linotype" w:hAnsi="Palatino Linotype" w:cs="Arial"/>
              <w:b/>
            </w:rPr>
            <w:t xml:space="preserve"> </w:t>
          </w:r>
          <w:r w:rsidR="00CD54A0">
            <w:rPr>
              <w:rFonts w:ascii="Palatino Linotype" w:hAnsi="Palatino Linotype" w:cs="Arial"/>
              <w:b/>
              <w:noProof/>
              <w:szCs w:val="20"/>
              <w:lang w:eastAsia="es-MX"/>
            </w:rPr>
            <w:drawing>
              <wp:anchor distT="0" distB="0" distL="114300" distR="114300" simplePos="0" relativeHeight="251659264" behindDoc="1" locked="0" layoutInCell="0" allowOverlap="1" wp14:anchorId="4780679E" wp14:editId="2413FE14">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c>
    </w:tr>
    <w:tr w:rsidR="00264550" w14:paraId="2E9E0A70" w14:textId="77777777" w:rsidTr="000E48BC">
      <w:trPr>
        <w:trHeight w:val="342"/>
      </w:trPr>
      <w:tc>
        <w:tcPr>
          <w:tcW w:w="4820" w:type="dxa"/>
        </w:tcPr>
        <w:p w14:paraId="2480AD5E" w14:textId="77777777" w:rsidR="00BF7BF5" w:rsidRPr="00641471" w:rsidRDefault="00CD54A0" w:rsidP="000E48BC">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5103" w:type="dxa"/>
        </w:tcPr>
        <w:p w14:paraId="7787C503" w14:textId="77777777" w:rsidR="00BF7BF5" w:rsidRPr="00641471" w:rsidRDefault="00CD54A0" w:rsidP="000E48BC">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14:paraId="00033864" w14:textId="77777777" w:rsidR="00BF7BF5" w:rsidRPr="00C222C0" w:rsidRDefault="00BF7BF5">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77BF4"/>
    <w:multiLevelType w:val="hybridMultilevel"/>
    <w:tmpl w:val="4710BB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583D1A"/>
    <w:multiLevelType w:val="multilevel"/>
    <w:tmpl w:val="E086F64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26E51C8"/>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6355A15"/>
    <w:multiLevelType w:val="hybridMultilevel"/>
    <w:tmpl w:val="2264A6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9F05D1D"/>
    <w:multiLevelType w:val="hybridMultilevel"/>
    <w:tmpl w:val="FCA04362"/>
    <w:lvl w:ilvl="0" w:tplc="2BD8859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506DBB"/>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AD0230"/>
    <w:multiLevelType w:val="hybridMultilevel"/>
    <w:tmpl w:val="8ABCB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DB7B0A"/>
    <w:multiLevelType w:val="hybridMultilevel"/>
    <w:tmpl w:val="EA683FD6"/>
    <w:lvl w:ilvl="0" w:tplc="394811AA">
      <w:numFmt w:val="bullet"/>
      <w:lvlText w:val="•"/>
      <w:lvlJc w:val="left"/>
      <w:pPr>
        <w:ind w:left="8295" w:hanging="7935"/>
      </w:pPr>
      <w:rPr>
        <w:rFonts w:ascii="Palatino Linotype" w:eastAsiaTheme="minorHAnsi" w:hAnsi="Palatino Linotype"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62120F68"/>
    <w:multiLevelType w:val="multilevel"/>
    <w:tmpl w:val="F2DC611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8"/>
  </w:num>
  <w:num w:numId="3">
    <w:abstractNumId w:val="0"/>
  </w:num>
  <w:num w:numId="4">
    <w:abstractNumId w:val="3"/>
  </w:num>
  <w:num w:numId="5">
    <w:abstractNumId w:val="5"/>
  </w:num>
  <w:num w:numId="6">
    <w:abstractNumId w:val="7"/>
  </w:num>
  <w:num w:numId="7">
    <w:abstractNumId w:val="2"/>
  </w:num>
  <w:num w:numId="8">
    <w:abstractNumId w:val="4"/>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15"/>
    <w:rsid w:val="000221E2"/>
    <w:rsid w:val="00083F50"/>
    <w:rsid w:val="00084E71"/>
    <w:rsid w:val="000B3808"/>
    <w:rsid w:val="000E6C00"/>
    <w:rsid w:val="00126F69"/>
    <w:rsid w:val="00135376"/>
    <w:rsid w:val="00176688"/>
    <w:rsid w:val="001B1315"/>
    <w:rsid w:val="001B58DA"/>
    <w:rsid w:val="001D4923"/>
    <w:rsid w:val="001E6025"/>
    <w:rsid w:val="001F2FC6"/>
    <w:rsid w:val="00261F24"/>
    <w:rsid w:val="0032093C"/>
    <w:rsid w:val="00347C91"/>
    <w:rsid w:val="00362A78"/>
    <w:rsid w:val="003A24A7"/>
    <w:rsid w:val="00453156"/>
    <w:rsid w:val="0047403D"/>
    <w:rsid w:val="004B15F9"/>
    <w:rsid w:val="005E522C"/>
    <w:rsid w:val="00606DB7"/>
    <w:rsid w:val="00633E9A"/>
    <w:rsid w:val="0068361A"/>
    <w:rsid w:val="006C1B97"/>
    <w:rsid w:val="00710C49"/>
    <w:rsid w:val="007355D5"/>
    <w:rsid w:val="0074360E"/>
    <w:rsid w:val="00747C38"/>
    <w:rsid w:val="007B2B0D"/>
    <w:rsid w:val="007F309A"/>
    <w:rsid w:val="00827733"/>
    <w:rsid w:val="00855866"/>
    <w:rsid w:val="008B4F8D"/>
    <w:rsid w:val="008C4F3C"/>
    <w:rsid w:val="009246A4"/>
    <w:rsid w:val="0095579A"/>
    <w:rsid w:val="009C46A6"/>
    <w:rsid w:val="009F6EA6"/>
    <w:rsid w:val="00A03BA8"/>
    <w:rsid w:val="00A630FA"/>
    <w:rsid w:val="00A652D4"/>
    <w:rsid w:val="00B34A68"/>
    <w:rsid w:val="00BE4215"/>
    <w:rsid w:val="00BF7BF5"/>
    <w:rsid w:val="00C0364F"/>
    <w:rsid w:val="00C262DE"/>
    <w:rsid w:val="00C5626B"/>
    <w:rsid w:val="00C93145"/>
    <w:rsid w:val="00CC6874"/>
    <w:rsid w:val="00CD54A0"/>
    <w:rsid w:val="00D3234F"/>
    <w:rsid w:val="00DD326F"/>
    <w:rsid w:val="00DE55B5"/>
    <w:rsid w:val="00EE3F92"/>
    <w:rsid w:val="00EE6B9A"/>
    <w:rsid w:val="00F52670"/>
    <w:rsid w:val="00FC1CC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A217"/>
  <w15:chartTrackingRefBased/>
  <w15:docId w15:val="{BD2499C0-3417-4E13-9687-D592C922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21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21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E4215"/>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E421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E4215"/>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421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421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E421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E421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E4215"/>
    <w:rPr>
      <w:sz w:val="20"/>
      <w:szCs w:val="20"/>
      <w:lang w:val="es-MX"/>
    </w:rPr>
  </w:style>
  <w:style w:type="character" w:styleId="Refdecomentario">
    <w:name w:val="annotation reference"/>
    <w:basedOn w:val="Fuentedeprrafopredeter"/>
    <w:uiPriority w:val="99"/>
    <w:semiHidden/>
    <w:unhideWhenUsed/>
    <w:rsid w:val="00CC6874"/>
    <w:rPr>
      <w:sz w:val="16"/>
      <w:szCs w:val="16"/>
    </w:rPr>
  </w:style>
  <w:style w:type="paragraph" w:styleId="Textocomentario">
    <w:name w:val="annotation text"/>
    <w:basedOn w:val="Normal"/>
    <w:link w:val="TextocomentarioCar"/>
    <w:uiPriority w:val="99"/>
    <w:semiHidden/>
    <w:unhideWhenUsed/>
    <w:rsid w:val="00CC68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687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C6874"/>
    <w:rPr>
      <w:b/>
      <w:bCs/>
    </w:rPr>
  </w:style>
  <w:style w:type="character" w:customStyle="1" w:styleId="AsuntodelcomentarioCar">
    <w:name w:val="Asunto del comentario Car"/>
    <w:basedOn w:val="TextocomentarioCar"/>
    <w:link w:val="Asuntodelcomentario"/>
    <w:uiPriority w:val="99"/>
    <w:semiHidden/>
    <w:rsid w:val="00CC6874"/>
    <w:rPr>
      <w:b/>
      <w:bCs/>
      <w:sz w:val="20"/>
      <w:szCs w:val="20"/>
      <w:lang w:val="es-MX"/>
    </w:rPr>
  </w:style>
  <w:style w:type="table" w:styleId="Tablaconcuadrcula">
    <w:name w:val="Table Grid"/>
    <w:basedOn w:val="Tablanormal"/>
    <w:uiPriority w:val="39"/>
    <w:rsid w:val="001D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21E2"/>
    <w:rPr>
      <w:color w:val="0563C1" w:themeColor="hyperlink"/>
      <w:u w:val="single"/>
    </w:rPr>
  </w:style>
  <w:style w:type="character" w:customStyle="1" w:styleId="UnresolvedMention">
    <w:name w:val="Unresolved Mention"/>
    <w:basedOn w:val="Fuentedeprrafopredeter"/>
    <w:uiPriority w:val="99"/>
    <w:semiHidden/>
    <w:unhideWhenUsed/>
    <w:rsid w:val="00022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moaya.gob.mx/DOC/LGCG/CONAC%202017/CUENTA%20PUBLICA%202016/C.%20INFORMACION%20PROGRAMATICA/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29</Pages>
  <Words>7292</Words>
  <Characters>40112</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INFOEM557</cp:lastModifiedBy>
  <cp:revision>22</cp:revision>
  <dcterms:created xsi:type="dcterms:W3CDTF">2025-01-08T21:57:00Z</dcterms:created>
  <dcterms:modified xsi:type="dcterms:W3CDTF">2025-01-28T17:41:00Z</dcterms:modified>
</cp:coreProperties>
</file>