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155DE9" w14:textId="77777777" w:rsidR="0061734D" w:rsidRDefault="0061734D" w:rsidP="00CA1DBB">
      <w:pPr>
        <w:widowControl w:val="0"/>
        <w:pBdr>
          <w:top w:val="nil"/>
          <w:left w:val="nil"/>
          <w:bottom w:val="nil"/>
          <w:right w:val="nil"/>
          <w:between w:val="nil"/>
        </w:pBdr>
        <w:spacing w:after="0" w:line="276" w:lineRule="auto"/>
        <w:jc w:val="left"/>
      </w:pPr>
    </w:p>
    <w:p w14:paraId="7EF85809" w14:textId="3003986F" w:rsidR="008E65B3" w:rsidRPr="00724A12" w:rsidRDefault="008E65B3" w:rsidP="00CA1DBB">
      <w:pPr>
        <w:pStyle w:val="TtulodeTDC"/>
        <w:spacing w:before="0"/>
        <w:rPr>
          <w:rFonts w:ascii="Palatino Linotype" w:hAnsi="Palatino Linotype"/>
          <w:b/>
          <w:bCs/>
          <w:color w:val="auto"/>
          <w:sz w:val="22"/>
          <w:szCs w:val="22"/>
        </w:rPr>
      </w:pPr>
      <w:r w:rsidRPr="00724A12">
        <w:rPr>
          <w:rFonts w:ascii="Palatino Linotype" w:hAnsi="Palatino Linotype"/>
          <w:b/>
          <w:bCs/>
          <w:color w:val="auto"/>
          <w:sz w:val="22"/>
          <w:szCs w:val="22"/>
        </w:rPr>
        <w:t>Contenido</w:t>
      </w:r>
    </w:p>
    <w:p w14:paraId="6DB2ADE9" w14:textId="231A89BE" w:rsidR="00AA2E07" w:rsidRPr="00724A12" w:rsidRDefault="008E65B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rsidRPr="00724A12">
        <w:fldChar w:fldCharType="begin"/>
      </w:r>
      <w:r w:rsidRPr="00724A12">
        <w:instrText xml:space="preserve"> TOC \o "1-3" \h \z \u </w:instrText>
      </w:r>
      <w:r w:rsidRPr="00724A12">
        <w:fldChar w:fldCharType="separate"/>
      </w:r>
      <w:hyperlink w:anchor="_Toc210314797" w:history="1">
        <w:r w:rsidR="00AA2E07" w:rsidRPr="00724A12">
          <w:rPr>
            <w:rStyle w:val="Hipervnculo"/>
            <w:noProof/>
          </w:rPr>
          <w:t>A N T E C E D E N T E S</w:t>
        </w:r>
        <w:r w:rsidR="00AA2E07" w:rsidRPr="00724A12">
          <w:rPr>
            <w:noProof/>
            <w:webHidden/>
          </w:rPr>
          <w:tab/>
        </w:r>
        <w:r w:rsidR="00AA2E07" w:rsidRPr="00724A12">
          <w:rPr>
            <w:noProof/>
            <w:webHidden/>
          </w:rPr>
          <w:fldChar w:fldCharType="begin"/>
        </w:r>
        <w:r w:rsidR="00AA2E07" w:rsidRPr="00724A12">
          <w:rPr>
            <w:noProof/>
            <w:webHidden/>
          </w:rPr>
          <w:instrText xml:space="preserve"> PAGEREF _Toc210314797 \h </w:instrText>
        </w:r>
        <w:r w:rsidR="00AA2E07" w:rsidRPr="00724A12">
          <w:rPr>
            <w:noProof/>
            <w:webHidden/>
          </w:rPr>
        </w:r>
        <w:r w:rsidR="00AA2E07" w:rsidRPr="00724A12">
          <w:rPr>
            <w:noProof/>
            <w:webHidden/>
          </w:rPr>
          <w:fldChar w:fldCharType="separate"/>
        </w:r>
        <w:r w:rsidR="000E4C9C">
          <w:rPr>
            <w:noProof/>
            <w:webHidden/>
          </w:rPr>
          <w:t>2</w:t>
        </w:r>
        <w:r w:rsidR="00AA2E07" w:rsidRPr="00724A12">
          <w:rPr>
            <w:noProof/>
            <w:webHidden/>
          </w:rPr>
          <w:fldChar w:fldCharType="end"/>
        </w:r>
      </w:hyperlink>
    </w:p>
    <w:p w14:paraId="7AC6BF46" w14:textId="771584F3" w:rsidR="00AA2E07" w:rsidRPr="00724A12" w:rsidRDefault="005D666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798" w:history="1">
        <w:r w:rsidR="00AA2E07" w:rsidRPr="00724A12">
          <w:rPr>
            <w:rStyle w:val="Hipervnculo"/>
            <w:noProof/>
          </w:rPr>
          <w:t>I. Presentación de la solicitud de información</w:t>
        </w:r>
        <w:r w:rsidR="00AA2E07" w:rsidRPr="00724A12">
          <w:rPr>
            <w:noProof/>
            <w:webHidden/>
          </w:rPr>
          <w:tab/>
        </w:r>
        <w:r w:rsidR="00AA2E07" w:rsidRPr="00724A12">
          <w:rPr>
            <w:noProof/>
            <w:webHidden/>
          </w:rPr>
          <w:fldChar w:fldCharType="begin"/>
        </w:r>
        <w:r w:rsidR="00AA2E07" w:rsidRPr="00724A12">
          <w:rPr>
            <w:noProof/>
            <w:webHidden/>
          </w:rPr>
          <w:instrText xml:space="preserve"> PAGEREF _Toc210314798 \h </w:instrText>
        </w:r>
        <w:r w:rsidR="00AA2E07" w:rsidRPr="00724A12">
          <w:rPr>
            <w:noProof/>
            <w:webHidden/>
          </w:rPr>
        </w:r>
        <w:r w:rsidR="00AA2E07" w:rsidRPr="00724A12">
          <w:rPr>
            <w:noProof/>
            <w:webHidden/>
          </w:rPr>
          <w:fldChar w:fldCharType="separate"/>
        </w:r>
        <w:r w:rsidR="000E4C9C">
          <w:rPr>
            <w:noProof/>
            <w:webHidden/>
          </w:rPr>
          <w:t>2</w:t>
        </w:r>
        <w:r w:rsidR="00AA2E07" w:rsidRPr="00724A12">
          <w:rPr>
            <w:noProof/>
            <w:webHidden/>
          </w:rPr>
          <w:fldChar w:fldCharType="end"/>
        </w:r>
      </w:hyperlink>
    </w:p>
    <w:p w14:paraId="35A4D58B" w14:textId="2DBD6229" w:rsidR="00AA2E07" w:rsidRPr="00724A12" w:rsidRDefault="005D666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799" w:history="1">
        <w:r w:rsidR="00AA2E07" w:rsidRPr="00724A12">
          <w:rPr>
            <w:rStyle w:val="Hipervnculo"/>
            <w:noProof/>
          </w:rPr>
          <w:t>II. Respuesta del Sujeto Obligado</w:t>
        </w:r>
        <w:r w:rsidR="00AA2E07" w:rsidRPr="00724A12">
          <w:rPr>
            <w:noProof/>
            <w:webHidden/>
          </w:rPr>
          <w:tab/>
        </w:r>
        <w:r w:rsidR="00AA2E07" w:rsidRPr="00724A12">
          <w:rPr>
            <w:noProof/>
            <w:webHidden/>
          </w:rPr>
          <w:fldChar w:fldCharType="begin"/>
        </w:r>
        <w:r w:rsidR="00AA2E07" w:rsidRPr="00724A12">
          <w:rPr>
            <w:noProof/>
            <w:webHidden/>
          </w:rPr>
          <w:instrText xml:space="preserve"> PAGEREF _Toc210314799 \h </w:instrText>
        </w:r>
        <w:r w:rsidR="00AA2E07" w:rsidRPr="00724A12">
          <w:rPr>
            <w:noProof/>
            <w:webHidden/>
          </w:rPr>
        </w:r>
        <w:r w:rsidR="00AA2E07" w:rsidRPr="00724A12">
          <w:rPr>
            <w:noProof/>
            <w:webHidden/>
          </w:rPr>
          <w:fldChar w:fldCharType="separate"/>
        </w:r>
        <w:r w:rsidR="000E4C9C">
          <w:rPr>
            <w:noProof/>
            <w:webHidden/>
          </w:rPr>
          <w:t>3</w:t>
        </w:r>
        <w:r w:rsidR="00AA2E07" w:rsidRPr="00724A12">
          <w:rPr>
            <w:noProof/>
            <w:webHidden/>
          </w:rPr>
          <w:fldChar w:fldCharType="end"/>
        </w:r>
      </w:hyperlink>
    </w:p>
    <w:p w14:paraId="0FA10BBE" w14:textId="1C4AD069" w:rsidR="00AA2E07" w:rsidRPr="00724A12" w:rsidRDefault="005D666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800" w:history="1">
        <w:r w:rsidR="00AA2E07" w:rsidRPr="00724A12">
          <w:rPr>
            <w:rStyle w:val="Hipervnculo"/>
            <w:noProof/>
          </w:rPr>
          <w:t>III. Interposición del Recurso de Revisión</w:t>
        </w:r>
        <w:r w:rsidR="00AA2E07" w:rsidRPr="00724A12">
          <w:rPr>
            <w:noProof/>
            <w:webHidden/>
          </w:rPr>
          <w:tab/>
        </w:r>
        <w:r w:rsidR="00AA2E07" w:rsidRPr="00724A12">
          <w:rPr>
            <w:noProof/>
            <w:webHidden/>
          </w:rPr>
          <w:fldChar w:fldCharType="begin"/>
        </w:r>
        <w:r w:rsidR="00AA2E07" w:rsidRPr="00724A12">
          <w:rPr>
            <w:noProof/>
            <w:webHidden/>
          </w:rPr>
          <w:instrText xml:space="preserve"> PAGEREF _Toc210314800 \h </w:instrText>
        </w:r>
        <w:r w:rsidR="00AA2E07" w:rsidRPr="00724A12">
          <w:rPr>
            <w:noProof/>
            <w:webHidden/>
          </w:rPr>
        </w:r>
        <w:r w:rsidR="00AA2E07" w:rsidRPr="00724A12">
          <w:rPr>
            <w:noProof/>
            <w:webHidden/>
          </w:rPr>
          <w:fldChar w:fldCharType="separate"/>
        </w:r>
        <w:r w:rsidR="000E4C9C">
          <w:rPr>
            <w:noProof/>
            <w:webHidden/>
          </w:rPr>
          <w:t>3</w:t>
        </w:r>
        <w:r w:rsidR="00AA2E07" w:rsidRPr="00724A12">
          <w:rPr>
            <w:noProof/>
            <w:webHidden/>
          </w:rPr>
          <w:fldChar w:fldCharType="end"/>
        </w:r>
      </w:hyperlink>
    </w:p>
    <w:p w14:paraId="304C2E1F" w14:textId="515F8FFE" w:rsidR="00AA2E07" w:rsidRPr="00724A12" w:rsidRDefault="005D666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801" w:history="1">
        <w:r w:rsidR="00AA2E07" w:rsidRPr="00724A12">
          <w:rPr>
            <w:rStyle w:val="Hipervnculo"/>
            <w:noProof/>
          </w:rPr>
          <w:t>IV. Trámite del Recurso de Revisión ante este Instituto</w:t>
        </w:r>
        <w:r w:rsidR="00AA2E07" w:rsidRPr="00724A12">
          <w:rPr>
            <w:noProof/>
            <w:webHidden/>
          </w:rPr>
          <w:tab/>
        </w:r>
        <w:r w:rsidR="00AA2E07" w:rsidRPr="00724A12">
          <w:rPr>
            <w:noProof/>
            <w:webHidden/>
          </w:rPr>
          <w:fldChar w:fldCharType="begin"/>
        </w:r>
        <w:r w:rsidR="00AA2E07" w:rsidRPr="00724A12">
          <w:rPr>
            <w:noProof/>
            <w:webHidden/>
          </w:rPr>
          <w:instrText xml:space="preserve"> PAGEREF _Toc210314801 \h </w:instrText>
        </w:r>
        <w:r w:rsidR="00AA2E07" w:rsidRPr="00724A12">
          <w:rPr>
            <w:noProof/>
            <w:webHidden/>
          </w:rPr>
        </w:r>
        <w:r w:rsidR="00AA2E07" w:rsidRPr="00724A12">
          <w:rPr>
            <w:noProof/>
            <w:webHidden/>
          </w:rPr>
          <w:fldChar w:fldCharType="separate"/>
        </w:r>
        <w:r w:rsidR="000E4C9C">
          <w:rPr>
            <w:noProof/>
            <w:webHidden/>
          </w:rPr>
          <w:t>4</w:t>
        </w:r>
        <w:r w:rsidR="00AA2E07" w:rsidRPr="00724A12">
          <w:rPr>
            <w:noProof/>
            <w:webHidden/>
          </w:rPr>
          <w:fldChar w:fldCharType="end"/>
        </w:r>
      </w:hyperlink>
    </w:p>
    <w:p w14:paraId="75923AA4" w14:textId="2B1A87E7" w:rsidR="00AA2E07" w:rsidRPr="00724A12" w:rsidRDefault="005D666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802" w:history="1">
        <w:r w:rsidR="00AA2E07" w:rsidRPr="00724A12">
          <w:rPr>
            <w:rStyle w:val="Hipervnculo"/>
            <w:noProof/>
          </w:rPr>
          <w:t>a) Turno del Medio de Impugnación</w:t>
        </w:r>
        <w:r w:rsidR="00AA2E07" w:rsidRPr="00724A12">
          <w:rPr>
            <w:noProof/>
            <w:webHidden/>
          </w:rPr>
          <w:tab/>
        </w:r>
        <w:r w:rsidR="00AA2E07" w:rsidRPr="00724A12">
          <w:rPr>
            <w:noProof/>
            <w:webHidden/>
          </w:rPr>
          <w:fldChar w:fldCharType="begin"/>
        </w:r>
        <w:r w:rsidR="00AA2E07" w:rsidRPr="00724A12">
          <w:rPr>
            <w:noProof/>
            <w:webHidden/>
          </w:rPr>
          <w:instrText xml:space="preserve"> PAGEREF _Toc210314802 \h </w:instrText>
        </w:r>
        <w:r w:rsidR="00AA2E07" w:rsidRPr="00724A12">
          <w:rPr>
            <w:noProof/>
            <w:webHidden/>
          </w:rPr>
        </w:r>
        <w:r w:rsidR="00AA2E07" w:rsidRPr="00724A12">
          <w:rPr>
            <w:noProof/>
            <w:webHidden/>
          </w:rPr>
          <w:fldChar w:fldCharType="separate"/>
        </w:r>
        <w:r w:rsidR="000E4C9C">
          <w:rPr>
            <w:noProof/>
            <w:webHidden/>
          </w:rPr>
          <w:t>4</w:t>
        </w:r>
        <w:r w:rsidR="00AA2E07" w:rsidRPr="00724A12">
          <w:rPr>
            <w:noProof/>
            <w:webHidden/>
          </w:rPr>
          <w:fldChar w:fldCharType="end"/>
        </w:r>
      </w:hyperlink>
    </w:p>
    <w:p w14:paraId="05E0AE8D" w14:textId="28D414BA" w:rsidR="00AA2E07" w:rsidRPr="00724A12" w:rsidRDefault="005D666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803" w:history="1">
        <w:r w:rsidR="00AA2E07" w:rsidRPr="00724A12">
          <w:rPr>
            <w:rStyle w:val="Hipervnculo"/>
            <w:noProof/>
          </w:rPr>
          <w:t>b) Admisión del Recurso de Revisión</w:t>
        </w:r>
        <w:r w:rsidR="00AA2E07" w:rsidRPr="00724A12">
          <w:rPr>
            <w:noProof/>
            <w:webHidden/>
          </w:rPr>
          <w:tab/>
        </w:r>
        <w:r w:rsidR="00AA2E07" w:rsidRPr="00724A12">
          <w:rPr>
            <w:noProof/>
            <w:webHidden/>
          </w:rPr>
          <w:fldChar w:fldCharType="begin"/>
        </w:r>
        <w:r w:rsidR="00AA2E07" w:rsidRPr="00724A12">
          <w:rPr>
            <w:noProof/>
            <w:webHidden/>
          </w:rPr>
          <w:instrText xml:space="preserve"> PAGEREF _Toc210314803 \h </w:instrText>
        </w:r>
        <w:r w:rsidR="00AA2E07" w:rsidRPr="00724A12">
          <w:rPr>
            <w:noProof/>
            <w:webHidden/>
          </w:rPr>
        </w:r>
        <w:r w:rsidR="00AA2E07" w:rsidRPr="00724A12">
          <w:rPr>
            <w:noProof/>
            <w:webHidden/>
          </w:rPr>
          <w:fldChar w:fldCharType="separate"/>
        </w:r>
        <w:r w:rsidR="000E4C9C">
          <w:rPr>
            <w:noProof/>
            <w:webHidden/>
          </w:rPr>
          <w:t>4</w:t>
        </w:r>
        <w:r w:rsidR="00AA2E07" w:rsidRPr="00724A12">
          <w:rPr>
            <w:noProof/>
            <w:webHidden/>
          </w:rPr>
          <w:fldChar w:fldCharType="end"/>
        </w:r>
      </w:hyperlink>
    </w:p>
    <w:p w14:paraId="17950C33" w14:textId="0DBD23D3" w:rsidR="00AA2E07" w:rsidRPr="00724A12" w:rsidRDefault="005D666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804" w:history="1">
        <w:r w:rsidR="00AA2E07" w:rsidRPr="00724A12">
          <w:rPr>
            <w:rStyle w:val="Hipervnculo"/>
            <w:noProof/>
          </w:rPr>
          <w:t>c) Informe Justificado y manifestaciones de la parte Recurrente</w:t>
        </w:r>
        <w:r w:rsidR="00AA2E07" w:rsidRPr="00724A12">
          <w:rPr>
            <w:noProof/>
            <w:webHidden/>
          </w:rPr>
          <w:tab/>
        </w:r>
        <w:r w:rsidR="00AA2E07" w:rsidRPr="00724A12">
          <w:rPr>
            <w:noProof/>
            <w:webHidden/>
          </w:rPr>
          <w:fldChar w:fldCharType="begin"/>
        </w:r>
        <w:r w:rsidR="00AA2E07" w:rsidRPr="00724A12">
          <w:rPr>
            <w:noProof/>
            <w:webHidden/>
          </w:rPr>
          <w:instrText xml:space="preserve"> PAGEREF _Toc210314804 \h </w:instrText>
        </w:r>
        <w:r w:rsidR="00AA2E07" w:rsidRPr="00724A12">
          <w:rPr>
            <w:noProof/>
            <w:webHidden/>
          </w:rPr>
        </w:r>
        <w:r w:rsidR="00AA2E07" w:rsidRPr="00724A12">
          <w:rPr>
            <w:noProof/>
            <w:webHidden/>
          </w:rPr>
          <w:fldChar w:fldCharType="separate"/>
        </w:r>
        <w:r w:rsidR="000E4C9C">
          <w:rPr>
            <w:noProof/>
            <w:webHidden/>
          </w:rPr>
          <w:t>5</w:t>
        </w:r>
        <w:r w:rsidR="00AA2E07" w:rsidRPr="00724A12">
          <w:rPr>
            <w:noProof/>
            <w:webHidden/>
          </w:rPr>
          <w:fldChar w:fldCharType="end"/>
        </w:r>
      </w:hyperlink>
    </w:p>
    <w:p w14:paraId="4C01C41D" w14:textId="19D6EFD5" w:rsidR="00AA2E07" w:rsidRPr="00724A12" w:rsidRDefault="005D666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805" w:history="1">
        <w:r w:rsidR="00AA2E07" w:rsidRPr="00724A12">
          <w:rPr>
            <w:rStyle w:val="Hipervnculo"/>
            <w:noProof/>
          </w:rPr>
          <w:t>d) Ampliación de plazo</w:t>
        </w:r>
        <w:r w:rsidR="00AA2E07" w:rsidRPr="00724A12">
          <w:rPr>
            <w:noProof/>
            <w:webHidden/>
          </w:rPr>
          <w:tab/>
        </w:r>
        <w:r w:rsidR="00AA2E07" w:rsidRPr="00724A12">
          <w:rPr>
            <w:noProof/>
            <w:webHidden/>
          </w:rPr>
          <w:fldChar w:fldCharType="begin"/>
        </w:r>
        <w:r w:rsidR="00AA2E07" w:rsidRPr="00724A12">
          <w:rPr>
            <w:noProof/>
            <w:webHidden/>
          </w:rPr>
          <w:instrText xml:space="preserve"> PAGEREF _Toc210314805 \h </w:instrText>
        </w:r>
        <w:r w:rsidR="00AA2E07" w:rsidRPr="00724A12">
          <w:rPr>
            <w:noProof/>
            <w:webHidden/>
          </w:rPr>
        </w:r>
        <w:r w:rsidR="00AA2E07" w:rsidRPr="00724A12">
          <w:rPr>
            <w:noProof/>
            <w:webHidden/>
          </w:rPr>
          <w:fldChar w:fldCharType="separate"/>
        </w:r>
        <w:r w:rsidR="000E4C9C">
          <w:rPr>
            <w:noProof/>
            <w:webHidden/>
          </w:rPr>
          <w:t>5</w:t>
        </w:r>
        <w:r w:rsidR="00AA2E07" w:rsidRPr="00724A12">
          <w:rPr>
            <w:noProof/>
            <w:webHidden/>
          </w:rPr>
          <w:fldChar w:fldCharType="end"/>
        </w:r>
      </w:hyperlink>
    </w:p>
    <w:p w14:paraId="7ACD603A" w14:textId="6522582D" w:rsidR="00AA2E07" w:rsidRPr="00724A12" w:rsidRDefault="005D666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806" w:history="1">
        <w:r w:rsidR="00AA2E07" w:rsidRPr="00724A12">
          <w:rPr>
            <w:rStyle w:val="Hipervnculo"/>
            <w:noProof/>
          </w:rPr>
          <w:t>e) Requerimiento de Información Adicional</w:t>
        </w:r>
        <w:r w:rsidR="00AA2E07" w:rsidRPr="00724A12">
          <w:rPr>
            <w:noProof/>
            <w:webHidden/>
          </w:rPr>
          <w:tab/>
        </w:r>
        <w:r w:rsidR="00AA2E07" w:rsidRPr="00724A12">
          <w:rPr>
            <w:noProof/>
            <w:webHidden/>
          </w:rPr>
          <w:fldChar w:fldCharType="begin"/>
        </w:r>
        <w:r w:rsidR="00AA2E07" w:rsidRPr="00724A12">
          <w:rPr>
            <w:noProof/>
            <w:webHidden/>
          </w:rPr>
          <w:instrText xml:space="preserve"> PAGEREF _Toc210314806 \h </w:instrText>
        </w:r>
        <w:r w:rsidR="00AA2E07" w:rsidRPr="00724A12">
          <w:rPr>
            <w:noProof/>
            <w:webHidden/>
          </w:rPr>
        </w:r>
        <w:r w:rsidR="00AA2E07" w:rsidRPr="00724A12">
          <w:rPr>
            <w:noProof/>
            <w:webHidden/>
          </w:rPr>
          <w:fldChar w:fldCharType="separate"/>
        </w:r>
        <w:r w:rsidR="000E4C9C">
          <w:rPr>
            <w:noProof/>
            <w:webHidden/>
          </w:rPr>
          <w:t>5</w:t>
        </w:r>
        <w:r w:rsidR="00AA2E07" w:rsidRPr="00724A12">
          <w:rPr>
            <w:noProof/>
            <w:webHidden/>
          </w:rPr>
          <w:fldChar w:fldCharType="end"/>
        </w:r>
      </w:hyperlink>
    </w:p>
    <w:p w14:paraId="33F18D27" w14:textId="44BCD298" w:rsidR="00AA2E07" w:rsidRPr="00724A12" w:rsidRDefault="005D666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807" w:history="1">
        <w:r w:rsidR="00AA2E07" w:rsidRPr="00724A12">
          <w:rPr>
            <w:rStyle w:val="Hipervnculo"/>
            <w:noProof/>
          </w:rPr>
          <w:t>f) Desahogo del Requerimiento de Información Adicional</w:t>
        </w:r>
        <w:r w:rsidR="00AA2E07" w:rsidRPr="00724A12">
          <w:rPr>
            <w:noProof/>
            <w:webHidden/>
          </w:rPr>
          <w:tab/>
        </w:r>
        <w:r w:rsidR="00AA2E07" w:rsidRPr="00724A12">
          <w:rPr>
            <w:noProof/>
            <w:webHidden/>
          </w:rPr>
          <w:fldChar w:fldCharType="begin"/>
        </w:r>
        <w:r w:rsidR="00AA2E07" w:rsidRPr="00724A12">
          <w:rPr>
            <w:noProof/>
            <w:webHidden/>
          </w:rPr>
          <w:instrText xml:space="preserve"> PAGEREF _Toc210314807 \h </w:instrText>
        </w:r>
        <w:r w:rsidR="00AA2E07" w:rsidRPr="00724A12">
          <w:rPr>
            <w:noProof/>
            <w:webHidden/>
          </w:rPr>
        </w:r>
        <w:r w:rsidR="00AA2E07" w:rsidRPr="00724A12">
          <w:rPr>
            <w:noProof/>
            <w:webHidden/>
          </w:rPr>
          <w:fldChar w:fldCharType="separate"/>
        </w:r>
        <w:r w:rsidR="000E4C9C">
          <w:rPr>
            <w:noProof/>
            <w:webHidden/>
          </w:rPr>
          <w:t>6</w:t>
        </w:r>
        <w:r w:rsidR="00AA2E07" w:rsidRPr="00724A12">
          <w:rPr>
            <w:noProof/>
            <w:webHidden/>
          </w:rPr>
          <w:fldChar w:fldCharType="end"/>
        </w:r>
      </w:hyperlink>
    </w:p>
    <w:p w14:paraId="54C0E337" w14:textId="4BAD8D17" w:rsidR="00AA2E07" w:rsidRPr="00724A12" w:rsidRDefault="005D666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808" w:history="1">
        <w:r w:rsidR="00AA2E07" w:rsidRPr="00724A12">
          <w:rPr>
            <w:rStyle w:val="Hipervnculo"/>
            <w:noProof/>
          </w:rPr>
          <w:t>g) Cierre de instrucción</w:t>
        </w:r>
        <w:r w:rsidR="00AA2E07" w:rsidRPr="00724A12">
          <w:rPr>
            <w:noProof/>
            <w:webHidden/>
          </w:rPr>
          <w:tab/>
        </w:r>
        <w:r w:rsidR="00AA2E07" w:rsidRPr="00724A12">
          <w:rPr>
            <w:noProof/>
            <w:webHidden/>
          </w:rPr>
          <w:fldChar w:fldCharType="begin"/>
        </w:r>
        <w:r w:rsidR="00AA2E07" w:rsidRPr="00724A12">
          <w:rPr>
            <w:noProof/>
            <w:webHidden/>
          </w:rPr>
          <w:instrText xml:space="preserve"> PAGEREF _Toc210314808 \h </w:instrText>
        </w:r>
        <w:r w:rsidR="00AA2E07" w:rsidRPr="00724A12">
          <w:rPr>
            <w:noProof/>
            <w:webHidden/>
          </w:rPr>
        </w:r>
        <w:r w:rsidR="00AA2E07" w:rsidRPr="00724A12">
          <w:rPr>
            <w:noProof/>
            <w:webHidden/>
          </w:rPr>
          <w:fldChar w:fldCharType="separate"/>
        </w:r>
        <w:r w:rsidR="000E4C9C">
          <w:rPr>
            <w:noProof/>
            <w:webHidden/>
          </w:rPr>
          <w:t>6</w:t>
        </w:r>
        <w:r w:rsidR="00AA2E07" w:rsidRPr="00724A12">
          <w:rPr>
            <w:noProof/>
            <w:webHidden/>
          </w:rPr>
          <w:fldChar w:fldCharType="end"/>
        </w:r>
      </w:hyperlink>
    </w:p>
    <w:p w14:paraId="06D98ADA" w14:textId="1AEF5D7A" w:rsidR="00AA2E07" w:rsidRPr="00724A12" w:rsidRDefault="005D666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809" w:history="1">
        <w:r w:rsidR="00AA2E07" w:rsidRPr="00724A12">
          <w:rPr>
            <w:rStyle w:val="Hipervnculo"/>
            <w:noProof/>
          </w:rPr>
          <w:t>C O N S I D E R A N D O S</w:t>
        </w:r>
        <w:r w:rsidR="00AA2E07" w:rsidRPr="00724A12">
          <w:rPr>
            <w:noProof/>
            <w:webHidden/>
          </w:rPr>
          <w:tab/>
        </w:r>
        <w:r w:rsidR="00AA2E07" w:rsidRPr="00724A12">
          <w:rPr>
            <w:noProof/>
            <w:webHidden/>
          </w:rPr>
          <w:fldChar w:fldCharType="begin"/>
        </w:r>
        <w:r w:rsidR="00AA2E07" w:rsidRPr="00724A12">
          <w:rPr>
            <w:noProof/>
            <w:webHidden/>
          </w:rPr>
          <w:instrText xml:space="preserve"> PAGEREF _Toc210314809 \h </w:instrText>
        </w:r>
        <w:r w:rsidR="00AA2E07" w:rsidRPr="00724A12">
          <w:rPr>
            <w:noProof/>
            <w:webHidden/>
          </w:rPr>
        </w:r>
        <w:r w:rsidR="00AA2E07" w:rsidRPr="00724A12">
          <w:rPr>
            <w:noProof/>
            <w:webHidden/>
          </w:rPr>
          <w:fldChar w:fldCharType="separate"/>
        </w:r>
        <w:r w:rsidR="000E4C9C">
          <w:rPr>
            <w:noProof/>
            <w:webHidden/>
          </w:rPr>
          <w:t>7</w:t>
        </w:r>
        <w:r w:rsidR="00AA2E07" w:rsidRPr="00724A12">
          <w:rPr>
            <w:noProof/>
            <w:webHidden/>
          </w:rPr>
          <w:fldChar w:fldCharType="end"/>
        </w:r>
      </w:hyperlink>
    </w:p>
    <w:p w14:paraId="62B086D0" w14:textId="50670AD9" w:rsidR="00AA2E07" w:rsidRPr="00724A12" w:rsidRDefault="005D666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810" w:history="1">
        <w:r w:rsidR="00AA2E07" w:rsidRPr="00724A12">
          <w:rPr>
            <w:rStyle w:val="Hipervnculo"/>
            <w:noProof/>
          </w:rPr>
          <w:t>PRIMERO. Competencia</w:t>
        </w:r>
        <w:r w:rsidR="00AA2E07" w:rsidRPr="00724A12">
          <w:rPr>
            <w:noProof/>
            <w:webHidden/>
          </w:rPr>
          <w:tab/>
        </w:r>
        <w:r w:rsidR="00AA2E07" w:rsidRPr="00724A12">
          <w:rPr>
            <w:noProof/>
            <w:webHidden/>
          </w:rPr>
          <w:fldChar w:fldCharType="begin"/>
        </w:r>
        <w:r w:rsidR="00AA2E07" w:rsidRPr="00724A12">
          <w:rPr>
            <w:noProof/>
            <w:webHidden/>
          </w:rPr>
          <w:instrText xml:space="preserve"> PAGEREF _Toc210314810 \h </w:instrText>
        </w:r>
        <w:r w:rsidR="00AA2E07" w:rsidRPr="00724A12">
          <w:rPr>
            <w:noProof/>
            <w:webHidden/>
          </w:rPr>
        </w:r>
        <w:r w:rsidR="00AA2E07" w:rsidRPr="00724A12">
          <w:rPr>
            <w:noProof/>
            <w:webHidden/>
          </w:rPr>
          <w:fldChar w:fldCharType="separate"/>
        </w:r>
        <w:r w:rsidR="000E4C9C">
          <w:rPr>
            <w:noProof/>
            <w:webHidden/>
          </w:rPr>
          <w:t>7</w:t>
        </w:r>
        <w:r w:rsidR="00AA2E07" w:rsidRPr="00724A12">
          <w:rPr>
            <w:noProof/>
            <w:webHidden/>
          </w:rPr>
          <w:fldChar w:fldCharType="end"/>
        </w:r>
      </w:hyperlink>
    </w:p>
    <w:p w14:paraId="2930CD8E" w14:textId="614E879A" w:rsidR="00AA2E07" w:rsidRPr="00724A12" w:rsidRDefault="005D666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811" w:history="1">
        <w:r w:rsidR="00AA2E07" w:rsidRPr="00724A12">
          <w:rPr>
            <w:rStyle w:val="Hipervnculo"/>
            <w:noProof/>
          </w:rPr>
          <w:t>SEGUNDO. Causales de improcedencia y sobreseimiento</w:t>
        </w:r>
        <w:r w:rsidR="00AA2E07" w:rsidRPr="00724A12">
          <w:rPr>
            <w:noProof/>
            <w:webHidden/>
          </w:rPr>
          <w:tab/>
        </w:r>
        <w:r w:rsidR="00AA2E07" w:rsidRPr="00724A12">
          <w:rPr>
            <w:noProof/>
            <w:webHidden/>
          </w:rPr>
          <w:fldChar w:fldCharType="begin"/>
        </w:r>
        <w:r w:rsidR="00AA2E07" w:rsidRPr="00724A12">
          <w:rPr>
            <w:noProof/>
            <w:webHidden/>
          </w:rPr>
          <w:instrText xml:space="preserve"> PAGEREF _Toc210314811 \h </w:instrText>
        </w:r>
        <w:r w:rsidR="00AA2E07" w:rsidRPr="00724A12">
          <w:rPr>
            <w:noProof/>
            <w:webHidden/>
          </w:rPr>
        </w:r>
        <w:r w:rsidR="00AA2E07" w:rsidRPr="00724A12">
          <w:rPr>
            <w:noProof/>
            <w:webHidden/>
          </w:rPr>
          <w:fldChar w:fldCharType="separate"/>
        </w:r>
        <w:r w:rsidR="000E4C9C">
          <w:rPr>
            <w:noProof/>
            <w:webHidden/>
          </w:rPr>
          <w:t>7</w:t>
        </w:r>
        <w:r w:rsidR="00AA2E07" w:rsidRPr="00724A12">
          <w:rPr>
            <w:noProof/>
            <w:webHidden/>
          </w:rPr>
          <w:fldChar w:fldCharType="end"/>
        </w:r>
      </w:hyperlink>
    </w:p>
    <w:p w14:paraId="504A7AF4" w14:textId="6717B8E9" w:rsidR="00AA2E07" w:rsidRPr="00724A12" w:rsidRDefault="005D666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812" w:history="1">
        <w:r w:rsidR="00AA2E07" w:rsidRPr="00724A12">
          <w:rPr>
            <w:rStyle w:val="Hipervnculo"/>
            <w:noProof/>
          </w:rPr>
          <w:t>TERCERO. Determinación de la Controversia</w:t>
        </w:r>
        <w:r w:rsidR="00AA2E07" w:rsidRPr="00724A12">
          <w:rPr>
            <w:noProof/>
            <w:webHidden/>
          </w:rPr>
          <w:tab/>
        </w:r>
        <w:r w:rsidR="00AA2E07" w:rsidRPr="00724A12">
          <w:rPr>
            <w:noProof/>
            <w:webHidden/>
          </w:rPr>
          <w:fldChar w:fldCharType="begin"/>
        </w:r>
        <w:r w:rsidR="00AA2E07" w:rsidRPr="00724A12">
          <w:rPr>
            <w:noProof/>
            <w:webHidden/>
          </w:rPr>
          <w:instrText xml:space="preserve"> PAGEREF _Toc210314812 \h </w:instrText>
        </w:r>
        <w:r w:rsidR="00AA2E07" w:rsidRPr="00724A12">
          <w:rPr>
            <w:noProof/>
            <w:webHidden/>
          </w:rPr>
        </w:r>
        <w:r w:rsidR="00AA2E07" w:rsidRPr="00724A12">
          <w:rPr>
            <w:noProof/>
            <w:webHidden/>
          </w:rPr>
          <w:fldChar w:fldCharType="separate"/>
        </w:r>
        <w:r w:rsidR="000E4C9C">
          <w:rPr>
            <w:noProof/>
            <w:webHidden/>
          </w:rPr>
          <w:t>9</w:t>
        </w:r>
        <w:r w:rsidR="00AA2E07" w:rsidRPr="00724A12">
          <w:rPr>
            <w:noProof/>
            <w:webHidden/>
          </w:rPr>
          <w:fldChar w:fldCharType="end"/>
        </w:r>
      </w:hyperlink>
    </w:p>
    <w:p w14:paraId="545BCF96" w14:textId="541C5843" w:rsidR="00AA2E07" w:rsidRPr="00724A12" w:rsidRDefault="005D666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813" w:history="1">
        <w:r w:rsidR="00AA2E07" w:rsidRPr="00724A12">
          <w:rPr>
            <w:rStyle w:val="Hipervnculo"/>
            <w:noProof/>
          </w:rPr>
          <w:t>CUARTO. Marco normativo aplicable en materia de transparencia y acceso a la información pública</w:t>
        </w:r>
        <w:r w:rsidR="00AA2E07" w:rsidRPr="00724A12">
          <w:rPr>
            <w:noProof/>
            <w:webHidden/>
          </w:rPr>
          <w:tab/>
        </w:r>
        <w:r w:rsidR="00AA2E07" w:rsidRPr="00724A12">
          <w:rPr>
            <w:noProof/>
            <w:webHidden/>
          </w:rPr>
          <w:fldChar w:fldCharType="begin"/>
        </w:r>
        <w:r w:rsidR="00AA2E07" w:rsidRPr="00724A12">
          <w:rPr>
            <w:noProof/>
            <w:webHidden/>
          </w:rPr>
          <w:instrText xml:space="preserve"> PAGEREF _Toc210314813 \h </w:instrText>
        </w:r>
        <w:r w:rsidR="00AA2E07" w:rsidRPr="00724A12">
          <w:rPr>
            <w:noProof/>
            <w:webHidden/>
          </w:rPr>
        </w:r>
        <w:r w:rsidR="00AA2E07" w:rsidRPr="00724A12">
          <w:rPr>
            <w:noProof/>
            <w:webHidden/>
          </w:rPr>
          <w:fldChar w:fldCharType="separate"/>
        </w:r>
        <w:r w:rsidR="000E4C9C">
          <w:rPr>
            <w:noProof/>
            <w:webHidden/>
          </w:rPr>
          <w:t>9</w:t>
        </w:r>
        <w:r w:rsidR="00AA2E07" w:rsidRPr="00724A12">
          <w:rPr>
            <w:noProof/>
            <w:webHidden/>
          </w:rPr>
          <w:fldChar w:fldCharType="end"/>
        </w:r>
      </w:hyperlink>
    </w:p>
    <w:p w14:paraId="61378B60" w14:textId="79F3C5AB" w:rsidR="00AA2E07" w:rsidRPr="00724A12" w:rsidRDefault="005D666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814" w:history="1">
        <w:r w:rsidR="00AA2E07" w:rsidRPr="00724A12">
          <w:rPr>
            <w:rStyle w:val="Hipervnculo"/>
            <w:noProof/>
          </w:rPr>
          <w:t>QUINTO. Estudio de Fondo</w:t>
        </w:r>
        <w:r w:rsidR="00AA2E07" w:rsidRPr="00724A12">
          <w:rPr>
            <w:noProof/>
            <w:webHidden/>
          </w:rPr>
          <w:tab/>
        </w:r>
        <w:r w:rsidR="00AA2E07" w:rsidRPr="00724A12">
          <w:rPr>
            <w:noProof/>
            <w:webHidden/>
          </w:rPr>
          <w:fldChar w:fldCharType="begin"/>
        </w:r>
        <w:r w:rsidR="00AA2E07" w:rsidRPr="00724A12">
          <w:rPr>
            <w:noProof/>
            <w:webHidden/>
          </w:rPr>
          <w:instrText xml:space="preserve"> PAGEREF _Toc210314814 \h </w:instrText>
        </w:r>
        <w:r w:rsidR="00AA2E07" w:rsidRPr="00724A12">
          <w:rPr>
            <w:noProof/>
            <w:webHidden/>
          </w:rPr>
        </w:r>
        <w:r w:rsidR="00AA2E07" w:rsidRPr="00724A12">
          <w:rPr>
            <w:noProof/>
            <w:webHidden/>
          </w:rPr>
          <w:fldChar w:fldCharType="separate"/>
        </w:r>
        <w:r w:rsidR="000E4C9C">
          <w:rPr>
            <w:noProof/>
            <w:webHidden/>
          </w:rPr>
          <w:t>10</w:t>
        </w:r>
        <w:r w:rsidR="00AA2E07" w:rsidRPr="00724A12">
          <w:rPr>
            <w:noProof/>
            <w:webHidden/>
          </w:rPr>
          <w:fldChar w:fldCharType="end"/>
        </w:r>
      </w:hyperlink>
    </w:p>
    <w:p w14:paraId="2AEAD292" w14:textId="68870596" w:rsidR="00AA2E07" w:rsidRPr="00724A12" w:rsidRDefault="005D666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815" w:history="1">
        <w:r w:rsidR="00AA2E07" w:rsidRPr="00724A12">
          <w:rPr>
            <w:rStyle w:val="Hipervnculo"/>
            <w:noProof/>
          </w:rPr>
          <w:t>SEXTO. Decisión.</w:t>
        </w:r>
        <w:r w:rsidR="00AA2E07" w:rsidRPr="00724A12">
          <w:rPr>
            <w:noProof/>
            <w:webHidden/>
          </w:rPr>
          <w:tab/>
        </w:r>
        <w:r w:rsidR="00AA2E07" w:rsidRPr="00724A12">
          <w:rPr>
            <w:noProof/>
            <w:webHidden/>
          </w:rPr>
          <w:fldChar w:fldCharType="begin"/>
        </w:r>
        <w:r w:rsidR="00AA2E07" w:rsidRPr="00724A12">
          <w:rPr>
            <w:noProof/>
            <w:webHidden/>
          </w:rPr>
          <w:instrText xml:space="preserve"> PAGEREF _Toc210314815 \h </w:instrText>
        </w:r>
        <w:r w:rsidR="00AA2E07" w:rsidRPr="00724A12">
          <w:rPr>
            <w:noProof/>
            <w:webHidden/>
          </w:rPr>
        </w:r>
        <w:r w:rsidR="00AA2E07" w:rsidRPr="00724A12">
          <w:rPr>
            <w:noProof/>
            <w:webHidden/>
          </w:rPr>
          <w:fldChar w:fldCharType="separate"/>
        </w:r>
        <w:r w:rsidR="000E4C9C">
          <w:rPr>
            <w:noProof/>
            <w:webHidden/>
          </w:rPr>
          <w:t>35</w:t>
        </w:r>
        <w:r w:rsidR="00AA2E07" w:rsidRPr="00724A12">
          <w:rPr>
            <w:noProof/>
            <w:webHidden/>
          </w:rPr>
          <w:fldChar w:fldCharType="end"/>
        </w:r>
      </w:hyperlink>
    </w:p>
    <w:p w14:paraId="0D9CE5B6" w14:textId="339C02B6" w:rsidR="00AA2E07" w:rsidRPr="00724A12" w:rsidRDefault="005D666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816" w:history="1">
        <w:r w:rsidR="00AA2E07" w:rsidRPr="00724A12">
          <w:rPr>
            <w:rStyle w:val="Hipervnculo"/>
            <w:noProof/>
          </w:rPr>
          <w:t>R E S U E L V E</w:t>
        </w:r>
        <w:r w:rsidR="00AA2E07" w:rsidRPr="00724A12">
          <w:rPr>
            <w:noProof/>
            <w:webHidden/>
          </w:rPr>
          <w:tab/>
        </w:r>
        <w:r w:rsidR="00AA2E07" w:rsidRPr="00724A12">
          <w:rPr>
            <w:noProof/>
            <w:webHidden/>
          </w:rPr>
          <w:fldChar w:fldCharType="begin"/>
        </w:r>
        <w:r w:rsidR="00AA2E07" w:rsidRPr="00724A12">
          <w:rPr>
            <w:noProof/>
            <w:webHidden/>
          </w:rPr>
          <w:instrText xml:space="preserve"> PAGEREF _Toc210314816 \h </w:instrText>
        </w:r>
        <w:r w:rsidR="00AA2E07" w:rsidRPr="00724A12">
          <w:rPr>
            <w:noProof/>
            <w:webHidden/>
          </w:rPr>
        </w:r>
        <w:r w:rsidR="00AA2E07" w:rsidRPr="00724A12">
          <w:rPr>
            <w:noProof/>
            <w:webHidden/>
          </w:rPr>
          <w:fldChar w:fldCharType="separate"/>
        </w:r>
        <w:r w:rsidR="000E4C9C">
          <w:rPr>
            <w:noProof/>
            <w:webHidden/>
          </w:rPr>
          <w:t>36</w:t>
        </w:r>
        <w:r w:rsidR="00AA2E07" w:rsidRPr="00724A12">
          <w:rPr>
            <w:noProof/>
            <w:webHidden/>
          </w:rPr>
          <w:fldChar w:fldCharType="end"/>
        </w:r>
      </w:hyperlink>
    </w:p>
    <w:p w14:paraId="18565F1D" w14:textId="57253335" w:rsidR="008E65B3" w:rsidRPr="00724A12" w:rsidRDefault="008E65B3" w:rsidP="00CA1DBB">
      <w:pPr>
        <w:spacing w:after="0"/>
      </w:pPr>
      <w:r w:rsidRPr="00724A12">
        <w:rPr>
          <w:b/>
          <w:bCs/>
        </w:rPr>
        <w:fldChar w:fldCharType="end"/>
      </w:r>
    </w:p>
    <w:p w14:paraId="2D861644" w14:textId="77777777" w:rsidR="00881807" w:rsidRPr="00724A12" w:rsidRDefault="0095797A" w:rsidP="00CA1DBB">
      <w:pPr>
        <w:spacing w:after="0" w:line="360" w:lineRule="auto"/>
        <w:ind w:right="142"/>
      </w:pPr>
      <w:r w:rsidRPr="00724A12">
        <w:br w:type="page"/>
      </w:r>
    </w:p>
    <w:p w14:paraId="0020809C" w14:textId="7E8B1091" w:rsidR="00881807" w:rsidRPr="00724A12" w:rsidRDefault="0095797A" w:rsidP="00CA1DBB">
      <w:pPr>
        <w:spacing w:after="0" w:line="360" w:lineRule="auto"/>
        <w:ind w:right="142"/>
      </w:pPr>
      <w:r w:rsidRPr="00724A12">
        <w:lastRenderedPageBreak/>
        <w:t xml:space="preserve">Resolución del Pleno del Instituto de Transparencia, Acceso a la Información Pública y Protección de Datos Personales del Estado de México y Municipios, con domicilio en Metepec, Estado de México, de fecha </w:t>
      </w:r>
      <w:r w:rsidR="00BE2AB2" w:rsidRPr="00724A12">
        <w:t>primero</w:t>
      </w:r>
      <w:r w:rsidRPr="00724A12">
        <w:t xml:space="preserve"> de </w:t>
      </w:r>
      <w:r w:rsidR="00BE2AB2" w:rsidRPr="00724A12">
        <w:t>octubre</w:t>
      </w:r>
      <w:r w:rsidRPr="00724A12">
        <w:t xml:space="preserve"> de dos mil veinticinco.</w:t>
      </w:r>
    </w:p>
    <w:p w14:paraId="79F28FA6" w14:textId="77777777" w:rsidR="00881807" w:rsidRPr="00724A12" w:rsidRDefault="00881807" w:rsidP="00CA1DBB">
      <w:pPr>
        <w:spacing w:after="0" w:line="360" w:lineRule="auto"/>
        <w:ind w:right="142"/>
        <w:rPr>
          <w:b/>
        </w:rPr>
      </w:pPr>
    </w:p>
    <w:p w14:paraId="697DCF3C" w14:textId="6B4EB3FB" w:rsidR="00881807" w:rsidRPr="00724A12" w:rsidRDefault="0095797A" w:rsidP="00CA1DBB">
      <w:pPr>
        <w:spacing w:after="0" w:line="360" w:lineRule="auto"/>
        <w:ind w:right="142"/>
      </w:pPr>
      <w:r w:rsidRPr="00724A12">
        <w:rPr>
          <w:b/>
        </w:rPr>
        <w:t>VISTO</w:t>
      </w:r>
      <w:r w:rsidRPr="00724A12">
        <w:t xml:space="preserve"> el expediente conformado con motivo </w:t>
      </w:r>
      <w:r w:rsidR="00142E20" w:rsidRPr="00724A12">
        <w:t>del</w:t>
      </w:r>
      <w:r w:rsidRPr="00724A12">
        <w:t xml:space="preserve"> Recurso de Revisión </w:t>
      </w:r>
      <w:r w:rsidR="00A46BDA" w:rsidRPr="00724A12">
        <w:rPr>
          <w:b/>
          <w:bCs/>
        </w:rPr>
        <w:t>05171</w:t>
      </w:r>
      <w:r w:rsidR="001212DE" w:rsidRPr="00724A12">
        <w:rPr>
          <w:b/>
          <w:bCs/>
        </w:rPr>
        <w:t>/INFOEM/IP/RR/2025</w:t>
      </w:r>
      <w:r w:rsidRPr="00724A12">
        <w:t xml:space="preserve">, interpuesto </w:t>
      </w:r>
      <w:r w:rsidR="00F3151C" w:rsidRPr="00724A12">
        <w:t>por</w:t>
      </w:r>
      <w:r w:rsidR="007B3637" w:rsidRPr="00724A12">
        <w:t xml:space="preserve"> </w:t>
      </w:r>
      <w:r w:rsidR="0017768A" w:rsidRPr="0017768A">
        <w:rPr>
          <w:b/>
          <w:bCs/>
          <w:highlight w:val="black"/>
        </w:rPr>
        <w:t>XXXXXXXXXXX</w:t>
      </w:r>
      <w:bookmarkStart w:id="0" w:name="_GoBack"/>
      <w:bookmarkEnd w:id="0"/>
      <w:r w:rsidR="00F3151C" w:rsidRPr="00724A12">
        <w:t xml:space="preserve"> </w:t>
      </w:r>
      <w:r w:rsidR="00A46BDA" w:rsidRPr="00724A12">
        <w:t>quien</w:t>
      </w:r>
      <w:r w:rsidR="007D7C77" w:rsidRPr="00724A12">
        <w:t xml:space="preserve"> en adelante, </w:t>
      </w:r>
      <w:r w:rsidR="00F3151C" w:rsidRPr="00724A12">
        <w:t xml:space="preserve">será </w:t>
      </w:r>
      <w:r w:rsidR="007B3637" w:rsidRPr="00724A12">
        <w:t>nombrada</w:t>
      </w:r>
      <w:r w:rsidR="00F3151C" w:rsidRPr="00724A12">
        <w:t xml:space="preserve"> </w:t>
      </w:r>
      <w:r w:rsidR="007B3637" w:rsidRPr="00724A12">
        <w:t xml:space="preserve">como </w:t>
      </w:r>
      <w:r w:rsidRPr="00724A12">
        <w:t xml:space="preserve">la persona Recurrente o </w:t>
      </w:r>
      <w:r w:rsidR="00602079" w:rsidRPr="00724A12">
        <w:t xml:space="preserve">el </w:t>
      </w:r>
      <w:r w:rsidRPr="00724A12">
        <w:t>Particular, en contra de la respuesta del Sujeto Obligado</w:t>
      </w:r>
      <w:r w:rsidR="008869DA" w:rsidRPr="00724A12">
        <w:t xml:space="preserve">, </w:t>
      </w:r>
      <w:r w:rsidR="005269E4" w:rsidRPr="000712DB">
        <w:rPr>
          <w:b/>
        </w:rPr>
        <w:t>Fiscalía General de Justicia del Estado de México</w:t>
      </w:r>
      <w:r w:rsidR="00466865" w:rsidRPr="00724A12">
        <w:t>,</w:t>
      </w:r>
      <w:r w:rsidR="00FB2526" w:rsidRPr="00724A12">
        <w:t xml:space="preserve"> a </w:t>
      </w:r>
      <w:r w:rsidR="007641BF" w:rsidRPr="00724A12">
        <w:t>la solicitud</w:t>
      </w:r>
      <w:r w:rsidR="00FB2526" w:rsidRPr="00724A12">
        <w:t xml:space="preserve"> </w:t>
      </w:r>
      <w:r w:rsidR="00110B5D" w:rsidRPr="00724A12">
        <w:rPr>
          <w:b/>
          <w:bCs/>
        </w:rPr>
        <w:t>00339/FGJ/IP/2025</w:t>
      </w:r>
      <w:r w:rsidRPr="00724A12">
        <w:t>, se emite la presente Resolución, con base en los antecedentes y considerandos que se exponen a continuación:</w:t>
      </w:r>
    </w:p>
    <w:p w14:paraId="1A8429A9" w14:textId="77777777" w:rsidR="00881807" w:rsidRPr="00724A12" w:rsidRDefault="00881807" w:rsidP="00CA1DBB">
      <w:pPr>
        <w:spacing w:after="0" w:line="360" w:lineRule="auto"/>
        <w:ind w:right="142"/>
      </w:pPr>
    </w:p>
    <w:p w14:paraId="5B3EEB58" w14:textId="77777777" w:rsidR="00881807" w:rsidRPr="00724A12" w:rsidRDefault="0095797A" w:rsidP="00CA1DBB">
      <w:pPr>
        <w:pStyle w:val="Ttulo1"/>
        <w:spacing w:before="0" w:after="0"/>
        <w:ind w:right="142"/>
        <w:rPr>
          <w:szCs w:val="22"/>
        </w:rPr>
      </w:pPr>
      <w:bookmarkStart w:id="1" w:name="_Toc210314797"/>
      <w:r w:rsidRPr="00724A12">
        <w:rPr>
          <w:szCs w:val="22"/>
        </w:rPr>
        <w:t>A N T E C E D E N T E S</w:t>
      </w:r>
      <w:bookmarkEnd w:id="1"/>
    </w:p>
    <w:p w14:paraId="17D77C97" w14:textId="77777777" w:rsidR="00881807" w:rsidRPr="00724A12" w:rsidRDefault="00881807" w:rsidP="00CA1DBB">
      <w:pPr>
        <w:spacing w:after="0" w:line="360" w:lineRule="auto"/>
        <w:ind w:right="142"/>
      </w:pPr>
    </w:p>
    <w:p w14:paraId="40D37CBB" w14:textId="6A26CCE6" w:rsidR="00881807" w:rsidRPr="00724A12" w:rsidRDefault="0095797A" w:rsidP="00CA1DBB">
      <w:pPr>
        <w:pStyle w:val="Ttulo2"/>
        <w:spacing w:before="0" w:after="0"/>
        <w:ind w:right="142"/>
      </w:pPr>
      <w:bookmarkStart w:id="2" w:name="_Toc210314798"/>
      <w:r w:rsidRPr="00724A12">
        <w:t xml:space="preserve">I. Presentación </w:t>
      </w:r>
      <w:r w:rsidR="00361A1A" w:rsidRPr="00724A12">
        <w:t>de la solicitud de información</w:t>
      </w:r>
      <w:bookmarkEnd w:id="2"/>
    </w:p>
    <w:p w14:paraId="0C64DD8A" w14:textId="77777777" w:rsidR="00881807" w:rsidRPr="00724A12" w:rsidRDefault="00881807" w:rsidP="00CA1DBB">
      <w:pPr>
        <w:tabs>
          <w:tab w:val="left" w:pos="567"/>
        </w:tabs>
        <w:spacing w:after="0" w:line="360" w:lineRule="auto"/>
        <w:ind w:right="142"/>
      </w:pPr>
    </w:p>
    <w:p w14:paraId="1493B52D" w14:textId="6D8D70E9" w:rsidR="00881807" w:rsidRPr="00724A12" w:rsidRDefault="0095797A" w:rsidP="00CA1DBB">
      <w:pPr>
        <w:spacing w:after="0" w:line="360" w:lineRule="auto"/>
        <w:ind w:right="142"/>
      </w:pPr>
      <w:r w:rsidRPr="00724A12">
        <w:t xml:space="preserve">Con fecha </w:t>
      </w:r>
      <w:r w:rsidR="00BB6FBD" w:rsidRPr="00724A12">
        <w:t>veintisiete</w:t>
      </w:r>
      <w:r w:rsidR="00466865" w:rsidRPr="00724A12">
        <w:t xml:space="preserve"> de </w:t>
      </w:r>
      <w:r w:rsidR="00BB6FBD" w:rsidRPr="00724A12">
        <w:t>marzo</w:t>
      </w:r>
      <w:r w:rsidRPr="00724A12">
        <w:t xml:space="preserve"> de dos mil </w:t>
      </w:r>
      <w:r w:rsidR="00A30E25" w:rsidRPr="00724A12">
        <w:t>veinticinco</w:t>
      </w:r>
      <w:r w:rsidRPr="00724A12">
        <w:t xml:space="preserve">, </w:t>
      </w:r>
      <w:r w:rsidR="00602079" w:rsidRPr="00724A12">
        <w:t xml:space="preserve">el Particular </w:t>
      </w:r>
      <w:r w:rsidRPr="00724A12">
        <w:t xml:space="preserve">presentó </w:t>
      </w:r>
      <w:r w:rsidR="00466865" w:rsidRPr="00724A12">
        <w:t>una solicitud</w:t>
      </w:r>
      <w:r w:rsidRPr="00724A12">
        <w:t xml:space="preserve"> de acceso a la información pública</w:t>
      </w:r>
      <w:r w:rsidR="00FB2526" w:rsidRPr="00724A12">
        <w:t xml:space="preserve"> con </w:t>
      </w:r>
      <w:r w:rsidR="00466865" w:rsidRPr="00724A12">
        <w:t>número</w:t>
      </w:r>
      <w:r w:rsidR="00602079" w:rsidRPr="00724A12">
        <w:t xml:space="preserve"> de folio</w:t>
      </w:r>
      <w:r w:rsidR="00FB2526" w:rsidRPr="00724A12">
        <w:rPr>
          <w:b/>
          <w:bCs/>
        </w:rPr>
        <w:t xml:space="preserve"> </w:t>
      </w:r>
      <w:r w:rsidR="00110B5D" w:rsidRPr="00724A12">
        <w:rPr>
          <w:b/>
          <w:bCs/>
        </w:rPr>
        <w:t>00339/FGJ/IP/2025</w:t>
      </w:r>
      <w:r w:rsidRPr="00724A12">
        <w:t xml:space="preserve">, a través del Sistema de Acceso a la Información Mexiquense, en lo sucesivo el SAIMEX, ante </w:t>
      </w:r>
      <w:r w:rsidR="00110B5D" w:rsidRPr="00724A12">
        <w:t>la</w:t>
      </w:r>
      <w:r w:rsidR="003E2552" w:rsidRPr="00724A12">
        <w:t xml:space="preserve"> </w:t>
      </w:r>
      <w:r w:rsidR="00110B5D" w:rsidRPr="00724A12">
        <w:t>Fiscalía General de Justicia del Estado de México</w:t>
      </w:r>
      <w:r w:rsidRPr="00724A12">
        <w:t>, en la</w:t>
      </w:r>
      <w:r w:rsidR="002B27E2" w:rsidRPr="00724A12">
        <w:t xml:space="preserve"> </w:t>
      </w:r>
      <w:r w:rsidRPr="00724A12">
        <w:t>que requirió lo siguiente:</w:t>
      </w:r>
    </w:p>
    <w:p w14:paraId="15E6FFF2" w14:textId="0E813834" w:rsidR="00881807" w:rsidRPr="00724A12" w:rsidRDefault="00881807" w:rsidP="00CA1DBB">
      <w:pPr>
        <w:tabs>
          <w:tab w:val="left" w:pos="567"/>
        </w:tabs>
        <w:spacing w:after="0" w:line="360" w:lineRule="auto"/>
        <w:ind w:right="709"/>
        <w:rPr>
          <w:b/>
          <w:sz w:val="20"/>
          <w:szCs w:val="20"/>
        </w:rPr>
      </w:pPr>
    </w:p>
    <w:p w14:paraId="283A40DB" w14:textId="77777777" w:rsidR="00B175F1" w:rsidRPr="00724A12" w:rsidRDefault="00B175F1" w:rsidP="00B175F1">
      <w:pPr>
        <w:tabs>
          <w:tab w:val="left" w:pos="4667"/>
        </w:tabs>
        <w:spacing w:after="0" w:line="360" w:lineRule="auto"/>
        <w:ind w:left="567" w:right="567"/>
        <w:rPr>
          <w:b/>
          <w:iCs/>
          <w:color w:val="000000" w:themeColor="text1"/>
          <w:sz w:val="20"/>
          <w:szCs w:val="20"/>
        </w:rPr>
      </w:pPr>
      <w:bookmarkStart w:id="3" w:name="_Hlk189495642"/>
      <w:bookmarkStart w:id="4" w:name="_Hlk190688879"/>
      <w:r w:rsidRPr="00724A12">
        <w:rPr>
          <w:b/>
          <w:iCs/>
          <w:sz w:val="20"/>
          <w:szCs w:val="20"/>
        </w:rPr>
        <w:t>DESCRIPCIÓN CLARA Y PRECISA DE LA INFORMACIÓN SOLICITADA</w:t>
      </w:r>
    </w:p>
    <w:p w14:paraId="38A9B585" w14:textId="2E23EEBC" w:rsidR="009679BC" w:rsidRPr="00724A12" w:rsidRDefault="00D94445" w:rsidP="00DA74F6">
      <w:pPr>
        <w:spacing w:after="0" w:line="360" w:lineRule="auto"/>
        <w:ind w:left="567" w:right="709"/>
        <w:rPr>
          <w:i/>
          <w:sz w:val="20"/>
          <w:szCs w:val="20"/>
        </w:rPr>
      </w:pPr>
      <w:proofErr w:type="gramStart"/>
      <w:r w:rsidRPr="00724A12">
        <w:rPr>
          <w:i/>
          <w:sz w:val="20"/>
          <w:szCs w:val="20"/>
        </w:rPr>
        <w:t>solicito</w:t>
      </w:r>
      <w:proofErr w:type="gramEnd"/>
      <w:r w:rsidRPr="00724A12">
        <w:rPr>
          <w:i/>
          <w:sz w:val="20"/>
          <w:szCs w:val="20"/>
        </w:rPr>
        <w:t xml:space="preserve"> copia simple digitalizada a través del sistema electrónico </w:t>
      </w:r>
      <w:proofErr w:type="spellStart"/>
      <w:r w:rsidRPr="00724A12">
        <w:rPr>
          <w:i/>
          <w:sz w:val="20"/>
          <w:szCs w:val="20"/>
        </w:rPr>
        <w:t>saimex</w:t>
      </w:r>
      <w:proofErr w:type="spellEnd"/>
      <w:r w:rsidRPr="00724A12">
        <w:rPr>
          <w:i/>
          <w:sz w:val="20"/>
          <w:szCs w:val="20"/>
        </w:rPr>
        <w:t xml:space="preserve"> de los comprobantes en </w:t>
      </w:r>
      <w:proofErr w:type="spellStart"/>
      <w:r w:rsidRPr="00724A12">
        <w:rPr>
          <w:i/>
          <w:sz w:val="20"/>
          <w:szCs w:val="20"/>
        </w:rPr>
        <w:t>version</w:t>
      </w:r>
      <w:proofErr w:type="spellEnd"/>
      <w:r w:rsidRPr="00724A12">
        <w:rPr>
          <w:i/>
          <w:sz w:val="20"/>
          <w:szCs w:val="20"/>
        </w:rPr>
        <w:t xml:space="preserve"> pública de todos los pagos realizados por la </w:t>
      </w:r>
      <w:proofErr w:type="spellStart"/>
      <w:r w:rsidRPr="00724A12">
        <w:rPr>
          <w:i/>
          <w:sz w:val="20"/>
          <w:szCs w:val="20"/>
        </w:rPr>
        <w:t>fiscalia</w:t>
      </w:r>
      <w:proofErr w:type="spellEnd"/>
      <w:r w:rsidRPr="00724A12">
        <w:rPr>
          <w:i/>
          <w:sz w:val="20"/>
          <w:szCs w:val="20"/>
        </w:rPr>
        <w:t xml:space="preserve"> a particulares a </w:t>
      </w:r>
      <w:proofErr w:type="spellStart"/>
      <w:r w:rsidRPr="00724A12">
        <w:rPr>
          <w:i/>
          <w:sz w:val="20"/>
          <w:szCs w:val="20"/>
        </w:rPr>
        <w:t>traves</w:t>
      </w:r>
      <w:proofErr w:type="spellEnd"/>
      <w:r w:rsidRPr="00724A12">
        <w:rPr>
          <w:i/>
          <w:sz w:val="20"/>
          <w:szCs w:val="20"/>
        </w:rPr>
        <w:t xml:space="preserve"> de cheque o transferencia electrónica durante los meses de diciembre de 2024, enero de 2025 y febrero de 2025.</w:t>
      </w:r>
    </w:p>
    <w:p w14:paraId="3230DCC8" w14:textId="77777777" w:rsidR="00DA74F6" w:rsidRPr="00724A12" w:rsidRDefault="00DA74F6" w:rsidP="00CA1DBB">
      <w:pPr>
        <w:tabs>
          <w:tab w:val="left" w:pos="567"/>
        </w:tabs>
        <w:spacing w:after="0" w:line="360" w:lineRule="auto"/>
        <w:ind w:right="709"/>
        <w:rPr>
          <w:b/>
          <w:bCs/>
        </w:rPr>
      </w:pPr>
    </w:p>
    <w:bookmarkEnd w:id="3"/>
    <w:bookmarkEnd w:id="4"/>
    <w:p w14:paraId="282CA5E9" w14:textId="77777777" w:rsidR="00C329C1" w:rsidRPr="00724A12" w:rsidRDefault="0095797A" w:rsidP="00C329C1">
      <w:pPr>
        <w:spacing w:after="0" w:line="360" w:lineRule="auto"/>
        <w:ind w:right="709" w:firstLine="567"/>
        <w:rPr>
          <w:b/>
          <w:sz w:val="20"/>
          <w:szCs w:val="20"/>
        </w:rPr>
      </w:pPr>
      <w:r w:rsidRPr="00724A12">
        <w:rPr>
          <w:b/>
          <w:sz w:val="20"/>
          <w:szCs w:val="20"/>
        </w:rPr>
        <w:t>MODALIDAD DE ENTREGA</w:t>
      </w:r>
      <w:r w:rsidR="00602079" w:rsidRPr="00724A12">
        <w:rPr>
          <w:b/>
          <w:sz w:val="20"/>
          <w:szCs w:val="20"/>
        </w:rPr>
        <w:t xml:space="preserve"> </w:t>
      </w:r>
    </w:p>
    <w:p w14:paraId="4074708A" w14:textId="53E5A2C0" w:rsidR="00881807" w:rsidRPr="00724A12" w:rsidRDefault="0095797A" w:rsidP="00C329C1">
      <w:pPr>
        <w:spacing w:after="0" w:line="360" w:lineRule="auto"/>
        <w:ind w:right="709" w:firstLine="567"/>
        <w:rPr>
          <w:i/>
          <w:sz w:val="20"/>
          <w:szCs w:val="20"/>
        </w:rPr>
      </w:pPr>
      <w:r w:rsidRPr="00724A12">
        <w:rPr>
          <w:i/>
          <w:sz w:val="20"/>
          <w:szCs w:val="20"/>
        </w:rPr>
        <w:t>A través del SAIMEX</w:t>
      </w:r>
      <w:r w:rsidR="0058219B" w:rsidRPr="00724A12">
        <w:rPr>
          <w:i/>
          <w:sz w:val="20"/>
          <w:szCs w:val="20"/>
        </w:rPr>
        <w:t>.</w:t>
      </w:r>
    </w:p>
    <w:p w14:paraId="537C9260" w14:textId="77777777" w:rsidR="00F13532" w:rsidRPr="00724A12" w:rsidRDefault="00F13532" w:rsidP="00CA1DBB">
      <w:pPr>
        <w:spacing w:after="0" w:line="360" w:lineRule="auto"/>
        <w:ind w:right="709"/>
        <w:rPr>
          <w:i/>
          <w:sz w:val="20"/>
          <w:szCs w:val="20"/>
        </w:rPr>
      </w:pPr>
    </w:p>
    <w:p w14:paraId="4E0E3D11" w14:textId="1D013BC3" w:rsidR="00881807" w:rsidRPr="00724A12" w:rsidRDefault="0095797A" w:rsidP="00CA1DBB">
      <w:pPr>
        <w:pStyle w:val="Ttulo2"/>
        <w:spacing w:before="0" w:after="0"/>
        <w:ind w:right="142"/>
      </w:pPr>
      <w:bookmarkStart w:id="5" w:name="_Toc210314799"/>
      <w:r w:rsidRPr="00724A12">
        <w:t>II. Respuest</w:t>
      </w:r>
      <w:r w:rsidR="00996971" w:rsidRPr="00724A12">
        <w:t>a</w:t>
      </w:r>
      <w:r w:rsidRPr="00724A12">
        <w:t xml:space="preserve"> del Sujeto Obligado</w:t>
      </w:r>
      <w:bookmarkEnd w:id="5"/>
    </w:p>
    <w:p w14:paraId="13499456" w14:textId="77777777" w:rsidR="00881807" w:rsidRPr="00724A12" w:rsidRDefault="00881807" w:rsidP="00CA1DBB">
      <w:pPr>
        <w:spacing w:after="0" w:line="360" w:lineRule="auto"/>
        <w:ind w:right="142"/>
      </w:pPr>
    </w:p>
    <w:p w14:paraId="08CC74F2" w14:textId="159CA4EB" w:rsidR="00881807" w:rsidRPr="00724A12" w:rsidRDefault="0095797A" w:rsidP="00CA1DBB">
      <w:pPr>
        <w:spacing w:after="0" w:line="360" w:lineRule="auto"/>
        <w:ind w:right="142"/>
      </w:pPr>
      <w:r w:rsidRPr="00724A12">
        <w:t xml:space="preserve">El </w:t>
      </w:r>
      <w:r w:rsidR="00A80BB9" w:rsidRPr="00724A12">
        <w:t>veinticuatro</w:t>
      </w:r>
      <w:r w:rsidRPr="00724A12">
        <w:t xml:space="preserve"> de </w:t>
      </w:r>
      <w:r w:rsidR="00A80BB9" w:rsidRPr="00724A12">
        <w:t>abril</w:t>
      </w:r>
      <w:r w:rsidRPr="00724A12">
        <w:t xml:space="preserve"> de dos mil </w:t>
      </w:r>
      <w:r w:rsidR="00E80DFE" w:rsidRPr="00724A12">
        <w:t>veinticinco</w:t>
      </w:r>
      <w:r w:rsidRPr="00724A12">
        <w:t xml:space="preserve">, el Sujeto Obligado otorgó </w:t>
      </w:r>
      <w:r w:rsidR="00996971" w:rsidRPr="00724A12">
        <w:t>respuesta</w:t>
      </w:r>
      <w:r w:rsidRPr="00724A12">
        <w:t xml:space="preserve"> a través de SAIMEX, </w:t>
      </w:r>
      <w:r w:rsidR="00201FEC" w:rsidRPr="00724A12">
        <w:t>en los siguientes términos</w:t>
      </w:r>
      <w:r w:rsidR="00D4309F" w:rsidRPr="00724A12">
        <w:t>:</w:t>
      </w:r>
      <w:r w:rsidRPr="00724A12">
        <w:t xml:space="preserve"> </w:t>
      </w:r>
    </w:p>
    <w:p w14:paraId="3E7435F3" w14:textId="77777777" w:rsidR="00D350FA" w:rsidRPr="00724A12" w:rsidRDefault="00D350FA" w:rsidP="00CA1DBB">
      <w:pPr>
        <w:spacing w:after="0" w:line="360" w:lineRule="auto"/>
        <w:ind w:right="142"/>
      </w:pPr>
    </w:p>
    <w:p w14:paraId="2213411B" w14:textId="5310EB04" w:rsidR="00892159" w:rsidRPr="00724A12" w:rsidRDefault="00A80BB9" w:rsidP="005D2619">
      <w:pPr>
        <w:spacing w:after="0" w:line="360" w:lineRule="auto"/>
        <w:ind w:left="567" w:right="709"/>
        <w:rPr>
          <w:i/>
          <w:sz w:val="20"/>
          <w:szCs w:val="20"/>
        </w:rPr>
      </w:pPr>
      <w:r w:rsidRPr="00724A12">
        <w:rPr>
          <w:i/>
          <w:sz w:val="20"/>
          <w:szCs w:val="20"/>
        </w:rPr>
        <w:t>Se adjunta respuesta, asimismo, se hace de conocimiento que de conformidad con el artículo 178 de la Ley de la materia, podrá inconformarse de la respuesta otorgada, por sí mismo o a través de su representante, de manera directa o por medios electrónicos, a través del recurso de revisión, presentado ante el INFOEM o esta Unidad de Transparencia, dentro de los quince días hábiles, siguientes a la fecha de la notificación de presente respuesta.</w:t>
      </w:r>
    </w:p>
    <w:p w14:paraId="5C3373A5" w14:textId="77777777" w:rsidR="005D2619" w:rsidRPr="00724A12" w:rsidRDefault="005D2619" w:rsidP="00CA1DBB">
      <w:pPr>
        <w:spacing w:after="0" w:line="360" w:lineRule="auto"/>
        <w:ind w:right="142"/>
      </w:pPr>
    </w:p>
    <w:p w14:paraId="6A8A20D1" w14:textId="262F533C" w:rsidR="00E60D6B" w:rsidRPr="00724A12" w:rsidRDefault="00E0682A" w:rsidP="00CA1DBB">
      <w:pPr>
        <w:spacing w:after="0" w:line="360" w:lineRule="auto"/>
        <w:ind w:right="142"/>
      </w:pPr>
      <w:r w:rsidRPr="00724A12">
        <w:t xml:space="preserve">A esta </w:t>
      </w:r>
      <w:r w:rsidR="00892159" w:rsidRPr="00724A12">
        <w:t xml:space="preserve">respuesta, adjuntó </w:t>
      </w:r>
      <w:r w:rsidR="00E227AB" w:rsidRPr="00724A12">
        <w:t xml:space="preserve">un documento de nombre </w:t>
      </w:r>
      <w:r w:rsidR="005D2619" w:rsidRPr="00724A12">
        <w:rPr>
          <w:b/>
          <w:bCs/>
        </w:rPr>
        <w:t>RESPUESTA sol. 339-2025.pdf</w:t>
      </w:r>
      <w:r w:rsidR="00D350FA" w:rsidRPr="00724A12">
        <w:t xml:space="preserve">, que </w:t>
      </w:r>
      <w:r w:rsidR="00685E44" w:rsidRPr="00724A12">
        <w:t xml:space="preserve">contiene oficio firmado </w:t>
      </w:r>
      <w:r w:rsidR="0087007B" w:rsidRPr="00724A12">
        <w:t xml:space="preserve">por </w:t>
      </w:r>
      <w:r w:rsidR="00781025" w:rsidRPr="00724A12">
        <w:t>la</w:t>
      </w:r>
      <w:r w:rsidR="0087007B" w:rsidRPr="00724A12">
        <w:t xml:space="preserve"> Titular de la Unidad de Transparencia</w:t>
      </w:r>
      <w:r w:rsidR="006436A1" w:rsidRPr="00724A12">
        <w:t xml:space="preserve">, en donde refiere que </w:t>
      </w:r>
      <w:r w:rsidR="00F77C21" w:rsidRPr="00724A12">
        <w:t>la necesidad del cambio de modalidad de la entrega de la información a consulta directa</w:t>
      </w:r>
      <w:r w:rsidR="008C5395" w:rsidRPr="00724A12">
        <w:t>, a través del argumento central de que la información solicitada excede a l</w:t>
      </w:r>
      <w:r w:rsidR="002B35EF" w:rsidRPr="00724A12">
        <w:t xml:space="preserve">os 44,000 documentos, por lo que excede la capacidad permitida por el SAIMEX, </w:t>
      </w:r>
    </w:p>
    <w:p w14:paraId="29B1487D" w14:textId="77777777" w:rsidR="00E251DD" w:rsidRPr="00724A12" w:rsidRDefault="00E251DD" w:rsidP="00CA1DBB">
      <w:pPr>
        <w:spacing w:after="0" w:line="360" w:lineRule="auto"/>
        <w:ind w:right="142"/>
        <w:rPr>
          <w:b/>
          <w:bCs/>
        </w:rPr>
      </w:pPr>
    </w:p>
    <w:p w14:paraId="19741A47" w14:textId="43D8415C" w:rsidR="00881807" w:rsidRPr="00724A12" w:rsidRDefault="007D786E" w:rsidP="00CA1DBB">
      <w:pPr>
        <w:pStyle w:val="Ttulo2"/>
        <w:spacing w:before="0" w:after="0"/>
      </w:pPr>
      <w:r w:rsidRPr="00724A12">
        <w:t xml:space="preserve"> </w:t>
      </w:r>
      <w:bookmarkStart w:id="6" w:name="_Toc210314800"/>
      <w:r w:rsidR="0095797A" w:rsidRPr="00724A12">
        <w:t>III. Interposición del Recurso de Revisión</w:t>
      </w:r>
      <w:bookmarkEnd w:id="6"/>
    </w:p>
    <w:p w14:paraId="1620D1AA" w14:textId="77777777" w:rsidR="00881807" w:rsidRPr="00724A12" w:rsidRDefault="00881807" w:rsidP="00CA1DBB">
      <w:pPr>
        <w:spacing w:after="0" w:line="360" w:lineRule="auto"/>
        <w:ind w:right="142"/>
        <w:rPr>
          <w:b/>
        </w:rPr>
      </w:pPr>
    </w:p>
    <w:p w14:paraId="04181F42" w14:textId="65F34183" w:rsidR="00881807" w:rsidRPr="00724A12" w:rsidRDefault="00CF7184" w:rsidP="00CA1DBB">
      <w:pPr>
        <w:spacing w:after="0" w:line="360" w:lineRule="auto"/>
        <w:ind w:right="142"/>
      </w:pPr>
      <w:bookmarkStart w:id="7" w:name="_heading=h.2et92p0" w:colFirst="0" w:colLast="0"/>
      <w:bookmarkEnd w:id="7"/>
      <w:r w:rsidRPr="00724A12">
        <w:t xml:space="preserve">El </w:t>
      </w:r>
      <w:r w:rsidR="00C53270" w:rsidRPr="00724A12">
        <w:t>siete</w:t>
      </w:r>
      <w:r w:rsidRPr="00724A12">
        <w:t xml:space="preserve"> de </w:t>
      </w:r>
      <w:r w:rsidR="00C53270" w:rsidRPr="00724A12">
        <w:t>mayo</w:t>
      </w:r>
      <w:r w:rsidRPr="00724A12">
        <w:t xml:space="preserve"> de dos mil veinticinco</w:t>
      </w:r>
      <w:r w:rsidR="0095797A" w:rsidRPr="00724A12">
        <w:t xml:space="preserve">, se </w:t>
      </w:r>
      <w:r w:rsidR="00C64F67" w:rsidRPr="00724A12">
        <w:t>recibieron</w:t>
      </w:r>
      <w:r w:rsidR="0095797A" w:rsidRPr="00724A12">
        <w:t xml:space="preserve"> en este Instituto, a través del SAIMEX, </w:t>
      </w:r>
      <w:r w:rsidR="008071B5" w:rsidRPr="00724A12">
        <w:t>el Recurso de Revisión interpuesto</w:t>
      </w:r>
      <w:r w:rsidR="0095797A" w:rsidRPr="00724A12">
        <w:t xml:space="preserve"> por la persona Recurrente, en los siguientes términos:</w:t>
      </w:r>
    </w:p>
    <w:p w14:paraId="050CE8C6" w14:textId="629392EB" w:rsidR="00BD619C" w:rsidRPr="00724A12" w:rsidRDefault="00BD619C" w:rsidP="00CA1DBB">
      <w:pPr>
        <w:spacing w:after="0" w:line="360" w:lineRule="auto"/>
        <w:ind w:right="142"/>
      </w:pPr>
    </w:p>
    <w:p w14:paraId="735128A8" w14:textId="77777777" w:rsidR="00881807" w:rsidRPr="00724A12" w:rsidRDefault="0095797A" w:rsidP="00CA1DBB">
      <w:pPr>
        <w:spacing w:after="0" w:line="360" w:lineRule="auto"/>
        <w:ind w:left="567" w:right="709"/>
        <w:rPr>
          <w:b/>
          <w:sz w:val="20"/>
          <w:szCs w:val="20"/>
        </w:rPr>
      </w:pPr>
      <w:r w:rsidRPr="00724A12">
        <w:rPr>
          <w:b/>
          <w:sz w:val="20"/>
          <w:szCs w:val="20"/>
        </w:rPr>
        <w:t>ACTO IMPUGNADO</w:t>
      </w:r>
      <w:r w:rsidRPr="00724A12">
        <w:rPr>
          <w:b/>
          <w:sz w:val="20"/>
          <w:szCs w:val="20"/>
        </w:rPr>
        <w:tab/>
      </w:r>
    </w:p>
    <w:p w14:paraId="2DCFE1AA" w14:textId="4D7B7EE0" w:rsidR="00355592" w:rsidRPr="00724A12" w:rsidRDefault="00C53270" w:rsidP="00CA1DBB">
      <w:pPr>
        <w:spacing w:after="0" w:line="360" w:lineRule="auto"/>
        <w:ind w:left="567" w:right="709"/>
        <w:rPr>
          <w:i/>
          <w:sz w:val="20"/>
          <w:szCs w:val="20"/>
        </w:rPr>
      </w:pPr>
      <w:r w:rsidRPr="00724A12">
        <w:rPr>
          <w:i/>
          <w:sz w:val="20"/>
          <w:szCs w:val="20"/>
        </w:rPr>
        <w:t>NEGATIVA DEL SUJETO OBLIGADO</w:t>
      </w:r>
    </w:p>
    <w:p w14:paraId="15BF3B7B" w14:textId="77777777" w:rsidR="00C53270" w:rsidRPr="00724A12" w:rsidRDefault="00C53270" w:rsidP="00CA1DBB">
      <w:pPr>
        <w:spacing w:after="0" w:line="360" w:lineRule="auto"/>
        <w:ind w:left="567" w:right="709"/>
        <w:rPr>
          <w:rFonts w:ascii="Verdana" w:hAnsi="Verdana"/>
          <w:sz w:val="14"/>
          <w:szCs w:val="14"/>
        </w:rPr>
      </w:pPr>
    </w:p>
    <w:p w14:paraId="3C3BB475" w14:textId="77777777" w:rsidR="00B175F1" w:rsidRPr="00724A12" w:rsidRDefault="00B175F1" w:rsidP="00CA1DBB">
      <w:pPr>
        <w:spacing w:after="0" w:line="360" w:lineRule="auto"/>
        <w:ind w:left="567" w:right="709"/>
        <w:rPr>
          <w:rFonts w:ascii="Verdana" w:hAnsi="Verdana"/>
          <w:sz w:val="14"/>
          <w:szCs w:val="14"/>
        </w:rPr>
      </w:pPr>
    </w:p>
    <w:p w14:paraId="232BE75E" w14:textId="77777777" w:rsidR="00B175F1" w:rsidRPr="00724A12" w:rsidRDefault="00B175F1" w:rsidP="00CA1DBB">
      <w:pPr>
        <w:spacing w:after="0" w:line="360" w:lineRule="auto"/>
        <w:ind w:left="567" w:right="709"/>
        <w:rPr>
          <w:rFonts w:ascii="Verdana" w:hAnsi="Verdana"/>
          <w:sz w:val="14"/>
          <w:szCs w:val="14"/>
        </w:rPr>
      </w:pPr>
    </w:p>
    <w:p w14:paraId="4E5FE84C" w14:textId="77777777" w:rsidR="00B175F1" w:rsidRPr="00724A12" w:rsidRDefault="00B175F1" w:rsidP="00CA1DBB">
      <w:pPr>
        <w:spacing w:after="0" w:line="360" w:lineRule="auto"/>
        <w:ind w:left="567" w:right="709"/>
        <w:rPr>
          <w:rFonts w:ascii="Verdana" w:hAnsi="Verdana"/>
          <w:sz w:val="14"/>
          <w:szCs w:val="14"/>
        </w:rPr>
      </w:pPr>
    </w:p>
    <w:p w14:paraId="5E7EB127" w14:textId="2C3CC8D3" w:rsidR="00881807" w:rsidRPr="00724A12" w:rsidRDefault="0095797A" w:rsidP="00CA1DBB">
      <w:pPr>
        <w:spacing w:after="0" w:line="360" w:lineRule="auto"/>
        <w:ind w:left="567" w:right="709"/>
        <w:rPr>
          <w:b/>
          <w:sz w:val="20"/>
          <w:szCs w:val="20"/>
        </w:rPr>
      </w:pPr>
      <w:r w:rsidRPr="00724A12">
        <w:rPr>
          <w:b/>
          <w:sz w:val="20"/>
          <w:szCs w:val="20"/>
        </w:rPr>
        <w:lastRenderedPageBreak/>
        <w:t>RAZONES O MOTIVOS DE LA INCONFORMIDAD</w:t>
      </w:r>
      <w:r w:rsidRPr="00724A12">
        <w:rPr>
          <w:b/>
          <w:sz w:val="20"/>
          <w:szCs w:val="20"/>
        </w:rPr>
        <w:tab/>
      </w:r>
    </w:p>
    <w:p w14:paraId="6FD29723" w14:textId="12BF3A31" w:rsidR="00B1325E" w:rsidRPr="00724A12" w:rsidRDefault="00C53270" w:rsidP="00C52AAC">
      <w:pPr>
        <w:spacing w:after="0" w:line="360" w:lineRule="auto"/>
        <w:ind w:left="567" w:right="709"/>
        <w:rPr>
          <w:i/>
          <w:sz w:val="20"/>
          <w:szCs w:val="20"/>
        </w:rPr>
      </w:pPr>
      <w:r w:rsidRPr="00724A12">
        <w:rPr>
          <w:i/>
          <w:sz w:val="20"/>
          <w:szCs w:val="20"/>
        </w:rPr>
        <w:t>EL ARGUMENTO DEL SUJETO OBLIGADO EN EL SENTIDO DE QUE EL VOLUMEN DE LA INFORMACION SOLICITADA REBASA LAS 44 MIL FOJAS ES IRREAL PARA OMITIR LA ENTREGA DE LA MISMA A TRAVÉS DE ESTE SISTEMA ELECTRÓNICO. LOS COMPROBANTES SOLICITADOS CON PUNTUALIDAD EN LA PETICIÓN CORRESPONDEN A UNA CANTIDAD MUCHO MENOR DE LA SEÑALADA POR EL SUJETO OBLIGADO, POR LO CUAL SOLICITO SE ORDENE LA ENTREGA DE LOS MISMOS DE LA MANERA INDICADA EN LA SOLICITUD.</w:t>
      </w:r>
    </w:p>
    <w:p w14:paraId="5535675E" w14:textId="77777777" w:rsidR="00C52AAC" w:rsidRPr="00724A12" w:rsidRDefault="00C52AAC" w:rsidP="00CA1DBB">
      <w:pPr>
        <w:spacing w:after="0" w:line="360" w:lineRule="auto"/>
        <w:ind w:right="709"/>
        <w:rPr>
          <w:i/>
          <w:sz w:val="20"/>
          <w:szCs w:val="20"/>
        </w:rPr>
      </w:pPr>
    </w:p>
    <w:p w14:paraId="7DAFB3C3" w14:textId="77777777" w:rsidR="00881807" w:rsidRPr="00724A12" w:rsidRDefault="0095797A" w:rsidP="00CA1DBB">
      <w:pPr>
        <w:pStyle w:val="Ttulo2"/>
        <w:spacing w:before="0" w:after="0"/>
        <w:ind w:right="142"/>
      </w:pPr>
      <w:bookmarkStart w:id="8" w:name="_Toc210314801"/>
      <w:r w:rsidRPr="00724A12">
        <w:t>IV. Trámite del Recurso de Revisión ante este Instituto</w:t>
      </w:r>
      <w:bookmarkEnd w:id="8"/>
    </w:p>
    <w:p w14:paraId="58902B23" w14:textId="77777777" w:rsidR="00881807" w:rsidRPr="00724A12" w:rsidRDefault="00881807" w:rsidP="00CA1DBB">
      <w:pPr>
        <w:spacing w:after="0" w:line="360" w:lineRule="auto"/>
        <w:ind w:right="142"/>
        <w:rPr>
          <w:b/>
        </w:rPr>
      </w:pPr>
    </w:p>
    <w:p w14:paraId="23E1CFA7" w14:textId="0DC96CD4" w:rsidR="00AA2A5E" w:rsidRPr="00724A12" w:rsidRDefault="0095797A" w:rsidP="00CA1DBB">
      <w:pPr>
        <w:pStyle w:val="Ttulo3"/>
        <w:spacing w:before="0" w:after="0"/>
      </w:pPr>
      <w:bookmarkStart w:id="9" w:name="_Toc210314802"/>
      <w:r w:rsidRPr="00724A12">
        <w:t>a) Turno del Medio de Impugnación</w:t>
      </w:r>
      <w:bookmarkEnd w:id="9"/>
    </w:p>
    <w:p w14:paraId="5BA9BF63" w14:textId="77777777" w:rsidR="00AA2A5E" w:rsidRPr="00724A12" w:rsidRDefault="00AA2A5E" w:rsidP="00CA1DBB">
      <w:pPr>
        <w:spacing w:after="0" w:line="360" w:lineRule="auto"/>
        <w:ind w:right="142"/>
      </w:pPr>
    </w:p>
    <w:p w14:paraId="2DD3D2D4" w14:textId="26B0ED83" w:rsidR="00881807" w:rsidRPr="00724A12" w:rsidRDefault="0095797A" w:rsidP="00CA1DBB">
      <w:pPr>
        <w:spacing w:after="0" w:line="360" w:lineRule="auto"/>
        <w:ind w:right="142"/>
      </w:pPr>
      <w:r w:rsidRPr="00724A12">
        <w:t xml:space="preserve">El </w:t>
      </w:r>
      <w:r w:rsidR="00A447E4" w:rsidRPr="00724A12">
        <w:t>siete</w:t>
      </w:r>
      <w:r w:rsidR="00E03377" w:rsidRPr="00724A12">
        <w:t xml:space="preserve"> de </w:t>
      </w:r>
      <w:r w:rsidR="00A447E4" w:rsidRPr="00724A12">
        <w:t>mayo</w:t>
      </w:r>
      <w:r w:rsidR="00E03377" w:rsidRPr="00724A12">
        <w:t xml:space="preserve"> de dos mil veinticinco</w:t>
      </w:r>
      <w:r w:rsidRPr="00724A12">
        <w:t xml:space="preserve">, el SAIMEX, asignó </w:t>
      </w:r>
      <w:r w:rsidR="00C64AEA" w:rsidRPr="00724A12">
        <w:t>el</w:t>
      </w:r>
      <w:r w:rsidR="009864AE" w:rsidRPr="00724A12">
        <w:t xml:space="preserve"> número</w:t>
      </w:r>
      <w:r w:rsidRPr="00724A12">
        <w:t xml:space="preserve"> de expediente</w:t>
      </w:r>
      <w:r w:rsidR="00C539AA" w:rsidRPr="00724A12">
        <w:t xml:space="preserve"> </w:t>
      </w:r>
      <w:r w:rsidR="00A46BDA" w:rsidRPr="00724A12">
        <w:rPr>
          <w:b/>
        </w:rPr>
        <w:t>05171</w:t>
      </w:r>
      <w:r w:rsidR="00CC00CC" w:rsidRPr="00724A12">
        <w:rPr>
          <w:b/>
        </w:rPr>
        <w:t xml:space="preserve">/INFOEM/IP/RR/2025 </w:t>
      </w:r>
      <w:r w:rsidR="00CC00CC" w:rsidRPr="00724A12">
        <w:rPr>
          <w:bCs/>
        </w:rPr>
        <w:t>al</w:t>
      </w:r>
      <w:r w:rsidR="00CC00CC" w:rsidRPr="00724A12">
        <w:rPr>
          <w:b/>
        </w:rPr>
        <w:t xml:space="preserve"> medio de impugnación</w:t>
      </w:r>
      <w:r w:rsidRPr="00724A12">
        <w:t xml:space="preserve"> que nos ocupa, con base en el sistema aprobado por el Pleno de este </w:t>
      </w:r>
      <w:r w:rsidR="0058219B" w:rsidRPr="00724A12">
        <w:t>Instituto</w:t>
      </w:r>
      <w:r w:rsidR="00CC00CC" w:rsidRPr="00724A12">
        <w:t xml:space="preserve"> y lo turnó </w:t>
      </w:r>
      <w:r w:rsidR="00F50534" w:rsidRPr="00724A12">
        <w:rPr>
          <w:bCs/>
        </w:rPr>
        <w:t>al Comisionado Luis Gustavo Parra Noriega</w:t>
      </w:r>
      <w:r w:rsidR="00106ABB" w:rsidRPr="00724A12">
        <w:t>,</w:t>
      </w:r>
      <w:r w:rsidR="00606D43" w:rsidRPr="00724A12">
        <w:t xml:space="preserve"> </w:t>
      </w:r>
      <w:r w:rsidRPr="00724A12">
        <w:t>para los efectos del artículo 185, fracción I de la Ley de Transparencia y Acceso a la Información Pública del Estado de México y Municipios.</w:t>
      </w:r>
    </w:p>
    <w:p w14:paraId="324BE52F" w14:textId="77777777" w:rsidR="00881807" w:rsidRPr="00724A12" w:rsidRDefault="00881807" w:rsidP="00CA1DBB">
      <w:pPr>
        <w:spacing w:after="0" w:line="360" w:lineRule="auto"/>
        <w:ind w:right="142"/>
      </w:pPr>
    </w:p>
    <w:p w14:paraId="504C8D7D" w14:textId="6EC09DA6" w:rsidR="00AA2A5E" w:rsidRPr="00724A12" w:rsidRDefault="0095797A" w:rsidP="00CA1DBB">
      <w:pPr>
        <w:pStyle w:val="Ttulo3"/>
        <w:spacing w:before="0" w:after="0"/>
      </w:pPr>
      <w:bookmarkStart w:id="10" w:name="_Toc210314803"/>
      <w:r w:rsidRPr="00724A12">
        <w:t>b) Admisión del Recurso de Revisión</w:t>
      </w:r>
      <w:bookmarkEnd w:id="10"/>
    </w:p>
    <w:p w14:paraId="6A0C3178" w14:textId="77777777" w:rsidR="00AA2A5E" w:rsidRPr="00724A12" w:rsidRDefault="00AA2A5E" w:rsidP="00CA1DBB">
      <w:pPr>
        <w:spacing w:after="0" w:line="360" w:lineRule="auto"/>
        <w:ind w:right="142"/>
      </w:pPr>
    </w:p>
    <w:p w14:paraId="3BA532FB" w14:textId="697FEF82" w:rsidR="0099458B" w:rsidRPr="00724A12" w:rsidRDefault="009C38D8" w:rsidP="00CA1DBB">
      <w:pPr>
        <w:spacing w:after="0" w:line="360" w:lineRule="auto"/>
        <w:ind w:right="142"/>
      </w:pPr>
      <w:r w:rsidRPr="00724A12">
        <w:t xml:space="preserve">A través de </w:t>
      </w:r>
      <w:r w:rsidR="00355592" w:rsidRPr="00724A12">
        <w:t>acuerdo</w:t>
      </w:r>
      <w:r w:rsidR="00540D39" w:rsidRPr="00724A12">
        <w:t xml:space="preserve"> de </w:t>
      </w:r>
      <w:r w:rsidR="00A447E4" w:rsidRPr="00724A12">
        <w:t>doce</w:t>
      </w:r>
      <w:r w:rsidR="00E53AC2" w:rsidRPr="00724A12">
        <w:t xml:space="preserve"> de</w:t>
      </w:r>
      <w:r w:rsidR="00540D39" w:rsidRPr="00724A12">
        <w:t xml:space="preserve"> </w:t>
      </w:r>
      <w:r w:rsidR="00A447E4" w:rsidRPr="00724A12">
        <w:t>mayo</w:t>
      </w:r>
      <w:r w:rsidR="00540D39" w:rsidRPr="00724A12">
        <w:t xml:space="preserve"> de dos mil</w:t>
      </w:r>
      <w:r w:rsidR="00376D9A" w:rsidRPr="00724A12">
        <w:t xml:space="preserve"> veinticinco, se acordó la admisión </w:t>
      </w:r>
      <w:r w:rsidR="00E53AC2" w:rsidRPr="00724A12">
        <w:t>del Recurso de Revisión</w:t>
      </w:r>
      <w:r w:rsidR="00376D9A" w:rsidRPr="00724A12">
        <w:t xml:space="preserve"> </w:t>
      </w:r>
      <w:r w:rsidR="00A46BDA" w:rsidRPr="00724A12">
        <w:rPr>
          <w:b/>
        </w:rPr>
        <w:t>05171</w:t>
      </w:r>
      <w:r w:rsidR="00904400" w:rsidRPr="00724A12">
        <w:rPr>
          <w:b/>
        </w:rPr>
        <w:t>/INFOEM/IP/RR/2025</w:t>
      </w:r>
      <w:r w:rsidR="006E371F" w:rsidRPr="00724A12">
        <w:rPr>
          <w:bCs/>
        </w:rPr>
        <w:t xml:space="preserve">, </w:t>
      </w:r>
      <w:r w:rsidR="0095797A" w:rsidRPr="00724A12">
        <w:rPr>
          <w:bCs/>
        </w:rPr>
        <w:t>interpuesto</w:t>
      </w:r>
      <w:r w:rsidR="00904400" w:rsidRPr="00724A12">
        <w:rPr>
          <w:bCs/>
        </w:rPr>
        <w:t xml:space="preserve"> </w:t>
      </w:r>
      <w:r w:rsidR="0095797A" w:rsidRPr="00724A12">
        <w:t>por la persona Recurrente en contra del Sujeto Obligado</w:t>
      </w:r>
      <w:r w:rsidR="008E107E" w:rsidRPr="00724A12">
        <w:t>, esto,</w:t>
      </w:r>
      <w:r w:rsidR="0095797A" w:rsidRPr="00724A12">
        <w:t xml:space="preserve"> en términos del artículo 185, fracciones I y II de la Ley de Transparencia y Acceso a la Información Pública del Estado de México y Municipios, en </w:t>
      </w:r>
      <w:r w:rsidR="00880A79" w:rsidRPr="00724A12">
        <w:t>los</w:t>
      </w:r>
      <w:r w:rsidR="0095797A" w:rsidRPr="00724A12">
        <w:t xml:space="preserve"> que se otorgó un plazo de siete días hábiles posteriores a la misma, para que manifestaran lo que a su derecho conviniera y formularan alegatos.</w:t>
      </w:r>
    </w:p>
    <w:p w14:paraId="63CDE4DA" w14:textId="6BFC3C11" w:rsidR="00AA2A5E" w:rsidRPr="00724A12" w:rsidRDefault="00904400" w:rsidP="00CA1DBB">
      <w:pPr>
        <w:pStyle w:val="Ttulo3"/>
        <w:spacing w:before="0" w:after="0"/>
      </w:pPr>
      <w:bookmarkStart w:id="11" w:name="_Toc210314804"/>
      <w:r w:rsidRPr="00724A12">
        <w:lastRenderedPageBreak/>
        <w:t>c</w:t>
      </w:r>
      <w:r w:rsidR="0095797A" w:rsidRPr="00724A12">
        <w:t>) Informe Justificado y manifestaciones de la parte Recurrente</w:t>
      </w:r>
      <w:bookmarkEnd w:id="11"/>
    </w:p>
    <w:p w14:paraId="3800B802" w14:textId="77777777" w:rsidR="00AA2A5E" w:rsidRPr="00724A12" w:rsidRDefault="00AA2A5E" w:rsidP="00CA1DBB">
      <w:pPr>
        <w:spacing w:after="0" w:line="360" w:lineRule="auto"/>
        <w:ind w:right="142"/>
        <w:rPr>
          <w:b/>
        </w:rPr>
      </w:pPr>
    </w:p>
    <w:p w14:paraId="0A706430" w14:textId="36904769" w:rsidR="00D23F89" w:rsidRPr="00724A12" w:rsidRDefault="0027143D" w:rsidP="00CA1DBB">
      <w:pPr>
        <w:spacing w:after="0" w:line="360" w:lineRule="auto"/>
        <w:ind w:right="142"/>
      </w:pPr>
      <w:r w:rsidRPr="00724A12">
        <w:t xml:space="preserve">El </w:t>
      </w:r>
      <w:r w:rsidR="00A447E4" w:rsidRPr="00724A12">
        <w:t>veintiséis</w:t>
      </w:r>
      <w:r w:rsidRPr="00724A12">
        <w:t xml:space="preserve"> de </w:t>
      </w:r>
      <w:r w:rsidR="00A447E4" w:rsidRPr="00724A12">
        <w:t>mayo</w:t>
      </w:r>
      <w:r w:rsidRPr="00724A12">
        <w:t xml:space="preserve"> de dos mil veinticinco, el Sujeto Obligado, remitió </w:t>
      </w:r>
      <w:r w:rsidR="00B14ADF" w:rsidRPr="00724A12">
        <w:t>dos</w:t>
      </w:r>
      <w:r w:rsidR="004415C8" w:rsidRPr="00724A12">
        <w:t xml:space="preserve"> </w:t>
      </w:r>
      <w:r w:rsidR="008D4006" w:rsidRPr="00724A12">
        <w:t>documentos de</w:t>
      </w:r>
      <w:r w:rsidR="00B14ADF" w:rsidRPr="00724A12">
        <w:t xml:space="preserve"> nombres </w:t>
      </w:r>
      <w:r w:rsidR="00A447E4" w:rsidRPr="00724A12">
        <w:rPr>
          <w:b/>
        </w:rPr>
        <w:t>of 1621 RR 5171_2025.pdf</w:t>
      </w:r>
      <w:r w:rsidR="00B14ADF" w:rsidRPr="00724A12">
        <w:t xml:space="preserve"> y </w:t>
      </w:r>
      <w:r w:rsidR="00A447E4" w:rsidRPr="00724A12">
        <w:rPr>
          <w:b/>
        </w:rPr>
        <w:t>of 1620 Informe Justificado RR 5171_2025.pdf</w:t>
      </w:r>
      <w:r w:rsidR="005C1BD0" w:rsidRPr="00724A12">
        <w:t xml:space="preserve"> a través </w:t>
      </w:r>
      <w:r w:rsidR="008D4006" w:rsidRPr="00724A12">
        <w:t>de los cuales</w:t>
      </w:r>
      <w:r w:rsidR="00355592" w:rsidRPr="00724A12">
        <w:t xml:space="preserve"> ratificó su respuesta</w:t>
      </w:r>
      <w:r w:rsidR="00187291" w:rsidRPr="00724A12">
        <w:t>.</w:t>
      </w:r>
      <w:r w:rsidR="00355592" w:rsidRPr="00724A12">
        <w:t xml:space="preserve"> Documento</w:t>
      </w:r>
      <w:r w:rsidR="008D4006" w:rsidRPr="00724A12">
        <w:t xml:space="preserve">s que fueron puestos a la vista del Particular el </w:t>
      </w:r>
      <w:r w:rsidR="00A447E4" w:rsidRPr="00724A12">
        <w:t>dos</w:t>
      </w:r>
      <w:r w:rsidR="008D4006" w:rsidRPr="00724A12">
        <w:t xml:space="preserve"> de </w:t>
      </w:r>
      <w:r w:rsidR="00A447E4" w:rsidRPr="00724A12">
        <w:t>julio</w:t>
      </w:r>
      <w:r w:rsidR="008D4006" w:rsidRPr="00724A12">
        <w:t xml:space="preserve"> de dos mil </w:t>
      </w:r>
      <w:r w:rsidR="00A447E4" w:rsidRPr="00724A12">
        <w:t>veinticinco</w:t>
      </w:r>
      <w:r w:rsidR="008D4006" w:rsidRPr="00724A12">
        <w:t>.</w:t>
      </w:r>
    </w:p>
    <w:p w14:paraId="427549C4" w14:textId="77777777" w:rsidR="004D1B25" w:rsidRPr="00724A12" w:rsidRDefault="004D1B25" w:rsidP="00CA1DBB">
      <w:pPr>
        <w:spacing w:after="0" w:line="360" w:lineRule="auto"/>
        <w:ind w:right="142"/>
      </w:pPr>
    </w:p>
    <w:p w14:paraId="5F60BAAE" w14:textId="5F5E1F8D" w:rsidR="00A447E4" w:rsidRPr="00724A12" w:rsidRDefault="00A447E4" w:rsidP="00CA1DBB">
      <w:pPr>
        <w:spacing w:after="0" w:line="360" w:lineRule="auto"/>
        <w:ind w:right="142"/>
      </w:pPr>
      <w:r w:rsidRPr="00724A12">
        <w:t>El Particular fue omiso en realizar pronunciamiento alguno, dentro del plazo otorgado a las partes para estos efectos.</w:t>
      </w:r>
    </w:p>
    <w:p w14:paraId="624EB557" w14:textId="77777777" w:rsidR="00A447E4" w:rsidRPr="00724A12" w:rsidRDefault="00A447E4" w:rsidP="00CA1DBB">
      <w:pPr>
        <w:spacing w:after="0" w:line="360" w:lineRule="auto"/>
        <w:ind w:right="142"/>
      </w:pPr>
    </w:p>
    <w:p w14:paraId="008FB1F0" w14:textId="369C1509" w:rsidR="00A447E4" w:rsidRPr="00724A12" w:rsidRDefault="00A447E4" w:rsidP="00A447E4">
      <w:pPr>
        <w:pStyle w:val="Ttulo3"/>
        <w:spacing w:before="0" w:after="0"/>
      </w:pPr>
      <w:bookmarkStart w:id="12" w:name="_Toc210314805"/>
      <w:r w:rsidRPr="00724A12">
        <w:t>d) Ampliación de plazo</w:t>
      </w:r>
      <w:bookmarkEnd w:id="12"/>
    </w:p>
    <w:p w14:paraId="1CDFD4EF" w14:textId="77777777" w:rsidR="00A447E4" w:rsidRPr="00724A12" w:rsidRDefault="00A447E4" w:rsidP="00CA1DBB">
      <w:pPr>
        <w:spacing w:after="0" w:line="360" w:lineRule="auto"/>
        <w:ind w:right="142"/>
      </w:pPr>
    </w:p>
    <w:p w14:paraId="6850026D" w14:textId="2C8AF5C9" w:rsidR="00A447E4" w:rsidRPr="00724A12" w:rsidRDefault="00A447E4" w:rsidP="00CA1DBB">
      <w:pPr>
        <w:spacing w:after="0" w:line="360" w:lineRule="auto"/>
        <w:ind w:right="142"/>
      </w:pPr>
      <w:r w:rsidRPr="00724A12">
        <w:t>El diez de septiembre de dos mil veinticinco, se notificó a las partes la determinación de ampliar el medio de impugnación por un plazo razonable, para resolver el Recurso de Revisión.</w:t>
      </w:r>
    </w:p>
    <w:p w14:paraId="607A059C" w14:textId="77777777" w:rsidR="00A447E4" w:rsidRPr="00724A12" w:rsidRDefault="00A447E4" w:rsidP="00CA1DBB">
      <w:pPr>
        <w:spacing w:after="0" w:line="360" w:lineRule="auto"/>
        <w:ind w:right="142"/>
      </w:pPr>
    </w:p>
    <w:p w14:paraId="51F8A66C" w14:textId="1DE3E9E4" w:rsidR="00A447E4" w:rsidRPr="00724A12" w:rsidRDefault="00A447E4" w:rsidP="00A447E4">
      <w:pPr>
        <w:pStyle w:val="Ttulo3"/>
        <w:spacing w:before="0" w:after="0"/>
      </w:pPr>
      <w:bookmarkStart w:id="13" w:name="_Toc210314806"/>
      <w:r w:rsidRPr="00724A12">
        <w:t>e) Requerimiento de Información Adicional</w:t>
      </w:r>
      <w:bookmarkEnd w:id="13"/>
    </w:p>
    <w:p w14:paraId="6A03E63A" w14:textId="77777777" w:rsidR="00A447E4" w:rsidRPr="00724A12" w:rsidRDefault="00A447E4" w:rsidP="00A447E4"/>
    <w:p w14:paraId="32A4207A" w14:textId="2D34BA42" w:rsidR="00A447E4" w:rsidRPr="00724A12" w:rsidRDefault="00A447E4" w:rsidP="00A447E4">
      <w:pPr>
        <w:spacing w:after="0" w:line="360" w:lineRule="auto"/>
        <w:ind w:right="142"/>
      </w:pPr>
      <w:r w:rsidRPr="00724A12">
        <w:t>El diez de septiembre de dos mil veinticinco, se requirió información al Sujeto Obligado, en donde se requirió, desahogar los siguientes puntos:</w:t>
      </w:r>
    </w:p>
    <w:p w14:paraId="4FD28D44" w14:textId="77777777" w:rsidR="00A447E4" w:rsidRPr="00724A12" w:rsidRDefault="00A447E4" w:rsidP="00A447E4">
      <w:pPr>
        <w:spacing w:after="0" w:line="360" w:lineRule="auto"/>
        <w:ind w:left="567" w:right="567"/>
        <w:rPr>
          <w:i/>
          <w:sz w:val="20"/>
          <w:szCs w:val="20"/>
        </w:rPr>
      </w:pPr>
    </w:p>
    <w:p w14:paraId="24F72A9C" w14:textId="77777777" w:rsidR="00A447E4" w:rsidRPr="00724A12" w:rsidRDefault="00A447E4" w:rsidP="00A447E4">
      <w:pPr>
        <w:spacing w:after="0" w:line="360" w:lineRule="auto"/>
        <w:ind w:left="567" w:right="567"/>
        <w:rPr>
          <w:i/>
          <w:sz w:val="20"/>
          <w:szCs w:val="20"/>
        </w:rPr>
      </w:pPr>
      <w:r w:rsidRPr="00724A12">
        <w:rPr>
          <w:i/>
          <w:sz w:val="20"/>
          <w:szCs w:val="20"/>
        </w:rPr>
        <w:t xml:space="preserve">1. Especifique los documentos que dan cuenta de la información interés del Particular en cada uno de los puntos requeridos. </w:t>
      </w:r>
    </w:p>
    <w:p w14:paraId="392A72EC" w14:textId="77777777" w:rsidR="00A447E4" w:rsidRPr="00724A12" w:rsidRDefault="00A447E4" w:rsidP="00A447E4">
      <w:pPr>
        <w:spacing w:after="0" w:line="360" w:lineRule="auto"/>
        <w:ind w:left="567" w:right="567"/>
        <w:rPr>
          <w:i/>
          <w:sz w:val="20"/>
          <w:szCs w:val="20"/>
        </w:rPr>
      </w:pPr>
      <w:r w:rsidRPr="00724A12">
        <w:rPr>
          <w:i/>
          <w:sz w:val="20"/>
          <w:szCs w:val="20"/>
        </w:rPr>
        <w:t xml:space="preserve">2. El formato en que se encuentran, esto es en físico o electrónico; </w:t>
      </w:r>
    </w:p>
    <w:p w14:paraId="2C878FD1" w14:textId="77777777" w:rsidR="00A447E4" w:rsidRPr="00724A12" w:rsidRDefault="00A447E4" w:rsidP="00A447E4">
      <w:pPr>
        <w:spacing w:after="0" w:line="360" w:lineRule="auto"/>
        <w:ind w:left="567" w:right="567"/>
        <w:rPr>
          <w:i/>
          <w:sz w:val="20"/>
          <w:szCs w:val="20"/>
        </w:rPr>
      </w:pPr>
      <w:r w:rsidRPr="00724A12">
        <w:rPr>
          <w:i/>
          <w:sz w:val="20"/>
          <w:szCs w:val="20"/>
        </w:rPr>
        <w:t xml:space="preserve">3. Cantidad de hojas o peso aproximado de la información; por mes </w:t>
      </w:r>
    </w:p>
    <w:p w14:paraId="67A514B9" w14:textId="77777777" w:rsidR="00A447E4" w:rsidRPr="00724A12" w:rsidRDefault="00A447E4" w:rsidP="00A447E4">
      <w:pPr>
        <w:spacing w:after="0" w:line="360" w:lineRule="auto"/>
        <w:ind w:left="567" w:right="567"/>
        <w:rPr>
          <w:i/>
          <w:sz w:val="20"/>
          <w:szCs w:val="20"/>
        </w:rPr>
      </w:pPr>
      <w:r w:rsidRPr="00724A12">
        <w:rPr>
          <w:i/>
          <w:sz w:val="20"/>
          <w:szCs w:val="20"/>
        </w:rPr>
        <w:t xml:space="preserve">4. Si, presentó la incidencia ante la Dirección General Informática de este Instituto. </w:t>
      </w:r>
    </w:p>
    <w:p w14:paraId="7B7BD1C7" w14:textId="48050905" w:rsidR="00A447E4" w:rsidRPr="00724A12" w:rsidRDefault="00A447E4" w:rsidP="00A447E4">
      <w:pPr>
        <w:spacing w:after="0" w:line="360" w:lineRule="auto"/>
        <w:ind w:right="142"/>
      </w:pPr>
      <w:r w:rsidRPr="00724A12">
        <w:lastRenderedPageBreak/>
        <w:t>Para dar respuesta al requerimiento, se le otorgó al Sujeto Obligado, un plazo de tres días hábiles, contabilizados a partir del día siguiente de la notificación de dicho requerimiento.</w:t>
      </w:r>
    </w:p>
    <w:p w14:paraId="4B908CBF" w14:textId="77777777" w:rsidR="00A447E4" w:rsidRPr="00724A12" w:rsidRDefault="00A447E4" w:rsidP="00CA1DBB">
      <w:pPr>
        <w:spacing w:after="0" w:line="360" w:lineRule="auto"/>
        <w:ind w:right="142"/>
      </w:pPr>
    </w:p>
    <w:p w14:paraId="037448B7" w14:textId="4264DA3B" w:rsidR="00A447E4" w:rsidRPr="00724A12" w:rsidRDefault="00A447E4" w:rsidP="00A447E4">
      <w:pPr>
        <w:pStyle w:val="Ttulo3"/>
        <w:spacing w:before="0" w:after="0"/>
      </w:pPr>
      <w:bookmarkStart w:id="14" w:name="_Toc210314807"/>
      <w:r w:rsidRPr="00724A12">
        <w:t>f) Desahogo del Requerimiento de Información Adicional</w:t>
      </w:r>
      <w:bookmarkEnd w:id="14"/>
    </w:p>
    <w:p w14:paraId="1CE684E6" w14:textId="77777777" w:rsidR="00A447E4" w:rsidRPr="00724A12" w:rsidRDefault="00A447E4" w:rsidP="00CA1DBB">
      <w:pPr>
        <w:spacing w:after="0" w:line="360" w:lineRule="auto"/>
        <w:ind w:right="142"/>
      </w:pPr>
    </w:p>
    <w:p w14:paraId="6E09A8D7" w14:textId="74879459" w:rsidR="00A447E4" w:rsidRPr="00724A12" w:rsidRDefault="00A447E4" w:rsidP="00CA1DBB">
      <w:pPr>
        <w:spacing w:after="0" w:line="360" w:lineRule="auto"/>
        <w:ind w:right="142"/>
      </w:pPr>
      <w:r w:rsidRPr="00724A12">
        <w:t>El quince de septiembre de dos mil veinticinco, dentro del plazo que se otorgó al Sujeto Obligado, se desahogó el requerimiento de información adicional, en los siguientes términos:</w:t>
      </w:r>
    </w:p>
    <w:p w14:paraId="7D1F0E9F" w14:textId="77777777" w:rsidR="00A447E4" w:rsidRPr="00724A12" w:rsidRDefault="00A447E4" w:rsidP="00CA1DBB">
      <w:pPr>
        <w:spacing w:after="0" w:line="360" w:lineRule="auto"/>
        <w:ind w:right="142"/>
      </w:pPr>
    </w:p>
    <w:p w14:paraId="1585BF6B" w14:textId="37168C40" w:rsidR="00547008" w:rsidRPr="00724A12" w:rsidRDefault="00547008" w:rsidP="00547008">
      <w:pPr>
        <w:spacing w:after="0" w:line="360" w:lineRule="auto"/>
        <w:ind w:left="567" w:right="567"/>
        <w:rPr>
          <w:i/>
          <w:sz w:val="20"/>
          <w:szCs w:val="20"/>
        </w:rPr>
      </w:pPr>
      <w:r w:rsidRPr="00724A12">
        <w:rPr>
          <w:i/>
          <w:sz w:val="20"/>
          <w:szCs w:val="20"/>
        </w:rPr>
        <w:t>“…</w:t>
      </w:r>
    </w:p>
    <w:p w14:paraId="2B80F80D" w14:textId="3678F150" w:rsidR="00A447E4" w:rsidRPr="00724A12" w:rsidRDefault="00A447E4" w:rsidP="00547008">
      <w:pPr>
        <w:spacing w:after="0" w:line="360" w:lineRule="auto"/>
        <w:ind w:left="567" w:right="567"/>
        <w:rPr>
          <w:i/>
          <w:sz w:val="20"/>
          <w:szCs w:val="20"/>
        </w:rPr>
      </w:pPr>
      <w:r w:rsidRPr="00724A12">
        <w:rPr>
          <w:i/>
          <w:sz w:val="20"/>
          <w:szCs w:val="20"/>
        </w:rPr>
        <w:t>1…</w:t>
      </w:r>
    </w:p>
    <w:p w14:paraId="58CE555D" w14:textId="63D81C0D" w:rsidR="00A447E4" w:rsidRPr="00724A12" w:rsidRDefault="00A447E4" w:rsidP="00547008">
      <w:pPr>
        <w:spacing w:after="0" w:line="360" w:lineRule="auto"/>
        <w:ind w:left="567" w:right="567"/>
        <w:rPr>
          <w:i/>
          <w:sz w:val="20"/>
          <w:szCs w:val="20"/>
        </w:rPr>
      </w:pPr>
      <w:r w:rsidRPr="00724A12">
        <w:rPr>
          <w:i/>
          <w:sz w:val="20"/>
          <w:szCs w:val="20"/>
        </w:rPr>
        <w:t>Los documentos son las impresiones de los comprobantes de transferencia electrónica y pólizas de cheque entregados.</w:t>
      </w:r>
    </w:p>
    <w:p w14:paraId="74B9140F" w14:textId="77777777" w:rsidR="00A447E4" w:rsidRPr="00724A12" w:rsidRDefault="00A447E4" w:rsidP="00547008">
      <w:pPr>
        <w:spacing w:after="0" w:line="360" w:lineRule="auto"/>
        <w:ind w:left="567" w:right="567"/>
        <w:rPr>
          <w:i/>
          <w:sz w:val="20"/>
          <w:szCs w:val="20"/>
        </w:rPr>
      </w:pPr>
    </w:p>
    <w:p w14:paraId="7B436E85" w14:textId="44510246" w:rsidR="00A447E4" w:rsidRPr="00724A12" w:rsidRDefault="00A447E4" w:rsidP="00547008">
      <w:pPr>
        <w:spacing w:after="0" w:line="360" w:lineRule="auto"/>
        <w:ind w:left="567" w:right="567"/>
        <w:rPr>
          <w:i/>
          <w:sz w:val="20"/>
          <w:szCs w:val="20"/>
        </w:rPr>
      </w:pPr>
      <w:r w:rsidRPr="00724A12">
        <w:rPr>
          <w:i/>
          <w:sz w:val="20"/>
          <w:szCs w:val="20"/>
        </w:rPr>
        <w:t>2…</w:t>
      </w:r>
    </w:p>
    <w:p w14:paraId="72D11550" w14:textId="4C2086A6" w:rsidR="00A447E4" w:rsidRPr="00724A12" w:rsidRDefault="00A447E4" w:rsidP="00547008">
      <w:pPr>
        <w:spacing w:after="0" w:line="360" w:lineRule="auto"/>
        <w:ind w:left="567" w:right="567"/>
        <w:rPr>
          <w:i/>
          <w:sz w:val="20"/>
          <w:szCs w:val="20"/>
        </w:rPr>
      </w:pPr>
      <w:r w:rsidRPr="00724A12">
        <w:rPr>
          <w:i/>
          <w:sz w:val="20"/>
          <w:szCs w:val="20"/>
        </w:rPr>
        <w:t>Formato físico.</w:t>
      </w:r>
    </w:p>
    <w:p w14:paraId="16DA7F26" w14:textId="77777777" w:rsidR="00A447E4" w:rsidRPr="00724A12" w:rsidRDefault="00A447E4" w:rsidP="00547008">
      <w:pPr>
        <w:spacing w:after="0" w:line="360" w:lineRule="auto"/>
        <w:ind w:left="567" w:right="567"/>
        <w:rPr>
          <w:i/>
          <w:sz w:val="20"/>
          <w:szCs w:val="20"/>
        </w:rPr>
      </w:pPr>
    </w:p>
    <w:p w14:paraId="574C9D69" w14:textId="7FD756C3" w:rsidR="00A447E4" w:rsidRPr="00724A12" w:rsidRDefault="00A447E4" w:rsidP="00547008">
      <w:pPr>
        <w:spacing w:after="0" w:line="360" w:lineRule="auto"/>
        <w:ind w:left="567" w:right="567"/>
        <w:rPr>
          <w:i/>
          <w:sz w:val="20"/>
          <w:szCs w:val="20"/>
        </w:rPr>
      </w:pPr>
      <w:r w:rsidRPr="00724A12">
        <w:rPr>
          <w:i/>
          <w:sz w:val="20"/>
          <w:szCs w:val="20"/>
        </w:rPr>
        <w:t>3…</w:t>
      </w:r>
    </w:p>
    <w:p w14:paraId="092C2102" w14:textId="058A6545" w:rsidR="00547008" w:rsidRPr="00724A12" w:rsidRDefault="00547008" w:rsidP="00547008">
      <w:pPr>
        <w:spacing w:after="0" w:line="360" w:lineRule="auto"/>
        <w:ind w:left="567" w:right="567"/>
        <w:rPr>
          <w:i/>
          <w:sz w:val="20"/>
          <w:szCs w:val="20"/>
        </w:rPr>
      </w:pPr>
      <w:r w:rsidRPr="00724A12">
        <w:rPr>
          <w:i/>
          <w:sz w:val="20"/>
          <w:szCs w:val="20"/>
        </w:rPr>
        <w:t>La cantidad de hojas aproximada de la información requerida por mes, es de 700.</w:t>
      </w:r>
    </w:p>
    <w:p w14:paraId="295BC0A4" w14:textId="77777777" w:rsidR="00547008" w:rsidRPr="00724A12" w:rsidRDefault="00547008" w:rsidP="00547008">
      <w:pPr>
        <w:spacing w:after="0" w:line="360" w:lineRule="auto"/>
        <w:ind w:left="567" w:right="567"/>
        <w:rPr>
          <w:i/>
          <w:sz w:val="20"/>
          <w:szCs w:val="20"/>
        </w:rPr>
      </w:pPr>
    </w:p>
    <w:p w14:paraId="3FFA0C60" w14:textId="06006395" w:rsidR="00547008" w:rsidRPr="00724A12" w:rsidRDefault="00547008" w:rsidP="00547008">
      <w:pPr>
        <w:spacing w:after="0" w:line="360" w:lineRule="auto"/>
        <w:ind w:left="567" w:right="567"/>
        <w:rPr>
          <w:i/>
          <w:sz w:val="20"/>
          <w:szCs w:val="20"/>
        </w:rPr>
      </w:pPr>
      <w:r w:rsidRPr="00724A12">
        <w:rPr>
          <w:i/>
          <w:sz w:val="20"/>
          <w:szCs w:val="20"/>
        </w:rPr>
        <w:t>4…</w:t>
      </w:r>
    </w:p>
    <w:p w14:paraId="57F90918" w14:textId="0A7A2296" w:rsidR="00547008" w:rsidRPr="00724A12" w:rsidRDefault="00547008" w:rsidP="00547008">
      <w:pPr>
        <w:spacing w:after="0" w:line="360" w:lineRule="auto"/>
        <w:ind w:left="567" w:right="567"/>
        <w:rPr>
          <w:i/>
          <w:sz w:val="20"/>
          <w:szCs w:val="20"/>
        </w:rPr>
      </w:pPr>
      <w:r w:rsidRPr="00724A12">
        <w:rPr>
          <w:i/>
          <w:sz w:val="20"/>
          <w:szCs w:val="20"/>
        </w:rPr>
        <w:t>El once de abril del presente año, se envió oficio al Mtro. Nelson Correa Peralta.</w:t>
      </w:r>
    </w:p>
    <w:p w14:paraId="0A8D8679" w14:textId="2A22D658" w:rsidR="00547008" w:rsidRPr="00724A12" w:rsidRDefault="00547008" w:rsidP="00547008">
      <w:pPr>
        <w:spacing w:after="0" w:line="360" w:lineRule="auto"/>
        <w:ind w:left="567" w:right="567"/>
        <w:rPr>
          <w:i/>
          <w:sz w:val="20"/>
          <w:szCs w:val="20"/>
        </w:rPr>
      </w:pPr>
      <w:r w:rsidRPr="00724A12">
        <w:rPr>
          <w:i/>
          <w:sz w:val="20"/>
          <w:szCs w:val="20"/>
        </w:rPr>
        <w:t>…”</w:t>
      </w:r>
    </w:p>
    <w:p w14:paraId="03286FC7" w14:textId="77777777" w:rsidR="00A447E4" w:rsidRPr="00724A12" w:rsidRDefault="00A447E4" w:rsidP="00CA1DBB">
      <w:pPr>
        <w:spacing w:after="0" w:line="360" w:lineRule="auto"/>
        <w:ind w:right="142"/>
      </w:pPr>
    </w:p>
    <w:p w14:paraId="3566D1B0" w14:textId="688A8D24" w:rsidR="00AA2A5E" w:rsidRPr="00724A12" w:rsidRDefault="00A447E4" w:rsidP="00CA1DBB">
      <w:pPr>
        <w:pStyle w:val="Ttulo3"/>
        <w:spacing w:before="0" w:after="0"/>
      </w:pPr>
      <w:bookmarkStart w:id="15" w:name="_Toc210314808"/>
      <w:r w:rsidRPr="00724A12">
        <w:t>g</w:t>
      </w:r>
      <w:r w:rsidR="0095797A" w:rsidRPr="00724A12">
        <w:t>) Cierre de instrucción</w:t>
      </w:r>
      <w:bookmarkEnd w:id="15"/>
    </w:p>
    <w:p w14:paraId="1099A9F3" w14:textId="77777777" w:rsidR="00AA2A5E" w:rsidRPr="00724A12" w:rsidRDefault="00AA2A5E" w:rsidP="00CA1DBB">
      <w:pPr>
        <w:spacing w:after="0" w:line="360" w:lineRule="auto"/>
        <w:ind w:right="142"/>
      </w:pPr>
    </w:p>
    <w:p w14:paraId="30EA8D56" w14:textId="3299A16C" w:rsidR="00881807" w:rsidRPr="00724A12" w:rsidRDefault="0095797A" w:rsidP="00CA1DBB">
      <w:pPr>
        <w:spacing w:after="0" w:line="360" w:lineRule="auto"/>
        <w:ind w:right="142"/>
        <w:rPr>
          <w:b/>
        </w:rPr>
      </w:pPr>
      <w:r w:rsidRPr="00724A12">
        <w:t xml:space="preserve">El </w:t>
      </w:r>
      <w:r w:rsidR="00724A12" w:rsidRPr="00724A12">
        <w:t>veinticinco</w:t>
      </w:r>
      <w:r w:rsidRPr="00724A12">
        <w:t xml:space="preserve"> de </w:t>
      </w:r>
      <w:r w:rsidR="00A447E4" w:rsidRPr="00724A12">
        <w:t>septiembre</w:t>
      </w:r>
      <w:r w:rsidRPr="00724A12">
        <w:t xml:space="preserve"> de dos mil veinticinco, al no existir diligencias pendientes por desahogar, se emitió el acuerdo por medio del cual se declaró cerrada la instrucción y se </w:t>
      </w:r>
      <w:r w:rsidRPr="00724A12">
        <w:lastRenderedPageBreak/>
        <w:t xml:space="preserve">determinó pasar los expedientes a resolución, en términos de lo dispuesto en los artículos 185, fracciones VI y VIII, de la Ley de Transparencia y Acceso a la Información Pública del Estado de México y Municipios, acto que fue notificado a las </w:t>
      </w:r>
      <w:r w:rsidR="00C723D3" w:rsidRPr="00724A12">
        <w:t>partes en la misma fecha</w:t>
      </w:r>
      <w:r w:rsidRPr="00724A12">
        <w:t>, mediante el Sistema de Acceso a la Información Mexiquense (SAIMEX).</w:t>
      </w:r>
    </w:p>
    <w:p w14:paraId="313CEE11" w14:textId="77777777" w:rsidR="00881807" w:rsidRPr="00724A12" w:rsidRDefault="00881807" w:rsidP="00CA1DBB">
      <w:pPr>
        <w:spacing w:after="0" w:line="360" w:lineRule="auto"/>
        <w:ind w:right="142"/>
      </w:pPr>
    </w:p>
    <w:p w14:paraId="0985C324" w14:textId="77777777" w:rsidR="00881807" w:rsidRPr="00724A12" w:rsidRDefault="0095797A" w:rsidP="00CA1DBB">
      <w:pPr>
        <w:spacing w:after="0" w:line="360" w:lineRule="auto"/>
        <w:ind w:right="142"/>
      </w:pPr>
      <w:r w:rsidRPr="00724A12">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724A12" w:rsidRDefault="00881807" w:rsidP="00CA1DBB">
      <w:pPr>
        <w:spacing w:after="0" w:line="360" w:lineRule="auto"/>
        <w:ind w:right="142"/>
      </w:pPr>
    </w:p>
    <w:p w14:paraId="5B07EC50" w14:textId="77777777" w:rsidR="00881807" w:rsidRPr="00724A12" w:rsidRDefault="0095797A" w:rsidP="00CA1DBB">
      <w:pPr>
        <w:pStyle w:val="Ttulo1"/>
        <w:spacing w:before="0" w:after="0"/>
        <w:ind w:right="142"/>
        <w:rPr>
          <w:szCs w:val="22"/>
        </w:rPr>
      </w:pPr>
      <w:bookmarkStart w:id="16" w:name="_Toc210314809"/>
      <w:r w:rsidRPr="00724A12">
        <w:rPr>
          <w:szCs w:val="22"/>
        </w:rPr>
        <w:t>C O N S I D E R A N D O S</w:t>
      </w:r>
      <w:bookmarkEnd w:id="16"/>
    </w:p>
    <w:p w14:paraId="5A01A46F" w14:textId="77777777" w:rsidR="00881807" w:rsidRPr="00724A12" w:rsidRDefault="00881807" w:rsidP="00CA1DBB">
      <w:pPr>
        <w:spacing w:after="0" w:line="360" w:lineRule="auto"/>
        <w:ind w:right="142"/>
        <w:rPr>
          <w:b/>
        </w:rPr>
      </w:pPr>
    </w:p>
    <w:p w14:paraId="0C0E1B55" w14:textId="77777777" w:rsidR="00881807" w:rsidRPr="00724A12" w:rsidRDefault="0095797A" w:rsidP="00CA1DBB">
      <w:pPr>
        <w:pStyle w:val="Ttulo2"/>
        <w:spacing w:before="0" w:after="0"/>
      </w:pPr>
      <w:bookmarkStart w:id="17" w:name="_Toc210314810"/>
      <w:r w:rsidRPr="00724A12">
        <w:t>PRIMERO. Competencia</w:t>
      </w:r>
      <w:bookmarkEnd w:id="17"/>
    </w:p>
    <w:p w14:paraId="143B39AA" w14:textId="77777777" w:rsidR="00881807" w:rsidRPr="00724A12" w:rsidRDefault="00881807" w:rsidP="00CA1DBB">
      <w:pPr>
        <w:spacing w:after="0" w:line="360" w:lineRule="auto"/>
        <w:ind w:right="142"/>
        <w:rPr>
          <w:b/>
        </w:rPr>
      </w:pPr>
    </w:p>
    <w:p w14:paraId="3F1FE18F" w14:textId="6712E871" w:rsidR="00881807" w:rsidRPr="00724A12" w:rsidRDefault="0095797A" w:rsidP="00CA1DBB">
      <w:pPr>
        <w:spacing w:after="0" w:line="360" w:lineRule="auto"/>
        <w:ind w:right="142"/>
      </w:pPr>
      <w:r w:rsidRPr="00724A12">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w:t>
      </w:r>
      <w:r w:rsidR="003B4A7B" w:rsidRPr="00724A12">
        <w:t>noveno, cuadragésimo y cuadragésimo primero</w:t>
      </w:r>
      <w:r w:rsidRPr="00724A12">
        <w:t>,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724A12" w:rsidRDefault="00881807" w:rsidP="00CA1DBB">
      <w:pPr>
        <w:spacing w:after="0" w:line="360" w:lineRule="auto"/>
        <w:ind w:right="142"/>
      </w:pPr>
    </w:p>
    <w:p w14:paraId="062DC0F9" w14:textId="77777777" w:rsidR="00881807" w:rsidRPr="00724A12" w:rsidRDefault="0095797A" w:rsidP="00CA1DBB">
      <w:pPr>
        <w:pStyle w:val="Ttulo2"/>
        <w:spacing w:before="0" w:after="0"/>
      </w:pPr>
      <w:bookmarkStart w:id="18" w:name="_Toc210314811"/>
      <w:r w:rsidRPr="00724A12">
        <w:t>SEGUNDO. Causales de improcedencia y sobreseimiento</w:t>
      </w:r>
      <w:bookmarkEnd w:id="18"/>
    </w:p>
    <w:p w14:paraId="2450B4F3" w14:textId="77777777" w:rsidR="00881807" w:rsidRPr="00724A12" w:rsidRDefault="00881807" w:rsidP="00CA1DBB">
      <w:pPr>
        <w:spacing w:after="0" w:line="360" w:lineRule="auto"/>
        <w:ind w:right="142"/>
      </w:pPr>
    </w:p>
    <w:p w14:paraId="473A935C" w14:textId="77777777" w:rsidR="00881807" w:rsidRPr="00724A12" w:rsidRDefault="0095797A" w:rsidP="00CA1DBB">
      <w:pPr>
        <w:spacing w:after="0" w:line="360" w:lineRule="auto"/>
        <w:ind w:right="142"/>
      </w:pPr>
      <w:r w:rsidRPr="00724A12">
        <w:lastRenderedPageBreak/>
        <w:t xml:space="preserve">De las constancias que forman parte del Recurso de Revisión que se analiza, se advierte que previo al estudio del fondo de la </w:t>
      </w:r>
      <w:proofErr w:type="spellStart"/>
      <w:r w:rsidRPr="00724A12">
        <w:rPr>
          <w:i/>
        </w:rPr>
        <w:t>litis</w:t>
      </w:r>
      <w:proofErr w:type="spellEnd"/>
      <w:r w:rsidRPr="00724A12">
        <w:t>, es necesario estudiar las causales de improcedencia y sobreseimiento que se adviertan, para determinar lo que en Derecho proceda.</w:t>
      </w:r>
    </w:p>
    <w:p w14:paraId="2D341C65" w14:textId="77777777" w:rsidR="00881807" w:rsidRPr="00724A12" w:rsidRDefault="00881807" w:rsidP="00CA1DBB">
      <w:pPr>
        <w:spacing w:after="0" w:line="360" w:lineRule="auto"/>
        <w:ind w:right="142"/>
      </w:pPr>
    </w:p>
    <w:p w14:paraId="43321EB7" w14:textId="77777777" w:rsidR="00881807" w:rsidRPr="00724A12" w:rsidRDefault="0095797A" w:rsidP="00CA1DBB">
      <w:pPr>
        <w:spacing w:after="0" w:line="360" w:lineRule="auto"/>
        <w:ind w:right="142"/>
        <w:rPr>
          <w:b/>
        </w:rPr>
      </w:pPr>
      <w:r w:rsidRPr="00724A12">
        <w:rPr>
          <w:b/>
        </w:rPr>
        <w:t>Causales de improcedencia</w:t>
      </w:r>
    </w:p>
    <w:p w14:paraId="7BEA6883" w14:textId="77777777" w:rsidR="00602079" w:rsidRPr="00724A12" w:rsidRDefault="00602079" w:rsidP="00CA1DBB">
      <w:pPr>
        <w:spacing w:after="0" w:line="360" w:lineRule="auto"/>
        <w:ind w:right="142"/>
        <w:rPr>
          <w:b/>
        </w:rPr>
      </w:pPr>
    </w:p>
    <w:p w14:paraId="179297FB" w14:textId="77777777" w:rsidR="00881807" w:rsidRPr="00724A12" w:rsidRDefault="0095797A" w:rsidP="00CA1DBB">
      <w:pPr>
        <w:spacing w:after="0" w:line="360" w:lineRule="auto"/>
        <w:ind w:right="142"/>
      </w:pPr>
      <w:r w:rsidRPr="00724A12">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724A12">
        <w:t>./</w:t>
      </w:r>
      <w:proofErr w:type="gramEnd"/>
      <w:r w:rsidRPr="00724A12">
        <w:t>J. 163/2005</w:t>
      </w:r>
      <w:r w:rsidRPr="00724A12">
        <w:rPr>
          <w:b/>
        </w:rPr>
        <w:t xml:space="preserve"> </w:t>
      </w:r>
      <w:r w:rsidRPr="00724A12">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DDD3BD7" w14:textId="77777777" w:rsidR="00881807" w:rsidRPr="00724A12" w:rsidRDefault="00881807" w:rsidP="00CA1DBB">
      <w:pPr>
        <w:spacing w:after="0" w:line="360" w:lineRule="auto"/>
        <w:ind w:right="142"/>
      </w:pPr>
    </w:p>
    <w:p w14:paraId="5B4DA821" w14:textId="77777777" w:rsidR="00881807" w:rsidRPr="00724A12" w:rsidRDefault="0095797A" w:rsidP="00CA1DBB">
      <w:pPr>
        <w:spacing w:after="0" w:line="360" w:lineRule="auto"/>
        <w:ind w:right="142"/>
      </w:pPr>
      <w:r w:rsidRPr="00724A12">
        <w:t xml:space="preserve">En el presente caso, </w:t>
      </w:r>
      <w:r w:rsidRPr="00724A12">
        <w:rPr>
          <w:b/>
        </w:rPr>
        <w:t>no se actualiza ninguna de las causales de improcedencia</w:t>
      </w:r>
      <w:r w:rsidRPr="00724A12">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D37F219" w14:textId="77777777" w:rsidR="00881807" w:rsidRPr="00724A12" w:rsidRDefault="00881807" w:rsidP="00CA1DBB">
      <w:pPr>
        <w:spacing w:after="0" w:line="360" w:lineRule="auto"/>
        <w:ind w:right="142"/>
        <w:rPr>
          <w:b/>
        </w:rPr>
      </w:pPr>
    </w:p>
    <w:p w14:paraId="764F8970" w14:textId="77777777" w:rsidR="00881807" w:rsidRPr="00724A12" w:rsidRDefault="0095797A" w:rsidP="00CA1DBB">
      <w:pPr>
        <w:spacing w:after="0" w:line="360" w:lineRule="auto"/>
        <w:ind w:right="142"/>
        <w:rPr>
          <w:b/>
        </w:rPr>
      </w:pPr>
      <w:r w:rsidRPr="00724A12">
        <w:rPr>
          <w:b/>
        </w:rPr>
        <w:t>Causales de sobreseimiento</w:t>
      </w:r>
    </w:p>
    <w:p w14:paraId="298C076A" w14:textId="77777777" w:rsidR="00515CDD" w:rsidRPr="00724A12" w:rsidRDefault="00515CDD" w:rsidP="00CA1DBB">
      <w:pPr>
        <w:spacing w:after="0" w:line="360" w:lineRule="auto"/>
        <w:ind w:right="142"/>
        <w:rPr>
          <w:color w:val="0D0D0D"/>
        </w:rPr>
      </w:pPr>
    </w:p>
    <w:p w14:paraId="31EC90BC" w14:textId="640EDEF3" w:rsidR="00881807" w:rsidRPr="00724A12" w:rsidRDefault="0095797A" w:rsidP="00CA1DBB">
      <w:pPr>
        <w:spacing w:after="0" w:line="360" w:lineRule="auto"/>
        <w:ind w:right="142"/>
      </w:pPr>
      <w:r w:rsidRPr="00724A12">
        <w:rPr>
          <w:color w:val="0D0D0D"/>
        </w:rPr>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724A12">
        <w:rPr>
          <w:b/>
          <w:color w:val="0D0D0D"/>
        </w:rPr>
        <w:t xml:space="preserve"> </w:t>
      </w:r>
      <w:r w:rsidRPr="00724A12">
        <w:rPr>
          <w:color w:val="0D0D0D"/>
        </w:rPr>
        <w:t>toda vez que no hay constancias en el expediente en que se actúa, de que la persona Recurrente se haya desistido, fallecido, que el Sujeto Obligado hubiese modificado o revocado el acto impugnado o bien,</w:t>
      </w:r>
      <w:r w:rsidRPr="00724A12">
        <w:t xml:space="preserve"> </w:t>
      </w:r>
      <w:r w:rsidRPr="00724A12">
        <w:rPr>
          <w:color w:val="0D0D0D"/>
        </w:rPr>
        <w:t>que admitido una vez admitido el Recurso de Revisión, aparezca alguna causal de improcedencia o haya quedado sin materia.</w:t>
      </w:r>
    </w:p>
    <w:p w14:paraId="5B794BB8" w14:textId="77777777" w:rsidR="00881807" w:rsidRPr="00724A12" w:rsidRDefault="00881807" w:rsidP="00CA1DBB">
      <w:pPr>
        <w:spacing w:after="0" w:line="360" w:lineRule="auto"/>
        <w:ind w:right="142"/>
      </w:pPr>
    </w:p>
    <w:p w14:paraId="575AC05D" w14:textId="77777777" w:rsidR="00881807" w:rsidRPr="00724A12" w:rsidRDefault="0095797A" w:rsidP="00CA1DBB">
      <w:pPr>
        <w:pStyle w:val="Ttulo2"/>
        <w:spacing w:before="0" w:after="0"/>
      </w:pPr>
      <w:bookmarkStart w:id="19" w:name="_Toc210314812"/>
      <w:r w:rsidRPr="00724A12">
        <w:t>TERCERO. Determinación de la Controversia</w:t>
      </w:r>
      <w:bookmarkEnd w:id="19"/>
    </w:p>
    <w:p w14:paraId="4F92868D" w14:textId="77777777" w:rsidR="00881807" w:rsidRPr="00724A12" w:rsidRDefault="00881807" w:rsidP="00CA1DBB">
      <w:pPr>
        <w:tabs>
          <w:tab w:val="left" w:pos="4962"/>
        </w:tabs>
        <w:spacing w:after="0" w:line="360" w:lineRule="auto"/>
        <w:ind w:right="142"/>
      </w:pPr>
    </w:p>
    <w:p w14:paraId="1CDB7DF1" w14:textId="3DC5E903" w:rsidR="008373AF" w:rsidRPr="00724A12" w:rsidRDefault="0095797A" w:rsidP="00547008">
      <w:pPr>
        <w:spacing w:after="0" w:line="360" w:lineRule="auto"/>
        <w:ind w:right="142"/>
      </w:pPr>
      <w:r w:rsidRPr="00724A12">
        <w:t>La Solicitante</w:t>
      </w:r>
      <w:r w:rsidR="00515CDD" w:rsidRPr="00724A12">
        <w:t xml:space="preserve">, requirió </w:t>
      </w:r>
      <w:r w:rsidR="00E35765" w:rsidRPr="00724A12">
        <w:t xml:space="preserve">en el ejercicio de su derecho de acceso </w:t>
      </w:r>
      <w:r w:rsidR="001A7319" w:rsidRPr="00724A12">
        <w:t>a la información</w:t>
      </w:r>
      <w:r w:rsidR="00547008" w:rsidRPr="00724A12">
        <w:t>, los comprobantes de todos los pagos realizados por el Sujeto Obligado a Particulares a través de cheque o transferencia electrónica, en los meses de diciembre de 2024, enero y febrero de 2025.</w:t>
      </w:r>
    </w:p>
    <w:p w14:paraId="2E62B3CB" w14:textId="77777777" w:rsidR="00547008" w:rsidRPr="00724A12" w:rsidRDefault="00547008" w:rsidP="00547008">
      <w:pPr>
        <w:spacing w:after="0" w:line="360" w:lineRule="auto"/>
        <w:ind w:right="142"/>
      </w:pPr>
    </w:p>
    <w:p w14:paraId="691FC76D" w14:textId="3B7DB1BF" w:rsidR="00881807" w:rsidRPr="00724A12" w:rsidRDefault="00320206" w:rsidP="00547008">
      <w:pPr>
        <w:spacing w:after="0" w:line="360" w:lineRule="auto"/>
        <w:ind w:right="142"/>
        <w:rPr>
          <w:b/>
          <w:bCs/>
        </w:rPr>
      </w:pPr>
      <w:r w:rsidRPr="00724A12">
        <w:t xml:space="preserve">En respuesta, el Sujeto Obligado, </w:t>
      </w:r>
      <w:r w:rsidR="00547008" w:rsidRPr="00724A12">
        <w:t>refirió que la información exced</w:t>
      </w:r>
      <w:r w:rsidR="00B175F1" w:rsidRPr="00724A12">
        <w:t>ía</w:t>
      </w:r>
      <w:r w:rsidR="00547008" w:rsidRPr="00724A12">
        <w:t xml:space="preserve"> las 44,000 hojas, por lo que se hacia el cambio de modalidad de la entrega de la información.</w:t>
      </w:r>
      <w:r w:rsidR="00B175F1" w:rsidRPr="00724A12">
        <w:t xml:space="preserve"> </w:t>
      </w:r>
      <w:r w:rsidR="006B420A" w:rsidRPr="00724A12">
        <w:t xml:space="preserve">En este contexto, </w:t>
      </w:r>
      <w:r w:rsidR="009D381C" w:rsidRPr="00724A12">
        <w:t xml:space="preserve">los motivos de inconformidad actualizaron la causal de procedencia del artículo 179, </w:t>
      </w:r>
      <w:r w:rsidR="00547008" w:rsidRPr="00724A12">
        <w:t>fracción VII</w:t>
      </w:r>
      <w:r w:rsidR="005E1533" w:rsidRPr="00724A12">
        <w:t>I</w:t>
      </w:r>
      <w:r w:rsidR="0058219B" w:rsidRPr="00724A12">
        <w:t>,</w:t>
      </w:r>
      <w:r w:rsidR="009D381C" w:rsidRPr="00724A12">
        <w:t xml:space="preserve"> de la Ley de Transparencia y Acceso a la Información Pública del Estado de México y Municipios, que contempla que </w:t>
      </w:r>
      <w:r w:rsidR="00B23851" w:rsidRPr="00724A12">
        <w:t xml:space="preserve">el recurso de revisión es un medio de protección que la Ley otorga a los particulares, para hacer valer su derecho de acceso a la información pública, y procede en contra de </w:t>
      </w:r>
      <w:r w:rsidR="00B23851" w:rsidRPr="00724A12">
        <w:rPr>
          <w:b/>
          <w:bCs/>
        </w:rPr>
        <w:t>-</w:t>
      </w:r>
      <w:r w:rsidR="00547008" w:rsidRPr="00724A12">
        <w:t xml:space="preserve"> </w:t>
      </w:r>
      <w:r w:rsidR="00547008" w:rsidRPr="00724A12">
        <w:rPr>
          <w:b/>
          <w:bCs/>
        </w:rPr>
        <w:t xml:space="preserve">la notificación, entrega o puesta a disposición de información en una modalidad </w:t>
      </w:r>
      <w:r w:rsidR="0043281A" w:rsidRPr="00724A12">
        <w:rPr>
          <w:b/>
          <w:bCs/>
        </w:rPr>
        <w:t>distinta a la solicitada</w:t>
      </w:r>
      <w:r w:rsidR="00B23851" w:rsidRPr="00724A12">
        <w:rPr>
          <w:b/>
          <w:bCs/>
        </w:rPr>
        <w:t>-.</w:t>
      </w:r>
    </w:p>
    <w:p w14:paraId="69E87A18" w14:textId="77777777" w:rsidR="0058219B" w:rsidRPr="00724A12" w:rsidRDefault="0058219B" w:rsidP="00CA1DBB">
      <w:pPr>
        <w:spacing w:after="0" w:line="360" w:lineRule="auto"/>
        <w:ind w:right="142"/>
      </w:pPr>
    </w:p>
    <w:p w14:paraId="03328D53" w14:textId="77777777" w:rsidR="00881807" w:rsidRPr="00724A12" w:rsidRDefault="0095797A" w:rsidP="00CA1DBB">
      <w:pPr>
        <w:pStyle w:val="Ttulo2"/>
        <w:spacing w:before="0" w:after="0"/>
      </w:pPr>
      <w:bookmarkStart w:id="20" w:name="_Toc210314813"/>
      <w:r w:rsidRPr="00724A12">
        <w:t>CUARTO. Marco normativo aplicable en materia de transparencia y acceso a la información pública</w:t>
      </w:r>
      <w:bookmarkEnd w:id="20"/>
    </w:p>
    <w:p w14:paraId="45644BC5" w14:textId="77777777" w:rsidR="00881807" w:rsidRPr="00724A12" w:rsidRDefault="00881807" w:rsidP="00CA1DBB">
      <w:pPr>
        <w:spacing w:after="0" w:line="360" w:lineRule="auto"/>
        <w:ind w:right="142"/>
      </w:pPr>
    </w:p>
    <w:p w14:paraId="785D525A" w14:textId="220F4762" w:rsidR="00881807" w:rsidRPr="00724A12" w:rsidRDefault="00484AF2" w:rsidP="00CA1DBB">
      <w:pPr>
        <w:spacing w:after="0" w:line="360" w:lineRule="auto"/>
        <w:ind w:right="142"/>
      </w:pPr>
      <w:r w:rsidRPr="00724A12">
        <w:lastRenderedPageBreak/>
        <w:t>E</w:t>
      </w:r>
      <w:r w:rsidR="0095797A" w:rsidRPr="00724A12">
        <w:t>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F2D4780" w14:textId="77777777" w:rsidR="00881807" w:rsidRPr="00724A12" w:rsidRDefault="00881807" w:rsidP="00CA1DBB">
      <w:pPr>
        <w:spacing w:after="0" w:line="360" w:lineRule="auto"/>
        <w:ind w:right="142"/>
      </w:pPr>
    </w:p>
    <w:p w14:paraId="771CB644" w14:textId="77777777" w:rsidR="00881807" w:rsidRPr="00724A12" w:rsidRDefault="0095797A" w:rsidP="00CA1DBB">
      <w:pPr>
        <w:spacing w:after="0" w:line="360" w:lineRule="auto"/>
        <w:ind w:right="142"/>
      </w:pPr>
      <w:r w:rsidRPr="00724A12">
        <w:t>Por su parte, la Ley de Transparencia y Acceso a la Información Pública del Estado de México y Municipios (Reglamentaria del artículo 5° de la Constitución Local), establece lo siguiente:</w:t>
      </w:r>
    </w:p>
    <w:p w14:paraId="23893475" w14:textId="77777777" w:rsidR="00881807" w:rsidRPr="00724A12" w:rsidRDefault="00881807" w:rsidP="00CA1DBB">
      <w:pPr>
        <w:spacing w:after="0" w:line="360" w:lineRule="auto"/>
        <w:ind w:right="142"/>
      </w:pPr>
    </w:p>
    <w:p w14:paraId="61AE39C1" w14:textId="77777777" w:rsidR="00881807" w:rsidRPr="00724A12" w:rsidRDefault="0095797A" w:rsidP="00CA1DBB">
      <w:pPr>
        <w:spacing w:after="0" w:line="360" w:lineRule="auto"/>
        <w:ind w:right="142"/>
      </w:pPr>
      <w:r w:rsidRPr="00724A12">
        <w:t>El artículo 12 dice que, quienes generen, recopilen, administren, manejen, procesen, archiven o conserven información pública serán responsables de la misma.</w:t>
      </w:r>
    </w:p>
    <w:p w14:paraId="3A56512D" w14:textId="77777777" w:rsidR="00484AF2" w:rsidRPr="00724A12" w:rsidRDefault="00484AF2" w:rsidP="00CA1DBB">
      <w:pPr>
        <w:widowControl w:val="0"/>
        <w:spacing w:after="0" w:line="360" w:lineRule="auto"/>
        <w:ind w:right="142"/>
      </w:pPr>
    </w:p>
    <w:p w14:paraId="73EA855D" w14:textId="6F055337" w:rsidR="00881807" w:rsidRPr="00724A12" w:rsidRDefault="0095797A" w:rsidP="00CA1DBB">
      <w:pPr>
        <w:widowControl w:val="0"/>
        <w:spacing w:after="0" w:line="360" w:lineRule="auto"/>
        <w:ind w:right="142"/>
      </w:pPr>
      <w:r w:rsidRPr="00724A12">
        <w:t>El artículo 18, que, los Sujetos Obligados deberán documentar todo acto que derive del ejercicio de sus facultades, competencias o funciones, considerando desde su origen la eventual publicidad y reutilización de la información que generen.</w:t>
      </w:r>
    </w:p>
    <w:p w14:paraId="070B4257" w14:textId="77777777" w:rsidR="00881807" w:rsidRPr="00724A12" w:rsidRDefault="00881807" w:rsidP="00CA1DBB">
      <w:pPr>
        <w:spacing w:after="0" w:line="360" w:lineRule="auto"/>
        <w:ind w:right="142"/>
      </w:pPr>
    </w:p>
    <w:p w14:paraId="55FCB954" w14:textId="0AFEAAF7" w:rsidR="00881807" w:rsidRPr="00724A12" w:rsidRDefault="0095797A" w:rsidP="00CA1DBB">
      <w:pPr>
        <w:spacing w:after="0" w:line="360" w:lineRule="auto"/>
        <w:ind w:right="142"/>
      </w:pPr>
      <w:r w:rsidRPr="00724A12">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9BE2A3" w14:textId="77777777" w:rsidR="00C952BE" w:rsidRPr="00724A12" w:rsidRDefault="00C952BE" w:rsidP="00CA1DBB">
      <w:pPr>
        <w:spacing w:after="0" w:line="360" w:lineRule="auto"/>
        <w:ind w:right="142"/>
      </w:pPr>
    </w:p>
    <w:p w14:paraId="609BD6C0" w14:textId="5100EED3" w:rsidR="0052044B" w:rsidRPr="00724A12" w:rsidRDefault="0095797A" w:rsidP="00CA1DBB">
      <w:pPr>
        <w:pStyle w:val="Ttulo2"/>
        <w:spacing w:before="0" w:after="0"/>
      </w:pPr>
      <w:bookmarkStart w:id="21" w:name="_Toc210314814"/>
      <w:r w:rsidRPr="00724A12">
        <w:t>QUINTO. Estudio de Fondo</w:t>
      </w:r>
      <w:bookmarkEnd w:id="21"/>
    </w:p>
    <w:p w14:paraId="21970360" w14:textId="3695780A" w:rsidR="00DF10F7" w:rsidRPr="00724A12" w:rsidRDefault="00DF10F7" w:rsidP="00CA1DBB">
      <w:pPr>
        <w:tabs>
          <w:tab w:val="left" w:pos="4962"/>
        </w:tabs>
        <w:spacing w:after="0" w:line="360" w:lineRule="auto"/>
        <w:ind w:right="142"/>
      </w:pPr>
    </w:p>
    <w:p w14:paraId="30376099" w14:textId="051EA00F" w:rsidR="00547008" w:rsidRPr="00724A12" w:rsidRDefault="00A95161" w:rsidP="00547008">
      <w:pPr>
        <w:spacing w:after="0" w:line="360" w:lineRule="auto"/>
        <w:ind w:right="142"/>
      </w:pPr>
      <w:r w:rsidRPr="00724A12">
        <w:t xml:space="preserve">El Particular, </w:t>
      </w:r>
      <w:r w:rsidR="00320206" w:rsidRPr="00724A12">
        <w:t xml:space="preserve">requirió </w:t>
      </w:r>
      <w:r w:rsidR="00547008" w:rsidRPr="00724A12">
        <w:t xml:space="preserve">todos los pagos realizados por el Sujeto Obligado a Particulares a través de cheque o transferencia electrónica, en los meses de diciembre de 2024, enero y febrero de </w:t>
      </w:r>
      <w:r w:rsidR="00547008" w:rsidRPr="00724A12">
        <w:lastRenderedPageBreak/>
        <w:t>2025</w:t>
      </w:r>
      <w:r w:rsidR="00B175F1" w:rsidRPr="00724A12">
        <w:t>; por lo que</w:t>
      </w:r>
      <w:r w:rsidR="00547008" w:rsidRPr="00724A12">
        <w:t xml:space="preserve">, resulta necesario entrar al estudio de la naturaleza jurídica </w:t>
      </w:r>
      <w:r w:rsidR="00A65B07" w:rsidRPr="00724A12">
        <w:t>y a su fuente obligacional de obrar en archivos del Sujeto Obligado.</w:t>
      </w:r>
    </w:p>
    <w:p w14:paraId="72980F61" w14:textId="77777777" w:rsidR="00A65B07" w:rsidRPr="00724A12" w:rsidRDefault="00A65B07" w:rsidP="00547008">
      <w:pPr>
        <w:spacing w:after="0" w:line="360" w:lineRule="auto"/>
        <w:ind w:right="142"/>
      </w:pPr>
    </w:p>
    <w:p w14:paraId="2B236BD4" w14:textId="235466D6" w:rsidR="00A65B07" w:rsidRPr="00724A12" w:rsidRDefault="00A65B07" w:rsidP="00547008">
      <w:pPr>
        <w:spacing w:after="0" w:line="360" w:lineRule="auto"/>
        <w:ind w:right="142"/>
      </w:pPr>
      <w:r w:rsidRPr="00724A12">
        <w:t>La información requerida refiere a las erogaciones realizadas a Particulares por la Fiscalía, a lo cual, debemos primero advertir que no se señaló el concepto del pago, únicamente, estableció como parámetro de búsqueda que el flujo de dinero, saliera del Sujeto Obligado y fuera pagado a un particular.</w:t>
      </w:r>
    </w:p>
    <w:p w14:paraId="7E53DCF3" w14:textId="77777777" w:rsidR="00A65B07" w:rsidRPr="00724A12" w:rsidRDefault="00A65B07" w:rsidP="00547008">
      <w:pPr>
        <w:spacing w:after="0" w:line="360" w:lineRule="auto"/>
        <w:ind w:right="142"/>
      </w:pPr>
    </w:p>
    <w:p w14:paraId="79A89159" w14:textId="77777777" w:rsidR="00B175F1" w:rsidRPr="00724A12" w:rsidRDefault="00A65B07" w:rsidP="00547008">
      <w:pPr>
        <w:spacing w:after="0" w:line="360" w:lineRule="auto"/>
        <w:ind w:right="142"/>
      </w:pPr>
      <w:r w:rsidRPr="00724A12">
        <w:t xml:space="preserve">Cuando una entidad pública como la Fiscalía General de Justicia del Estado de México (FGJEM) realiza pagos a particulares, el concepto de “particulares” debe entenderse como personas físicas o morales que no ostentan la calidad de servidores públicos en ese contexto jurídico-administrativo. </w:t>
      </w:r>
    </w:p>
    <w:p w14:paraId="048CC88E" w14:textId="77777777" w:rsidR="00B175F1" w:rsidRPr="00724A12" w:rsidRDefault="00B175F1" w:rsidP="00547008">
      <w:pPr>
        <w:spacing w:after="0" w:line="360" w:lineRule="auto"/>
        <w:ind w:right="142"/>
      </w:pPr>
    </w:p>
    <w:p w14:paraId="72504FBC" w14:textId="52DD081B" w:rsidR="00A65B07" w:rsidRPr="00724A12" w:rsidRDefault="00A65B07" w:rsidP="00547008">
      <w:pPr>
        <w:spacing w:after="0" w:line="360" w:lineRule="auto"/>
        <w:ind w:right="142"/>
      </w:pPr>
      <w:r w:rsidRPr="00724A12">
        <w:t>Se entiende por pagos a particulares aquellos recursos públicos erogados por la Fiscalía General de Justicia del Estado de México a personas físicas o jurídico-colectivas que no mantienen una relación de subordinación laboral con dicha institución, y cuya naturaleza jurídica deriva de relaciones contractuales civiles, mercantiles, administrativas o de colaboración, excluyendo expresamente los pagos por concepto de nómina y remuneraciones a servidores públicos.</w:t>
      </w:r>
    </w:p>
    <w:p w14:paraId="4E0592B6" w14:textId="77777777" w:rsidR="00E762E5" w:rsidRPr="00724A12" w:rsidRDefault="00E762E5" w:rsidP="00547008">
      <w:pPr>
        <w:spacing w:after="0" w:line="360" w:lineRule="auto"/>
        <w:ind w:right="142"/>
      </w:pPr>
    </w:p>
    <w:p w14:paraId="3BC1BF94" w14:textId="68DF4CC6" w:rsidR="00E762E5" w:rsidRPr="00724A12" w:rsidRDefault="00E762E5" w:rsidP="00547008">
      <w:pPr>
        <w:spacing w:after="0" w:line="360" w:lineRule="auto"/>
        <w:ind w:right="142"/>
      </w:pPr>
      <w:r w:rsidRPr="00724A12">
        <w:t>Es relevante señalar q</w:t>
      </w:r>
      <w:r w:rsidR="00A43696" w:rsidRPr="00724A12">
        <w:t xml:space="preserve">ue la Ley de la Fiscalía </w:t>
      </w:r>
      <w:r w:rsidR="00C863EB" w:rsidRPr="00724A12">
        <w:t xml:space="preserve">General de Justicia del Estado de México, publicada en el </w:t>
      </w:r>
      <w:r w:rsidR="001356BD" w:rsidRPr="00724A12">
        <w:t xml:space="preserve">Periódico Oficial “Gaceta del Gobierno” el 9 de diciembre de 2016, se otorgó </w:t>
      </w:r>
      <w:r w:rsidR="00C2162B" w:rsidRPr="00724A12">
        <w:t>autonomía presupuestal, técnica y de gestión, con capacidad para decidir sobre el ejercicio de su presupuesto, conforme su artículo primero</w:t>
      </w:r>
      <w:r w:rsidR="00D6737B" w:rsidRPr="00724A12">
        <w:t xml:space="preserve">, lo que se sustenta también en el artículo </w:t>
      </w:r>
      <w:r w:rsidR="00846B16" w:rsidRPr="00724A12">
        <w:t>83 de la Constitución Política del Estado Libre y Soberano de México.</w:t>
      </w:r>
    </w:p>
    <w:p w14:paraId="5EDC307F" w14:textId="77777777" w:rsidR="00C2162B" w:rsidRPr="00724A12" w:rsidRDefault="00C2162B" w:rsidP="00547008">
      <w:pPr>
        <w:spacing w:after="0" w:line="360" w:lineRule="auto"/>
        <w:ind w:right="142"/>
      </w:pPr>
    </w:p>
    <w:p w14:paraId="0DF7190B" w14:textId="403EF572" w:rsidR="00C2162B" w:rsidRPr="00724A12" w:rsidRDefault="00C26B11" w:rsidP="00547008">
      <w:pPr>
        <w:spacing w:after="0" w:line="360" w:lineRule="auto"/>
        <w:ind w:right="142"/>
      </w:pPr>
      <w:r w:rsidRPr="00724A12">
        <w:lastRenderedPageBreak/>
        <w:t>A saber,</w:t>
      </w:r>
      <w:r w:rsidR="00EC6311" w:rsidRPr="00724A12">
        <w:t xml:space="preserve"> con </w:t>
      </w:r>
      <w:r w:rsidRPr="00724A12">
        <w:t xml:space="preserve">la reforma señalada en el párrafo anterior, </w:t>
      </w:r>
      <w:r w:rsidR="00891091" w:rsidRPr="00724A12">
        <w:t>la hoy Fiscalía General, se llamaba Procuraduría General del Estado de México</w:t>
      </w:r>
      <w:r w:rsidR="00D736F4" w:rsidRPr="00724A12">
        <w:t>, por lo que con este cambio no solo fue</w:t>
      </w:r>
      <w:r w:rsidR="000014E5" w:rsidRPr="00724A12">
        <w:t xml:space="preserve"> por razones nominativas, sino que existe una modificación en su naturaleza jurídica, </w:t>
      </w:r>
      <w:r w:rsidR="00720FF8" w:rsidRPr="00724A12">
        <w:t>que al cambiar de una dependencia del Gobierno del Estado de México a convertirse en un</w:t>
      </w:r>
      <w:r w:rsidR="00C66AF7" w:rsidRPr="00724A12">
        <w:t xml:space="preserve"> organismo autónomo</w:t>
      </w:r>
      <w:r w:rsidR="00846B16" w:rsidRPr="00724A12">
        <w:t xml:space="preserve">, no solo tienen la libertad para ejercer su patrimonio, sino que además, cuentan con la obligación de </w:t>
      </w:r>
      <w:r w:rsidR="00470EC8" w:rsidRPr="00724A12">
        <w:t xml:space="preserve">ser fiscalizados por el Órgano Superior de Fiscalización del Estado de México, </w:t>
      </w:r>
      <w:r w:rsidR="00B65D9F" w:rsidRPr="00724A12">
        <w:t xml:space="preserve">como se puede advertir en los </w:t>
      </w:r>
      <w:r w:rsidR="00724F98" w:rsidRPr="00724A12">
        <w:t xml:space="preserve">Módulos del </w:t>
      </w:r>
      <w:r w:rsidR="009273AD" w:rsidRPr="00724A12">
        <w:t xml:space="preserve">“Informe Trimestral Estatal Ejercicio Fiscal 2025”, que en concreto, se contemplan en el </w:t>
      </w:r>
      <w:r w:rsidR="00536233" w:rsidRPr="00724A12">
        <w:t>Módulo 1, contempla la obligación de reportar trimestralmente las erogaciones</w:t>
      </w:r>
      <w:r w:rsidR="00D12A9D" w:rsidRPr="00724A12">
        <w:t>, como se advierte de la siguiente imagen:</w:t>
      </w:r>
    </w:p>
    <w:p w14:paraId="1DF93CB3" w14:textId="77777777" w:rsidR="00D12A9D" w:rsidRPr="00724A12" w:rsidRDefault="00D12A9D" w:rsidP="00547008">
      <w:pPr>
        <w:spacing w:after="0" w:line="360" w:lineRule="auto"/>
        <w:ind w:right="142"/>
      </w:pPr>
    </w:p>
    <w:p w14:paraId="292FF8ED" w14:textId="77267704" w:rsidR="00D12A9D" w:rsidRPr="00724A12" w:rsidRDefault="00D12A9D" w:rsidP="00547008">
      <w:pPr>
        <w:spacing w:after="0" w:line="360" w:lineRule="auto"/>
        <w:ind w:right="142"/>
      </w:pPr>
      <w:r w:rsidRPr="00724A12">
        <w:rPr>
          <w:noProof/>
        </w:rPr>
        <mc:AlternateContent>
          <mc:Choice Requires="wps">
            <w:drawing>
              <wp:anchor distT="0" distB="0" distL="114300" distR="114300" simplePos="0" relativeHeight="251659264" behindDoc="0" locked="0" layoutInCell="1" allowOverlap="1" wp14:anchorId="19B0C573" wp14:editId="6830B692">
                <wp:simplePos x="0" y="0"/>
                <wp:positionH relativeFrom="column">
                  <wp:posOffset>100965</wp:posOffset>
                </wp:positionH>
                <wp:positionV relativeFrom="paragraph">
                  <wp:posOffset>2573655</wp:posOffset>
                </wp:positionV>
                <wp:extent cx="5751830" cy="1325880"/>
                <wp:effectExtent l="0" t="0" r="20320" b="26670"/>
                <wp:wrapNone/>
                <wp:docPr id="645735615" name="Rectángulo 1"/>
                <wp:cNvGraphicFramePr/>
                <a:graphic xmlns:a="http://schemas.openxmlformats.org/drawingml/2006/main">
                  <a:graphicData uri="http://schemas.microsoft.com/office/word/2010/wordprocessingShape">
                    <wps:wsp>
                      <wps:cNvSpPr/>
                      <wps:spPr>
                        <a:xfrm>
                          <a:off x="0" y="0"/>
                          <a:ext cx="5751830" cy="132588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F2C3A9" id="Rectángulo 1" o:spid="_x0000_s1026" style="position:absolute;margin-left:7.95pt;margin-top:202.65pt;width:452.9pt;height:104.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" filled="f" strokecolor="#e00" strokeweight="1.5pt"/>
            </w:pict>
          </mc:Fallback>
        </mc:AlternateContent>
      </w:r>
      <w:r w:rsidRPr="00724A12">
        <w:rPr>
          <w:noProof/>
        </w:rPr>
        <w:drawing>
          <wp:inline distT="0" distB="0" distL="0" distR="0" wp14:anchorId="317D584C" wp14:editId="5523A20E">
            <wp:extent cx="5850890" cy="3897630"/>
            <wp:effectExtent l="0" t="0" r="0" b="7620"/>
            <wp:docPr id="773001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00174" name=""/>
                    <pic:cNvPicPr/>
                  </pic:nvPicPr>
                  <pic:blipFill rotWithShape="1">
                    <a:blip r:embed="rId9"/>
                    <a:srcRect b="28295"/>
                    <a:stretch/>
                  </pic:blipFill>
                  <pic:spPr bwMode="auto">
                    <a:xfrm>
                      <a:off x="0" y="0"/>
                      <a:ext cx="5850890" cy="3897630"/>
                    </a:xfrm>
                    <a:prstGeom prst="rect">
                      <a:avLst/>
                    </a:prstGeom>
                    <a:ln>
                      <a:noFill/>
                    </a:ln>
                    <a:extLst>
                      <a:ext uri="{53640926-AAD7-44D8-BBD7-CCE9431645EC}">
                        <a14:shadowObscured xmlns:a14="http://schemas.microsoft.com/office/drawing/2010/main"/>
                      </a:ext>
                    </a:extLst>
                  </pic:spPr>
                </pic:pic>
              </a:graphicData>
            </a:graphic>
          </wp:inline>
        </w:drawing>
      </w:r>
    </w:p>
    <w:p w14:paraId="4294EE4A" w14:textId="77777777" w:rsidR="00A65B07" w:rsidRPr="00724A12" w:rsidRDefault="00A65B07" w:rsidP="00547008">
      <w:pPr>
        <w:spacing w:after="0" w:line="360" w:lineRule="auto"/>
        <w:ind w:right="142"/>
      </w:pPr>
    </w:p>
    <w:p w14:paraId="7F0A9786" w14:textId="4AF96C67" w:rsidR="008C4C0A" w:rsidRPr="00724A12" w:rsidRDefault="00D12A9D" w:rsidP="00547008">
      <w:pPr>
        <w:spacing w:after="0" w:line="360" w:lineRule="auto"/>
        <w:ind w:right="142"/>
      </w:pPr>
      <w:r w:rsidRPr="00724A12">
        <w:lastRenderedPageBreak/>
        <w:t xml:space="preserve">Además, debemos señalar que el Sujeto Obligado, tácitamente aceptó contar con la información, por lo que, para delimitar la información debemos </w:t>
      </w:r>
      <w:r w:rsidR="008C4C0A" w:rsidRPr="00724A12">
        <w:t>identificar los supuestos ante los cuales la Fiscalía pudo erogar recursos a Particulares</w:t>
      </w:r>
      <w:r w:rsidRPr="00724A12">
        <w:t xml:space="preserve"> de los cuales se advierten al menos los siguientes supuestos:</w:t>
      </w:r>
    </w:p>
    <w:p w14:paraId="192480C8" w14:textId="77777777" w:rsidR="008C4C0A" w:rsidRPr="00724A12" w:rsidRDefault="008C4C0A" w:rsidP="00547008">
      <w:pPr>
        <w:spacing w:after="0" w:line="360" w:lineRule="auto"/>
        <w:ind w:right="142"/>
      </w:pPr>
    </w:p>
    <w:p w14:paraId="3B850F3B" w14:textId="7264F2F3" w:rsidR="00A65B07" w:rsidRPr="00724A12" w:rsidRDefault="00A65B07" w:rsidP="00B175F1">
      <w:pPr>
        <w:pStyle w:val="Prrafodelista"/>
        <w:numPr>
          <w:ilvl w:val="0"/>
          <w:numId w:val="37"/>
        </w:numPr>
        <w:spacing w:line="360" w:lineRule="auto"/>
        <w:ind w:right="142"/>
        <w:rPr>
          <w:b/>
          <w:bCs/>
        </w:rPr>
      </w:pPr>
      <w:r w:rsidRPr="00724A12">
        <w:rPr>
          <w:b/>
          <w:bCs/>
        </w:rPr>
        <w:t>Proveedores de bienes</w:t>
      </w:r>
    </w:p>
    <w:p w14:paraId="6BDFF0CA" w14:textId="77777777" w:rsidR="00B175F1" w:rsidRPr="00724A12" w:rsidRDefault="00B175F1" w:rsidP="00A65B07">
      <w:pPr>
        <w:spacing w:after="0" w:line="360" w:lineRule="auto"/>
        <w:ind w:right="142"/>
      </w:pPr>
    </w:p>
    <w:p w14:paraId="0EE46B9C" w14:textId="0BD7ABA1" w:rsidR="00A65B07" w:rsidRPr="00724A12" w:rsidRDefault="00A65B07" w:rsidP="00A65B07">
      <w:pPr>
        <w:spacing w:after="0" w:line="360" w:lineRule="auto"/>
        <w:ind w:right="142"/>
      </w:pPr>
      <w:r w:rsidRPr="00724A12">
        <w:t>Se refiere a los pagos realizados por la Fiscalía a personas físicas o morales que, sin tener el carácter de servidores públicos, han celebrado contratos de compraventa, suministro o adquisición de bienes muebles e insumos necesarios para el funcionamiento institucional. Esto incluye, entre otros, la adquisición de</w:t>
      </w:r>
      <w:r w:rsidR="001F273F" w:rsidRPr="00724A12">
        <w:t xml:space="preserve"> e</w:t>
      </w:r>
      <w:r w:rsidRPr="00724A12">
        <w:t>quipos de cómputo</w:t>
      </w:r>
      <w:r w:rsidR="001F273F" w:rsidRPr="00724A12">
        <w:t>, la p</w:t>
      </w:r>
      <w:r w:rsidRPr="00724A12">
        <w:t>apelería y material de oficina</w:t>
      </w:r>
      <w:r w:rsidR="001F273F" w:rsidRPr="00724A12">
        <w:t>, mobiliario, m</w:t>
      </w:r>
      <w:r w:rsidRPr="00724A12">
        <w:t>obiliario</w:t>
      </w:r>
      <w:r w:rsidR="00E762E5" w:rsidRPr="00724A12">
        <w:t>, v</w:t>
      </w:r>
      <w:r w:rsidRPr="00724A12">
        <w:t>ehículos</w:t>
      </w:r>
      <w:r w:rsidR="00E762E5" w:rsidRPr="00724A12">
        <w:t>, h</w:t>
      </w:r>
      <w:r w:rsidRPr="00724A12">
        <w:t>erramientas y equipo técnico</w:t>
      </w:r>
      <w:r w:rsidR="00E762E5" w:rsidRPr="00724A12">
        <w:t>, por señalar algunos de los bienes que pueden ser adquiridos.</w:t>
      </w:r>
    </w:p>
    <w:p w14:paraId="6DCCEA55" w14:textId="77777777" w:rsidR="00923E97" w:rsidRPr="00724A12" w:rsidRDefault="00923E97" w:rsidP="00A65B07">
      <w:pPr>
        <w:spacing w:after="0" w:line="360" w:lineRule="auto"/>
        <w:ind w:right="142"/>
      </w:pPr>
    </w:p>
    <w:p w14:paraId="7AB0B3A8" w14:textId="4201F294" w:rsidR="00A65B07" w:rsidRPr="00724A12" w:rsidRDefault="00A65B07" w:rsidP="00A65B07">
      <w:pPr>
        <w:spacing w:after="0" w:line="360" w:lineRule="auto"/>
        <w:ind w:right="142"/>
      </w:pPr>
      <w:r w:rsidRPr="00724A12">
        <w:t>Este tipo de relaciones se rige por la normativa aplicable en materia de adquisiciones, arrendamientos y servicios del sector público, y su carácter es estrictamente mercantil o administrativo.</w:t>
      </w:r>
      <w:r w:rsidR="00923E97" w:rsidRPr="00724A12">
        <w:t xml:space="preserve"> El sustento de este tipo de contrataciones se localiza en la </w:t>
      </w:r>
      <w:r w:rsidRPr="00724A12">
        <w:t>Ley de Adquisiciones del Estado de México y sus Municipios</w:t>
      </w:r>
      <w:r w:rsidR="00923E97" w:rsidRPr="00724A12">
        <w:t>.</w:t>
      </w:r>
    </w:p>
    <w:p w14:paraId="67E9258C" w14:textId="77777777" w:rsidR="00A65B07" w:rsidRPr="00724A12" w:rsidRDefault="00A65B07" w:rsidP="00A65B07">
      <w:pPr>
        <w:spacing w:after="0" w:line="360" w:lineRule="auto"/>
        <w:ind w:right="142"/>
      </w:pPr>
    </w:p>
    <w:p w14:paraId="4A11DA34" w14:textId="29544C02" w:rsidR="00923E97" w:rsidRPr="00724A12" w:rsidRDefault="00A65B07" w:rsidP="00A65B07">
      <w:pPr>
        <w:spacing w:after="0" w:line="360" w:lineRule="auto"/>
        <w:ind w:right="142"/>
        <w:rPr>
          <w:b/>
          <w:bCs/>
        </w:rPr>
      </w:pPr>
      <w:r w:rsidRPr="00724A12">
        <w:rPr>
          <w:b/>
          <w:bCs/>
        </w:rPr>
        <w:t>2. Prestadores de servicios profesionales por honorarios</w:t>
      </w:r>
    </w:p>
    <w:p w14:paraId="7A59AD0D" w14:textId="77777777" w:rsidR="00B175F1" w:rsidRPr="00724A12" w:rsidRDefault="00B175F1" w:rsidP="00A65B07">
      <w:pPr>
        <w:spacing w:after="0" w:line="360" w:lineRule="auto"/>
        <w:ind w:right="142"/>
        <w:rPr>
          <w:b/>
          <w:bCs/>
        </w:rPr>
      </w:pPr>
    </w:p>
    <w:p w14:paraId="6278685B" w14:textId="67937769" w:rsidR="00A65B07" w:rsidRPr="00724A12" w:rsidRDefault="00A65B07" w:rsidP="00A65B07">
      <w:pPr>
        <w:spacing w:after="0" w:line="360" w:lineRule="auto"/>
        <w:ind w:right="142"/>
      </w:pPr>
      <w:r w:rsidRPr="00724A12">
        <w:t>Incluye a aquellas personas físicas que prestan servicios profesionales especializados bajo contrato de honorarios, sin existir relación laboral con la Fiscalía. Pueden ser</w:t>
      </w:r>
      <w:r w:rsidR="00923E97" w:rsidRPr="00724A12">
        <w:t xml:space="preserve"> de </w:t>
      </w:r>
      <w:r w:rsidR="009F08D0" w:rsidRPr="00724A12">
        <w:t xml:space="preserve">cuestiones de naturaleza jurídica, peritos, especialistas, personal contratado para actividades específicas o bajo un régimen de prestación de servicios independientes. Estos, se regulan a través de una relación contractual de naturaleza civil. </w:t>
      </w:r>
    </w:p>
    <w:p w14:paraId="420B4BCC" w14:textId="26750574" w:rsidR="00A65B07" w:rsidRPr="00724A12" w:rsidRDefault="00A65B07" w:rsidP="00A65B07">
      <w:pPr>
        <w:spacing w:after="0" w:line="360" w:lineRule="auto"/>
        <w:ind w:right="142"/>
        <w:rPr>
          <w:b/>
        </w:rPr>
      </w:pPr>
      <w:r w:rsidRPr="00724A12">
        <w:rPr>
          <w:b/>
        </w:rPr>
        <w:lastRenderedPageBreak/>
        <w:t xml:space="preserve">3. </w:t>
      </w:r>
      <w:r w:rsidR="001B012C" w:rsidRPr="00724A12">
        <w:rPr>
          <w:b/>
        </w:rPr>
        <w:t>Pago por contratos civiles, como puede ser en el caso de a</w:t>
      </w:r>
      <w:r w:rsidRPr="00724A12">
        <w:rPr>
          <w:b/>
        </w:rPr>
        <w:t>rrendadores de bienes muebles o inmuebles</w:t>
      </w:r>
      <w:r w:rsidR="001B012C" w:rsidRPr="00724A12">
        <w:rPr>
          <w:b/>
        </w:rPr>
        <w:t>.</w:t>
      </w:r>
    </w:p>
    <w:p w14:paraId="2437B989" w14:textId="77777777" w:rsidR="00B175F1" w:rsidRPr="00724A12" w:rsidRDefault="00B175F1" w:rsidP="00A65B07">
      <w:pPr>
        <w:spacing w:after="0" w:line="360" w:lineRule="auto"/>
        <w:ind w:right="142"/>
        <w:rPr>
          <w:b/>
        </w:rPr>
      </w:pPr>
    </w:p>
    <w:p w14:paraId="4667B956" w14:textId="2301E4AF" w:rsidR="00A65B07" w:rsidRPr="00724A12" w:rsidRDefault="00A65B07" w:rsidP="00A65B07">
      <w:pPr>
        <w:spacing w:after="0" w:line="360" w:lineRule="auto"/>
        <w:ind w:right="142"/>
      </w:pPr>
      <w:r w:rsidRPr="00724A12">
        <w:t xml:space="preserve">Este supuesto contempla los pagos realizados a personas físicas o morales que arriendan bienes inmuebles (oficinas, bodegas, estacionamientos, etc.) o bienes muebles (vehículos, equipo especializado, mobiliario) </w:t>
      </w:r>
      <w:r w:rsidR="009F08D0" w:rsidRPr="00724A12">
        <w:t xml:space="preserve">al Sujeto Obligado. </w:t>
      </w:r>
    </w:p>
    <w:p w14:paraId="2A6E9E81" w14:textId="77777777" w:rsidR="009F08D0" w:rsidRPr="00724A12" w:rsidRDefault="009F08D0" w:rsidP="00A65B07">
      <w:pPr>
        <w:spacing w:after="0" w:line="360" w:lineRule="auto"/>
        <w:ind w:right="142"/>
      </w:pPr>
    </w:p>
    <w:p w14:paraId="143DE51F" w14:textId="07A4C940" w:rsidR="00A65B07" w:rsidRPr="00724A12" w:rsidRDefault="00A65B07" w:rsidP="00A65B07">
      <w:pPr>
        <w:spacing w:after="0" w:line="360" w:lineRule="auto"/>
        <w:ind w:right="142"/>
      </w:pPr>
      <w:r w:rsidRPr="00724A12">
        <w:t>Estas relaciones jurídicas tienen su base en contratos de arrendamiento, celebrados de conformidad con las disposiciones civiles y administrativas correspondientes, y los arrendadores deben considerarse como particulares al no tener vínculo institucional con la Fiscalía.</w:t>
      </w:r>
      <w:r w:rsidR="009F08D0" w:rsidRPr="00724A12">
        <w:t xml:space="preserve"> Pueden ser contratos tanto de naturaleza Civil, como administrativa en términos de la ley de adquisiciones en cita.</w:t>
      </w:r>
    </w:p>
    <w:p w14:paraId="7A62BBCF" w14:textId="77777777" w:rsidR="00A65B07" w:rsidRPr="00724A12" w:rsidRDefault="00A65B07" w:rsidP="00A65B07">
      <w:pPr>
        <w:spacing w:after="0" w:line="360" w:lineRule="auto"/>
        <w:ind w:right="142"/>
      </w:pPr>
    </w:p>
    <w:p w14:paraId="73A74B16" w14:textId="77777777" w:rsidR="00A65B07" w:rsidRPr="00724A12" w:rsidRDefault="00A65B07" w:rsidP="00A65B07">
      <w:pPr>
        <w:spacing w:after="0" w:line="360" w:lineRule="auto"/>
        <w:ind w:right="142"/>
        <w:rPr>
          <w:b/>
          <w:bCs/>
        </w:rPr>
      </w:pPr>
      <w:r w:rsidRPr="00724A12">
        <w:rPr>
          <w:b/>
          <w:bCs/>
        </w:rPr>
        <w:t>4. Beneficiarios de convenios de colaboración o subsidios</w:t>
      </w:r>
    </w:p>
    <w:p w14:paraId="73C3FF6D" w14:textId="77777777" w:rsidR="009F08D0" w:rsidRPr="00724A12" w:rsidRDefault="009F08D0" w:rsidP="00A65B07">
      <w:pPr>
        <w:spacing w:after="0" w:line="360" w:lineRule="auto"/>
        <w:ind w:right="142"/>
      </w:pPr>
    </w:p>
    <w:p w14:paraId="73F87F6E" w14:textId="77777777" w:rsidR="00A65B07" w:rsidRPr="00724A12" w:rsidRDefault="00A65B07" w:rsidP="00A65B07">
      <w:pPr>
        <w:spacing w:after="0" w:line="360" w:lineRule="auto"/>
        <w:ind w:right="142"/>
      </w:pPr>
      <w:r w:rsidRPr="00724A12">
        <w:t>Corresponde a pagos realizados a particulares —principalmente personas morales como asociaciones civiles, organizaciones no gubernamentales, universidades o centros de investigación— con motivo de convenios de colaboración, subsidios o transferencias públicas para el desarrollo de programas, estudios o acciones conjuntas con la Fiscalía.</w:t>
      </w:r>
    </w:p>
    <w:p w14:paraId="24BACEB6" w14:textId="77777777" w:rsidR="009F08D0" w:rsidRPr="00724A12" w:rsidRDefault="009F08D0" w:rsidP="00A65B07">
      <w:pPr>
        <w:spacing w:after="0" w:line="360" w:lineRule="auto"/>
        <w:ind w:right="142"/>
      </w:pPr>
    </w:p>
    <w:p w14:paraId="1F3D834B" w14:textId="5F1DDB91" w:rsidR="00A65B07" w:rsidRPr="00724A12" w:rsidRDefault="00A65B07" w:rsidP="00A65B07">
      <w:pPr>
        <w:spacing w:after="0" w:line="360" w:lineRule="auto"/>
        <w:ind w:right="142"/>
      </w:pPr>
      <w:r w:rsidRPr="00724A12">
        <w:t>Aunque estos recursos tienen una finalidad pública, los destinatarios conservan su carácter de particulares por no ser parte del aparato gubernamental.</w:t>
      </w:r>
      <w:r w:rsidR="00C1346F" w:rsidRPr="00724A12">
        <w:t xml:space="preserve">  Algunos supuestos pueden ser convenios</w:t>
      </w:r>
      <w:r w:rsidR="00E66E59" w:rsidRPr="00724A12">
        <w:t xml:space="preserve"> para la realización de estudios o investigaciones, apoyo a sectores, como pueden ser víctimas de delitos, capacitación de personal a través de una relación de coordinación, por señalar algunos supuestos. </w:t>
      </w:r>
      <w:r w:rsidR="004F24C6" w:rsidRPr="00724A12">
        <w:t>Su naturaleza, puede ser muy diversa, desde naturaleza Civil, administrativa, mercantil e incluso, educativa, por señalar algunos supuestos.</w:t>
      </w:r>
    </w:p>
    <w:p w14:paraId="4501559C" w14:textId="327B5C9F" w:rsidR="00A65B07" w:rsidRPr="00724A12" w:rsidRDefault="00A65B07" w:rsidP="00A65B07">
      <w:pPr>
        <w:spacing w:after="0" w:line="360" w:lineRule="auto"/>
        <w:ind w:right="142"/>
        <w:rPr>
          <w:b/>
          <w:bCs/>
        </w:rPr>
      </w:pPr>
      <w:r w:rsidRPr="00724A12">
        <w:rPr>
          <w:b/>
          <w:bCs/>
        </w:rPr>
        <w:lastRenderedPageBreak/>
        <w:t>5. Personas físicas beneficiarias de pagos por indemnizaciones</w:t>
      </w:r>
      <w:r w:rsidR="00B175F1" w:rsidRPr="00724A12">
        <w:rPr>
          <w:b/>
          <w:bCs/>
        </w:rPr>
        <w:t>,</w:t>
      </w:r>
      <w:r w:rsidRPr="00724A12">
        <w:rPr>
          <w:b/>
          <w:bCs/>
        </w:rPr>
        <w:t xml:space="preserve"> reparaciones del daño</w:t>
      </w:r>
      <w:r w:rsidR="005745C6" w:rsidRPr="00724A12">
        <w:rPr>
          <w:b/>
          <w:bCs/>
        </w:rPr>
        <w:t xml:space="preserve"> o cumplimiento de resoluciones.</w:t>
      </w:r>
    </w:p>
    <w:p w14:paraId="3B90D988" w14:textId="77777777" w:rsidR="004F24C6" w:rsidRPr="00724A12" w:rsidRDefault="004F24C6" w:rsidP="00A65B07">
      <w:pPr>
        <w:spacing w:after="0" w:line="360" w:lineRule="auto"/>
        <w:ind w:right="142"/>
      </w:pPr>
    </w:p>
    <w:p w14:paraId="5F3E0E19" w14:textId="177D4370" w:rsidR="00A65B07" w:rsidRPr="00724A12" w:rsidRDefault="00A65B07" w:rsidP="00A65B07">
      <w:pPr>
        <w:spacing w:after="0" w:line="360" w:lineRule="auto"/>
        <w:ind w:right="142"/>
      </w:pPr>
      <w:r w:rsidRPr="00724A12">
        <w:t>En este rubro se encuentran aquellas personas físicas que reciben pagos derivados de la responsabilidad patrimonial del Estado o del cumplimiento de sentencias, convenios o resoluciones que establezcan el pago de una indemnización o reparación del daño, por hechos atribuibles a la Fiscalía o sus agentes.</w:t>
      </w:r>
    </w:p>
    <w:p w14:paraId="19D6F415" w14:textId="77777777" w:rsidR="002139F0" w:rsidRPr="00724A12" w:rsidRDefault="002139F0" w:rsidP="00A65B07">
      <w:pPr>
        <w:spacing w:after="0" w:line="360" w:lineRule="auto"/>
        <w:ind w:right="142"/>
      </w:pPr>
    </w:p>
    <w:p w14:paraId="6AAFB969" w14:textId="77777777" w:rsidR="00A65B07" w:rsidRPr="00724A12" w:rsidRDefault="00A65B07" w:rsidP="00A65B07">
      <w:pPr>
        <w:spacing w:after="0" w:line="360" w:lineRule="auto"/>
        <w:ind w:right="142"/>
      </w:pPr>
      <w:r w:rsidRPr="00724A12">
        <w:t>Estos pagos no son prestaciones, ni retribuciones contractuales, sino el cumplimiento de una obligación legal derivada de una afectación a derechos o bienes de un particular.</w:t>
      </w:r>
    </w:p>
    <w:p w14:paraId="5B1A39E2" w14:textId="77777777" w:rsidR="00A65B07" w:rsidRPr="00724A12" w:rsidRDefault="00A65B07" w:rsidP="00547008">
      <w:pPr>
        <w:spacing w:after="0" w:line="360" w:lineRule="auto"/>
        <w:ind w:right="142"/>
      </w:pPr>
    </w:p>
    <w:p w14:paraId="0CE2EC86" w14:textId="44088DD0" w:rsidR="004A36F0" w:rsidRPr="00724A12" w:rsidRDefault="004A36F0" w:rsidP="00365DCF">
      <w:pPr>
        <w:spacing w:after="0" w:line="360" w:lineRule="auto"/>
        <w:ind w:right="142"/>
      </w:pPr>
      <w:r w:rsidRPr="00724A12">
        <w:t xml:space="preserve">Ahora bien, la </w:t>
      </w:r>
      <w:proofErr w:type="spellStart"/>
      <w:r w:rsidRPr="00724A12">
        <w:t>litis</w:t>
      </w:r>
      <w:proofErr w:type="spellEnd"/>
      <w:r w:rsidRPr="00724A12">
        <w:t xml:space="preserve"> se centró, respecto al cambio de modalidad de entrega de información, pues el Sujeto Obligado, en respuesta, señaló contar con </w:t>
      </w:r>
      <w:r w:rsidR="00B175F1" w:rsidRPr="00724A12">
        <w:t>más</w:t>
      </w:r>
      <w:r w:rsidRPr="00724A12">
        <w:t xml:space="preserve"> de 44,000 documentos de información, sin embargo, a través del desahogo del requerimiento de información, detalló que cuenta con aproximadamente 700 fojas por mes, lo que implica </w:t>
      </w:r>
      <w:r w:rsidR="00A2035D" w:rsidRPr="00724A12">
        <w:t>que,</w:t>
      </w:r>
      <w:r w:rsidRPr="00724A12">
        <w:t xml:space="preserve"> en el presente asunto, no cuenta con </w:t>
      </w:r>
      <w:r w:rsidR="00A2035D" w:rsidRPr="00724A12">
        <w:t>más</w:t>
      </w:r>
      <w:r w:rsidRPr="00724A12">
        <w:t xml:space="preserve"> de 2100, fojas.</w:t>
      </w:r>
    </w:p>
    <w:p w14:paraId="43E28CC9" w14:textId="77777777" w:rsidR="00A2035D" w:rsidRPr="00724A12" w:rsidRDefault="00A2035D" w:rsidP="00365DCF">
      <w:pPr>
        <w:spacing w:after="0" w:line="360" w:lineRule="auto"/>
        <w:ind w:right="142"/>
      </w:pPr>
    </w:p>
    <w:p w14:paraId="37139E52" w14:textId="77777777" w:rsidR="00A2035D" w:rsidRPr="00724A12" w:rsidRDefault="00A2035D" w:rsidP="00365DCF">
      <w:pPr>
        <w:spacing w:after="0" w:line="360" w:lineRule="auto"/>
        <w:rPr>
          <w:rFonts w:cs="Tahoma"/>
          <w:iCs/>
          <w:lang w:val="es-ES"/>
        </w:rPr>
      </w:pPr>
      <w:r w:rsidRPr="00724A12">
        <w:rPr>
          <w:rFonts w:cs="Tahoma"/>
          <w:iCs/>
          <w:lang w:val="es-ES"/>
        </w:rPr>
        <w:t xml:space="preserve">Al respecto, </w:t>
      </w:r>
      <w:r w:rsidRPr="00724A12">
        <w:rPr>
          <w:rFonts w:eastAsia="Calibri" w:cs="Tahoma"/>
          <w:bCs/>
          <w:iCs/>
          <w:lang w:val="es-ES" w:eastAsia="en-US"/>
        </w:rPr>
        <w:t xml:space="preserve">el artículo 155, fracción V, de la Ley de Transparencia y Acceso a la Información Pública del Estado de México y Municipios, precisa que </w:t>
      </w:r>
      <w:r w:rsidRPr="00724A12">
        <w:rPr>
          <w:rFonts w:eastAsia="Calibri" w:cs="Tahoma"/>
          <w:bCs/>
          <w:iCs/>
          <w:lang w:eastAsia="en-US"/>
        </w:rPr>
        <w:t xml:space="preserve">para presentar una solicitud, la particular podrá señalar </w:t>
      </w:r>
      <w:r w:rsidRPr="00724A12">
        <w:rPr>
          <w:rFonts w:eastAsia="Calibri" w:cs="Tahoma"/>
          <w:b/>
          <w:bCs/>
          <w:iCs/>
          <w:lang w:eastAsia="en-US"/>
        </w:rPr>
        <w:t>la modalidad en la que prefiere se otorgue el acceso a la información</w:t>
      </w:r>
      <w:r w:rsidRPr="00724A12">
        <w:rPr>
          <w:rFonts w:eastAsia="Calibri" w:cs="Tahoma"/>
          <w:bCs/>
          <w:iCs/>
          <w:lang w:eastAsia="en-US"/>
        </w:rPr>
        <w:t>, la cual podrá ser verbal, siempre y cuando sea para fines de orientación, mediante consulta directa, mediante la expedición de copias simples o certificadas o la reproducción en cualquier otro medio, incluidos los electrónicos.</w:t>
      </w:r>
    </w:p>
    <w:p w14:paraId="06AD7613" w14:textId="77777777" w:rsidR="00A2035D" w:rsidRPr="00724A12" w:rsidRDefault="00A2035D" w:rsidP="00365DCF">
      <w:pPr>
        <w:spacing w:after="0" w:line="360" w:lineRule="auto"/>
        <w:ind w:right="-28"/>
        <w:contextualSpacing/>
        <w:rPr>
          <w:rFonts w:eastAsia="Calibri" w:cs="Tahoma"/>
          <w:bCs/>
          <w:iCs/>
          <w:lang w:eastAsia="en-US"/>
        </w:rPr>
      </w:pPr>
    </w:p>
    <w:p w14:paraId="479778EA" w14:textId="77777777" w:rsidR="00A2035D" w:rsidRPr="00724A12" w:rsidRDefault="00A2035D" w:rsidP="00365DCF">
      <w:pPr>
        <w:spacing w:after="0" w:line="360" w:lineRule="auto"/>
        <w:ind w:right="-28"/>
        <w:contextualSpacing/>
        <w:rPr>
          <w:rFonts w:eastAsia="Calibri" w:cs="Tahoma"/>
          <w:b/>
          <w:bCs/>
          <w:iCs/>
          <w:lang w:val="es-ES" w:eastAsia="en-US"/>
        </w:rPr>
      </w:pPr>
      <w:r w:rsidRPr="00724A12">
        <w:rPr>
          <w:rFonts w:eastAsia="Calibri" w:cs="Tahoma"/>
          <w:bCs/>
          <w:iCs/>
          <w:lang w:val="es-ES" w:eastAsia="en-US"/>
        </w:rPr>
        <w:t xml:space="preserve">El artículo 158, dispone que, de manera excepcional, cuando de manera fundada y motivada lo determine el Sujeto Obligado, </w:t>
      </w:r>
      <w:r w:rsidRPr="00724A12">
        <w:rPr>
          <w:rFonts w:eastAsia="Calibri" w:cs="Tahoma"/>
          <w:b/>
          <w:bCs/>
          <w:iCs/>
          <w:lang w:val="es-ES" w:eastAsia="en-US"/>
        </w:rPr>
        <w:t xml:space="preserve">en los casos en que la entrega de la información que se encuentre </w:t>
      </w:r>
      <w:r w:rsidRPr="00724A12">
        <w:rPr>
          <w:rFonts w:eastAsia="Calibri" w:cs="Tahoma"/>
          <w:b/>
          <w:bCs/>
          <w:iCs/>
          <w:lang w:val="es-ES" w:eastAsia="en-US"/>
        </w:rPr>
        <w:lastRenderedPageBreak/>
        <w:t>a su disposición, sobrepase las capacidades técnicas, administrativas y humanas del Sujeto Obligado para cumplir con la solicitud, se podrá poner a disposición del solicitante la información en consulta directa.</w:t>
      </w:r>
    </w:p>
    <w:p w14:paraId="190683D3" w14:textId="77777777" w:rsidR="00A2035D" w:rsidRPr="00724A12" w:rsidRDefault="00A2035D" w:rsidP="00365DCF">
      <w:pPr>
        <w:spacing w:after="0" w:line="360" w:lineRule="auto"/>
        <w:ind w:right="-28"/>
        <w:contextualSpacing/>
        <w:rPr>
          <w:rFonts w:eastAsia="Calibri" w:cs="Tahoma"/>
          <w:b/>
          <w:bCs/>
          <w:iCs/>
          <w:lang w:val="es-ES" w:eastAsia="en-US"/>
        </w:rPr>
      </w:pPr>
    </w:p>
    <w:p w14:paraId="29FBEED3" w14:textId="77777777" w:rsidR="00A2035D" w:rsidRPr="00724A12" w:rsidRDefault="00A2035D" w:rsidP="00365DCF">
      <w:pPr>
        <w:spacing w:after="0" w:line="360" w:lineRule="auto"/>
        <w:ind w:right="-28"/>
        <w:contextualSpacing/>
        <w:rPr>
          <w:rFonts w:eastAsia="Calibri" w:cs="Tahoma"/>
          <w:bCs/>
          <w:iCs/>
          <w:lang w:eastAsia="en-US"/>
        </w:rPr>
      </w:pPr>
      <w:r w:rsidRPr="00724A12">
        <w:rPr>
          <w:rFonts w:eastAsia="Calibri" w:cs="Tahoma"/>
          <w:bCs/>
          <w:iCs/>
          <w:lang w:val="es-ES" w:eastAsia="en-US"/>
        </w:rPr>
        <w:t xml:space="preserve">En ese orden de ideas, el artículo 164 de dicho ordenamiento jurídico, prevé que </w:t>
      </w:r>
      <w:r w:rsidRPr="00724A12">
        <w:rPr>
          <w:rFonts w:eastAsia="Calibri" w:cs="Tahoma"/>
          <w:bCs/>
          <w:iCs/>
          <w:lang w:eastAsia="en-US"/>
        </w:rPr>
        <w:t xml:space="preserve">el acceso se dará en la modalidad de entrega y, en su caso, de envío elegidos por al solicitante. </w:t>
      </w:r>
      <w:r w:rsidRPr="00724A12">
        <w:rPr>
          <w:rFonts w:eastAsia="Calibri" w:cs="Tahoma"/>
          <w:b/>
          <w:bCs/>
          <w:iCs/>
          <w:lang w:eastAsia="en-US"/>
        </w:rPr>
        <w:t>Cuando la información no pueda entregarse o enviarse en la modalidad elegida, el sujeto obligado deberá ofrecer otra u otras modalidades de entrega.</w:t>
      </w:r>
      <w:r w:rsidRPr="00724A12">
        <w:rPr>
          <w:rFonts w:eastAsia="Calibri" w:cs="Tahoma"/>
          <w:bCs/>
          <w:iCs/>
          <w:lang w:eastAsia="en-US"/>
        </w:rPr>
        <w:t xml:space="preserve"> En cualquier caso, </w:t>
      </w:r>
      <w:r w:rsidRPr="00724A12">
        <w:rPr>
          <w:rFonts w:eastAsia="Calibri" w:cs="Tahoma"/>
          <w:b/>
          <w:bCs/>
          <w:iCs/>
          <w:lang w:eastAsia="en-US"/>
        </w:rPr>
        <w:t>se deberá fundar y motivar</w:t>
      </w:r>
      <w:r w:rsidRPr="00724A12">
        <w:rPr>
          <w:rFonts w:eastAsia="Calibri" w:cs="Tahoma"/>
          <w:bCs/>
          <w:iCs/>
          <w:lang w:eastAsia="en-US"/>
        </w:rPr>
        <w:t xml:space="preserve"> la necesidad de ofrecer otras modalidades.</w:t>
      </w:r>
    </w:p>
    <w:p w14:paraId="4105DED5" w14:textId="77777777" w:rsidR="00A2035D" w:rsidRPr="00724A12" w:rsidRDefault="00A2035D" w:rsidP="00365DCF">
      <w:pPr>
        <w:spacing w:after="0" w:line="360" w:lineRule="auto"/>
        <w:ind w:right="-28"/>
        <w:contextualSpacing/>
        <w:rPr>
          <w:rFonts w:eastAsia="Calibri" w:cs="Tahoma"/>
          <w:bCs/>
          <w:iCs/>
          <w:lang w:eastAsia="en-US"/>
        </w:rPr>
      </w:pPr>
    </w:p>
    <w:p w14:paraId="1942647A" w14:textId="77777777" w:rsidR="00A2035D" w:rsidRPr="00724A12" w:rsidRDefault="00A2035D" w:rsidP="00365DCF">
      <w:pPr>
        <w:spacing w:after="0" w:line="360" w:lineRule="auto"/>
        <w:ind w:right="-28"/>
        <w:contextualSpacing/>
        <w:rPr>
          <w:rFonts w:eastAsia="Calibri" w:cs="Tahoma"/>
          <w:bCs/>
          <w:iCs/>
          <w:lang w:val="es-ES" w:eastAsia="en-US"/>
        </w:rPr>
      </w:pPr>
      <w:r w:rsidRPr="00724A12">
        <w:rPr>
          <w:rFonts w:eastAsia="Calibri" w:cs="Tahoma"/>
          <w:bCs/>
          <w:iCs/>
          <w:lang w:val="es-ES" w:eastAsia="en-US"/>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724A12">
        <w:rPr>
          <w:rFonts w:eastAsia="Calibri" w:cs="Tahoma"/>
          <w:b/>
          <w:bCs/>
          <w:iCs/>
          <w:lang w:val="es-ES" w:eastAsia="en-US"/>
        </w:rPr>
        <w:t>en la medida de lo posible, en la forma solicitada por el interesado, salvo que exista un impedimento justificado para atenderla</w:t>
      </w:r>
      <w:r w:rsidRPr="00724A12">
        <w:rPr>
          <w:rFonts w:eastAsia="Calibri" w:cs="Tahoma"/>
          <w:bCs/>
          <w:iCs/>
          <w:lang w:val="es-ES" w:eastAsia="en-US"/>
        </w:rPr>
        <w:t xml:space="preserve">, en cuyo caso, deberán exponerse las razones por las cuales no es posible utilizar el medio de reproducción solicitado; en este sentido, la entrega de la información en una modalidad distinta a la elegida por la particular </w:t>
      </w:r>
      <w:r w:rsidRPr="00724A12">
        <w:rPr>
          <w:rFonts w:eastAsia="Calibri" w:cs="Tahoma"/>
          <w:b/>
          <w:bCs/>
          <w:iCs/>
          <w:lang w:val="es-ES" w:eastAsia="en-US"/>
        </w:rPr>
        <w:t>sólo procede, en caso de que se acredite la imposibilidad de atenderla.</w:t>
      </w:r>
      <w:r w:rsidRPr="00724A12">
        <w:rPr>
          <w:rFonts w:eastAsia="Calibri" w:cs="Tahoma"/>
          <w:bCs/>
          <w:iCs/>
          <w:lang w:val="es-ES" w:eastAsia="en-US"/>
        </w:rPr>
        <w:t xml:space="preserve"> </w:t>
      </w:r>
    </w:p>
    <w:p w14:paraId="231560A8" w14:textId="77777777" w:rsidR="00A2035D" w:rsidRPr="00724A12" w:rsidRDefault="00A2035D" w:rsidP="00365DCF">
      <w:pPr>
        <w:spacing w:after="0" w:line="360" w:lineRule="auto"/>
        <w:ind w:right="-28"/>
        <w:contextualSpacing/>
        <w:rPr>
          <w:rFonts w:eastAsia="Calibri" w:cs="Tahoma"/>
          <w:bCs/>
          <w:iCs/>
          <w:lang w:val="es-ES" w:eastAsia="en-US"/>
        </w:rPr>
      </w:pPr>
    </w:p>
    <w:p w14:paraId="3E3F3EDA" w14:textId="77777777" w:rsidR="00B175F1" w:rsidRPr="00724A12" w:rsidRDefault="00B175F1" w:rsidP="00DF7FF4">
      <w:pPr>
        <w:pStyle w:val="Prrafodelista"/>
        <w:numPr>
          <w:ilvl w:val="0"/>
          <w:numId w:val="42"/>
        </w:numPr>
        <w:spacing w:line="360" w:lineRule="auto"/>
        <w:ind w:right="-28"/>
        <w:rPr>
          <w:rFonts w:eastAsia="Calibri" w:cs="Tahoma"/>
          <w:b/>
          <w:bCs/>
          <w:iCs/>
          <w:lang w:eastAsia="en-US"/>
        </w:rPr>
      </w:pPr>
      <w:bookmarkStart w:id="22" w:name="_Hlk144892817"/>
      <w:r w:rsidRPr="00724A12">
        <w:rPr>
          <w:rFonts w:eastAsia="Calibri" w:cs="Tahoma"/>
          <w:bCs/>
          <w:iCs/>
          <w:lang w:val="es-ES" w:eastAsia="en-US"/>
        </w:rPr>
        <w:t xml:space="preserve">Así, cuando se justifique el impedimento, </w:t>
      </w:r>
      <w:r w:rsidRPr="00724A12">
        <w:rPr>
          <w:rFonts w:eastAsia="Calibri" w:cs="Tahoma"/>
          <w:b/>
          <w:bCs/>
          <w:iCs/>
          <w:lang w:val="es-ES" w:eastAsia="en-US"/>
        </w:rPr>
        <w:t>los Sujetos Obligados deberán ofrecer al particular otras modalidades de entrega que permita la información</w:t>
      </w:r>
      <w:r w:rsidRPr="00724A12">
        <w:rPr>
          <w:rFonts w:eastAsia="Calibri" w:cs="Tahoma"/>
          <w:bCs/>
          <w:iCs/>
          <w:lang w:val="es-ES" w:eastAsia="en-US"/>
        </w:rPr>
        <w:t xml:space="preserve">, como consulta directa en las oficinas de la Unidad de Transparencia; lo anterior, es robustecido con el Criterio Orientador SO/008/2017, emitido por el Pleno del Instituto Nacional de Transparencia, Acceso a la Información y Protección de Datos Personales vigente a la fecha de la solicitud, </w:t>
      </w:r>
      <w:proofErr w:type="spellStart"/>
      <w:r w:rsidRPr="00724A12">
        <w:rPr>
          <w:rFonts w:eastAsia="Calibri" w:cs="Tahoma"/>
          <w:bCs/>
          <w:iCs/>
          <w:lang w:val="es-ES" w:eastAsia="en-US"/>
        </w:rPr>
        <w:t>qu</w:t>
      </w:r>
      <w:r w:rsidRPr="00724A12">
        <w:rPr>
          <w:rFonts w:eastAsia="Calibri" w:cs="Tahoma"/>
          <w:bCs/>
          <w:iCs/>
          <w:lang w:eastAsia="en-US"/>
        </w:rPr>
        <w:t>e</w:t>
      </w:r>
      <w:proofErr w:type="spellEnd"/>
      <w:r w:rsidRPr="00724A12">
        <w:rPr>
          <w:rFonts w:eastAsia="Calibri" w:cs="Tahoma"/>
          <w:bCs/>
          <w:iCs/>
          <w:lang w:eastAsia="en-US"/>
        </w:rPr>
        <w:t xml:space="preserve"> establece que cuando no sea posible atener la modalidad elegida por los solicitantes, la obligación de acceso a la información se tendrá por </w:t>
      </w:r>
      <w:r w:rsidRPr="00724A12">
        <w:rPr>
          <w:rFonts w:eastAsia="Calibri" w:cs="Tahoma"/>
          <w:bCs/>
          <w:iCs/>
          <w:lang w:eastAsia="en-US"/>
        </w:rPr>
        <w:lastRenderedPageBreak/>
        <w:t xml:space="preserve">cumplida cuando el Sujeto Obligado justifique el impedimento para atender la misma y se notifique al particular la puesta a disposición de la </w:t>
      </w:r>
      <w:r w:rsidRPr="00724A12">
        <w:rPr>
          <w:rFonts w:eastAsia="Calibri" w:cs="Tahoma"/>
          <w:b/>
          <w:bCs/>
          <w:iCs/>
          <w:lang w:eastAsia="en-US"/>
        </w:rPr>
        <w:t>información en todas las modalidades que lo permitan, procurando reducir los costos de entrega.</w:t>
      </w:r>
      <w:bookmarkEnd w:id="22"/>
    </w:p>
    <w:p w14:paraId="2AB2D245" w14:textId="77777777" w:rsidR="00A2035D" w:rsidRPr="00724A12" w:rsidRDefault="00A2035D" w:rsidP="00365DCF">
      <w:pPr>
        <w:spacing w:after="0" w:line="360" w:lineRule="auto"/>
        <w:ind w:right="-28"/>
        <w:contextualSpacing/>
        <w:rPr>
          <w:rFonts w:eastAsia="Calibri" w:cs="Tahoma"/>
          <w:bCs/>
          <w:iCs/>
          <w:lang w:eastAsia="en-US"/>
        </w:rPr>
      </w:pPr>
    </w:p>
    <w:p w14:paraId="5916A8D6" w14:textId="77777777" w:rsidR="00A2035D" w:rsidRPr="00724A12" w:rsidRDefault="00A2035D" w:rsidP="00365DCF">
      <w:pPr>
        <w:spacing w:after="0" w:line="360" w:lineRule="auto"/>
        <w:ind w:right="-28"/>
        <w:contextualSpacing/>
        <w:rPr>
          <w:rFonts w:eastAsia="Calibri" w:cs="Tahoma"/>
          <w:bCs/>
          <w:iCs/>
          <w:lang w:val="es-ES" w:eastAsia="en-US"/>
        </w:rPr>
      </w:pPr>
      <w:r w:rsidRPr="00724A12">
        <w:rPr>
          <w:rFonts w:eastAsia="Calibri" w:cs="Tahoma"/>
          <w:bCs/>
          <w:iCs/>
          <w:lang w:val="es-ES" w:eastAsia="en-US"/>
        </w:rPr>
        <w:t>Del mismo modo,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55580C3B" w14:textId="77777777" w:rsidR="00A2035D" w:rsidRPr="00724A12" w:rsidRDefault="00A2035D" w:rsidP="00365DCF">
      <w:pPr>
        <w:spacing w:after="0" w:line="360" w:lineRule="auto"/>
        <w:ind w:right="-28"/>
        <w:contextualSpacing/>
        <w:rPr>
          <w:rFonts w:eastAsia="Calibri" w:cs="Tahoma"/>
          <w:bCs/>
          <w:iCs/>
          <w:lang w:val="es-ES" w:eastAsia="en-US"/>
        </w:rPr>
      </w:pPr>
    </w:p>
    <w:p w14:paraId="2DDA2241" w14:textId="77777777" w:rsidR="00A2035D" w:rsidRPr="00724A12" w:rsidRDefault="00A2035D" w:rsidP="00365DCF">
      <w:pPr>
        <w:numPr>
          <w:ilvl w:val="0"/>
          <w:numId w:val="36"/>
        </w:numPr>
        <w:spacing w:after="0" w:line="360" w:lineRule="auto"/>
        <w:ind w:right="-28"/>
        <w:contextualSpacing/>
        <w:rPr>
          <w:rFonts w:eastAsia="Calibri" w:cs="Tahoma"/>
          <w:bCs/>
          <w:iCs/>
          <w:lang w:val="es-ES" w:eastAsia="en-US"/>
        </w:rPr>
      </w:pPr>
      <w:r w:rsidRPr="00724A12">
        <w:rPr>
          <w:rFonts w:eastAsia="Calibri" w:cs="Tahoma"/>
          <w:bCs/>
          <w:iCs/>
          <w:lang w:val="es-ES" w:eastAsia="en-US"/>
        </w:rPr>
        <w:t>Las razones por las cuales la información implicaba un análisis, estudio o procesamiento de datos;</w:t>
      </w:r>
    </w:p>
    <w:p w14:paraId="2460E3E4" w14:textId="77777777" w:rsidR="00A2035D" w:rsidRPr="00724A12" w:rsidRDefault="00A2035D" w:rsidP="00365DCF">
      <w:pPr>
        <w:spacing w:after="0" w:line="360" w:lineRule="auto"/>
        <w:ind w:right="-28"/>
        <w:contextualSpacing/>
        <w:rPr>
          <w:rFonts w:eastAsia="Calibri" w:cs="Tahoma"/>
          <w:bCs/>
          <w:iCs/>
          <w:lang w:val="es-ES" w:eastAsia="en-US"/>
        </w:rPr>
      </w:pPr>
    </w:p>
    <w:p w14:paraId="34137839" w14:textId="77777777" w:rsidR="00A2035D" w:rsidRPr="00724A12" w:rsidRDefault="00A2035D" w:rsidP="00365DCF">
      <w:pPr>
        <w:numPr>
          <w:ilvl w:val="0"/>
          <w:numId w:val="36"/>
        </w:numPr>
        <w:spacing w:after="0" w:line="360" w:lineRule="auto"/>
        <w:ind w:right="-28"/>
        <w:contextualSpacing/>
        <w:rPr>
          <w:rFonts w:eastAsia="Calibri" w:cs="Tahoma"/>
          <w:bCs/>
          <w:iCs/>
          <w:lang w:val="es-ES" w:eastAsia="en-US"/>
        </w:rPr>
      </w:pPr>
      <w:r w:rsidRPr="00724A12">
        <w:rPr>
          <w:rFonts w:eastAsia="Calibri" w:cs="Tahoma"/>
          <w:bCs/>
          <w:iCs/>
          <w:lang w:eastAsia="en-US"/>
        </w:rPr>
        <w:t>Por qué motivo el tiempo, que se le otorga al Sujeto Obligado para dar respuesta, en la modalidad elegida a la solicitud de información, no le es suficiente</w:t>
      </w:r>
      <w:r w:rsidRPr="00724A12">
        <w:rPr>
          <w:rFonts w:eastAsia="Calibri" w:cs="Tahoma"/>
          <w:bCs/>
          <w:iCs/>
          <w:lang w:val="es-ES" w:eastAsia="en-US"/>
        </w:rPr>
        <w:t>, y</w:t>
      </w:r>
    </w:p>
    <w:p w14:paraId="69F7E6BD" w14:textId="77777777" w:rsidR="00A2035D" w:rsidRPr="00724A12" w:rsidRDefault="00A2035D" w:rsidP="00365DCF">
      <w:pPr>
        <w:spacing w:after="0" w:line="360" w:lineRule="auto"/>
        <w:ind w:right="-28"/>
        <w:contextualSpacing/>
        <w:rPr>
          <w:rFonts w:eastAsia="Calibri" w:cs="Tahoma"/>
          <w:bCs/>
          <w:iCs/>
          <w:lang w:val="es-ES" w:eastAsia="en-US"/>
        </w:rPr>
      </w:pPr>
    </w:p>
    <w:p w14:paraId="665BDE2A" w14:textId="77777777" w:rsidR="00A2035D" w:rsidRPr="00724A12" w:rsidRDefault="00A2035D" w:rsidP="00365DCF">
      <w:pPr>
        <w:numPr>
          <w:ilvl w:val="0"/>
          <w:numId w:val="36"/>
        </w:numPr>
        <w:spacing w:after="0" w:line="360" w:lineRule="auto"/>
        <w:ind w:right="-28"/>
        <w:contextualSpacing/>
        <w:rPr>
          <w:rFonts w:eastAsia="Calibri" w:cs="Tahoma"/>
          <w:bCs/>
          <w:iCs/>
          <w:lang w:val="es-ES" w:eastAsia="en-US"/>
        </w:rPr>
      </w:pPr>
      <w:r w:rsidRPr="00724A12">
        <w:rPr>
          <w:rFonts w:eastAsia="Calibri" w:cs="Tahoma"/>
          <w:bCs/>
          <w:iCs/>
          <w:lang w:val="es-ES" w:eastAsia="en-US"/>
        </w:rPr>
        <w:t>La cantidad de recursos humanos y materiales con los que cuenta el Sujeto Obligado son insuficientes.</w:t>
      </w:r>
    </w:p>
    <w:p w14:paraId="6D66D49C" w14:textId="77777777" w:rsidR="00A2035D" w:rsidRPr="00724A12" w:rsidRDefault="00A2035D" w:rsidP="00365DCF">
      <w:pPr>
        <w:tabs>
          <w:tab w:val="left" w:pos="4667"/>
        </w:tabs>
        <w:spacing w:after="0" w:line="360" w:lineRule="auto"/>
        <w:ind w:right="-28"/>
        <w:rPr>
          <w:rFonts w:cs="Tahoma"/>
          <w:bCs/>
          <w:iCs/>
        </w:rPr>
      </w:pPr>
    </w:p>
    <w:p w14:paraId="1CF75F55" w14:textId="5CDD02C8" w:rsidR="00A2035D" w:rsidRPr="00724A12" w:rsidRDefault="00A2035D" w:rsidP="00365DCF">
      <w:pPr>
        <w:tabs>
          <w:tab w:val="left" w:pos="4667"/>
        </w:tabs>
        <w:spacing w:after="0" w:line="360" w:lineRule="auto"/>
        <w:ind w:right="-28"/>
        <w:rPr>
          <w:rFonts w:cs="Tahoma"/>
          <w:bCs/>
          <w:iCs/>
        </w:rPr>
      </w:pPr>
      <w:r w:rsidRPr="00724A12">
        <w:rPr>
          <w:rFonts w:cs="Tahoma"/>
          <w:bCs/>
          <w:iCs/>
        </w:rPr>
        <w:t xml:space="preserve">Este Organismo Garante, consideró necesario requerir información adicional, con la finalidad de determinar si los elementos planteados por el Sujeto Obligado facultan el cambio de modalidad. En este orden de ideas, al requerimiento de información adicional, el Sujeto Obligado, desahogó el requerimiento de información, </w:t>
      </w:r>
      <w:r w:rsidR="002B6540" w:rsidRPr="00724A12">
        <w:rPr>
          <w:rFonts w:cs="Tahoma"/>
          <w:bCs/>
          <w:iCs/>
        </w:rPr>
        <w:t>en donde grosso modo, señaló contar con 2100 documentos y haber registrado la incidencia ante la Dirección General de Informática de este Organismo Garante.</w:t>
      </w:r>
    </w:p>
    <w:p w14:paraId="350CEB02" w14:textId="77777777" w:rsidR="00A2035D" w:rsidRPr="00724A12" w:rsidRDefault="00A2035D" w:rsidP="00365DCF">
      <w:pPr>
        <w:spacing w:after="0" w:line="360" w:lineRule="auto"/>
        <w:rPr>
          <w:rFonts w:eastAsiaTheme="minorHAnsi" w:cstheme="minorBidi"/>
          <w:color w:val="000000" w:themeColor="text1"/>
          <w:lang w:eastAsia="en-US"/>
        </w:rPr>
      </w:pPr>
    </w:p>
    <w:p w14:paraId="58A1216E" w14:textId="77777777" w:rsidR="00B175F1" w:rsidRPr="00724A12" w:rsidRDefault="00A2035D" w:rsidP="00B175F1">
      <w:pPr>
        <w:autoSpaceDE w:val="0"/>
        <w:autoSpaceDN w:val="0"/>
        <w:adjustRightInd w:val="0"/>
        <w:spacing w:after="0" w:line="360" w:lineRule="auto"/>
        <w:rPr>
          <w:rFonts w:cs="Tahoma"/>
          <w:color w:val="000000" w:themeColor="text1"/>
          <w:szCs w:val="24"/>
        </w:rPr>
      </w:pPr>
      <w:r w:rsidRPr="00724A12">
        <w:rPr>
          <w:rFonts w:eastAsiaTheme="minorHAnsi" w:cstheme="minorBidi"/>
          <w:color w:val="000000" w:themeColor="text1"/>
          <w:lang w:eastAsia="en-US"/>
        </w:rPr>
        <w:lastRenderedPageBreak/>
        <w:t>Conforme a lo anterior, aún Sujeto Obligado refirió que la información previamente referida, se conformaba por un peso total de más de 44,000 fojas, a través del desahogo del requerimiento de información adicional, se corrigió y se señaló contar con 2,100 fojas</w:t>
      </w:r>
      <w:r w:rsidR="00B175F1" w:rsidRPr="00724A12">
        <w:rPr>
          <w:rFonts w:eastAsiaTheme="minorHAnsi" w:cstheme="minorBidi"/>
          <w:color w:val="000000" w:themeColor="text1"/>
          <w:lang w:eastAsia="en-US"/>
        </w:rPr>
        <w:t xml:space="preserve"> aproximadamente</w:t>
      </w:r>
      <w:r w:rsidRPr="00724A12">
        <w:rPr>
          <w:rFonts w:eastAsia="Calibri" w:cs="Tahoma"/>
          <w:bCs/>
          <w:color w:val="000000" w:themeColor="text1"/>
          <w:lang w:val="x-none" w:eastAsia="en-US"/>
        </w:rPr>
        <w:t xml:space="preserve">; </w:t>
      </w:r>
      <w:bookmarkStart w:id="23" w:name="_Hlk209690031"/>
      <w:r w:rsidRPr="00724A12">
        <w:rPr>
          <w:rFonts w:eastAsia="Calibri" w:cs="Tahoma"/>
          <w:bCs/>
          <w:color w:val="000000" w:themeColor="text1"/>
          <w:lang w:val="x-none" w:eastAsia="en-US"/>
        </w:rPr>
        <w:t xml:space="preserve">sobre dicha situación, </w:t>
      </w:r>
      <w:r w:rsidRPr="00724A12">
        <w:rPr>
          <w:rFonts w:eastAsia="Calibri" w:cs="Tahoma"/>
          <w:bCs/>
          <w:color w:val="000000" w:themeColor="text1"/>
          <w:lang w:val="es-ES" w:eastAsia="en-US"/>
        </w:rPr>
        <w:t xml:space="preserve">cabe traer a colación </w:t>
      </w:r>
      <w:r w:rsidR="00B175F1" w:rsidRPr="00724A12">
        <w:rPr>
          <w:rFonts w:cs="Tahoma"/>
          <w:szCs w:val="24"/>
        </w:rPr>
        <w:t xml:space="preserve">el Vigésimo Cuarto de los Lineamientos para la operación del Sistema de Acceso a la Información Mexiquense (SAIMEX) y del Sistema de Acceso, Rectificación, Cancelación y Oposición de Datos Personales del Estado de México (SARCOEM), establece que los sistemas electrónicos cuentan con una capacidad máxima de carga dentro del servidor con un peso total de </w:t>
      </w:r>
      <w:r w:rsidR="00B175F1" w:rsidRPr="00724A12">
        <w:rPr>
          <w:rFonts w:cs="Tahoma"/>
          <w:b/>
          <w:bCs/>
          <w:szCs w:val="24"/>
        </w:rPr>
        <w:t>quinientos megabytes</w:t>
      </w:r>
      <w:r w:rsidR="00B175F1" w:rsidRPr="00724A12">
        <w:rPr>
          <w:rFonts w:cs="Tahoma"/>
          <w:szCs w:val="24"/>
        </w:rPr>
        <w:t xml:space="preserve"> o su equivalente a </w:t>
      </w:r>
      <w:r w:rsidR="00B175F1" w:rsidRPr="00724A12">
        <w:rPr>
          <w:rFonts w:cs="Tahoma"/>
          <w:b/>
          <w:bCs/>
          <w:szCs w:val="24"/>
        </w:rPr>
        <w:t>ocho mil fojas</w:t>
      </w:r>
      <w:r w:rsidR="00B175F1" w:rsidRPr="00724A12">
        <w:rPr>
          <w:rFonts w:cs="Tahoma"/>
          <w:szCs w:val="24"/>
        </w:rPr>
        <w:t>.</w:t>
      </w:r>
      <w:bookmarkEnd w:id="23"/>
    </w:p>
    <w:p w14:paraId="5EE1AD74" w14:textId="77777777" w:rsidR="00365DCF" w:rsidRPr="00724A12" w:rsidRDefault="00365DCF" w:rsidP="00365DCF">
      <w:pPr>
        <w:spacing w:after="0" w:line="360" w:lineRule="auto"/>
        <w:rPr>
          <w:rFonts w:eastAsia="Calibri" w:cs="Tahoma"/>
          <w:b/>
          <w:bCs/>
          <w:color w:val="000000" w:themeColor="text1"/>
          <w:lang w:val="es-ES" w:eastAsia="en-US"/>
        </w:rPr>
      </w:pPr>
    </w:p>
    <w:p w14:paraId="2B1FDDD7" w14:textId="6E8EDB3E" w:rsidR="001D10AA" w:rsidRPr="00724A12" w:rsidRDefault="00365DCF" w:rsidP="001D10AA">
      <w:pPr>
        <w:tabs>
          <w:tab w:val="left" w:pos="4962"/>
        </w:tabs>
        <w:spacing w:after="0" w:line="360" w:lineRule="auto"/>
        <w:rPr>
          <w:rFonts w:eastAsiaTheme="minorHAnsi" w:cs="Arial"/>
          <w:color w:val="000000" w:themeColor="text1"/>
          <w:lang w:eastAsia="en-US"/>
        </w:rPr>
      </w:pPr>
      <w:bookmarkStart w:id="24" w:name="_Hlk209690047"/>
      <w:r w:rsidRPr="00724A12">
        <w:rPr>
          <w:rFonts w:eastAsiaTheme="minorHAnsi" w:cs="Arial"/>
          <w:color w:val="000000" w:themeColor="text1"/>
          <w:lang w:eastAsia="en-US"/>
        </w:rPr>
        <w:t xml:space="preserve">Esto implica que </w:t>
      </w:r>
      <w:r w:rsidR="00B175F1" w:rsidRPr="00724A12">
        <w:rPr>
          <w:rFonts w:eastAsiaTheme="minorHAnsi" w:cs="Arial"/>
          <w:color w:val="000000" w:themeColor="text1"/>
          <w:lang w:eastAsia="en-US"/>
        </w:rPr>
        <w:t>aun</w:t>
      </w:r>
      <w:r w:rsidRPr="00724A12">
        <w:rPr>
          <w:rFonts w:eastAsiaTheme="minorHAnsi" w:cs="Arial"/>
          <w:color w:val="000000" w:themeColor="text1"/>
          <w:lang w:eastAsia="en-US"/>
        </w:rPr>
        <w:t xml:space="preserve"> cuando el Sujeto Obligado señaló impedimentos para hacer entrega de la información por la vía requerida, no se advierte que </w:t>
      </w:r>
      <w:r w:rsidR="000B188A" w:rsidRPr="00724A12">
        <w:rPr>
          <w:rFonts w:eastAsiaTheme="minorHAnsi" w:cs="Arial"/>
          <w:color w:val="000000" w:themeColor="text1"/>
          <w:lang w:eastAsia="en-US"/>
        </w:rPr>
        <w:t xml:space="preserve">resulte procedente el cambio de modalidad, </w:t>
      </w:r>
      <w:r w:rsidR="00B175F1" w:rsidRPr="00724A12">
        <w:rPr>
          <w:rFonts w:eastAsiaTheme="minorHAnsi" w:cs="Arial"/>
          <w:color w:val="000000" w:themeColor="text1"/>
          <w:lang w:eastAsia="en-US"/>
        </w:rPr>
        <w:t xml:space="preserve">al no sobrepasar las capacidades técnicas del SAIMEX, </w:t>
      </w:r>
      <w:r w:rsidR="000B188A" w:rsidRPr="00724A12">
        <w:rPr>
          <w:rFonts w:eastAsiaTheme="minorHAnsi" w:cs="Arial"/>
          <w:color w:val="000000" w:themeColor="text1"/>
          <w:lang w:eastAsia="en-US"/>
        </w:rPr>
        <w:t>por lo que deberá hacer entrega de la información a través del SAIMEX</w:t>
      </w:r>
      <w:r w:rsidR="001D10AA" w:rsidRPr="00724A12">
        <w:rPr>
          <w:rFonts w:eastAsiaTheme="minorHAnsi" w:cs="Arial"/>
          <w:color w:val="000000" w:themeColor="text1"/>
          <w:lang w:eastAsia="en-US"/>
        </w:rPr>
        <w:t>,</w:t>
      </w:r>
      <w:r w:rsidR="001D10AA" w:rsidRPr="00724A12">
        <w:t xml:space="preserve"> </w:t>
      </w:r>
      <w:r w:rsidR="001D10AA" w:rsidRPr="00724A12">
        <w:rPr>
          <w:rFonts w:eastAsiaTheme="minorHAnsi" w:cs="Arial"/>
          <w:color w:val="000000" w:themeColor="text1"/>
          <w:lang w:eastAsia="en-US"/>
        </w:rPr>
        <w:t>para dar cumplimiento a los artículos 12 y 160 de la Ley de la materia.</w:t>
      </w:r>
    </w:p>
    <w:bookmarkEnd w:id="24"/>
    <w:p w14:paraId="47AA1988" w14:textId="77777777" w:rsidR="001D10AA" w:rsidRPr="00724A12" w:rsidRDefault="001D10AA" w:rsidP="000B188A">
      <w:pPr>
        <w:tabs>
          <w:tab w:val="left" w:pos="4962"/>
        </w:tabs>
        <w:spacing w:after="0" w:line="360" w:lineRule="auto"/>
        <w:rPr>
          <w:rFonts w:eastAsiaTheme="minorHAnsi" w:cs="Arial"/>
          <w:color w:val="000000" w:themeColor="text1"/>
          <w:lang w:eastAsia="en-US"/>
        </w:rPr>
      </w:pPr>
    </w:p>
    <w:p w14:paraId="331A4C7D" w14:textId="32F58D5E" w:rsidR="002139F0" w:rsidRPr="00724A12" w:rsidRDefault="001D10AA" w:rsidP="000B188A">
      <w:pPr>
        <w:tabs>
          <w:tab w:val="left" w:pos="4962"/>
        </w:tabs>
        <w:spacing w:after="0" w:line="360" w:lineRule="auto"/>
        <w:rPr>
          <w:rFonts w:eastAsiaTheme="minorHAnsi" w:cs="Arial"/>
          <w:color w:val="000000" w:themeColor="text1"/>
          <w:lang w:eastAsia="en-US"/>
        </w:rPr>
      </w:pPr>
      <w:bookmarkStart w:id="25" w:name="_Hlk209690071"/>
      <w:r w:rsidRPr="00724A12">
        <w:rPr>
          <w:rFonts w:eastAsiaTheme="minorHAnsi" w:cs="Arial"/>
          <w:color w:val="000000" w:themeColor="text1"/>
          <w:lang w:eastAsia="en-US"/>
        </w:rPr>
        <w:t>Ahora bien, este Instituto considera que los documentos que den cuenta de la información solicitada, pudieran contener los siguientes datos:</w:t>
      </w:r>
    </w:p>
    <w:p w14:paraId="6DD6B792" w14:textId="77777777" w:rsidR="001D10AA" w:rsidRPr="00724A12" w:rsidRDefault="001D10AA" w:rsidP="000B188A">
      <w:pPr>
        <w:tabs>
          <w:tab w:val="left" w:pos="4962"/>
        </w:tabs>
        <w:spacing w:after="0" w:line="360" w:lineRule="auto"/>
        <w:rPr>
          <w:rFonts w:eastAsiaTheme="minorHAnsi" w:cs="Arial"/>
          <w:color w:val="000000" w:themeColor="text1"/>
          <w:lang w:eastAsia="en-US"/>
        </w:rPr>
      </w:pPr>
    </w:p>
    <w:p w14:paraId="7C1ECA92" w14:textId="77777777" w:rsidR="001D10AA" w:rsidRPr="00724A12" w:rsidRDefault="001D10AA" w:rsidP="001D10AA">
      <w:pPr>
        <w:pStyle w:val="Prrafodelista"/>
        <w:numPr>
          <w:ilvl w:val="0"/>
          <w:numId w:val="38"/>
        </w:numPr>
        <w:spacing w:line="360" w:lineRule="auto"/>
      </w:pPr>
      <w:r w:rsidRPr="00724A12">
        <w:t>Nombre de persona física o Razón social;</w:t>
      </w:r>
    </w:p>
    <w:p w14:paraId="444E438B" w14:textId="77777777" w:rsidR="001D10AA" w:rsidRPr="00724A12" w:rsidRDefault="001D10AA" w:rsidP="001D10AA">
      <w:pPr>
        <w:pStyle w:val="Prrafodelista"/>
        <w:numPr>
          <w:ilvl w:val="0"/>
          <w:numId w:val="38"/>
        </w:numPr>
        <w:spacing w:line="360" w:lineRule="auto"/>
      </w:pPr>
      <w:r w:rsidRPr="00724A12">
        <w:t>Número de cuenta bancaria o clave interbancaria;</w:t>
      </w:r>
    </w:p>
    <w:p w14:paraId="0981F2C2" w14:textId="77777777" w:rsidR="001D10AA" w:rsidRPr="00724A12" w:rsidRDefault="001D10AA" w:rsidP="001D10AA">
      <w:pPr>
        <w:pStyle w:val="Prrafodelista"/>
        <w:numPr>
          <w:ilvl w:val="0"/>
          <w:numId w:val="38"/>
        </w:numPr>
        <w:spacing w:line="360" w:lineRule="auto"/>
      </w:pPr>
      <w:r w:rsidRPr="00724A12">
        <w:rPr>
          <w:rFonts w:eastAsia="Calibri" w:cs="Tahoma"/>
          <w:bCs/>
          <w:iCs/>
          <w:lang w:val="es-ES"/>
        </w:rPr>
        <w:t>Nombre de institución bancaria, y</w:t>
      </w:r>
    </w:p>
    <w:p w14:paraId="594AA5FC" w14:textId="77777777" w:rsidR="001D10AA" w:rsidRPr="00724A12" w:rsidRDefault="001D10AA" w:rsidP="001D10AA">
      <w:pPr>
        <w:pStyle w:val="Prrafodelista"/>
        <w:widowControl w:val="0"/>
        <w:numPr>
          <w:ilvl w:val="0"/>
          <w:numId w:val="38"/>
        </w:numPr>
        <w:tabs>
          <w:tab w:val="center" w:pos="4522"/>
        </w:tabs>
        <w:spacing w:line="360" w:lineRule="auto"/>
        <w:rPr>
          <w:rFonts w:eastAsia="Calibri" w:cs="Tahoma"/>
          <w:lang w:val="es-ES"/>
        </w:rPr>
      </w:pPr>
      <w:r w:rsidRPr="00724A12">
        <w:rPr>
          <w:rFonts w:eastAsia="Calibri" w:cs="Tahoma"/>
          <w:lang w:val="es-ES"/>
        </w:rPr>
        <w:t>Registro Federal de Contribuyentes.</w:t>
      </w:r>
    </w:p>
    <w:p w14:paraId="62BFDDCF" w14:textId="77777777" w:rsidR="002139F0" w:rsidRPr="00724A12" w:rsidRDefault="002139F0" w:rsidP="000B188A">
      <w:pPr>
        <w:spacing w:after="0" w:line="360" w:lineRule="auto"/>
        <w:ind w:right="142"/>
      </w:pPr>
    </w:p>
    <w:p w14:paraId="2598F1CA" w14:textId="7A406C95" w:rsidR="00B175F1" w:rsidRPr="00724A12" w:rsidRDefault="00B175F1" w:rsidP="000B188A">
      <w:pPr>
        <w:spacing w:after="0" w:line="360" w:lineRule="auto"/>
        <w:ind w:right="142"/>
      </w:pPr>
      <w:r w:rsidRPr="00724A12">
        <w:t>El artículo 143, fracción I, de la Ley de Transparencia Local, establece que la información privada y los datos personales, concernientes a una persona física o jurídica colectiva identificada o identificable son confidenciales.</w:t>
      </w:r>
    </w:p>
    <w:p w14:paraId="3AC4E0C7" w14:textId="77777777" w:rsidR="006E1BC4" w:rsidRPr="00724A12" w:rsidRDefault="006E1BC4" w:rsidP="000B188A">
      <w:pPr>
        <w:spacing w:after="0" w:line="360" w:lineRule="auto"/>
        <w:ind w:right="-28"/>
        <w:contextualSpacing/>
        <w:rPr>
          <w:rFonts w:eastAsia="Times New Roman" w:cs="Times New Roman"/>
          <w:color w:val="auto"/>
          <w:lang w:eastAsia="es-ES"/>
        </w:rPr>
      </w:pPr>
      <w:r w:rsidRPr="00724A12">
        <w:rPr>
          <w:rFonts w:eastAsia="Times New Roman" w:cs="Times New Roman"/>
          <w:color w:val="auto"/>
          <w:lang w:eastAsia="es-ES"/>
        </w:rPr>
        <w:lastRenderedPageBreak/>
        <w:t>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DF0108E" w14:textId="77777777" w:rsidR="006E1BC4" w:rsidRPr="00724A12" w:rsidRDefault="006E1BC4" w:rsidP="000B188A">
      <w:pPr>
        <w:spacing w:after="0" w:line="360" w:lineRule="auto"/>
        <w:ind w:right="-28"/>
        <w:contextualSpacing/>
        <w:rPr>
          <w:rFonts w:eastAsia="Times New Roman" w:cs="Times New Roman"/>
          <w:color w:val="auto"/>
          <w:lang w:eastAsia="es-ES"/>
        </w:rPr>
      </w:pPr>
    </w:p>
    <w:p w14:paraId="6DB7DE64" w14:textId="77777777" w:rsidR="006E1BC4" w:rsidRPr="00724A12" w:rsidRDefault="006E1BC4" w:rsidP="000B188A">
      <w:pPr>
        <w:spacing w:after="0" w:line="360" w:lineRule="auto"/>
        <w:ind w:right="-28"/>
        <w:contextualSpacing/>
        <w:rPr>
          <w:rFonts w:eastAsia="Times New Roman" w:cs="Times New Roman"/>
          <w:color w:val="auto"/>
          <w:lang w:eastAsia="es-ES"/>
        </w:rPr>
      </w:pPr>
      <w:r w:rsidRPr="00724A12">
        <w:rPr>
          <w:rFonts w:eastAsia="Times New Roman" w:cs="Times New Roman"/>
          <w:color w:val="auto"/>
          <w:lang w:eastAsia="es-ES"/>
        </w:rPr>
        <w:t>En términos de lo expuesto, la documentación y aquellos datos que se consideren confidenciales, serán una limitante del derecho de acceso a la información, siempre y cuando:</w:t>
      </w:r>
    </w:p>
    <w:p w14:paraId="41DB951E" w14:textId="77777777" w:rsidR="006E1BC4" w:rsidRPr="00724A12" w:rsidRDefault="006E1BC4" w:rsidP="000B188A">
      <w:pPr>
        <w:spacing w:after="0" w:line="360" w:lineRule="auto"/>
        <w:ind w:right="-28"/>
        <w:contextualSpacing/>
        <w:rPr>
          <w:rFonts w:eastAsia="Times New Roman" w:cs="Times New Roman"/>
          <w:color w:val="auto"/>
          <w:lang w:eastAsia="es-ES"/>
        </w:rPr>
      </w:pPr>
    </w:p>
    <w:p w14:paraId="1FF4843B" w14:textId="77777777" w:rsidR="006E1BC4" w:rsidRPr="00724A12" w:rsidRDefault="006E1BC4" w:rsidP="000B188A">
      <w:pPr>
        <w:pStyle w:val="Prrafodelista"/>
        <w:numPr>
          <w:ilvl w:val="0"/>
          <w:numId w:val="33"/>
        </w:numPr>
        <w:spacing w:line="360" w:lineRule="auto"/>
        <w:ind w:right="-28"/>
        <w:rPr>
          <w:color w:val="auto"/>
        </w:rPr>
      </w:pPr>
      <w:r w:rsidRPr="00724A12">
        <w:rPr>
          <w:color w:val="auto"/>
        </w:rPr>
        <w:t xml:space="preserve">Se trate de datos personales o información privada; esto es, información concerniente a una persona física o jurídico colectiva y que esta sea identificada o identificable. </w:t>
      </w:r>
    </w:p>
    <w:p w14:paraId="0281873B" w14:textId="77777777" w:rsidR="006E1BC4" w:rsidRPr="00724A12" w:rsidRDefault="006E1BC4" w:rsidP="000B188A">
      <w:pPr>
        <w:pStyle w:val="Prrafodelista"/>
        <w:numPr>
          <w:ilvl w:val="0"/>
          <w:numId w:val="33"/>
        </w:numPr>
        <w:spacing w:line="360" w:lineRule="auto"/>
        <w:ind w:right="-28"/>
        <w:rPr>
          <w:color w:val="auto"/>
        </w:rPr>
      </w:pPr>
      <w:r w:rsidRPr="00724A12">
        <w:rPr>
          <w:color w:val="auto"/>
        </w:rPr>
        <w:t xml:space="preserve">Para la difusión de los datos, se requiera el consentimiento del titular. </w:t>
      </w:r>
    </w:p>
    <w:p w14:paraId="3E2D93F6" w14:textId="77777777" w:rsidR="006E1BC4" w:rsidRPr="00724A12" w:rsidRDefault="006E1BC4" w:rsidP="000B188A">
      <w:pPr>
        <w:spacing w:after="0" w:line="360" w:lineRule="auto"/>
        <w:ind w:right="-28"/>
        <w:contextualSpacing/>
        <w:rPr>
          <w:rFonts w:eastAsia="Times New Roman" w:cs="Times New Roman"/>
          <w:color w:val="auto"/>
          <w:lang w:eastAsia="es-ES"/>
        </w:rPr>
      </w:pPr>
    </w:p>
    <w:p w14:paraId="759220AE" w14:textId="77777777" w:rsidR="006E1BC4" w:rsidRPr="00724A12" w:rsidRDefault="006E1BC4" w:rsidP="000B188A">
      <w:pPr>
        <w:spacing w:after="0" w:line="360" w:lineRule="auto"/>
        <w:ind w:right="-28"/>
        <w:contextualSpacing/>
        <w:rPr>
          <w:rFonts w:eastAsia="Times New Roman" w:cs="Times New Roman"/>
          <w:color w:val="auto"/>
          <w:lang w:eastAsia="es-ES"/>
        </w:rPr>
      </w:pPr>
      <w:r w:rsidRPr="00724A12">
        <w:rPr>
          <w:rFonts w:eastAsia="Times New Roman" w:cs="Times New Roman"/>
          <w:color w:val="auto"/>
          <w:lang w:eastAsia="es-E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01FC9BAA" w14:textId="77777777" w:rsidR="006E1BC4" w:rsidRPr="00724A12" w:rsidRDefault="006E1BC4" w:rsidP="000B188A">
      <w:pPr>
        <w:spacing w:after="0" w:line="360" w:lineRule="auto"/>
        <w:ind w:right="-28"/>
        <w:contextualSpacing/>
        <w:rPr>
          <w:rFonts w:eastAsia="Times New Roman" w:cs="Times New Roman"/>
          <w:color w:val="auto"/>
          <w:lang w:eastAsia="es-ES"/>
        </w:rPr>
      </w:pPr>
    </w:p>
    <w:p w14:paraId="52EC8453" w14:textId="77777777" w:rsidR="006E1BC4" w:rsidRPr="00724A12" w:rsidRDefault="006E1BC4" w:rsidP="000B188A">
      <w:pPr>
        <w:spacing w:after="0" w:line="360" w:lineRule="auto"/>
        <w:ind w:right="-28"/>
        <w:contextualSpacing/>
        <w:rPr>
          <w:rFonts w:eastAsia="Times New Roman" w:cs="Times New Roman"/>
          <w:color w:val="auto"/>
          <w:lang w:eastAsia="es-ES"/>
        </w:rPr>
      </w:pPr>
      <w:r w:rsidRPr="00724A12">
        <w:rPr>
          <w:rFonts w:eastAsia="Times New Roman" w:cs="Times New Roman"/>
          <w:color w:val="auto"/>
          <w:lang w:eastAsia="es-ES"/>
        </w:rPr>
        <w:t xml:space="preserve">En este sentido, un dato personal es cualquier información que pueda hacer a una persona física o jurídica colectiva identificada e identificable; por lo que, bajo dicha circunstancia, se analizarán </w:t>
      </w:r>
      <w:r w:rsidRPr="00724A12">
        <w:rPr>
          <w:rFonts w:eastAsia="Times New Roman" w:cs="Times New Roman"/>
          <w:color w:val="auto"/>
          <w:lang w:eastAsia="es-ES"/>
        </w:rPr>
        <w:lastRenderedPageBreak/>
        <w:t>si los datos mencionados, deben ser considerados confidenciales, en términos del artículo 143, fracción I, de la Ley de Transparencia y Acceso a la Información Pública del Estado de México y Municipios, o públicos.</w:t>
      </w:r>
    </w:p>
    <w:p w14:paraId="569D4D81" w14:textId="77777777" w:rsidR="006E1BC4" w:rsidRPr="00724A12" w:rsidRDefault="006E1BC4" w:rsidP="000B188A">
      <w:pPr>
        <w:spacing w:after="0" w:line="360" w:lineRule="auto"/>
        <w:ind w:right="-28"/>
        <w:contextualSpacing/>
        <w:rPr>
          <w:rFonts w:eastAsia="Times New Roman" w:cs="Times New Roman"/>
          <w:color w:val="auto"/>
          <w:lang w:eastAsia="es-ES"/>
        </w:rPr>
      </w:pPr>
    </w:p>
    <w:p w14:paraId="17AD2231" w14:textId="3B474DE0" w:rsidR="001D10AA" w:rsidRPr="00724A12" w:rsidRDefault="001D10AA" w:rsidP="001D10AA">
      <w:pPr>
        <w:pStyle w:val="Prrafodelista"/>
        <w:numPr>
          <w:ilvl w:val="0"/>
          <w:numId w:val="39"/>
        </w:numPr>
        <w:spacing w:line="360" w:lineRule="auto"/>
        <w:rPr>
          <w:rFonts w:eastAsia="Calibri" w:cs="Tahoma"/>
          <w:b/>
          <w:bCs/>
          <w:color w:val="000000" w:themeColor="text1"/>
          <w:szCs w:val="22"/>
          <w:lang w:eastAsia="en-US"/>
        </w:rPr>
      </w:pPr>
      <w:r w:rsidRPr="00724A12">
        <w:rPr>
          <w:rFonts w:eastAsia="Calibri" w:cs="Tahoma"/>
          <w:b/>
          <w:bCs/>
          <w:color w:val="000000" w:themeColor="text1"/>
          <w:szCs w:val="22"/>
          <w:lang w:eastAsia="en-US"/>
        </w:rPr>
        <w:t>Nombre de personas físicas proveedores y que recibieron recursos públicos por cualquier motivo.</w:t>
      </w:r>
    </w:p>
    <w:p w14:paraId="68058040" w14:textId="77777777" w:rsidR="001D10AA" w:rsidRPr="00724A12" w:rsidRDefault="001D10AA" w:rsidP="001D10AA">
      <w:pPr>
        <w:pStyle w:val="Prrafodelista"/>
        <w:spacing w:line="360" w:lineRule="auto"/>
        <w:rPr>
          <w:rFonts w:eastAsia="Calibri" w:cs="Tahoma"/>
          <w:b/>
          <w:bCs/>
          <w:color w:val="000000" w:themeColor="text1"/>
          <w:szCs w:val="22"/>
          <w:lang w:eastAsia="en-US"/>
        </w:rPr>
      </w:pPr>
    </w:p>
    <w:p w14:paraId="36160369" w14:textId="77777777" w:rsidR="001D10AA" w:rsidRPr="00724A12" w:rsidRDefault="001D10AA" w:rsidP="001D10AA">
      <w:pPr>
        <w:spacing w:after="0" w:line="360" w:lineRule="auto"/>
        <w:ind w:right="-93"/>
        <w:rPr>
          <w:rFonts w:eastAsia="Calibri" w:cs="Tahoma"/>
          <w:bCs/>
          <w:lang w:val="es-ES_tradnl" w:eastAsia="en-US"/>
        </w:rPr>
      </w:pPr>
      <w:r w:rsidRPr="00724A12">
        <w:rPr>
          <w:rFonts w:eastAsia="Calibri" w:cs="Tahoma"/>
          <w:bCs/>
          <w:lang w:eastAsia="en-US"/>
        </w:rPr>
        <w:t xml:space="preserve">Al respecto, cabe precisar que el nombre se integra </w:t>
      </w:r>
      <w:r w:rsidRPr="00724A12">
        <w:rPr>
          <w:rFonts w:eastAsia="Calibri" w:cs="Tahoma"/>
          <w:bCs/>
          <w:lang w:val="es-ES_tradnl" w:eastAsia="en-US"/>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724A12">
        <w:rPr>
          <w:rFonts w:eastAsia="Calibri" w:cs="Tahoma"/>
          <w:bCs/>
          <w:i/>
          <w:lang w:val="es-ES_tradnl" w:eastAsia="en-US"/>
        </w:rPr>
        <w:t>per se</w:t>
      </w:r>
      <w:r w:rsidRPr="00724A12">
        <w:rPr>
          <w:rFonts w:eastAsia="Calibri" w:cs="Tahoma"/>
          <w:bCs/>
          <w:lang w:val="es-ES_tradnl" w:eastAsia="en-US"/>
        </w:rPr>
        <w:t xml:space="preserve"> es un elemento que hace a una persona física identificada o identificable.</w:t>
      </w:r>
    </w:p>
    <w:p w14:paraId="058DA160" w14:textId="77777777" w:rsidR="001D10AA" w:rsidRPr="00724A12" w:rsidRDefault="001D10AA" w:rsidP="001D10AA">
      <w:pPr>
        <w:spacing w:after="0" w:line="360" w:lineRule="auto"/>
        <w:ind w:right="-93"/>
        <w:rPr>
          <w:rFonts w:eastAsia="Calibri" w:cs="Tahoma"/>
          <w:bCs/>
          <w:lang w:val="es-ES_tradnl" w:eastAsia="en-US"/>
        </w:rPr>
      </w:pPr>
    </w:p>
    <w:p w14:paraId="25748544" w14:textId="398356E1" w:rsidR="001D10AA" w:rsidRPr="00724A12" w:rsidRDefault="001D10AA" w:rsidP="001D10AA">
      <w:pPr>
        <w:spacing w:after="0" w:line="360" w:lineRule="auto"/>
        <w:ind w:right="-93"/>
        <w:rPr>
          <w:rFonts w:eastAsia="Calibri" w:cs="Tahoma"/>
          <w:bCs/>
          <w:lang w:val="es-ES_tradnl" w:eastAsia="en-US"/>
        </w:rPr>
      </w:pPr>
      <w:r w:rsidRPr="00724A12">
        <w:rPr>
          <w:rFonts w:eastAsia="Calibri" w:cs="Tahoma"/>
          <w:bCs/>
          <w:lang w:val="es-ES_tradnl" w:eastAsia="en-US"/>
        </w:rPr>
        <w:t xml:space="preserve">En ese contexto,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w:t>
      </w:r>
      <w:r w:rsidRPr="00724A12">
        <w:rPr>
          <w:rFonts w:eastAsia="Calibri" w:cs="Tahoma"/>
          <w:b/>
          <w:bCs/>
          <w:lang w:val="es-ES_tradnl" w:eastAsia="en-US"/>
        </w:rPr>
        <w:t>los nombres de aquellos que reciben recursos públicos (proveedores y que brindaron apoyo dentro del Sujeto Obligado),</w:t>
      </w:r>
      <w:r w:rsidRPr="00724A12">
        <w:rPr>
          <w:rFonts w:eastAsia="Calibri" w:cs="Tahoma"/>
          <w:bCs/>
          <w:lang w:val="es-ES_tradnl" w:eastAsia="en-US"/>
        </w:rPr>
        <w:t xml:space="preserve"> ya que la difusión de dicho dato constituye una obligación de transparencia por parte de los sujetos obligados.</w:t>
      </w:r>
    </w:p>
    <w:p w14:paraId="02294DAF" w14:textId="77777777" w:rsidR="001D10AA" w:rsidRPr="00724A12" w:rsidRDefault="001D10AA" w:rsidP="001D10AA">
      <w:pPr>
        <w:spacing w:after="0" w:line="360" w:lineRule="auto"/>
        <w:ind w:right="-93"/>
        <w:rPr>
          <w:rFonts w:eastAsia="Calibri" w:cs="Tahoma"/>
          <w:bCs/>
          <w:lang w:val="es-ES_tradnl" w:eastAsia="en-US"/>
        </w:rPr>
      </w:pPr>
    </w:p>
    <w:p w14:paraId="0595ED19" w14:textId="77777777" w:rsidR="001D10AA" w:rsidRPr="00724A12" w:rsidRDefault="001D10AA" w:rsidP="001D10AA">
      <w:pPr>
        <w:spacing w:after="0" w:line="360" w:lineRule="auto"/>
        <w:ind w:right="-93"/>
        <w:rPr>
          <w:rFonts w:eastAsia="Calibri" w:cs="Tahoma"/>
          <w:b/>
          <w:bCs/>
          <w:lang w:val="es-ES_tradnl" w:eastAsia="en-US"/>
        </w:rPr>
      </w:pPr>
      <w:r w:rsidRPr="00724A12">
        <w:rPr>
          <w:rFonts w:eastAsia="Calibri" w:cs="Tahoma"/>
          <w:bCs/>
          <w:lang w:val="es-ES_tradnl" w:eastAsia="en-US"/>
        </w:rPr>
        <w:t xml:space="preserve">Toma sustento con el artículo 92, fracciones VII, XXXI y XXXVI, de la Ley de la materia, el cual establece que los sujetos obligados tienen la obligación de poner a disposición del público y mantener actualizada de acuerdo con sus facultades, atribuciones, funciones u objeto social, según corresponda el directorio, que deberá incluir al menos, entre otros datos, </w:t>
      </w:r>
      <w:r w:rsidRPr="00724A12">
        <w:rPr>
          <w:rFonts w:eastAsia="Calibri" w:cs="Tahoma"/>
          <w:b/>
          <w:bCs/>
          <w:lang w:val="es-ES_tradnl" w:eastAsia="en-US"/>
        </w:rPr>
        <w:t xml:space="preserve">el nombre del </w:t>
      </w:r>
      <w:r w:rsidRPr="00724A12">
        <w:rPr>
          <w:rFonts w:eastAsia="Calibri" w:cs="Tahoma"/>
          <w:b/>
          <w:bCs/>
          <w:lang w:val="es-ES_tradnl" w:eastAsia="en-US"/>
        </w:rPr>
        <w:lastRenderedPageBreak/>
        <w:t>servidor público; así como, el Padrón de proveedores y contratistas y el listado de personas físicas o jurídico-colectivas, que por cualquier motivo se les asignaron recursos públicos.</w:t>
      </w:r>
    </w:p>
    <w:p w14:paraId="63B5863D" w14:textId="77777777" w:rsidR="001D10AA" w:rsidRPr="00724A12" w:rsidRDefault="001D10AA" w:rsidP="001D10AA">
      <w:pPr>
        <w:spacing w:after="0" w:line="360" w:lineRule="auto"/>
        <w:ind w:right="-93"/>
        <w:rPr>
          <w:rFonts w:eastAsia="Calibri" w:cs="Tahoma"/>
          <w:b/>
          <w:bCs/>
          <w:lang w:val="es-ES_tradnl" w:eastAsia="en-US"/>
        </w:rPr>
      </w:pPr>
    </w:p>
    <w:p w14:paraId="45EBBECC" w14:textId="77777777" w:rsidR="001D10AA" w:rsidRPr="00724A12" w:rsidRDefault="001D10AA" w:rsidP="001D10AA">
      <w:pPr>
        <w:spacing w:after="0" w:line="360" w:lineRule="auto"/>
        <w:ind w:right="-93"/>
        <w:rPr>
          <w:rFonts w:eastAsia="Calibri" w:cs="Tahoma"/>
          <w:bCs/>
          <w:lang w:val="es-ES_tradnl" w:eastAsia="en-US"/>
        </w:rPr>
      </w:pPr>
      <w:r w:rsidRPr="00724A12">
        <w:rPr>
          <w:rFonts w:eastAsia="Calibri" w:cs="Tahoma"/>
          <w:bCs/>
          <w:lang w:val="es-ES_tradnl" w:eastAsia="en-US"/>
        </w:rPr>
        <w:t>Además, se robustece con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14:paraId="00037134" w14:textId="77777777" w:rsidR="001D10AA" w:rsidRPr="00724A12" w:rsidRDefault="001D10AA" w:rsidP="001D10AA">
      <w:pPr>
        <w:spacing w:after="0" w:line="360" w:lineRule="auto"/>
        <w:ind w:right="-93"/>
        <w:rPr>
          <w:rFonts w:eastAsia="Calibri" w:cs="Tahoma"/>
          <w:bCs/>
          <w:lang w:val="es-ES_tradnl" w:eastAsia="en-US"/>
        </w:rPr>
      </w:pPr>
    </w:p>
    <w:p w14:paraId="35923925" w14:textId="77777777" w:rsidR="001D10AA" w:rsidRPr="00724A12" w:rsidRDefault="001D10AA" w:rsidP="001D10AA">
      <w:pPr>
        <w:spacing w:after="0" w:line="360" w:lineRule="auto"/>
        <w:ind w:right="-93"/>
        <w:rPr>
          <w:rFonts w:eastAsia="Calibri" w:cs="Tahoma"/>
          <w:b/>
          <w:bCs/>
          <w:lang w:val="es-ES_tradnl" w:eastAsia="en-US"/>
        </w:rPr>
      </w:pPr>
      <w:r w:rsidRPr="00724A12">
        <w:rPr>
          <w:noProof/>
        </w:rPr>
        <w:drawing>
          <wp:inline distT="0" distB="0" distL="0" distR="0" wp14:anchorId="0AF1CBD2" wp14:editId="7924E1FF">
            <wp:extent cx="5743575" cy="752475"/>
            <wp:effectExtent l="0" t="0" r="9525" b="9525"/>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a:extLst>
                        <a:ext uri="{28A0092B-C50C-407E-A947-70E740481C1C}">
                          <a14:useLocalDpi xmlns:a14="http://schemas.microsoft.com/office/drawing/2010/main" val="0"/>
                        </a:ext>
                      </a:extLst>
                    </a:blip>
                    <a:srcRect b="84505"/>
                    <a:stretch>
                      <a:fillRect/>
                    </a:stretch>
                  </pic:blipFill>
                  <pic:spPr bwMode="auto">
                    <a:xfrm>
                      <a:off x="0" y="0"/>
                      <a:ext cx="5743575" cy="752475"/>
                    </a:xfrm>
                    <a:prstGeom prst="rect">
                      <a:avLst/>
                    </a:prstGeom>
                    <a:noFill/>
                    <a:ln>
                      <a:noFill/>
                    </a:ln>
                  </pic:spPr>
                </pic:pic>
              </a:graphicData>
            </a:graphic>
          </wp:inline>
        </w:drawing>
      </w:r>
    </w:p>
    <w:p w14:paraId="45A70992" w14:textId="77777777" w:rsidR="001D10AA" w:rsidRPr="00724A12" w:rsidRDefault="001D10AA" w:rsidP="001D10AA">
      <w:pPr>
        <w:spacing w:after="0" w:line="360" w:lineRule="auto"/>
        <w:ind w:right="-93"/>
        <w:rPr>
          <w:rFonts w:eastAsia="Calibri" w:cs="Tahoma"/>
          <w:b/>
          <w:bCs/>
          <w:lang w:val="es-ES_tradnl" w:eastAsia="en-US"/>
        </w:rPr>
      </w:pPr>
      <w:r w:rsidRPr="00724A12">
        <w:rPr>
          <w:noProof/>
        </w:rPr>
        <w:drawing>
          <wp:inline distT="0" distB="0" distL="0" distR="0" wp14:anchorId="16FEE202" wp14:editId="4B312FA2">
            <wp:extent cx="5743575" cy="495300"/>
            <wp:effectExtent l="0" t="0" r="9525" b="0"/>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t="89838" b="-38"/>
                    <a:stretch>
                      <a:fillRect/>
                    </a:stretch>
                  </pic:blipFill>
                  <pic:spPr bwMode="auto">
                    <a:xfrm>
                      <a:off x="0" y="0"/>
                      <a:ext cx="5743575" cy="495300"/>
                    </a:xfrm>
                    <a:prstGeom prst="rect">
                      <a:avLst/>
                    </a:prstGeom>
                    <a:noFill/>
                    <a:ln>
                      <a:noFill/>
                    </a:ln>
                  </pic:spPr>
                </pic:pic>
              </a:graphicData>
            </a:graphic>
          </wp:inline>
        </w:drawing>
      </w:r>
    </w:p>
    <w:p w14:paraId="34270AAB" w14:textId="77777777" w:rsidR="001D10AA" w:rsidRPr="00724A12" w:rsidRDefault="001D10AA" w:rsidP="001D10AA">
      <w:pPr>
        <w:spacing w:after="0" w:line="360" w:lineRule="auto"/>
        <w:ind w:right="-93"/>
        <w:rPr>
          <w:rFonts w:eastAsia="Calibri" w:cs="Tahoma"/>
          <w:b/>
          <w:bCs/>
          <w:lang w:val="es-ES_tradnl" w:eastAsia="en-US"/>
        </w:rPr>
      </w:pPr>
    </w:p>
    <w:p w14:paraId="58D119C9" w14:textId="77777777" w:rsidR="001D10AA" w:rsidRPr="00724A12" w:rsidRDefault="001D10AA" w:rsidP="001D10AA">
      <w:pPr>
        <w:spacing w:after="0" w:line="360" w:lineRule="auto"/>
        <w:ind w:right="-93"/>
        <w:rPr>
          <w:rFonts w:eastAsia="Calibri" w:cs="Tahoma"/>
          <w:b/>
          <w:bCs/>
          <w:lang w:val="es-ES_tradnl" w:eastAsia="en-US"/>
        </w:rPr>
      </w:pPr>
      <w:r w:rsidRPr="00724A12">
        <w:rPr>
          <w:noProof/>
        </w:rPr>
        <w:drawing>
          <wp:inline distT="0" distB="0" distL="0" distR="0" wp14:anchorId="38FD2993" wp14:editId="6330D06E">
            <wp:extent cx="5743575" cy="1704975"/>
            <wp:effectExtent l="0" t="0" r="9525" b="9525"/>
            <wp:docPr id="8" name="Imagen 1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Tabl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1704975"/>
                    </a:xfrm>
                    <a:prstGeom prst="rect">
                      <a:avLst/>
                    </a:prstGeom>
                    <a:noFill/>
                    <a:ln>
                      <a:noFill/>
                    </a:ln>
                  </pic:spPr>
                </pic:pic>
              </a:graphicData>
            </a:graphic>
          </wp:inline>
        </w:drawing>
      </w:r>
    </w:p>
    <w:p w14:paraId="68D721CA" w14:textId="77777777" w:rsidR="001D10AA" w:rsidRPr="00724A12" w:rsidRDefault="001D10AA" w:rsidP="001D10AA">
      <w:pPr>
        <w:spacing w:after="0" w:line="360" w:lineRule="auto"/>
        <w:ind w:right="-93"/>
        <w:rPr>
          <w:rFonts w:eastAsia="Calibri" w:cs="Tahoma"/>
          <w:b/>
          <w:bCs/>
          <w:lang w:val="es-ES_tradnl" w:eastAsia="en-US"/>
        </w:rPr>
      </w:pPr>
    </w:p>
    <w:p w14:paraId="20382032" w14:textId="20E6830F" w:rsidR="001D10AA" w:rsidRPr="00724A12" w:rsidRDefault="001D10AA" w:rsidP="001D10AA">
      <w:pPr>
        <w:spacing w:after="0" w:line="360" w:lineRule="auto"/>
        <w:ind w:right="-93"/>
        <w:rPr>
          <w:rFonts w:eastAsia="Calibri" w:cs="Tahoma"/>
          <w:b/>
          <w:bCs/>
          <w:lang w:val="es-ES_tradnl" w:eastAsia="en-US"/>
        </w:rPr>
      </w:pPr>
      <w:r w:rsidRPr="00724A12">
        <w:rPr>
          <w:rFonts w:eastAsia="Calibri" w:cs="Tahoma"/>
          <w:bCs/>
          <w:lang w:val="es-ES_tradnl" w:eastAsia="en-US"/>
        </w:rPr>
        <w:t xml:space="preserve">Por lo tanto, la Ley de Transparencia y Acceso a la Información Pública del Estado de México y Municipios, considera que </w:t>
      </w:r>
      <w:r w:rsidRPr="00724A12">
        <w:rPr>
          <w:rFonts w:eastAsia="Calibri" w:cs="Tahoma"/>
          <w:b/>
          <w:bCs/>
          <w:lang w:val="es-ES_tradnl" w:eastAsia="en-US"/>
        </w:rPr>
        <w:t xml:space="preserve">los datos de aquellas personas que recibieron recursos públicos, por regla general, </w:t>
      </w:r>
      <w:r w:rsidRPr="00724A12">
        <w:rPr>
          <w:rFonts w:eastAsia="Calibri" w:cs="Tahoma"/>
          <w:bCs/>
          <w:lang w:val="es-ES_tradnl" w:eastAsia="en-US"/>
        </w:rPr>
        <w:t xml:space="preserve">son de naturaleza pública, ya que su publicidad orienta a cumplir los objetivos </w:t>
      </w:r>
      <w:r w:rsidRPr="00724A12">
        <w:rPr>
          <w:rFonts w:eastAsia="Calibri" w:cs="Tahoma"/>
          <w:bCs/>
          <w:lang w:val="es-ES_tradnl" w:eastAsia="en-US"/>
        </w:rPr>
        <w:lastRenderedPageBreak/>
        <w:t xml:space="preserve">que persigue la Ley; toda vez, </w:t>
      </w:r>
      <w:r w:rsidRPr="00724A12">
        <w:rPr>
          <w:rFonts w:eastAsia="Calibri" w:cs="Tahoma"/>
          <w:b/>
          <w:bCs/>
          <w:lang w:val="es-ES_tradnl" w:eastAsia="en-US"/>
        </w:rPr>
        <w:t>que ayuda a transparentar a quienes se les han otorgado recursos públicos, así como, porque razones se les otorgaron dichos montos.</w:t>
      </w:r>
    </w:p>
    <w:p w14:paraId="2437E187" w14:textId="77777777" w:rsidR="001D10AA" w:rsidRPr="00724A12" w:rsidRDefault="001D10AA" w:rsidP="001D10AA">
      <w:pPr>
        <w:spacing w:after="0" w:line="360" w:lineRule="auto"/>
        <w:rPr>
          <w:rFonts w:eastAsia="Calibri" w:cs="Tahoma"/>
          <w:b/>
          <w:bCs/>
          <w:lang w:val="es-ES_tradnl" w:eastAsia="en-US"/>
        </w:rPr>
      </w:pPr>
    </w:p>
    <w:p w14:paraId="0ED3B6D6" w14:textId="14A49FFB" w:rsidR="001D10AA" w:rsidRPr="00724A12" w:rsidRDefault="001D10AA" w:rsidP="001D10AA">
      <w:pPr>
        <w:spacing w:after="0" w:line="360" w:lineRule="auto"/>
        <w:rPr>
          <w:rFonts w:eastAsia="Calibri" w:cs="Tahoma"/>
          <w:bCs/>
          <w:lang w:eastAsia="en-US"/>
        </w:rPr>
      </w:pPr>
      <w:r w:rsidRPr="00724A12">
        <w:rPr>
          <w:rFonts w:eastAsia="Calibri" w:cs="Tahoma"/>
          <w:bCs/>
          <w:lang w:eastAsia="en-US"/>
        </w:rPr>
        <w:t>Por lo que, se considera que no procede la clasificación del nombre de los proveedores y personas que recibieron recursos públicos (becas, finiquitos, entre otros), en términos del artículo 143, fracción I de la Ley de Transparencia y Acceso a la Información Pública del Estado de México y Municipios.</w:t>
      </w:r>
    </w:p>
    <w:p w14:paraId="175F73FE" w14:textId="77777777" w:rsidR="001D10AA" w:rsidRPr="00724A12" w:rsidRDefault="001D10AA" w:rsidP="000B188A">
      <w:pPr>
        <w:spacing w:after="0" w:line="360" w:lineRule="auto"/>
        <w:ind w:right="-28"/>
        <w:contextualSpacing/>
        <w:rPr>
          <w:rFonts w:eastAsia="Times New Roman" w:cs="Times New Roman"/>
          <w:color w:val="auto"/>
          <w:lang w:eastAsia="es-ES"/>
        </w:rPr>
      </w:pPr>
    </w:p>
    <w:p w14:paraId="41FC96DD" w14:textId="77777777" w:rsidR="001D10AA" w:rsidRPr="00724A12" w:rsidRDefault="001D10AA" w:rsidP="001D10AA">
      <w:pPr>
        <w:numPr>
          <w:ilvl w:val="0"/>
          <w:numId w:val="35"/>
        </w:numPr>
        <w:spacing w:after="0" w:line="360" w:lineRule="auto"/>
        <w:contextualSpacing/>
        <w:rPr>
          <w:rFonts w:eastAsia="Calibri" w:cs="Tahoma"/>
          <w:b/>
          <w:bCs/>
          <w:color w:val="auto"/>
          <w:szCs w:val="24"/>
          <w:lang w:eastAsia="es-ES"/>
        </w:rPr>
      </w:pPr>
      <w:r w:rsidRPr="00724A12">
        <w:rPr>
          <w:rFonts w:eastAsia="Calibri" w:cs="Tahoma"/>
          <w:b/>
          <w:bCs/>
          <w:color w:val="auto"/>
          <w:szCs w:val="24"/>
          <w:lang w:val="es-ES" w:eastAsia="es-ES"/>
        </w:rPr>
        <w:t>Nombre de menores de edad</w:t>
      </w:r>
    </w:p>
    <w:p w14:paraId="12348137" w14:textId="77777777" w:rsidR="001D10AA" w:rsidRPr="00724A12" w:rsidRDefault="001D10AA" w:rsidP="001D10AA">
      <w:pPr>
        <w:spacing w:after="0" w:line="360" w:lineRule="auto"/>
        <w:ind w:left="720"/>
        <w:contextualSpacing/>
        <w:rPr>
          <w:rFonts w:eastAsia="Calibri" w:cs="Tahoma"/>
          <w:b/>
          <w:bCs/>
          <w:color w:val="auto"/>
          <w:szCs w:val="24"/>
          <w:lang w:eastAsia="es-ES"/>
        </w:rPr>
      </w:pPr>
    </w:p>
    <w:p w14:paraId="034DE829" w14:textId="77777777" w:rsidR="001D10AA" w:rsidRPr="00724A12" w:rsidRDefault="001D10AA" w:rsidP="001D10AA">
      <w:pPr>
        <w:spacing w:after="0" w:line="360" w:lineRule="auto"/>
        <w:rPr>
          <w:rFonts w:eastAsia="Calibri" w:cs="Tahoma"/>
          <w:bCs/>
          <w:lang w:eastAsia="en-US"/>
        </w:rPr>
      </w:pPr>
      <w:r w:rsidRPr="00724A12">
        <w:rPr>
          <w:rFonts w:eastAsia="Calibri" w:cs="Tahoma"/>
          <w:bCs/>
          <w:lang w:eastAsia="en-US"/>
        </w:rPr>
        <w:t>En ese orden de ideas, es de hacer hincapié que, en el presente caso, se trata de menores de edad, por lo cual, resulta necesario traer a colación, el artículo 2°, párrafo segundo, de la Ley General de los Derechos de Niñas, Niños y Adolescentes, que precisa que el interés superior de la niñez deberá ser considerado primordial en la toma de decisiones sobre la cuestión debatida que involucre a menores de edad.</w:t>
      </w:r>
    </w:p>
    <w:p w14:paraId="5ED023D1" w14:textId="77777777" w:rsidR="001D10AA" w:rsidRPr="00724A12" w:rsidRDefault="001D10AA" w:rsidP="001D10AA">
      <w:pPr>
        <w:spacing w:after="0" w:line="360" w:lineRule="auto"/>
        <w:rPr>
          <w:rFonts w:eastAsia="Calibri" w:cs="Tahoma"/>
          <w:bCs/>
          <w:lang w:eastAsia="en-US"/>
        </w:rPr>
      </w:pPr>
      <w:r w:rsidRPr="00724A12">
        <w:rPr>
          <w:rFonts w:eastAsia="Calibri" w:cs="Tahoma"/>
          <w:bCs/>
          <w:lang w:eastAsia="en-US"/>
        </w:rPr>
        <w:t> </w:t>
      </w:r>
    </w:p>
    <w:p w14:paraId="71FAE83C" w14:textId="77777777" w:rsidR="001D10AA" w:rsidRPr="00724A12" w:rsidRDefault="001D10AA" w:rsidP="001D10AA">
      <w:pPr>
        <w:spacing w:after="0" w:line="360" w:lineRule="auto"/>
        <w:rPr>
          <w:rFonts w:eastAsia="Calibri" w:cs="Tahoma"/>
          <w:bCs/>
          <w:lang w:eastAsia="en-US"/>
        </w:rPr>
      </w:pPr>
      <w:r w:rsidRPr="00724A12">
        <w:rPr>
          <w:rFonts w:eastAsia="Calibri" w:cs="Tahoma"/>
          <w:bCs/>
          <w:lang w:eastAsia="en-US"/>
        </w:rPr>
        <w:t>En ese orden de ideas, la jurisprudencia con número 1a./J. 25/2012 (9a.), emitida por la Primera Sala de la Suprema Corte de Justicia de la Nación, publicada en la Gaceta del Semanario Judicial de la Federación y su Gaceta, Libro XV, Tomo 1, de diciembre de 2012, página 344, establece que el interés superior del menor, implica que el desarrollo de los niños y el ejercicio de sus derechos deber ser considerados como criterios rectores para la aplicación de las normas relaticos a la vida de estos.</w:t>
      </w:r>
    </w:p>
    <w:p w14:paraId="41AC3870" w14:textId="77777777" w:rsidR="001D10AA" w:rsidRPr="00724A12" w:rsidRDefault="001D10AA" w:rsidP="001D10AA">
      <w:pPr>
        <w:spacing w:after="0" w:line="360" w:lineRule="auto"/>
        <w:rPr>
          <w:rFonts w:eastAsia="Calibri" w:cs="Tahoma"/>
          <w:bCs/>
          <w:lang w:eastAsia="en-US"/>
        </w:rPr>
      </w:pPr>
      <w:r w:rsidRPr="00724A12">
        <w:rPr>
          <w:rFonts w:eastAsia="Calibri" w:cs="Tahoma"/>
          <w:bCs/>
          <w:lang w:eastAsia="en-US"/>
        </w:rPr>
        <w:t> </w:t>
      </w:r>
    </w:p>
    <w:p w14:paraId="06FDF73C" w14:textId="77777777" w:rsidR="001D10AA" w:rsidRPr="00724A12" w:rsidRDefault="001D10AA" w:rsidP="001D10AA">
      <w:pPr>
        <w:spacing w:after="0" w:line="360" w:lineRule="auto"/>
        <w:rPr>
          <w:rFonts w:eastAsia="Calibri" w:cs="Tahoma"/>
          <w:bCs/>
          <w:lang w:eastAsia="en-US"/>
        </w:rPr>
      </w:pPr>
      <w:r w:rsidRPr="00724A12">
        <w:rPr>
          <w:rFonts w:eastAsia="Calibri" w:cs="Tahoma"/>
          <w:bCs/>
          <w:lang w:eastAsia="en-US"/>
        </w:rPr>
        <w:t xml:space="preserve">Así, el artículo 76, de la Ley General de los Derechos de Niñas, Niños y Adolescentes, establece que las niñas, niños y adolescentes tienen derecho a la intimidad personal y familiar; así como, a la protección de sus datos personales; además, que no podrán ser objeto de injerencias </w:t>
      </w:r>
      <w:r w:rsidRPr="00724A12">
        <w:rPr>
          <w:rFonts w:eastAsia="Calibri" w:cs="Tahoma"/>
          <w:bCs/>
          <w:lang w:eastAsia="en-US"/>
        </w:rPr>
        <w:lastRenderedPageBreak/>
        <w:t>arbitrarias o ilegales, en su vida privada o bien, de divulgaciones o difusiones ilícitas de información o datos personales, incluyendo de aquella que tenga el carácter informativo a la opinión pública y que atenten contra su honra, imagen o reputación.</w:t>
      </w:r>
    </w:p>
    <w:p w14:paraId="58026467" w14:textId="77777777" w:rsidR="001D10AA" w:rsidRPr="00724A12" w:rsidRDefault="001D10AA" w:rsidP="001D10AA">
      <w:pPr>
        <w:spacing w:after="0" w:line="360" w:lineRule="auto"/>
        <w:rPr>
          <w:rFonts w:eastAsia="Calibri" w:cs="Tahoma"/>
          <w:bCs/>
          <w:lang w:eastAsia="en-US"/>
        </w:rPr>
      </w:pPr>
      <w:r w:rsidRPr="00724A12">
        <w:rPr>
          <w:rFonts w:eastAsia="Calibri" w:cs="Tahoma"/>
          <w:bCs/>
          <w:lang w:eastAsia="en-US"/>
        </w:rPr>
        <w:t> </w:t>
      </w:r>
    </w:p>
    <w:p w14:paraId="6ED2B8AE" w14:textId="77777777" w:rsidR="001D10AA" w:rsidRPr="00724A12" w:rsidRDefault="001D10AA" w:rsidP="001D10AA">
      <w:pPr>
        <w:spacing w:after="0" w:line="360" w:lineRule="auto"/>
        <w:rPr>
          <w:rFonts w:eastAsia="Calibri" w:cs="Tahoma"/>
          <w:bCs/>
          <w:lang w:eastAsia="en-US"/>
        </w:rPr>
      </w:pPr>
      <w:r w:rsidRPr="00724A12">
        <w:rPr>
          <w:rFonts w:eastAsia="Calibri" w:cs="Tahoma"/>
          <w:bCs/>
          <w:lang w:eastAsia="en-US"/>
        </w:rPr>
        <w:t>Conforme a lo anterior, se puede colegir que en los casos en que se debe analizar los datos personales de menores de edad, prevalecerá el derecho a la protección de estos, pues se debe asegurar en todo momento el interés superior de los niños; por lo que, aquellos datos que los hagan identificables, tal como es el caso de su nombre, se deberá buscar su resguardo, a través de la clasificación de la información, para evitar vulneraciones en su privacidad.</w:t>
      </w:r>
    </w:p>
    <w:p w14:paraId="2503CF51" w14:textId="77777777" w:rsidR="001D10AA" w:rsidRPr="00724A12" w:rsidRDefault="001D10AA" w:rsidP="001D10AA">
      <w:pPr>
        <w:spacing w:after="0" w:line="360" w:lineRule="auto"/>
        <w:rPr>
          <w:rFonts w:eastAsia="Calibri" w:cs="Tahoma"/>
          <w:bCs/>
          <w:lang w:eastAsia="en-US"/>
        </w:rPr>
      </w:pPr>
      <w:r w:rsidRPr="00724A12">
        <w:rPr>
          <w:rFonts w:eastAsia="Calibri" w:cs="Tahoma"/>
          <w:bCs/>
          <w:lang w:eastAsia="en-US"/>
        </w:rPr>
        <w:t> </w:t>
      </w:r>
    </w:p>
    <w:p w14:paraId="1E3523AE" w14:textId="77777777" w:rsidR="001D10AA" w:rsidRPr="00724A12" w:rsidRDefault="001D10AA" w:rsidP="001D10AA">
      <w:pPr>
        <w:spacing w:after="0" w:line="360" w:lineRule="auto"/>
        <w:rPr>
          <w:rFonts w:eastAsia="Calibri" w:cs="Tahoma"/>
          <w:bCs/>
          <w:lang w:eastAsia="en-US"/>
        </w:rPr>
      </w:pPr>
      <w:r w:rsidRPr="00724A12">
        <w:rPr>
          <w:rFonts w:eastAsia="Calibri" w:cs="Tahoma"/>
          <w:bCs/>
          <w:lang w:eastAsia="en-US"/>
        </w:rPr>
        <w:t>En otro orden de ideas, si bien el nombre de los beneficiarios de un programa municipal, por regla general son públicos, lo cierto es que existe la excepción, concerniente a que se trate de menores de edad, pues conforme a la normatividad aplicable, se debe buscar siempre la protección de la información de estos, para salvaguardar el interés superior de los menores; situación que se robustece en el artículo 8° de la Ley de Protección de Datos Personales del Sujetos Obligados del Estado de México y Municipios, que precisa que no se publicarán datos personales de niños y adolescentes, a excepción del consentimiento de su representante; además, que en el tratamiento de estos, se privilegiará el interés superior de estos.</w:t>
      </w:r>
    </w:p>
    <w:p w14:paraId="77A68819" w14:textId="77777777" w:rsidR="001D10AA" w:rsidRPr="00724A12" w:rsidRDefault="001D10AA" w:rsidP="001D10AA">
      <w:pPr>
        <w:spacing w:after="0" w:line="360" w:lineRule="auto"/>
        <w:rPr>
          <w:rFonts w:eastAsia="Calibri" w:cs="Tahoma"/>
          <w:bCs/>
          <w:lang w:eastAsia="en-US"/>
        </w:rPr>
      </w:pPr>
      <w:r w:rsidRPr="00724A12">
        <w:rPr>
          <w:rFonts w:eastAsia="Calibri" w:cs="Tahoma"/>
          <w:bCs/>
          <w:lang w:eastAsia="en-US"/>
        </w:rPr>
        <w:t> </w:t>
      </w:r>
    </w:p>
    <w:p w14:paraId="4AC028A2" w14:textId="77777777" w:rsidR="001D10AA" w:rsidRPr="00724A12" w:rsidRDefault="001D10AA" w:rsidP="001D10AA">
      <w:pPr>
        <w:spacing w:after="0" w:line="360" w:lineRule="auto"/>
        <w:rPr>
          <w:rFonts w:eastAsia="Calibri" w:cs="Tahoma"/>
          <w:bCs/>
          <w:lang w:eastAsia="en-US"/>
        </w:rPr>
      </w:pPr>
      <w:r w:rsidRPr="00724A12">
        <w:rPr>
          <w:rFonts w:eastAsia="Calibri" w:cs="Tahoma"/>
          <w:bCs/>
          <w:lang w:eastAsia="en-US"/>
        </w:rPr>
        <w:t>Lo anterior, se robustece el Criterio reiterado 04/19 de este Instituto, publicado en el Periódico Oficial del Gobierno del Estado Libre y Soberano de México “Gaceta de Gobierno”, el dieciocho de diciembre de dos mil diecinueve, que establece que el nombre de las personas menores de edad, son datos confidenciales, pues su publicación revelaría las condiciones sociales, culturales y plena identidad; además, que corresponden a grupos vulnerables y sociales, en condiciones de desventaja, por lo cual, es necesario su protección.</w:t>
      </w:r>
    </w:p>
    <w:p w14:paraId="48E3AAF0" w14:textId="77777777" w:rsidR="001D10AA" w:rsidRPr="00724A12" w:rsidRDefault="001D10AA" w:rsidP="001D10AA">
      <w:pPr>
        <w:spacing w:after="0" w:line="360" w:lineRule="auto"/>
        <w:rPr>
          <w:rFonts w:eastAsia="Calibri" w:cs="Tahoma"/>
          <w:bCs/>
          <w:lang w:eastAsia="en-US"/>
        </w:rPr>
      </w:pPr>
      <w:r w:rsidRPr="00724A12">
        <w:rPr>
          <w:rFonts w:eastAsia="Calibri" w:cs="Tahoma"/>
          <w:bCs/>
          <w:lang w:eastAsia="en-US"/>
        </w:rPr>
        <w:t> </w:t>
      </w:r>
    </w:p>
    <w:p w14:paraId="61219C17" w14:textId="77777777" w:rsidR="001D10AA" w:rsidRPr="00724A12" w:rsidRDefault="001D10AA" w:rsidP="001D10AA">
      <w:pPr>
        <w:spacing w:after="0" w:line="360" w:lineRule="auto"/>
        <w:rPr>
          <w:rFonts w:eastAsia="Calibri" w:cs="Tahoma"/>
          <w:bCs/>
          <w:lang w:eastAsia="en-US"/>
        </w:rPr>
      </w:pPr>
      <w:r w:rsidRPr="00724A12">
        <w:rPr>
          <w:rFonts w:eastAsia="Calibri" w:cs="Tahoma"/>
          <w:bCs/>
          <w:lang w:eastAsia="en-US"/>
        </w:rPr>
        <w:lastRenderedPageBreak/>
        <w:t>Conforme a lo anterior, se advierte que el nombre de beneficiarios, menores de edad es un dato confidencial, en términos del artículo 143, fracción I de la Ley de Transparencia y Acceso a la Información Pública del estado de México y Municipios.</w:t>
      </w:r>
    </w:p>
    <w:p w14:paraId="616E1591" w14:textId="77777777" w:rsidR="001D10AA" w:rsidRPr="00724A12" w:rsidRDefault="001D10AA" w:rsidP="001D10AA">
      <w:pPr>
        <w:spacing w:after="0" w:line="360" w:lineRule="auto"/>
        <w:rPr>
          <w:rFonts w:eastAsia="Calibri" w:cs="Tahoma"/>
          <w:bCs/>
          <w:lang w:eastAsia="en-US"/>
        </w:rPr>
      </w:pPr>
    </w:p>
    <w:p w14:paraId="573E3524" w14:textId="77777777" w:rsidR="001D10AA" w:rsidRPr="00724A12" w:rsidRDefault="001D10AA" w:rsidP="001D10AA">
      <w:pPr>
        <w:spacing w:after="0" w:line="360" w:lineRule="auto"/>
        <w:ind w:left="720"/>
        <w:rPr>
          <w:rFonts w:ascii="Times New Roman" w:eastAsia="Times New Roman" w:hAnsi="Times New Roman" w:cs="Times New Roman"/>
          <w:color w:val="222222"/>
          <w:sz w:val="20"/>
          <w:szCs w:val="20"/>
          <w:lang w:eastAsia="es-ES_tradnl"/>
        </w:rPr>
      </w:pPr>
      <w:r w:rsidRPr="00724A12">
        <w:rPr>
          <w:rFonts w:eastAsia="Times New Roman" w:cs="Times New Roman"/>
          <w:b/>
          <w:bCs/>
          <w:lang w:val="es-ES_tradnl" w:eastAsia="es-ES_tradnl"/>
        </w:rPr>
        <w:t>Nombre de particulares que recibieron el pago de pensión alimenticia</w:t>
      </w:r>
    </w:p>
    <w:p w14:paraId="08897B46" w14:textId="77777777" w:rsidR="001D10AA" w:rsidRPr="00724A12" w:rsidRDefault="001D10AA" w:rsidP="001D10AA">
      <w:pPr>
        <w:spacing w:after="0" w:line="360" w:lineRule="auto"/>
        <w:ind w:left="720"/>
        <w:rPr>
          <w:rFonts w:ascii="Times New Roman" w:eastAsia="Times New Roman" w:hAnsi="Times New Roman" w:cs="Times New Roman"/>
          <w:color w:val="222222"/>
          <w:sz w:val="20"/>
          <w:szCs w:val="20"/>
          <w:lang w:eastAsia="es-ES_tradnl"/>
        </w:rPr>
      </w:pPr>
      <w:r w:rsidRPr="00724A12">
        <w:rPr>
          <w:rFonts w:eastAsia="Times New Roman" w:cs="Times New Roman"/>
          <w:b/>
          <w:bCs/>
          <w:lang w:val="es-ES_tradnl" w:eastAsia="es-ES_tradnl"/>
        </w:rPr>
        <w:t> </w:t>
      </w:r>
    </w:p>
    <w:p w14:paraId="1D4AF410" w14:textId="77777777" w:rsidR="001D10AA" w:rsidRPr="00724A12" w:rsidRDefault="001D10AA" w:rsidP="001D10AA">
      <w:pPr>
        <w:spacing w:after="0" w:line="360" w:lineRule="auto"/>
        <w:rPr>
          <w:rFonts w:ascii="Times New Roman" w:eastAsia="Times New Roman" w:hAnsi="Times New Roman" w:cs="Times New Roman"/>
          <w:color w:val="222222"/>
          <w:sz w:val="20"/>
          <w:szCs w:val="20"/>
          <w:lang w:eastAsia="es-ES_tradnl"/>
        </w:rPr>
      </w:pPr>
      <w:r w:rsidRPr="00724A12">
        <w:rPr>
          <w:rFonts w:eastAsia="Times New Roman" w:cs="Times New Roman"/>
          <w:color w:val="222222"/>
          <w:lang w:eastAsia="es-ES_tradnl"/>
        </w:rPr>
        <w:t>Al respecto, se debe señalar que el dato en cuestión corresponde a la persona que recibe una retención realizada a un trabajador, correspondiente al pago de pensión alimenticia, es decir, es un monto pagado con recursos propios de los trabajadores, por lo que, se considera que el nombre es clasificado, como confidencial, pues únicamente atañe a la vida privada de las personas.</w:t>
      </w:r>
    </w:p>
    <w:p w14:paraId="5F81D62A" w14:textId="77777777" w:rsidR="001D10AA" w:rsidRPr="00724A12" w:rsidRDefault="001D10AA" w:rsidP="001D10AA">
      <w:pPr>
        <w:spacing w:after="0" w:line="360" w:lineRule="auto"/>
        <w:rPr>
          <w:rFonts w:ascii="Times New Roman" w:eastAsia="Times New Roman" w:hAnsi="Times New Roman" w:cs="Times New Roman"/>
          <w:color w:val="222222"/>
          <w:sz w:val="20"/>
          <w:szCs w:val="20"/>
          <w:lang w:eastAsia="es-ES_tradnl"/>
        </w:rPr>
      </w:pPr>
      <w:r w:rsidRPr="00724A12">
        <w:rPr>
          <w:rFonts w:eastAsia="Times New Roman" w:cs="Times New Roman"/>
          <w:b/>
          <w:bCs/>
          <w:color w:val="222222"/>
          <w:lang w:eastAsia="es-ES_tradnl"/>
        </w:rPr>
        <w:t> </w:t>
      </w:r>
    </w:p>
    <w:p w14:paraId="1301E69F" w14:textId="77777777" w:rsidR="001D10AA" w:rsidRPr="00724A12" w:rsidRDefault="001D10AA" w:rsidP="001D10AA">
      <w:pPr>
        <w:spacing w:after="0" w:line="360" w:lineRule="auto"/>
        <w:rPr>
          <w:rFonts w:ascii="Times New Roman" w:eastAsia="Times New Roman" w:hAnsi="Times New Roman" w:cs="Times New Roman"/>
          <w:color w:val="222222"/>
          <w:sz w:val="20"/>
          <w:szCs w:val="20"/>
          <w:lang w:eastAsia="es-ES_tradnl"/>
        </w:rPr>
      </w:pPr>
      <w:r w:rsidRPr="00724A12">
        <w:rPr>
          <w:rFonts w:eastAsia="Times New Roman" w:cs="Times New Roman"/>
          <w:color w:val="222222"/>
          <w:lang w:eastAsia="es-ES_tradnl"/>
        </w:rPr>
        <w:t>Al respecto </w:t>
      </w:r>
      <w:r w:rsidRPr="00724A12">
        <w:rPr>
          <w:rFonts w:eastAsia="Times New Roman" w:cs="Times New Roman"/>
          <w:color w:val="222222"/>
          <w:lang w:val="es-ES" w:eastAsia="es-ES_tradnl"/>
        </w:rPr>
        <w:t>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4AF921AD" w14:textId="77777777" w:rsidR="001D10AA" w:rsidRPr="00724A12" w:rsidRDefault="001D10AA" w:rsidP="001D10AA">
      <w:pPr>
        <w:spacing w:after="0" w:line="360" w:lineRule="auto"/>
        <w:rPr>
          <w:rFonts w:ascii="Times New Roman" w:eastAsia="Times New Roman" w:hAnsi="Times New Roman" w:cs="Times New Roman"/>
          <w:color w:val="222222"/>
          <w:sz w:val="20"/>
          <w:szCs w:val="20"/>
          <w:lang w:eastAsia="es-ES_tradnl"/>
        </w:rPr>
      </w:pPr>
      <w:r w:rsidRPr="00724A12">
        <w:rPr>
          <w:rFonts w:eastAsia="Times New Roman" w:cs="Times New Roman"/>
          <w:color w:val="222222"/>
          <w:lang w:val="es-ES" w:eastAsia="es-ES_tradnl"/>
        </w:rPr>
        <w:t> </w:t>
      </w:r>
    </w:p>
    <w:p w14:paraId="528DC15D" w14:textId="77777777" w:rsidR="001D10AA" w:rsidRPr="00724A12" w:rsidRDefault="001D10AA" w:rsidP="001D10AA">
      <w:pPr>
        <w:spacing w:after="0" w:line="360" w:lineRule="auto"/>
        <w:ind w:left="567" w:right="567"/>
        <w:rPr>
          <w:rFonts w:ascii="Times New Roman" w:eastAsia="Times New Roman" w:hAnsi="Times New Roman" w:cs="Times New Roman"/>
          <w:color w:val="222222"/>
          <w:sz w:val="20"/>
          <w:szCs w:val="20"/>
          <w:lang w:eastAsia="es-ES_tradnl"/>
        </w:rPr>
      </w:pPr>
      <w:r w:rsidRPr="00724A12">
        <w:rPr>
          <w:rFonts w:eastAsia="Times New Roman" w:cs="Times New Roman"/>
          <w:i/>
          <w:iCs/>
          <w:color w:val="222222"/>
          <w:sz w:val="20"/>
          <w:szCs w:val="20"/>
          <w:lang w:val="es-ES" w:eastAsia="es-ES_tradnl"/>
        </w:rPr>
        <w:t>“</w:t>
      </w:r>
      <w:r w:rsidRPr="00724A12">
        <w:rPr>
          <w:rFonts w:eastAsia="Times New Roman" w:cs="Times New Roman"/>
          <w:b/>
          <w:bCs/>
          <w:i/>
          <w:iCs/>
          <w:color w:val="222222"/>
          <w:sz w:val="20"/>
          <w:szCs w:val="20"/>
          <w:lang w:val="es-ES" w:eastAsia="es-ES_tradnl"/>
        </w:rPr>
        <w:t>DERECHO A LA VIDA PRIVADA. SU CONTENIDO GENERAL Y LA IMPORTANCIA DE NO DESCONTEXTUALIZAR LAS REFERENCIAS A LA MISMA. </w:t>
      </w:r>
      <w:r w:rsidRPr="00724A12">
        <w:rPr>
          <w:rFonts w:eastAsia="Times New Roman" w:cs="Times New Roman"/>
          <w:i/>
          <w:iCs/>
          <w:color w:val="222222"/>
          <w:sz w:val="20"/>
          <w:szCs w:val="20"/>
          <w:lang w:val="es-ES" w:eastAsia="es-ES_tradnl"/>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w:t>
      </w:r>
      <w:r w:rsidRPr="00724A12">
        <w:rPr>
          <w:rFonts w:eastAsia="Times New Roman" w:cs="Times New Roman"/>
          <w:i/>
          <w:iCs/>
          <w:color w:val="222222"/>
          <w:sz w:val="20"/>
          <w:szCs w:val="20"/>
          <w:lang w:val="es-ES" w:eastAsia="es-ES_tradnl"/>
        </w:rPr>
        <w:lastRenderedPageBreak/>
        <w:t>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724A12">
        <w:rPr>
          <w:rFonts w:eastAsia="Times New Roman" w:cs="Times New Roman"/>
          <w:b/>
          <w:bCs/>
          <w:i/>
          <w:iCs/>
          <w:color w:val="222222"/>
          <w:sz w:val="20"/>
          <w:szCs w:val="20"/>
          <w:lang w:val="es-ES" w:eastAsia="es-ES_tradnl"/>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724A12">
        <w:rPr>
          <w:rFonts w:eastAsia="Times New Roman" w:cs="Times New Roman"/>
          <w:i/>
          <w:iCs/>
          <w:color w:val="222222"/>
          <w:sz w:val="20"/>
          <w:szCs w:val="20"/>
          <w:lang w:val="es-ES" w:eastAsia="es-ES_tradnl"/>
        </w:rPr>
        <w:t>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724A12">
        <w:rPr>
          <w:rFonts w:eastAsia="Times New Roman" w:cs="Times New Roman"/>
          <w:b/>
          <w:bCs/>
          <w:i/>
          <w:iCs/>
          <w:color w:val="222222"/>
          <w:sz w:val="20"/>
          <w:szCs w:val="20"/>
          <w:lang w:val="es-ES" w:eastAsia="es-ES_tradnl"/>
        </w:rPr>
        <w:t>En un sentido amplio, entonces, la protección constitucional de la vida privada implica poder conducir parte de la vida de uno protegido de la mirada y las injerencias de los demás</w:t>
      </w:r>
      <w:r w:rsidRPr="00724A12">
        <w:rPr>
          <w:rFonts w:eastAsia="Times New Roman" w:cs="Times New Roman"/>
          <w:i/>
          <w:iCs/>
          <w:color w:val="222222"/>
          <w:sz w:val="20"/>
          <w:szCs w:val="20"/>
          <w:lang w:val="es-ES" w:eastAsia="es-ES_tradnl"/>
        </w:rPr>
        <w:t xml:space="preserve">,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w:t>
      </w:r>
      <w:r w:rsidRPr="00724A12">
        <w:rPr>
          <w:rFonts w:eastAsia="Times New Roman" w:cs="Times New Roman"/>
          <w:i/>
          <w:iCs/>
          <w:color w:val="222222"/>
          <w:sz w:val="20"/>
          <w:szCs w:val="20"/>
          <w:lang w:val="es-ES" w:eastAsia="es-ES_tradnl"/>
        </w:rPr>
        <w:lastRenderedPageBreak/>
        <w:t>espionaje, la protección contra el uso abusivo de las comunicaciones privadas, o la protección contra la divulgación de informaciones comunicadas o recibidas confidencialmente por un particular.”</w:t>
      </w:r>
    </w:p>
    <w:p w14:paraId="233FEC9F" w14:textId="77777777" w:rsidR="001D10AA" w:rsidRPr="00724A12" w:rsidRDefault="001D10AA" w:rsidP="001D10AA">
      <w:pPr>
        <w:spacing w:after="0" w:line="360" w:lineRule="auto"/>
        <w:rPr>
          <w:rFonts w:ascii="Times New Roman" w:eastAsia="Times New Roman" w:hAnsi="Times New Roman" w:cs="Times New Roman"/>
          <w:color w:val="222222"/>
          <w:sz w:val="20"/>
          <w:szCs w:val="20"/>
          <w:lang w:eastAsia="es-ES_tradnl"/>
        </w:rPr>
      </w:pPr>
      <w:r w:rsidRPr="00724A12">
        <w:rPr>
          <w:rFonts w:eastAsia="Times New Roman" w:cs="Times New Roman"/>
          <w:color w:val="222222"/>
          <w:lang w:val="es-ES" w:eastAsia="es-ES_tradnl"/>
        </w:rPr>
        <w:t> </w:t>
      </w:r>
    </w:p>
    <w:p w14:paraId="66654F73" w14:textId="77777777" w:rsidR="001D10AA" w:rsidRPr="00724A12" w:rsidRDefault="001D10AA" w:rsidP="001D10AA">
      <w:pPr>
        <w:spacing w:after="0" w:line="360" w:lineRule="auto"/>
        <w:rPr>
          <w:rFonts w:ascii="Times New Roman" w:eastAsia="Times New Roman" w:hAnsi="Times New Roman" w:cs="Times New Roman"/>
          <w:color w:val="222222"/>
          <w:sz w:val="20"/>
          <w:szCs w:val="20"/>
          <w:lang w:eastAsia="es-ES_tradnl"/>
        </w:rPr>
      </w:pPr>
      <w:r w:rsidRPr="00724A12">
        <w:rPr>
          <w:rFonts w:eastAsia="Times New Roman" w:cs="Times New Roman"/>
          <w:color w:val="222222"/>
          <w:lang w:val="es-ES" w:eastAsia="es-ES_tradnl"/>
        </w:rPr>
        <w:t>De conformidad con lo señalado, se colige que </w:t>
      </w:r>
      <w:r w:rsidRPr="00724A12">
        <w:rPr>
          <w:rFonts w:eastAsia="Times New Roman" w:cs="Times New Roman"/>
          <w:b/>
          <w:bCs/>
          <w:color w:val="222222"/>
          <w:lang w:val="es-ES" w:eastAsia="es-ES_tradnl"/>
        </w:rPr>
        <w:t>las actividades que realicen los particulares, dentro del ámbito privado, o dentro de la esfera particular, es información que debe protegerse, lo cual acontece en el presente caso, pues se trata del pago de pensión alimenticia, misma que únicamente le atañe al trabajador al cual se le hace la retención y las persona a la cual se le entrega la misma.</w:t>
      </w:r>
    </w:p>
    <w:p w14:paraId="57A5D7C0" w14:textId="77777777" w:rsidR="001D10AA" w:rsidRPr="00724A12" w:rsidRDefault="001D10AA" w:rsidP="001D10AA">
      <w:pPr>
        <w:spacing w:after="0" w:line="360" w:lineRule="auto"/>
        <w:rPr>
          <w:rFonts w:ascii="Times New Roman" w:eastAsia="Times New Roman" w:hAnsi="Times New Roman" w:cs="Times New Roman"/>
          <w:color w:val="222222"/>
          <w:sz w:val="20"/>
          <w:szCs w:val="20"/>
          <w:lang w:eastAsia="es-ES_tradnl"/>
        </w:rPr>
      </w:pPr>
      <w:r w:rsidRPr="00724A12">
        <w:rPr>
          <w:rFonts w:eastAsia="Times New Roman" w:cs="Times New Roman"/>
          <w:color w:val="222222"/>
          <w:lang w:eastAsia="es-ES_tradnl"/>
        </w:rPr>
        <w:t> </w:t>
      </w:r>
    </w:p>
    <w:p w14:paraId="1052CCF3" w14:textId="77777777" w:rsidR="001D10AA" w:rsidRPr="00724A12" w:rsidRDefault="001D10AA" w:rsidP="001D10AA">
      <w:pPr>
        <w:spacing w:after="0" w:line="360" w:lineRule="auto"/>
        <w:rPr>
          <w:rFonts w:ascii="Times New Roman" w:eastAsia="Times New Roman" w:hAnsi="Times New Roman" w:cs="Times New Roman"/>
          <w:color w:val="222222"/>
          <w:sz w:val="20"/>
          <w:szCs w:val="20"/>
          <w:lang w:eastAsia="es-ES_tradnl"/>
        </w:rPr>
      </w:pPr>
      <w:r w:rsidRPr="00724A12">
        <w:rPr>
          <w:rFonts w:eastAsia="Times New Roman" w:cs="Times New Roman"/>
          <w:color w:val="222222"/>
          <w:lang w:eastAsia="es-ES_tradnl"/>
        </w:rPr>
        <w:t>En consecuencia, se estima que resulta procedente la clasificación del nombre de particulares en actuación dentro de su ámbito privado, en términos del artículo 143, fracción I de la Ley de Transparencia y Acceso a la Información Pública del Estado de México y Municipios.</w:t>
      </w:r>
    </w:p>
    <w:p w14:paraId="538D44D7" w14:textId="77777777" w:rsidR="001D10AA" w:rsidRPr="00724A12" w:rsidRDefault="001D10AA" w:rsidP="001D10AA">
      <w:pPr>
        <w:spacing w:after="0" w:line="360" w:lineRule="auto"/>
        <w:rPr>
          <w:rFonts w:eastAsia="Calibri" w:cs="Tahoma"/>
          <w:bCs/>
          <w:lang w:eastAsia="en-US"/>
        </w:rPr>
      </w:pPr>
    </w:p>
    <w:p w14:paraId="6D96DFA4" w14:textId="77777777" w:rsidR="001D10AA" w:rsidRPr="00724A12" w:rsidRDefault="001D10AA" w:rsidP="001D10AA">
      <w:pPr>
        <w:numPr>
          <w:ilvl w:val="0"/>
          <w:numId w:val="35"/>
        </w:numPr>
        <w:spacing w:after="0" w:line="360" w:lineRule="auto"/>
        <w:contextualSpacing/>
        <w:jc w:val="left"/>
        <w:rPr>
          <w:rFonts w:eastAsia="Calibri" w:cs="Tahoma"/>
          <w:b/>
          <w:bCs/>
          <w:color w:val="auto"/>
        </w:rPr>
      </w:pPr>
      <w:r w:rsidRPr="00724A12">
        <w:rPr>
          <w:rFonts w:eastAsia="Calibri" w:cs="Tahoma"/>
          <w:b/>
          <w:bCs/>
          <w:color w:val="auto"/>
        </w:rPr>
        <w:t>Denominación o razón Social de personas morales.</w:t>
      </w:r>
    </w:p>
    <w:p w14:paraId="500E9A3A" w14:textId="77777777" w:rsidR="001D10AA" w:rsidRPr="00724A12" w:rsidRDefault="001D10AA" w:rsidP="001D10AA">
      <w:pPr>
        <w:spacing w:after="0" w:line="360" w:lineRule="auto"/>
        <w:rPr>
          <w:rFonts w:eastAsia="Calibri" w:cs="Tahoma"/>
          <w:b/>
          <w:bCs/>
          <w:color w:val="auto"/>
        </w:rPr>
      </w:pPr>
    </w:p>
    <w:p w14:paraId="5B3F8274" w14:textId="77777777" w:rsidR="001D10AA" w:rsidRPr="00724A12" w:rsidRDefault="001D10AA" w:rsidP="001D10AA">
      <w:pPr>
        <w:spacing w:after="0" w:line="360" w:lineRule="auto"/>
        <w:rPr>
          <w:rFonts w:eastAsia="Calibri" w:cs="Tahoma"/>
          <w:bCs/>
          <w:color w:val="auto"/>
        </w:rPr>
      </w:pPr>
      <w:r w:rsidRPr="00724A12">
        <w:rPr>
          <w:rFonts w:eastAsia="Calibri" w:cs="Tahoma"/>
          <w:bCs/>
          <w:color w:val="auto"/>
        </w:rPr>
        <w:t xml:space="preserve">Al respecto, se considera que la denominación o razón social de una persona moral, es pública, pues dichos datos se encuentran inscritos en el Registro Público del Comercio; lo anterior, toma sustento en el </w:t>
      </w:r>
      <w:r w:rsidRPr="00724A12">
        <w:rPr>
          <w:rFonts w:eastAsia="Calibri" w:cs="Tahoma"/>
          <w:bCs/>
          <w:color w:val="auto"/>
          <w:lang w:val="es-ES"/>
        </w:rPr>
        <w:t xml:space="preserve">Criterio Orientador, de la Segunda Época, con número de registro </w:t>
      </w:r>
      <w:r w:rsidRPr="00724A12">
        <w:rPr>
          <w:rFonts w:eastAsia="Calibri" w:cs="Tahoma"/>
          <w:bCs/>
          <w:color w:val="auto"/>
        </w:rPr>
        <w:t xml:space="preserve">SO/008/2019, emitido por el entonces Instituto Nacional de Transparencia, Acceso a la Información y Protección de Datos Personales, el cual establece que la denominación o razón </w:t>
      </w:r>
      <w:proofErr w:type="spellStart"/>
      <w:r w:rsidRPr="00724A12">
        <w:rPr>
          <w:rFonts w:eastAsia="Calibri" w:cs="Tahoma"/>
          <w:bCs/>
          <w:color w:val="auto"/>
        </w:rPr>
        <w:t>socual</w:t>
      </w:r>
      <w:proofErr w:type="spellEnd"/>
      <w:r w:rsidRPr="00724A12">
        <w:rPr>
          <w:rFonts w:eastAsia="Calibri" w:cs="Tahoma"/>
          <w:bCs/>
          <w:color w:val="auto"/>
        </w:rPr>
        <w:t xml:space="preserve"> de las personas morales es pública, por encontrarse inscritas en el Registro Público del Comercio.</w:t>
      </w:r>
    </w:p>
    <w:p w14:paraId="2E7C7EBF" w14:textId="77777777" w:rsidR="001D10AA" w:rsidRPr="00724A12" w:rsidRDefault="001D10AA" w:rsidP="001D10AA">
      <w:pPr>
        <w:spacing w:after="0" w:line="360" w:lineRule="auto"/>
        <w:rPr>
          <w:rFonts w:eastAsia="Calibri" w:cs="Tahoma"/>
          <w:b/>
          <w:bCs/>
          <w:color w:val="auto"/>
        </w:rPr>
      </w:pPr>
    </w:p>
    <w:p w14:paraId="791740B9" w14:textId="77777777" w:rsidR="001D10AA" w:rsidRPr="00724A12" w:rsidRDefault="001D10AA" w:rsidP="001D10AA">
      <w:pPr>
        <w:spacing w:after="0" w:line="360" w:lineRule="auto"/>
        <w:rPr>
          <w:rFonts w:eastAsia="Calibri" w:cs="Tahoma"/>
          <w:bCs/>
          <w:color w:val="auto"/>
          <w:lang w:val="es-ES_tradnl"/>
        </w:rPr>
      </w:pPr>
      <w:r w:rsidRPr="00724A12">
        <w:rPr>
          <w:rFonts w:eastAsia="Calibri" w:cs="Tahoma"/>
          <w:bCs/>
          <w:color w:val="auto"/>
        </w:rPr>
        <w:t>Lo anterior, se robustece con el hecho de que el Ente Recurrido tiene como obligación común de transparencia, poner a disposición del público el nombre de las personas que reciben recursos públicos, de parte del Sujeto Obligado.</w:t>
      </w:r>
    </w:p>
    <w:p w14:paraId="0C1AE329" w14:textId="77777777" w:rsidR="001D10AA" w:rsidRPr="00724A12" w:rsidRDefault="001D10AA" w:rsidP="001D10AA">
      <w:pPr>
        <w:spacing w:after="0" w:line="360" w:lineRule="auto"/>
        <w:rPr>
          <w:rFonts w:eastAsia="Calibri" w:cs="Tahoma"/>
          <w:bCs/>
          <w:color w:val="auto"/>
          <w:lang w:val="es-ES_tradnl"/>
        </w:rPr>
      </w:pPr>
    </w:p>
    <w:p w14:paraId="7E89495F" w14:textId="77777777" w:rsidR="001D10AA" w:rsidRPr="00724A12" w:rsidRDefault="001D10AA" w:rsidP="001D10AA">
      <w:pPr>
        <w:spacing w:after="0" w:line="360" w:lineRule="auto"/>
        <w:rPr>
          <w:rFonts w:eastAsia="Calibri" w:cs="Tahoma"/>
          <w:bCs/>
          <w:color w:val="auto"/>
        </w:rPr>
      </w:pPr>
      <w:r w:rsidRPr="00724A12">
        <w:rPr>
          <w:rFonts w:eastAsia="Calibri" w:cs="Tahoma"/>
          <w:bCs/>
          <w:color w:val="auto"/>
          <w:lang w:val="es-ES_tradnl"/>
        </w:rPr>
        <w:lastRenderedPageBreak/>
        <w:t>Por lo tanto, no procede la clasificación de la denominación o razón social de personas morales, en términos del artículo 143, fracción I, de la Ley de Transparencia y Acceso a la Información Pública del Estado de México y Municipios.</w:t>
      </w:r>
    </w:p>
    <w:p w14:paraId="1F15865D" w14:textId="77777777" w:rsidR="001D10AA" w:rsidRPr="00724A12" w:rsidRDefault="001D10AA" w:rsidP="000B188A">
      <w:pPr>
        <w:spacing w:after="0" w:line="360" w:lineRule="auto"/>
        <w:ind w:right="-28"/>
        <w:contextualSpacing/>
        <w:rPr>
          <w:rFonts w:eastAsia="Times New Roman" w:cs="Times New Roman"/>
          <w:color w:val="auto"/>
          <w:lang w:eastAsia="es-ES"/>
        </w:rPr>
      </w:pPr>
    </w:p>
    <w:p w14:paraId="262E6B8D" w14:textId="77777777" w:rsidR="001D10AA" w:rsidRPr="00724A12" w:rsidRDefault="001D10AA" w:rsidP="001D10AA">
      <w:pPr>
        <w:numPr>
          <w:ilvl w:val="0"/>
          <w:numId w:val="40"/>
        </w:numPr>
        <w:spacing w:after="0" w:line="360" w:lineRule="auto"/>
        <w:jc w:val="left"/>
        <w:rPr>
          <w:rFonts w:eastAsia="Calibri" w:cs="Tahoma"/>
          <w:b/>
          <w:iCs/>
          <w:szCs w:val="24"/>
          <w:lang w:val="es-ES"/>
        </w:rPr>
      </w:pPr>
      <w:r w:rsidRPr="00724A12">
        <w:rPr>
          <w:rFonts w:eastAsia="Calibri" w:cs="Tahoma"/>
          <w:b/>
          <w:bCs/>
          <w:szCs w:val="24"/>
        </w:rPr>
        <w:t xml:space="preserve">Registro Federal de Contribuyentes </w:t>
      </w:r>
    </w:p>
    <w:p w14:paraId="5DE0BDAA" w14:textId="77777777" w:rsidR="001D10AA" w:rsidRPr="00724A12" w:rsidRDefault="001D10AA" w:rsidP="001D10AA">
      <w:pPr>
        <w:widowControl w:val="0"/>
        <w:tabs>
          <w:tab w:val="center" w:pos="4522"/>
        </w:tabs>
        <w:spacing w:after="0" w:line="360" w:lineRule="auto"/>
        <w:rPr>
          <w:rFonts w:eastAsia="Calibri" w:cs="Tahoma"/>
          <w:b/>
          <w:bCs/>
          <w:iCs/>
          <w:szCs w:val="24"/>
          <w:lang w:val="es-ES"/>
        </w:rPr>
      </w:pPr>
    </w:p>
    <w:p w14:paraId="11D8FA81" w14:textId="77777777" w:rsidR="001D10AA" w:rsidRPr="00724A12" w:rsidRDefault="001D10AA" w:rsidP="003B5579">
      <w:pPr>
        <w:spacing w:after="0" w:line="360" w:lineRule="auto"/>
        <w:contextualSpacing/>
        <w:rPr>
          <w:rFonts w:eastAsia="Calibri" w:cs="Tahoma"/>
          <w:b/>
          <w:bCs/>
          <w:iCs/>
          <w:szCs w:val="24"/>
          <w:lang w:val="es-ES"/>
        </w:rPr>
      </w:pPr>
      <w:r w:rsidRPr="00724A12">
        <w:rPr>
          <w:rFonts w:eastAsia="Calibri" w:cs="Tahoma"/>
          <w:b/>
          <w:bCs/>
          <w:iCs/>
          <w:szCs w:val="24"/>
          <w:lang w:val="es-ES"/>
        </w:rPr>
        <w:t>Persona física (</w:t>
      </w:r>
      <w:r w:rsidRPr="00724A12">
        <w:rPr>
          <w:rFonts w:eastAsia="Times New Roman" w:cs="Tahoma"/>
          <w:color w:val="auto"/>
        </w:rPr>
        <w:t>particular</w:t>
      </w:r>
      <w:r w:rsidRPr="00724A12">
        <w:rPr>
          <w:rFonts w:eastAsia="Calibri" w:cs="Tahoma"/>
          <w:b/>
          <w:bCs/>
          <w:iCs/>
          <w:szCs w:val="24"/>
          <w:lang w:val="es-ES"/>
        </w:rPr>
        <w:t>)</w:t>
      </w:r>
    </w:p>
    <w:p w14:paraId="4C0ECEE0" w14:textId="77777777" w:rsidR="001D10AA" w:rsidRPr="00724A12" w:rsidRDefault="001D10AA" w:rsidP="003B5579">
      <w:pPr>
        <w:spacing w:after="0" w:line="360" w:lineRule="auto"/>
        <w:contextualSpacing/>
        <w:rPr>
          <w:rFonts w:eastAsia="Calibri" w:cs="Tahoma"/>
          <w:bCs/>
          <w:color w:val="auto"/>
          <w:lang w:val="es-ES_tradnl" w:eastAsia="en-US"/>
        </w:rPr>
      </w:pPr>
    </w:p>
    <w:p w14:paraId="6F234110" w14:textId="77777777" w:rsidR="001D10AA" w:rsidRPr="00724A12" w:rsidRDefault="001D10AA" w:rsidP="001D10AA">
      <w:pPr>
        <w:spacing w:after="0" w:line="360" w:lineRule="auto"/>
        <w:contextualSpacing/>
        <w:rPr>
          <w:rFonts w:eastAsia="Times New Roman" w:cs="Tahoma"/>
          <w:color w:val="auto"/>
        </w:rPr>
      </w:pPr>
      <w:r w:rsidRPr="00724A12">
        <w:rPr>
          <w:rFonts w:eastAsia="Times New Roman" w:cs="Tahoma"/>
          <w:color w:val="auto"/>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683ECE9" w14:textId="77777777" w:rsidR="001D10AA" w:rsidRPr="00724A12" w:rsidRDefault="001D10AA" w:rsidP="001D10AA">
      <w:pPr>
        <w:spacing w:after="0" w:line="360" w:lineRule="auto"/>
        <w:contextualSpacing/>
        <w:rPr>
          <w:rFonts w:eastAsia="Times New Roman" w:cs="Tahoma"/>
          <w:color w:val="auto"/>
        </w:rPr>
      </w:pPr>
    </w:p>
    <w:p w14:paraId="7E248846" w14:textId="77777777" w:rsidR="001D10AA" w:rsidRPr="00724A12" w:rsidRDefault="001D10AA" w:rsidP="001D10AA">
      <w:pPr>
        <w:widowControl w:val="0"/>
        <w:spacing w:after="0" w:line="360" w:lineRule="auto"/>
        <w:contextualSpacing/>
        <w:rPr>
          <w:rFonts w:eastAsia="Times New Roman" w:cs="Tahoma"/>
          <w:color w:val="auto"/>
        </w:rPr>
      </w:pPr>
      <w:r w:rsidRPr="00724A12">
        <w:rPr>
          <w:rFonts w:eastAsia="Times New Roman" w:cs="Tahoma"/>
          <w:color w:val="auto"/>
        </w:rPr>
        <w:t xml:space="preserve">De acuerdo a lo establecido en el artículo en comento, esta clave se compone de trece caracteres alfanuméricos, con datos obtenidos de los apellidos, nombre(s), fecha de nacimiento del titular, más una </w:t>
      </w:r>
      <w:proofErr w:type="spellStart"/>
      <w:r w:rsidRPr="00724A12">
        <w:rPr>
          <w:rFonts w:eastAsia="Times New Roman" w:cs="Tahoma"/>
          <w:color w:val="auto"/>
        </w:rPr>
        <w:t>homoclave</w:t>
      </w:r>
      <w:proofErr w:type="spellEnd"/>
      <w:r w:rsidRPr="00724A12">
        <w:rPr>
          <w:rFonts w:eastAsia="Times New Roman" w:cs="Tahoma"/>
          <w:color w:val="auto"/>
        </w:rPr>
        <w:t xml:space="preserve"> que establece el sistema automático del Servicio de Administración Tributaria.</w:t>
      </w:r>
    </w:p>
    <w:p w14:paraId="5A8CD944" w14:textId="77777777" w:rsidR="001D10AA" w:rsidRPr="00724A12" w:rsidRDefault="001D10AA" w:rsidP="001D10AA">
      <w:pPr>
        <w:spacing w:after="0" w:line="360" w:lineRule="auto"/>
        <w:contextualSpacing/>
        <w:rPr>
          <w:rFonts w:eastAsia="Times New Roman" w:cs="Tahoma"/>
          <w:color w:val="auto"/>
        </w:rPr>
      </w:pPr>
    </w:p>
    <w:p w14:paraId="6877FF03" w14:textId="77777777" w:rsidR="001D10AA" w:rsidRPr="00724A12" w:rsidRDefault="001D10AA" w:rsidP="001D10AA">
      <w:pPr>
        <w:spacing w:after="0" w:line="360" w:lineRule="auto"/>
        <w:contextualSpacing/>
        <w:rPr>
          <w:rFonts w:eastAsia="Times New Roman" w:cs="Tahoma"/>
          <w:color w:val="auto"/>
        </w:rPr>
      </w:pPr>
      <w:r w:rsidRPr="00724A12">
        <w:rPr>
          <w:rFonts w:eastAsia="Times New Roman" w:cs="Tahoma"/>
          <w:color w:val="auto"/>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E7EF2D9" w14:textId="77777777" w:rsidR="001D10AA" w:rsidRPr="00724A12" w:rsidRDefault="001D10AA" w:rsidP="001D10AA">
      <w:pPr>
        <w:spacing w:after="0" w:line="360" w:lineRule="auto"/>
        <w:contextualSpacing/>
        <w:rPr>
          <w:rFonts w:eastAsia="Times New Roman" w:cs="Tahoma"/>
          <w:color w:val="auto"/>
        </w:rPr>
      </w:pPr>
    </w:p>
    <w:p w14:paraId="47376A17" w14:textId="77777777" w:rsidR="001D10AA" w:rsidRPr="00724A12" w:rsidRDefault="001D10AA" w:rsidP="001D10AA">
      <w:pPr>
        <w:spacing w:after="0" w:line="360" w:lineRule="auto"/>
        <w:contextualSpacing/>
        <w:rPr>
          <w:rFonts w:eastAsia="Times New Roman" w:cs="Tahoma"/>
          <w:color w:val="auto"/>
        </w:rPr>
      </w:pPr>
      <w:r w:rsidRPr="00724A12">
        <w:rPr>
          <w:rFonts w:eastAsia="Times New Roman" w:cs="Tahoma"/>
          <w:color w:val="auto"/>
        </w:rPr>
        <w:lastRenderedPageBreak/>
        <w:t xml:space="preserve">Conforme a lo expuesto,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w:t>
      </w:r>
      <w:proofErr w:type="gramStart"/>
      <w:r w:rsidRPr="00724A12">
        <w:rPr>
          <w:rFonts w:eastAsia="Times New Roman" w:cs="Tahoma"/>
          <w:color w:val="auto"/>
        </w:rPr>
        <w:t>involucradas</w:t>
      </w:r>
      <w:proofErr w:type="gramEnd"/>
      <w:r w:rsidRPr="00724A12">
        <w:rPr>
          <w:rFonts w:eastAsia="Times New Roman" w:cs="Tahoma"/>
          <w:color w:val="auto"/>
        </w:rPr>
        <w:t>, en el pago de estos,</w:t>
      </w:r>
    </w:p>
    <w:p w14:paraId="33EDC67A" w14:textId="77777777" w:rsidR="001D10AA" w:rsidRPr="00724A12" w:rsidRDefault="001D10AA" w:rsidP="001D10AA">
      <w:pPr>
        <w:spacing w:after="0" w:line="360" w:lineRule="auto"/>
        <w:contextualSpacing/>
        <w:rPr>
          <w:rFonts w:eastAsia="Times New Roman" w:cs="Tahoma"/>
          <w:color w:val="auto"/>
        </w:rPr>
      </w:pPr>
    </w:p>
    <w:p w14:paraId="43E41328" w14:textId="77777777" w:rsidR="001D10AA" w:rsidRPr="00724A12" w:rsidRDefault="001D10AA" w:rsidP="001D10AA">
      <w:pPr>
        <w:spacing w:after="0" w:line="360" w:lineRule="auto"/>
        <w:rPr>
          <w:rFonts w:eastAsia="Calibri" w:cs="Tahoma"/>
          <w:bCs/>
          <w:color w:val="auto"/>
        </w:rPr>
      </w:pPr>
      <w:r w:rsidRPr="00724A12">
        <w:rPr>
          <w:rFonts w:eastAsia="Calibri" w:cs="Tahoma"/>
          <w:bCs/>
          <w:color w:val="auto"/>
        </w:rPr>
        <w:t>Lo anterior, resulta congruente con el Criterio Orientador, con clave de control SO/019/2017 emitido por el entonces Instituto Nacional de Transparencia, Acceso a la Información y Protección de Datos Personales, en el cual se señala lo siguiente:</w:t>
      </w:r>
    </w:p>
    <w:p w14:paraId="1FBFC165" w14:textId="77777777" w:rsidR="001D10AA" w:rsidRPr="00724A12" w:rsidRDefault="001D10AA" w:rsidP="001D10AA">
      <w:pPr>
        <w:spacing w:after="0" w:line="360" w:lineRule="auto"/>
        <w:contextualSpacing/>
        <w:rPr>
          <w:rFonts w:eastAsia="Times New Roman" w:cs="Tahoma"/>
          <w:color w:val="auto"/>
        </w:rPr>
      </w:pPr>
    </w:p>
    <w:p w14:paraId="1A6B0DB2" w14:textId="77777777" w:rsidR="001D10AA" w:rsidRPr="00724A12" w:rsidRDefault="001D10AA" w:rsidP="001D10AA">
      <w:pPr>
        <w:spacing w:after="0" w:line="360" w:lineRule="auto"/>
        <w:ind w:left="567" w:right="567"/>
        <w:contextualSpacing/>
        <w:rPr>
          <w:rFonts w:eastAsia="Times New Roman" w:cs="Tahoma"/>
          <w:i/>
          <w:iCs/>
          <w:color w:val="auto"/>
          <w:sz w:val="20"/>
          <w:szCs w:val="20"/>
          <w:lang w:eastAsia="es-ES"/>
        </w:rPr>
      </w:pPr>
      <w:r w:rsidRPr="00724A12">
        <w:rPr>
          <w:rFonts w:eastAsia="Times New Roman" w:cs="Tahoma"/>
          <w:b/>
          <w:i/>
          <w:iCs/>
          <w:color w:val="auto"/>
          <w:sz w:val="20"/>
          <w:szCs w:val="20"/>
          <w:lang w:eastAsia="es-ES"/>
        </w:rPr>
        <w:t>“Registro Federal de Contribuyentes (RFC) de personas físicas.</w:t>
      </w:r>
      <w:r w:rsidRPr="00724A12">
        <w:rPr>
          <w:rFonts w:eastAsia="Times New Roman" w:cs="Tahoma"/>
          <w:i/>
          <w:iCs/>
          <w:color w:val="auto"/>
          <w:sz w:val="20"/>
          <w:szCs w:val="20"/>
          <w:lang w:eastAsia="es-ES"/>
        </w:rPr>
        <w:t xml:space="preserve"> El RFC es una clave de carácter fiscal, única e irrepetible, que permite identificar al titular, su edad y fecha de nacimiento, por lo que es un dato personal de carácter confidencial.”</w:t>
      </w:r>
    </w:p>
    <w:p w14:paraId="17F91C84" w14:textId="77777777" w:rsidR="001D10AA" w:rsidRPr="00724A12" w:rsidRDefault="001D10AA" w:rsidP="001D10AA">
      <w:pPr>
        <w:spacing w:after="0" w:line="360" w:lineRule="auto"/>
        <w:ind w:left="567" w:right="567"/>
        <w:contextualSpacing/>
        <w:rPr>
          <w:rFonts w:eastAsia="Times New Roman" w:cs="Tahoma"/>
          <w:color w:val="auto"/>
          <w:lang w:eastAsia="es-ES"/>
        </w:rPr>
      </w:pPr>
    </w:p>
    <w:p w14:paraId="4AC7A5EE" w14:textId="0E4B81DF" w:rsidR="001D10AA" w:rsidRPr="00724A12" w:rsidRDefault="001D10AA" w:rsidP="001D10AA">
      <w:pPr>
        <w:widowControl w:val="0"/>
        <w:spacing w:after="0" w:line="360" w:lineRule="auto"/>
        <w:contextualSpacing/>
        <w:rPr>
          <w:rFonts w:eastAsia="Calibri" w:cs="Tahoma"/>
          <w:bCs/>
          <w:color w:val="auto"/>
          <w:lang w:eastAsia="en-US"/>
        </w:rPr>
      </w:pPr>
      <w:r w:rsidRPr="00724A12">
        <w:rPr>
          <w:rFonts w:eastAsia="Times New Roman" w:cs="Tahoma"/>
          <w:color w:val="auto"/>
        </w:rPr>
        <w:t xml:space="preserve">De tal suerte, el Registro Federal de Contribuyentes </w:t>
      </w:r>
      <w:r w:rsidR="003B5579" w:rsidRPr="00724A12">
        <w:rPr>
          <w:rFonts w:eastAsia="Times New Roman" w:cs="Tahoma"/>
          <w:color w:val="auto"/>
        </w:rPr>
        <w:t>de los</w:t>
      </w:r>
      <w:r w:rsidRPr="00724A12">
        <w:rPr>
          <w:rFonts w:eastAsia="Times New Roman" w:cs="Tahoma"/>
          <w:color w:val="auto"/>
        </w:rPr>
        <w:t xml:space="preserve"> particulares no guarda relación con la transparencia de los recursos públicos, así como tampoco con el desempeño laboral que pueda tener una persona, por lo que constituye un dato personal confidencial </w:t>
      </w:r>
      <w:r w:rsidRPr="00724A12">
        <w:rPr>
          <w:rFonts w:eastAsia="Times New Roman" w:cs="Tahoma"/>
          <w:color w:val="auto"/>
          <w:lang w:eastAsia="es-ES"/>
        </w:rPr>
        <w:t>al actualizar el supuesto normativo del artículo 143, fracción I de la Ley de Transparencia y Acceso a la Información Pública del Estado de México y Municipios</w:t>
      </w:r>
      <w:r w:rsidRPr="00724A12">
        <w:rPr>
          <w:rFonts w:eastAsia="Times New Roman" w:cs="Tahoma"/>
          <w:color w:val="auto"/>
        </w:rPr>
        <w:t>.</w:t>
      </w:r>
    </w:p>
    <w:p w14:paraId="68357B38" w14:textId="77777777" w:rsidR="001D10AA" w:rsidRPr="00724A12" w:rsidRDefault="001D10AA" w:rsidP="001D10AA">
      <w:pPr>
        <w:widowControl w:val="0"/>
        <w:tabs>
          <w:tab w:val="center" w:pos="4522"/>
        </w:tabs>
        <w:spacing w:after="0" w:line="360" w:lineRule="auto"/>
        <w:rPr>
          <w:rFonts w:eastAsia="Calibri" w:cs="Tahoma"/>
          <w:b/>
          <w:bCs/>
          <w:iCs/>
          <w:szCs w:val="24"/>
          <w:lang w:val="es-ES"/>
        </w:rPr>
      </w:pPr>
    </w:p>
    <w:p w14:paraId="66C4F26D" w14:textId="77777777" w:rsidR="001D10AA" w:rsidRPr="00724A12" w:rsidRDefault="001D10AA" w:rsidP="001D10AA">
      <w:pPr>
        <w:widowControl w:val="0"/>
        <w:tabs>
          <w:tab w:val="center" w:pos="4522"/>
        </w:tabs>
        <w:spacing w:after="0" w:line="360" w:lineRule="auto"/>
        <w:rPr>
          <w:rFonts w:eastAsia="Calibri" w:cs="Tahoma"/>
          <w:b/>
          <w:bCs/>
          <w:szCs w:val="24"/>
          <w:lang w:val="es-ES_tradnl"/>
        </w:rPr>
      </w:pPr>
      <w:r w:rsidRPr="00724A12">
        <w:rPr>
          <w:rFonts w:eastAsia="Calibri" w:cs="Tahoma"/>
          <w:b/>
          <w:bCs/>
          <w:szCs w:val="24"/>
          <w:lang w:val="es-ES_tradnl"/>
        </w:rPr>
        <w:t>Persona física (proveedor o contratista)</w:t>
      </w:r>
    </w:p>
    <w:p w14:paraId="2C952CB2" w14:textId="77777777" w:rsidR="001D10AA" w:rsidRPr="00724A12" w:rsidRDefault="001D10AA" w:rsidP="001D10AA">
      <w:pPr>
        <w:widowControl w:val="0"/>
        <w:tabs>
          <w:tab w:val="center" w:pos="4522"/>
        </w:tabs>
        <w:spacing w:after="0" w:line="360" w:lineRule="auto"/>
        <w:rPr>
          <w:rFonts w:eastAsia="Calibri" w:cs="Tahoma"/>
          <w:b/>
          <w:bCs/>
          <w:szCs w:val="24"/>
          <w:lang w:val="es-ES_tradnl"/>
        </w:rPr>
      </w:pPr>
    </w:p>
    <w:p w14:paraId="71E06E1F" w14:textId="77777777" w:rsidR="001D10AA" w:rsidRPr="00724A12" w:rsidRDefault="001D10AA" w:rsidP="001D10AA">
      <w:pPr>
        <w:widowControl w:val="0"/>
        <w:tabs>
          <w:tab w:val="center" w:pos="4522"/>
        </w:tabs>
        <w:spacing w:after="0" w:line="360" w:lineRule="auto"/>
        <w:rPr>
          <w:rFonts w:eastAsia="Calibri" w:cs="Tahoma"/>
          <w:bCs/>
          <w:szCs w:val="24"/>
        </w:rPr>
      </w:pPr>
      <w:r w:rsidRPr="00724A12">
        <w:rPr>
          <w:rFonts w:eastAsia="Calibri" w:cs="Tahoma"/>
          <w:szCs w:val="24"/>
        </w:rPr>
        <w:t>Al respecto, es necesario precisar que</w:t>
      </w:r>
      <w:r w:rsidRPr="00724A12">
        <w:rPr>
          <w:rFonts w:eastAsia="Calibri" w:cs="Tahoma"/>
          <w:bCs/>
          <w:szCs w:val="24"/>
          <w:lang w:val="es-ES_tradnl"/>
        </w:rPr>
        <w:t xml:space="preserve"> </w:t>
      </w:r>
      <w:r w:rsidRPr="00724A12">
        <w:rPr>
          <w:rFonts w:eastAsia="Calibri" w:cs="Tahoma"/>
          <w:bCs/>
          <w:szCs w:val="24"/>
        </w:rPr>
        <w:t xml:space="preserve">el proveedor de cualquier Sujeto Obligado de la Ley de la materia, que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w:t>
      </w:r>
      <w:r w:rsidRPr="00724A12">
        <w:rPr>
          <w:rFonts w:eastAsia="Calibri" w:cs="Tahoma"/>
          <w:bCs/>
          <w:szCs w:val="24"/>
        </w:rPr>
        <w:lastRenderedPageBreak/>
        <w:t xml:space="preserve">servicios que requieran las dependencias, organismos auxiliares y tribunales administrativos, así como los Gobiernos Municipales, deberán presentar, entre otras cosas, </w:t>
      </w:r>
      <w:r w:rsidRPr="00724A12">
        <w:rPr>
          <w:rFonts w:eastAsia="Calibri" w:cs="Tahoma"/>
          <w:b/>
          <w:bCs/>
          <w:szCs w:val="24"/>
        </w:rPr>
        <w:t>la cédula de identificación fiscal (Registro Federal de Contribuyentes);</w:t>
      </w:r>
      <w:r w:rsidRPr="00724A12">
        <w:rPr>
          <w:rFonts w:eastAsia="Calibri" w:cs="Tahoma"/>
          <w:bCs/>
          <w:szCs w:val="24"/>
        </w:rPr>
        <w:t xml:space="preserve"> por lo que la entrega de dicho dato permite verificar cumplimiento de esta disposición legal.</w:t>
      </w:r>
    </w:p>
    <w:p w14:paraId="49ED83B6" w14:textId="77777777" w:rsidR="001D10AA" w:rsidRPr="00724A12" w:rsidRDefault="001D10AA" w:rsidP="001D10AA">
      <w:pPr>
        <w:widowControl w:val="0"/>
        <w:tabs>
          <w:tab w:val="center" w:pos="4522"/>
        </w:tabs>
        <w:spacing w:after="0" w:line="360" w:lineRule="auto"/>
        <w:rPr>
          <w:rFonts w:eastAsia="Calibri" w:cs="Tahoma"/>
          <w:bCs/>
          <w:szCs w:val="24"/>
        </w:rPr>
      </w:pPr>
    </w:p>
    <w:p w14:paraId="37E2BF0D" w14:textId="77777777" w:rsidR="001D10AA" w:rsidRPr="00724A12" w:rsidRDefault="001D10AA" w:rsidP="001D10AA">
      <w:pPr>
        <w:widowControl w:val="0"/>
        <w:tabs>
          <w:tab w:val="center" w:pos="4522"/>
        </w:tabs>
        <w:spacing w:after="0" w:line="360" w:lineRule="auto"/>
        <w:rPr>
          <w:rFonts w:eastAsia="Calibri" w:cs="Tahoma"/>
          <w:b/>
          <w:bCs/>
          <w:szCs w:val="24"/>
        </w:rPr>
      </w:pPr>
      <w:r w:rsidRPr="00724A12">
        <w:rPr>
          <w:rFonts w:eastAsia="Calibri" w:cs="Tahoma"/>
          <w:bCs/>
          <w:szCs w:val="24"/>
        </w:rPr>
        <w:t xml:space="preserve">Por lo tanto, </w:t>
      </w:r>
      <w:r w:rsidRPr="00724A12">
        <w:rPr>
          <w:rFonts w:eastAsia="Calibri" w:cs="Tahoma"/>
          <w:b/>
          <w:bCs/>
          <w:szCs w:val="24"/>
        </w:rPr>
        <w:t>en el presente caso, si bien el Registro Federal de Contribuyentes de personas físicas es un dato personal, también lo es, que corresponde a un requisito indispensable para ser proveedor y poder llevar a cabo actividades comerciales con la Entidad</w:t>
      </w:r>
      <w:r w:rsidRPr="00724A12">
        <w:rPr>
          <w:rFonts w:eastAsia="Calibri" w:cs="Tahoma"/>
          <w:bCs/>
          <w:szCs w:val="24"/>
        </w:rPr>
        <w:t xml:space="preserve">, ya que, sin este, no se pueden realizar dichas acciones, </w:t>
      </w:r>
      <w:r w:rsidRPr="00724A12">
        <w:rPr>
          <w:rFonts w:eastAsia="Calibri" w:cs="Tahoma"/>
          <w:b/>
          <w:bCs/>
          <w:szCs w:val="24"/>
        </w:rPr>
        <w:t>por lo que su entrega es un elemento adicional que respalda la legalidad de los procesos adquisitivos.</w:t>
      </w:r>
    </w:p>
    <w:p w14:paraId="10C818B6" w14:textId="77777777" w:rsidR="001D10AA" w:rsidRPr="00724A12" w:rsidRDefault="001D10AA" w:rsidP="001D10AA">
      <w:pPr>
        <w:widowControl w:val="0"/>
        <w:tabs>
          <w:tab w:val="center" w:pos="4522"/>
        </w:tabs>
        <w:spacing w:after="0" w:line="360" w:lineRule="auto"/>
        <w:rPr>
          <w:rFonts w:eastAsia="Calibri" w:cs="Tahoma"/>
          <w:b/>
          <w:bCs/>
          <w:szCs w:val="24"/>
        </w:rPr>
      </w:pPr>
    </w:p>
    <w:p w14:paraId="6768C06D" w14:textId="77777777" w:rsidR="001D10AA" w:rsidRPr="00724A12" w:rsidRDefault="001D10AA" w:rsidP="001D10AA">
      <w:pPr>
        <w:widowControl w:val="0"/>
        <w:tabs>
          <w:tab w:val="center" w:pos="4522"/>
        </w:tabs>
        <w:spacing w:after="0" w:line="360" w:lineRule="auto"/>
        <w:rPr>
          <w:rFonts w:eastAsia="Calibri" w:cs="Tahoma"/>
          <w:bCs/>
          <w:szCs w:val="24"/>
        </w:rPr>
      </w:pPr>
      <w:r w:rsidRPr="00724A12">
        <w:rPr>
          <w:rFonts w:eastAsia="Calibri" w:cs="Tahoma"/>
          <w:bCs/>
          <w:szCs w:val="24"/>
        </w:rPr>
        <w:t xml:space="preserve">En ese contexto, entregar el Registro Federal de Contribuyentes aún de personas físicas cuando son proveedores de instituciones públicas, </w:t>
      </w:r>
      <w:r w:rsidRPr="00724A12">
        <w:rPr>
          <w:rFonts w:eastAsia="Calibri" w:cs="Tahoma"/>
          <w:b/>
          <w:bCs/>
          <w:szCs w:val="24"/>
        </w:rPr>
        <w:t>propiciaría la rendición de cuentas</w:t>
      </w:r>
      <w:r w:rsidRPr="00724A12">
        <w:rPr>
          <w:rFonts w:eastAsia="Calibri" w:cs="Tahoma"/>
          <w:bCs/>
          <w:szCs w:val="24"/>
        </w:rPr>
        <w:t>,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14:paraId="38AB0C49" w14:textId="77777777" w:rsidR="001D10AA" w:rsidRPr="00724A12" w:rsidRDefault="001D10AA" w:rsidP="001D10AA">
      <w:pPr>
        <w:widowControl w:val="0"/>
        <w:tabs>
          <w:tab w:val="center" w:pos="4522"/>
        </w:tabs>
        <w:spacing w:after="0" w:line="360" w:lineRule="auto"/>
        <w:rPr>
          <w:rFonts w:eastAsia="Calibri" w:cs="Tahoma"/>
          <w:bCs/>
          <w:szCs w:val="24"/>
        </w:rPr>
      </w:pPr>
    </w:p>
    <w:p w14:paraId="15031B92" w14:textId="77777777" w:rsidR="001D10AA" w:rsidRPr="00724A12" w:rsidRDefault="001D10AA" w:rsidP="001D10AA">
      <w:pPr>
        <w:widowControl w:val="0"/>
        <w:tabs>
          <w:tab w:val="center" w:pos="4522"/>
        </w:tabs>
        <w:spacing w:after="0" w:line="360" w:lineRule="auto"/>
        <w:rPr>
          <w:rFonts w:eastAsia="Calibri" w:cs="Tahoma"/>
          <w:bCs/>
          <w:szCs w:val="24"/>
        </w:rPr>
      </w:pPr>
      <w:r w:rsidRPr="00724A12">
        <w:rPr>
          <w:rFonts w:eastAsia="Calibri" w:cs="Tahoma"/>
          <w:bCs/>
          <w:szCs w:val="24"/>
        </w:rPr>
        <w:t xml:space="preserve">Lo anterior, se robustece con el </w:t>
      </w:r>
      <w:r w:rsidRPr="00724A12">
        <w:rPr>
          <w:rFonts w:eastAsia="Calibri" w:cs="Tahoma"/>
          <w:bCs/>
          <w:szCs w:val="24"/>
          <w:lang w:val="es-ES"/>
        </w:rPr>
        <w:t xml:space="preserve">Criterio Orientador, de la Segunda Época, con número de registro </w:t>
      </w:r>
      <w:r w:rsidRPr="00724A12">
        <w:rPr>
          <w:rFonts w:eastAsia="Calibri" w:cs="Tahoma"/>
          <w:bCs/>
          <w:szCs w:val="24"/>
        </w:rPr>
        <w:t>SO/004/2021, emitido por el Instituto Nacional de Transparencia, Acceso a la Información y Protección de Datos Personales, en el cual se señala lo siguiente:</w:t>
      </w:r>
    </w:p>
    <w:p w14:paraId="33457BB8" w14:textId="77777777" w:rsidR="001D10AA" w:rsidRPr="00724A12" w:rsidRDefault="001D10AA" w:rsidP="001D10AA">
      <w:pPr>
        <w:widowControl w:val="0"/>
        <w:tabs>
          <w:tab w:val="center" w:pos="4522"/>
        </w:tabs>
        <w:spacing w:after="0" w:line="360" w:lineRule="auto"/>
        <w:rPr>
          <w:rFonts w:eastAsia="Calibri" w:cs="Tahoma"/>
          <w:bCs/>
          <w:szCs w:val="24"/>
        </w:rPr>
      </w:pPr>
    </w:p>
    <w:p w14:paraId="0BA806DB" w14:textId="77777777" w:rsidR="001D10AA" w:rsidRPr="00724A12" w:rsidRDefault="001D10AA" w:rsidP="001D10AA">
      <w:pPr>
        <w:tabs>
          <w:tab w:val="center" w:pos="4522"/>
        </w:tabs>
        <w:spacing w:after="0" w:line="360" w:lineRule="auto"/>
        <w:ind w:left="567" w:right="567"/>
        <w:rPr>
          <w:rFonts w:eastAsia="Calibri" w:cs="Tahoma"/>
          <w:bCs/>
          <w:i/>
          <w:sz w:val="20"/>
        </w:rPr>
      </w:pPr>
      <w:r w:rsidRPr="00724A12">
        <w:rPr>
          <w:rFonts w:eastAsia="Calibri" w:cs="Tahoma"/>
          <w:b/>
          <w:i/>
          <w:sz w:val="20"/>
        </w:rPr>
        <w:t xml:space="preserve">“Registro Federal de Contribuyentes (RFC) de personas físicas proveedores o contratistas. </w:t>
      </w:r>
      <w:r w:rsidRPr="00724A12">
        <w:rPr>
          <w:rFonts w:eastAsia="Calibri" w:cs="Tahoma"/>
          <w:bCs/>
          <w:i/>
          <w:sz w:val="20"/>
        </w:rPr>
        <w:t xml:space="preserve">El RFC de contratistas o proveedores de sujetos obligados debe ser público, ya que al tratarse de personas relacionadas con contrataciones públicas, su difusión favorece la transparencia con la que </w:t>
      </w:r>
      <w:r w:rsidRPr="00724A12">
        <w:rPr>
          <w:rFonts w:eastAsia="Calibri" w:cs="Tahoma"/>
          <w:bCs/>
          <w:i/>
          <w:sz w:val="20"/>
        </w:rPr>
        <w:lastRenderedPageBreak/>
        <w:t>deben administrarse los recursos públicos, en términos del artículo 134 de la Constitución Política de los Estados Unidos Mexicanos. “</w:t>
      </w:r>
    </w:p>
    <w:p w14:paraId="481BBE33" w14:textId="77777777" w:rsidR="001D10AA" w:rsidRPr="00724A12" w:rsidRDefault="001D10AA" w:rsidP="001D10AA">
      <w:pPr>
        <w:widowControl w:val="0"/>
        <w:tabs>
          <w:tab w:val="center" w:pos="4522"/>
        </w:tabs>
        <w:spacing w:after="0" w:line="360" w:lineRule="auto"/>
        <w:rPr>
          <w:rFonts w:eastAsia="Calibri" w:cs="Tahoma"/>
          <w:bCs/>
          <w:szCs w:val="24"/>
        </w:rPr>
      </w:pPr>
    </w:p>
    <w:p w14:paraId="6B5C7EAB" w14:textId="77777777" w:rsidR="001D10AA" w:rsidRPr="00724A12" w:rsidRDefault="001D10AA" w:rsidP="001D10AA">
      <w:pPr>
        <w:widowControl w:val="0"/>
        <w:tabs>
          <w:tab w:val="center" w:pos="4522"/>
        </w:tabs>
        <w:spacing w:after="0" w:line="360" w:lineRule="auto"/>
        <w:rPr>
          <w:rFonts w:eastAsia="Calibri" w:cs="Tahoma"/>
          <w:b/>
          <w:szCs w:val="24"/>
          <w:u w:val="single"/>
        </w:rPr>
      </w:pPr>
      <w:r w:rsidRPr="00724A12">
        <w:rPr>
          <w:rFonts w:eastAsia="Calibri" w:cs="Tahoma"/>
          <w:bCs/>
          <w:szCs w:val="24"/>
        </w:rPr>
        <w:t>En conclusión, toda vez, que el Registro Federal de Contribuyentes de proveedores, es un requisito indispensable, para poder participar en adquisiciones públicas y contracción de servicios y que abona a la transparencia con la que deben administrarse los recursos públicos, no actualiza la causal de clasificación prevista en el artículo 143, fracción I de la Ley de Transparencia y Acceso a la Información Pública del Estado de México y Municipios.</w:t>
      </w:r>
    </w:p>
    <w:p w14:paraId="567465A6" w14:textId="77777777" w:rsidR="001D10AA" w:rsidRPr="00724A12" w:rsidRDefault="001D10AA" w:rsidP="001D10AA">
      <w:pPr>
        <w:widowControl w:val="0"/>
        <w:tabs>
          <w:tab w:val="center" w:pos="4522"/>
        </w:tabs>
        <w:spacing w:after="0" w:line="360" w:lineRule="auto"/>
        <w:rPr>
          <w:rFonts w:eastAsia="Calibri" w:cs="Tahoma"/>
          <w:b/>
          <w:szCs w:val="24"/>
          <w:lang w:val="es-ES_tradnl"/>
        </w:rPr>
      </w:pPr>
    </w:p>
    <w:p w14:paraId="4A6C7123" w14:textId="77777777" w:rsidR="001D10AA" w:rsidRPr="00724A12" w:rsidRDefault="001D10AA" w:rsidP="001D10AA">
      <w:pPr>
        <w:widowControl w:val="0"/>
        <w:tabs>
          <w:tab w:val="center" w:pos="4522"/>
        </w:tabs>
        <w:spacing w:after="0" w:line="360" w:lineRule="auto"/>
        <w:rPr>
          <w:rFonts w:eastAsia="Calibri" w:cs="Tahoma"/>
          <w:b/>
          <w:szCs w:val="24"/>
        </w:rPr>
      </w:pPr>
      <w:r w:rsidRPr="00724A12">
        <w:rPr>
          <w:rFonts w:eastAsia="Calibri" w:cs="Tahoma"/>
          <w:b/>
          <w:szCs w:val="24"/>
        </w:rPr>
        <w:t>Persona Moral</w:t>
      </w:r>
    </w:p>
    <w:p w14:paraId="3D3D31C5" w14:textId="77777777" w:rsidR="001D10AA" w:rsidRPr="00724A12" w:rsidRDefault="001D10AA" w:rsidP="001D10AA">
      <w:pPr>
        <w:widowControl w:val="0"/>
        <w:tabs>
          <w:tab w:val="center" w:pos="4522"/>
        </w:tabs>
        <w:spacing w:after="0" w:line="360" w:lineRule="auto"/>
        <w:rPr>
          <w:rFonts w:eastAsia="Calibri" w:cs="Tahoma"/>
          <w:bCs/>
          <w:szCs w:val="24"/>
        </w:rPr>
      </w:pPr>
    </w:p>
    <w:p w14:paraId="6FAB152D" w14:textId="77777777" w:rsidR="001D10AA" w:rsidRPr="00724A12" w:rsidRDefault="001D10AA" w:rsidP="001D10AA">
      <w:pPr>
        <w:widowControl w:val="0"/>
        <w:tabs>
          <w:tab w:val="center" w:pos="4522"/>
        </w:tabs>
        <w:spacing w:after="0" w:line="360" w:lineRule="auto"/>
        <w:rPr>
          <w:rFonts w:eastAsia="Calibri" w:cs="Tahoma"/>
          <w:bCs/>
          <w:szCs w:val="24"/>
        </w:rPr>
      </w:pPr>
      <w:r w:rsidRPr="00724A12">
        <w:rPr>
          <w:rFonts w:eastAsia="Calibri" w:cs="Tahoma"/>
          <w:bCs/>
          <w:szCs w:val="24"/>
        </w:rPr>
        <w:t>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cédula de identificación fiscal o constancia de registro.</w:t>
      </w:r>
    </w:p>
    <w:p w14:paraId="11584B8C" w14:textId="77777777" w:rsidR="001D10AA" w:rsidRPr="00724A12" w:rsidRDefault="001D10AA" w:rsidP="001D10AA">
      <w:pPr>
        <w:widowControl w:val="0"/>
        <w:tabs>
          <w:tab w:val="center" w:pos="4522"/>
        </w:tabs>
        <w:spacing w:after="0" w:line="360" w:lineRule="auto"/>
        <w:rPr>
          <w:rFonts w:eastAsia="Calibri" w:cs="Tahoma"/>
          <w:bCs/>
          <w:szCs w:val="24"/>
        </w:rPr>
      </w:pPr>
    </w:p>
    <w:p w14:paraId="0356F86E" w14:textId="77777777" w:rsidR="001D10AA" w:rsidRPr="00724A12" w:rsidRDefault="001D10AA" w:rsidP="001D10AA">
      <w:pPr>
        <w:widowControl w:val="0"/>
        <w:tabs>
          <w:tab w:val="center" w:pos="4522"/>
        </w:tabs>
        <w:spacing w:after="0" w:line="360" w:lineRule="auto"/>
        <w:rPr>
          <w:rFonts w:eastAsia="Calibri" w:cs="Tahoma"/>
          <w:bCs/>
          <w:szCs w:val="24"/>
        </w:rPr>
      </w:pPr>
      <w:r w:rsidRPr="00724A12">
        <w:rPr>
          <w:rFonts w:eastAsia="Calibri" w:cs="Tahoma"/>
          <w:bCs/>
          <w:szCs w:val="24"/>
        </w:rPr>
        <w:t>Por ende, la información correspondiente al Registro Federal de Contribuyentes de una persona moral da cuenta del cumplimiento o no en sus obligaciones fiscales; por tanto, no se actualiza su clasificación como confidencial.</w:t>
      </w:r>
    </w:p>
    <w:p w14:paraId="3A853AC6" w14:textId="77777777" w:rsidR="001D10AA" w:rsidRPr="00724A12" w:rsidRDefault="001D10AA" w:rsidP="001D10AA">
      <w:pPr>
        <w:widowControl w:val="0"/>
        <w:tabs>
          <w:tab w:val="center" w:pos="4522"/>
        </w:tabs>
        <w:spacing w:after="0" w:line="360" w:lineRule="auto"/>
        <w:rPr>
          <w:rFonts w:eastAsia="Calibri" w:cs="Tahoma"/>
          <w:bCs/>
          <w:szCs w:val="24"/>
        </w:rPr>
      </w:pPr>
    </w:p>
    <w:p w14:paraId="242C9B38" w14:textId="77777777" w:rsidR="001D10AA" w:rsidRPr="00724A12" w:rsidRDefault="001D10AA" w:rsidP="001D10AA">
      <w:pPr>
        <w:widowControl w:val="0"/>
        <w:tabs>
          <w:tab w:val="center" w:pos="4522"/>
        </w:tabs>
        <w:spacing w:after="0" w:line="360" w:lineRule="auto"/>
        <w:rPr>
          <w:rFonts w:eastAsia="Calibri" w:cs="Tahoma"/>
          <w:bCs/>
          <w:szCs w:val="24"/>
        </w:rPr>
      </w:pPr>
      <w:r w:rsidRPr="00724A12">
        <w:rPr>
          <w:rFonts w:eastAsia="Calibri" w:cs="Tahoma"/>
          <w:bCs/>
          <w:szCs w:val="24"/>
        </w:rPr>
        <w:lastRenderedPageBreak/>
        <w:t xml:space="preserve">Además, resulta aplicable por analogía el </w:t>
      </w:r>
      <w:r w:rsidRPr="00724A12">
        <w:rPr>
          <w:rFonts w:eastAsia="Calibri" w:cs="Tahoma"/>
          <w:bCs/>
          <w:szCs w:val="24"/>
          <w:lang w:val="es-ES"/>
        </w:rPr>
        <w:t xml:space="preserve">Criterio Orientador, de la Segunda Época, con número de registro </w:t>
      </w:r>
      <w:r w:rsidRPr="00724A12">
        <w:rPr>
          <w:rFonts w:eastAsia="Calibri" w:cs="Tahoma"/>
          <w:bCs/>
          <w:szCs w:val="24"/>
        </w:rPr>
        <w:t>SO/008/2019, emitido por el Instituto Nacional de Transparencia, Acceso a la Información y Protección de Datos Personales, que precisa que el Registro Federal de Contribuyentes de personas morales, es público, al no referir a hechos o actos de carácter económico, contable, jurídico o administrativo que sean útiles o representen una ventaja a sus competidores.</w:t>
      </w:r>
    </w:p>
    <w:p w14:paraId="5E4B6C4A" w14:textId="77777777" w:rsidR="001D10AA" w:rsidRPr="00724A12" w:rsidRDefault="001D10AA" w:rsidP="001D10AA">
      <w:pPr>
        <w:widowControl w:val="0"/>
        <w:tabs>
          <w:tab w:val="center" w:pos="4522"/>
        </w:tabs>
        <w:spacing w:after="0" w:line="360" w:lineRule="auto"/>
        <w:rPr>
          <w:rFonts w:eastAsia="Calibri" w:cs="Tahoma"/>
          <w:bCs/>
          <w:szCs w:val="24"/>
        </w:rPr>
      </w:pPr>
    </w:p>
    <w:p w14:paraId="0E862E86" w14:textId="77777777" w:rsidR="001D10AA" w:rsidRPr="00724A12" w:rsidRDefault="001D10AA" w:rsidP="001D10AA">
      <w:pPr>
        <w:widowControl w:val="0"/>
        <w:tabs>
          <w:tab w:val="center" w:pos="4522"/>
        </w:tabs>
        <w:spacing w:after="0" w:line="360" w:lineRule="auto"/>
        <w:rPr>
          <w:rFonts w:eastAsia="Calibri" w:cs="Tahoma"/>
          <w:bCs/>
          <w:szCs w:val="24"/>
        </w:rPr>
      </w:pPr>
      <w:r w:rsidRPr="00724A12">
        <w:rPr>
          <w:rFonts w:eastAsia="Calibri" w:cs="Tahoma"/>
          <w:bCs/>
          <w:szCs w:val="24"/>
        </w:rPr>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14:paraId="4CB383C6" w14:textId="77777777" w:rsidR="001D10AA" w:rsidRPr="00724A12" w:rsidRDefault="001D10AA" w:rsidP="001D10AA">
      <w:pPr>
        <w:spacing w:after="0" w:line="360" w:lineRule="auto"/>
      </w:pPr>
    </w:p>
    <w:p w14:paraId="1DD32C82" w14:textId="01C200D0" w:rsidR="001D10AA" w:rsidRPr="00724A12" w:rsidRDefault="001D10AA" w:rsidP="001D10AA">
      <w:pPr>
        <w:widowControl w:val="0"/>
        <w:numPr>
          <w:ilvl w:val="0"/>
          <w:numId w:val="41"/>
        </w:numPr>
        <w:tabs>
          <w:tab w:val="center" w:pos="4522"/>
        </w:tabs>
        <w:spacing w:after="0" w:line="360" w:lineRule="auto"/>
        <w:rPr>
          <w:rFonts w:eastAsia="Calibri" w:cs="Tahoma"/>
          <w:b/>
          <w:bCs/>
          <w:iCs/>
          <w:szCs w:val="24"/>
          <w:lang w:val="es-ES"/>
        </w:rPr>
      </w:pPr>
      <w:r w:rsidRPr="00724A12">
        <w:rPr>
          <w:rFonts w:eastAsia="Calibri" w:cs="Tahoma"/>
          <w:b/>
          <w:bCs/>
          <w:iCs/>
          <w:szCs w:val="24"/>
          <w:lang w:val="es-ES"/>
        </w:rPr>
        <w:t>Cuenta bancaria y clave interbancaria de personas físicas o morales (particulares, proveedores, contratistas, entre otros)</w:t>
      </w:r>
    </w:p>
    <w:p w14:paraId="495F2814" w14:textId="77777777" w:rsidR="001D10AA" w:rsidRPr="00724A12" w:rsidRDefault="001D10AA" w:rsidP="001D10AA">
      <w:pPr>
        <w:widowControl w:val="0"/>
        <w:tabs>
          <w:tab w:val="center" w:pos="4522"/>
        </w:tabs>
        <w:spacing w:after="0" w:line="360" w:lineRule="auto"/>
        <w:rPr>
          <w:rFonts w:eastAsia="Calibri" w:cs="Tahoma"/>
          <w:bCs/>
          <w:szCs w:val="24"/>
        </w:rPr>
      </w:pPr>
    </w:p>
    <w:p w14:paraId="62917196" w14:textId="77777777" w:rsidR="001D10AA" w:rsidRPr="00724A12" w:rsidRDefault="001D10AA" w:rsidP="001D10AA">
      <w:pPr>
        <w:widowControl w:val="0"/>
        <w:tabs>
          <w:tab w:val="center" w:pos="4522"/>
        </w:tabs>
        <w:spacing w:after="0" w:line="360" w:lineRule="auto"/>
        <w:rPr>
          <w:rFonts w:eastAsia="Calibri" w:cs="Tahoma"/>
          <w:bCs/>
          <w:szCs w:val="24"/>
        </w:rPr>
      </w:pPr>
      <w:r w:rsidRPr="00724A12">
        <w:rPr>
          <w:rFonts w:eastAsia="Calibri" w:cs="Tahoma"/>
          <w:bCs/>
          <w:szCs w:val="24"/>
        </w:rPr>
        <w:t>Al respecto, se estima que dichos datos se relacionan con hechos y actos de carácter económico, pues los mismos darían cuenta, de la relación que tiene una institución financiero con un particular, ya sea persona física o moral; además, que con dicha información se podría obtener los recursos enviados a las órdenes de cargo, pago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00BF7E08" w14:textId="77777777" w:rsidR="001D10AA" w:rsidRPr="00724A12" w:rsidRDefault="001D10AA" w:rsidP="001D10AA">
      <w:pPr>
        <w:widowControl w:val="0"/>
        <w:tabs>
          <w:tab w:val="center" w:pos="4522"/>
        </w:tabs>
        <w:spacing w:after="0" w:line="360" w:lineRule="auto"/>
        <w:rPr>
          <w:rFonts w:eastAsia="Calibri" w:cs="Tahoma"/>
          <w:bCs/>
          <w:szCs w:val="24"/>
        </w:rPr>
      </w:pPr>
      <w:r w:rsidRPr="00724A12">
        <w:rPr>
          <w:rFonts w:eastAsia="Calibri" w:cs="Tahoma"/>
          <w:bCs/>
          <w:szCs w:val="24"/>
        </w:rPr>
        <w:t> </w:t>
      </w:r>
    </w:p>
    <w:p w14:paraId="4D52BA05" w14:textId="77777777" w:rsidR="001D10AA" w:rsidRPr="00724A12" w:rsidRDefault="001D10AA" w:rsidP="001D10AA">
      <w:pPr>
        <w:tabs>
          <w:tab w:val="center" w:pos="4522"/>
        </w:tabs>
        <w:spacing w:after="0" w:line="360" w:lineRule="auto"/>
        <w:rPr>
          <w:rFonts w:eastAsia="Calibri" w:cs="Tahoma"/>
          <w:bCs/>
          <w:szCs w:val="24"/>
        </w:rPr>
      </w:pPr>
      <w:r w:rsidRPr="00724A12">
        <w:rPr>
          <w:rFonts w:eastAsia="Calibri" w:cs="Tahoma"/>
          <w:bCs/>
          <w:szCs w:val="24"/>
        </w:rPr>
        <w:t xml:space="preserve">A mayor abundamiento, resulta necesario traer a colación el </w:t>
      </w:r>
      <w:r w:rsidRPr="00724A12">
        <w:rPr>
          <w:rFonts w:eastAsia="Calibri" w:cs="Tahoma"/>
          <w:bCs/>
          <w:iCs/>
          <w:szCs w:val="24"/>
          <w:lang w:val="es-ES"/>
        </w:rPr>
        <w:t xml:space="preserve">Criterio Orientador, de la Segunda Época, con número de registro </w:t>
      </w:r>
      <w:r w:rsidRPr="00724A12">
        <w:rPr>
          <w:rFonts w:eastAsia="Calibri" w:cs="Tahoma"/>
          <w:bCs/>
          <w:iCs/>
          <w:szCs w:val="24"/>
        </w:rPr>
        <w:t xml:space="preserve">SO/010/2017, </w:t>
      </w:r>
      <w:r w:rsidRPr="00724A12">
        <w:rPr>
          <w:rFonts w:eastAsia="Calibri" w:cs="Tahoma"/>
          <w:bCs/>
          <w:iCs/>
          <w:szCs w:val="24"/>
          <w:lang w:val="es-ES"/>
        </w:rPr>
        <w:t>emitido por el Instituto Nacional de Transparencia, Acceso a la Información y Protección de Datos Personales</w:t>
      </w:r>
      <w:r w:rsidRPr="00724A12">
        <w:rPr>
          <w:rFonts w:eastAsia="Calibri" w:cs="Tahoma"/>
          <w:bCs/>
          <w:szCs w:val="24"/>
        </w:rPr>
        <w:t>, mismo que establece lo siguiente:</w:t>
      </w:r>
    </w:p>
    <w:p w14:paraId="022F9363" w14:textId="77777777" w:rsidR="001D10AA" w:rsidRPr="00724A12" w:rsidRDefault="001D10AA" w:rsidP="001D10AA">
      <w:pPr>
        <w:widowControl w:val="0"/>
        <w:tabs>
          <w:tab w:val="center" w:pos="4522"/>
        </w:tabs>
        <w:spacing w:after="0" w:line="360" w:lineRule="auto"/>
        <w:ind w:left="567" w:right="567"/>
        <w:rPr>
          <w:rFonts w:eastAsia="Calibri" w:cs="Tahoma"/>
          <w:bCs/>
          <w:i/>
          <w:sz w:val="20"/>
          <w:szCs w:val="20"/>
        </w:rPr>
      </w:pPr>
      <w:r w:rsidRPr="00724A12">
        <w:rPr>
          <w:rFonts w:eastAsia="Calibri" w:cs="Tahoma"/>
          <w:bCs/>
          <w:i/>
          <w:sz w:val="20"/>
          <w:szCs w:val="20"/>
        </w:rPr>
        <w:lastRenderedPageBreak/>
        <w:t>“</w:t>
      </w:r>
      <w:r w:rsidRPr="00724A12">
        <w:rPr>
          <w:rFonts w:eastAsia="Calibri" w:cs="Tahoma"/>
          <w:b/>
          <w:bCs/>
          <w:i/>
          <w:sz w:val="20"/>
          <w:szCs w:val="20"/>
        </w:rPr>
        <w:t>Cuentas bancarias y/o CLABE interbancaria de personas físicas y morales privadas.</w:t>
      </w:r>
      <w:r w:rsidRPr="00724A12">
        <w:rPr>
          <w:rFonts w:eastAsia="Calibri" w:cs="Tahoma"/>
          <w:bCs/>
          <w:i/>
          <w:sz w:val="20"/>
          <w:szCs w:val="20"/>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635FAA1" w14:textId="77777777" w:rsidR="001D10AA" w:rsidRPr="00724A12" w:rsidRDefault="001D10AA" w:rsidP="001D10AA">
      <w:pPr>
        <w:widowControl w:val="0"/>
        <w:tabs>
          <w:tab w:val="center" w:pos="4522"/>
        </w:tabs>
        <w:spacing w:after="0" w:line="360" w:lineRule="auto"/>
        <w:rPr>
          <w:rFonts w:eastAsia="Calibri" w:cs="Tahoma"/>
          <w:bCs/>
          <w:szCs w:val="24"/>
        </w:rPr>
      </w:pPr>
      <w:r w:rsidRPr="00724A12">
        <w:rPr>
          <w:rFonts w:eastAsia="Calibri" w:cs="Tahoma"/>
          <w:bCs/>
          <w:szCs w:val="24"/>
        </w:rPr>
        <w:t> </w:t>
      </w:r>
    </w:p>
    <w:p w14:paraId="0FDCDF24" w14:textId="77777777" w:rsidR="001D10AA" w:rsidRPr="00724A12" w:rsidRDefault="001D10AA" w:rsidP="001D10AA">
      <w:pPr>
        <w:widowControl w:val="0"/>
        <w:tabs>
          <w:tab w:val="center" w:pos="4522"/>
        </w:tabs>
        <w:spacing w:after="0" w:line="360" w:lineRule="auto"/>
        <w:rPr>
          <w:rFonts w:eastAsia="Calibri" w:cs="Tahoma"/>
          <w:bCs/>
          <w:szCs w:val="24"/>
        </w:rPr>
      </w:pPr>
      <w:r w:rsidRPr="00724A12">
        <w:rPr>
          <w:rFonts w:eastAsia="Calibri" w:cs="Tahoma"/>
          <w:bCs/>
          <w:szCs w:val="24"/>
        </w:rPr>
        <w:t xml:space="preserve">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y procede su eliminación de conformidad con el artículo 143, fracción I, de la Ley de Transparencia y Acceso a la Información Pública del Estado de México y Municipios. </w:t>
      </w:r>
    </w:p>
    <w:p w14:paraId="27691ACE" w14:textId="77777777" w:rsidR="001D10AA" w:rsidRPr="00724A12" w:rsidRDefault="001D10AA" w:rsidP="001D10AA">
      <w:pPr>
        <w:widowControl w:val="0"/>
        <w:tabs>
          <w:tab w:val="center" w:pos="4522"/>
        </w:tabs>
        <w:spacing w:after="0" w:line="360" w:lineRule="auto"/>
        <w:rPr>
          <w:rFonts w:eastAsia="Calibri" w:cs="Tahoma"/>
          <w:szCs w:val="24"/>
          <w:lang w:val="es-ES"/>
        </w:rPr>
      </w:pPr>
    </w:p>
    <w:p w14:paraId="0636298E" w14:textId="77777777" w:rsidR="001D10AA" w:rsidRPr="00724A12" w:rsidRDefault="001D10AA" w:rsidP="001D10AA">
      <w:pPr>
        <w:widowControl w:val="0"/>
        <w:numPr>
          <w:ilvl w:val="0"/>
          <w:numId w:val="35"/>
        </w:numPr>
        <w:tabs>
          <w:tab w:val="center" w:pos="4522"/>
        </w:tabs>
        <w:spacing w:after="0" w:line="360" w:lineRule="auto"/>
        <w:rPr>
          <w:rFonts w:eastAsia="Calibri" w:cs="Tahoma"/>
          <w:b/>
          <w:bCs/>
          <w:iCs/>
          <w:szCs w:val="24"/>
        </w:rPr>
      </w:pPr>
      <w:r w:rsidRPr="00724A12">
        <w:rPr>
          <w:rFonts w:eastAsia="Calibri" w:cs="Tahoma"/>
          <w:b/>
          <w:bCs/>
          <w:iCs/>
          <w:szCs w:val="24"/>
        </w:rPr>
        <w:t>Nombre de institución bancaria</w:t>
      </w:r>
    </w:p>
    <w:p w14:paraId="66E4E275" w14:textId="77777777" w:rsidR="001D10AA" w:rsidRPr="00724A12" w:rsidRDefault="001D10AA" w:rsidP="001D10AA">
      <w:pPr>
        <w:widowControl w:val="0"/>
        <w:tabs>
          <w:tab w:val="center" w:pos="4522"/>
        </w:tabs>
        <w:spacing w:after="0" w:line="360" w:lineRule="auto"/>
        <w:rPr>
          <w:rFonts w:eastAsia="Calibri" w:cs="Tahoma"/>
          <w:bCs/>
          <w:szCs w:val="24"/>
        </w:rPr>
      </w:pPr>
    </w:p>
    <w:p w14:paraId="75D09358" w14:textId="77777777" w:rsidR="001D10AA" w:rsidRPr="00724A12" w:rsidRDefault="001D10AA" w:rsidP="001D10AA">
      <w:pPr>
        <w:widowControl w:val="0"/>
        <w:tabs>
          <w:tab w:val="center" w:pos="4522"/>
        </w:tabs>
        <w:spacing w:after="0" w:line="360" w:lineRule="auto"/>
        <w:rPr>
          <w:rFonts w:eastAsia="Calibri" w:cs="Tahoma"/>
          <w:bCs/>
          <w:szCs w:val="24"/>
        </w:rPr>
      </w:pPr>
      <w:r w:rsidRPr="00724A12">
        <w:rPr>
          <w:rFonts w:eastAsia="Calibri" w:cs="Tahoma"/>
          <w:bCs/>
          <w:szCs w:val="24"/>
        </w:rPr>
        <w:t xml:space="preserve">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w:t>
      </w:r>
      <w:r w:rsidRPr="00724A12">
        <w:rPr>
          <w:rFonts w:eastAsia="Calibri" w:cs="Tahoma"/>
          <w:bCs/>
          <w:szCs w:val="24"/>
        </w:rPr>
        <w:lastRenderedPageBreak/>
        <w:t>requiera de la autorización de la Secretaría de Hacienda y Crédito Público o de cualesquiera de las Comisiones Nacionales para constituirse y funcionar como tales y ofrecer un producto o servicio financiero a los usuarios. </w:t>
      </w:r>
    </w:p>
    <w:p w14:paraId="5DB185F0" w14:textId="77777777" w:rsidR="001D10AA" w:rsidRPr="00724A12" w:rsidRDefault="001D10AA" w:rsidP="001D10AA">
      <w:pPr>
        <w:widowControl w:val="0"/>
        <w:tabs>
          <w:tab w:val="center" w:pos="4522"/>
        </w:tabs>
        <w:spacing w:after="0" w:line="360" w:lineRule="auto"/>
        <w:rPr>
          <w:rFonts w:eastAsia="Calibri" w:cs="Tahoma"/>
          <w:bCs/>
          <w:szCs w:val="24"/>
        </w:rPr>
      </w:pPr>
    </w:p>
    <w:p w14:paraId="7E6C2279" w14:textId="77777777" w:rsidR="001D10AA" w:rsidRPr="00724A12" w:rsidRDefault="001D10AA" w:rsidP="001D10AA">
      <w:pPr>
        <w:widowControl w:val="0"/>
        <w:tabs>
          <w:tab w:val="center" w:pos="4522"/>
        </w:tabs>
        <w:spacing w:after="0" w:line="360" w:lineRule="auto"/>
        <w:rPr>
          <w:rFonts w:eastAsia="Calibri" w:cs="Tahoma"/>
          <w:bCs/>
          <w:szCs w:val="24"/>
        </w:rPr>
      </w:pPr>
      <w:r w:rsidRPr="00724A12">
        <w:rPr>
          <w:rFonts w:eastAsia="Calibri" w:cs="Tahoma"/>
          <w:bCs/>
          <w:szCs w:val="24"/>
        </w:rPr>
        <w:t>En ese orden de ideas, en el portal de la Comisión Nacional para la Protección y Defensa de los Usuarios de Servicios Financieros (</w:t>
      </w:r>
      <w:r w:rsidRPr="00724A12">
        <w:rPr>
          <w:rFonts w:eastAsia="Calibri" w:cs="Tahoma"/>
          <w:bCs/>
          <w:iCs/>
          <w:szCs w:val="24"/>
        </w:rPr>
        <w:t xml:space="preserve">consultadas el dieciocho de enero de dos mil veintitrés), </w:t>
      </w:r>
      <w:r w:rsidRPr="00724A12">
        <w:rPr>
          <w:rFonts w:eastAsia="Calibri" w:cs="Tahoma"/>
          <w:bCs/>
          <w:szCs w:val="24"/>
        </w:rPr>
        <w:t xml:space="preserve">en </w:t>
      </w:r>
      <w:hyperlink r:id="rId12" w:history="1">
        <w:r w:rsidRPr="00724A12">
          <w:rPr>
            <w:rFonts w:eastAsia="Calibri" w:cs="Tahoma"/>
            <w:bCs/>
            <w:color w:val="0000FF"/>
            <w:szCs w:val="24"/>
            <w:u w:val="single"/>
          </w:rPr>
          <w:t>https://www.condusef.gob.mx/Revista/index.php/usuario-inteligente/condusef-responde/777-la-condusef-te-puede-ayudar</w:t>
        </w:r>
      </w:hyperlink>
      <w:r w:rsidRPr="00724A12">
        <w:rPr>
          <w:rFonts w:eastAsia="Calibri" w:cs="Tahoma"/>
          <w:bCs/>
          <w:szCs w:val="24"/>
        </w:rPr>
        <w:t>), se establece que los bancos son instituciones financieras; conforme a lo anterior, se puede advertir que las instituciones bancarias, son personas morales.</w:t>
      </w:r>
    </w:p>
    <w:p w14:paraId="15737771" w14:textId="77777777" w:rsidR="001D10AA" w:rsidRPr="00724A12" w:rsidRDefault="001D10AA" w:rsidP="001D10AA">
      <w:pPr>
        <w:widowControl w:val="0"/>
        <w:tabs>
          <w:tab w:val="center" w:pos="4522"/>
        </w:tabs>
        <w:spacing w:after="0" w:line="360" w:lineRule="auto"/>
        <w:rPr>
          <w:rFonts w:eastAsia="Calibri" w:cs="Tahoma"/>
          <w:bCs/>
          <w:szCs w:val="24"/>
        </w:rPr>
      </w:pPr>
    </w:p>
    <w:p w14:paraId="09B9EAB8" w14:textId="77777777" w:rsidR="001D10AA" w:rsidRPr="00724A12" w:rsidRDefault="001D10AA" w:rsidP="001D10AA">
      <w:pPr>
        <w:widowControl w:val="0"/>
        <w:tabs>
          <w:tab w:val="center" w:pos="4522"/>
        </w:tabs>
        <w:spacing w:after="0" w:line="360" w:lineRule="auto"/>
        <w:rPr>
          <w:rFonts w:eastAsia="Calibri" w:cs="Tahoma"/>
          <w:bCs/>
          <w:szCs w:val="24"/>
        </w:rPr>
      </w:pPr>
      <w:r w:rsidRPr="00724A12">
        <w:rPr>
          <w:rFonts w:eastAsia="Calibri" w:cs="Tahoma"/>
          <w:bCs/>
          <w:szCs w:val="24"/>
        </w:rPr>
        <w:t xml:space="preserve">En ese orden de ideas, se considera que la denominación o razón social de una persona moral, es pública, pues dichos datos se encuentran inscritos en el Registro Público del Comercio; lo anterior, toma sustento en el </w:t>
      </w:r>
      <w:r w:rsidRPr="00724A12">
        <w:rPr>
          <w:rFonts w:eastAsia="Calibri" w:cs="Tahoma"/>
          <w:bCs/>
          <w:iCs/>
          <w:szCs w:val="24"/>
          <w:lang w:val="es-ES"/>
        </w:rPr>
        <w:t xml:space="preserve">Criterio Orientador, de la Segunda Época, con número de registro </w:t>
      </w:r>
      <w:r w:rsidRPr="00724A12">
        <w:rPr>
          <w:rFonts w:eastAsia="Calibri" w:cs="Tahoma"/>
          <w:bCs/>
          <w:iCs/>
          <w:szCs w:val="24"/>
        </w:rPr>
        <w:t xml:space="preserve">SO/008/2019, </w:t>
      </w:r>
      <w:r w:rsidRPr="00724A12">
        <w:rPr>
          <w:rFonts w:eastAsia="Calibri" w:cs="Tahoma"/>
          <w:bCs/>
          <w:iCs/>
          <w:szCs w:val="24"/>
          <w:lang w:val="es-ES"/>
        </w:rPr>
        <w:t>emitido por el Instituto Nacional de Transparencia, Acceso a la Información y Protección de Datos Personales,</w:t>
      </w:r>
      <w:r w:rsidRPr="00724A12">
        <w:rPr>
          <w:rFonts w:eastAsia="Calibri" w:cs="Tahoma"/>
          <w:bCs/>
          <w:szCs w:val="24"/>
        </w:rPr>
        <w:t xml:space="preserve"> previamente referido.</w:t>
      </w:r>
    </w:p>
    <w:p w14:paraId="3C6E3EF4" w14:textId="77777777" w:rsidR="001D10AA" w:rsidRPr="00724A12" w:rsidRDefault="001D10AA" w:rsidP="001D10AA">
      <w:pPr>
        <w:widowControl w:val="0"/>
        <w:tabs>
          <w:tab w:val="center" w:pos="4522"/>
        </w:tabs>
        <w:spacing w:after="0" w:line="360" w:lineRule="auto"/>
        <w:rPr>
          <w:rFonts w:eastAsia="Calibri" w:cs="Tahoma"/>
          <w:bCs/>
          <w:szCs w:val="24"/>
        </w:rPr>
      </w:pPr>
    </w:p>
    <w:p w14:paraId="6C71F3A0" w14:textId="77777777" w:rsidR="001D10AA" w:rsidRPr="00724A12" w:rsidRDefault="001D10AA" w:rsidP="001D10AA">
      <w:pPr>
        <w:tabs>
          <w:tab w:val="center" w:pos="4522"/>
        </w:tabs>
        <w:spacing w:after="0" w:line="360" w:lineRule="auto"/>
        <w:rPr>
          <w:rFonts w:eastAsia="Calibri" w:cs="Tahoma"/>
          <w:bCs/>
          <w:szCs w:val="24"/>
        </w:rPr>
      </w:pPr>
      <w:r w:rsidRPr="00724A12">
        <w:rPr>
          <w:rFonts w:eastAsia="Calibri" w:cs="Tahoma"/>
          <w:bCs/>
          <w:szCs w:val="24"/>
        </w:rPr>
        <w:t xml:space="preserve">Lo anterior, se robustece con el hecho de que existe el Sistema de Registro de Prestadores de Servicios Financieros en la liga </w:t>
      </w:r>
      <w:hyperlink r:id="rId13" w:history="1">
        <w:r w:rsidRPr="00724A12">
          <w:rPr>
            <w:rFonts w:eastAsia="Calibri" w:cs="Tahoma"/>
            <w:bCs/>
            <w:color w:val="0000FF"/>
            <w:szCs w:val="24"/>
            <w:u w:val="single"/>
          </w:rPr>
          <w:t>https://webapps.condusef.gob.mx/SIPRES/jsp/pub/index.jsp</w:t>
        </w:r>
      </w:hyperlink>
      <w:r w:rsidRPr="00724A12">
        <w:rPr>
          <w:rFonts w:eastAsia="Calibri" w:cs="Tahoma"/>
          <w:bCs/>
          <w:szCs w:val="24"/>
        </w:rPr>
        <w:t xml:space="preserve">), que es un registro de </w:t>
      </w:r>
      <w:r w:rsidRPr="00724A12">
        <w:rPr>
          <w:rFonts w:eastAsia="Calibri" w:cs="Tahoma"/>
          <w:b/>
          <w:bCs/>
          <w:szCs w:val="24"/>
        </w:rPr>
        <w:t xml:space="preserve">carácter público, </w:t>
      </w:r>
      <w:r w:rsidRPr="00724A12">
        <w:rPr>
          <w:rFonts w:eastAsia="Calibri" w:cs="Tahoma"/>
          <w:bCs/>
          <w:szCs w:val="24"/>
        </w:rPr>
        <w:t>cuyo objetivo principal, consiste en proporcionar información corporativa y general de las instituciones financieras</w:t>
      </w:r>
      <w:r w:rsidRPr="00724A12">
        <w:rPr>
          <w:rFonts w:eastAsia="Calibri" w:cs="Tahoma"/>
          <w:b/>
          <w:bCs/>
          <w:szCs w:val="24"/>
        </w:rPr>
        <w:t xml:space="preserve">; además, que permite conocer al público general, información de dichos entes, </w:t>
      </w:r>
      <w:r w:rsidRPr="00724A12">
        <w:rPr>
          <w:rFonts w:eastAsia="Calibri" w:cs="Tahoma"/>
          <w:bCs/>
          <w:szCs w:val="24"/>
        </w:rPr>
        <w:t xml:space="preserve">se muestra un ejemplo a continuación: </w:t>
      </w:r>
    </w:p>
    <w:p w14:paraId="6A9C2AEC" w14:textId="77777777" w:rsidR="001D10AA" w:rsidRPr="00724A12" w:rsidRDefault="001D10AA" w:rsidP="001D10AA">
      <w:pPr>
        <w:widowControl w:val="0"/>
        <w:tabs>
          <w:tab w:val="center" w:pos="4522"/>
        </w:tabs>
        <w:spacing w:after="0" w:line="360" w:lineRule="auto"/>
        <w:rPr>
          <w:rFonts w:eastAsia="Calibri" w:cs="Tahoma"/>
          <w:bCs/>
          <w:szCs w:val="24"/>
        </w:rPr>
      </w:pPr>
    </w:p>
    <w:p w14:paraId="04278BDC" w14:textId="77777777" w:rsidR="001D10AA" w:rsidRPr="00724A12" w:rsidRDefault="001D10AA" w:rsidP="001D10AA">
      <w:pPr>
        <w:widowControl w:val="0"/>
        <w:tabs>
          <w:tab w:val="center" w:pos="4522"/>
        </w:tabs>
        <w:spacing w:after="0" w:line="360" w:lineRule="auto"/>
        <w:jc w:val="center"/>
        <w:rPr>
          <w:rFonts w:eastAsia="Calibri" w:cs="Tahoma"/>
          <w:bCs/>
          <w:szCs w:val="24"/>
        </w:rPr>
      </w:pPr>
      <w:r w:rsidRPr="00724A12">
        <w:rPr>
          <w:rFonts w:eastAsia="Calibri" w:cs="Tahoma"/>
          <w:noProof/>
          <w:szCs w:val="24"/>
        </w:rPr>
        <w:lastRenderedPageBreak/>
        <w:drawing>
          <wp:inline distT="0" distB="0" distL="0" distR="0" wp14:anchorId="35311754" wp14:editId="3758C609">
            <wp:extent cx="4777740" cy="2476500"/>
            <wp:effectExtent l="0" t="0" r="3810" b="0"/>
            <wp:docPr id="1432513716" name="Imagen 8"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Imagen que contiene Escala de tiemp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t="2" b="381"/>
                    <a:stretch>
                      <a:fillRect/>
                    </a:stretch>
                  </pic:blipFill>
                  <pic:spPr bwMode="auto">
                    <a:xfrm>
                      <a:off x="0" y="0"/>
                      <a:ext cx="4777740" cy="2476500"/>
                    </a:xfrm>
                    <a:prstGeom prst="rect">
                      <a:avLst/>
                    </a:prstGeom>
                    <a:noFill/>
                    <a:ln>
                      <a:noFill/>
                    </a:ln>
                  </pic:spPr>
                </pic:pic>
              </a:graphicData>
            </a:graphic>
          </wp:inline>
        </w:drawing>
      </w:r>
    </w:p>
    <w:p w14:paraId="7C2D2E84" w14:textId="77777777" w:rsidR="001D10AA" w:rsidRPr="00724A12" w:rsidRDefault="001D10AA" w:rsidP="001D10AA">
      <w:pPr>
        <w:widowControl w:val="0"/>
        <w:tabs>
          <w:tab w:val="center" w:pos="4522"/>
        </w:tabs>
        <w:spacing w:after="0" w:line="360" w:lineRule="auto"/>
        <w:jc w:val="center"/>
        <w:rPr>
          <w:rFonts w:eastAsia="Calibri" w:cs="Tahoma"/>
          <w:bCs/>
          <w:szCs w:val="24"/>
        </w:rPr>
      </w:pPr>
    </w:p>
    <w:p w14:paraId="6C5E759C" w14:textId="77777777" w:rsidR="001D10AA" w:rsidRPr="00724A12" w:rsidRDefault="001D10AA" w:rsidP="001D10AA">
      <w:pPr>
        <w:widowControl w:val="0"/>
        <w:tabs>
          <w:tab w:val="center" w:pos="4522"/>
        </w:tabs>
        <w:spacing w:after="0" w:line="360" w:lineRule="auto"/>
        <w:rPr>
          <w:rFonts w:eastAsia="Calibri" w:cs="Tahoma"/>
          <w:bCs/>
          <w:szCs w:val="24"/>
        </w:rPr>
      </w:pPr>
      <w:r w:rsidRPr="00724A12">
        <w:rPr>
          <w:rFonts w:eastAsia="Calibri" w:cs="Tahoma"/>
          <w:bCs/>
          <w:szCs w:val="24"/>
        </w:rPr>
        <w:t>Conforme a lo anterior, se logra vislumbrar que el nombre de las instituciones bancarias en primera instancia es de naturaleza pública; sin embargo, en el presente caso, se relacionada con el hecho de que corresponde al banco en el cual una persona física o moral decidió recibir recursos; es decir, daría cuenta de la decisión voluntaria de recibir el pago en una determinada institución; lo cual se relaciona con la cuenta y clave interbancaria, mismos que son confidenciales.</w:t>
      </w:r>
    </w:p>
    <w:p w14:paraId="7ED2E505" w14:textId="77777777" w:rsidR="001D10AA" w:rsidRPr="00724A12" w:rsidRDefault="001D10AA" w:rsidP="001D10AA">
      <w:pPr>
        <w:widowControl w:val="0"/>
        <w:tabs>
          <w:tab w:val="center" w:pos="4522"/>
        </w:tabs>
        <w:spacing w:after="0" w:line="360" w:lineRule="auto"/>
        <w:rPr>
          <w:rFonts w:eastAsia="Calibri" w:cs="Tahoma"/>
          <w:bCs/>
          <w:szCs w:val="24"/>
        </w:rPr>
      </w:pPr>
    </w:p>
    <w:p w14:paraId="7BA8DAB0" w14:textId="77777777" w:rsidR="001D10AA" w:rsidRPr="00724A12" w:rsidRDefault="001D10AA" w:rsidP="001D10AA">
      <w:pPr>
        <w:widowControl w:val="0"/>
        <w:tabs>
          <w:tab w:val="center" w:pos="4522"/>
        </w:tabs>
        <w:spacing w:after="0" w:line="360" w:lineRule="auto"/>
        <w:rPr>
          <w:rFonts w:eastAsia="Calibri" w:cs="Tahoma"/>
          <w:bCs/>
          <w:szCs w:val="24"/>
        </w:rPr>
      </w:pPr>
      <w:r w:rsidRPr="00724A12">
        <w:rPr>
          <w:rFonts w:eastAsia="Calibri" w:cs="Tahoma"/>
          <w:bCs/>
          <w:szCs w:val="24"/>
        </w:rPr>
        <w:t>Además, revelaría el lugar en donde en que la persona recibió los recursos, lo cual únicamente está relacionado a su vida íntima o privada de la persona moral; por lo que, este Instituto considera que el nombre de la institución bancaria, actualiza la causal de clasificación prevista en el artículo 143, fracción I, de la Ley de Transparencia y Acceso a la Información Pública del Estado de México y Municipios.</w:t>
      </w:r>
    </w:p>
    <w:p w14:paraId="17DA851B" w14:textId="77777777" w:rsidR="001D10AA" w:rsidRPr="00724A12" w:rsidRDefault="001D10AA" w:rsidP="001D10AA">
      <w:pPr>
        <w:widowControl w:val="0"/>
        <w:tabs>
          <w:tab w:val="center" w:pos="4522"/>
        </w:tabs>
        <w:spacing w:after="0" w:line="360" w:lineRule="auto"/>
        <w:rPr>
          <w:rFonts w:eastAsia="Calibri" w:cs="Tahoma"/>
          <w:bCs/>
          <w:szCs w:val="24"/>
        </w:rPr>
      </w:pPr>
    </w:p>
    <w:p w14:paraId="7F3C2128" w14:textId="6C570933" w:rsidR="006E1BC4" w:rsidRPr="00724A12" w:rsidRDefault="003B5579" w:rsidP="006E1BC4">
      <w:pPr>
        <w:spacing w:after="0" w:line="360" w:lineRule="auto"/>
        <w:ind w:right="-28"/>
        <w:contextualSpacing/>
        <w:rPr>
          <w:rFonts w:eastAsia="Times New Roman" w:cs="Times New Roman"/>
          <w:color w:val="auto"/>
          <w:lang w:eastAsia="es-ES"/>
        </w:rPr>
      </w:pPr>
      <w:r w:rsidRPr="00724A12">
        <w:rPr>
          <w:rFonts w:eastAsia="Times New Roman" w:cs="Times New Roman"/>
          <w:color w:val="auto"/>
          <w:lang w:eastAsia="es-ES"/>
        </w:rPr>
        <w:t>Así, el Sujeto Obligado</w:t>
      </w:r>
      <w:r w:rsidR="006E1BC4" w:rsidRPr="00724A12">
        <w:rPr>
          <w:rFonts w:eastAsia="Times New Roman" w:cs="Times New Roman"/>
          <w:color w:val="auto"/>
          <w:lang w:eastAsia="es-ES"/>
        </w:rPr>
        <w:t xml:space="preserve">, deberá elaborar la versión pública respectiva, tomando en consideración los datos analizados; al respecto, conforme al artículo 3°, fracción XLV, relacionado con el 137, ambos de la Ley de Transparencia y Acceso a la Información Pública del Estado de México y </w:t>
      </w:r>
      <w:r w:rsidR="006E1BC4" w:rsidRPr="00724A12">
        <w:rPr>
          <w:rFonts w:eastAsia="Times New Roman" w:cs="Times New Roman"/>
          <w:color w:val="auto"/>
          <w:lang w:eastAsia="es-ES"/>
        </w:rPr>
        <w:lastRenderedPageBreak/>
        <w:t xml:space="preserve">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40D0FD75" w14:textId="77777777" w:rsidR="006E1BC4" w:rsidRPr="00724A12" w:rsidRDefault="006E1BC4" w:rsidP="006E1BC4">
      <w:pPr>
        <w:spacing w:after="0" w:line="360" w:lineRule="auto"/>
        <w:ind w:right="-28"/>
        <w:contextualSpacing/>
        <w:rPr>
          <w:rFonts w:eastAsia="Times New Roman" w:cs="Times New Roman"/>
          <w:color w:val="auto"/>
          <w:lang w:eastAsia="es-ES"/>
        </w:rPr>
      </w:pPr>
    </w:p>
    <w:p w14:paraId="2C984A25" w14:textId="77777777" w:rsidR="006E1BC4" w:rsidRPr="00724A12" w:rsidRDefault="006E1BC4" w:rsidP="006E1BC4">
      <w:pPr>
        <w:spacing w:after="0" w:line="360" w:lineRule="auto"/>
        <w:ind w:right="-28"/>
        <w:contextualSpacing/>
        <w:rPr>
          <w:rFonts w:eastAsia="Times New Roman" w:cs="Times New Roman"/>
          <w:color w:val="auto"/>
          <w:lang w:eastAsia="es-ES"/>
        </w:rPr>
      </w:pPr>
      <w:r w:rsidRPr="00724A12">
        <w:rPr>
          <w:rFonts w:eastAsia="Times New Roman" w:cs="Times New Roman"/>
          <w:color w:val="auto"/>
          <w:lang w:eastAsia="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bookmarkEnd w:id="25"/>
    <w:p w14:paraId="00CDCCE4" w14:textId="77777777" w:rsidR="006E1BC4" w:rsidRPr="00724A12" w:rsidRDefault="006E1BC4" w:rsidP="00547008">
      <w:pPr>
        <w:spacing w:after="0" w:line="360" w:lineRule="auto"/>
        <w:ind w:right="142"/>
      </w:pPr>
    </w:p>
    <w:p w14:paraId="4E01787E" w14:textId="7A43FA59" w:rsidR="00CA1DBB" w:rsidRPr="00724A12" w:rsidRDefault="000B188A" w:rsidP="00077951">
      <w:pPr>
        <w:pStyle w:val="Ttulo2"/>
        <w:spacing w:before="0" w:after="0"/>
      </w:pPr>
      <w:bookmarkStart w:id="26" w:name="_Toc210314815"/>
      <w:r w:rsidRPr="00724A12">
        <w:t>SEXTO</w:t>
      </w:r>
      <w:r w:rsidR="00CA1DBB" w:rsidRPr="00724A12">
        <w:t>. Decisión</w:t>
      </w:r>
      <w:bookmarkEnd w:id="26"/>
      <w:r w:rsidR="00CA1DBB" w:rsidRPr="00724A12">
        <w:t xml:space="preserve"> </w:t>
      </w:r>
    </w:p>
    <w:p w14:paraId="29786838" w14:textId="77777777" w:rsidR="00CA1DBB" w:rsidRPr="00724A12" w:rsidRDefault="00CA1DBB" w:rsidP="00CA1DBB">
      <w:pPr>
        <w:spacing w:after="0" w:line="360" w:lineRule="auto"/>
        <w:ind w:right="-93"/>
        <w:contextualSpacing/>
        <w:rPr>
          <w:rFonts w:cs="Tahoma"/>
          <w:b/>
        </w:rPr>
      </w:pPr>
    </w:p>
    <w:p w14:paraId="0B42FC25" w14:textId="2347BA67" w:rsidR="00CA1DBB" w:rsidRPr="00724A12" w:rsidRDefault="00CA1DBB" w:rsidP="00CA1DBB">
      <w:pPr>
        <w:spacing w:after="0" w:line="360" w:lineRule="auto"/>
        <w:ind w:right="-93"/>
        <w:contextualSpacing/>
        <w:rPr>
          <w:rFonts w:cs="Tahoma"/>
        </w:rPr>
      </w:pPr>
      <w:r w:rsidRPr="00724A12">
        <w:rPr>
          <w:rFonts w:cs="Tahoma"/>
        </w:rPr>
        <w:t xml:space="preserve">Con fundamento en el artículo 186, fracción III, de la Ley de Transparencia y Acceso a la Información Pública del Estado de México y Municipios, este Instituto considera procedente </w:t>
      </w:r>
      <w:r w:rsidR="00CD6A68" w:rsidRPr="00724A12">
        <w:rPr>
          <w:rFonts w:cs="Tahoma"/>
          <w:b/>
        </w:rPr>
        <w:t>REVOCAR</w:t>
      </w:r>
      <w:r w:rsidRPr="00724A12">
        <w:rPr>
          <w:rFonts w:cs="Tahoma"/>
        </w:rPr>
        <w:t xml:space="preserve"> la respuesta otorgada por el Sujeto Obligado a la solicitud de información </w:t>
      </w:r>
      <w:r w:rsidR="00110B5D" w:rsidRPr="00724A12">
        <w:t>00339/FGJ/IP/2025</w:t>
      </w:r>
      <w:r w:rsidRPr="00724A12">
        <w:rPr>
          <w:rFonts w:cs="Tahoma"/>
        </w:rPr>
        <w:t xml:space="preserve">, por resultar fundadas las razones o motivos de inconformidad hechos valer por el Recurrente, en el Recurso de Revisión </w:t>
      </w:r>
      <w:r w:rsidR="00A46BDA" w:rsidRPr="00724A12">
        <w:rPr>
          <w:rFonts w:cs="Tahoma"/>
        </w:rPr>
        <w:t>05171</w:t>
      </w:r>
      <w:r w:rsidR="009F1760" w:rsidRPr="00724A12">
        <w:rPr>
          <w:rFonts w:cs="Tahoma"/>
        </w:rPr>
        <w:t>/INFOEM/IP/RR/2025</w:t>
      </w:r>
      <w:r w:rsidRPr="00724A12">
        <w:rPr>
          <w:rFonts w:cs="Tahoma"/>
        </w:rPr>
        <w:t xml:space="preserve">, en consecuencia procede </w:t>
      </w:r>
      <w:r w:rsidRPr="00724A12">
        <w:rPr>
          <w:rFonts w:cs="Tahoma"/>
          <w:b/>
        </w:rPr>
        <w:t>ORDENAR</w:t>
      </w:r>
      <w:r w:rsidRPr="00724A12">
        <w:rPr>
          <w:rFonts w:cs="Tahoma"/>
        </w:rPr>
        <w:t>, conceda en su caso en versión pública a través del Sistema de Acceso a la Información Mexiquense (SAIMEX), lo requerido por el Particular.</w:t>
      </w:r>
    </w:p>
    <w:p w14:paraId="23CFDC14" w14:textId="77777777" w:rsidR="00CA1DBB" w:rsidRPr="00724A12" w:rsidRDefault="00CA1DBB" w:rsidP="00CA1DBB">
      <w:pPr>
        <w:spacing w:after="0" w:line="360" w:lineRule="auto"/>
        <w:ind w:right="-93"/>
      </w:pPr>
    </w:p>
    <w:p w14:paraId="783AAD6D" w14:textId="12B55285" w:rsidR="00CA1DBB" w:rsidRPr="00724A12" w:rsidRDefault="00CA1DBB" w:rsidP="00CA1DBB">
      <w:pPr>
        <w:spacing w:after="0" w:line="360" w:lineRule="auto"/>
        <w:contextualSpacing/>
        <w:rPr>
          <w:rFonts w:eastAsia="Calibri" w:cs="Tahoma"/>
          <w:b/>
          <w:bCs/>
          <w:iCs/>
          <w:u w:val="single"/>
          <w:lang w:val="es-ES" w:eastAsia="es-ES_tradnl"/>
        </w:rPr>
      </w:pPr>
      <w:r w:rsidRPr="00724A12">
        <w:rPr>
          <w:rFonts w:eastAsia="Calibri" w:cs="Tahoma"/>
          <w:b/>
          <w:bCs/>
          <w:iCs/>
          <w:u w:val="single"/>
          <w:lang w:val="es-ES" w:eastAsia="es-ES_tradnl"/>
        </w:rPr>
        <w:t>Términos de l</w:t>
      </w:r>
      <w:r w:rsidR="00F9493C">
        <w:rPr>
          <w:rFonts w:eastAsia="Calibri" w:cs="Tahoma"/>
          <w:b/>
          <w:bCs/>
          <w:iCs/>
          <w:u w:val="single"/>
          <w:lang w:val="es-ES" w:eastAsia="es-ES_tradnl"/>
        </w:rPr>
        <w:t>a Resolución para el Recurrente</w:t>
      </w:r>
    </w:p>
    <w:p w14:paraId="7E1C1758" w14:textId="77777777" w:rsidR="00CA1DBB" w:rsidRPr="00724A12" w:rsidRDefault="00CA1DBB" w:rsidP="00CA1DBB">
      <w:pPr>
        <w:spacing w:after="0" w:line="360" w:lineRule="auto"/>
        <w:rPr>
          <w:rFonts w:eastAsia="Calibri" w:cs="Tahoma"/>
          <w:iCs/>
          <w:lang w:eastAsia="es-ES_tradnl"/>
        </w:rPr>
      </w:pPr>
    </w:p>
    <w:p w14:paraId="5482F1CA" w14:textId="1423E49B" w:rsidR="00CA1DBB" w:rsidRPr="00724A12" w:rsidRDefault="00CA1DBB" w:rsidP="00CD6A68">
      <w:pPr>
        <w:spacing w:after="0" w:line="360" w:lineRule="auto"/>
        <w:rPr>
          <w:rFonts w:cs="Tahoma"/>
          <w:bCs/>
        </w:rPr>
      </w:pPr>
      <w:r w:rsidRPr="00724A12">
        <w:rPr>
          <w:rFonts w:cs="Tahoma"/>
          <w:bCs/>
        </w:rPr>
        <w:t>Se hace del conocimiento del Recurren</w:t>
      </w:r>
      <w:r w:rsidR="00CD6A68" w:rsidRPr="00724A12">
        <w:rPr>
          <w:rFonts w:cs="Tahoma"/>
          <w:bCs/>
        </w:rPr>
        <w:t xml:space="preserve">te que se le otorga la razón debido a que el Sujeto Obligado, </w:t>
      </w:r>
      <w:r w:rsidR="000B188A" w:rsidRPr="00724A12">
        <w:rPr>
          <w:rFonts w:cs="Tahoma"/>
          <w:bCs/>
        </w:rPr>
        <w:t xml:space="preserve">cambio la modalidad de la </w:t>
      </w:r>
      <w:r w:rsidR="003771B3" w:rsidRPr="00724A12">
        <w:rPr>
          <w:rFonts w:cs="Tahoma"/>
          <w:bCs/>
        </w:rPr>
        <w:t>entrega</w:t>
      </w:r>
      <w:r w:rsidR="000B188A" w:rsidRPr="00724A12">
        <w:rPr>
          <w:rFonts w:cs="Tahoma"/>
          <w:bCs/>
        </w:rPr>
        <w:t xml:space="preserve"> de la información a consulta </w:t>
      </w:r>
      <w:r w:rsidR="00696D19" w:rsidRPr="00724A12">
        <w:rPr>
          <w:rFonts w:cs="Tahoma"/>
          <w:bCs/>
        </w:rPr>
        <w:t>directa,</w:t>
      </w:r>
      <w:r w:rsidR="003771B3" w:rsidRPr="00724A12">
        <w:rPr>
          <w:rFonts w:cs="Tahoma"/>
          <w:bCs/>
        </w:rPr>
        <w:t xml:space="preserve"> sin embargo, esta no se validó por este Organismo Garante, pues contrario a lo afirmado por el Sujeto Obligado, no rebasa las capacidades del SAIMEX.</w:t>
      </w:r>
      <w:r w:rsidR="000B188A" w:rsidRPr="00724A12">
        <w:rPr>
          <w:rFonts w:cs="Tahoma"/>
          <w:bCs/>
        </w:rPr>
        <w:t xml:space="preserve"> </w:t>
      </w:r>
    </w:p>
    <w:p w14:paraId="37AE0604" w14:textId="77777777" w:rsidR="00CA1DBB" w:rsidRPr="00724A12" w:rsidRDefault="00CA1DBB" w:rsidP="00CA1DBB">
      <w:pPr>
        <w:spacing w:after="0" w:line="360" w:lineRule="auto"/>
        <w:ind w:right="-93"/>
        <w:rPr>
          <w:rFonts w:cs="Tahoma"/>
          <w:bCs/>
        </w:rPr>
      </w:pPr>
      <w:r w:rsidRPr="00724A12">
        <w:rPr>
          <w:rFonts w:cs="Tahoma"/>
          <w:bCs/>
        </w:rPr>
        <w:lastRenderedPageBreak/>
        <w:t>La labor del INFOEM, es apoyar a la población para acceder a la información pública y garantizar la protección de sus datos personales.</w:t>
      </w:r>
    </w:p>
    <w:p w14:paraId="2A29971B" w14:textId="77777777" w:rsidR="00CA1DBB" w:rsidRPr="00724A12" w:rsidRDefault="00CA1DBB" w:rsidP="00CA1DBB">
      <w:pPr>
        <w:spacing w:after="0" w:line="360" w:lineRule="auto"/>
        <w:ind w:right="-91"/>
        <w:jc w:val="center"/>
        <w:rPr>
          <w:rFonts w:eastAsia="Calibri" w:cs="Tahoma"/>
          <w:b/>
          <w:bCs/>
          <w:lang w:eastAsia="en-US"/>
        </w:rPr>
      </w:pPr>
    </w:p>
    <w:p w14:paraId="18969D82" w14:textId="77777777" w:rsidR="00CA1DBB" w:rsidRPr="00724A12" w:rsidRDefault="00CA1DBB" w:rsidP="00077951">
      <w:pPr>
        <w:pStyle w:val="Ttulo1"/>
        <w:spacing w:before="0" w:after="0"/>
        <w:ind w:right="142"/>
        <w:rPr>
          <w:rFonts w:eastAsia="Calibri" w:cs="Tahoma"/>
          <w:b w:val="0"/>
          <w:bCs/>
          <w:szCs w:val="22"/>
          <w:lang w:eastAsia="en-US"/>
        </w:rPr>
      </w:pPr>
      <w:bookmarkStart w:id="27" w:name="_Toc210314816"/>
      <w:r w:rsidRPr="00724A12">
        <w:rPr>
          <w:szCs w:val="22"/>
        </w:rPr>
        <w:t>R E S U E L V E</w:t>
      </w:r>
      <w:bookmarkEnd w:id="27"/>
    </w:p>
    <w:p w14:paraId="65254EA1" w14:textId="77777777" w:rsidR="00CA1DBB" w:rsidRPr="00724A12" w:rsidRDefault="00CA1DBB" w:rsidP="00CA1DBB">
      <w:pPr>
        <w:spacing w:after="0" w:line="360" w:lineRule="auto"/>
        <w:ind w:right="-91"/>
        <w:jc w:val="center"/>
        <w:rPr>
          <w:rFonts w:eastAsia="Calibri" w:cs="Tahoma"/>
          <w:b/>
          <w:bCs/>
          <w:lang w:eastAsia="en-US"/>
        </w:rPr>
      </w:pPr>
    </w:p>
    <w:p w14:paraId="63465E7D" w14:textId="07F25120" w:rsidR="00CA1DBB" w:rsidRPr="00724A12" w:rsidRDefault="00CA1DBB" w:rsidP="00CA1DBB">
      <w:pPr>
        <w:spacing w:after="0" w:line="360" w:lineRule="auto"/>
        <w:contextualSpacing/>
        <w:rPr>
          <w:rFonts w:eastAsia="Calibri" w:cs="Tahoma"/>
          <w:bCs/>
          <w:lang w:eastAsia="en-US"/>
        </w:rPr>
      </w:pPr>
      <w:r w:rsidRPr="00724A12">
        <w:rPr>
          <w:rFonts w:cs="Tahoma"/>
          <w:b/>
          <w:bCs/>
        </w:rPr>
        <w:t xml:space="preserve">PRIMERO. </w:t>
      </w:r>
      <w:r w:rsidRPr="00724A12">
        <w:rPr>
          <w:rFonts w:cs="Tahoma"/>
          <w:bCs/>
        </w:rPr>
        <w:t>Se</w:t>
      </w:r>
      <w:r w:rsidR="008E37D6" w:rsidRPr="00724A12">
        <w:rPr>
          <w:rFonts w:cs="Tahoma"/>
          <w:bCs/>
        </w:rPr>
        <w:t xml:space="preserve"> </w:t>
      </w:r>
      <w:r w:rsidR="008E37D6" w:rsidRPr="00724A12">
        <w:rPr>
          <w:rFonts w:cs="Tahoma"/>
          <w:b/>
        </w:rPr>
        <w:t>REVOCA</w:t>
      </w:r>
      <w:r w:rsidR="008E37D6" w:rsidRPr="00724A12">
        <w:rPr>
          <w:rFonts w:cs="Tahoma"/>
          <w:bCs/>
        </w:rPr>
        <w:t xml:space="preserve"> </w:t>
      </w:r>
      <w:r w:rsidRPr="00724A12">
        <w:rPr>
          <w:rFonts w:cs="Tahoma"/>
          <w:bCs/>
        </w:rPr>
        <w:t xml:space="preserve">la respuesta entregada por </w:t>
      </w:r>
      <w:r w:rsidR="003B5579" w:rsidRPr="00724A12">
        <w:rPr>
          <w:rFonts w:cs="Tahoma"/>
          <w:bCs/>
        </w:rPr>
        <w:t>la</w:t>
      </w:r>
      <w:r w:rsidRPr="00724A12">
        <w:rPr>
          <w:rFonts w:cs="Tahoma"/>
          <w:bCs/>
        </w:rPr>
        <w:t xml:space="preserve"> </w:t>
      </w:r>
      <w:r w:rsidR="00110B5D" w:rsidRPr="00724A12">
        <w:rPr>
          <w:rFonts w:cs="Tahoma"/>
        </w:rPr>
        <w:t>Fiscalía General de Justicia del Estado de México</w:t>
      </w:r>
      <w:r w:rsidRPr="00724A12">
        <w:rPr>
          <w:rFonts w:cs="Tahoma"/>
        </w:rPr>
        <w:t xml:space="preserve"> </w:t>
      </w:r>
      <w:r w:rsidRPr="00724A12">
        <w:rPr>
          <w:rFonts w:eastAsia="Calibri" w:cs="Tahoma"/>
          <w:lang w:eastAsia="en-US"/>
        </w:rPr>
        <w:t>a</w:t>
      </w:r>
      <w:r w:rsidRPr="00724A12">
        <w:rPr>
          <w:rFonts w:cs="Tahoma"/>
        </w:rPr>
        <w:t xml:space="preserve"> la solicitud de información </w:t>
      </w:r>
      <w:r w:rsidR="00110B5D" w:rsidRPr="00724A12">
        <w:t>00339/FGJ/IP/2025</w:t>
      </w:r>
      <w:r w:rsidR="000D4494" w:rsidRPr="00724A12">
        <w:t xml:space="preserve"> </w:t>
      </w:r>
      <w:r w:rsidRPr="00724A12">
        <w:t>por resultar parcialmente fundadas</w:t>
      </w:r>
      <w:r w:rsidRPr="00724A12">
        <w:rPr>
          <w:rFonts w:cs="Tahoma"/>
        </w:rPr>
        <w:t xml:space="preserve"> </w:t>
      </w:r>
      <w:r w:rsidRPr="00724A12">
        <w:rPr>
          <w:rFonts w:eastAsia="Calibri" w:cs="Tahoma"/>
          <w:lang w:eastAsia="en-US"/>
        </w:rPr>
        <w:t xml:space="preserve">las razones o motivos de inconformidad hechos valer por el Recurrente en el Recurso de Revisión </w:t>
      </w:r>
      <w:r w:rsidR="00A46BDA" w:rsidRPr="00724A12">
        <w:rPr>
          <w:rFonts w:cs="Tahoma"/>
          <w:color w:val="0D0D0D" w:themeColor="text1" w:themeTint="F2"/>
        </w:rPr>
        <w:t>05171</w:t>
      </w:r>
      <w:r w:rsidRPr="00724A12">
        <w:rPr>
          <w:rFonts w:cs="Tahoma"/>
          <w:color w:val="0D0D0D" w:themeColor="text1" w:themeTint="F2"/>
        </w:rPr>
        <w:t>/INFOEM/IP/RR/</w:t>
      </w:r>
      <w:r w:rsidR="0014103F" w:rsidRPr="00724A12">
        <w:rPr>
          <w:rFonts w:cs="Tahoma"/>
          <w:color w:val="0D0D0D" w:themeColor="text1" w:themeTint="F2"/>
        </w:rPr>
        <w:t>2025</w:t>
      </w:r>
      <w:r w:rsidRPr="00724A12">
        <w:rPr>
          <w:rFonts w:eastAsia="Calibri" w:cs="Tahoma"/>
          <w:lang w:eastAsia="en-US"/>
        </w:rPr>
        <w:t>, en</w:t>
      </w:r>
      <w:r w:rsidRPr="00724A12">
        <w:rPr>
          <w:rFonts w:eastAsia="Calibri" w:cs="Tahoma"/>
          <w:bCs/>
          <w:lang w:eastAsia="en-US"/>
        </w:rPr>
        <w:t xml:space="preserve"> términos de los considerandos QUINTO y </w:t>
      </w:r>
      <w:r w:rsidR="008E37D6" w:rsidRPr="00724A12">
        <w:rPr>
          <w:rFonts w:eastAsia="Calibri" w:cs="Tahoma"/>
          <w:bCs/>
          <w:lang w:eastAsia="en-US"/>
        </w:rPr>
        <w:t>SEXTO</w:t>
      </w:r>
      <w:r w:rsidRPr="00724A12">
        <w:rPr>
          <w:rFonts w:eastAsia="Calibri" w:cs="Tahoma"/>
          <w:bCs/>
          <w:lang w:eastAsia="en-US"/>
        </w:rPr>
        <w:t xml:space="preserve"> de la presente Resolución.</w:t>
      </w:r>
    </w:p>
    <w:p w14:paraId="1DA3BFBF" w14:textId="77777777" w:rsidR="00CA1DBB" w:rsidRPr="00724A12" w:rsidRDefault="00CA1DBB" w:rsidP="00CA1DBB">
      <w:pPr>
        <w:spacing w:after="0" w:line="360" w:lineRule="auto"/>
        <w:contextualSpacing/>
        <w:rPr>
          <w:rFonts w:cs="Tahoma"/>
          <w:bCs/>
        </w:rPr>
      </w:pPr>
    </w:p>
    <w:p w14:paraId="5A1CEA00" w14:textId="2B9601C4" w:rsidR="008E37D6" w:rsidRPr="00724A12" w:rsidRDefault="00CA1DBB" w:rsidP="008E37D6">
      <w:pPr>
        <w:tabs>
          <w:tab w:val="left" w:pos="7938"/>
        </w:tabs>
        <w:spacing w:after="0" w:line="360" w:lineRule="auto"/>
        <w:ind w:right="-93"/>
        <w:contextualSpacing/>
        <w:rPr>
          <w:rFonts w:cs="Arial"/>
          <w:lang w:val="es-ES"/>
        </w:rPr>
      </w:pPr>
      <w:r w:rsidRPr="00724A12">
        <w:rPr>
          <w:rFonts w:cs="Tahoma"/>
          <w:b/>
          <w:bCs/>
        </w:rPr>
        <w:t xml:space="preserve">SEGUNDO. </w:t>
      </w:r>
      <w:r w:rsidRPr="00724A12">
        <w:rPr>
          <w:rFonts w:cs="Tahoma"/>
        </w:rPr>
        <w:t xml:space="preserve">Se </w:t>
      </w:r>
      <w:r w:rsidRPr="00724A12">
        <w:rPr>
          <w:rFonts w:cs="Tahoma"/>
          <w:b/>
        </w:rPr>
        <w:t xml:space="preserve">ORDENA </w:t>
      </w:r>
      <w:r w:rsidRPr="00724A12">
        <w:rPr>
          <w:rFonts w:cs="Tahoma"/>
        </w:rPr>
        <w:t xml:space="preserve">al </w:t>
      </w:r>
      <w:r w:rsidR="003B5579" w:rsidRPr="00724A12">
        <w:rPr>
          <w:rFonts w:eastAsia="Calibri" w:cs="Tahoma"/>
          <w:lang w:eastAsia="en-US"/>
        </w:rPr>
        <w:t>Sujeto Obligado</w:t>
      </w:r>
      <w:r w:rsidRPr="00724A12">
        <w:rPr>
          <w:rFonts w:cs="Tahoma"/>
        </w:rPr>
        <w:t>, a efecto de que, previa búsqueda exhaustiva y razonable en los archivos de sus áreas competentes, remita</w:t>
      </w:r>
      <w:r w:rsidRPr="00724A12">
        <w:rPr>
          <w:rFonts w:cs="Tahoma"/>
          <w:bCs/>
          <w:iCs/>
          <w:lang w:val="es-ES_tradnl"/>
        </w:rPr>
        <w:t>, a través del Sistema de Acceso a la Información Mexiquense (SAIMEX)</w:t>
      </w:r>
      <w:r w:rsidRPr="00724A12">
        <w:rPr>
          <w:rFonts w:cs="Arial"/>
          <w:lang w:val="es-ES"/>
        </w:rPr>
        <w:t xml:space="preserve">, </w:t>
      </w:r>
      <w:r w:rsidR="003B5579" w:rsidRPr="00724A12">
        <w:rPr>
          <w:rFonts w:cs="Arial"/>
          <w:lang w:val="es-ES"/>
        </w:rPr>
        <w:t>en su caso, en</w:t>
      </w:r>
      <w:r w:rsidRPr="00724A12">
        <w:rPr>
          <w:rFonts w:cs="Arial"/>
          <w:lang w:val="es-ES"/>
        </w:rPr>
        <w:t xml:space="preserve"> versión pública, los documento</w:t>
      </w:r>
      <w:r w:rsidR="00CD6A68" w:rsidRPr="00724A12">
        <w:rPr>
          <w:rFonts w:cs="Arial"/>
          <w:lang w:val="es-ES"/>
        </w:rPr>
        <w:t xml:space="preserve">s </w:t>
      </w:r>
      <w:r w:rsidR="003B5579" w:rsidRPr="00724A12">
        <w:rPr>
          <w:rFonts w:cs="Arial"/>
          <w:lang w:val="es-ES"/>
        </w:rPr>
        <w:t>que den cuenta de</w:t>
      </w:r>
      <w:r w:rsidR="00CD6A68" w:rsidRPr="00724A12">
        <w:rPr>
          <w:rFonts w:cs="Arial"/>
          <w:lang w:val="es-ES"/>
        </w:rPr>
        <w:t xml:space="preserve"> </w:t>
      </w:r>
      <w:r w:rsidR="008E37D6" w:rsidRPr="00724A12">
        <w:rPr>
          <w:rFonts w:cs="Arial"/>
          <w:lang w:val="es-ES"/>
        </w:rPr>
        <w:t>los comprobantes de los</w:t>
      </w:r>
      <w:r w:rsidR="009B79FF" w:rsidRPr="00724A12">
        <w:rPr>
          <w:rFonts w:cs="Arial"/>
          <w:lang w:val="es-ES"/>
        </w:rPr>
        <w:t xml:space="preserve"> pagos realizados por el Sujeto Obligado a </w:t>
      </w:r>
      <w:r w:rsidR="003B5579" w:rsidRPr="00724A12">
        <w:rPr>
          <w:rFonts w:cs="Arial"/>
          <w:lang w:val="es-ES"/>
        </w:rPr>
        <w:t>p</w:t>
      </w:r>
      <w:r w:rsidR="009B79FF" w:rsidRPr="00724A12">
        <w:rPr>
          <w:rFonts w:cs="Arial"/>
          <w:lang w:val="es-ES"/>
        </w:rPr>
        <w:t>articulares, a través de cheque o transferencia electrónica</w:t>
      </w:r>
      <w:r w:rsidR="003B5579" w:rsidRPr="00724A12">
        <w:rPr>
          <w:rFonts w:cs="Arial"/>
          <w:lang w:val="es-ES"/>
        </w:rPr>
        <w:t>,</w:t>
      </w:r>
      <w:r w:rsidR="009B79FF" w:rsidRPr="00724A12">
        <w:rPr>
          <w:rFonts w:cs="Arial"/>
          <w:lang w:val="es-ES"/>
        </w:rPr>
        <w:t xml:space="preserve"> de</w:t>
      </w:r>
      <w:r w:rsidR="00272868" w:rsidRPr="00724A12">
        <w:rPr>
          <w:rFonts w:cs="Arial"/>
          <w:lang w:val="es-ES"/>
        </w:rPr>
        <w:t xml:space="preserve">l primero </w:t>
      </w:r>
      <w:r w:rsidR="003B5579" w:rsidRPr="00724A12">
        <w:rPr>
          <w:rFonts w:cs="Arial"/>
          <w:lang w:val="es-ES"/>
        </w:rPr>
        <w:t>de diciembre</w:t>
      </w:r>
      <w:r w:rsidR="00272868" w:rsidRPr="00724A12">
        <w:rPr>
          <w:rFonts w:cs="Arial"/>
          <w:lang w:val="es-ES"/>
        </w:rPr>
        <w:t xml:space="preserve"> de dos mil veinticuatro al veintiocho de febrero de dos mil veinticinco.</w:t>
      </w:r>
    </w:p>
    <w:p w14:paraId="23D83663" w14:textId="77777777" w:rsidR="008E37D6" w:rsidRPr="00724A12" w:rsidRDefault="008E37D6" w:rsidP="008E37D6">
      <w:pPr>
        <w:tabs>
          <w:tab w:val="left" w:pos="7938"/>
        </w:tabs>
        <w:spacing w:after="0" w:line="360" w:lineRule="auto"/>
        <w:ind w:right="-93"/>
        <w:contextualSpacing/>
        <w:rPr>
          <w:rFonts w:cs="Arial"/>
          <w:lang w:val="es-ES"/>
        </w:rPr>
      </w:pPr>
    </w:p>
    <w:p w14:paraId="741FB883" w14:textId="7A66C6B3" w:rsidR="003B5579" w:rsidRPr="00724A12" w:rsidRDefault="003B5579" w:rsidP="003B5579">
      <w:pPr>
        <w:spacing w:after="0" w:line="360" w:lineRule="auto"/>
        <w:rPr>
          <w:rFonts w:cs="Tahoma"/>
          <w:bCs/>
          <w:iCs/>
          <w:lang w:eastAsia="es-ES"/>
        </w:rPr>
      </w:pPr>
      <w:bookmarkStart w:id="28" w:name="_Hlk209690129"/>
      <w:r w:rsidRPr="00724A12">
        <w:t xml:space="preserve">Además, </w:t>
      </w:r>
      <w:r w:rsidRPr="00724A12">
        <w:rPr>
          <w:rFonts w:cs="Tahoma"/>
          <w:bCs/>
          <w:iCs/>
          <w:lang w:eastAsia="es-ES"/>
        </w:rPr>
        <w:t>deberá proporcionar el Acuerdo de Clasificación donde el Comité de Transparencia, confirme la eliminación de los datos o información, en términos del Considerando QUINTO, de conformidad con los artículos 49, fracciones II y VIII y 132, fracción II de la Ley de Transparencia y Acceso a la Información Pública del Estado de México y Municipios.</w:t>
      </w:r>
    </w:p>
    <w:p w14:paraId="639C7472" w14:textId="77777777" w:rsidR="00277C4F" w:rsidRPr="00724A12" w:rsidRDefault="00277C4F" w:rsidP="00CA1DBB">
      <w:pPr>
        <w:spacing w:after="0" w:line="360" w:lineRule="auto"/>
        <w:ind w:right="-93"/>
        <w:rPr>
          <w:rFonts w:eastAsia="Calibri" w:cs="Tahoma"/>
          <w:bCs/>
          <w:lang w:eastAsia="en-US"/>
        </w:rPr>
      </w:pPr>
    </w:p>
    <w:p w14:paraId="5A4EB5D4" w14:textId="77777777" w:rsidR="003B5579" w:rsidRPr="00724A12" w:rsidRDefault="003B5579" w:rsidP="003B5579">
      <w:pPr>
        <w:spacing w:after="0" w:line="360" w:lineRule="auto"/>
        <w:ind w:right="-28"/>
        <w:contextualSpacing/>
        <w:rPr>
          <w:rFonts w:cs="Tahoma"/>
          <w:bCs/>
          <w:iCs/>
        </w:rPr>
      </w:pPr>
      <w:bookmarkStart w:id="29" w:name="_Hlk209690141"/>
      <w:bookmarkEnd w:id="28"/>
      <w:r w:rsidRPr="00724A12">
        <w:rPr>
          <w:rFonts w:eastAsia="Calibri" w:cs="Tahoma"/>
          <w:b/>
          <w:bCs/>
        </w:rPr>
        <w:t xml:space="preserve">TERCERO. </w:t>
      </w:r>
      <w:r w:rsidRPr="00724A12">
        <w:rPr>
          <w:rFonts w:cs="Tahoma"/>
          <w:b/>
          <w:bCs/>
          <w:iCs/>
        </w:rPr>
        <w:t xml:space="preserve">NOTIFÍQUESE POR SAIMEX </w:t>
      </w:r>
      <w:r w:rsidRPr="00724A12">
        <w:rPr>
          <w:rFonts w:cs="Tahoma"/>
          <w:bCs/>
          <w:iCs/>
        </w:rPr>
        <w:t xml:space="preserve">la presente resolución al Titular de la Unidad de Transparencia del Sujeto Obligado, para que conforme al artículo 186, último párrafo, 189, segundo párrafo, y 194 de la Ley de Transparencia y Acceso a la Información Pública del Estado </w:t>
      </w:r>
      <w:r w:rsidRPr="00724A12">
        <w:rPr>
          <w:rFonts w:cs="Tahoma"/>
          <w:bCs/>
          <w:iCs/>
        </w:rPr>
        <w:lastRenderedPageBreak/>
        <w:t xml:space="preserve">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14:paraId="18A26627" w14:textId="77777777" w:rsidR="003B5579" w:rsidRPr="00724A12" w:rsidRDefault="003B5579" w:rsidP="003B5579">
      <w:pPr>
        <w:spacing w:after="0" w:line="360" w:lineRule="auto"/>
        <w:ind w:right="-28"/>
        <w:contextualSpacing/>
        <w:rPr>
          <w:rFonts w:cs="Tahoma"/>
          <w:bCs/>
          <w:iCs/>
        </w:rPr>
      </w:pPr>
    </w:p>
    <w:p w14:paraId="29359B5E" w14:textId="77777777" w:rsidR="003B5579" w:rsidRPr="00724A12" w:rsidRDefault="003B5579" w:rsidP="003B5579">
      <w:pPr>
        <w:spacing w:after="0" w:line="360" w:lineRule="auto"/>
        <w:ind w:right="-28"/>
        <w:contextualSpacing/>
        <w:rPr>
          <w:rFonts w:eastAsia="Calibri" w:cs="Tahoma"/>
          <w:iCs/>
        </w:rPr>
      </w:pPr>
      <w:r w:rsidRPr="00724A12">
        <w:rPr>
          <w:rFonts w:eastAsia="Calibri" w:cs="Tahoma"/>
          <w:iCs/>
        </w:rPr>
        <w:t>De conformidad con el artículo 198 de la Ley de la materia, de considerarlo procedente, el Sujeto Obligado de manera fundada y motivada, podrá solicitar una ampliación de plazo para el cumplimiento de la presente resolución.</w:t>
      </w:r>
    </w:p>
    <w:p w14:paraId="08963DA4" w14:textId="77777777" w:rsidR="003B5579" w:rsidRPr="00724A12" w:rsidRDefault="003B5579" w:rsidP="003B5579">
      <w:pPr>
        <w:spacing w:after="0" w:line="360" w:lineRule="auto"/>
        <w:contextualSpacing/>
        <w:rPr>
          <w:rFonts w:eastAsia="Calibri" w:cs="Tahoma"/>
          <w:lang w:val="es-ES"/>
        </w:rPr>
      </w:pPr>
    </w:p>
    <w:p w14:paraId="06C783EA" w14:textId="77777777" w:rsidR="003B5579" w:rsidRPr="00724A12" w:rsidRDefault="003B5579" w:rsidP="003B5579">
      <w:pPr>
        <w:spacing w:after="0" w:line="360" w:lineRule="auto"/>
        <w:contextualSpacing/>
        <w:rPr>
          <w:rFonts w:cs="Tahoma"/>
        </w:rPr>
      </w:pPr>
      <w:r w:rsidRPr="00724A12">
        <w:rPr>
          <w:rFonts w:eastAsia="Calibri" w:cs="Tahoma"/>
          <w:b/>
        </w:rPr>
        <w:t>CUARTO</w:t>
      </w:r>
      <w:r w:rsidRPr="00724A12">
        <w:rPr>
          <w:rFonts w:eastAsia="Calibri" w:cs="Tahoma"/>
          <w:b/>
          <w:bCs/>
        </w:rPr>
        <w:t xml:space="preserve">. </w:t>
      </w:r>
      <w:r w:rsidRPr="00724A12">
        <w:rPr>
          <w:rFonts w:cs="Tahoma"/>
          <w:b/>
        </w:rPr>
        <w:t>NOTIFÍQUESE POR SAIMEX</w:t>
      </w:r>
      <w:r w:rsidRPr="00724A12">
        <w:rPr>
          <w:rFonts w:cs="Tahoma"/>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bookmarkEnd w:id="29"/>
    <w:p w14:paraId="3CF2D908" w14:textId="77777777" w:rsidR="00634BE8" w:rsidRPr="00724A12" w:rsidRDefault="00634BE8" w:rsidP="00CA1DBB">
      <w:pPr>
        <w:tabs>
          <w:tab w:val="left" w:pos="4962"/>
        </w:tabs>
        <w:spacing w:after="0" w:line="360" w:lineRule="auto"/>
        <w:ind w:right="142"/>
      </w:pPr>
    </w:p>
    <w:p w14:paraId="4B7CE26B" w14:textId="36FFEE1B" w:rsidR="00277C4F" w:rsidRDefault="00634BE8" w:rsidP="00CA1DBB">
      <w:pPr>
        <w:tabs>
          <w:tab w:val="left" w:pos="4962"/>
        </w:tabs>
        <w:spacing w:after="0" w:line="360" w:lineRule="auto"/>
        <w:ind w:right="142"/>
        <w:rPr>
          <w:rFonts w:eastAsiaTheme="minorHAnsi" w:cstheme="minorBidi"/>
          <w:color w:val="000000" w:themeColor="text1"/>
          <w:lang w:eastAsia="en-US"/>
        </w:rPr>
      </w:pPr>
      <w:r w:rsidRPr="00724A12">
        <w:rPr>
          <w:rFonts w:eastAsiaTheme="minorHAnsi" w:cstheme="minorBidi"/>
          <w:color w:val="000000" w:themeColor="text1"/>
          <w:lang w:eastAsia="en-US"/>
        </w:rPr>
        <w:t xml:space="preserve">ASÍ LO RESUELVE, POR </w:t>
      </w:r>
      <w:r w:rsidRPr="00724A12">
        <w:rPr>
          <w:rFonts w:eastAsiaTheme="minorHAnsi" w:cstheme="minorBidi"/>
          <w:b/>
          <w:bCs/>
          <w:color w:val="000000" w:themeColor="text1"/>
          <w:lang w:eastAsia="en-US"/>
        </w:rPr>
        <w:t>UNANIMIDAD</w:t>
      </w:r>
      <w:r w:rsidRPr="00724A12">
        <w:rPr>
          <w:rFonts w:eastAsiaTheme="minorHAnsi" w:cstheme="minorBidi"/>
          <w:color w:val="000000" w:themeColor="text1"/>
          <w:lang w:eastAsia="en-US"/>
        </w:rPr>
        <w:t xml:space="preserve"> DE VOTOS EL PLENO DEL INSTITUTO DE TRANSPARENCIA, ACCESO A LA INFORMACIÓN PÚBLICA Y PROTECCIÓN DE DATOS PERSONALES DEL ESTADO DE MÉXICO Y MUNICIPIOS, CONFORMADO POR LOS COMISIONADOS JOSÉ MARTÍNEZ VILCHIS</w:t>
      </w:r>
      <w:r w:rsidR="00277C4F" w:rsidRPr="00724A12">
        <w:rPr>
          <w:rFonts w:eastAsiaTheme="minorHAnsi" w:cstheme="minorBidi"/>
          <w:color w:val="000000" w:themeColor="text1"/>
          <w:lang w:eastAsia="en-US"/>
        </w:rPr>
        <w:t xml:space="preserve">, </w:t>
      </w:r>
      <w:r w:rsidRPr="00724A12">
        <w:rPr>
          <w:rFonts w:eastAsiaTheme="minorHAnsi" w:cstheme="minorBidi"/>
          <w:color w:val="000000" w:themeColor="text1"/>
          <w:lang w:eastAsia="en-US"/>
        </w:rPr>
        <w:t>MARÍA DEL ROSARIO MEJÍA AYALA, SHARON CRISTINA MORALES MARTÍNEZ, LUIS GUSTAVO PARRA</w:t>
      </w:r>
      <w:r w:rsidR="009D6EB5" w:rsidRPr="00724A12">
        <w:rPr>
          <w:rFonts w:eastAsiaTheme="minorHAnsi" w:cstheme="minorBidi"/>
          <w:color w:val="000000" w:themeColor="text1"/>
          <w:lang w:eastAsia="en-US"/>
        </w:rPr>
        <w:t xml:space="preserve"> NORIEGA</w:t>
      </w:r>
      <w:r w:rsidR="00CD18A5" w:rsidRPr="00724A12">
        <w:rPr>
          <w:rFonts w:eastAsiaTheme="minorHAnsi" w:cstheme="minorBidi"/>
          <w:color w:val="000000" w:themeColor="text1"/>
          <w:lang w:eastAsia="en-US"/>
        </w:rPr>
        <w:t>,</w:t>
      </w:r>
      <w:r w:rsidRPr="00724A12">
        <w:rPr>
          <w:rFonts w:eastAsiaTheme="minorHAnsi" w:cstheme="minorBidi"/>
          <w:color w:val="000000" w:themeColor="text1"/>
          <w:lang w:eastAsia="en-US"/>
        </w:rPr>
        <w:t xml:space="preserve"> GUADALUPE RAMÍREZ PEÑA</w:t>
      </w:r>
      <w:r w:rsidR="000712DB">
        <w:rPr>
          <w:rFonts w:eastAsiaTheme="minorHAnsi" w:cstheme="minorBidi"/>
          <w:color w:val="000000" w:themeColor="text1"/>
          <w:lang w:eastAsia="en-US"/>
        </w:rPr>
        <w:t xml:space="preserve">, </w:t>
      </w:r>
      <w:r w:rsidR="009B4682" w:rsidRPr="00724A12">
        <w:rPr>
          <w:rFonts w:eastAsiaTheme="minorHAnsi" w:cstheme="minorBidi"/>
          <w:color w:val="000000" w:themeColor="text1"/>
          <w:lang w:eastAsia="en-US"/>
        </w:rPr>
        <w:t xml:space="preserve"> </w:t>
      </w:r>
      <w:r w:rsidRPr="00724A12">
        <w:rPr>
          <w:rFonts w:eastAsiaTheme="minorHAnsi" w:cstheme="minorBidi"/>
          <w:color w:val="000000" w:themeColor="text1"/>
          <w:lang w:eastAsia="en-US"/>
        </w:rPr>
        <w:t xml:space="preserve">EN LA </w:t>
      </w:r>
      <w:r w:rsidR="00277C4F" w:rsidRPr="00724A12">
        <w:rPr>
          <w:rFonts w:eastAsiaTheme="minorHAnsi" w:cstheme="minorBidi"/>
          <w:color w:val="000000" w:themeColor="text1"/>
          <w:lang w:eastAsia="en-US"/>
        </w:rPr>
        <w:t xml:space="preserve">TRIGÉSIMA </w:t>
      </w:r>
      <w:r w:rsidR="00431D9F" w:rsidRPr="00724A12">
        <w:rPr>
          <w:rFonts w:eastAsiaTheme="minorHAnsi" w:cstheme="minorBidi"/>
          <w:color w:val="000000" w:themeColor="text1"/>
          <w:lang w:eastAsia="en-US"/>
        </w:rPr>
        <w:t>QUINTA</w:t>
      </w:r>
      <w:r w:rsidR="00100298" w:rsidRPr="00724A12">
        <w:rPr>
          <w:rFonts w:eastAsiaTheme="minorHAnsi" w:cstheme="minorBidi"/>
          <w:color w:val="000000" w:themeColor="text1"/>
          <w:lang w:eastAsia="en-US"/>
        </w:rPr>
        <w:t xml:space="preserve"> </w:t>
      </w:r>
      <w:r w:rsidRPr="00724A12">
        <w:rPr>
          <w:rFonts w:eastAsiaTheme="minorHAnsi" w:cstheme="minorBidi"/>
          <w:color w:val="000000" w:themeColor="text1"/>
          <w:lang w:eastAsia="en-US"/>
        </w:rPr>
        <w:t xml:space="preserve">SESIÓN ORDINARIA, CELEBRADA EL </w:t>
      </w:r>
      <w:r w:rsidR="00431D9F" w:rsidRPr="00724A12">
        <w:rPr>
          <w:rFonts w:eastAsiaTheme="minorHAnsi" w:cstheme="minorBidi"/>
          <w:color w:val="000000" w:themeColor="text1"/>
          <w:lang w:eastAsia="en-US"/>
        </w:rPr>
        <w:t>PRIMERO</w:t>
      </w:r>
      <w:r w:rsidRPr="00724A12">
        <w:rPr>
          <w:rFonts w:eastAsiaTheme="minorHAnsi" w:cstheme="minorBidi"/>
          <w:color w:val="000000" w:themeColor="text1"/>
          <w:lang w:eastAsia="en-US"/>
        </w:rPr>
        <w:t xml:space="preserve"> DE </w:t>
      </w:r>
      <w:r w:rsidR="00431D9F" w:rsidRPr="00724A12">
        <w:rPr>
          <w:rFonts w:eastAsiaTheme="minorHAnsi" w:cstheme="minorBidi"/>
          <w:color w:val="000000" w:themeColor="text1"/>
          <w:lang w:eastAsia="en-US"/>
        </w:rPr>
        <w:t>OCTUBRE</w:t>
      </w:r>
      <w:r w:rsidRPr="00724A12">
        <w:rPr>
          <w:rFonts w:eastAsiaTheme="minorHAnsi" w:cstheme="minorBidi"/>
          <w:color w:val="000000" w:themeColor="text1"/>
          <w:lang w:eastAsia="en-US"/>
        </w:rPr>
        <w:t xml:space="preserve"> DE DOS MIL VEINTICINCO, ANTE EL SECRETARIO TÉCNICO DEL PLENO, ALEXIS TAPIA RAMÍREZ.</w:t>
      </w:r>
    </w:p>
    <w:p w14:paraId="02FBF380" w14:textId="77777777" w:rsidR="00277C4F" w:rsidRDefault="00277C4F">
      <w:pPr>
        <w:spacing w:after="0" w:line="240" w:lineRule="auto"/>
        <w:jc w:val="left"/>
        <w:rPr>
          <w:rFonts w:eastAsiaTheme="minorHAnsi" w:cstheme="minorBidi"/>
          <w:color w:val="000000" w:themeColor="text1"/>
          <w:lang w:eastAsia="en-US"/>
        </w:rPr>
      </w:pPr>
      <w:r>
        <w:rPr>
          <w:rFonts w:eastAsiaTheme="minorHAnsi" w:cstheme="minorBidi"/>
          <w:color w:val="000000" w:themeColor="text1"/>
          <w:lang w:eastAsia="en-US"/>
        </w:rPr>
        <w:br w:type="page"/>
      </w:r>
    </w:p>
    <w:p w14:paraId="75FC71D7" w14:textId="77777777" w:rsidR="00634BE8" w:rsidRPr="00AF0FDD" w:rsidRDefault="00634BE8" w:rsidP="00CA1DBB">
      <w:pPr>
        <w:tabs>
          <w:tab w:val="left" w:pos="4962"/>
        </w:tabs>
        <w:spacing w:after="0" w:line="360" w:lineRule="auto"/>
        <w:ind w:right="142"/>
        <w:rPr>
          <w:rFonts w:eastAsiaTheme="minorHAnsi" w:cstheme="minorBidi"/>
          <w:color w:val="000000" w:themeColor="text1"/>
          <w:lang w:eastAsia="en-US"/>
        </w:rPr>
      </w:pPr>
    </w:p>
    <w:p w14:paraId="65A6A14A" w14:textId="1C7AE8E6" w:rsidR="00881807" w:rsidRDefault="00881807" w:rsidP="00CA1DBB">
      <w:pPr>
        <w:tabs>
          <w:tab w:val="left" w:pos="4962"/>
        </w:tabs>
        <w:spacing w:after="0" w:line="360" w:lineRule="auto"/>
        <w:ind w:right="142"/>
      </w:pPr>
    </w:p>
    <w:p w14:paraId="4486748A" w14:textId="77777777" w:rsidR="00881807" w:rsidRDefault="00881807" w:rsidP="00CA1DBB">
      <w:pPr>
        <w:widowControl w:val="0"/>
        <w:spacing w:after="0" w:line="360" w:lineRule="auto"/>
        <w:ind w:right="142"/>
        <w:rPr>
          <w:b/>
        </w:rPr>
      </w:pPr>
    </w:p>
    <w:p w14:paraId="774A6E48" w14:textId="177EAB85" w:rsidR="00100298" w:rsidRDefault="00100298" w:rsidP="00CA1DBB">
      <w:pPr>
        <w:spacing w:after="0"/>
        <w:rPr>
          <w:b/>
        </w:rPr>
      </w:pPr>
    </w:p>
    <w:p w14:paraId="71B3AEAC" w14:textId="77777777" w:rsidR="00881807" w:rsidRDefault="00881807" w:rsidP="00CA1DBB">
      <w:pPr>
        <w:widowControl w:val="0"/>
        <w:spacing w:after="0" w:line="360" w:lineRule="auto"/>
        <w:ind w:right="142"/>
        <w:rPr>
          <w:b/>
        </w:rPr>
      </w:pPr>
    </w:p>
    <w:p w14:paraId="7D75C753" w14:textId="77777777" w:rsidR="00881807" w:rsidRDefault="00881807" w:rsidP="00CA1DBB">
      <w:pPr>
        <w:widowControl w:val="0"/>
        <w:spacing w:after="0" w:line="360" w:lineRule="auto"/>
        <w:ind w:right="142"/>
        <w:rPr>
          <w:b/>
        </w:rPr>
      </w:pPr>
    </w:p>
    <w:p w14:paraId="2A6CAF11" w14:textId="77777777" w:rsidR="00881807" w:rsidRDefault="00881807" w:rsidP="00CA1DBB">
      <w:pPr>
        <w:widowControl w:val="0"/>
        <w:spacing w:after="0" w:line="360" w:lineRule="auto"/>
        <w:ind w:right="142"/>
        <w:rPr>
          <w:b/>
        </w:rPr>
      </w:pPr>
    </w:p>
    <w:p w14:paraId="6306B44C" w14:textId="77777777" w:rsidR="00881807" w:rsidRDefault="00881807" w:rsidP="00CA1DBB">
      <w:pPr>
        <w:widowControl w:val="0"/>
        <w:spacing w:after="0" w:line="360" w:lineRule="auto"/>
        <w:ind w:right="142"/>
        <w:rPr>
          <w:b/>
        </w:rPr>
      </w:pPr>
    </w:p>
    <w:p w14:paraId="133FAA85" w14:textId="77777777" w:rsidR="00881807" w:rsidRDefault="00881807" w:rsidP="00CA1DBB">
      <w:pPr>
        <w:widowControl w:val="0"/>
        <w:spacing w:after="0" w:line="360" w:lineRule="auto"/>
        <w:ind w:right="142"/>
        <w:rPr>
          <w:b/>
        </w:rPr>
      </w:pPr>
    </w:p>
    <w:p w14:paraId="0C7D5ACE" w14:textId="77777777" w:rsidR="00881807" w:rsidRDefault="00881807" w:rsidP="00CA1DBB">
      <w:pPr>
        <w:widowControl w:val="0"/>
        <w:spacing w:after="0" w:line="360" w:lineRule="auto"/>
        <w:ind w:right="142"/>
        <w:rPr>
          <w:b/>
        </w:rPr>
      </w:pPr>
    </w:p>
    <w:p w14:paraId="401143F0" w14:textId="77777777" w:rsidR="00881807" w:rsidRDefault="00881807" w:rsidP="00CA1DBB">
      <w:pPr>
        <w:widowControl w:val="0"/>
        <w:spacing w:after="0" w:line="360" w:lineRule="auto"/>
        <w:ind w:right="142"/>
        <w:rPr>
          <w:b/>
        </w:rPr>
      </w:pPr>
    </w:p>
    <w:p w14:paraId="21CBFAB1" w14:textId="1538AA2A" w:rsidR="00DF5C79" w:rsidRPr="00DF5C79" w:rsidRDefault="00DF5C79" w:rsidP="00CA1DBB">
      <w:pPr>
        <w:widowControl w:val="0"/>
        <w:spacing w:after="0" w:line="360" w:lineRule="auto"/>
        <w:ind w:right="142"/>
        <w:rPr>
          <w:bCs/>
        </w:rPr>
      </w:pPr>
    </w:p>
    <w:sectPr w:rsidR="00DF5C79" w:rsidRPr="00DF5C79">
      <w:headerReference w:type="even" r:id="rId15"/>
      <w:headerReference w:type="default" r:id="rId16"/>
      <w:footerReference w:type="even" r:id="rId17"/>
      <w:footerReference w:type="default" r:id="rId18"/>
      <w:headerReference w:type="first" r:id="rId19"/>
      <w:footerReference w:type="first" r:id="rId20"/>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74709" w14:textId="77777777" w:rsidR="005D6663" w:rsidRDefault="005D6663">
      <w:pPr>
        <w:spacing w:after="0" w:line="240" w:lineRule="auto"/>
      </w:pPr>
      <w:r>
        <w:separator/>
      </w:r>
    </w:p>
  </w:endnote>
  <w:endnote w:type="continuationSeparator" w:id="0">
    <w:p w14:paraId="61404F12" w14:textId="77777777" w:rsidR="005D6663" w:rsidRDefault="005D6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63FCF613-DE48-44B8-BFCD-794C5012DC04}"/>
    <w:embedBold r:id="rId2" w:fontKey="{28BB0D78-0BD2-444B-A7B8-4884B537E592}"/>
    <w:embedItalic r:id="rId3" w:fontKey="{A121DAEA-7EA3-44C4-901C-5EF2E3C927C4}"/>
    <w:embedBoldItalic r:id="rId4" w:fontKey="{D80F2E5A-58DA-4D34-8F58-B93E3E408F13}"/>
  </w:font>
  <w:font w:name="Tahoma">
    <w:panose1 w:val="020B0604030504040204"/>
    <w:charset w:val="00"/>
    <w:family w:val="swiss"/>
    <w:pitch w:val="variable"/>
    <w:sig w:usb0="E1002EFF" w:usb1="C000605B" w:usb2="00000029" w:usb3="00000000" w:csb0="000101FF" w:csb1="00000000"/>
    <w:embedRegular r:id="rId5" w:fontKey="{FB25FBA8-294A-4A9F-803E-39F2200A2E4C}"/>
    <w:embedBold r:id="rId6" w:fontKey="{088416F4-DB36-484D-AE9A-B181B4E0F6DD}"/>
    <w:embedItalic r:id="rId7" w:fontKey="{9C7A4770-0D83-4465-94CC-A21B53E9FEA4}"/>
    <w:embedBoldItalic r:id="rId8" w:fontKey="{EC7BFA24-B675-4833-A3B8-3AEBABE5A6C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44AC29B5-2D1A-4B91-8796-ED7766379430}"/>
    <w:embedItalic r:id="rId10" w:fontKey="{AFDEBB70-6F0C-42DF-9D34-4EDD5F54EA5F}"/>
  </w:font>
  <w:font w:name="Calibri Light">
    <w:panose1 w:val="020F0302020204030204"/>
    <w:charset w:val="00"/>
    <w:family w:val="swiss"/>
    <w:pitch w:val="variable"/>
    <w:sig w:usb0="E4002EFF" w:usb1="C200247B" w:usb2="00000009" w:usb3="00000000" w:csb0="000001FF" w:csb1="00000000"/>
    <w:embedRegular r:id="rId11" w:fontKey="{6929D7F3-81F5-4170-B99B-4C7AFC5F7A55}"/>
  </w:font>
  <w:font w:name="Segoe UI">
    <w:panose1 w:val="020B0502040204020203"/>
    <w:charset w:val="00"/>
    <w:family w:val="swiss"/>
    <w:pitch w:val="variable"/>
    <w:sig w:usb0="E4002EFF" w:usb1="C000E47F" w:usb2="00000009" w:usb3="00000000" w:csb0="000001FF" w:csb1="00000000"/>
    <w:embedRegular r:id="rId12" w:fontKey="{1D26F6C6-F474-4851-AFCE-B52507FA3771}"/>
  </w:font>
  <w:font w:name="Calibri">
    <w:panose1 w:val="020F0502020204030204"/>
    <w:charset w:val="00"/>
    <w:family w:val="swiss"/>
    <w:pitch w:val="variable"/>
    <w:sig w:usb0="E4002EFF" w:usb1="C200247B" w:usb2="00000009" w:usb3="00000000" w:csb0="000001FF" w:csb1="00000000"/>
    <w:embedRegular r:id="rId13" w:fontKey="{371D044F-790F-47BF-8E98-D466AB6FA823}"/>
    <w:embedBold r:id="rId14" w:fontKey="{D5E357DB-3124-4E5D-990F-5934C8A1B51E}"/>
    <w:embedItalic r:id="rId15" w:fontKey="{C5104249-B709-4B12-AAEF-ADF23D8C0CCE}"/>
    <w:embedBoldItalic r:id="rId16" w:fontKey="{CD92F593-A0CB-4F07-AFD4-C421D2AFEBFE}"/>
  </w:font>
  <w:font w:name="Verdana">
    <w:panose1 w:val="020B0604030504040204"/>
    <w:charset w:val="00"/>
    <w:family w:val="swiss"/>
    <w:pitch w:val="variable"/>
    <w:sig w:usb0="A00006FF" w:usb1="4000205B" w:usb2="00000010" w:usb3="00000000" w:csb0="0000019F" w:csb1="00000000"/>
    <w:embedRegular r:id="rId17" w:fontKey="{89E93EC6-5559-4160-9DCD-4A047EA99A4F}"/>
  </w:font>
  <w:font w:name="Garamond">
    <w:panose1 w:val="02020404030301010803"/>
    <w:charset w:val="00"/>
    <w:family w:val="roman"/>
    <w:pitch w:val="variable"/>
    <w:sig w:usb0="00000287" w:usb1="00000000" w:usb2="00000000" w:usb3="00000000" w:csb0="0000009F" w:csb1="00000000"/>
    <w:embedRegular r:id="rId18" w:fontKey="{D49F1E74-E454-4204-8826-BF06C0018E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547008" w:rsidRDefault="00547008">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0E4C9C">
      <w:rPr>
        <w:b/>
        <w:noProof/>
        <w:sz w:val="24"/>
        <w:szCs w:val="24"/>
      </w:rPr>
      <w:t>38</w:t>
    </w:r>
    <w:r>
      <w:rPr>
        <w:b/>
        <w:sz w:val="24"/>
        <w:szCs w:val="24"/>
      </w:rPr>
      <w:fldChar w:fldCharType="end"/>
    </w:r>
  </w:p>
  <w:p w14:paraId="3DA6C021" w14:textId="77777777" w:rsidR="00547008" w:rsidRDefault="00547008">
    <w:pPr>
      <w:pBdr>
        <w:top w:val="nil"/>
        <w:left w:val="nil"/>
        <w:bottom w:val="nil"/>
        <w:right w:val="nil"/>
        <w:between w:val="nil"/>
      </w:pBdr>
      <w:tabs>
        <w:tab w:val="center" w:pos="4419"/>
        <w:tab w:val="right" w:pos="8838"/>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547008" w:rsidRDefault="00547008">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17768A">
      <w:rPr>
        <w:b/>
        <w:noProof/>
        <w:sz w:val="24"/>
        <w:szCs w:val="24"/>
      </w:rPr>
      <w:t>4</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17768A">
      <w:rPr>
        <w:b/>
        <w:noProof/>
        <w:sz w:val="24"/>
        <w:szCs w:val="24"/>
      </w:rPr>
      <w:t>38</w:t>
    </w:r>
    <w:r>
      <w:rPr>
        <w:b/>
        <w:sz w:val="24"/>
        <w:szCs w:val="24"/>
      </w:rPr>
      <w:fldChar w:fldCharType="end"/>
    </w:r>
  </w:p>
  <w:p w14:paraId="0437ABC5" w14:textId="77777777" w:rsidR="00547008" w:rsidRDefault="00547008">
    <w:pPr>
      <w:pBdr>
        <w:top w:val="nil"/>
        <w:left w:val="nil"/>
        <w:bottom w:val="nil"/>
        <w:right w:val="nil"/>
        <w:between w:val="nil"/>
      </w:pBdr>
      <w:tabs>
        <w:tab w:val="center" w:pos="4419"/>
        <w:tab w:val="right" w:pos="8838"/>
      </w:tabs>
      <w:spacing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547008" w:rsidRDefault="00547008">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17768A">
      <w:rPr>
        <w:b/>
        <w:noProof/>
        <w:sz w:val="24"/>
        <w:szCs w:val="24"/>
      </w:rPr>
      <w:t>1</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17768A">
      <w:rPr>
        <w:b/>
        <w:noProof/>
        <w:sz w:val="24"/>
        <w:szCs w:val="24"/>
      </w:rPr>
      <w:t>38</w:t>
    </w:r>
    <w:r>
      <w:rPr>
        <w:b/>
        <w:sz w:val="24"/>
        <w:szCs w:val="24"/>
      </w:rPr>
      <w:fldChar w:fldCharType="end"/>
    </w:r>
  </w:p>
  <w:p w14:paraId="6227224A" w14:textId="77777777" w:rsidR="00547008" w:rsidRDefault="00547008">
    <w:pPr>
      <w:pBdr>
        <w:top w:val="nil"/>
        <w:left w:val="nil"/>
        <w:bottom w:val="nil"/>
        <w:right w:val="nil"/>
        <w:between w:val="nil"/>
      </w:pBdr>
      <w:tabs>
        <w:tab w:val="center" w:pos="4419"/>
        <w:tab w:val="right" w:pos="8838"/>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AF27BD" w14:textId="77777777" w:rsidR="005D6663" w:rsidRDefault="005D6663">
      <w:pPr>
        <w:spacing w:after="0" w:line="240" w:lineRule="auto"/>
      </w:pPr>
      <w:r>
        <w:separator/>
      </w:r>
    </w:p>
  </w:footnote>
  <w:footnote w:type="continuationSeparator" w:id="0">
    <w:p w14:paraId="6C5DE1A3" w14:textId="77777777" w:rsidR="005D6663" w:rsidRDefault="005D66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547008" w:rsidRDefault="00547008">
    <w:pPr>
      <w:widowControl w:val="0"/>
      <w:pBdr>
        <w:top w:val="nil"/>
        <w:left w:val="nil"/>
        <w:bottom w:val="nil"/>
        <w:right w:val="nil"/>
        <w:between w:val="nil"/>
      </w:pBdr>
      <w:spacing w:after="0" w:line="276" w:lineRule="auto"/>
      <w:jc w:val="left"/>
    </w:pPr>
  </w:p>
  <w:tbl>
    <w:tblPr>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547008" w:rsidRPr="00CB769C" w14:paraId="69F0F6B4" w14:textId="77777777" w:rsidTr="00CB769C">
      <w:trPr>
        <w:trHeight w:val="141"/>
      </w:trPr>
      <w:tc>
        <w:tcPr>
          <w:tcW w:w="2404" w:type="dxa"/>
        </w:tcPr>
        <w:p w14:paraId="184AE7D9" w14:textId="77777777" w:rsidR="00547008" w:rsidRPr="00CB769C" w:rsidRDefault="00547008" w:rsidP="00CB769C">
          <w:pPr>
            <w:tabs>
              <w:tab w:val="right" w:pos="8838"/>
            </w:tabs>
            <w:spacing w:after="0" w:line="240" w:lineRule="auto"/>
            <w:ind w:right="-105"/>
            <w:rPr>
              <w:b/>
            </w:rPr>
          </w:pPr>
          <w:r w:rsidRPr="00CB769C">
            <w:rPr>
              <w:b/>
            </w:rPr>
            <w:t>Recurso de Revisión:</w:t>
          </w:r>
        </w:p>
      </w:tc>
      <w:tc>
        <w:tcPr>
          <w:tcW w:w="3587" w:type="dxa"/>
        </w:tcPr>
        <w:p w14:paraId="0CAD2855" w14:textId="77777777" w:rsidR="00547008" w:rsidRPr="00CB769C" w:rsidRDefault="00547008" w:rsidP="00CB769C">
          <w:pPr>
            <w:tabs>
              <w:tab w:val="right" w:pos="8838"/>
            </w:tabs>
            <w:spacing w:after="0" w:line="240" w:lineRule="auto"/>
            <w:ind w:left="-28" w:right="683"/>
          </w:pPr>
          <w:r w:rsidRPr="00CB769C">
            <w:t>04196/INFOEM/IP/RR/2020</w:t>
          </w:r>
        </w:p>
      </w:tc>
    </w:tr>
    <w:tr w:rsidR="00547008" w:rsidRPr="00CB769C" w14:paraId="585B48EA" w14:textId="77777777" w:rsidTr="00CB769C">
      <w:trPr>
        <w:trHeight w:val="276"/>
      </w:trPr>
      <w:tc>
        <w:tcPr>
          <w:tcW w:w="2404" w:type="dxa"/>
        </w:tcPr>
        <w:p w14:paraId="5C354F93" w14:textId="77777777" w:rsidR="00547008" w:rsidRPr="00CB769C" w:rsidRDefault="00547008" w:rsidP="00CB769C">
          <w:pPr>
            <w:tabs>
              <w:tab w:val="right" w:pos="8838"/>
            </w:tabs>
            <w:spacing w:after="0" w:line="240" w:lineRule="auto"/>
            <w:ind w:right="-105"/>
            <w:rPr>
              <w:b/>
            </w:rPr>
          </w:pPr>
          <w:r w:rsidRPr="00CB769C">
            <w:rPr>
              <w:b/>
            </w:rPr>
            <w:t>Sujeto Obligado:</w:t>
          </w:r>
        </w:p>
      </w:tc>
      <w:tc>
        <w:tcPr>
          <w:tcW w:w="3587" w:type="dxa"/>
        </w:tcPr>
        <w:p w14:paraId="043AA1BC" w14:textId="77777777" w:rsidR="00547008" w:rsidRPr="00CB769C" w:rsidRDefault="00547008" w:rsidP="00CB769C">
          <w:pPr>
            <w:tabs>
              <w:tab w:val="right" w:pos="8838"/>
            </w:tabs>
            <w:spacing w:after="0" w:line="240" w:lineRule="auto"/>
            <w:ind w:right="116"/>
          </w:pPr>
          <w:r w:rsidRPr="00CB769C">
            <w:t>Ayuntamiento de Chapultepec</w:t>
          </w:r>
        </w:p>
      </w:tc>
    </w:tr>
    <w:tr w:rsidR="00547008" w:rsidRPr="00CB769C" w14:paraId="45A3B5BC" w14:textId="77777777" w:rsidTr="00CB769C">
      <w:trPr>
        <w:trHeight w:val="276"/>
      </w:trPr>
      <w:tc>
        <w:tcPr>
          <w:tcW w:w="2404" w:type="dxa"/>
        </w:tcPr>
        <w:p w14:paraId="41092BE0" w14:textId="77777777" w:rsidR="00547008" w:rsidRPr="00CB769C" w:rsidRDefault="00547008" w:rsidP="00CB769C">
          <w:pPr>
            <w:tabs>
              <w:tab w:val="right" w:pos="8838"/>
            </w:tabs>
            <w:spacing w:after="0" w:line="240" w:lineRule="auto"/>
            <w:ind w:right="-105"/>
            <w:rPr>
              <w:b/>
            </w:rPr>
          </w:pPr>
          <w:r w:rsidRPr="00CB769C">
            <w:rPr>
              <w:b/>
            </w:rPr>
            <w:t>Comisionado Ponente:</w:t>
          </w:r>
        </w:p>
      </w:tc>
      <w:tc>
        <w:tcPr>
          <w:tcW w:w="3587" w:type="dxa"/>
        </w:tcPr>
        <w:p w14:paraId="17E4F550" w14:textId="77777777" w:rsidR="00547008" w:rsidRPr="00CB769C" w:rsidRDefault="00547008" w:rsidP="00CB769C">
          <w:pPr>
            <w:tabs>
              <w:tab w:val="right" w:pos="8838"/>
            </w:tabs>
            <w:spacing w:after="0" w:line="240" w:lineRule="auto"/>
            <w:ind w:right="-32"/>
          </w:pPr>
          <w:r w:rsidRPr="00CB769C">
            <w:t>Luis Gustavo Parra Noriega</w:t>
          </w:r>
        </w:p>
      </w:tc>
    </w:tr>
  </w:tbl>
  <w:p w14:paraId="347FC590" w14:textId="77777777" w:rsidR="00547008" w:rsidRDefault="005D6663">
    <w:pPr>
      <w:pBdr>
        <w:top w:val="nil"/>
        <w:left w:val="nil"/>
        <w:bottom w:val="nil"/>
        <w:right w:val="nil"/>
        <w:between w:val="nil"/>
      </w:pBdr>
      <w:tabs>
        <w:tab w:val="center" w:pos="4419"/>
        <w:tab w:val="right" w:pos="8838"/>
      </w:tabs>
      <w:spacing w:after="0" w:line="240" w:lineRule="auto"/>
    </w:pPr>
    <w: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77777777" w:rsidR="00547008" w:rsidRDefault="00547008">
    <w:pPr>
      <w:rPr>
        <w:sz w:val="16"/>
        <w:szCs w:val="16"/>
      </w:rPr>
    </w:pPr>
  </w:p>
  <w:tbl>
    <w:tblPr>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547008" w:rsidRPr="00CB769C" w14:paraId="1A4B8760" w14:textId="77777777" w:rsidTr="00CB769C">
      <w:trPr>
        <w:trHeight w:val="141"/>
      </w:trPr>
      <w:tc>
        <w:tcPr>
          <w:tcW w:w="2409" w:type="dxa"/>
        </w:tcPr>
        <w:p w14:paraId="30D5E307" w14:textId="77777777" w:rsidR="00547008" w:rsidRPr="00CB769C" w:rsidRDefault="00547008" w:rsidP="00CB769C">
          <w:pPr>
            <w:tabs>
              <w:tab w:val="right" w:pos="8838"/>
            </w:tabs>
            <w:spacing w:after="0" w:line="240" w:lineRule="auto"/>
            <w:ind w:left="-395" w:right="-105" w:firstLine="395"/>
            <w:rPr>
              <w:b/>
            </w:rPr>
          </w:pPr>
          <w:r w:rsidRPr="00CB769C">
            <w:rPr>
              <w:b/>
            </w:rPr>
            <w:t>Recurso de Revisión:</w:t>
          </w:r>
        </w:p>
      </w:tc>
      <w:tc>
        <w:tcPr>
          <w:tcW w:w="3686" w:type="dxa"/>
        </w:tcPr>
        <w:p w14:paraId="18734C87" w14:textId="354EB7DB" w:rsidR="00547008" w:rsidRPr="00CB769C" w:rsidRDefault="00547008" w:rsidP="00CB769C">
          <w:pPr>
            <w:tabs>
              <w:tab w:val="right" w:pos="8838"/>
            </w:tabs>
            <w:spacing w:after="0" w:line="240" w:lineRule="auto"/>
            <w:ind w:left="-28" w:right="176"/>
            <w:rPr>
              <w:bCs/>
            </w:rPr>
          </w:pPr>
          <w:r>
            <w:rPr>
              <w:bCs/>
            </w:rPr>
            <w:t>05171</w:t>
          </w:r>
          <w:r w:rsidRPr="00CB769C">
            <w:rPr>
              <w:bCs/>
            </w:rPr>
            <w:t>/INFOEM/IP/RR/2025</w:t>
          </w:r>
        </w:p>
      </w:tc>
    </w:tr>
    <w:tr w:rsidR="00547008" w:rsidRPr="00CB769C" w14:paraId="3AF8AFAF" w14:textId="77777777" w:rsidTr="00CB769C">
      <w:trPr>
        <w:trHeight w:val="276"/>
      </w:trPr>
      <w:tc>
        <w:tcPr>
          <w:tcW w:w="2409" w:type="dxa"/>
        </w:tcPr>
        <w:p w14:paraId="5E95276B" w14:textId="77777777" w:rsidR="00547008" w:rsidRPr="00CB769C" w:rsidRDefault="00547008" w:rsidP="00CB769C">
          <w:pPr>
            <w:tabs>
              <w:tab w:val="right" w:pos="8838"/>
            </w:tabs>
            <w:spacing w:after="0" w:line="240" w:lineRule="auto"/>
            <w:ind w:right="-105"/>
            <w:rPr>
              <w:b/>
            </w:rPr>
          </w:pPr>
          <w:r w:rsidRPr="00CB769C">
            <w:rPr>
              <w:b/>
            </w:rPr>
            <w:t>Sujeto Obligado:</w:t>
          </w:r>
        </w:p>
      </w:tc>
      <w:tc>
        <w:tcPr>
          <w:tcW w:w="3686" w:type="dxa"/>
        </w:tcPr>
        <w:p w14:paraId="1B1620E5" w14:textId="273FC17E" w:rsidR="00547008" w:rsidRPr="00CB769C" w:rsidRDefault="00547008" w:rsidP="00CB769C">
          <w:pPr>
            <w:tabs>
              <w:tab w:val="right" w:pos="8838"/>
            </w:tabs>
            <w:spacing w:after="0" w:line="240" w:lineRule="auto"/>
            <w:ind w:right="33"/>
            <w:rPr>
              <w:bCs/>
            </w:rPr>
          </w:pPr>
          <w:r w:rsidRPr="005269E4">
            <w:rPr>
              <w:bCs/>
            </w:rPr>
            <w:t>Fiscalía General de Justicia del Estado de México</w:t>
          </w:r>
        </w:p>
      </w:tc>
    </w:tr>
    <w:tr w:rsidR="00547008" w:rsidRPr="00CB769C" w14:paraId="5F7118BF" w14:textId="77777777" w:rsidTr="00CB769C">
      <w:trPr>
        <w:trHeight w:val="276"/>
      </w:trPr>
      <w:tc>
        <w:tcPr>
          <w:tcW w:w="2409" w:type="dxa"/>
        </w:tcPr>
        <w:p w14:paraId="717892C8" w14:textId="77777777" w:rsidR="00547008" w:rsidRPr="00CB769C" w:rsidRDefault="00547008" w:rsidP="00CB769C">
          <w:pPr>
            <w:tabs>
              <w:tab w:val="right" w:pos="8838"/>
            </w:tabs>
            <w:spacing w:after="0" w:line="240" w:lineRule="auto"/>
            <w:ind w:right="-105"/>
            <w:rPr>
              <w:b/>
            </w:rPr>
          </w:pPr>
          <w:r w:rsidRPr="00CB769C">
            <w:rPr>
              <w:b/>
            </w:rPr>
            <w:t>Comisionado Ponente:</w:t>
          </w:r>
        </w:p>
      </w:tc>
      <w:tc>
        <w:tcPr>
          <w:tcW w:w="3686" w:type="dxa"/>
        </w:tcPr>
        <w:p w14:paraId="3205E396" w14:textId="77777777" w:rsidR="00547008" w:rsidRPr="00CB769C" w:rsidRDefault="00547008" w:rsidP="00CB769C">
          <w:pPr>
            <w:tabs>
              <w:tab w:val="right" w:pos="8838"/>
            </w:tabs>
            <w:spacing w:after="0" w:line="240" w:lineRule="auto"/>
            <w:ind w:right="176"/>
          </w:pPr>
          <w:r w:rsidRPr="00CB769C">
            <w:t>Luis Gustavo Parra Noriega</w:t>
          </w:r>
        </w:p>
        <w:p w14:paraId="39A3E410" w14:textId="77777777" w:rsidR="00547008" w:rsidRPr="00CB769C" w:rsidRDefault="00547008" w:rsidP="00CB769C">
          <w:pPr>
            <w:tabs>
              <w:tab w:val="right" w:pos="8838"/>
            </w:tabs>
            <w:spacing w:after="0" w:line="240" w:lineRule="auto"/>
            <w:ind w:right="176"/>
          </w:pPr>
        </w:p>
      </w:tc>
    </w:tr>
  </w:tbl>
  <w:p w14:paraId="10CF368D" w14:textId="77777777" w:rsidR="00547008" w:rsidRDefault="005D6663">
    <w:pPr>
      <w:pBdr>
        <w:top w:val="nil"/>
        <w:left w:val="nil"/>
        <w:bottom w:val="nil"/>
        <w:right w:val="nil"/>
        <w:between w:val="nil"/>
      </w:pBdr>
      <w:tabs>
        <w:tab w:val="center" w:pos="4419"/>
        <w:tab w:val="right" w:pos="8838"/>
      </w:tabs>
      <w:spacing w:after="0" w:line="240" w:lineRule="auto"/>
    </w:pPr>
    <w: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3CEB" w14:textId="1B4F110A" w:rsidR="00547008" w:rsidRDefault="00547008">
    <w:pPr>
      <w:widowControl w:val="0"/>
      <w:pBdr>
        <w:top w:val="nil"/>
        <w:left w:val="nil"/>
        <w:bottom w:val="nil"/>
        <w:right w:val="nil"/>
        <w:between w:val="nil"/>
      </w:pBdr>
      <w:spacing w:after="0" w:line="276" w:lineRule="auto"/>
      <w:jc w:val="left"/>
    </w:pPr>
  </w:p>
  <w:tbl>
    <w:tblPr>
      <w:tblW w:w="9214" w:type="dxa"/>
      <w:tblLayout w:type="fixed"/>
      <w:tblLook w:val="0400" w:firstRow="0" w:lastRow="0" w:firstColumn="0" w:lastColumn="0" w:noHBand="0" w:noVBand="1"/>
    </w:tblPr>
    <w:tblGrid>
      <w:gridCol w:w="2127"/>
      <w:gridCol w:w="7087"/>
    </w:tblGrid>
    <w:tr w:rsidR="00547008" w:rsidRPr="00CB769C" w14:paraId="08481A56" w14:textId="77777777" w:rsidTr="00CB769C">
      <w:trPr>
        <w:trHeight w:val="1546"/>
      </w:trPr>
      <w:tc>
        <w:tcPr>
          <w:tcW w:w="2127" w:type="dxa"/>
        </w:tcPr>
        <w:p w14:paraId="15DDC6A9" w14:textId="77777777" w:rsidR="00547008" w:rsidRPr="00CB769C" w:rsidRDefault="00547008" w:rsidP="00CB769C">
          <w:pPr>
            <w:tabs>
              <w:tab w:val="right" w:pos="4273"/>
            </w:tabs>
            <w:spacing w:after="0" w:line="240" w:lineRule="auto"/>
            <w:rPr>
              <w:rFonts w:ascii="Garamond" w:eastAsia="Garamond" w:hAnsi="Garamond" w:cs="Garamond"/>
              <w:sz w:val="16"/>
              <w:szCs w:val="16"/>
            </w:rPr>
          </w:pPr>
        </w:p>
      </w:tc>
      <w:tc>
        <w:tcPr>
          <w:tcW w:w="7087" w:type="dxa"/>
        </w:tcPr>
        <w:p w14:paraId="781AF937" w14:textId="77777777" w:rsidR="00547008" w:rsidRPr="00CB769C" w:rsidRDefault="00547008" w:rsidP="00CB769C">
          <w:pPr>
            <w:spacing w:after="0" w:line="240" w:lineRule="auto"/>
            <w:rPr>
              <w:sz w:val="10"/>
              <w:szCs w:val="10"/>
            </w:rPr>
          </w:pPr>
        </w:p>
        <w:tbl>
          <w:tblPr>
            <w:tblW w:w="5812" w:type="dxa"/>
            <w:tblInd w:w="1167" w:type="dxa"/>
            <w:tblLayout w:type="fixed"/>
            <w:tblLook w:val="0400" w:firstRow="0" w:lastRow="0" w:firstColumn="0" w:lastColumn="0" w:noHBand="0" w:noVBand="1"/>
          </w:tblPr>
          <w:tblGrid>
            <w:gridCol w:w="2440"/>
            <w:gridCol w:w="3372"/>
          </w:tblGrid>
          <w:tr w:rsidR="00547008" w:rsidRPr="00CB769C" w14:paraId="7AACBD28" w14:textId="77777777" w:rsidTr="00CB769C">
            <w:trPr>
              <w:trHeight w:val="427"/>
            </w:trPr>
            <w:tc>
              <w:tcPr>
                <w:tcW w:w="2440" w:type="dxa"/>
                <w:vAlign w:val="bottom"/>
              </w:tcPr>
              <w:p w14:paraId="3DD7992F" w14:textId="64BCA500" w:rsidR="00547008" w:rsidRPr="00CB769C" w:rsidRDefault="00547008" w:rsidP="00CB769C">
                <w:pPr>
                  <w:tabs>
                    <w:tab w:val="right" w:pos="8838"/>
                  </w:tabs>
                  <w:spacing w:after="0" w:line="240" w:lineRule="auto"/>
                  <w:ind w:right="-105"/>
                  <w:rPr>
                    <w:b/>
                  </w:rPr>
                </w:pPr>
                <w:r w:rsidRPr="00CB769C">
                  <w:rPr>
                    <w:b/>
                  </w:rPr>
                  <w:t>Recurso de Revisión:</w:t>
                </w:r>
              </w:p>
            </w:tc>
            <w:tc>
              <w:tcPr>
                <w:tcW w:w="3372" w:type="dxa"/>
              </w:tcPr>
              <w:p w14:paraId="131C70A0" w14:textId="77777777" w:rsidR="00547008" w:rsidRPr="00CB769C" w:rsidRDefault="00547008" w:rsidP="00CB769C">
                <w:pPr>
                  <w:tabs>
                    <w:tab w:val="right" w:pos="8838"/>
                  </w:tabs>
                  <w:spacing w:after="0" w:line="240" w:lineRule="auto"/>
                  <w:ind w:left="-28" w:right="-107"/>
                  <w:rPr>
                    <w:bCs/>
                  </w:rPr>
                </w:pPr>
              </w:p>
              <w:p w14:paraId="451967B7" w14:textId="3C125C04" w:rsidR="00547008" w:rsidRPr="00CB769C" w:rsidRDefault="00547008" w:rsidP="00CB769C">
                <w:pPr>
                  <w:tabs>
                    <w:tab w:val="right" w:pos="8838"/>
                  </w:tabs>
                  <w:spacing w:after="0" w:line="240" w:lineRule="auto"/>
                  <w:ind w:left="-28" w:right="-107"/>
                  <w:rPr>
                    <w:bCs/>
                  </w:rPr>
                </w:pPr>
                <w:r>
                  <w:rPr>
                    <w:bCs/>
                  </w:rPr>
                  <w:t>05171</w:t>
                </w:r>
                <w:r w:rsidRPr="00CB769C">
                  <w:rPr>
                    <w:bCs/>
                  </w:rPr>
                  <w:t>/INFOEM/IP/RR/2025</w:t>
                </w:r>
              </w:p>
            </w:tc>
          </w:tr>
          <w:tr w:rsidR="00547008" w:rsidRPr="00CB769C" w14:paraId="2DC4423D" w14:textId="77777777" w:rsidTr="00CB769C">
            <w:trPr>
              <w:trHeight w:val="141"/>
            </w:trPr>
            <w:tc>
              <w:tcPr>
                <w:tcW w:w="2440" w:type="dxa"/>
              </w:tcPr>
              <w:p w14:paraId="4FE19407" w14:textId="77777777" w:rsidR="00547008" w:rsidRPr="00CB769C" w:rsidRDefault="00547008" w:rsidP="00CB769C">
                <w:pPr>
                  <w:tabs>
                    <w:tab w:val="right" w:pos="8838"/>
                  </w:tabs>
                  <w:spacing w:after="0" w:line="240" w:lineRule="auto"/>
                  <w:ind w:right="-105"/>
                  <w:rPr>
                    <w:b/>
                  </w:rPr>
                </w:pPr>
                <w:r w:rsidRPr="00CB769C">
                  <w:rPr>
                    <w:b/>
                  </w:rPr>
                  <w:t>Recurrente:</w:t>
                </w:r>
              </w:p>
            </w:tc>
            <w:tc>
              <w:tcPr>
                <w:tcW w:w="3372" w:type="dxa"/>
              </w:tcPr>
              <w:p w14:paraId="1BF8AAFC" w14:textId="53A2742B" w:rsidR="00547008" w:rsidRPr="00CB769C" w:rsidRDefault="0017768A" w:rsidP="00CB769C">
                <w:pPr>
                  <w:tabs>
                    <w:tab w:val="right" w:pos="8838"/>
                  </w:tabs>
                  <w:spacing w:after="0" w:line="240" w:lineRule="auto"/>
                  <w:ind w:right="-107"/>
                  <w:rPr>
                    <w:bCs/>
                  </w:rPr>
                </w:pPr>
                <w:r w:rsidRPr="0017768A">
                  <w:rPr>
                    <w:bCs/>
                    <w:highlight w:val="black"/>
                  </w:rPr>
                  <w:t>XXXXXXXXXXXXXXX</w:t>
                </w:r>
              </w:p>
            </w:tc>
          </w:tr>
          <w:tr w:rsidR="00547008" w:rsidRPr="00CB769C" w14:paraId="652B91A8" w14:textId="77777777" w:rsidTr="00CB769C">
            <w:trPr>
              <w:trHeight w:val="276"/>
            </w:trPr>
            <w:tc>
              <w:tcPr>
                <w:tcW w:w="2440" w:type="dxa"/>
              </w:tcPr>
              <w:p w14:paraId="5D2DFCF1" w14:textId="77777777" w:rsidR="00547008" w:rsidRPr="00CB769C" w:rsidRDefault="00547008" w:rsidP="00CB769C">
                <w:pPr>
                  <w:tabs>
                    <w:tab w:val="right" w:pos="8838"/>
                  </w:tabs>
                  <w:spacing w:after="0" w:line="240" w:lineRule="auto"/>
                  <w:ind w:right="-105"/>
                  <w:rPr>
                    <w:b/>
                  </w:rPr>
                </w:pPr>
                <w:r w:rsidRPr="00CB769C">
                  <w:rPr>
                    <w:b/>
                  </w:rPr>
                  <w:t>Sujeto Obligado:</w:t>
                </w:r>
              </w:p>
            </w:tc>
            <w:tc>
              <w:tcPr>
                <w:tcW w:w="3372" w:type="dxa"/>
              </w:tcPr>
              <w:p w14:paraId="484DA123" w14:textId="2E45ACE2" w:rsidR="00547008" w:rsidRPr="00CB769C" w:rsidRDefault="00547008" w:rsidP="00CB769C">
                <w:pPr>
                  <w:tabs>
                    <w:tab w:val="right" w:pos="8838"/>
                  </w:tabs>
                  <w:spacing w:after="0" w:line="240" w:lineRule="auto"/>
                  <w:ind w:right="33"/>
                  <w:rPr>
                    <w:bCs/>
                  </w:rPr>
                </w:pPr>
                <w:r>
                  <w:rPr>
                    <w:bCs/>
                  </w:rPr>
                  <w:t>Fiscalía General de Justicia del Estado de México</w:t>
                </w:r>
              </w:p>
            </w:tc>
          </w:tr>
          <w:tr w:rsidR="00547008" w:rsidRPr="00CB769C" w14:paraId="1D67CCD5" w14:textId="77777777" w:rsidTr="00CB769C">
            <w:trPr>
              <w:trHeight w:val="276"/>
            </w:trPr>
            <w:tc>
              <w:tcPr>
                <w:tcW w:w="2440" w:type="dxa"/>
              </w:tcPr>
              <w:p w14:paraId="537FC0FB" w14:textId="77777777" w:rsidR="00547008" w:rsidRPr="00CB769C" w:rsidRDefault="00547008" w:rsidP="00CB769C">
                <w:pPr>
                  <w:tabs>
                    <w:tab w:val="right" w:pos="8838"/>
                  </w:tabs>
                  <w:spacing w:after="0" w:line="240" w:lineRule="auto"/>
                  <w:ind w:right="-105"/>
                  <w:rPr>
                    <w:b/>
                  </w:rPr>
                </w:pPr>
                <w:r w:rsidRPr="00CB769C">
                  <w:rPr>
                    <w:b/>
                  </w:rPr>
                  <w:t>Comisionado Ponente:</w:t>
                </w:r>
              </w:p>
            </w:tc>
            <w:tc>
              <w:tcPr>
                <w:tcW w:w="3372" w:type="dxa"/>
              </w:tcPr>
              <w:p w14:paraId="671B4D0D" w14:textId="77777777" w:rsidR="00547008" w:rsidRPr="00CB769C" w:rsidRDefault="00547008" w:rsidP="00CB769C">
                <w:pPr>
                  <w:tabs>
                    <w:tab w:val="right" w:pos="8838"/>
                  </w:tabs>
                  <w:spacing w:after="0" w:line="240" w:lineRule="auto"/>
                  <w:ind w:right="-107"/>
                </w:pPr>
                <w:r w:rsidRPr="00CB769C">
                  <w:t>Luis Gustavo Parra Noriega</w:t>
                </w:r>
              </w:p>
            </w:tc>
          </w:tr>
        </w:tbl>
        <w:p w14:paraId="3229CA71" w14:textId="77777777" w:rsidR="00547008" w:rsidRPr="00CB769C" w:rsidRDefault="00547008" w:rsidP="00CB769C">
          <w:pPr>
            <w:tabs>
              <w:tab w:val="right" w:pos="8838"/>
            </w:tabs>
            <w:spacing w:after="0" w:line="240" w:lineRule="auto"/>
            <w:ind w:left="-28"/>
            <w:rPr>
              <w:rFonts w:ascii="Arial" w:eastAsia="Arial" w:hAnsi="Arial" w:cs="Arial"/>
              <w:b/>
            </w:rPr>
          </w:pPr>
        </w:p>
      </w:tc>
    </w:tr>
  </w:tbl>
  <w:p w14:paraId="5126FB15" w14:textId="77777777" w:rsidR="00547008" w:rsidRDefault="005D6663">
    <w:pPr>
      <w:pBdr>
        <w:top w:val="nil"/>
        <w:left w:val="nil"/>
        <w:bottom w:val="nil"/>
        <w:right w:val="nil"/>
        <w:between w:val="nil"/>
      </w:pBdr>
      <w:tabs>
        <w:tab w:val="center" w:pos="4419"/>
        <w:tab w:val="right" w:pos="8838"/>
      </w:tabs>
      <w:spacing w:after="0" w:line="240" w:lineRule="auto"/>
    </w:pPr>
    <w: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15781"/>
    <w:multiLevelType w:val="hybridMultilevel"/>
    <w:tmpl w:val="6DC0E0D4"/>
    <w:lvl w:ilvl="0" w:tplc="3AFA027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AAA3CB9"/>
    <w:multiLevelType w:val="multilevel"/>
    <w:tmpl w:val="A3DA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673DFC"/>
    <w:multiLevelType w:val="hybridMultilevel"/>
    <w:tmpl w:val="6CF464E6"/>
    <w:lvl w:ilvl="0" w:tplc="0CAA2A92">
      <w:start w:val="8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01E0B31"/>
    <w:multiLevelType w:val="hybridMultilevel"/>
    <w:tmpl w:val="E1BA5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F07406"/>
    <w:multiLevelType w:val="hybridMultilevel"/>
    <w:tmpl w:val="C9A2D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FB5F2C"/>
    <w:multiLevelType w:val="multilevel"/>
    <w:tmpl w:val="B15E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756A7"/>
    <w:multiLevelType w:val="hybridMultilevel"/>
    <w:tmpl w:val="C70A5AA8"/>
    <w:lvl w:ilvl="0" w:tplc="C82A9C1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EBD7B00"/>
    <w:multiLevelType w:val="hybridMultilevel"/>
    <w:tmpl w:val="18BC5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F77DCA"/>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8C1F7A"/>
    <w:multiLevelType w:val="hybridMultilevel"/>
    <w:tmpl w:val="05C24EA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A839AF"/>
    <w:multiLevelType w:val="hybridMultilevel"/>
    <w:tmpl w:val="718A189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2C87676B"/>
    <w:multiLevelType w:val="hybridMultilevel"/>
    <w:tmpl w:val="9222A428"/>
    <w:lvl w:ilvl="0" w:tplc="3B32811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DF41842"/>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F57862"/>
    <w:multiLevelType w:val="hybridMultilevel"/>
    <w:tmpl w:val="4D86962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6C15563"/>
    <w:multiLevelType w:val="hybridMultilevel"/>
    <w:tmpl w:val="C70A5AA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046F81"/>
    <w:multiLevelType w:val="hybridMultilevel"/>
    <w:tmpl w:val="EEDAC6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43D92306"/>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C104E4E"/>
    <w:multiLevelType w:val="hybridMultilevel"/>
    <w:tmpl w:val="0410523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4E66E1"/>
    <w:multiLevelType w:val="hybridMultilevel"/>
    <w:tmpl w:val="0F685CC4"/>
    <w:lvl w:ilvl="0" w:tplc="080A000F">
      <w:start w:val="1"/>
      <w:numFmt w:val="decimal"/>
      <w:lvlText w:val="%1."/>
      <w:lvlJc w:val="left"/>
      <w:pPr>
        <w:ind w:left="720" w:hanging="360"/>
      </w:pPr>
      <w:rPr>
        <w:rFonts w:hint="default"/>
      </w:rPr>
    </w:lvl>
    <w:lvl w:ilvl="1" w:tplc="5C6ABE9E">
      <w:start w:val="1"/>
      <w:numFmt w:val="decimal"/>
      <w:lvlText w:val="%2."/>
      <w:lvlJc w:val="left"/>
      <w:pPr>
        <w:ind w:left="1440" w:hanging="360"/>
      </w:pPr>
      <w:rPr>
        <w:rFonts w:ascii="Palatino Linotype" w:eastAsia="Palatino Linotype" w:hAnsi="Palatino Linotype" w:cs="Palatino Linotype"/>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0965070"/>
    <w:multiLevelType w:val="hybridMultilevel"/>
    <w:tmpl w:val="89108B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AF3A10"/>
    <w:multiLevelType w:val="hybridMultilevel"/>
    <w:tmpl w:val="742A13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5C0D1D37"/>
    <w:multiLevelType w:val="hybridMultilevel"/>
    <w:tmpl w:val="A67C8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602ACF"/>
    <w:multiLevelType w:val="hybridMultilevel"/>
    <w:tmpl w:val="E9DEB1D0"/>
    <w:lvl w:ilvl="0" w:tplc="CAE8C324">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7244B4"/>
    <w:multiLevelType w:val="hybridMultilevel"/>
    <w:tmpl w:val="E00E1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8135B99"/>
    <w:multiLevelType w:val="hybridMultilevel"/>
    <w:tmpl w:val="D320154C"/>
    <w:lvl w:ilvl="0" w:tplc="D2B8748E">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1" w15:restartNumberingAfterBreak="0">
    <w:nsid w:val="68B37154"/>
    <w:multiLevelType w:val="hybridMultilevel"/>
    <w:tmpl w:val="DDD01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C1372AB"/>
    <w:multiLevelType w:val="hybridMultilevel"/>
    <w:tmpl w:val="97F4FF36"/>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EAA4513"/>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4" w15:restartNumberingAfterBreak="0">
    <w:nsid w:val="6FAB3F6F"/>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5" w15:restartNumberingAfterBreak="0">
    <w:nsid w:val="74604805"/>
    <w:multiLevelType w:val="multilevel"/>
    <w:tmpl w:val="73E8E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8" w15:restartNumberingAfterBreak="0">
    <w:nsid w:val="7A125FD6"/>
    <w:multiLevelType w:val="hybridMultilevel"/>
    <w:tmpl w:val="D23035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A195112"/>
    <w:multiLevelType w:val="hybridMultilevel"/>
    <w:tmpl w:val="C1C05B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F680447"/>
    <w:multiLevelType w:val="multilevel"/>
    <w:tmpl w:val="A4A2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7"/>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6"/>
  </w:num>
  <w:num w:numId="6">
    <w:abstractNumId w:val="17"/>
  </w:num>
  <w:num w:numId="7">
    <w:abstractNumId w:val="31"/>
  </w:num>
  <w:num w:numId="8">
    <w:abstractNumId w:val="30"/>
  </w:num>
  <w:num w:numId="9">
    <w:abstractNumId w:val="14"/>
  </w:num>
  <w:num w:numId="10">
    <w:abstractNumId w:val="20"/>
  </w:num>
  <w:num w:numId="11">
    <w:abstractNumId w:val="23"/>
  </w:num>
  <w:num w:numId="12">
    <w:abstractNumId w:val="7"/>
  </w:num>
  <w:num w:numId="13">
    <w:abstractNumId w:val="29"/>
  </w:num>
  <w:num w:numId="14">
    <w:abstractNumId w:val="25"/>
  </w:num>
  <w:num w:numId="15">
    <w:abstractNumId w:val="26"/>
  </w:num>
  <w:num w:numId="16">
    <w:abstractNumId w:val="21"/>
  </w:num>
  <w:num w:numId="17">
    <w:abstractNumId w:val="18"/>
  </w:num>
  <w:num w:numId="18">
    <w:abstractNumId w:val="11"/>
  </w:num>
  <w:num w:numId="19">
    <w:abstractNumId w:val="3"/>
  </w:num>
  <w:num w:numId="20">
    <w:abstractNumId w:val="24"/>
  </w:num>
  <w:num w:numId="21">
    <w:abstractNumId w:val="0"/>
  </w:num>
  <w:num w:numId="22">
    <w:abstractNumId w:val="33"/>
  </w:num>
  <w:num w:numId="23">
    <w:abstractNumId w:val="9"/>
  </w:num>
  <w:num w:numId="24">
    <w:abstractNumId w:val="4"/>
  </w:num>
  <w:num w:numId="25">
    <w:abstractNumId w:val="34"/>
  </w:num>
  <w:num w:numId="26">
    <w:abstractNumId w:val="2"/>
  </w:num>
  <w:num w:numId="27">
    <w:abstractNumId w:val="13"/>
  </w:num>
  <w:num w:numId="28">
    <w:abstractNumId w:val="28"/>
  </w:num>
  <w:num w:numId="29">
    <w:abstractNumId w:val="35"/>
  </w:num>
  <w:num w:numId="30">
    <w:abstractNumId w:val="40"/>
  </w:num>
  <w:num w:numId="31">
    <w:abstractNumId w:val="1"/>
  </w:num>
  <w:num w:numId="32">
    <w:abstractNumId w:val="5"/>
  </w:num>
  <w:num w:numId="33">
    <w:abstractNumId w:val="15"/>
  </w:num>
  <w:num w:numId="34">
    <w:abstractNumId w:val="22"/>
  </w:num>
  <w:num w:numId="35">
    <w:abstractNumId w:val="8"/>
  </w:num>
  <w:num w:numId="36">
    <w:abstractNumId w:val="37"/>
  </w:num>
  <w:num w:numId="37">
    <w:abstractNumId w:val="39"/>
  </w:num>
  <w:num w:numId="38">
    <w:abstractNumId w:val="19"/>
  </w:num>
  <w:num w:numId="39">
    <w:abstractNumId w:val="8"/>
  </w:num>
  <w:num w:numId="40">
    <w:abstractNumId w:val="36"/>
  </w:num>
  <w:num w:numId="41">
    <w:abstractNumId w:val="32"/>
  </w:num>
  <w:num w:numId="42">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0BF7"/>
    <w:rsid w:val="00000C6A"/>
    <w:rsid w:val="000014E5"/>
    <w:rsid w:val="00001F9A"/>
    <w:rsid w:val="00002676"/>
    <w:rsid w:val="00002693"/>
    <w:rsid w:val="00005126"/>
    <w:rsid w:val="00006AE3"/>
    <w:rsid w:val="00007712"/>
    <w:rsid w:val="00011280"/>
    <w:rsid w:val="00012F27"/>
    <w:rsid w:val="000159D6"/>
    <w:rsid w:val="00016205"/>
    <w:rsid w:val="00016AAB"/>
    <w:rsid w:val="00017FD2"/>
    <w:rsid w:val="00020EFA"/>
    <w:rsid w:val="00022649"/>
    <w:rsid w:val="00024475"/>
    <w:rsid w:val="00030F11"/>
    <w:rsid w:val="000323A4"/>
    <w:rsid w:val="00033732"/>
    <w:rsid w:val="00033814"/>
    <w:rsid w:val="0003532E"/>
    <w:rsid w:val="00035EC2"/>
    <w:rsid w:val="00036443"/>
    <w:rsid w:val="00036729"/>
    <w:rsid w:val="0004046A"/>
    <w:rsid w:val="00040571"/>
    <w:rsid w:val="00040BF2"/>
    <w:rsid w:val="00040D51"/>
    <w:rsid w:val="00042071"/>
    <w:rsid w:val="000429F0"/>
    <w:rsid w:val="00043410"/>
    <w:rsid w:val="000442D6"/>
    <w:rsid w:val="000455F6"/>
    <w:rsid w:val="0005004E"/>
    <w:rsid w:val="00050C7F"/>
    <w:rsid w:val="00051B30"/>
    <w:rsid w:val="00053C4A"/>
    <w:rsid w:val="00054361"/>
    <w:rsid w:val="00054764"/>
    <w:rsid w:val="00057369"/>
    <w:rsid w:val="000603CA"/>
    <w:rsid w:val="000614AF"/>
    <w:rsid w:val="00067583"/>
    <w:rsid w:val="00070855"/>
    <w:rsid w:val="00070991"/>
    <w:rsid w:val="000712DB"/>
    <w:rsid w:val="00071B2F"/>
    <w:rsid w:val="00071F24"/>
    <w:rsid w:val="00072838"/>
    <w:rsid w:val="00073D4F"/>
    <w:rsid w:val="00076AAF"/>
    <w:rsid w:val="00077951"/>
    <w:rsid w:val="00077C2D"/>
    <w:rsid w:val="00077E24"/>
    <w:rsid w:val="0008027E"/>
    <w:rsid w:val="0008133A"/>
    <w:rsid w:val="00081AA3"/>
    <w:rsid w:val="00086123"/>
    <w:rsid w:val="00086245"/>
    <w:rsid w:val="00086675"/>
    <w:rsid w:val="00087199"/>
    <w:rsid w:val="00090B17"/>
    <w:rsid w:val="000916E9"/>
    <w:rsid w:val="0009215C"/>
    <w:rsid w:val="00093453"/>
    <w:rsid w:val="00094087"/>
    <w:rsid w:val="00095CB7"/>
    <w:rsid w:val="00097AF4"/>
    <w:rsid w:val="00097ED3"/>
    <w:rsid w:val="000A22C9"/>
    <w:rsid w:val="000A588E"/>
    <w:rsid w:val="000B188A"/>
    <w:rsid w:val="000B1BF8"/>
    <w:rsid w:val="000B3C6A"/>
    <w:rsid w:val="000B4C33"/>
    <w:rsid w:val="000B4C47"/>
    <w:rsid w:val="000B6568"/>
    <w:rsid w:val="000B682E"/>
    <w:rsid w:val="000B7C27"/>
    <w:rsid w:val="000C02C8"/>
    <w:rsid w:val="000C0EAA"/>
    <w:rsid w:val="000C28C7"/>
    <w:rsid w:val="000C3256"/>
    <w:rsid w:val="000C3466"/>
    <w:rsid w:val="000C3EC0"/>
    <w:rsid w:val="000C45F2"/>
    <w:rsid w:val="000C4FFD"/>
    <w:rsid w:val="000D0851"/>
    <w:rsid w:val="000D0C8A"/>
    <w:rsid w:val="000D151C"/>
    <w:rsid w:val="000D292D"/>
    <w:rsid w:val="000D2D8C"/>
    <w:rsid w:val="000D2EB5"/>
    <w:rsid w:val="000D3D93"/>
    <w:rsid w:val="000D4494"/>
    <w:rsid w:val="000D4DA4"/>
    <w:rsid w:val="000D6480"/>
    <w:rsid w:val="000D7A7A"/>
    <w:rsid w:val="000D7E7A"/>
    <w:rsid w:val="000E0B48"/>
    <w:rsid w:val="000E101B"/>
    <w:rsid w:val="000E33B6"/>
    <w:rsid w:val="000E4C9C"/>
    <w:rsid w:val="000F11B6"/>
    <w:rsid w:val="000F6D90"/>
    <w:rsid w:val="000F7447"/>
    <w:rsid w:val="000F7723"/>
    <w:rsid w:val="000F7A6E"/>
    <w:rsid w:val="00100298"/>
    <w:rsid w:val="00100323"/>
    <w:rsid w:val="00104219"/>
    <w:rsid w:val="00104335"/>
    <w:rsid w:val="0010487C"/>
    <w:rsid w:val="00106ABB"/>
    <w:rsid w:val="00110A26"/>
    <w:rsid w:val="00110B5D"/>
    <w:rsid w:val="00115051"/>
    <w:rsid w:val="001157F1"/>
    <w:rsid w:val="00116670"/>
    <w:rsid w:val="001172D9"/>
    <w:rsid w:val="001212DE"/>
    <w:rsid w:val="00123CA6"/>
    <w:rsid w:val="001255A2"/>
    <w:rsid w:val="00127F06"/>
    <w:rsid w:val="001356BD"/>
    <w:rsid w:val="001360C1"/>
    <w:rsid w:val="001409AF"/>
    <w:rsid w:val="0014103F"/>
    <w:rsid w:val="00141727"/>
    <w:rsid w:val="00142698"/>
    <w:rsid w:val="00142E20"/>
    <w:rsid w:val="001437ED"/>
    <w:rsid w:val="00144AD4"/>
    <w:rsid w:val="00145151"/>
    <w:rsid w:val="001458E9"/>
    <w:rsid w:val="00147232"/>
    <w:rsid w:val="001516B9"/>
    <w:rsid w:val="00151A25"/>
    <w:rsid w:val="0015395C"/>
    <w:rsid w:val="00155454"/>
    <w:rsid w:val="001565D6"/>
    <w:rsid w:val="001572EC"/>
    <w:rsid w:val="001607F5"/>
    <w:rsid w:val="001613B7"/>
    <w:rsid w:val="001622DB"/>
    <w:rsid w:val="00162CD9"/>
    <w:rsid w:val="00166288"/>
    <w:rsid w:val="00167A71"/>
    <w:rsid w:val="00171129"/>
    <w:rsid w:val="001726FF"/>
    <w:rsid w:val="0017378A"/>
    <w:rsid w:val="001740A1"/>
    <w:rsid w:val="00174E61"/>
    <w:rsid w:val="001765B7"/>
    <w:rsid w:val="001766F8"/>
    <w:rsid w:val="00176E12"/>
    <w:rsid w:val="0017768A"/>
    <w:rsid w:val="0018195D"/>
    <w:rsid w:val="001828B9"/>
    <w:rsid w:val="00184219"/>
    <w:rsid w:val="001864D7"/>
    <w:rsid w:val="00187291"/>
    <w:rsid w:val="00187CC3"/>
    <w:rsid w:val="00191826"/>
    <w:rsid w:val="00191DEB"/>
    <w:rsid w:val="0019372B"/>
    <w:rsid w:val="001945B0"/>
    <w:rsid w:val="00194712"/>
    <w:rsid w:val="001A0490"/>
    <w:rsid w:val="001A29F3"/>
    <w:rsid w:val="001A7319"/>
    <w:rsid w:val="001B012C"/>
    <w:rsid w:val="001B11F1"/>
    <w:rsid w:val="001B1961"/>
    <w:rsid w:val="001B42EF"/>
    <w:rsid w:val="001B5C70"/>
    <w:rsid w:val="001B76DB"/>
    <w:rsid w:val="001B7F99"/>
    <w:rsid w:val="001C0303"/>
    <w:rsid w:val="001C0767"/>
    <w:rsid w:val="001C21B5"/>
    <w:rsid w:val="001C35EF"/>
    <w:rsid w:val="001C476E"/>
    <w:rsid w:val="001C7057"/>
    <w:rsid w:val="001C70FE"/>
    <w:rsid w:val="001C7109"/>
    <w:rsid w:val="001C76D3"/>
    <w:rsid w:val="001D0127"/>
    <w:rsid w:val="001D10AA"/>
    <w:rsid w:val="001D2734"/>
    <w:rsid w:val="001D2B09"/>
    <w:rsid w:val="001D2D20"/>
    <w:rsid w:val="001D3217"/>
    <w:rsid w:val="001D4C3D"/>
    <w:rsid w:val="001D5742"/>
    <w:rsid w:val="001D6250"/>
    <w:rsid w:val="001D65E7"/>
    <w:rsid w:val="001E1EB5"/>
    <w:rsid w:val="001E2B81"/>
    <w:rsid w:val="001E32EA"/>
    <w:rsid w:val="001E365F"/>
    <w:rsid w:val="001E4C03"/>
    <w:rsid w:val="001E557A"/>
    <w:rsid w:val="001E7D58"/>
    <w:rsid w:val="001F001A"/>
    <w:rsid w:val="001F273F"/>
    <w:rsid w:val="001F45AD"/>
    <w:rsid w:val="001F4E50"/>
    <w:rsid w:val="002009EA"/>
    <w:rsid w:val="00200AB4"/>
    <w:rsid w:val="00200DBB"/>
    <w:rsid w:val="002010CF"/>
    <w:rsid w:val="00201FEC"/>
    <w:rsid w:val="00202FBA"/>
    <w:rsid w:val="00203679"/>
    <w:rsid w:val="00203DB3"/>
    <w:rsid w:val="00207006"/>
    <w:rsid w:val="0021075A"/>
    <w:rsid w:val="00211B14"/>
    <w:rsid w:val="00211EC4"/>
    <w:rsid w:val="00213149"/>
    <w:rsid w:val="002139F0"/>
    <w:rsid w:val="00213E23"/>
    <w:rsid w:val="00214031"/>
    <w:rsid w:val="00216FAF"/>
    <w:rsid w:val="00220CA2"/>
    <w:rsid w:val="00224433"/>
    <w:rsid w:val="00226442"/>
    <w:rsid w:val="00230315"/>
    <w:rsid w:val="00230E1D"/>
    <w:rsid w:val="00231732"/>
    <w:rsid w:val="00231873"/>
    <w:rsid w:val="002333F2"/>
    <w:rsid w:val="002336BF"/>
    <w:rsid w:val="00233734"/>
    <w:rsid w:val="0023770B"/>
    <w:rsid w:val="002420C9"/>
    <w:rsid w:val="002435A8"/>
    <w:rsid w:val="0024408E"/>
    <w:rsid w:val="00244E50"/>
    <w:rsid w:val="00247AB1"/>
    <w:rsid w:val="00250EF0"/>
    <w:rsid w:val="002510C0"/>
    <w:rsid w:val="00254B50"/>
    <w:rsid w:val="002556F9"/>
    <w:rsid w:val="002578AD"/>
    <w:rsid w:val="00257C30"/>
    <w:rsid w:val="00257FCA"/>
    <w:rsid w:val="00263DA0"/>
    <w:rsid w:val="00264C12"/>
    <w:rsid w:val="002655F0"/>
    <w:rsid w:val="00265DE1"/>
    <w:rsid w:val="00266F61"/>
    <w:rsid w:val="0026768F"/>
    <w:rsid w:val="00267779"/>
    <w:rsid w:val="00267C7B"/>
    <w:rsid w:val="0027000F"/>
    <w:rsid w:val="002703EC"/>
    <w:rsid w:val="0027143D"/>
    <w:rsid w:val="002724C4"/>
    <w:rsid w:val="00272868"/>
    <w:rsid w:val="0027295C"/>
    <w:rsid w:val="00273D38"/>
    <w:rsid w:val="002750AD"/>
    <w:rsid w:val="0027683A"/>
    <w:rsid w:val="00276F0F"/>
    <w:rsid w:val="00277C4F"/>
    <w:rsid w:val="00280F91"/>
    <w:rsid w:val="00281137"/>
    <w:rsid w:val="00281598"/>
    <w:rsid w:val="00281B00"/>
    <w:rsid w:val="00282005"/>
    <w:rsid w:val="002822E0"/>
    <w:rsid w:val="00282626"/>
    <w:rsid w:val="00284C35"/>
    <w:rsid w:val="00285A95"/>
    <w:rsid w:val="00287A20"/>
    <w:rsid w:val="00290E17"/>
    <w:rsid w:val="00292577"/>
    <w:rsid w:val="0029555D"/>
    <w:rsid w:val="00295A1D"/>
    <w:rsid w:val="00296D43"/>
    <w:rsid w:val="002A09EB"/>
    <w:rsid w:val="002A12CF"/>
    <w:rsid w:val="002A1557"/>
    <w:rsid w:val="002A41B2"/>
    <w:rsid w:val="002A47FB"/>
    <w:rsid w:val="002A574B"/>
    <w:rsid w:val="002A7A68"/>
    <w:rsid w:val="002B134F"/>
    <w:rsid w:val="002B27E2"/>
    <w:rsid w:val="002B2CAC"/>
    <w:rsid w:val="002B2D42"/>
    <w:rsid w:val="002B35EF"/>
    <w:rsid w:val="002B40F4"/>
    <w:rsid w:val="002B6540"/>
    <w:rsid w:val="002C02A3"/>
    <w:rsid w:val="002C0942"/>
    <w:rsid w:val="002C24C9"/>
    <w:rsid w:val="002C36C7"/>
    <w:rsid w:val="002C3E61"/>
    <w:rsid w:val="002C44E9"/>
    <w:rsid w:val="002C7DF7"/>
    <w:rsid w:val="002D039D"/>
    <w:rsid w:val="002D04B1"/>
    <w:rsid w:val="002D05EF"/>
    <w:rsid w:val="002D1027"/>
    <w:rsid w:val="002D22DA"/>
    <w:rsid w:val="002D255B"/>
    <w:rsid w:val="002D7BA9"/>
    <w:rsid w:val="002E0161"/>
    <w:rsid w:val="002E0A51"/>
    <w:rsid w:val="002E193F"/>
    <w:rsid w:val="002E3E0D"/>
    <w:rsid w:val="002E3F7F"/>
    <w:rsid w:val="002F1530"/>
    <w:rsid w:val="002F21D6"/>
    <w:rsid w:val="002F24F6"/>
    <w:rsid w:val="002F2656"/>
    <w:rsid w:val="002F3600"/>
    <w:rsid w:val="002F41EA"/>
    <w:rsid w:val="002F4D94"/>
    <w:rsid w:val="002F6BF4"/>
    <w:rsid w:val="002F75C1"/>
    <w:rsid w:val="0030025C"/>
    <w:rsid w:val="003033D5"/>
    <w:rsid w:val="00307183"/>
    <w:rsid w:val="00313AD4"/>
    <w:rsid w:val="003145F2"/>
    <w:rsid w:val="003146ED"/>
    <w:rsid w:val="0031715C"/>
    <w:rsid w:val="00320206"/>
    <w:rsid w:val="00321100"/>
    <w:rsid w:val="00323374"/>
    <w:rsid w:val="00325343"/>
    <w:rsid w:val="00326131"/>
    <w:rsid w:val="00326691"/>
    <w:rsid w:val="00327AD1"/>
    <w:rsid w:val="00331211"/>
    <w:rsid w:val="00332451"/>
    <w:rsid w:val="0033283A"/>
    <w:rsid w:val="0033300F"/>
    <w:rsid w:val="0033352E"/>
    <w:rsid w:val="0033376A"/>
    <w:rsid w:val="00333903"/>
    <w:rsid w:val="00334F9E"/>
    <w:rsid w:val="00335732"/>
    <w:rsid w:val="00335ABB"/>
    <w:rsid w:val="00335CAD"/>
    <w:rsid w:val="0033648E"/>
    <w:rsid w:val="0033784A"/>
    <w:rsid w:val="00337EAE"/>
    <w:rsid w:val="003415A3"/>
    <w:rsid w:val="0034314B"/>
    <w:rsid w:val="00343967"/>
    <w:rsid w:val="003468C2"/>
    <w:rsid w:val="00347923"/>
    <w:rsid w:val="00350B96"/>
    <w:rsid w:val="00352AA4"/>
    <w:rsid w:val="00355047"/>
    <w:rsid w:val="00355592"/>
    <w:rsid w:val="00355982"/>
    <w:rsid w:val="00355F31"/>
    <w:rsid w:val="003563C4"/>
    <w:rsid w:val="003566FE"/>
    <w:rsid w:val="00357668"/>
    <w:rsid w:val="00357873"/>
    <w:rsid w:val="00361A1A"/>
    <w:rsid w:val="00362012"/>
    <w:rsid w:val="00362824"/>
    <w:rsid w:val="00365A82"/>
    <w:rsid w:val="00365DCF"/>
    <w:rsid w:val="003704F8"/>
    <w:rsid w:val="003710AA"/>
    <w:rsid w:val="003711D7"/>
    <w:rsid w:val="00371D39"/>
    <w:rsid w:val="00372691"/>
    <w:rsid w:val="003741E1"/>
    <w:rsid w:val="00375C52"/>
    <w:rsid w:val="00376D9A"/>
    <w:rsid w:val="00376EC1"/>
    <w:rsid w:val="00376EE1"/>
    <w:rsid w:val="003771B3"/>
    <w:rsid w:val="00384B3B"/>
    <w:rsid w:val="0038563B"/>
    <w:rsid w:val="00385FD3"/>
    <w:rsid w:val="003865E1"/>
    <w:rsid w:val="00386A0E"/>
    <w:rsid w:val="00386EB6"/>
    <w:rsid w:val="00387435"/>
    <w:rsid w:val="0039151D"/>
    <w:rsid w:val="00393502"/>
    <w:rsid w:val="0039507D"/>
    <w:rsid w:val="003969AF"/>
    <w:rsid w:val="00396B84"/>
    <w:rsid w:val="00396F67"/>
    <w:rsid w:val="003A087A"/>
    <w:rsid w:val="003A0C53"/>
    <w:rsid w:val="003A0D9A"/>
    <w:rsid w:val="003A3691"/>
    <w:rsid w:val="003A3F7C"/>
    <w:rsid w:val="003A5A68"/>
    <w:rsid w:val="003A7EE8"/>
    <w:rsid w:val="003B083F"/>
    <w:rsid w:val="003B0A4A"/>
    <w:rsid w:val="003B0E25"/>
    <w:rsid w:val="003B4750"/>
    <w:rsid w:val="003B4A7B"/>
    <w:rsid w:val="003B5579"/>
    <w:rsid w:val="003B55F2"/>
    <w:rsid w:val="003B562B"/>
    <w:rsid w:val="003B662C"/>
    <w:rsid w:val="003C047C"/>
    <w:rsid w:val="003C37DE"/>
    <w:rsid w:val="003C59B7"/>
    <w:rsid w:val="003C5D05"/>
    <w:rsid w:val="003C6450"/>
    <w:rsid w:val="003C6811"/>
    <w:rsid w:val="003D0338"/>
    <w:rsid w:val="003D1C40"/>
    <w:rsid w:val="003D2AA1"/>
    <w:rsid w:val="003D2C27"/>
    <w:rsid w:val="003D413C"/>
    <w:rsid w:val="003D5FF7"/>
    <w:rsid w:val="003D60A3"/>
    <w:rsid w:val="003D6258"/>
    <w:rsid w:val="003D7F84"/>
    <w:rsid w:val="003D7F9E"/>
    <w:rsid w:val="003E0901"/>
    <w:rsid w:val="003E0FF4"/>
    <w:rsid w:val="003E2405"/>
    <w:rsid w:val="003E2552"/>
    <w:rsid w:val="003E2598"/>
    <w:rsid w:val="003E2FD3"/>
    <w:rsid w:val="003E43F0"/>
    <w:rsid w:val="003E44FE"/>
    <w:rsid w:val="003E5CBB"/>
    <w:rsid w:val="003E710A"/>
    <w:rsid w:val="003F1921"/>
    <w:rsid w:val="003F287E"/>
    <w:rsid w:val="003F2B28"/>
    <w:rsid w:val="003F3DC8"/>
    <w:rsid w:val="003F447C"/>
    <w:rsid w:val="003F6499"/>
    <w:rsid w:val="003F6656"/>
    <w:rsid w:val="003F672A"/>
    <w:rsid w:val="003F7620"/>
    <w:rsid w:val="003F7831"/>
    <w:rsid w:val="003F7D6D"/>
    <w:rsid w:val="004002A3"/>
    <w:rsid w:val="0040136C"/>
    <w:rsid w:val="00401822"/>
    <w:rsid w:val="0040420C"/>
    <w:rsid w:val="00406172"/>
    <w:rsid w:val="00410B0C"/>
    <w:rsid w:val="00410D18"/>
    <w:rsid w:val="00411174"/>
    <w:rsid w:val="00411F26"/>
    <w:rsid w:val="00412347"/>
    <w:rsid w:val="00412602"/>
    <w:rsid w:val="004131AE"/>
    <w:rsid w:val="00413A25"/>
    <w:rsid w:val="00414549"/>
    <w:rsid w:val="00416191"/>
    <w:rsid w:val="0041723D"/>
    <w:rsid w:val="00423AEE"/>
    <w:rsid w:val="00431607"/>
    <w:rsid w:val="00431D9F"/>
    <w:rsid w:val="00432104"/>
    <w:rsid w:val="00432243"/>
    <w:rsid w:val="0043281A"/>
    <w:rsid w:val="00435051"/>
    <w:rsid w:val="004362AC"/>
    <w:rsid w:val="00437256"/>
    <w:rsid w:val="00437393"/>
    <w:rsid w:val="004406BB"/>
    <w:rsid w:val="004415C8"/>
    <w:rsid w:val="00442887"/>
    <w:rsid w:val="00445504"/>
    <w:rsid w:val="00446F98"/>
    <w:rsid w:val="004524F7"/>
    <w:rsid w:val="00455C3D"/>
    <w:rsid w:val="004565A6"/>
    <w:rsid w:val="00457D68"/>
    <w:rsid w:val="0046166D"/>
    <w:rsid w:val="00462515"/>
    <w:rsid w:val="00463A2D"/>
    <w:rsid w:val="00465270"/>
    <w:rsid w:val="00466865"/>
    <w:rsid w:val="00466C03"/>
    <w:rsid w:val="00466D16"/>
    <w:rsid w:val="00470EC8"/>
    <w:rsid w:val="004723CE"/>
    <w:rsid w:val="004723FA"/>
    <w:rsid w:val="004728CC"/>
    <w:rsid w:val="00474CC3"/>
    <w:rsid w:val="004757E7"/>
    <w:rsid w:val="00480E94"/>
    <w:rsid w:val="0048377C"/>
    <w:rsid w:val="00484AF2"/>
    <w:rsid w:val="00485F96"/>
    <w:rsid w:val="00491E7A"/>
    <w:rsid w:val="00492B82"/>
    <w:rsid w:val="00494509"/>
    <w:rsid w:val="00494CCA"/>
    <w:rsid w:val="00495446"/>
    <w:rsid w:val="004959F6"/>
    <w:rsid w:val="00495FE0"/>
    <w:rsid w:val="004A1FAC"/>
    <w:rsid w:val="004A26D6"/>
    <w:rsid w:val="004A2EB9"/>
    <w:rsid w:val="004A3239"/>
    <w:rsid w:val="004A36F0"/>
    <w:rsid w:val="004A3829"/>
    <w:rsid w:val="004A485A"/>
    <w:rsid w:val="004A6114"/>
    <w:rsid w:val="004A6291"/>
    <w:rsid w:val="004A723E"/>
    <w:rsid w:val="004A7749"/>
    <w:rsid w:val="004B2DC7"/>
    <w:rsid w:val="004B3A84"/>
    <w:rsid w:val="004B42D4"/>
    <w:rsid w:val="004B4D1A"/>
    <w:rsid w:val="004B4EAF"/>
    <w:rsid w:val="004B53BE"/>
    <w:rsid w:val="004B5AB1"/>
    <w:rsid w:val="004B5CCF"/>
    <w:rsid w:val="004B68C5"/>
    <w:rsid w:val="004C039C"/>
    <w:rsid w:val="004C1CD8"/>
    <w:rsid w:val="004C1EE4"/>
    <w:rsid w:val="004C288B"/>
    <w:rsid w:val="004C5B61"/>
    <w:rsid w:val="004C793C"/>
    <w:rsid w:val="004D0850"/>
    <w:rsid w:val="004D0BCB"/>
    <w:rsid w:val="004D169A"/>
    <w:rsid w:val="004D1B25"/>
    <w:rsid w:val="004D3BCD"/>
    <w:rsid w:val="004D3C21"/>
    <w:rsid w:val="004D48D0"/>
    <w:rsid w:val="004D4E44"/>
    <w:rsid w:val="004D50F4"/>
    <w:rsid w:val="004D618A"/>
    <w:rsid w:val="004D707D"/>
    <w:rsid w:val="004D790B"/>
    <w:rsid w:val="004E26EE"/>
    <w:rsid w:val="004E44ED"/>
    <w:rsid w:val="004E4F4E"/>
    <w:rsid w:val="004E724F"/>
    <w:rsid w:val="004F0A7B"/>
    <w:rsid w:val="004F1501"/>
    <w:rsid w:val="004F19D6"/>
    <w:rsid w:val="004F24C6"/>
    <w:rsid w:val="004F2D3D"/>
    <w:rsid w:val="004F3E30"/>
    <w:rsid w:val="004F50CF"/>
    <w:rsid w:val="00500362"/>
    <w:rsid w:val="005007FD"/>
    <w:rsid w:val="00503185"/>
    <w:rsid w:val="005032CB"/>
    <w:rsid w:val="0050346B"/>
    <w:rsid w:val="00506CA9"/>
    <w:rsid w:val="0051008D"/>
    <w:rsid w:val="00511640"/>
    <w:rsid w:val="00512E7F"/>
    <w:rsid w:val="005140E0"/>
    <w:rsid w:val="0051490C"/>
    <w:rsid w:val="00514DE7"/>
    <w:rsid w:val="00514F58"/>
    <w:rsid w:val="00515CDD"/>
    <w:rsid w:val="005163C8"/>
    <w:rsid w:val="005167D6"/>
    <w:rsid w:val="00516DF2"/>
    <w:rsid w:val="005179DF"/>
    <w:rsid w:val="0052044B"/>
    <w:rsid w:val="00522506"/>
    <w:rsid w:val="0052327D"/>
    <w:rsid w:val="005232E8"/>
    <w:rsid w:val="00523454"/>
    <w:rsid w:val="005253C9"/>
    <w:rsid w:val="00525869"/>
    <w:rsid w:val="0052653A"/>
    <w:rsid w:val="005269E4"/>
    <w:rsid w:val="00526EC7"/>
    <w:rsid w:val="00532195"/>
    <w:rsid w:val="0053316A"/>
    <w:rsid w:val="00534024"/>
    <w:rsid w:val="00534123"/>
    <w:rsid w:val="005348CC"/>
    <w:rsid w:val="00535437"/>
    <w:rsid w:val="00535A90"/>
    <w:rsid w:val="00536233"/>
    <w:rsid w:val="00540D39"/>
    <w:rsid w:val="0054250A"/>
    <w:rsid w:val="005427E5"/>
    <w:rsid w:val="00543704"/>
    <w:rsid w:val="00546D45"/>
    <w:rsid w:val="00547008"/>
    <w:rsid w:val="00550FB3"/>
    <w:rsid w:val="005522DB"/>
    <w:rsid w:val="0055478D"/>
    <w:rsid w:val="005553C7"/>
    <w:rsid w:val="00556A49"/>
    <w:rsid w:val="00560A3A"/>
    <w:rsid w:val="00560E4D"/>
    <w:rsid w:val="005611FB"/>
    <w:rsid w:val="00563D7F"/>
    <w:rsid w:val="005654A3"/>
    <w:rsid w:val="00566D1B"/>
    <w:rsid w:val="0056724F"/>
    <w:rsid w:val="005676C2"/>
    <w:rsid w:val="00567EDE"/>
    <w:rsid w:val="005703ED"/>
    <w:rsid w:val="00570BE2"/>
    <w:rsid w:val="005745C6"/>
    <w:rsid w:val="00574BBA"/>
    <w:rsid w:val="00576199"/>
    <w:rsid w:val="00576487"/>
    <w:rsid w:val="00580754"/>
    <w:rsid w:val="005816D3"/>
    <w:rsid w:val="0058219B"/>
    <w:rsid w:val="0058222D"/>
    <w:rsid w:val="00582235"/>
    <w:rsid w:val="00582313"/>
    <w:rsid w:val="005825E5"/>
    <w:rsid w:val="00582FD8"/>
    <w:rsid w:val="0058366C"/>
    <w:rsid w:val="0058613D"/>
    <w:rsid w:val="00591F71"/>
    <w:rsid w:val="005933C9"/>
    <w:rsid w:val="0059466F"/>
    <w:rsid w:val="00594F5F"/>
    <w:rsid w:val="0059567F"/>
    <w:rsid w:val="00595C8E"/>
    <w:rsid w:val="00596369"/>
    <w:rsid w:val="00596540"/>
    <w:rsid w:val="005965A6"/>
    <w:rsid w:val="005A1858"/>
    <w:rsid w:val="005A1A24"/>
    <w:rsid w:val="005A1B95"/>
    <w:rsid w:val="005A2920"/>
    <w:rsid w:val="005A2F22"/>
    <w:rsid w:val="005A3167"/>
    <w:rsid w:val="005A5922"/>
    <w:rsid w:val="005A5DD3"/>
    <w:rsid w:val="005A7EC9"/>
    <w:rsid w:val="005B2CA5"/>
    <w:rsid w:val="005B3604"/>
    <w:rsid w:val="005B6102"/>
    <w:rsid w:val="005B6857"/>
    <w:rsid w:val="005B75E0"/>
    <w:rsid w:val="005C0557"/>
    <w:rsid w:val="005C0C79"/>
    <w:rsid w:val="005C1393"/>
    <w:rsid w:val="005C1BD0"/>
    <w:rsid w:val="005C326A"/>
    <w:rsid w:val="005C470B"/>
    <w:rsid w:val="005C6FE8"/>
    <w:rsid w:val="005D2452"/>
    <w:rsid w:val="005D2619"/>
    <w:rsid w:val="005D27DB"/>
    <w:rsid w:val="005D3D61"/>
    <w:rsid w:val="005D45EB"/>
    <w:rsid w:val="005D4D0D"/>
    <w:rsid w:val="005D659A"/>
    <w:rsid w:val="005D6663"/>
    <w:rsid w:val="005D6937"/>
    <w:rsid w:val="005D6C25"/>
    <w:rsid w:val="005D6FF7"/>
    <w:rsid w:val="005D7429"/>
    <w:rsid w:val="005D7D68"/>
    <w:rsid w:val="005E0665"/>
    <w:rsid w:val="005E1533"/>
    <w:rsid w:val="005E170E"/>
    <w:rsid w:val="005E1BF5"/>
    <w:rsid w:val="005F5682"/>
    <w:rsid w:val="005F77A5"/>
    <w:rsid w:val="005F7D1B"/>
    <w:rsid w:val="006011B3"/>
    <w:rsid w:val="00601A92"/>
    <w:rsid w:val="0060201C"/>
    <w:rsid w:val="00602079"/>
    <w:rsid w:val="00604BFD"/>
    <w:rsid w:val="00606D43"/>
    <w:rsid w:val="00610AC7"/>
    <w:rsid w:val="0061107D"/>
    <w:rsid w:val="0061226D"/>
    <w:rsid w:val="00612451"/>
    <w:rsid w:val="00614CA8"/>
    <w:rsid w:val="0061734D"/>
    <w:rsid w:val="00621FBC"/>
    <w:rsid w:val="006231DE"/>
    <w:rsid w:val="00625353"/>
    <w:rsid w:val="00626578"/>
    <w:rsid w:val="006267D5"/>
    <w:rsid w:val="00630074"/>
    <w:rsid w:val="00632562"/>
    <w:rsid w:val="00633032"/>
    <w:rsid w:val="00633039"/>
    <w:rsid w:val="006333C7"/>
    <w:rsid w:val="00634591"/>
    <w:rsid w:val="00634BE8"/>
    <w:rsid w:val="00637A76"/>
    <w:rsid w:val="0064044C"/>
    <w:rsid w:val="0064162A"/>
    <w:rsid w:val="006423E7"/>
    <w:rsid w:val="00643290"/>
    <w:rsid w:val="006436A1"/>
    <w:rsid w:val="00643921"/>
    <w:rsid w:val="00644364"/>
    <w:rsid w:val="0064521A"/>
    <w:rsid w:val="00646250"/>
    <w:rsid w:val="00646B4E"/>
    <w:rsid w:val="006537AE"/>
    <w:rsid w:val="00653E5F"/>
    <w:rsid w:val="0066578E"/>
    <w:rsid w:val="00665F94"/>
    <w:rsid w:val="00666941"/>
    <w:rsid w:val="00666D57"/>
    <w:rsid w:val="00667E7C"/>
    <w:rsid w:val="0067084F"/>
    <w:rsid w:val="00671078"/>
    <w:rsid w:val="0067112C"/>
    <w:rsid w:val="00672D05"/>
    <w:rsid w:val="0067427E"/>
    <w:rsid w:val="00675FB2"/>
    <w:rsid w:val="0068007D"/>
    <w:rsid w:val="00680548"/>
    <w:rsid w:val="00680A3C"/>
    <w:rsid w:val="006821D9"/>
    <w:rsid w:val="006822F6"/>
    <w:rsid w:val="00682BAB"/>
    <w:rsid w:val="00683628"/>
    <w:rsid w:val="00683A3D"/>
    <w:rsid w:val="00685E44"/>
    <w:rsid w:val="00690BD4"/>
    <w:rsid w:val="00692BF1"/>
    <w:rsid w:val="00692FCB"/>
    <w:rsid w:val="00693763"/>
    <w:rsid w:val="006941A1"/>
    <w:rsid w:val="006948FF"/>
    <w:rsid w:val="00694C18"/>
    <w:rsid w:val="00696D19"/>
    <w:rsid w:val="00696D23"/>
    <w:rsid w:val="006A0247"/>
    <w:rsid w:val="006A09D7"/>
    <w:rsid w:val="006A190A"/>
    <w:rsid w:val="006A3C18"/>
    <w:rsid w:val="006A476D"/>
    <w:rsid w:val="006B0ABA"/>
    <w:rsid w:val="006B21E5"/>
    <w:rsid w:val="006B420A"/>
    <w:rsid w:val="006B68A1"/>
    <w:rsid w:val="006C033D"/>
    <w:rsid w:val="006C03F9"/>
    <w:rsid w:val="006C0673"/>
    <w:rsid w:val="006C327E"/>
    <w:rsid w:val="006C7A32"/>
    <w:rsid w:val="006D129D"/>
    <w:rsid w:val="006D61F2"/>
    <w:rsid w:val="006D7DE6"/>
    <w:rsid w:val="006E16C7"/>
    <w:rsid w:val="006E1BC4"/>
    <w:rsid w:val="006E24DE"/>
    <w:rsid w:val="006E371F"/>
    <w:rsid w:val="006E3CF7"/>
    <w:rsid w:val="006E7755"/>
    <w:rsid w:val="006F0175"/>
    <w:rsid w:val="006F01A8"/>
    <w:rsid w:val="006F1210"/>
    <w:rsid w:val="006F1518"/>
    <w:rsid w:val="006F39F9"/>
    <w:rsid w:val="006F47F8"/>
    <w:rsid w:val="006F6879"/>
    <w:rsid w:val="006F6C9D"/>
    <w:rsid w:val="006F748A"/>
    <w:rsid w:val="006F7E2D"/>
    <w:rsid w:val="00701511"/>
    <w:rsid w:val="0070341B"/>
    <w:rsid w:val="00703ADD"/>
    <w:rsid w:val="0070647E"/>
    <w:rsid w:val="0070679A"/>
    <w:rsid w:val="00706A72"/>
    <w:rsid w:val="0070747D"/>
    <w:rsid w:val="007108AA"/>
    <w:rsid w:val="00711690"/>
    <w:rsid w:val="0071306D"/>
    <w:rsid w:val="00713E3D"/>
    <w:rsid w:val="007142A6"/>
    <w:rsid w:val="00715D4F"/>
    <w:rsid w:val="0071679F"/>
    <w:rsid w:val="007170B9"/>
    <w:rsid w:val="007170DA"/>
    <w:rsid w:val="007172EA"/>
    <w:rsid w:val="00720FF8"/>
    <w:rsid w:val="0072176F"/>
    <w:rsid w:val="007220ED"/>
    <w:rsid w:val="00722215"/>
    <w:rsid w:val="0072464B"/>
    <w:rsid w:val="00724A12"/>
    <w:rsid w:val="00724F98"/>
    <w:rsid w:val="0072617A"/>
    <w:rsid w:val="007266B1"/>
    <w:rsid w:val="00727F23"/>
    <w:rsid w:val="0073183D"/>
    <w:rsid w:val="0073193C"/>
    <w:rsid w:val="00734A3A"/>
    <w:rsid w:val="00734F83"/>
    <w:rsid w:val="00735ABC"/>
    <w:rsid w:val="00735F03"/>
    <w:rsid w:val="00742F6B"/>
    <w:rsid w:val="00743079"/>
    <w:rsid w:val="007432B0"/>
    <w:rsid w:val="007442D6"/>
    <w:rsid w:val="00746316"/>
    <w:rsid w:val="0075009C"/>
    <w:rsid w:val="007514ED"/>
    <w:rsid w:val="00752BE5"/>
    <w:rsid w:val="00760944"/>
    <w:rsid w:val="007632C7"/>
    <w:rsid w:val="0076395C"/>
    <w:rsid w:val="007641BF"/>
    <w:rsid w:val="0076542C"/>
    <w:rsid w:val="0076743C"/>
    <w:rsid w:val="007726A8"/>
    <w:rsid w:val="00773A53"/>
    <w:rsid w:val="00774452"/>
    <w:rsid w:val="007745F3"/>
    <w:rsid w:val="00777E93"/>
    <w:rsid w:val="00780A5C"/>
    <w:rsid w:val="00781025"/>
    <w:rsid w:val="0078205D"/>
    <w:rsid w:val="0078453A"/>
    <w:rsid w:val="00785447"/>
    <w:rsid w:val="007858E2"/>
    <w:rsid w:val="00785CEA"/>
    <w:rsid w:val="00786B14"/>
    <w:rsid w:val="007875C1"/>
    <w:rsid w:val="0078798B"/>
    <w:rsid w:val="007914F7"/>
    <w:rsid w:val="00791964"/>
    <w:rsid w:val="00792CFF"/>
    <w:rsid w:val="007936C8"/>
    <w:rsid w:val="007963D4"/>
    <w:rsid w:val="007968EC"/>
    <w:rsid w:val="007972EB"/>
    <w:rsid w:val="007978DA"/>
    <w:rsid w:val="007A1A55"/>
    <w:rsid w:val="007A3870"/>
    <w:rsid w:val="007A4692"/>
    <w:rsid w:val="007A65A9"/>
    <w:rsid w:val="007A6DCD"/>
    <w:rsid w:val="007A6F7A"/>
    <w:rsid w:val="007A7E86"/>
    <w:rsid w:val="007B00A7"/>
    <w:rsid w:val="007B026E"/>
    <w:rsid w:val="007B1C41"/>
    <w:rsid w:val="007B241E"/>
    <w:rsid w:val="007B3637"/>
    <w:rsid w:val="007B3D99"/>
    <w:rsid w:val="007B3E44"/>
    <w:rsid w:val="007B3FA7"/>
    <w:rsid w:val="007B4804"/>
    <w:rsid w:val="007B59FE"/>
    <w:rsid w:val="007B5F7B"/>
    <w:rsid w:val="007B67B3"/>
    <w:rsid w:val="007C2BE4"/>
    <w:rsid w:val="007C30DA"/>
    <w:rsid w:val="007C4499"/>
    <w:rsid w:val="007C5722"/>
    <w:rsid w:val="007C6992"/>
    <w:rsid w:val="007D46ED"/>
    <w:rsid w:val="007D57C0"/>
    <w:rsid w:val="007D6985"/>
    <w:rsid w:val="007D72FA"/>
    <w:rsid w:val="007D786E"/>
    <w:rsid w:val="007D7C77"/>
    <w:rsid w:val="007D7F23"/>
    <w:rsid w:val="007E02AB"/>
    <w:rsid w:val="007E27E4"/>
    <w:rsid w:val="007E2D23"/>
    <w:rsid w:val="007E2E9E"/>
    <w:rsid w:val="007E3366"/>
    <w:rsid w:val="007E39EB"/>
    <w:rsid w:val="007F0BC4"/>
    <w:rsid w:val="007F0FD5"/>
    <w:rsid w:val="007F142F"/>
    <w:rsid w:val="007F16C9"/>
    <w:rsid w:val="007F3506"/>
    <w:rsid w:val="008004BA"/>
    <w:rsid w:val="00800606"/>
    <w:rsid w:val="008009DB"/>
    <w:rsid w:val="00800EFB"/>
    <w:rsid w:val="00802C43"/>
    <w:rsid w:val="00805029"/>
    <w:rsid w:val="00805289"/>
    <w:rsid w:val="00806F5B"/>
    <w:rsid w:val="008071B5"/>
    <w:rsid w:val="008109DA"/>
    <w:rsid w:val="008119B2"/>
    <w:rsid w:val="008124F6"/>
    <w:rsid w:val="00812F83"/>
    <w:rsid w:val="0081699D"/>
    <w:rsid w:val="008271C1"/>
    <w:rsid w:val="00827DF0"/>
    <w:rsid w:val="008306F7"/>
    <w:rsid w:val="00830844"/>
    <w:rsid w:val="008327CD"/>
    <w:rsid w:val="008337A4"/>
    <w:rsid w:val="0083385A"/>
    <w:rsid w:val="00835085"/>
    <w:rsid w:val="00836AA2"/>
    <w:rsid w:val="008373AF"/>
    <w:rsid w:val="00837C2A"/>
    <w:rsid w:val="00841AA0"/>
    <w:rsid w:val="00844969"/>
    <w:rsid w:val="00846B16"/>
    <w:rsid w:val="008474CC"/>
    <w:rsid w:val="00847C66"/>
    <w:rsid w:val="00851C44"/>
    <w:rsid w:val="00852FD6"/>
    <w:rsid w:val="008578A4"/>
    <w:rsid w:val="0086184C"/>
    <w:rsid w:val="0086254F"/>
    <w:rsid w:val="008654B4"/>
    <w:rsid w:val="00865FB8"/>
    <w:rsid w:val="00866496"/>
    <w:rsid w:val="0087007B"/>
    <w:rsid w:val="00872666"/>
    <w:rsid w:val="008740B5"/>
    <w:rsid w:val="00880A79"/>
    <w:rsid w:val="00881807"/>
    <w:rsid w:val="00882678"/>
    <w:rsid w:val="00882AED"/>
    <w:rsid w:val="0088304B"/>
    <w:rsid w:val="00883C69"/>
    <w:rsid w:val="008855F3"/>
    <w:rsid w:val="00885F7E"/>
    <w:rsid w:val="008869DA"/>
    <w:rsid w:val="008878EA"/>
    <w:rsid w:val="00890E0A"/>
    <w:rsid w:val="00890F85"/>
    <w:rsid w:val="00891091"/>
    <w:rsid w:val="00892159"/>
    <w:rsid w:val="00892691"/>
    <w:rsid w:val="00892C57"/>
    <w:rsid w:val="008946F6"/>
    <w:rsid w:val="008A027D"/>
    <w:rsid w:val="008A2153"/>
    <w:rsid w:val="008A3357"/>
    <w:rsid w:val="008A34D8"/>
    <w:rsid w:val="008A4FDE"/>
    <w:rsid w:val="008A52B4"/>
    <w:rsid w:val="008A555F"/>
    <w:rsid w:val="008A5BD3"/>
    <w:rsid w:val="008A61C3"/>
    <w:rsid w:val="008A6E7D"/>
    <w:rsid w:val="008A78A8"/>
    <w:rsid w:val="008B0D06"/>
    <w:rsid w:val="008B5FD0"/>
    <w:rsid w:val="008B7A84"/>
    <w:rsid w:val="008C0E14"/>
    <w:rsid w:val="008C175E"/>
    <w:rsid w:val="008C214C"/>
    <w:rsid w:val="008C3F7F"/>
    <w:rsid w:val="008C4A3A"/>
    <w:rsid w:val="008C4C0A"/>
    <w:rsid w:val="008C5395"/>
    <w:rsid w:val="008C695D"/>
    <w:rsid w:val="008D0112"/>
    <w:rsid w:val="008D0B50"/>
    <w:rsid w:val="008D4006"/>
    <w:rsid w:val="008D53C6"/>
    <w:rsid w:val="008D5AB5"/>
    <w:rsid w:val="008D67FA"/>
    <w:rsid w:val="008D6B50"/>
    <w:rsid w:val="008E03DE"/>
    <w:rsid w:val="008E107E"/>
    <w:rsid w:val="008E2ECD"/>
    <w:rsid w:val="008E37D6"/>
    <w:rsid w:val="008E38A2"/>
    <w:rsid w:val="008E51EC"/>
    <w:rsid w:val="008E5294"/>
    <w:rsid w:val="008E65B3"/>
    <w:rsid w:val="008F0AE9"/>
    <w:rsid w:val="008F1E55"/>
    <w:rsid w:val="008F2C72"/>
    <w:rsid w:val="008F54CD"/>
    <w:rsid w:val="00902807"/>
    <w:rsid w:val="009034F5"/>
    <w:rsid w:val="00903BAB"/>
    <w:rsid w:val="00904231"/>
    <w:rsid w:val="00904400"/>
    <w:rsid w:val="009053BD"/>
    <w:rsid w:val="00906FED"/>
    <w:rsid w:val="00907527"/>
    <w:rsid w:val="009116B7"/>
    <w:rsid w:val="00911AEA"/>
    <w:rsid w:val="009123EF"/>
    <w:rsid w:val="00912420"/>
    <w:rsid w:val="0091276B"/>
    <w:rsid w:val="00912B52"/>
    <w:rsid w:val="009132FC"/>
    <w:rsid w:val="00913FE7"/>
    <w:rsid w:val="00920844"/>
    <w:rsid w:val="00921D61"/>
    <w:rsid w:val="009221B3"/>
    <w:rsid w:val="00923E97"/>
    <w:rsid w:val="0092468E"/>
    <w:rsid w:val="00925B46"/>
    <w:rsid w:val="009273AD"/>
    <w:rsid w:val="00927B95"/>
    <w:rsid w:val="00932E96"/>
    <w:rsid w:val="00933631"/>
    <w:rsid w:val="00933859"/>
    <w:rsid w:val="00933C9A"/>
    <w:rsid w:val="009348FD"/>
    <w:rsid w:val="009349CD"/>
    <w:rsid w:val="00935340"/>
    <w:rsid w:val="0093779C"/>
    <w:rsid w:val="00940560"/>
    <w:rsid w:val="00941104"/>
    <w:rsid w:val="0094188F"/>
    <w:rsid w:val="0094484D"/>
    <w:rsid w:val="00945FCC"/>
    <w:rsid w:val="009466FE"/>
    <w:rsid w:val="00946D28"/>
    <w:rsid w:val="00950590"/>
    <w:rsid w:val="0095089C"/>
    <w:rsid w:val="00953F87"/>
    <w:rsid w:val="0095438B"/>
    <w:rsid w:val="00955B88"/>
    <w:rsid w:val="00957101"/>
    <w:rsid w:val="0095797A"/>
    <w:rsid w:val="00957D64"/>
    <w:rsid w:val="0096093E"/>
    <w:rsid w:val="00963164"/>
    <w:rsid w:val="00964D48"/>
    <w:rsid w:val="009679BC"/>
    <w:rsid w:val="00970941"/>
    <w:rsid w:val="00971119"/>
    <w:rsid w:val="00973C0B"/>
    <w:rsid w:val="00974374"/>
    <w:rsid w:val="0097453C"/>
    <w:rsid w:val="009758FB"/>
    <w:rsid w:val="009764AF"/>
    <w:rsid w:val="00977793"/>
    <w:rsid w:val="00977E3C"/>
    <w:rsid w:val="00981EAA"/>
    <w:rsid w:val="009826DC"/>
    <w:rsid w:val="00982B1B"/>
    <w:rsid w:val="00983B7C"/>
    <w:rsid w:val="009864AE"/>
    <w:rsid w:val="0099074A"/>
    <w:rsid w:val="00990A6C"/>
    <w:rsid w:val="00992FCA"/>
    <w:rsid w:val="009934BD"/>
    <w:rsid w:val="009941FB"/>
    <w:rsid w:val="0099458B"/>
    <w:rsid w:val="00994FC1"/>
    <w:rsid w:val="00995973"/>
    <w:rsid w:val="00996046"/>
    <w:rsid w:val="00996276"/>
    <w:rsid w:val="00996971"/>
    <w:rsid w:val="00996E63"/>
    <w:rsid w:val="00997A16"/>
    <w:rsid w:val="00997B68"/>
    <w:rsid w:val="009A0611"/>
    <w:rsid w:val="009A08A1"/>
    <w:rsid w:val="009A7F97"/>
    <w:rsid w:val="009B0FB9"/>
    <w:rsid w:val="009B15BB"/>
    <w:rsid w:val="009B2746"/>
    <w:rsid w:val="009B2931"/>
    <w:rsid w:val="009B2D54"/>
    <w:rsid w:val="009B3D89"/>
    <w:rsid w:val="009B4682"/>
    <w:rsid w:val="009B5891"/>
    <w:rsid w:val="009B6815"/>
    <w:rsid w:val="009B696A"/>
    <w:rsid w:val="009B6C89"/>
    <w:rsid w:val="009B7748"/>
    <w:rsid w:val="009B79FF"/>
    <w:rsid w:val="009C24AE"/>
    <w:rsid w:val="009C2C92"/>
    <w:rsid w:val="009C340D"/>
    <w:rsid w:val="009C38D8"/>
    <w:rsid w:val="009C3931"/>
    <w:rsid w:val="009C4A26"/>
    <w:rsid w:val="009C762A"/>
    <w:rsid w:val="009C7704"/>
    <w:rsid w:val="009D35BB"/>
    <w:rsid w:val="009D381C"/>
    <w:rsid w:val="009D41F1"/>
    <w:rsid w:val="009D42A2"/>
    <w:rsid w:val="009D6EB5"/>
    <w:rsid w:val="009E04B9"/>
    <w:rsid w:val="009E5BDF"/>
    <w:rsid w:val="009F0463"/>
    <w:rsid w:val="009F08D0"/>
    <w:rsid w:val="009F1760"/>
    <w:rsid w:val="009F324B"/>
    <w:rsid w:val="009F329B"/>
    <w:rsid w:val="009F3793"/>
    <w:rsid w:val="009F3865"/>
    <w:rsid w:val="009F4640"/>
    <w:rsid w:val="009F4F36"/>
    <w:rsid w:val="009F64AE"/>
    <w:rsid w:val="00A03CF7"/>
    <w:rsid w:val="00A043B1"/>
    <w:rsid w:val="00A04451"/>
    <w:rsid w:val="00A047B5"/>
    <w:rsid w:val="00A06EE3"/>
    <w:rsid w:val="00A12263"/>
    <w:rsid w:val="00A13965"/>
    <w:rsid w:val="00A14474"/>
    <w:rsid w:val="00A14A52"/>
    <w:rsid w:val="00A16A24"/>
    <w:rsid w:val="00A16A91"/>
    <w:rsid w:val="00A1755F"/>
    <w:rsid w:val="00A175B0"/>
    <w:rsid w:val="00A2035D"/>
    <w:rsid w:val="00A21189"/>
    <w:rsid w:val="00A22EE2"/>
    <w:rsid w:val="00A23027"/>
    <w:rsid w:val="00A235EE"/>
    <w:rsid w:val="00A23859"/>
    <w:rsid w:val="00A24B96"/>
    <w:rsid w:val="00A25776"/>
    <w:rsid w:val="00A25DD5"/>
    <w:rsid w:val="00A30E25"/>
    <w:rsid w:val="00A3261F"/>
    <w:rsid w:val="00A34694"/>
    <w:rsid w:val="00A34E7F"/>
    <w:rsid w:val="00A35D73"/>
    <w:rsid w:val="00A4188E"/>
    <w:rsid w:val="00A43696"/>
    <w:rsid w:val="00A43967"/>
    <w:rsid w:val="00A447E4"/>
    <w:rsid w:val="00A4602B"/>
    <w:rsid w:val="00A463C1"/>
    <w:rsid w:val="00A46BDA"/>
    <w:rsid w:val="00A52829"/>
    <w:rsid w:val="00A5371F"/>
    <w:rsid w:val="00A544DF"/>
    <w:rsid w:val="00A54D4B"/>
    <w:rsid w:val="00A55897"/>
    <w:rsid w:val="00A558FB"/>
    <w:rsid w:val="00A574EE"/>
    <w:rsid w:val="00A608E0"/>
    <w:rsid w:val="00A629E3"/>
    <w:rsid w:val="00A63FA7"/>
    <w:rsid w:val="00A65B07"/>
    <w:rsid w:val="00A669D6"/>
    <w:rsid w:val="00A66CD5"/>
    <w:rsid w:val="00A70593"/>
    <w:rsid w:val="00A7288E"/>
    <w:rsid w:val="00A74191"/>
    <w:rsid w:val="00A763F4"/>
    <w:rsid w:val="00A806BC"/>
    <w:rsid w:val="00A80BB9"/>
    <w:rsid w:val="00A81469"/>
    <w:rsid w:val="00A82083"/>
    <w:rsid w:val="00A8219B"/>
    <w:rsid w:val="00A8241A"/>
    <w:rsid w:val="00A82C61"/>
    <w:rsid w:val="00A85B55"/>
    <w:rsid w:val="00A863F1"/>
    <w:rsid w:val="00A8716D"/>
    <w:rsid w:val="00A90D1F"/>
    <w:rsid w:val="00A91644"/>
    <w:rsid w:val="00A91789"/>
    <w:rsid w:val="00A91972"/>
    <w:rsid w:val="00A927EC"/>
    <w:rsid w:val="00A9350C"/>
    <w:rsid w:val="00A94938"/>
    <w:rsid w:val="00A94A10"/>
    <w:rsid w:val="00A95161"/>
    <w:rsid w:val="00A96310"/>
    <w:rsid w:val="00A96B1B"/>
    <w:rsid w:val="00A976E8"/>
    <w:rsid w:val="00AA1DA0"/>
    <w:rsid w:val="00AA1DE4"/>
    <w:rsid w:val="00AA2A5E"/>
    <w:rsid w:val="00AA2DD4"/>
    <w:rsid w:val="00AA2E07"/>
    <w:rsid w:val="00AA2EB7"/>
    <w:rsid w:val="00AA3D28"/>
    <w:rsid w:val="00AA4FFB"/>
    <w:rsid w:val="00AA6F73"/>
    <w:rsid w:val="00AA7217"/>
    <w:rsid w:val="00AB1374"/>
    <w:rsid w:val="00AB2CEA"/>
    <w:rsid w:val="00AB3146"/>
    <w:rsid w:val="00AB454A"/>
    <w:rsid w:val="00AB4C69"/>
    <w:rsid w:val="00AB52B2"/>
    <w:rsid w:val="00AB5985"/>
    <w:rsid w:val="00AB599B"/>
    <w:rsid w:val="00AC137C"/>
    <w:rsid w:val="00AC23CD"/>
    <w:rsid w:val="00AC2991"/>
    <w:rsid w:val="00AC56B1"/>
    <w:rsid w:val="00AC65DD"/>
    <w:rsid w:val="00AD0F83"/>
    <w:rsid w:val="00AD2028"/>
    <w:rsid w:val="00AD3965"/>
    <w:rsid w:val="00AD4957"/>
    <w:rsid w:val="00AD6765"/>
    <w:rsid w:val="00AE18A4"/>
    <w:rsid w:val="00AE214B"/>
    <w:rsid w:val="00AE3010"/>
    <w:rsid w:val="00AE3FF5"/>
    <w:rsid w:val="00AE4E89"/>
    <w:rsid w:val="00AE5483"/>
    <w:rsid w:val="00AE6B91"/>
    <w:rsid w:val="00AE799B"/>
    <w:rsid w:val="00AE7C8D"/>
    <w:rsid w:val="00AF0FDD"/>
    <w:rsid w:val="00AF1052"/>
    <w:rsid w:val="00AF1EE3"/>
    <w:rsid w:val="00AF1FBA"/>
    <w:rsid w:val="00AF2010"/>
    <w:rsid w:val="00AF2895"/>
    <w:rsid w:val="00AF45A9"/>
    <w:rsid w:val="00AF5B21"/>
    <w:rsid w:val="00AF5E71"/>
    <w:rsid w:val="00B00056"/>
    <w:rsid w:val="00B007DB"/>
    <w:rsid w:val="00B0152D"/>
    <w:rsid w:val="00B02EAC"/>
    <w:rsid w:val="00B04F15"/>
    <w:rsid w:val="00B05430"/>
    <w:rsid w:val="00B05AB1"/>
    <w:rsid w:val="00B0630E"/>
    <w:rsid w:val="00B06E10"/>
    <w:rsid w:val="00B074F1"/>
    <w:rsid w:val="00B07B93"/>
    <w:rsid w:val="00B126A4"/>
    <w:rsid w:val="00B1325E"/>
    <w:rsid w:val="00B1446E"/>
    <w:rsid w:val="00B14ADF"/>
    <w:rsid w:val="00B175F1"/>
    <w:rsid w:val="00B203B7"/>
    <w:rsid w:val="00B20FEB"/>
    <w:rsid w:val="00B23851"/>
    <w:rsid w:val="00B23D99"/>
    <w:rsid w:val="00B250C1"/>
    <w:rsid w:val="00B259C9"/>
    <w:rsid w:val="00B27843"/>
    <w:rsid w:val="00B31F6C"/>
    <w:rsid w:val="00B322C8"/>
    <w:rsid w:val="00B33C04"/>
    <w:rsid w:val="00B33ECA"/>
    <w:rsid w:val="00B344DD"/>
    <w:rsid w:val="00B34EDD"/>
    <w:rsid w:val="00B35198"/>
    <w:rsid w:val="00B404A4"/>
    <w:rsid w:val="00B41767"/>
    <w:rsid w:val="00B41BB0"/>
    <w:rsid w:val="00B41E68"/>
    <w:rsid w:val="00B42154"/>
    <w:rsid w:val="00B4310C"/>
    <w:rsid w:val="00B454D1"/>
    <w:rsid w:val="00B45B5D"/>
    <w:rsid w:val="00B4635E"/>
    <w:rsid w:val="00B478ED"/>
    <w:rsid w:val="00B47D10"/>
    <w:rsid w:val="00B505F1"/>
    <w:rsid w:val="00B5151D"/>
    <w:rsid w:val="00B5433C"/>
    <w:rsid w:val="00B56800"/>
    <w:rsid w:val="00B56B5C"/>
    <w:rsid w:val="00B57633"/>
    <w:rsid w:val="00B61564"/>
    <w:rsid w:val="00B63BE0"/>
    <w:rsid w:val="00B65D9F"/>
    <w:rsid w:val="00B66CC7"/>
    <w:rsid w:val="00B66FB2"/>
    <w:rsid w:val="00B73529"/>
    <w:rsid w:val="00B74952"/>
    <w:rsid w:val="00B762E9"/>
    <w:rsid w:val="00B77611"/>
    <w:rsid w:val="00B802D8"/>
    <w:rsid w:val="00B8070D"/>
    <w:rsid w:val="00B8125F"/>
    <w:rsid w:val="00B81632"/>
    <w:rsid w:val="00B82CC4"/>
    <w:rsid w:val="00B90A50"/>
    <w:rsid w:val="00B92DEC"/>
    <w:rsid w:val="00B93ECB"/>
    <w:rsid w:val="00BA0183"/>
    <w:rsid w:val="00BA1B8C"/>
    <w:rsid w:val="00BA2501"/>
    <w:rsid w:val="00BA3125"/>
    <w:rsid w:val="00BA5D07"/>
    <w:rsid w:val="00BA5F3D"/>
    <w:rsid w:val="00BA60EA"/>
    <w:rsid w:val="00BA6CB1"/>
    <w:rsid w:val="00BB221C"/>
    <w:rsid w:val="00BB6FBD"/>
    <w:rsid w:val="00BC03CE"/>
    <w:rsid w:val="00BC0DE3"/>
    <w:rsid w:val="00BC0F1A"/>
    <w:rsid w:val="00BC29AD"/>
    <w:rsid w:val="00BC39D4"/>
    <w:rsid w:val="00BC44B4"/>
    <w:rsid w:val="00BC4D2E"/>
    <w:rsid w:val="00BC4F5B"/>
    <w:rsid w:val="00BC7C29"/>
    <w:rsid w:val="00BD58D5"/>
    <w:rsid w:val="00BD5E5D"/>
    <w:rsid w:val="00BD619C"/>
    <w:rsid w:val="00BD7922"/>
    <w:rsid w:val="00BE1139"/>
    <w:rsid w:val="00BE1494"/>
    <w:rsid w:val="00BE191B"/>
    <w:rsid w:val="00BE2AB2"/>
    <w:rsid w:val="00BE44F8"/>
    <w:rsid w:val="00BE6F57"/>
    <w:rsid w:val="00BE723F"/>
    <w:rsid w:val="00BE7F77"/>
    <w:rsid w:val="00BF3648"/>
    <w:rsid w:val="00BF4212"/>
    <w:rsid w:val="00BF49D9"/>
    <w:rsid w:val="00BF5CD8"/>
    <w:rsid w:val="00BF652A"/>
    <w:rsid w:val="00BF6AF2"/>
    <w:rsid w:val="00BF71FC"/>
    <w:rsid w:val="00BF7294"/>
    <w:rsid w:val="00BF7908"/>
    <w:rsid w:val="00C014E0"/>
    <w:rsid w:val="00C026DB"/>
    <w:rsid w:val="00C03CB2"/>
    <w:rsid w:val="00C04BE4"/>
    <w:rsid w:val="00C04F5D"/>
    <w:rsid w:val="00C0673E"/>
    <w:rsid w:val="00C06BCE"/>
    <w:rsid w:val="00C06FED"/>
    <w:rsid w:val="00C070C8"/>
    <w:rsid w:val="00C07562"/>
    <w:rsid w:val="00C11014"/>
    <w:rsid w:val="00C12702"/>
    <w:rsid w:val="00C1346F"/>
    <w:rsid w:val="00C140EE"/>
    <w:rsid w:val="00C16CD2"/>
    <w:rsid w:val="00C16CD6"/>
    <w:rsid w:val="00C20169"/>
    <w:rsid w:val="00C2162B"/>
    <w:rsid w:val="00C22BB7"/>
    <w:rsid w:val="00C26B11"/>
    <w:rsid w:val="00C27BC4"/>
    <w:rsid w:val="00C317E1"/>
    <w:rsid w:val="00C3218D"/>
    <w:rsid w:val="00C329C1"/>
    <w:rsid w:val="00C36EB5"/>
    <w:rsid w:val="00C37198"/>
    <w:rsid w:val="00C37631"/>
    <w:rsid w:val="00C4226D"/>
    <w:rsid w:val="00C434F0"/>
    <w:rsid w:val="00C44E14"/>
    <w:rsid w:val="00C456C4"/>
    <w:rsid w:val="00C4664F"/>
    <w:rsid w:val="00C50E8C"/>
    <w:rsid w:val="00C52AAC"/>
    <w:rsid w:val="00C53054"/>
    <w:rsid w:val="00C53270"/>
    <w:rsid w:val="00C537D0"/>
    <w:rsid w:val="00C53878"/>
    <w:rsid w:val="00C539AA"/>
    <w:rsid w:val="00C54164"/>
    <w:rsid w:val="00C54385"/>
    <w:rsid w:val="00C54FB2"/>
    <w:rsid w:val="00C550CD"/>
    <w:rsid w:val="00C60188"/>
    <w:rsid w:val="00C6301D"/>
    <w:rsid w:val="00C63B21"/>
    <w:rsid w:val="00C647C3"/>
    <w:rsid w:val="00C64AEA"/>
    <w:rsid w:val="00C64F67"/>
    <w:rsid w:val="00C66280"/>
    <w:rsid w:val="00C66AF7"/>
    <w:rsid w:val="00C705D3"/>
    <w:rsid w:val="00C70931"/>
    <w:rsid w:val="00C723D3"/>
    <w:rsid w:val="00C73075"/>
    <w:rsid w:val="00C77FC8"/>
    <w:rsid w:val="00C82798"/>
    <w:rsid w:val="00C828FD"/>
    <w:rsid w:val="00C82BF3"/>
    <w:rsid w:val="00C832E3"/>
    <w:rsid w:val="00C83909"/>
    <w:rsid w:val="00C83A68"/>
    <w:rsid w:val="00C859FC"/>
    <w:rsid w:val="00C863EB"/>
    <w:rsid w:val="00C86BA4"/>
    <w:rsid w:val="00C8728A"/>
    <w:rsid w:val="00C903FA"/>
    <w:rsid w:val="00C91D26"/>
    <w:rsid w:val="00C92949"/>
    <w:rsid w:val="00C93544"/>
    <w:rsid w:val="00C94613"/>
    <w:rsid w:val="00C94A1D"/>
    <w:rsid w:val="00C952BE"/>
    <w:rsid w:val="00C95EAF"/>
    <w:rsid w:val="00C975DB"/>
    <w:rsid w:val="00CA0721"/>
    <w:rsid w:val="00CA0F70"/>
    <w:rsid w:val="00CA1DBB"/>
    <w:rsid w:val="00CA2DCF"/>
    <w:rsid w:val="00CA3181"/>
    <w:rsid w:val="00CA3629"/>
    <w:rsid w:val="00CA429C"/>
    <w:rsid w:val="00CA5A2B"/>
    <w:rsid w:val="00CA61FD"/>
    <w:rsid w:val="00CB25EF"/>
    <w:rsid w:val="00CB3A61"/>
    <w:rsid w:val="00CB4223"/>
    <w:rsid w:val="00CB4384"/>
    <w:rsid w:val="00CB54A0"/>
    <w:rsid w:val="00CB5C01"/>
    <w:rsid w:val="00CB61FC"/>
    <w:rsid w:val="00CB769C"/>
    <w:rsid w:val="00CC00CC"/>
    <w:rsid w:val="00CC1202"/>
    <w:rsid w:val="00CC7CBA"/>
    <w:rsid w:val="00CD1371"/>
    <w:rsid w:val="00CD18A5"/>
    <w:rsid w:val="00CD2812"/>
    <w:rsid w:val="00CD3CEF"/>
    <w:rsid w:val="00CD46A4"/>
    <w:rsid w:val="00CD4C4F"/>
    <w:rsid w:val="00CD522A"/>
    <w:rsid w:val="00CD6A68"/>
    <w:rsid w:val="00CD70B9"/>
    <w:rsid w:val="00CE027E"/>
    <w:rsid w:val="00CE0D21"/>
    <w:rsid w:val="00CE135E"/>
    <w:rsid w:val="00CE3AE1"/>
    <w:rsid w:val="00CE436A"/>
    <w:rsid w:val="00CE43E6"/>
    <w:rsid w:val="00CE49E5"/>
    <w:rsid w:val="00CE6FC5"/>
    <w:rsid w:val="00CE7362"/>
    <w:rsid w:val="00CE73AC"/>
    <w:rsid w:val="00CF0D90"/>
    <w:rsid w:val="00CF1ED7"/>
    <w:rsid w:val="00CF2612"/>
    <w:rsid w:val="00CF4EE4"/>
    <w:rsid w:val="00CF54E5"/>
    <w:rsid w:val="00CF5D81"/>
    <w:rsid w:val="00CF7184"/>
    <w:rsid w:val="00D01437"/>
    <w:rsid w:val="00D05364"/>
    <w:rsid w:val="00D074FA"/>
    <w:rsid w:val="00D12A9D"/>
    <w:rsid w:val="00D1547F"/>
    <w:rsid w:val="00D1630E"/>
    <w:rsid w:val="00D1743B"/>
    <w:rsid w:val="00D1755B"/>
    <w:rsid w:val="00D20911"/>
    <w:rsid w:val="00D20C0F"/>
    <w:rsid w:val="00D20C93"/>
    <w:rsid w:val="00D20DE7"/>
    <w:rsid w:val="00D2124B"/>
    <w:rsid w:val="00D21481"/>
    <w:rsid w:val="00D21F59"/>
    <w:rsid w:val="00D22633"/>
    <w:rsid w:val="00D233D4"/>
    <w:rsid w:val="00D23673"/>
    <w:rsid w:val="00D23F89"/>
    <w:rsid w:val="00D23F98"/>
    <w:rsid w:val="00D24B33"/>
    <w:rsid w:val="00D34826"/>
    <w:rsid w:val="00D34AEC"/>
    <w:rsid w:val="00D350FA"/>
    <w:rsid w:val="00D352EE"/>
    <w:rsid w:val="00D3624F"/>
    <w:rsid w:val="00D37E2D"/>
    <w:rsid w:val="00D4048F"/>
    <w:rsid w:val="00D404C5"/>
    <w:rsid w:val="00D427F2"/>
    <w:rsid w:val="00D4309F"/>
    <w:rsid w:val="00D434CF"/>
    <w:rsid w:val="00D44309"/>
    <w:rsid w:val="00D4513B"/>
    <w:rsid w:val="00D4525E"/>
    <w:rsid w:val="00D4582D"/>
    <w:rsid w:val="00D4725E"/>
    <w:rsid w:val="00D47E5C"/>
    <w:rsid w:val="00D521AD"/>
    <w:rsid w:val="00D54880"/>
    <w:rsid w:val="00D617B5"/>
    <w:rsid w:val="00D66F00"/>
    <w:rsid w:val="00D6737B"/>
    <w:rsid w:val="00D67835"/>
    <w:rsid w:val="00D67B8A"/>
    <w:rsid w:val="00D7147A"/>
    <w:rsid w:val="00D71B2D"/>
    <w:rsid w:val="00D725F9"/>
    <w:rsid w:val="00D736F4"/>
    <w:rsid w:val="00D744EA"/>
    <w:rsid w:val="00D74D8D"/>
    <w:rsid w:val="00D74F5B"/>
    <w:rsid w:val="00D75098"/>
    <w:rsid w:val="00D76C94"/>
    <w:rsid w:val="00D821BB"/>
    <w:rsid w:val="00D83029"/>
    <w:rsid w:val="00D837B9"/>
    <w:rsid w:val="00D85610"/>
    <w:rsid w:val="00D85D26"/>
    <w:rsid w:val="00D86190"/>
    <w:rsid w:val="00D874CD"/>
    <w:rsid w:val="00D92C6A"/>
    <w:rsid w:val="00D9366A"/>
    <w:rsid w:val="00D93B13"/>
    <w:rsid w:val="00D93D16"/>
    <w:rsid w:val="00D94445"/>
    <w:rsid w:val="00D9460D"/>
    <w:rsid w:val="00D95562"/>
    <w:rsid w:val="00D95B5F"/>
    <w:rsid w:val="00D97987"/>
    <w:rsid w:val="00D97B70"/>
    <w:rsid w:val="00DA1370"/>
    <w:rsid w:val="00DA1D0B"/>
    <w:rsid w:val="00DA3728"/>
    <w:rsid w:val="00DA3FF0"/>
    <w:rsid w:val="00DA5302"/>
    <w:rsid w:val="00DA604F"/>
    <w:rsid w:val="00DA627D"/>
    <w:rsid w:val="00DA67BF"/>
    <w:rsid w:val="00DA6C44"/>
    <w:rsid w:val="00DA71D1"/>
    <w:rsid w:val="00DA74F6"/>
    <w:rsid w:val="00DA7EAE"/>
    <w:rsid w:val="00DB1760"/>
    <w:rsid w:val="00DB17F4"/>
    <w:rsid w:val="00DB20D9"/>
    <w:rsid w:val="00DB3297"/>
    <w:rsid w:val="00DB37ED"/>
    <w:rsid w:val="00DB4210"/>
    <w:rsid w:val="00DB5471"/>
    <w:rsid w:val="00DB553A"/>
    <w:rsid w:val="00DB583D"/>
    <w:rsid w:val="00DC07B3"/>
    <w:rsid w:val="00DC7F39"/>
    <w:rsid w:val="00DD3999"/>
    <w:rsid w:val="00DD3CFC"/>
    <w:rsid w:val="00DD510D"/>
    <w:rsid w:val="00DD5CAB"/>
    <w:rsid w:val="00DE1457"/>
    <w:rsid w:val="00DE15F4"/>
    <w:rsid w:val="00DE1736"/>
    <w:rsid w:val="00DE2298"/>
    <w:rsid w:val="00DE3130"/>
    <w:rsid w:val="00DE3F99"/>
    <w:rsid w:val="00DE4390"/>
    <w:rsid w:val="00DE5527"/>
    <w:rsid w:val="00DE6D93"/>
    <w:rsid w:val="00DE7338"/>
    <w:rsid w:val="00DE73E4"/>
    <w:rsid w:val="00DE78B3"/>
    <w:rsid w:val="00DF0F31"/>
    <w:rsid w:val="00DF10F7"/>
    <w:rsid w:val="00DF20FB"/>
    <w:rsid w:val="00DF5C79"/>
    <w:rsid w:val="00DF5F3C"/>
    <w:rsid w:val="00DF6D1A"/>
    <w:rsid w:val="00DF7033"/>
    <w:rsid w:val="00DF7FF4"/>
    <w:rsid w:val="00E00BC5"/>
    <w:rsid w:val="00E01CC0"/>
    <w:rsid w:val="00E0253F"/>
    <w:rsid w:val="00E03377"/>
    <w:rsid w:val="00E04D50"/>
    <w:rsid w:val="00E05278"/>
    <w:rsid w:val="00E05478"/>
    <w:rsid w:val="00E0639A"/>
    <w:rsid w:val="00E0648C"/>
    <w:rsid w:val="00E06513"/>
    <w:rsid w:val="00E0682A"/>
    <w:rsid w:val="00E06C21"/>
    <w:rsid w:val="00E07AA9"/>
    <w:rsid w:val="00E10260"/>
    <w:rsid w:val="00E11E65"/>
    <w:rsid w:val="00E12D57"/>
    <w:rsid w:val="00E13B97"/>
    <w:rsid w:val="00E14487"/>
    <w:rsid w:val="00E147FD"/>
    <w:rsid w:val="00E17642"/>
    <w:rsid w:val="00E21BB5"/>
    <w:rsid w:val="00E222CF"/>
    <w:rsid w:val="00E227AB"/>
    <w:rsid w:val="00E23F23"/>
    <w:rsid w:val="00E251DD"/>
    <w:rsid w:val="00E25A25"/>
    <w:rsid w:val="00E25E88"/>
    <w:rsid w:val="00E30479"/>
    <w:rsid w:val="00E32038"/>
    <w:rsid w:val="00E32C34"/>
    <w:rsid w:val="00E32D19"/>
    <w:rsid w:val="00E33583"/>
    <w:rsid w:val="00E33B47"/>
    <w:rsid w:val="00E34540"/>
    <w:rsid w:val="00E34709"/>
    <w:rsid w:val="00E35765"/>
    <w:rsid w:val="00E37828"/>
    <w:rsid w:val="00E37CB2"/>
    <w:rsid w:val="00E41E9E"/>
    <w:rsid w:val="00E4457F"/>
    <w:rsid w:val="00E4496F"/>
    <w:rsid w:val="00E44BD9"/>
    <w:rsid w:val="00E45FDA"/>
    <w:rsid w:val="00E4638F"/>
    <w:rsid w:val="00E46397"/>
    <w:rsid w:val="00E47190"/>
    <w:rsid w:val="00E4750E"/>
    <w:rsid w:val="00E477D3"/>
    <w:rsid w:val="00E509CB"/>
    <w:rsid w:val="00E512BE"/>
    <w:rsid w:val="00E5374E"/>
    <w:rsid w:val="00E53AC2"/>
    <w:rsid w:val="00E54170"/>
    <w:rsid w:val="00E57FF8"/>
    <w:rsid w:val="00E60D6B"/>
    <w:rsid w:val="00E61B4D"/>
    <w:rsid w:val="00E629A6"/>
    <w:rsid w:val="00E62BD2"/>
    <w:rsid w:val="00E630DC"/>
    <w:rsid w:val="00E6372A"/>
    <w:rsid w:val="00E63B1E"/>
    <w:rsid w:val="00E647EA"/>
    <w:rsid w:val="00E65305"/>
    <w:rsid w:val="00E66E59"/>
    <w:rsid w:val="00E7021B"/>
    <w:rsid w:val="00E70475"/>
    <w:rsid w:val="00E71E11"/>
    <w:rsid w:val="00E73DC9"/>
    <w:rsid w:val="00E762E5"/>
    <w:rsid w:val="00E76CB6"/>
    <w:rsid w:val="00E76E16"/>
    <w:rsid w:val="00E76F07"/>
    <w:rsid w:val="00E8071F"/>
    <w:rsid w:val="00E80889"/>
    <w:rsid w:val="00E80DFE"/>
    <w:rsid w:val="00E81D7D"/>
    <w:rsid w:val="00E837BB"/>
    <w:rsid w:val="00E8688C"/>
    <w:rsid w:val="00E91E66"/>
    <w:rsid w:val="00E952A9"/>
    <w:rsid w:val="00E95F34"/>
    <w:rsid w:val="00E979CA"/>
    <w:rsid w:val="00EA3D1E"/>
    <w:rsid w:val="00EA459F"/>
    <w:rsid w:val="00EA4DD3"/>
    <w:rsid w:val="00EA6CB4"/>
    <w:rsid w:val="00EB1928"/>
    <w:rsid w:val="00EB1A7B"/>
    <w:rsid w:val="00EB22C9"/>
    <w:rsid w:val="00EB29CF"/>
    <w:rsid w:val="00EB6630"/>
    <w:rsid w:val="00EB6B15"/>
    <w:rsid w:val="00EC0D4D"/>
    <w:rsid w:val="00EC1897"/>
    <w:rsid w:val="00EC2BA9"/>
    <w:rsid w:val="00EC3672"/>
    <w:rsid w:val="00EC6311"/>
    <w:rsid w:val="00ED0228"/>
    <w:rsid w:val="00ED2050"/>
    <w:rsid w:val="00ED5537"/>
    <w:rsid w:val="00ED7B34"/>
    <w:rsid w:val="00EE1E2D"/>
    <w:rsid w:val="00EE26BD"/>
    <w:rsid w:val="00EE4460"/>
    <w:rsid w:val="00EE5555"/>
    <w:rsid w:val="00EE5B09"/>
    <w:rsid w:val="00EE6194"/>
    <w:rsid w:val="00EE6EED"/>
    <w:rsid w:val="00EE74DA"/>
    <w:rsid w:val="00EE79AF"/>
    <w:rsid w:val="00EF132F"/>
    <w:rsid w:val="00EF1AA9"/>
    <w:rsid w:val="00EF50CF"/>
    <w:rsid w:val="00EF608E"/>
    <w:rsid w:val="00F03620"/>
    <w:rsid w:val="00F04720"/>
    <w:rsid w:val="00F06983"/>
    <w:rsid w:val="00F06C03"/>
    <w:rsid w:val="00F06C22"/>
    <w:rsid w:val="00F073F7"/>
    <w:rsid w:val="00F10915"/>
    <w:rsid w:val="00F10AE5"/>
    <w:rsid w:val="00F110BD"/>
    <w:rsid w:val="00F120D2"/>
    <w:rsid w:val="00F13532"/>
    <w:rsid w:val="00F13A34"/>
    <w:rsid w:val="00F13E70"/>
    <w:rsid w:val="00F13EF3"/>
    <w:rsid w:val="00F1413A"/>
    <w:rsid w:val="00F141FC"/>
    <w:rsid w:val="00F179F2"/>
    <w:rsid w:val="00F23858"/>
    <w:rsid w:val="00F27AA9"/>
    <w:rsid w:val="00F27C71"/>
    <w:rsid w:val="00F31246"/>
    <w:rsid w:val="00F3151C"/>
    <w:rsid w:val="00F35EE9"/>
    <w:rsid w:val="00F37C86"/>
    <w:rsid w:val="00F37E8A"/>
    <w:rsid w:val="00F413B8"/>
    <w:rsid w:val="00F419E4"/>
    <w:rsid w:val="00F41D69"/>
    <w:rsid w:val="00F42946"/>
    <w:rsid w:val="00F46B3B"/>
    <w:rsid w:val="00F46F67"/>
    <w:rsid w:val="00F47341"/>
    <w:rsid w:val="00F50534"/>
    <w:rsid w:val="00F52423"/>
    <w:rsid w:val="00F56A22"/>
    <w:rsid w:val="00F576E5"/>
    <w:rsid w:val="00F61BD9"/>
    <w:rsid w:val="00F61BE1"/>
    <w:rsid w:val="00F66F51"/>
    <w:rsid w:val="00F672FA"/>
    <w:rsid w:val="00F719CB"/>
    <w:rsid w:val="00F72D95"/>
    <w:rsid w:val="00F73BCB"/>
    <w:rsid w:val="00F7471E"/>
    <w:rsid w:val="00F747CD"/>
    <w:rsid w:val="00F74D53"/>
    <w:rsid w:val="00F75B7E"/>
    <w:rsid w:val="00F77309"/>
    <w:rsid w:val="00F776D2"/>
    <w:rsid w:val="00F77C21"/>
    <w:rsid w:val="00F8067D"/>
    <w:rsid w:val="00F81AAA"/>
    <w:rsid w:val="00F82747"/>
    <w:rsid w:val="00F83B29"/>
    <w:rsid w:val="00F86239"/>
    <w:rsid w:val="00F873FF"/>
    <w:rsid w:val="00F90324"/>
    <w:rsid w:val="00F91694"/>
    <w:rsid w:val="00F93A03"/>
    <w:rsid w:val="00F9493C"/>
    <w:rsid w:val="00F95860"/>
    <w:rsid w:val="00F9794D"/>
    <w:rsid w:val="00F97B75"/>
    <w:rsid w:val="00FA1057"/>
    <w:rsid w:val="00FA1BC3"/>
    <w:rsid w:val="00FA26F1"/>
    <w:rsid w:val="00FA318D"/>
    <w:rsid w:val="00FA41B4"/>
    <w:rsid w:val="00FA4ABC"/>
    <w:rsid w:val="00FA5CA8"/>
    <w:rsid w:val="00FA6B73"/>
    <w:rsid w:val="00FA6B9D"/>
    <w:rsid w:val="00FA73AB"/>
    <w:rsid w:val="00FA7F69"/>
    <w:rsid w:val="00FA7FE9"/>
    <w:rsid w:val="00FB2526"/>
    <w:rsid w:val="00FB3323"/>
    <w:rsid w:val="00FB36E3"/>
    <w:rsid w:val="00FB3957"/>
    <w:rsid w:val="00FB4060"/>
    <w:rsid w:val="00FB56B3"/>
    <w:rsid w:val="00FC0D9A"/>
    <w:rsid w:val="00FC112A"/>
    <w:rsid w:val="00FC175E"/>
    <w:rsid w:val="00FC2BF0"/>
    <w:rsid w:val="00FC4DDB"/>
    <w:rsid w:val="00FC52CA"/>
    <w:rsid w:val="00FC6349"/>
    <w:rsid w:val="00FC68D1"/>
    <w:rsid w:val="00FC6D87"/>
    <w:rsid w:val="00FD4185"/>
    <w:rsid w:val="00FD578E"/>
    <w:rsid w:val="00FD74EE"/>
    <w:rsid w:val="00FD75DE"/>
    <w:rsid w:val="00FD772E"/>
    <w:rsid w:val="00FE3164"/>
    <w:rsid w:val="00FE4065"/>
    <w:rsid w:val="00FE40AE"/>
    <w:rsid w:val="00FE52FF"/>
    <w:rsid w:val="00FE5BE4"/>
    <w:rsid w:val="00FE610A"/>
    <w:rsid w:val="00FE7C1B"/>
    <w:rsid w:val="00FF04EB"/>
    <w:rsid w:val="00FF0772"/>
    <w:rsid w:val="00FF1727"/>
    <w:rsid w:val="00FF237F"/>
    <w:rsid w:val="00FF2982"/>
    <w:rsid w:val="00FF5A14"/>
    <w:rsid w:val="00FF74A2"/>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F0BCE5E-F378-4132-9413-F94DD9577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7D6"/>
    <w:pPr>
      <w:spacing w:after="160" w:line="259" w:lineRule="auto"/>
      <w:jc w:val="both"/>
    </w:pPr>
    <w:rPr>
      <w:color w:val="000000"/>
      <w:sz w:val="22"/>
      <w:szCs w:val="22"/>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pPr>
      <w:spacing w:after="160" w:line="259" w:lineRule="auto"/>
      <w:jc w:val="both"/>
    </w:pPr>
    <w:rPr>
      <w:sz w:val="22"/>
      <w:szCs w:val="22"/>
    </w:rPr>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5">
    <w:name w:val="Table Normal5"/>
    <w:pPr>
      <w:spacing w:after="160" w:line="259" w:lineRule="auto"/>
      <w:jc w:val="both"/>
    </w:pPr>
    <w:rPr>
      <w:sz w:val="22"/>
      <w:szCs w:val="22"/>
    </w:rPr>
    <w:tblPr>
      <w:tblCellMar>
        <w:top w:w="0" w:type="dxa"/>
        <w:left w:w="0" w:type="dxa"/>
        <w:bottom w:w="0" w:type="dxa"/>
        <w:right w:w="0" w:type="dxa"/>
      </w:tblCellMar>
    </w:tblPr>
  </w:style>
  <w:style w:type="table" w:customStyle="1" w:styleId="TableNormal4">
    <w:name w:val="Table Normal4"/>
    <w:pPr>
      <w:spacing w:after="160" w:line="259" w:lineRule="auto"/>
      <w:jc w:val="both"/>
    </w:pPr>
    <w:rPr>
      <w:sz w:val="22"/>
      <w:szCs w:val="22"/>
    </w:rPr>
    <w:tblPr>
      <w:tblCellMar>
        <w:top w:w="0" w:type="dxa"/>
        <w:left w:w="0" w:type="dxa"/>
        <w:bottom w:w="0" w:type="dxa"/>
        <w:right w:w="0" w:type="dxa"/>
      </w:tblCellMar>
    </w:tblPr>
  </w:style>
  <w:style w:type="table" w:customStyle="1" w:styleId="TableNormal3">
    <w:name w:val="Table Normal3"/>
    <w:pPr>
      <w:spacing w:after="160" w:line="259" w:lineRule="auto"/>
      <w:jc w:val="both"/>
    </w:pPr>
    <w:rPr>
      <w:sz w:val="22"/>
      <w:szCs w:val="22"/>
    </w:rPr>
    <w:tblPr>
      <w:tblCellMar>
        <w:top w:w="0" w:type="dxa"/>
        <w:left w:w="0" w:type="dxa"/>
        <w:bottom w:w="0" w:type="dxa"/>
        <w:right w:w="0" w:type="dxa"/>
      </w:tblCellMar>
    </w:tblPr>
  </w:style>
  <w:style w:type="table" w:customStyle="1" w:styleId="TableNormal2">
    <w:name w:val="Table Normal2"/>
    <w:pPr>
      <w:spacing w:after="160" w:line="259" w:lineRule="auto"/>
      <w:jc w:val="both"/>
    </w:pPr>
    <w:rPr>
      <w:sz w:val="22"/>
      <w:szCs w:val="22"/>
    </w:rPr>
    <w:tblPr>
      <w:tblCellMar>
        <w:top w:w="0" w:type="dxa"/>
        <w:left w:w="0" w:type="dxa"/>
        <w:bottom w:w="0" w:type="dxa"/>
        <w:right w:w="0" w:type="dxa"/>
      </w:tblCellMar>
    </w:tblPr>
  </w:style>
  <w:style w:type="table" w:customStyle="1" w:styleId="TableNormal1">
    <w:name w:val="Table Normal1"/>
    <w:pPr>
      <w:spacing w:after="160" w:line="259" w:lineRule="auto"/>
      <w:jc w:val="both"/>
    </w:pPr>
    <w:rPr>
      <w:sz w:val="22"/>
      <w:szCs w:val="22"/>
    </w:rPr>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link w:val="Encabezado"/>
    <w:uiPriority w:val="99"/>
    <w:rsid w:val="00C853D1"/>
    <w:rPr>
      <w:rFonts w:ascii="Palatino Linotype" w:hAnsi="Palatino Linotype"/>
      <w:color w:val="000000"/>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link w:val="Piedepgina"/>
    <w:uiPriority w:val="99"/>
    <w:rsid w:val="00C853D1"/>
    <w:rPr>
      <w:rFonts w:ascii="Palatino Linotype" w:hAnsi="Palatino Linotype"/>
      <w:color w:val="000000"/>
    </w:rPr>
  </w:style>
  <w:style w:type="table" w:styleId="Tablaconcuadrcula">
    <w:name w:val="Table Grid"/>
    <w:basedOn w:val="Tablanormal"/>
    <w:uiPriority w:val="39"/>
    <w:rsid w:val="00C853D1"/>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uiPriority w:val="99"/>
    <w:unhideWhenUsed/>
    <w:qFormat/>
    <w:rsid w:val="00C853D1"/>
    <w:rPr>
      <w:color w:val="0563C1"/>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686A"/>
    <w:rPr>
      <w:rFonts w:ascii="Palatino Linotype" w:eastAsia="Times New Roman" w:hAnsi="Palatino Linotype" w:cs="Times New Roman"/>
      <w:color w:val="000000"/>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uiPriority w:val="99"/>
    <w:semiHidden/>
    <w:unhideWhenUsed/>
    <w:rsid w:val="0079077D"/>
    <w:rPr>
      <w:color w:val="605E5C"/>
      <w:shd w:val="clear" w:color="auto" w:fill="E1DFDD"/>
    </w:rPr>
  </w:style>
  <w:style w:type="character" w:styleId="Hipervnculovisitado">
    <w:name w:val="FollowedHyperlink"/>
    <w:uiPriority w:val="99"/>
    <w:semiHidden/>
    <w:unhideWhenUsed/>
    <w:rsid w:val="00B85DBE"/>
    <w:rPr>
      <w:color w:val="954F72"/>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4">
    <w:name w:val="24"/>
    <w:basedOn w:val="TableNormal1"/>
    <w:pPr>
      <w:spacing w:after="0" w:line="240" w:lineRule="auto"/>
    </w:pPr>
    <w:tblPr>
      <w:tblStyleRowBandSize w:val="1"/>
      <w:tblStyleColBandSize w:val="1"/>
      <w:tblCellMar>
        <w:left w:w="108" w:type="dxa"/>
        <w:right w:w="108" w:type="dxa"/>
      </w:tblCellMar>
    </w:tblPr>
  </w:style>
  <w:style w:type="table" w:customStyle="1" w:styleId="23">
    <w:name w:val="23"/>
    <w:basedOn w:val="TableNormal1"/>
    <w:pPr>
      <w:spacing w:after="0" w:line="240" w:lineRule="auto"/>
    </w:pPr>
    <w:tblPr>
      <w:tblStyleRowBandSize w:val="1"/>
      <w:tblStyleColBandSize w:val="1"/>
      <w:tblCellMar>
        <w:left w:w="108" w:type="dxa"/>
        <w:right w:w="108" w:type="dxa"/>
      </w:tblCellMar>
    </w:tblPr>
  </w:style>
  <w:style w:type="table" w:customStyle="1" w:styleId="22">
    <w:name w:val="22"/>
    <w:basedOn w:val="TableNormal1"/>
    <w:tblPr>
      <w:tblStyleRowBandSize w:val="1"/>
      <w:tblStyleColBandSize w:val="1"/>
      <w:tblCellMar>
        <w:left w:w="115" w:type="dxa"/>
        <w:right w:w="115" w:type="dxa"/>
      </w:tblCellMar>
    </w:tblPr>
  </w:style>
  <w:style w:type="table" w:customStyle="1" w:styleId="21">
    <w:name w:val="21"/>
    <w:basedOn w:val="TableNormal1"/>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Calibri Light" w:eastAsia="Times New Roman" w:hAnsi="Calibri Light" w:cs="Times New Roman"/>
      <w:b w:val="0"/>
      <w:color w:val="2F5496"/>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uiPriority w:val="99"/>
    <w:semiHidden/>
    <w:unhideWhenUsed/>
    <w:rsid w:val="00BE1DC0"/>
    <w:rPr>
      <w:color w:val="605E5C"/>
      <w:shd w:val="clear" w:color="auto" w:fill="E1DFDD"/>
    </w:rPr>
  </w:style>
  <w:style w:type="table" w:customStyle="1" w:styleId="20">
    <w:name w:val="20"/>
    <w:basedOn w:val="TableNormal1"/>
    <w:pPr>
      <w:spacing w:after="0" w:line="240" w:lineRule="auto"/>
    </w:pPr>
    <w:tblPr>
      <w:tblStyleRowBandSize w:val="1"/>
      <w:tblStyleColBandSize w:val="1"/>
      <w:tblCellMar>
        <w:left w:w="108" w:type="dxa"/>
        <w:right w:w="108" w:type="dxa"/>
      </w:tblCellMar>
    </w:tblPr>
  </w:style>
  <w:style w:type="table" w:customStyle="1" w:styleId="19">
    <w:name w:val="19"/>
    <w:basedOn w:val="TableNormal1"/>
    <w:pPr>
      <w:spacing w:after="0" w:line="240" w:lineRule="auto"/>
    </w:pPr>
    <w:tblPr>
      <w:tblStyleRowBandSize w:val="1"/>
      <w:tblStyleColBandSize w:val="1"/>
      <w:tblCellMar>
        <w:left w:w="108" w:type="dxa"/>
        <w:right w:w="108" w:type="dxa"/>
      </w:tblCellMar>
    </w:tblPr>
  </w:style>
  <w:style w:type="table" w:customStyle="1" w:styleId="18">
    <w:name w:val="18"/>
    <w:basedOn w:val="TableNormal1"/>
    <w:pPr>
      <w:spacing w:after="0" w:line="240" w:lineRule="auto"/>
    </w:pPr>
    <w:tblPr>
      <w:tblStyleRowBandSize w:val="1"/>
      <w:tblStyleColBandSize w:val="1"/>
      <w:tblCellMar>
        <w:left w:w="108" w:type="dxa"/>
        <w:right w:w="108" w:type="dxa"/>
      </w:tblCellMar>
    </w:tblPr>
  </w:style>
  <w:style w:type="table" w:customStyle="1" w:styleId="17">
    <w:name w:val="17"/>
    <w:basedOn w:val="TableNormal1"/>
    <w:pPr>
      <w:spacing w:after="0" w:line="240" w:lineRule="auto"/>
    </w:pPr>
    <w:tblPr>
      <w:tblStyleRowBandSize w:val="1"/>
      <w:tblStyleColBandSize w:val="1"/>
      <w:tblCellMar>
        <w:left w:w="108" w:type="dxa"/>
        <w:right w:w="108" w:type="dxa"/>
      </w:tblCellMar>
    </w:tblPr>
  </w:style>
  <w:style w:type="table" w:customStyle="1" w:styleId="16">
    <w:name w:val="16"/>
    <w:basedOn w:val="TableNormal2"/>
    <w:pPr>
      <w:spacing w:after="0" w:line="240" w:lineRule="auto"/>
    </w:pPr>
    <w:tblPr>
      <w:tblStyleRowBandSize w:val="1"/>
      <w:tblStyleColBandSize w:val="1"/>
      <w:tblCellMar>
        <w:left w:w="108" w:type="dxa"/>
        <w:right w:w="108" w:type="dxa"/>
      </w:tblCellMar>
    </w:tblPr>
  </w:style>
  <w:style w:type="table" w:customStyle="1" w:styleId="15">
    <w:name w:val="15"/>
    <w:basedOn w:val="TableNormal2"/>
    <w:pPr>
      <w:spacing w:after="0" w:line="240" w:lineRule="auto"/>
    </w:pPr>
    <w:tblPr>
      <w:tblStyleRowBandSize w:val="1"/>
      <w:tblStyleColBandSize w:val="1"/>
      <w:tblCellMar>
        <w:left w:w="108" w:type="dxa"/>
        <w:right w:w="108" w:type="dxa"/>
      </w:tblCellMar>
    </w:tblPr>
  </w:style>
  <w:style w:type="table" w:customStyle="1" w:styleId="14">
    <w:name w:val="14"/>
    <w:basedOn w:val="TableNormal2"/>
    <w:pPr>
      <w:spacing w:after="0" w:line="240" w:lineRule="auto"/>
    </w:pPr>
    <w:tblPr>
      <w:tblStyleRowBandSize w:val="1"/>
      <w:tblStyleColBandSize w:val="1"/>
      <w:tblCellMar>
        <w:left w:w="108" w:type="dxa"/>
        <w:right w:w="108" w:type="dxa"/>
      </w:tblCellMar>
    </w:tblPr>
  </w:style>
  <w:style w:type="table" w:customStyle="1" w:styleId="13">
    <w:name w:val="13"/>
    <w:basedOn w:val="TableNormal2"/>
    <w:pPr>
      <w:spacing w:after="0" w:line="240" w:lineRule="auto"/>
    </w:pPr>
    <w:tblPr>
      <w:tblStyleRowBandSize w:val="1"/>
      <w:tblStyleColBandSize w:val="1"/>
      <w:tblCellMar>
        <w:left w:w="108" w:type="dxa"/>
        <w:right w:w="108" w:type="dxa"/>
      </w:tblCellMar>
    </w:tblPr>
  </w:style>
  <w:style w:type="table" w:customStyle="1" w:styleId="12">
    <w:name w:val="12"/>
    <w:basedOn w:val="TableNormal3"/>
    <w:pPr>
      <w:spacing w:after="0" w:line="240" w:lineRule="auto"/>
    </w:pPr>
    <w:tblPr>
      <w:tblStyleRowBandSize w:val="1"/>
      <w:tblStyleColBandSize w:val="1"/>
      <w:tblCellMar>
        <w:left w:w="108" w:type="dxa"/>
        <w:right w:w="108" w:type="dxa"/>
      </w:tblCellMar>
    </w:tblPr>
  </w:style>
  <w:style w:type="table" w:customStyle="1" w:styleId="11">
    <w:name w:val="11"/>
    <w:basedOn w:val="TableNormal3"/>
    <w:pPr>
      <w:spacing w:after="0" w:line="240" w:lineRule="auto"/>
    </w:pPr>
    <w:tblPr>
      <w:tblStyleRowBandSize w:val="1"/>
      <w:tblStyleColBandSize w:val="1"/>
      <w:tblCellMar>
        <w:left w:w="108" w:type="dxa"/>
        <w:right w:w="108" w:type="dxa"/>
      </w:tblCellMar>
    </w:tblPr>
  </w:style>
  <w:style w:type="table" w:customStyle="1" w:styleId="10">
    <w:name w:val="10"/>
    <w:basedOn w:val="TableNormal3"/>
    <w:pPr>
      <w:spacing w:after="0" w:line="240" w:lineRule="auto"/>
    </w:pPr>
    <w:tblPr>
      <w:tblStyleRowBandSize w:val="1"/>
      <w:tblStyleColBandSize w:val="1"/>
      <w:tblCellMar>
        <w:left w:w="108" w:type="dxa"/>
        <w:right w:w="108" w:type="dxa"/>
      </w:tblCellMar>
    </w:tblPr>
  </w:style>
  <w:style w:type="table" w:customStyle="1" w:styleId="9">
    <w:name w:val="9"/>
    <w:basedOn w:val="TableNormal3"/>
    <w:pPr>
      <w:spacing w:after="0" w:line="240" w:lineRule="auto"/>
    </w:pPr>
    <w:tblPr>
      <w:tblStyleRowBandSize w:val="1"/>
      <w:tblStyleColBandSize w:val="1"/>
      <w:tblCellMar>
        <w:left w:w="108" w:type="dxa"/>
        <w:right w:w="108" w:type="dxa"/>
      </w:tblCellMar>
    </w:tblPr>
  </w:style>
  <w:style w:type="table" w:customStyle="1" w:styleId="8">
    <w:name w:val="8"/>
    <w:basedOn w:val="TableNormal4"/>
    <w:pPr>
      <w:spacing w:after="0" w:line="240" w:lineRule="auto"/>
    </w:pPr>
    <w:tblPr>
      <w:tblStyleRowBandSize w:val="1"/>
      <w:tblStyleColBandSize w:val="1"/>
      <w:tblCellMar>
        <w:left w:w="108" w:type="dxa"/>
        <w:right w:w="108" w:type="dxa"/>
      </w:tblCellMar>
    </w:tblPr>
  </w:style>
  <w:style w:type="table" w:customStyle="1" w:styleId="7">
    <w:name w:val="7"/>
    <w:basedOn w:val="TableNormal4"/>
    <w:pPr>
      <w:spacing w:after="0" w:line="240" w:lineRule="auto"/>
    </w:pPr>
    <w:tblPr>
      <w:tblStyleRowBandSize w:val="1"/>
      <w:tblStyleColBandSize w:val="1"/>
      <w:tblCellMar>
        <w:left w:w="108" w:type="dxa"/>
        <w:right w:w="108" w:type="dxa"/>
      </w:tblCellMar>
    </w:tblPr>
  </w:style>
  <w:style w:type="table" w:customStyle="1" w:styleId="6">
    <w:name w:val="6"/>
    <w:basedOn w:val="TableNormal4"/>
    <w:pPr>
      <w:spacing w:after="0" w:line="240" w:lineRule="auto"/>
    </w:pPr>
    <w:tblPr>
      <w:tblStyleRowBandSize w:val="1"/>
      <w:tblStyleColBandSize w:val="1"/>
      <w:tblCellMar>
        <w:left w:w="108" w:type="dxa"/>
        <w:right w:w="108" w:type="dxa"/>
      </w:tblCellMar>
    </w:tblPr>
  </w:style>
  <w:style w:type="table" w:customStyle="1" w:styleId="5">
    <w:name w:val="5"/>
    <w:basedOn w:val="TableNormal4"/>
    <w:pPr>
      <w:spacing w:after="0" w:line="240" w:lineRule="auto"/>
    </w:pPr>
    <w:tblPr>
      <w:tblStyleRowBandSize w:val="1"/>
      <w:tblStyleColBandSize w:val="1"/>
      <w:tblCellMar>
        <w:left w:w="108" w:type="dxa"/>
        <w:right w:w="108" w:type="dxa"/>
      </w:tblCellMar>
    </w:tblPr>
  </w:style>
  <w:style w:type="table" w:customStyle="1" w:styleId="4">
    <w:name w:val="4"/>
    <w:basedOn w:val="TableNormal5"/>
    <w:pPr>
      <w:spacing w:after="0" w:line="240" w:lineRule="auto"/>
    </w:pPr>
    <w:tblPr>
      <w:tblStyleRowBandSize w:val="1"/>
      <w:tblStyleColBandSize w:val="1"/>
      <w:tblCellMar>
        <w:left w:w="108" w:type="dxa"/>
        <w:right w:w="108" w:type="dxa"/>
      </w:tblCellMar>
    </w:tblPr>
  </w:style>
  <w:style w:type="table" w:customStyle="1" w:styleId="3">
    <w:name w:val="3"/>
    <w:basedOn w:val="TableNormal5"/>
    <w:pPr>
      <w:spacing w:after="0" w:line="240" w:lineRule="auto"/>
    </w:pPr>
    <w:tblPr>
      <w:tblStyleRowBandSize w:val="1"/>
      <w:tblStyleColBandSize w:val="1"/>
      <w:tblCellMar>
        <w:left w:w="108" w:type="dxa"/>
        <w:right w:w="108" w:type="dxa"/>
      </w:tblCellMar>
    </w:tblPr>
  </w:style>
  <w:style w:type="table" w:customStyle="1" w:styleId="2">
    <w:name w:val="2"/>
    <w:basedOn w:val="TableNormal5"/>
    <w:pPr>
      <w:spacing w:after="0" w:line="240" w:lineRule="auto"/>
    </w:pPr>
    <w:tblPr>
      <w:tblStyleRowBandSize w:val="1"/>
      <w:tblStyleColBandSize w:val="1"/>
      <w:tblCellMar>
        <w:left w:w="108" w:type="dxa"/>
        <w:right w:w="108" w:type="dxa"/>
      </w:tblCellMar>
    </w:tblPr>
  </w:style>
  <w:style w:type="table" w:customStyle="1" w:styleId="1">
    <w:name w:val="1"/>
    <w:basedOn w:val="TableNormal5"/>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uiPriority w:val="99"/>
    <w:semiHidden/>
    <w:unhideWhenUsed/>
    <w:rsid w:val="002F24F6"/>
    <w:rPr>
      <w:color w:val="605E5C"/>
      <w:shd w:val="clear" w:color="auto" w:fill="E1DFDD"/>
    </w:rPr>
  </w:style>
  <w:style w:type="character" w:styleId="Textoennegrita">
    <w:name w:val="Strong"/>
    <w:uiPriority w:val="22"/>
    <w:qFormat/>
    <w:rsid w:val="002420C9"/>
    <w:rPr>
      <w:b/>
      <w:bCs/>
    </w:rPr>
  </w:style>
  <w:style w:type="paragraph" w:styleId="Revisin">
    <w:name w:val="Revision"/>
    <w:hidden/>
    <w:uiPriority w:val="99"/>
    <w:semiHidden/>
    <w:rsid w:val="0078798B"/>
    <w:rPr>
      <w:color w:val="000000"/>
      <w:sz w:val="22"/>
      <w:szCs w:val="22"/>
    </w:rPr>
  </w:style>
  <w:style w:type="paragraph" w:styleId="Textodeglobo">
    <w:name w:val="Balloon Text"/>
    <w:basedOn w:val="Normal"/>
    <w:link w:val="TextodegloboCar"/>
    <w:uiPriority w:val="99"/>
    <w:semiHidden/>
    <w:unhideWhenUsed/>
    <w:rsid w:val="003468C2"/>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3468C2"/>
    <w:rPr>
      <w:rFonts w:ascii="Segoe UI" w:hAnsi="Segoe UI" w:cs="Segoe UI"/>
      <w:color w:val="000000"/>
      <w:sz w:val="18"/>
      <w:szCs w:val="18"/>
    </w:rPr>
  </w:style>
  <w:style w:type="character" w:customStyle="1" w:styleId="Mencinsinresolver5">
    <w:name w:val="Mención sin resolver5"/>
    <w:uiPriority w:val="99"/>
    <w:semiHidden/>
    <w:unhideWhenUsed/>
    <w:rsid w:val="008E38A2"/>
    <w:rPr>
      <w:color w:val="605E5C"/>
      <w:shd w:val="clear" w:color="auto" w:fill="E1DFDD"/>
    </w:rPr>
  </w:style>
  <w:style w:type="character" w:customStyle="1" w:styleId="Mencinsinresolver6">
    <w:name w:val="Mención sin resolver6"/>
    <w:uiPriority w:val="99"/>
    <w:semiHidden/>
    <w:unhideWhenUsed/>
    <w:rsid w:val="00D76C94"/>
    <w:rPr>
      <w:color w:val="605E5C"/>
      <w:shd w:val="clear" w:color="auto" w:fill="E1DFDD"/>
    </w:rPr>
  </w:style>
  <w:style w:type="paragraph" w:customStyle="1" w:styleId="Default">
    <w:name w:val="Default"/>
    <w:rsid w:val="00A447E4"/>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50084">
      <w:bodyDiv w:val="1"/>
      <w:marLeft w:val="0"/>
      <w:marRight w:val="0"/>
      <w:marTop w:val="0"/>
      <w:marBottom w:val="0"/>
      <w:divBdr>
        <w:top w:val="none" w:sz="0" w:space="0" w:color="auto"/>
        <w:left w:val="none" w:sz="0" w:space="0" w:color="auto"/>
        <w:bottom w:val="none" w:sz="0" w:space="0" w:color="auto"/>
        <w:right w:val="none" w:sz="0" w:space="0" w:color="auto"/>
      </w:divBdr>
    </w:div>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136341617">
      <w:bodyDiv w:val="1"/>
      <w:marLeft w:val="0"/>
      <w:marRight w:val="0"/>
      <w:marTop w:val="0"/>
      <w:marBottom w:val="0"/>
      <w:divBdr>
        <w:top w:val="none" w:sz="0" w:space="0" w:color="auto"/>
        <w:left w:val="none" w:sz="0" w:space="0" w:color="auto"/>
        <w:bottom w:val="none" w:sz="0" w:space="0" w:color="auto"/>
        <w:right w:val="none" w:sz="0" w:space="0" w:color="auto"/>
      </w:divBdr>
      <w:divsChild>
        <w:div w:id="1052580408">
          <w:marLeft w:val="0"/>
          <w:marRight w:val="0"/>
          <w:marTop w:val="0"/>
          <w:marBottom w:val="0"/>
          <w:divBdr>
            <w:top w:val="none" w:sz="0" w:space="0" w:color="auto"/>
            <w:left w:val="none" w:sz="0" w:space="0" w:color="auto"/>
            <w:bottom w:val="none" w:sz="0" w:space="0" w:color="auto"/>
            <w:right w:val="none" w:sz="0" w:space="0" w:color="auto"/>
          </w:divBdr>
        </w:div>
      </w:divsChild>
    </w:div>
    <w:div w:id="295065033">
      <w:bodyDiv w:val="1"/>
      <w:marLeft w:val="0"/>
      <w:marRight w:val="0"/>
      <w:marTop w:val="0"/>
      <w:marBottom w:val="0"/>
      <w:divBdr>
        <w:top w:val="none" w:sz="0" w:space="0" w:color="auto"/>
        <w:left w:val="none" w:sz="0" w:space="0" w:color="auto"/>
        <w:bottom w:val="none" w:sz="0" w:space="0" w:color="auto"/>
        <w:right w:val="none" w:sz="0" w:space="0" w:color="auto"/>
      </w:divBdr>
      <w:divsChild>
        <w:div w:id="2045789704">
          <w:marLeft w:val="0"/>
          <w:marRight w:val="0"/>
          <w:marTop w:val="0"/>
          <w:marBottom w:val="0"/>
          <w:divBdr>
            <w:top w:val="none" w:sz="0" w:space="0" w:color="auto"/>
            <w:left w:val="none" w:sz="0" w:space="0" w:color="auto"/>
            <w:bottom w:val="none" w:sz="0" w:space="0" w:color="auto"/>
            <w:right w:val="none" w:sz="0" w:space="0" w:color="auto"/>
          </w:divBdr>
        </w:div>
      </w:divsChild>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462114435">
      <w:bodyDiv w:val="1"/>
      <w:marLeft w:val="0"/>
      <w:marRight w:val="0"/>
      <w:marTop w:val="0"/>
      <w:marBottom w:val="0"/>
      <w:divBdr>
        <w:top w:val="none" w:sz="0" w:space="0" w:color="auto"/>
        <w:left w:val="none" w:sz="0" w:space="0" w:color="auto"/>
        <w:bottom w:val="none" w:sz="0" w:space="0" w:color="auto"/>
        <w:right w:val="none" w:sz="0" w:space="0" w:color="auto"/>
      </w:divBdr>
    </w:div>
    <w:div w:id="550189800">
      <w:bodyDiv w:val="1"/>
      <w:marLeft w:val="0"/>
      <w:marRight w:val="0"/>
      <w:marTop w:val="0"/>
      <w:marBottom w:val="0"/>
      <w:divBdr>
        <w:top w:val="none" w:sz="0" w:space="0" w:color="auto"/>
        <w:left w:val="none" w:sz="0" w:space="0" w:color="auto"/>
        <w:bottom w:val="none" w:sz="0" w:space="0" w:color="auto"/>
        <w:right w:val="none" w:sz="0" w:space="0" w:color="auto"/>
      </w:divBdr>
      <w:divsChild>
        <w:div w:id="1980308072">
          <w:marLeft w:val="0"/>
          <w:marRight w:val="0"/>
          <w:marTop w:val="0"/>
          <w:marBottom w:val="0"/>
          <w:divBdr>
            <w:top w:val="none" w:sz="0" w:space="0" w:color="auto"/>
            <w:left w:val="none" w:sz="0" w:space="0" w:color="auto"/>
            <w:bottom w:val="none" w:sz="0" w:space="0" w:color="auto"/>
            <w:right w:val="none" w:sz="0" w:space="0" w:color="auto"/>
          </w:divBdr>
        </w:div>
      </w:divsChild>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692800103">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789934905">
      <w:bodyDiv w:val="1"/>
      <w:marLeft w:val="0"/>
      <w:marRight w:val="0"/>
      <w:marTop w:val="0"/>
      <w:marBottom w:val="0"/>
      <w:divBdr>
        <w:top w:val="none" w:sz="0" w:space="0" w:color="auto"/>
        <w:left w:val="none" w:sz="0" w:space="0" w:color="auto"/>
        <w:bottom w:val="none" w:sz="0" w:space="0" w:color="auto"/>
        <w:right w:val="none" w:sz="0" w:space="0" w:color="auto"/>
      </w:divBdr>
      <w:divsChild>
        <w:div w:id="789590903">
          <w:marLeft w:val="0"/>
          <w:marRight w:val="0"/>
          <w:marTop w:val="0"/>
          <w:marBottom w:val="0"/>
          <w:divBdr>
            <w:top w:val="none" w:sz="0" w:space="0" w:color="auto"/>
            <w:left w:val="none" w:sz="0" w:space="0" w:color="auto"/>
            <w:bottom w:val="none" w:sz="0" w:space="0" w:color="auto"/>
            <w:right w:val="none" w:sz="0" w:space="0" w:color="auto"/>
          </w:divBdr>
        </w:div>
      </w:divsChild>
    </w:div>
    <w:div w:id="825588488">
      <w:bodyDiv w:val="1"/>
      <w:marLeft w:val="0"/>
      <w:marRight w:val="0"/>
      <w:marTop w:val="0"/>
      <w:marBottom w:val="0"/>
      <w:divBdr>
        <w:top w:val="none" w:sz="0" w:space="0" w:color="auto"/>
        <w:left w:val="none" w:sz="0" w:space="0" w:color="auto"/>
        <w:bottom w:val="none" w:sz="0" w:space="0" w:color="auto"/>
        <w:right w:val="none" w:sz="0" w:space="0" w:color="auto"/>
      </w:divBdr>
    </w:div>
    <w:div w:id="896816460">
      <w:bodyDiv w:val="1"/>
      <w:marLeft w:val="0"/>
      <w:marRight w:val="0"/>
      <w:marTop w:val="0"/>
      <w:marBottom w:val="0"/>
      <w:divBdr>
        <w:top w:val="none" w:sz="0" w:space="0" w:color="auto"/>
        <w:left w:val="none" w:sz="0" w:space="0" w:color="auto"/>
        <w:bottom w:val="none" w:sz="0" w:space="0" w:color="auto"/>
        <w:right w:val="none" w:sz="0" w:space="0" w:color="auto"/>
      </w:divBdr>
      <w:divsChild>
        <w:div w:id="1609503517">
          <w:marLeft w:val="0"/>
          <w:marRight w:val="0"/>
          <w:marTop w:val="0"/>
          <w:marBottom w:val="0"/>
          <w:divBdr>
            <w:top w:val="none" w:sz="0" w:space="0" w:color="auto"/>
            <w:left w:val="none" w:sz="0" w:space="0" w:color="auto"/>
            <w:bottom w:val="none" w:sz="0" w:space="0" w:color="auto"/>
            <w:right w:val="none" w:sz="0" w:space="0" w:color="auto"/>
          </w:divBdr>
        </w:div>
      </w:divsChild>
    </w:div>
    <w:div w:id="898594483">
      <w:bodyDiv w:val="1"/>
      <w:marLeft w:val="0"/>
      <w:marRight w:val="0"/>
      <w:marTop w:val="0"/>
      <w:marBottom w:val="0"/>
      <w:divBdr>
        <w:top w:val="none" w:sz="0" w:space="0" w:color="auto"/>
        <w:left w:val="none" w:sz="0" w:space="0" w:color="auto"/>
        <w:bottom w:val="none" w:sz="0" w:space="0" w:color="auto"/>
        <w:right w:val="none" w:sz="0" w:space="0" w:color="auto"/>
      </w:divBdr>
    </w:div>
    <w:div w:id="976178129">
      <w:bodyDiv w:val="1"/>
      <w:marLeft w:val="0"/>
      <w:marRight w:val="0"/>
      <w:marTop w:val="0"/>
      <w:marBottom w:val="0"/>
      <w:divBdr>
        <w:top w:val="none" w:sz="0" w:space="0" w:color="auto"/>
        <w:left w:val="none" w:sz="0" w:space="0" w:color="auto"/>
        <w:bottom w:val="none" w:sz="0" w:space="0" w:color="auto"/>
        <w:right w:val="none" w:sz="0" w:space="0" w:color="auto"/>
      </w:divBdr>
      <w:divsChild>
        <w:div w:id="1500266234">
          <w:blockQuote w:val="1"/>
          <w:marLeft w:val="720"/>
          <w:marRight w:val="720"/>
          <w:marTop w:val="100"/>
          <w:marBottom w:val="100"/>
          <w:divBdr>
            <w:top w:val="none" w:sz="0" w:space="0" w:color="auto"/>
            <w:left w:val="none" w:sz="0" w:space="0" w:color="auto"/>
            <w:bottom w:val="none" w:sz="0" w:space="0" w:color="auto"/>
            <w:right w:val="none" w:sz="0" w:space="0" w:color="auto"/>
          </w:divBdr>
        </w:div>
        <w:div w:id="413090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9582807">
      <w:bodyDiv w:val="1"/>
      <w:marLeft w:val="0"/>
      <w:marRight w:val="0"/>
      <w:marTop w:val="0"/>
      <w:marBottom w:val="0"/>
      <w:divBdr>
        <w:top w:val="none" w:sz="0" w:space="0" w:color="auto"/>
        <w:left w:val="none" w:sz="0" w:space="0" w:color="auto"/>
        <w:bottom w:val="none" w:sz="0" w:space="0" w:color="auto"/>
        <w:right w:val="none" w:sz="0" w:space="0" w:color="auto"/>
      </w:divBdr>
    </w:div>
    <w:div w:id="1024138829">
      <w:bodyDiv w:val="1"/>
      <w:marLeft w:val="0"/>
      <w:marRight w:val="0"/>
      <w:marTop w:val="0"/>
      <w:marBottom w:val="0"/>
      <w:divBdr>
        <w:top w:val="none" w:sz="0" w:space="0" w:color="auto"/>
        <w:left w:val="none" w:sz="0" w:space="0" w:color="auto"/>
        <w:bottom w:val="none" w:sz="0" w:space="0" w:color="auto"/>
        <w:right w:val="none" w:sz="0" w:space="0" w:color="auto"/>
      </w:divBdr>
    </w:div>
    <w:div w:id="1024749253">
      <w:bodyDiv w:val="1"/>
      <w:marLeft w:val="0"/>
      <w:marRight w:val="0"/>
      <w:marTop w:val="0"/>
      <w:marBottom w:val="0"/>
      <w:divBdr>
        <w:top w:val="none" w:sz="0" w:space="0" w:color="auto"/>
        <w:left w:val="none" w:sz="0" w:space="0" w:color="auto"/>
        <w:bottom w:val="none" w:sz="0" w:space="0" w:color="auto"/>
        <w:right w:val="none" w:sz="0" w:space="0" w:color="auto"/>
      </w:divBdr>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184130437">
      <w:bodyDiv w:val="1"/>
      <w:marLeft w:val="0"/>
      <w:marRight w:val="0"/>
      <w:marTop w:val="0"/>
      <w:marBottom w:val="0"/>
      <w:divBdr>
        <w:top w:val="none" w:sz="0" w:space="0" w:color="auto"/>
        <w:left w:val="none" w:sz="0" w:space="0" w:color="auto"/>
        <w:bottom w:val="none" w:sz="0" w:space="0" w:color="auto"/>
        <w:right w:val="none" w:sz="0" w:space="0" w:color="auto"/>
      </w:divBdr>
    </w:div>
    <w:div w:id="1227423953">
      <w:bodyDiv w:val="1"/>
      <w:marLeft w:val="0"/>
      <w:marRight w:val="0"/>
      <w:marTop w:val="0"/>
      <w:marBottom w:val="0"/>
      <w:divBdr>
        <w:top w:val="none" w:sz="0" w:space="0" w:color="auto"/>
        <w:left w:val="none" w:sz="0" w:space="0" w:color="auto"/>
        <w:bottom w:val="none" w:sz="0" w:space="0" w:color="auto"/>
        <w:right w:val="none" w:sz="0" w:space="0" w:color="auto"/>
      </w:divBdr>
      <w:divsChild>
        <w:div w:id="257561395">
          <w:marLeft w:val="0"/>
          <w:marRight w:val="0"/>
          <w:marTop w:val="0"/>
          <w:marBottom w:val="0"/>
          <w:divBdr>
            <w:top w:val="none" w:sz="0" w:space="0" w:color="auto"/>
            <w:left w:val="none" w:sz="0" w:space="0" w:color="auto"/>
            <w:bottom w:val="none" w:sz="0" w:space="0" w:color="auto"/>
            <w:right w:val="none" w:sz="0" w:space="0" w:color="auto"/>
          </w:divBdr>
        </w:div>
      </w:divsChild>
    </w:div>
    <w:div w:id="1254707025">
      <w:bodyDiv w:val="1"/>
      <w:marLeft w:val="0"/>
      <w:marRight w:val="0"/>
      <w:marTop w:val="0"/>
      <w:marBottom w:val="0"/>
      <w:divBdr>
        <w:top w:val="none" w:sz="0" w:space="0" w:color="auto"/>
        <w:left w:val="none" w:sz="0" w:space="0" w:color="auto"/>
        <w:bottom w:val="none" w:sz="0" w:space="0" w:color="auto"/>
        <w:right w:val="none" w:sz="0" w:space="0" w:color="auto"/>
      </w:divBdr>
      <w:divsChild>
        <w:div w:id="2080781696">
          <w:marLeft w:val="0"/>
          <w:marRight w:val="0"/>
          <w:marTop w:val="0"/>
          <w:marBottom w:val="0"/>
          <w:divBdr>
            <w:top w:val="none" w:sz="0" w:space="0" w:color="auto"/>
            <w:left w:val="none" w:sz="0" w:space="0" w:color="auto"/>
            <w:bottom w:val="none" w:sz="0" w:space="0" w:color="auto"/>
            <w:right w:val="none" w:sz="0" w:space="0" w:color="auto"/>
          </w:divBdr>
        </w:div>
      </w:divsChild>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329938830">
      <w:bodyDiv w:val="1"/>
      <w:marLeft w:val="0"/>
      <w:marRight w:val="0"/>
      <w:marTop w:val="0"/>
      <w:marBottom w:val="0"/>
      <w:divBdr>
        <w:top w:val="none" w:sz="0" w:space="0" w:color="auto"/>
        <w:left w:val="none" w:sz="0" w:space="0" w:color="auto"/>
        <w:bottom w:val="none" w:sz="0" w:space="0" w:color="auto"/>
        <w:right w:val="none" w:sz="0" w:space="0" w:color="auto"/>
      </w:divBdr>
      <w:divsChild>
        <w:div w:id="144585647">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9028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4648141">
      <w:bodyDiv w:val="1"/>
      <w:marLeft w:val="0"/>
      <w:marRight w:val="0"/>
      <w:marTop w:val="0"/>
      <w:marBottom w:val="0"/>
      <w:divBdr>
        <w:top w:val="none" w:sz="0" w:space="0" w:color="auto"/>
        <w:left w:val="none" w:sz="0" w:space="0" w:color="auto"/>
        <w:bottom w:val="none" w:sz="0" w:space="0" w:color="auto"/>
        <w:right w:val="none" w:sz="0" w:space="0" w:color="auto"/>
      </w:divBdr>
      <w:divsChild>
        <w:div w:id="1512597829">
          <w:marLeft w:val="0"/>
          <w:marRight w:val="0"/>
          <w:marTop w:val="0"/>
          <w:marBottom w:val="0"/>
          <w:divBdr>
            <w:top w:val="none" w:sz="0" w:space="0" w:color="auto"/>
            <w:left w:val="none" w:sz="0" w:space="0" w:color="auto"/>
            <w:bottom w:val="none" w:sz="0" w:space="0" w:color="auto"/>
            <w:right w:val="none" w:sz="0" w:space="0" w:color="auto"/>
          </w:divBdr>
        </w:div>
      </w:divsChild>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420635153">
      <w:bodyDiv w:val="1"/>
      <w:marLeft w:val="0"/>
      <w:marRight w:val="0"/>
      <w:marTop w:val="0"/>
      <w:marBottom w:val="0"/>
      <w:divBdr>
        <w:top w:val="none" w:sz="0" w:space="0" w:color="auto"/>
        <w:left w:val="none" w:sz="0" w:space="0" w:color="auto"/>
        <w:bottom w:val="none" w:sz="0" w:space="0" w:color="auto"/>
        <w:right w:val="none" w:sz="0" w:space="0" w:color="auto"/>
      </w:divBdr>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459949911">
      <w:bodyDiv w:val="1"/>
      <w:marLeft w:val="0"/>
      <w:marRight w:val="0"/>
      <w:marTop w:val="0"/>
      <w:marBottom w:val="0"/>
      <w:divBdr>
        <w:top w:val="none" w:sz="0" w:space="0" w:color="auto"/>
        <w:left w:val="none" w:sz="0" w:space="0" w:color="auto"/>
        <w:bottom w:val="none" w:sz="0" w:space="0" w:color="auto"/>
        <w:right w:val="none" w:sz="0" w:space="0" w:color="auto"/>
      </w:divBdr>
    </w:div>
    <w:div w:id="1495291708">
      <w:bodyDiv w:val="1"/>
      <w:marLeft w:val="0"/>
      <w:marRight w:val="0"/>
      <w:marTop w:val="0"/>
      <w:marBottom w:val="0"/>
      <w:divBdr>
        <w:top w:val="none" w:sz="0" w:space="0" w:color="auto"/>
        <w:left w:val="none" w:sz="0" w:space="0" w:color="auto"/>
        <w:bottom w:val="none" w:sz="0" w:space="0" w:color="auto"/>
        <w:right w:val="none" w:sz="0" w:space="0" w:color="auto"/>
      </w:divBdr>
    </w:div>
    <w:div w:id="1507163246">
      <w:bodyDiv w:val="1"/>
      <w:marLeft w:val="0"/>
      <w:marRight w:val="0"/>
      <w:marTop w:val="0"/>
      <w:marBottom w:val="0"/>
      <w:divBdr>
        <w:top w:val="none" w:sz="0" w:space="0" w:color="auto"/>
        <w:left w:val="none" w:sz="0" w:space="0" w:color="auto"/>
        <w:bottom w:val="none" w:sz="0" w:space="0" w:color="auto"/>
        <w:right w:val="none" w:sz="0" w:space="0" w:color="auto"/>
      </w:divBdr>
    </w:div>
    <w:div w:id="1515727405">
      <w:bodyDiv w:val="1"/>
      <w:marLeft w:val="0"/>
      <w:marRight w:val="0"/>
      <w:marTop w:val="0"/>
      <w:marBottom w:val="0"/>
      <w:divBdr>
        <w:top w:val="none" w:sz="0" w:space="0" w:color="auto"/>
        <w:left w:val="none" w:sz="0" w:space="0" w:color="auto"/>
        <w:bottom w:val="none" w:sz="0" w:space="0" w:color="auto"/>
        <w:right w:val="none" w:sz="0" w:space="0" w:color="auto"/>
      </w:divBdr>
    </w:div>
    <w:div w:id="1556963263">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591967737">
      <w:bodyDiv w:val="1"/>
      <w:marLeft w:val="0"/>
      <w:marRight w:val="0"/>
      <w:marTop w:val="0"/>
      <w:marBottom w:val="0"/>
      <w:divBdr>
        <w:top w:val="none" w:sz="0" w:space="0" w:color="auto"/>
        <w:left w:val="none" w:sz="0" w:space="0" w:color="auto"/>
        <w:bottom w:val="none" w:sz="0" w:space="0" w:color="auto"/>
        <w:right w:val="none" w:sz="0" w:space="0" w:color="auto"/>
      </w:divBdr>
      <w:divsChild>
        <w:div w:id="674574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7075543">
      <w:bodyDiv w:val="1"/>
      <w:marLeft w:val="0"/>
      <w:marRight w:val="0"/>
      <w:marTop w:val="0"/>
      <w:marBottom w:val="0"/>
      <w:divBdr>
        <w:top w:val="none" w:sz="0" w:space="0" w:color="auto"/>
        <w:left w:val="none" w:sz="0" w:space="0" w:color="auto"/>
        <w:bottom w:val="none" w:sz="0" w:space="0" w:color="auto"/>
        <w:right w:val="none" w:sz="0" w:space="0" w:color="auto"/>
      </w:divBdr>
    </w:div>
    <w:div w:id="1652129068">
      <w:bodyDiv w:val="1"/>
      <w:marLeft w:val="0"/>
      <w:marRight w:val="0"/>
      <w:marTop w:val="0"/>
      <w:marBottom w:val="0"/>
      <w:divBdr>
        <w:top w:val="none" w:sz="0" w:space="0" w:color="auto"/>
        <w:left w:val="none" w:sz="0" w:space="0" w:color="auto"/>
        <w:bottom w:val="none" w:sz="0" w:space="0" w:color="auto"/>
        <w:right w:val="none" w:sz="0" w:space="0" w:color="auto"/>
      </w:divBdr>
    </w:div>
    <w:div w:id="1669209642">
      <w:bodyDiv w:val="1"/>
      <w:marLeft w:val="0"/>
      <w:marRight w:val="0"/>
      <w:marTop w:val="0"/>
      <w:marBottom w:val="0"/>
      <w:divBdr>
        <w:top w:val="none" w:sz="0" w:space="0" w:color="auto"/>
        <w:left w:val="none" w:sz="0" w:space="0" w:color="auto"/>
        <w:bottom w:val="none" w:sz="0" w:space="0" w:color="auto"/>
        <w:right w:val="none" w:sz="0" w:space="0" w:color="auto"/>
      </w:divBdr>
      <w:divsChild>
        <w:div w:id="1180318185">
          <w:marLeft w:val="0"/>
          <w:marRight w:val="0"/>
          <w:marTop w:val="0"/>
          <w:marBottom w:val="0"/>
          <w:divBdr>
            <w:top w:val="none" w:sz="0" w:space="0" w:color="auto"/>
            <w:left w:val="none" w:sz="0" w:space="0" w:color="auto"/>
            <w:bottom w:val="none" w:sz="0" w:space="0" w:color="auto"/>
            <w:right w:val="none" w:sz="0" w:space="0" w:color="auto"/>
          </w:divBdr>
        </w:div>
      </w:divsChild>
    </w:div>
    <w:div w:id="1742216443">
      <w:bodyDiv w:val="1"/>
      <w:marLeft w:val="0"/>
      <w:marRight w:val="0"/>
      <w:marTop w:val="0"/>
      <w:marBottom w:val="0"/>
      <w:divBdr>
        <w:top w:val="none" w:sz="0" w:space="0" w:color="auto"/>
        <w:left w:val="none" w:sz="0" w:space="0" w:color="auto"/>
        <w:bottom w:val="none" w:sz="0" w:space="0" w:color="auto"/>
        <w:right w:val="none" w:sz="0" w:space="0" w:color="auto"/>
      </w:divBdr>
      <w:divsChild>
        <w:div w:id="2064984750">
          <w:marLeft w:val="0"/>
          <w:marRight w:val="0"/>
          <w:marTop w:val="0"/>
          <w:marBottom w:val="0"/>
          <w:divBdr>
            <w:top w:val="none" w:sz="0" w:space="0" w:color="auto"/>
            <w:left w:val="none" w:sz="0" w:space="0" w:color="auto"/>
            <w:bottom w:val="none" w:sz="0" w:space="0" w:color="auto"/>
            <w:right w:val="none" w:sz="0" w:space="0" w:color="auto"/>
          </w:divBdr>
        </w:div>
      </w:divsChild>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36993511">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1894462340">
      <w:bodyDiv w:val="1"/>
      <w:marLeft w:val="0"/>
      <w:marRight w:val="0"/>
      <w:marTop w:val="0"/>
      <w:marBottom w:val="0"/>
      <w:divBdr>
        <w:top w:val="none" w:sz="0" w:space="0" w:color="auto"/>
        <w:left w:val="none" w:sz="0" w:space="0" w:color="auto"/>
        <w:bottom w:val="none" w:sz="0" w:space="0" w:color="auto"/>
        <w:right w:val="none" w:sz="0" w:space="0" w:color="auto"/>
      </w:divBdr>
    </w:div>
    <w:div w:id="1899974783">
      <w:bodyDiv w:val="1"/>
      <w:marLeft w:val="0"/>
      <w:marRight w:val="0"/>
      <w:marTop w:val="0"/>
      <w:marBottom w:val="0"/>
      <w:divBdr>
        <w:top w:val="none" w:sz="0" w:space="0" w:color="auto"/>
        <w:left w:val="none" w:sz="0" w:space="0" w:color="auto"/>
        <w:bottom w:val="none" w:sz="0" w:space="0" w:color="auto"/>
        <w:right w:val="none" w:sz="0" w:space="0" w:color="auto"/>
      </w:divBdr>
    </w:div>
    <w:div w:id="2005817911">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31834807">
      <w:bodyDiv w:val="1"/>
      <w:marLeft w:val="0"/>
      <w:marRight w:val="0"/>
      <w:marTop w:val="0"/>
      <w:marBottom w:val="0"/>
      <w:divBdr>
        <w:top w:val="none" w:sz="0" w:space="0" w:color="auto"/>
        <w:left w:val="none" w:sz="0" w:space="0" w:color="auto"/>
        <w:bottom w:val="none" w:sz="0" w:space="0" w:color="auto"/>
        <w:right w:val="none" w:sz="0" w:space="0" w:color="auto"/>
      </w:divBdr>
    </w:div>
    <w:div w:id="2036728511">
      <w:bodyDiv w:val="1"/>
      <w:marLeft w:val="0"/>
      <w:marRight w:val="0"/>
      <w:marTop w:val="0"/>
      <w:marBottom w:val="0"/>
      <w:divBdr>
        <w:top w:val="none" w:sz="0" w:space="0" w:color="auto"/>
        <w:left w:val="none" w:sz="0" w:space="0" w:color="auto"/>
        <w:bottom w:val="none" w:sz="0" w:space="0" w:color="auto"/>
        <w:right w:val="none" w:sz="0" w:space="0" w:color="auto"/>
      </w:divBdr>
    </w:div>
    <w:div w:id="2052145790">
      <w:bodyDiv w:val="1"/>
      <w:marLeft w:val="0"/>
      <w:marRight w:val="0"/>
      <w:marTop w:val="0"/>
      <w:marBottom w:val="0"/>
      <w:divBdr>
        <w:top w:val="none" w:sz="0" w:space="0" w:color="auto"/>
        <w:left w:val="none" w:sz="0" w:space="0" w:color="auto"/>
        <w:bottom w:val="none" w:sz="0" w:space="0" w:color="auto"/>
        <w:right w:val="none" w:sz="0" w:space="0" w:color="auto"/>
      </w:divBdr>
    </w:div>
    <w:div w:id="2067490290">
      <w:bodyDiv w:val="1"/>
      <w:marLeft w:val="0"/>
      <w:marRight w:val="0"/>
      <w:marTop w:val="0"/>
      <w:marBottom w:val="0"/>
      <w:divBdr>
        <w:top w:val="none" w:sz="0" w:space="0" w:color="auto"/>
        <w:left w:val="none" w:sz="0" w:space="0" w:color="auto"/>
        <w:bottom w:val="none" w:sz="0" w:space="0" w:color="auto"/>
        <w:right w:val="none" w:sz="0" w:space="0" w:color="auto"/>
      </w:divBdr>
      <w:divsChild>
        <w:div w:id="1698852925">
          <w:marLeft w:val="0"/>
          <w:marRight w:val="0"/>
          <w:marTop w:val="0"/>
          <w:marBottom w:val="0"/>
          <w:divBdr>
            <w:top w:val="none" w:sz="0" w:space="0" w:color="auto"/>
            <w:left w:val="none" w:sz="0" w:space="0" w:color="auto"/>
            <w:bottom w:val="none" w:sz="0" w:space="0" w:color="auto"/>
            <w:right w:val="none" w:sz="0" w:space="0" w:color="auto"/>
          </w:divBdr>
        </w:div>
      </w:divsChild>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083989385">
      <w:bodyDiv w:val="1"/>
      <w:marLeft w:val="0"/>
      <w:marRight w:val="0"/>
      <w:marTop w:val="0"/>
      <w:marBottom w:val="0"/>
      <w:divBdr>
        <w:top w:val="none" w:sz="0" w:space="0" w:color="auto"/>
        <w:left w:val="none" w:sz="0" w:space="0" w:color="auto"/>
        <w:bottom w:val="none" w:sz="0" w:space="0" w:color="auto"/>
        <w:right w:val="none" w:sz="0" w:space="0" w:color="auto"/>
      </w:divBdr>
      <w:divsChild>
        <w:div w:id="489752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3547573">
      <w:bodyDiv w:val="1"/>
      <w:marLeft w:val="0"/>
      <w:marRight w:val="0"/>
      <w:marTop w:val="0"/>
      <w:marBottom w:val="0"/>
      <w:divBdr>
        <w:top w:val="none" w:sz="0" w:space="0" w:color="auto"/>
        <w:left w:val="none" w:sz="0" w:space="0" w:color="auto"/>
        <w:bottom w:val="none" w:sz="0" w:space="0" w:color="auto"/>
        <w:right w:val="none" w:sz="0" w:space="0" w:color="auto"/>
      </w:divBdr>
      <w:divsChild>
        <w:div w:id="463816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ebapps.condusef.gob.mx/SIPRES/jsp/pub/index.jsp"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condusef.gob.mx/Revista/index.php/usuario-inteligente/condusef-responde/777-la-condusef-te-puede-ayuda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FE4B149-4D10-4151-AB65-B6BDAAAAC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9395</Words>
  <Characters>51678</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60952</CharactersWithSpaces>
  <SharedDoc>false</SharedDoc>
  <HLinks>
    <vt:vector size="138" baseType="variant">
      <vt:variant>
        <vt:i4>7995515</vt:i4>
      </vt:variant>
      <vt:variant>
        <vt:i4>126</vt:i4>
      </vt:variant>
      <vt:variant>
        <vt:i4>0</vt:i4>
      </vt:variant>
      <vt:variant>
        <vt:i4>5</vt:i4>
      </vt:variant>
      <vt:variant>
        <vt:lpwstr>https://www2.toluca.gob.mx/acata-toluca-resolucion-del-teem-sobre-eleccion-del-representante-indigena-ante-el-ayuntamiento/</vt:lpwstr>
      </vt:variant>
      <vt:variant>
        <vt:lpwstr/>
      </vt:variant>
      <vt:variant>
        <vt:i4>2556020</vt:i4>
      </vt:variant>
      <vt:variant>
        <vt:i4>123</vt:i4>
      </vt:variant>
      <vt:variant>
        <vt:i4>0</vt:i4>
      </vt:variant>
      <vt:variant>
        <vt:i4>5</vt:i4>
      </vt:variant>
      <vt:variant>
        <vt:lpwstr>https://www2.toluca.gob.mx/wp-content/uploads/2022/03/tol-pdf-convocatoria-representante-indigena-2022.pdf</vt:lpwstr>
      </vt:variant>
      <vt:variant>
        <vt:lpwstr/>
      </vt:variant>
      <vt:variant>
        <vt:i4>3342387</vt:i4>
      </vt:variant>
      <vt:variant>
        <vt:i4>120</vt:i4>
      </vt:variant>
      <vt:variant>
        <vt:i4>0</vt:i4>
      </vt:variant>
      <vt:variant>
        <vt:i4>5</vt:i4>
      </vt:variant>
      <vt:variant>
        <vt:lpwstr>https://x.com/tolucagob/status/1504580896548077576</vt:lpwstr>
      </vt:variant>
      <vt:variant>
        <vt:lpwstr/>
      </vt:variant>
      <vt:variant>
        <vt:i4>5439495</vt:i4>
      </vt:variant>
      <vt:variant>
        <vt:i4>117</vt:i4>
      </vt:variant>
      <vt:variant>
        <vt:i4>0</vt:i4>
      </vt:variant>
      <vt:variant>
        <vt:i4>5</vt:i4>
      </vt:variant>
      <vt:variant>
        <vt:lpwstr>https://adnoticias.mx/toma-protesta-representante-indigena-ante-el-cabildo-de-toluca/</vt:lpwstr>
      </vt:variant>
      <vt:variant>
        <vt:lpwstr/>
      </vt:variant>
      <vt:variant>
        <vt:i4>1703993</vt:i4>
      </vt:variant>
      <vt:variant>
        <vt:i4>110</vt:i4>
      </vt:variant>
      <vt:variant>
        <vt:i4>0</vt:i4>
      </vt:variant>
      <vt:variant>
        <vt:i4>5</vt:i4>
      </vt:variant>
      <vt:variant>
        <vt:lpwstr/>
      </vt:variant>
      <vt:variant>
        <vt:lpwstr>_Toc200991256</vt:lpwstr>
      </vt:variant>
      <vt:variant>
        <vt:i4>1703993</vt:i4>
      </vt:variant>
      <vt:variant>
        <vt:i4>104</vt:i4>
      </vt:variant>
      <vt:variant>
        <vt:i4>0</vt:i4>
      </vt:variant>
      <vt:variant>
        <vt:i4>5</vt:i4>
      </vt:variant>
      <vt:variant>
        <vt:lpwstr/>
      </vt:variant>
      <vt:variant>
        <vt:lpwstr>_Toc200991255</vt:lpwstr>
      </vt:variant>
      <vt:variant>
        <vt:i4>1703993</vt:i4>
      </vt:variant>
      <vt:variant>
        <vt:i4>98</vt:i4>
      </vt:variant>
      <vt:variant>
        <vt:i4>0</vt:i4>
      </vt:variant>
      <vt:variant>
        <vt:i4>5</vt:i4>
      </vt:variant>
      <vt:variant>
        <vt:lpwstr/>
      </vt:variant>
      <vt:variant>
        <vt:lpwstr>_Toc200991254</vt:lpwstr>
      </vt:variant>
      <vt:variant>
        <vt:i4>1703993</vt:i4>
      </vt:variant>
      <vt:variant>
        <vt:i4>92</vt:i4>
      </vt:variant>
      <vt:variant>
        <vt:i4>0</vt:i4>
      </vt:variant>
      <vt:variant>
        <vt:i4>5</vt:i4>
      </vt:variant>
      <vt:variant>
        <vt:lpwstr/>
      </vt:variant>
      <vt:variant>
        <vt:lpwstr>_Toc200991253</vt:lpwstr>
      </vt:variant>
      <vt:variant>
        <vt:i4>1703993</vt:i4>
      </vt:variant>
      <vt:variant>
        <vt:i4>86</vt:i4>
      </vt:variant>
      <vt:variant>
        <vt:i4>0</vt:i4>
      </vt:variant>
      <vt:variant>
        <vt:i4>5</vt:i4>
      </vt:variant>
      <vt:variant>
        <vt:lpwstr/>
      </vt:variant>
      <vt:variant>
        <vt:lpwstr>_Toc200991252</vt:lpwstr>
      </vt:variant>
      <vt:variant>
        <vt:i4>1703993</vt:i4>
      </vt:variant>
      <vt:variant>
        <vt:i4>80</vt:i4>
      </vt:variant>
      <vt:variant>
        <vt:i4>0</vt:i4>
      </vt:variant>
      <vt:variant>
        <vt:i4>5</vt:i4>
      </vt:variant>
      <vt:variant>
        <vt:lpwstr/>
      </vt:variant>
      <vt:variant>
        <vt:lpwstr>_Toc200991251</vt:lpwstr>
      </vt:variant>
      <vt:variant>
        <vt:i4>1703993</vt:i4>
      </vt:variant>
      <vt:variant>
        <vt:i4>74</vt:i4>
      </vt:variant>
      <vt:variant>
        <vt:i4>0</vt:i4>
      </vt:variant>
      <vt:variant>
        <vt:i4>5</vt:i4>
      </vt:variant>
      <vt:variant>
        <vt:lpwstr/>
      </vt:variant>
      <vt:variant>
        <vt:lpwstr>_Toc200991250</vt:lpwstr>
      </vt:variant>
      <vt:variant>
        <vt:i4>1769529</vt:i4>
      </vt:variant>
      <vt:variant>
        <vt:i4>68</vt:i4>
      </vt:variant>
      <vt:variant>
        <vt:i4>0</vt:i4>
      </vt:variant>
      <vt:variant>
        <vt:i4>5</vt:i4>
      </vt:variant>
      <vt:variant>
        <vt:lpwstr/>
      </vt:variant>
      <vt:variant>
        <vt:lpwstr>_Toc200991249</vt:lpwstr>
      </vt:variant>
      <vt:variant>
        <vt:i4>1769529</vt:i4>
      </vt:variant>
      <vt:variant>
        <vt:i4>62</vt:i4>
      </vt:variant>
      <vt:variant>
        <vt:i4>0</vt:i4>
      </vt:variant>
      <vt:variant>
        <vt:i4>5</vt:i4>
      </vt:variant>
      <vt:variant>
        <vt:lpwstr/>
      </vt:variant>
      <vt:variant>
        <vt:lpwstr>_Toc200991248</vt:lpwstr>
      </vt:variant>
      <vt:variant>
        <vt:i4>1769529</vt:i4>
      </vt:variant>
      <vt:variant>
        <vt:i4>56</vt:i4>
      </vt:variant>
      <vt:variant>
        <vt:i4>0</vt:i4>
      </vt:variant>
      <vt:variant>
        <vt:i4>5</vt:i4>
      </vt:variant>
      <vt:variant>
        <vt:lpwstr/>
      </vt:variant>
      <vt:variant>
        <vt:lpwstr>_Toc200991247</vt:lpwstr>
      </vt:variant>
      <vt:variant>
        <vt:i4>1769529</vt:i4>
      </vt:variant>
      <vt:variant>
        <vt:i4>50</vt:i4>
      </vt:variant>
      <vt:variant>
        <vt:i4>0</vt:i4>
      </vt:variant>
      <vt:variant>
        <vt:i4>5</vt:i4>
      </vt:variant>
      <vt:variant>
        <vt:lpwstr/>
      </vt:variant>
      <vt:variant>
        <vt:lpwstr>_Toc200991246</vt:lpwstr>
      </vt:variant>
      <vt:variant>
        <vt:i4>1769529</vt:i4>
      </vt:variant>
      <vt:variant>
        <vt:i4>44</vt:i4>
      </vt:variant>
      <vt:variant>
        <vt:i4>0</vt:i4>
      </vt:variant>
      <vt:variant>
        <vt:i4>5</vt:i4>
      </vt:variant>
      <vt:variant>
        <vt:lpwstr/>
      </vt:variant>
      <vt:variant>
        <vt:lpwstr>_Toc200991245</vt:lpwstr>
      </vt:variant>
      <vt:variant>
        <vt:i4>1769529</vt:i4>
      </vt:variant>
      <vt:variant>
        <vt:i4>38</vt:i4>
      </vt:variant>
      <vt:variant>
        <vt:i4>0</vt:i4>
      </vt:variant>
      <vt:variant>
        <vt:i4>5</vt:i4>
      </vt:variant>
      <vt:variant>
        <vt:lpwstr/>
      </vt:variant>
      <vt:variant>
        <vt:lpwstr>_Toc200991244</vt:lpwstr>
      </vt:variant>
      <vt:variant>
        <vt:i4>1769529</vt:i4>
      </vt:variant>
      <vt:variant>
        <vt:i4>32</vt:i4>
      </vt:variant>
      <vt:variant>
        <vt:i4>0</vt:i4>
      </vt:variant>
      <vt:variant>
        <vt:i4>5</vt:i4>
      </vt:variant>
      <vt:variant>
        <vt:lpwstr/>
      </vt:variant>
      <vt:variant>
        <vt:lpwstr>_Toc200991243</vt:lpwstr>
      </vt:variant>
      <vt:variant>
        <vt:i4>1769529</vt:i4>
      </vt:variant>
      <vt:variant>
        <vt:i4>26</vt:i4>
      </vt:variant>
      <vt:variant>
        <vt:i4>0</vt:i4>
      </vt:variant>
      <vt:variant>
        <vt:i4>5</vt:i4>
      </vt:variant>
      <vt:variant>
        <vt:lpwstr/>
      </vt:variant>
      <vt:variant>
        <vt:lpwstr>_Toc200991242</vt:lpwstr>
      </vt:variant>
      <vt:variant>
        <vt:i4>1769529</vt:i4>
      </vt:variant>
      <vt:variant>
        <vt:i4>20</vt:i4>
      </vt:variant>
      <vt:variant>
        <vt:i4>0</vt:i4>
      </vt:variant>
      <vt:variant>
        <vt:i4>5</vt:i4>
      </vt:variant>
      <vt:variant>
        <vt:lpwstr/>
      </vt:variant>
      <vt:variant>
        <vt:lpwstr>_Toc200991241</vt:lpwstr>
      </vt:variant>
      <vt:variant>
        <vt:i4>1769529</vt:i4>
      </vt:variant>
      <vt:variant>
        <vt:i4>14</vt:i4>
      </vt:variant>
      <vt:variant>
        <vt:i4>0</vt:i4>
      </vt:variant>
      <vt:variant>
        <vt:i4>5</vt:i4>
      </vt:variant>
      <vt:variant>
        <vt:lpwstr/>
      </vt:variant>
      <vt:variant>
        <vt:lpwstr>_Toc200991240</vt:lpwstr>
      </vt:variant>
      <vt:variant>
        <vt:i4>1835065</vt:i4>
      </vt:variant>
      <vt:variant>
        <vt:i4>8</vt:i4>
      </vt:variant>
      <vt:variant>
        <vt:i4>0</vt:i4>
      </vt:variant>
      <vt:variant>
        <vt:i4>5</vt:i4>
      </vt:variant>
      <vt:variant>
        <vt:lpwstr/>
      </vt:variant>
      <vt:variant>
        <vt:lpwstr>_Toc200991239</vt:lpwstr>
      </vt:variant>
      <vt:variant>
        <vt:i4>1835065</vt:i4>
      </vt:variant>
      <vt:variant>
        <vt:i4>2</vt:i4>
      </vt:variant>
      <vt:variant>
        <vt:i4>0</vt:i4>
      </vt:variant>
      <vt:variant>
        <vt:i4>5</vt:i4>
      </vt:variant>
      <vt:variant>
        <vt:lpwstr/>
      </vt:variant>
      <vt:variant>
        <vt:lpwstr>_Toc200991238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Cuenta Microsoft</cp:lastModifiedBy>
  <cp:revision>5</cp:revision>
  <cp:lastPrinted>2025-10-03T16:44:00Z</cp:lastPrinted>
  <dcterms:created xsi:type="dcterms:W3CDTF">2025-10-03T16:44:00Z</dcterms:created>
  <dcterms:modified xsi:type="dcterms:W3CDTF">2025-10-31T00:10:00Z</dcterms:modified>
</cp:coreProperties>
</file>