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0E" w:rsidRDefault="00FE4A0E">
      <w:pPr>
        <w:widowControl w:val="0"/>
        <w:pBdr>
          <w:top w:val="nil"/>
          <w:left w:val="nil"/>
          <w:bottom w:val="nil"/>
          <w:right w:val="nil"/>
          <w:between w:val="nil"/>
        </w:pBdr>
        <w:spacing w:after="0" w:line="276" w:lineRule="auto"/>
        <w:jc w:val="left"/>
      </w:pPr>
    </w:p>
    <w:p w:rsidR="00FE4A0E" w:rsidRDefault="00FE4A0E">
      <w:pPr>
        <w:spacing w:after="0" w:line="360" w:lineRule="auto"/>
        <w:rPr>
          <w:color w:val="000000"/>
        </w:rPr>
      </w:pPr>
    </w:p>
    <w:p w:rsidR="00FE4A0E" w:rsidRDefault="00AB6B74">
      <w:pPr>
        <w:spacing w:after="0" w:line="360" w:lineRule="auto"/>
        <w:rPr>
          <w:color w:val="000000"/>
        </w:rPr>
      </w:pPr>
      <w:r>
        <w:rPr>
          <w:color w:val="000000"/>
        </w:rPr>
        <w:t xml:space="preserve">Resolución del Pleno del Instituto de Transparencia, Acceso a la Información Pública y Protección de Datos Personales del Estado de México y Municipios, con domicilio en Metepec, Estado de México, de fecha quince de enero de dos mil veinticinco. </w:t>
      </w:r>
    </w:p>
    <w:p w:rsidR="00FE4A0E" w:rsidRDefault="00FE4A0E">
      <w:pPr>
        <w:spacing w:after="0" w:line="360" w:lineRule="auto"/>
        <w:rPr>
          <w:b/>
          <w:color w:val="000000"/>
        </w:rPr>
      </w:pPr>
    </w:p>
    <w:p w:rsidR="00FE4A0E" w:rsidRDefault="00AB6B74">
      <w:pPr>
        <w:spacing w:after="0" w:line="360" w:lineRule="auto"/>
        <w:rPr>
          <w:color w:val="0D0D0D"/>
        </w:rPr>
      </w:pPr>
      <w:r>
        <w:rPr>
          <w:b/>
          <w:color w:val="000000"/>
        </w:rPr>
        <w:t>VISTO</w:t>
      </w:r>
      <w:r>
        <w:rPr>
          <w:color w:val="0D0D0D"/>
        </w:rPr>
        <w:t xml:space="preserve"> el expediente conformado con motivo del Recurso de Revisión </w:t>
      </w:r>
      <w:r>
        <w:rPr>
          <w:b/>
          <w:color w:val="000000"/>
        </w:rPr>
        <w:t>07416/INFOEM/IP/RR/2024</w:t>
      </w:r>
      <w:r>
        <w:rPr>
          <w:color w:val="000000"/>
        </w:rPr>
        <w:t xml:space="preserve">, interpuesto por </w:t>
      </w:r>
      <w:r w:rsidR="004250AB" w:rsidRPr="004250AB">
        <w:rPr>
          <w:highlight w:val="black"/>
        </w:rPr>
        <w:t>xxxxxxxxxxxxxxx</w:t>
      </w:r>
      <w:r>
        <w:rPr>
          <w:color w:val="000000"/>
        </w:rPr>
        <w:t xml:space="preserve">, </w:t>
      </w:r>
      <w:r>
        <w:t xml:space="preserve">persona </w:t>
      </w:r>
      <w:r>
        <w:rPr>
          <w:color w:val="0D0D0D"/>
        </w:rPr>
        <w:t>Recurrente o Particular, en contra de la respuesta del Sujeto Obligado,</w:t>
      </w:r>
      <w:r>
        <w:rPr>
          <w:color w:val="000000"/>
        </w:rPr>
        <w:t xml:space="preserve"> </w:t>
      </w:r>
      <w:r w:rsidRPr="007D201E">
        <w:rPr>
          <w:b/>
          <w:color w:val="000000"/>
        </w:rPr>
        <w:t>Ayuntamiento de Ecatepec de Morelos,</w:t>
      </w:r>
      <w:r>
        <w:rPr>
          <w:color w:val="000000"/>
        </w:rPr>
        <w:t xml:space="preserve"> a la solicitud de acceso a la información 01420/ECATEPEC/IP/2024, se emite la presente Resolución, con base en los Antecedentes y Considerandos que se exponen a continuación:   </w:t>
      </w:r>
    </w:p>
    <w:p w:rsidR="00FE4A0E" w:rsidRDefault="00FE4A0E">
      <w:pPr>
        <w:spacing w:after="0" w:line="360" w:lineRule="auto"/>
        <w:rPr>
          <w:color w:val="000000"/>
        </w:rPr>
      </w:pPr>
      <w:bookmarkStart w:id="0" w:name="_GoBack"/>
      <w:bookmarkEnd w:id="0"/>
    </w:p>
    <w:p w:rsidR="00FE4A0E" w:rsidRDefault="00AB6B74">
      <w:pPr>
        <w:tabs>
          <w:tab w:val="center" w:pos="4522"/>
          <w:tab w:val="left" w:pos="7245"/>
        </w:tabs>
        <w:spacing w:after="0" w:line="360" w:lineRule="auto"/>
        <w:jc w:val="center"/>
        <w:rPr>
          <w:b/>
          <w:color w:val="000000"/>
        </w:rPr>
      </w:pPr>
      <w:r>
        <w:rPr>
          <w:b/>
          <w:color w:val="000000"/>
        </w:rPr>
        <w:t>A N T E C E D E N T E S</w:t>
      </w:r>
    </w:p>
    <w:p w:rsidR="00FE4A0E" w:rsidRDefault="00FE4A0E">
      <w:pPr>
        <w:spacing w:after="0" w:line="360" w:lineRule="auto"/>
      </w:pPr>
    </w:p>
    <w:p w:rsidR="00FE4A0E" w:rsidRDefault="00AB6B74">
      <w:pPr>
        <w:tabs>
          <w:tab w:val="left" w:pos="567"/>
        </w:tabs>
        <w:spacing w:after="0" w:line="360" w:lineRule="auto"/>
        <w:rPr>
          <w:b/>
          <w:color w:val="000000"/>
        </w:rPr>
      </w:pPr>
      <w:r>
        <w:rPr>
          <w:b/>
          <w:color w:val="000000"/>
        </w:rPr>
        <w:t>I. Presentación de la solicitud de información</w:t>
      </w:r>
    </w:p>
    <w:p w:rsidR="00FE4A0E" w:rsidRDefault="00FE4A0E">
      <w:pPr>
        <w:tabs>
          <w:tab w:val="left" w:pos="567"/>
        </w:tabs>
        <w:spacing w:after="0" w:line="360" w:lineRule="auto"/>
        <w:rPr>
          <w:color w:val="000000"/>
        </w:rPr>
      </w:pPr>
    </w:p>
    <w:p w:rsidR="00FE4A0E" w:rsidRDefault="00AB6B74">
      <w:pPr>
        <w:pBdr>
          <w:top w:val="nil"/>
          <w:left w:val="nil"/>
          <w:bottom w:val="nil"/>
          <w:right w:val="nil"/>
          <w:between w:val="nil"/>
        </w:pBdr>
        <w:spacing w:after="0" w:line="360" w:lineRule="auto"/>
        <w:rPr>
          <w:color w:val="0D0D0D"/>
        </w:rPr>
      </w:pPr>
      <w:r>
        <w:rPr>
          <w:color w:val="0D0D0D"/>
        </w:rPr>
        <w:t>Con fecha veinte de noviembre de dos mil veinticuatro, el Particular presentó una solicitud de acceso a la información pública, a través del Sistema de Acceso a la Información Mexiquense, en lo sucesivo el SAIMEX, ante el Ayuntamiento de Ecatepec de Morelos, en la que requirió, lo siguiente:</w:t>
      </w:r>
    </w:p>
    <w:p w:rsidR="00FE4A0E" w:rsidRDefault="00FE4A0E">
      <w:pPr>
        <w:spacing w:after="0" w:line="360" w:lineRule="auto"/>
      </w:pPr>
    </w:p>
    <w:p w:rsidR="00FE4A0E" w:rsidRDefault="00AB6B74">
      <w:pPr>
        <w:tabs>
          <w:tab w:val="left" w:pos="4667"/>
        </w:tabs>
        <w:spacing w:after="0" w:line="360" w:lineRule="auto"/>
        <w:ind w:left="567" w:right="567"/>
        <w:rPr>
          <w:b/>
          <w:i/>
          <w:sz w:val="20"/>
          <w:szCs w:val="20"/>
        </w:rPr>
      </w:pPr>
      <w:r>
        <w:rPr>
          <w:b/>
          <w:i/>
          <w:sz w:val="20"/>
          <w:szCs w:val="20"/>
        </w:rPr>
        <w:t>“DESCRIPCIÓN CLARA Y PRECISA DE LA INFORMACIÓN SOLICITADA</w:t>
      </w:r>
    </w:p>
    <w:p w:rsidR="00FE4A0E" w:rsidRDefault="00AB6B74">
      <w:pPr>
        <w:spacing w:after="0" w:line="360" w:lineRule="auto"/>
        <w:ind w:left="567" w:right="567"/>
        <w:rPr>
          <w:i/>
          <w:sz w:val="20"/>
          <w:szCs w:val="20"/>
        </w:rPr>
      </w:pPr>
      <w:r>
        <w:rPr>
          <w:i/>
          <w:color w:val="000000"/>
          <w:sz w:val="20"/>
          <w:szCs w:val="20"/>
        </w:rPr>
        <w:t xml:space="preserve">Se me proporcione la lista completa del personal de la Dirección de Diversidad Sexual y Atención a la Población LGBTTTIQ+, sus cargos y el salario que perciben al 20 de noviembre de 2024; así como </w:t>
      </w:r>
      <w:r>
        <w:rPr>
          <w:i/>
          <w:color w:val="000000"/>
          <w:sz w:val="20"/>
          <w:szCs w:val="20"/>
        </w:rPr>
        <w:lastRenderedPageBreak/>
        <w:t>los bienes inmuebles a cargo de la Dirección de Diversidad Sexual y Atención a la Población LGBTTTIQ+.</w:t>
      </w:r>
      <w:r>
        <w:rPr>
          <w:i/>
          <w:sz w:val="20"/>
          <w:szCs w:val="20"/>
        </w:rPr>
        <w:t>” (Sic).</w:t>
      </w:r>
    </w:p>
    <w:p w:rsidR="00FE4A0E" w:rsidRDefault="00AB6B74">
      <w:pPr>
        <w:tabs>
          <w:tab w:val="left" w:pos="4667"/>
        </w:tabs>
        <w:spacing w:after="0" w:line="360" w:lineRule="auto"/>
        <w:ind w:left="567" w:right="567"/>
        <w:rPr>
          <w:color w:val="000000"/>
          <w:sz w:val="20"/>
          <w:szCs w:val="20"/>
        </w:rPr>
      </w:pPr>
      <w:r>
        <w:rPr>
          <w:b/>
          <w:i/>
          <w:color w:val="000000"/>
          <w:sz w:val="20"/>
          <w:szCs w:val="20"/>
        </w:rPr>
        <w:t xml:space="preserve">MODALIDAD DE ENTREGA </w:t>
      </w:r>
      <w:r>
        <w:rPr>
          <w:i/>
          <w:color w:val="000000"/>
          <w:sz w:val="20"/>
          <w:szCs w:val="20"/>
        </w:rPr>
        <w:t>SAIMEX</w:t>
      </w:r>
      <w:r>
        <w:rPr>
          <w:color w:val="000000"/>
          <w:sz w:val="20"/>
          <w:szCs w:val="20"/>
        </w:rPr>
        <w:t xml:space="preserve"> </w:t>
      </w:r>
    </w:p>
    <w:p w:rsidR="00FE4A0E" w:rsidRDefault="00FE4A0E">
      <w:pPr>
        <w:tabs>
          <w:tab w:val="left" w:pos="4667"/>
        </w:tabs>
        <w:spacing w:after="0" w:line="360" w:lineRule="auto"/>
        <w:ind w:right="567"/>
        <w:rPr>
          <w:b/>
          <w:i/>
          <w:color w:val="000000"/>
          <w:sz w:val="20"/>
          <w:szCs w:val="20"/>
        </w:rPr>
      </w:pPr>
    </w:p>
    <w:p w:rsidR="00FE4A0E" w:rsidRDefault="00AB6B74">
      <w:pPr>
        <w:spacing w:after="0" w:line="360" w:lineRule="auto"/>
        <w:rPr>
          <w:b/>
        </w:rPr>
      </w:pPr>
      <w:r>
        <w:rPr>
          <w:b/>
          <w:color w:val="000000"/>
        </w:rPr>
        <w:t xml:space="preserve">II. </w:t>
      </w:r>
      <w:r>
        <w:rPr>
          <w:b/>
        </w:rPr>
        <w:t>Respuesta del Sujeto Obligado</w:t>
      </w:r>
    </w:p>
    <w:p w:rsidR="00FE4A0E" w:rsidRDefault="00FE4A0E">
      <w:pPr>
        <w:spacing w:after="0" w:line="360" w:lineRule="auto"/>
        <w:rPr>
          <w:b/>
        </w:rPr>
      </w:pPr>
    </w:p>
    <w:p w:rsidR="00FE4A0E" w:rsidRDefault="00AB6B74">
      <w:pPr>
        <w:spacing w:after="0" w:line="360" w:lineRule="auto"/>
      </w:pPr>
      <w:r>
        <w:t>Con fecha veintiséis de noviembre de dos mil veinticuatro, el Sujeto Obligado notificó, a través del SAIMEX, la respuesta a la solicitud de acceso a la información pública, en los términos siguientes:</w:t>
      </w:r>
    </w:p>
    <w:p w:rsidR="00FE4A0E" w:rsidRDefault="00FE4A0E">
      <w:pPr>
        <w:spacing w:after="0" w:line="360" w:lineRule="auto"/>
      </w:pPr>
    </w:p>
    <w:p w:rsidR="00FE4A0E" w:rsidRDefault="00AB6B74">
      <w:pPr>
        <w:spacing w:after="0" w:line="360" w:lineRule="auto"/>
        <w:ind w:left="567" w:right="567"/>
        <w:rPr>
          <w:i/>
          <w:sz w:val="20"/>
          <w:szCs w:val="20"/>
        </w:rPr>
      </w:pPr>
      <w:r>
        <w:rPr>
          <w:i/>
          <w:sz w:val="20"/>
          <w:szCs w:val="20"/>
        </w:rPr>
        <w:t>“…</w:t>
      </w:r>
    </w:p>
    <w:p w:rsidR="00FE4A0E" w:rsidRDefault="00AB6B74">
      <w:pPr>
        <w:spacing w:after="0" w:line="360" w:lineRule="auto"/>
        <w:ind w:left="567" w:right="567"/>
        <w:rPr>
          <w:i/>
          <w:sz w:val="20"/>
          <w:szCs w:val="20"/>
        </w:rPr>
      </w:pPr>
      <w:r>
        <w:rPr>
          <w:i/>
          <w:sz w:val="20"/>
          <w:szCs w:val="20"/>
        </w:rPr>
        <w:t>El H. Ayuntamiento Constitucional de Ecatepec de Morelos hace de su conocimiento la respuesta emitida por la Dirección de Diversidad y Atención a Poblaciones LGBTTIQ+ de en formato pdf.</w:t>
      </w:r>
    </w:p>
    <w:p w:rsidR="00FE4A0E" w:rsidRDefault="00AB6B74">
      <w:pPr>
        <w:spacing w:after="0" w:line="360" w:lineRule="auto"/>
        <w:ind w:left="567" w:right="567"/>
        <w:rPr>
          <w:i/>
          <w:sz w:val="20"/>
          <w:szCs w:val="20"/>
        </w:rPr>
      </w:pPr>
      <w:r>
        <w:rPr>
          <w:i/>
          <w:sz w:val="20"/>
          <w:szCs w:val="20"/>
        </w:rPr>
        <w:t xml:space="preserve">...” </w:t>
      </w:r>
    </w:p>
    <w:p w:rsidR="00FE4A0E" w:rsidRDefault="00FE4A0E">
      <w:pPr>
        <w:spacing w:after="0" w:line="360" w:lineRule="auto"/>
        <w:ind w:right="567"/>
      </w:pPr>
    </w:p>
    <w:p w:rsidR="00FE4A0E" w:rsidRDefault="00AB6B74">
      <w:pPr>
        <w:spacing w:after="0" w:line="360" w:lineRule="auto"/>
        <w:ind w:right="567"/>
      </w:pPr>
      <w:r>
        <w:t>A su respuesta, adjuntó los documentos que se describen a continuación siguientes:</w:t>
      </w:r>
    </w:p>
    <w:p w:rsidR="00FE4A0E" w:rsidRDefault="00FE4A0E">
      <w:pPr>
        <w:spacing w:after="0" w:line="360" w:lineRule="auto"/>
        <w:ind w:right="567"/>
      </w:pPr>
    </w:p>
    <w:p w:rsidR="00FE4A0E" w:rsidRDefault="00AB6B74">
      <w:pPr>
        <w:spacing w:after="0" w:line="360" w:lineRule="auto"/>
      </w:pPr>
      <w:r>
        <w:t>I) Oficio DDAPL/ECA/571/2024, de fecha veintiséis de noviembre de dos mil veinticuatro, signado por el Director de Diversidad y Atención a las Poblaciones LGBTTTIQ+, mediante el cual, de manera general, señaló que su unidad administrativa no es competente para proporcionar la información del personal, cargos y salarios, así como tampoco de los bienes inmuebles.</w:t>
      </w:r>
    </w:p>
    <w:p w:rsidR="00FE4A0E" w:rsidRDefault="00FE4A0E">
      <w:pPr>
        <w:spacing w:after="0" w:line="360" w:lineRule="auto"/>
      </w:pPr>
    </w:p>
    <w:p w:rsidR="00FE4A0E" w:rsidRDefault="00AB6B74">
      <w:pPr>
        <w:spacing w:after="0" w:line="360" w:lineRule="auto"/>
      </w:pPr>
      <w:r>
        <w:t xml:space="preserve">II) Oficio DA/ECA/SRH/DRLyDP/3742/2024, de fecha veintiséis de noviembre de dos mil veinticuatro, signado por la Subdirectora de Recursos Humanos, la cual de manera general, señaló que la información de interés del solicitante, podría ser consultada en la liga electrónica </w:t>
      </w:r>
      <w:hyperlink r:id="rId8">
        <w:r>
          <w:t>en</w:t>
        </w:r>
      </w:hyperlink>
      <w:r>
        <w:t xml:space="preserve"> formato cerrado, relativo al ejercicio 2024, artículo 92 fracción VIII A, además, adjuntó un instructivo para localizar la información. </w:t>
      </w:r>
    </w:p>
    <w:p w:rsidR="00FE4A0E" w:rsidRDefault="00AB6B74">
      <w:pPr>
        <w:spacing w:after="0" w:line="360" w:lineRule="auto"/>
        <w:rPr>
          <w:b/>
        </w:rPr>
      </w:pPr>
      <w:r>
        <w:rPr>
          <w:b/>
        </w:rPr>
        <w:t>III. Interposición del Recurso de Revisión</w:t>
      </w:r>
    </w:p>
    <w:p w:rsidR="00FE4A0E" w:rsidRDefault="00FE4A0E">
      <w:pPr>
        <w:spacing w:after="0" w:line="360" w:lineRule="auto"/>
      </w:pPr>
    </w:p>
    <w:p w:rsidR="00FE4A0E" w:rsidRDefault="00AB6B74">
      <w:pPr>
        <w:spacing w:after="0" w:line="360" w:lineRule="auto"/>
      </w:pPr>
      <w:r>
        <w:t>Con fecha treinta de noviembre de dos mil veinticuatro, se recibió en este Instituto, a través del SAIMEX, Recurso de Revisión interpuesto por la parte Recurrente, en contra de la respuesta del Sujeto Obligado, a la solicitud de información, como se muestra a continuación:</w:t>
      </w:r>
    </w:p>
    <w:p w:rsidR="00FE4A0E" w:rsidRDefault="00FE4A0E">
      <w:pPr>
        <w:spacing w:after="0" w:line="360" w:lineRule="auto"/>
      </w:pPr>
    </w:p>
    <w:p w:rsidR="00FE4A0E" w:rsidRDefault="00AB6B74">
      <w:pPr>
        <w:spacing w:after="0" w:line="360" w:lineRule="auto"/>
        <w:ind w:left="567" w:right="567"/>
        <w:rPr>
          <w:i/>
          <w:sz w:val="20"/>
          <w:szCs w:val="20"/>
        </w:rPr>
      </w:pPr>
      <w:r>
        <w:rPr>
          <w:b/>
          <w:i/>
          <w:sz w:val="20"/>
          <w:szCs w:val="20"/>
        </w:rPr>
        <w:t>“ACTO IMPUGNADO</w:t>
      </w:r>
    </w:p>
    <w:p w:rsidR="00FE4A0E" w:rsidRDefault="00AB6B74">
      <w:pPr>
        <w:spacing w:after="0" w:line="360" w:lineRule="auto"/>
        <w:ind w:left="567" w:right="567"/>
        <w:rPr>
          <w:i/>
          <w:sz w:val="20"/>
          <w:szCs w:val="20"/>
        </w:rPr>
      </w:pPr>
      <w:r>
        <w:rPr>
          <w:i/>
          <w:sz w:val="20"/>
          <w:szCs w:val="20"/>
        </w:rPr>
        <w:t xml:space="preserve">La respuesta entregada no atiende mi derecho de acceso a la información.” </w:t>
      </w:r>
    </w:p>
    <w:p w:rsidR="00FE4A0E" w:rsidRDefault="00FE4A0E">
      <w:pPr>
        <w:spacing w:after="0" w:line="360" w:lineRule="auto"/>
        <w:ind w:left="567" w:right="567"/>
        <w:rPr>
          <w:i/>
          <w:sz w:val="20"/>
          <w:szCs w:val="20"/>
        </w:rPr>
      </w:pPr>
    </w:p>
    <w:p w:rsidR="00FE4A0E" w:rsidRDefault="00AB6B74">
      <w:pPr>
        <w:spacing w:after="0" w:line="360" w:lineRule="auto"/>
        <w:ind w:left="567" w:right="567"/>
        <w:rPr>
          <w:b/>
          <w:i/>
          <w:sz w:val="20"/>
          <w:szCs w:val="20"/>
        </w:rPr>
      </w:pPr>
      <w:r>
        <w:rPr>
          <w:b/>
          <w:i/>
          <w:sz w:val="20"/>
          <w:szCs w:val="20"/>
        </w:rPr>
        <w:t>“RAZONES O MOTIVOS DE LA INCONFORMIDAD</w:t>
      </w:r>
    </w:p>
    <w:p w:rsidR="00FE4A0E" w:rsidRDefault="00AB6B74">
      <w:pPr>
        <w:spacing w:after="0" w:line="360" w:lineRule="auto"/>
        <w:ind w:left="567" w:right="567"/>
        <w:rPr>
          <w:i/>
          <w:sz w:val="20"/>
          <w:szCs w:val="20"/>
        </w:rPr>
      </w:pPr>
      <w:r>
        <w:rPr>
          <w:i/>
          <w:sz w:val="20"/>
          <w:szCs w:val="20"/>
        </w:rPr>
        <w:t xml:space="preserve">En los archivos enviados como respuesta del Sujeto Obligado, se hace mención de un sitio de internet para consultar la información solicitada, no obstante, he consultado ese sitio sin que exista dicha información, de hecho de ningún área del Gobierno Municipal. Por lo que solicito que de la información que obra en los expedientes de la Subdirección de Recursos se me proporcione lo que solicité.” </w:t>
      </w:r>
    </w:p>
    <w:p w:rsidR="00FE4A0E" w:rsidRDefault="00FE4A0E">
      <w:pPr>
        <w:tabs>
          <w:tab w:val="left" w:pos="6028"/>
        </w:tabs>
        <w:spacing w:after="0" w:line="360" w:lineRule="auto"/>
      </w:pPr>
    </w:p>
    <w:p w:rsidR="00FE4A0E" w:rsidRDefault="00AB6B74">
      <w:pPr>
        <w:tabs>
          <w:tab w:val="left" w:pos="6028"/>
        </w:tabs>
        <w:spacing w:after="0" w:line="360" w:lineRule="auto"/>
      </w:pPr>
      <w:r>
        <w:t>Junto al Recurso de Revisión, anexó las capturas de pantalla de la página correspondiente al artículo 92, fracción VIII A, Remuneraciones, en las que se advierte que no existe registro de remuneraciones.</w:t>
      </w:r>
    </w:p>
    <w:p w:rsidR="00FE4A0E" w:rsidRDefault="00FE4A0E">
      <w:pPr>
        <w:spacing w:after="0" w:line="360" w:lineRule="auto"/>
        <w:rPr>
          <w:b/>
        </w:rPr>
      </w:pPr>
    </w:p>
    <w:p w:rsidR="00FE4A0E" w:rsidRDefault="00AB6B74">
      <w:pPr>
        <w:spacing w:after="0" w:line="360" w:lineRule="auto"/>
        <w:rPr>
          <w:b/>
        </w:rPr>
      </w:pPr>
      <w:r>
        <w:rPr>
          <w:b/>
        </w:rPr>
        <w:t>IV. Trámite del Recurso de Revisión ante este Instituto</w:t>
      </w:r>
    </w:p>
    <w:p w:rsidR="00FE4A0E" w:rsidRDefault="00FE4A0E">
      <w:pPr>
        <w:spacing w:after="0" w:line="360" w:lineRule="auto"/>
        <w:rPr>
          <w:b/>
        </w:rPr>
      </w:pPr>
    </w:p>
    <w:p w:rsidR="00FE4A0E" w:rsidRDefault="00AB6B74">
      <w:pPr>
        <w:spacing w:after="0" w:line="360" w:lineRule="auto"/>
      </w:pPr>
      <w:r>
        <w:rPr>
          <w:b/>
        </w:rPr>
        <w:t xml:space="preserve">a) Turno del Medio de Impugnación. </w:t>
      </w:r>
      <w:r>
        <w:rPr>
          <w:color w:val="000000"/>
        </w:rPr>
        <w:t>El</w:t>
      </w:r>
      <w:r>
        <w:t xml:space="preserve"> </w:t>
      </w:r>
      <w:r>
        <w:rPr>
          <w:color w:val="000000"/>
        </w:rPr>
        <w:t xml:space="preserve">treinta de noviembre de dos mil veinticuatro, el SAIMEX, asignó el número de expediente 07416/INFOEM/IP/RR/2024, al Medio de Impugnación que nos ocupa, con base en el sistema aprobado por el Pleno de este Órgano </w:t>
      </w:r>
      <w:r>
        <w:rPr>
          <w:color w:val="000000"/>
        </w:rPr>
        <w:lastRenderedPageBreak/>
        <w:t xml:space="preserve">Garante y lo turnó al Comisionado Ponente Luis Gustavo Parra Noriega, para los efectos del artículo 185, fracción I de la Ley de Transparencia y Acceso a la Información Pública del Estado de México y Municipios. </w:t>
      </w:r>
    </w:p>
    <w:p w:rsidR="00FE4A0E" w:rsidRDefault="00AB6B74">
      <w:pPr>
        <w:spacing w:after="0" w:line="360" w:lineRule="auto"/>
      </w:pPr>
      <w:r>
        <w:t xml:space="preserve"> </w:t>
      </w:r>
    </w:p>
    <w:p w:rsidR="00FE4A0E" w:rsidRDefault="00AB6B74">
      <w:pPr>
        <w:spacing w:after="0" w:line="360" w:lineRule="auto"/>
      </w:pPr>
      <w:r>
        <w:rPr>
          <w:b/>
        </w:rPr>
        <w:t xml:space="preserve">b) Admisión del Recurso de Revisión. </w:t>
      </w:r>
      <w:r>
        <w:t>El cinco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mes y año, a través del SAIMEX, en el que se les otorgó un plazo de siete días hábiles posteriores a la misma, para que manifestaran lo que a su derecho conviniera y formularan alegatos.</w:t>
      </w:r>
    </w:p>
    <w:p w:rsidR="00FE4A0E" w:rsidRDefault="00FE4A0E">
      <w:pPr>
        <w:spacing w:after="0" w:line="360" w:lineRule="auto"/>
      </w:pPr>
    </w:p>
    <w:p w:rsidR="00FE4A0E" w:rsidRDefault="00AB6B74">
      <w:pPr>
        <w:spacing w:after="0" w:line="360" w:lineRule="auto"/>
        <w:rPr>
          <w:color w:val="000000"/>
        </w:rPr>
      </w:pPr>
      <w:r>
        <w:rPr>
          <w:b/>
          <w:color w:val="000000"/>
        </w:rPr>
        <w:t xml:space="preserve">c) Informe Justificado. </w:t>
      </w:r>
      <w:r>
        <w:rPr>
          <w:color w:val="000000"/>
        </w:rPr>
        <w:t>Tanto el Sujeto Obligado como el Recurrente, fueron omisos en presentar alegatos o manifestaciones que en derecho corresponden.</w:t>
      </w:r>
    </w:p>
    <w:p w:rsidR="00FE4A0E" w:rsidRDefault="00AB6B74">
      <w:pPr>
        <w:spacing w:after="0" w:line="360" w:lineRule="auto"/>
        <w:rPr>
          <w:color w:val="000000"/>
        </w:rPr>
      </w:pPr>
      <w:r>
        <w:rPr>
          <w:color w:val="000000"/>
        </w:rPr>
        <w:t xml:space="preserve"> </w:t>
      </w:r>
    </w:p>
    <w:p w:rsidR="00FE4A0E" w:rsidRDefault="00AB6B74">
      <w:pPr>
        <w:spacing w:after="0" w:line="360" w:lineRule="auto"/>
        <w:rPr>
          <w:color w:val="000000"/>
        </w:rPr>
      </w:pPr>
      <w:r>
        <w:rPr>
          <w:b/>
          <w:color w:val="000000"/>
        </w:rPr>
        <w:t>d) Cierre de instrucción.</w:t>
      </w:r>
      <w:r>
        <w:rPr>
          <w:color w:val="000000"/>
        </w:rPr>
        <w:t xml:space="preserve"> El diecisiete de diciembre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FE4A0E" w:rsidRDefault="00FE4A0E">
      <w:pPr>
        <w:spacing w:after="0" w:line="360" w:lineRule="auto"/>
        <w:rPr>
          <w:color w:val="000000"/>
        </w:rPr>
      </w:pPr>
    </w:p>
    <w:p w:rsidR="00FE4A0E" w:rsidRDefault="00AB6B74">
      <w:pPr>
        <w:spacing w:after="0" w:line="360" w:lineRule="auto"/>
        <w:jc w:val="center"/>
        <w:rPr>
          <w:b/>
          <w:color w:val="000000"/>
        </w:rPr>
      </w:pPr>
      <w:r>
        <w:rPr>
          <w:b/>
          <w:color w:val="000000"/>
        </w:rPr>
        <w:lastRenderedPageBreak/>
        <w:t>C O N S I D E R A N D O S</w:t>
      </w:r>
    </w:p>
    <w:p w:rsidR="00FE4A0E" w:rsidRDefault="00AB6B74">
      <w:pPr>
        <w:spacing w:after="0" w:line="360" w:lineRule="auto"/>
        <w:rPr>
          <w:b/>
          <w:color w:val="000000"/>
        </w:rPr>
      </w:pPr>
      <w:r>
        <w:rPr>
          <w:b/>
          <w:color w:val="000000"/>
        </w:rPr>
        <w:t>PRIMERO</w:t>
      </w:r>
      <w:r>
        <w:rPr>
          <w:color w:val="000000"/>
        </w:rPr>
        <w:t xml:space="preserve">. </w:t>
      </w:r>
      <w:r>
        <w:rPr>
          <w:b/>
          <w:color w:val="000000"/>
        </w:rPr>
        <w:t>Competencia</w:t>
      </w:r>
    </w:p>
    <w:p w:rsidR="00FE4A0E" w:rsidRDefault="00FE4A0E">
      <w:pPr>
        <w:spacing w:after="0" w:line="360" w:lineRule="auto"/>
        <w:rPr>
          <w:b/>
          <w:color w:val="000000"/>
        </w:rPr>
      </w:pPr>
    </w:p>
    <w:p w:rsidR="00FE4A0E" w:rsidRDefault="00AB6B74">
      <w:pPr>
        <w:spacing w:after="0" w:line="360" w:lineRule="auto"/>
        <w:rPr>
          <w:color w:val="000000"/>
        </w:rPr>
      </w:pPr>
      <w:r>
        <w:rPr>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t>el</w:t>
      </w:r>
      <w:r>
        <w:rPr>
          <w:color w:val="000000"/>
        </w:rPr>
        <w:t xml:space="preserve">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FE4A0E" w:rsidRDefault="00FE4A0E">
      <w:pPr>
        <w:spacing w:after="0" w:line="360" w:lineRule="auto"/>
        <w:rPr>
          <w:color w:val="000000"/>
        </w:rPr>
      </w:pPr>
    </w:p>
    <w:p w:rsidR="00FE4A0E" w:rsidRDefault="00AB6B74">
      <w:pPr>
        <w:spacing w:after="0" w:line="360" w:lineRule="auto"/>
        <w:rPr>
          <w:color w:val="000000"/>
        </w:rPr>
      </w:pPr>
      <w:r>
        <w:rPr>
          <w:b/>
          <w:color w:val="000000"/>
        </w:rPr>
        <w:t>SEGUNDO</w:t>
      </w:r>
      <w:r>
        <w:rPr>
          <w:color w:val="000000"/>
        </w:rPr>
        <w:t xml:space="preserve">. </w:t>
      </w:r>
      <w:r>
        <w:rPr>
          <w:b/>
          <w:color w:val="000000"/>
        </w:rPr>
        <w:t>Causales de improcedencia y sobreseimiento</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lastRenderedPageBreak/>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FE4A0E" w:rsidRDefault="00FE4A0E">
      <w:pPr>
        <w:spacing w:after="0" w:line="360" w:lineRule="auto"/>
        <w:rPr>
          <w:b/>
          <w:color w:val="000000"/>
        </w:rPr>
      </w:pPr>
    </w:p>
    <w:p w:rsidR="00FE4A0E" w:rsidRDefault="00AB6B74">
      <w:pPr>
        <w:spacing w:after="0" w:line="360" w:lineRule="auto"/>
        <w:rPr>
          <w:b/>
          <w:color w:val="000000"/>
        </w:rPr>
      </w:pPr>
      <w:r>
        <w:rPr>
          <w:b/>
          <w:color w:val="000000"/>
        </w:rPr>
        <w:t>Causales de sobreseimiento</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Por lo que hace a las causales de sobreseimiento, del análisis realizado por este Instituto, se advierte que</w:t>
      </w:r>
      <w:r>
        <w:rPr>
          <w:b/>
          <w:color w:val="000000"/>
        </w:rPr>
        <w:t xml:space="preserve"> no se actualiza ninguna de las previstas por el artículo 192 de la Ley de Transparencia y Acceso a la Información Pública del Estado de México y Municipios; </w:t>
      </w:r>
      <w:r>
        <w:rPr>
          <w:color w:val="000000"/>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FE4A0E" w:rsidRDefault="00FE4A0E">
      <w:pPr>
        <w:spacing w:after="0" w:line="360" w:lineRule="auto"/>
        <w:rPr>
          <w:color w:val="000000"/>
        </w:rPr>
      </w:pPr>
    </w:p>
    <w:p w:rsidR="00FE4A0E" w:rsidRDefault="00AB6B74">
      <w:pPr>
        <w:tabs>
          <w:tab w:val="left" w:pos="4962"/>
        </w:tabs>
        <w:spacing w:after="0" w:line="360" w:lineRule="auto"/>
        <w:rPr>
          <w:b/>
          <w:color w:val="000000"/>
        </w:rPr>
      </w:pPr>
      <w:r>
        <w:rPr>
          <w:b/>
          <w:color w:val="000000"/>
        </w:rPr>
        <w:t>TERCERO. Determinación de la Controversia</w:t>
      </w:r>
    </w:p>
    <w:p w:rsidR="00FE4A0E" w:rsidRDefault="00FE4A0E">
      <w:pPr>
        <w:tabs>
          <w:tab w:val="left" w:pos="4962"/>
        </w:tabs>
        <w:spacing w:after="0" w:line="360" w:lineRule="auto"/>
        <w:rPr>
          <w:b/>
          <w:color w:val="000000"/>
        </w:rPr>
      </w:pPr>
    </w:p>
    <w:p w:rsidR="00FE4A0E" w:rsidRDefault="00AB6B74">
      <w:pPr>
        <w:tabs>
          <w:tab w:val="left" w:pos="4962"/>
        </w:tabs>
        <w:spacing w:after="0" w:line="360" w:lineRule="auto"/>
        <w:rPr>
          <w:color w:val="000000"/>
        </w:rPr>
      </w:pPr>
      <w:r>
        <w:rPr>
          <w:color w:val="000000"/>
        </w:rPr>
        <w:t>El Particular solicitó conocer de la Dirección de Diversidad Sexual y Atención a la Población LGBTTTIQ+, lo siguiente:</w:t>
      </w:r>
    </w:p>
    <w:p w:rsidR="00FE4A0E" w:rsidRDefault="00FE4A0E">
      <w:pPr>
        <w:tabs>
          <w:tab w:val="left" w:pos="4962"/>
        </w:tabs>
        <w:spacing w:after="0" w:line="360" w:lineRule="auto"/>
        <w:rPr>
          <w:color w:val="000000"/>
        </w:rPr>
      </w:pPr>
    </w:p>
    <w:p w:rsidR="00FE4A0E" w:rsidRDefault="00AB6B74">
      <w:pPr>
        <w:numPr>
          <w:ilvl w:val="0"/>
          <w:numId w:val="1"/>
        </w:numPr>
        <w:pBdr>
          <w:top w:val="nil"/>
          <w:left w:val="nil"/>
          <w:bottom w:val="nil"/>
          <w:right w:val="nil"/>
          <w:between w:val="nil"/>
        </w:pBdr>
        <w:tabs>
          <w:tab w:val="left" w:pos="4962"/>
        </w:tabs>
        <w:spacing w:after="0" w:line="360" w:lineRule="auto"/>
        <w:rPr>
          <w:color w:val="000000"/>
        </w:rPr>
      </w:pPr>
      <w:r>
        <w:rPr>
          <w:color w:val="000000"/>
        </w:rPr>
        <w:t>Lista del personal adscrito, que incluya los cargos y salarios, al veinte de noviembre de dos mil veinticuatro;</w:t>
      </w:r>
    </w:p>
    <w:p w:rsidR="00FE4A0E" w:rsidRDefault="00AB6B74">
      <w:pPr>
        <w:numPr>
          <w:ilvl w:val="0"/>
          <w:numId w:val="1"/>
        </w:numPr>
        <w:pBdr>
          <w:top w:val="nil"/>
          <w:left w:val="nil"/>
          <w:bottom w:val="nil"/>
          <w:right w:val="nil"/>
          <w:between w:val="nil"/>
        </w:pBdr>
        <w:tabs>
          <w:tab w:val="left" w:pos="4962"/>
        </w:tabs>
        <w:spacing w:after="0" w:line="360" w:lineRule="auto"/>
        <w:rPr>
          <w:color w:val="000000"/>
        </w:rPr>
      </w:pPr>
      <w:r>
        <w:rPr>
          <w:color w:val="000000"/>
        </w:rPr>
        <w:lastRenderedPageBreak/>
        <w:t>Bienes inmuebles a su cargo.</w:t>
      </w:r>
    </w:p>
    <w:p w:rsidR="00FE4A0E" w:rsidRDefault="00FE4A0E">
      <w:pPr>
        <w:tabs>
          <w:tab w:val="left" w:pos="4962"/>
        </w:tabs>
        <w:spacing w:after="0" w:line="360" w:lineRule="auto"/>
        <w:rPr>
          <w:color w:val="000000"/>
        </w:rPr>
      </w:pPr>
    </w:p>
    <w:p w:rsidR="00FE4A0E" w:rsidRDefault="00AB6B74">
      <w:pPr>
        <w:tabs>
          <w:tab w:val="left" w:pos="4962"/>
        </w:tabs>
        <w:spacing w:after="0" w:line="360" w:lineRule="auto"/>
        <w:rPr>
          <w:color w:val="000000"/>
        </w:rPr>
      </w:pPr>
      <w:r>
        <w:rPr>
          <w:color w:val="000000"/>
        </w:rPr>
        <w:t xml:space="preserve">El Sujeto Obligado, proporcionó las respuestas emitidas por el </w:t>
      </w:r>
      <w:r>
        <w:t xml:space="preserve">Director de Diversidad y Atención a las Poblaciones LGBTTTIQ+, quien señaló que no es la unidad administrativa competente para otorgar la información y la Subdirectora de Recursos Humanos que remitió una liga electrónica en la que podía consultar el solicitante lo referente a las remuneraciones de los servidores públicos. </w:t>
      </w:r>
      <w:r>
        <w:rPr>
          <w:color w:val="000000"/>
        </w:rPr>
        <w:t xml:space="preserve">Derivado de ello el Particular, se inconformó, al señalar como acto impugnado que la respuesta no atiende lo solicitada, mientras que como razones o motivos de inconformidad señaló que la liga electrónica proporcionada no contiene la información solicitada, lo cual actualiza el supuesto previsto en el artículo 179, fracción I, de la Ley de Transparencia y Acceso a la Información Pública del Estado de México y Municipios. </w:t>
      </w:r>
    </w:p>
    <w:p w:rsidR="00FE4A0E" w:rsidRDefault="00FE4A0E">
      <w:pPr>
        <w:tabs>
          <w:tab w:val="left" w:pos="4962"/>
        </w:tabs>
        <w:spacing w:after="0" w:line="360" w:lineRule="auto"/>
        <w:rPr>
          <w:color w:val="000000"/>
        </w:rPr>
      </w:pPr>
    </w:p>
    <w:p w:rsidR="00FE4A0E" w:rsidRDefault="00AB6B74">
      <w:pPr>
        <w:spacing w:after="0" w:line="360" w:lineRule="auto"/>
        <w:rPr>
          <w:color w:val="000000"/>
        </w:rPr>
      </w:pPr>
      <w:r>
        <w:rPr>
          <w:color w:val="000000"/>
        </w:rPr>
        <w:t xml:space="preserve">Así las cosas, una vez admitido y notificado el Recurso de Revisión a las partes, tanto el Sujeto Obligado como la persona Recurrente fueron omisos en presentar manifestaciones o alegatos que en derecho </w:t>
      </w:r>
      <w:r>
        <w:t>correspondiera</w:t>
      </w:r>
      <w:r>
        <w:rPr>
          <w:color w:val="000000"/>
        </w:rPr>
        <w:t>.</w:t>
      </w:r>
    </w:p>
    <w:p w:rsidR="00FE4A0E" w:rsidRDefault="00FE4A0E">
      <w:pPr>
        <w:spacing w:after="0" w:line="360" w:lineRule="auto"/>
        <w:rPr>
          <w:color w:val="000000"/>
        </w:rPr>
      </w:pPr>
    </w:p>
    <w:p w:rsidR="00FE4A0E" w:rsidRDefault="00AB6B74">
      <w:pPr>
        <w:spacing w:after="0" w:line="360" w:lineRule="auto"/>
        <w:rPr>
          <w:color w:val="000000"/>
        </w:rPr>
      </w:pPr>
      <w:r>
        <w:t xml:space="preserve">Lo hasta aquí expuesto, se desprende de las documentales que obran en los expedientes de referencia, materia de la presente Resolución, consistentes en: la solicitud de acceso a la información con número de folio </w:t>
      </w:r>
      <w:r>
        <w:rPr>
          <w:color w:val="000000"/>
        </w:rPr>
        <w:t xml:space="preserve">01420/ECATEPEC/IP/2024; la respuesta proporcionada y </w:t>
      </w:r>
      <w:r>
        <w:t xml:space="preserve">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rsidR="00FE4A0E" w:rsidRDefault="00FE4A0E">
      <w:pPr>
        <w:spacing w:after="0" w:line="360" w:lineRule="auto"/>
        <w:rPr>
          <w:color w:val="000000"/>
        </w:rPr>
      </w:pPr>
    </w:p>
    <w:p w:rsidR="00FE4A0E" w:rsidRDefault="00AB6B74">
      <w:pPr>
        <w:spacing w:after="0" w:line="360" w:lineRule="auto"/>
        <w:ind w:right="-93"/>
        <w:rPr>
          <w:b/>
          <w:color w:val="000000"/>
        </w:rPr>
      </w:pPr>
      <w:r>
        <w:rPr>
          <w:b/>
          <w:color w:val="000000"/>
        </w:rPr>
        <w:t>CUARTO. Marco normativo aplicable en materia de transparencia y acceso a la información pública</w:t>
      </w:r>
    </w:p>
    <w:p w:rsidR="00FE4A0E" w:rsidRDefault="00FE4A0E">
      <w:pPr>
        <w:spacing w:after="0" w:line="360" w:lineRule="auto"/>
        <w:ind w:right="-93"/>
        <w:rPr>
          <w:b/>
          <w:color w:val="000000"/>
        </w:rPr>
      </w:pPr>
    </w:p>
    <w:p w:rsidR="00FE4A0E" w:rsidRDefault="00AB6B74">
      <w:pPr>
        <w:spacing w:after="0" w:line="360" w:lineRule="auto"/>
        <w:rPr>
          <w:color w:val="000000"/>
        </w:rPr>
      </w:pPr>
      <w:r>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rsidR="00FE4A0E" w:rsidRDefault="00FE4A0E">
      <w:pPr>
        <w:spacing w:after="0" w:line="360" w:lineRule="auto"/>
        <w:rPr>
          <w:color w:val="000000"/>
          <w:sz w:val="20"/>
          <w:szCs w:val="20"/>
        </w:rPr>
      </w:pPr>
    </w:p>
    <w:p w:rsidR="00FE4A0E" w:rsidRDefault="00AB6B74">
      <w:pPr>
        <w:spacing w:after="0" w:line="360" w:lineRule="auto"/>
        <w:rPr>
          <w:color w:val="000000"/>
        </w:rPr>
      </w:pPr>
      <w:r>
        <w:rPr>
          <w:color w:val="000000"/>
        </w:rPr>
        <w:t xml:space="preserve">El artículo 19, que, se presume que la información debe existir si se refiere a las facultades, competencias y funciones que los ordenamientos jurídicos aplicables otorgan a los sujetos </w:t>
      </w:r>
      <w:r>
        <w:rPr>
          <w:color w:val="000000"/>
        </w:rPr>
        <w:lastRenderedPageBreak/>
        <w:t>obligados y en caso de que dichas facultades no se hayan ejercido, se deberá motivar la respuesta en función de las causas que motivaron tal circunstancia.</w:t>
      </w:r>
    </w:p>
    <w:p w:rsidR="00FE4A0E" w:rsidRDefault="00FE4A0E">
      <w:pPr>
        <w:spacing w:after="0" w:line="360" w:lineRule="auto"/>
        <w:rPr>
          <w:color w:val="000000"/>
        </w:rPr>
      </w:pPr>
    </w:p>
    <w:p w:rsidR="00FE4A0E" w:rsidRDefault="00AB6B74">
      <w:pPr>
        <w:spacing w:after="0" w:line="360" w:lineRule="auto"/>
        <w:rPr>
          <w:b/>
          <w:color w:val="000000"/>
        </w:rPr>
      </w:pPr>
      <w:r>
        <w:rPr>
          <w:b/>
          <w:smallCaps/>
          <w:color w:val="000000"/>
        </w:rPr>
        <w:t>QUINTO</w:t>
      </w:r>
      <w:r>
        <w:rPr>
          <w:b/>
          <w:color w:val="000000"/>
        </w:rPr>
        <w:t>. Estudio de Fondo</w:t>
      </w:r>
    </w:p>
    <w:p w:rsidR="00FE4A0E" w:rsidRDefault="00FE4A0E">
      <w:pPr>
        <w:spacing w:after="0" w:line="360" w:lineRule="auto"/>
        <w:rPr>
          <w:b/>
          <w:color w:val="000000"/>
        </w:rPr>
      </w:pPr>
    </w:p>
    <w:p w:rsidR="00FE4A0E" w:rsidRDefault="00AB6B74">
      <w:pPr>
        <w:spacing w:after="0" w:line="360" w:lineRule="auto"/>
        <w:rPr>
          <w:color w:val="000000"/>
        </w:rPr>
      </w:pPr>
      <w:r>
        <w:rPr>
          <w:color w:val="000000"/>
        </w:rPr>
        <w:t>Expuestas las posturas de las partes, se procede al análisis del agravio hecho valer por el ahora Recurrente, concerniente al señalar la negativa a la información solicitada, por parte del Sujeto Obligado. Es importante recordar que la persona Recurrente solicitó información  de la Dirección de Diversidad Sexual y Atención a la Población LGBTTTIQ+. Puntualizado lo anterior, se analizará la información requerida en diversos apartados, como se detalla a continuación:</w:t>
      </w:r>
    </w:p>
    <w:p w:rsidR="00FE4A0E" w:rsidRDefault="00FE4A0E">
      <w:pPr>
        <w:spacing w:after="0" w:line="360" w:lineRule="auto"/>
        <w:rPr>
          <w:color w:val="000000"/>
        </w:rPr>
      </w:pPr>
    </w:p>
    <w:p w:rsidR="00FE4A0E" w:rsidRDefault="00AB6B74">
      <w:pPr>
        <w:numPr>
          <w:ilvl w:val="0"/>
          <w:numId w:val="4"/>
        </w:numPr>
        <w:spacing w:after="0" w:line="360" w:lineRule="auto"/>
        <w:rPr>
          <w:b/>
          <w:color w:val="000000"/>
        </w:rPr>
      </w:pPr>
      <w:r>
        <w:rPr>
          <w:b/>
          <w:color w:val="000000"/>
        </w:rPr>
        <w:t>Lista del personal adscrito, que incluya los cargos y salarios</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 xml:space="preserve">Sobre el tema, 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 </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 xml:space="preserve">Da la misma manera, el Anexo IV.5 Glosario de Términos, del Manual para la Planeación, Programación y Presupuesto de Egresos Municipal para el ejercicio fiscal dos mil veintidós, </w:t>
      </w:r>
      <w:r>
        <w:rPr>
          <w:color w:val="000000"/>
        </w:rPr>
        <w:lastRenderedPageBreak/>
        <w:t>establece que la remuneración es la percepción de un trabajador o retribución monetaria que se da en pago por su servicio o actividad desarrollada.</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Pr>
          <w:b/>
          <w:color w:val="000000"/>
        </w:rPr>
        <w:t>las remuneraciones brutas y netas de todos los servidores públicos, que incluya todas las percepciones, entre las cuales, se encuentran los sueldos, prestaciones, gratificaciones, primas, comisiones, dietas, bonos, estímulos, ingresos, entre otros</w:t>
      </w:r>
      <w:r>
        <w:rPr>
          <w:color w:val="000000"/>
        </w:rPr>
        <w:t>.</w:t>
      </w:r>
    </w:p>
    <w:p w:rsidR="00FE4A0E" w:rsidRDefault="00FE4A0E">
      <w:pPr>
        <w:spacing w:after="0" w:line="360" w:lineRule="auto"/>
        <w:rPr>
          <w:color w:val="000000"/>
        </w:rPr>
      </w:pPr>
    </w:p>
    <w:p w:rsidR="00FE4A0E" w:rsidRDefault="00AB6B74">
      <w:pPr>
        <w:spacing w:after="0" w:line="360" w:lineRule="auto"/>
      </w:pPr>
      <w:r>
        <w:rPr>
          <w:color w:val="000000"/>
        </w:rPr>
        <w:t xml:space="preserve">Establecido lo anterior, el Sujeto Obligado mediante respuesta, señaló que la información se encuentra publicada en el portal de IPOMEX al tratarse de una obligación común de transparencia, por lo que, señaló que entregaba el Link en el que se podía consultar la información solicitada, sin embargo, </w:t>
      </w:r>
      <w:r>
        <w:t xml:space="preserve">no se puede copiar o tener acceso directo, </w:t>
      </w:r>
      <w:r>
        <w:rPr>
          <w:b/>
        </w:rPr>
        <w:t>toda vez que se encuentra en datos cerrados.</w:t>
      </w:r>
      <w:r>
        <w:t xml:space="preserve"> </w:t>
      </w:r>
    </w:p>
    <w:p w:rsidR="00FE4A0E" w:rsidRDefault="00FE4A0E">
      <w:pPr>
        <w:spacing w:after="0" w:line="360" w:lineRule="auto"/>
      </w:pPr>
    </w:p>
    <w:p w:rsidR="00FE4A0E" w:rsidRDefault="00AB6B74">
      <w:pPr>
        <w:spacing w:after="0" w:line="360" w:lineRule="auto"/>
      </w:pPr>
      <w:r>
        <w:t>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rsidR="00FE4A0E" w:rsidRDefault="00FE4A0E">
      <w:pPr>
        <w:spacing w:after="0" w:line="360" w:lineRule="auto"/>
      </w:pPr>
    </w:p>
    <w:p w:rsidR="00FE4A0E" w:rsidRDefault="00AB6B74">
      <w:pPr>
        <w:spacing w:after="0" w:line="360" w:lineRule="auto"/>
      </w:pPr>
      <w:r>
        <w:t xml:space="preserve">Asimismo, establece que al proporcionar información pública es necesario que sea en un formato que no tenga ninguna restricción en el acceso o reutilización, por lo que, es necesario que los datos digitales (como ligas electrónicas), se proporcionen en un formato abierto, porque </w:t>
      </w:r>
      <w:r>
        <w:lastRenderedPageBreak/>
        <w:t>la entrega en datos cerrados puede propiciar error en la redacción y ello impide el acceso a la información.</w:t>
      </w:r>
    </w:p>
    <w:p w:rsidR="00FE4A0E" w:rsidRDefault="00FE4A0E">
      <w:pPr>
        <w:spacing w:after="0" w:line="360" w:lineRule="auto"/>
      </w:pPr>
    </w:p>
    <w:p w:rsidR="00FE4A0E" w:rsidRDefault="00AB6B74">
      <w:pPr>
        <w:spacing w:after="0" w:line="360" w:lineRule="auto"/>
      </w:pPr>
      <w: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FE4A0E" w:rsidRDefault="00FE4A0E">
      <w:pPr>
        <w:spacing w:after="0" w:line="360" w:lineRule="auto"/>
      </w:pPr>
    </w:p>
    <w:p w:rsidR="00FE4A0E" w:rsidRDefault="00AB6B74">
      <w:pPr>
        <w:numPr>
          <w:ilvl w:val="0"/>
          <w:numId w:val="5"/>
        </w:numPr>
        <w:spacing w:after="0" w:line="360" w:lineRule="auto"/>
      </w:pPr>
      <w:r>
        <w:rPr>
          <w:b/>
        </w:rPr>
        <w:t xml:space="preserve">Dato abierto: </w:t>
      </w:r>
      <w:r>
        <w:t>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FE4A0E" w:rsidRDefault="00FE4A0E">
      <w:pPr>
        <w:spacing w:after="0" w:line="360" w:lineRule="auto"/>
      </w:pPr>
    </w:p>
    <w:p w:rsidR="00FE4A0E" w:rsidRDefault="00AB6B74">
      <w:pPr>
        <w:numPr>
          <w:ilvl w:val="0"/>
          <w:numId w:val="5"/>
        </w:numPr>
        <w:spacing w:after="0" w:line="360" w:lineRule="auto"/>
      </w:pPr>
      <w:r>
        <w:rPr>
          <w:b/>
        </w:rPr>
        <w:t>Formato accesible:</w:t>
      </w:r>
      <w: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FE4A0E" w:rsidRDefault="00FE4A0E">
      <w:pPr>
        <w:spacing w:after="0" w:line="360" w:lineRule="auto"/>
      </w:pPr>
    </w:p>
    <w:p w:rsidR="00FE4A0E" w:rsidRDefault="00AB6B74">
      <w:pPr>
        <w:spacing w:after="0" w:line="360" w:lineRule="auto"/>
      </w:pPr>
      <w: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rsidR="00FE4A0E" w:rsidRDefault="00FE4A0E">
      <w:pPr>
        <w:spacing w:after="0" w:line="360" w:lineRule="auto"/>
      </w:pPr>
    </w:p>
    <w:p w:rsidR="00FE4A0E" w:rsidRDefault="00AB6B74">
      <w:pPr>
        <w:spacing w:after="0" w:line="360" w:lineRule="auto"/>
      </w:pPr>
      <w:r>
        <w:t xml:space="preserve">Al respecto, el artículo 161 de la Ley de Transparencia y Acceso a la Información Pública del Estado de México y Municipios, establece que cuando la documentación peticionada ya se </w:t>
      </w:r>
      <w:r>
        <w:lastRenderedPageBreak/>
        <w:t>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rsidR="00FE4A0E" w:rsidRDefault="00FE4A0E">
      <w:pPr>
        <w:spacing w:after="0" w:line="360" w:lineRule="auto"/>
      </w:pPr>
    </w:p>
    <w:p w:rsidR="00FE4A0E" w:rsidRDefault="00AB6B74">
      <w:pPr>
        <w:spacing w:after="0" w:line="360" w:lineRule="auto"/>
      </w:pPr>
      <w:r>
        <w:t>Como se logra observar, el Sujeto Obligado, si bien proporcionó la página electrónica en la que a su consideración se encontraba la información solicitada, este omitió proporcionarla en formato abierto, es decir, hizo entrega de la liga en un formato cerrado, lo cual implica la dificultad de acceder a la misma, pues se traduce al hecho de que el Particular tendría que colocar cada dígito alfanumérico, y cuya equivocación implicaría no acceder a la información contenida en las mismas, por lo que, se considera que incumplió con lo establecido en el artículo 161 de la Ley de Transparencia y Acceso a la Información Pública del Estado de México y Municipios.</w:t>
      </w:r>
    </w:p>
    <w:p w:rsidR="00FE4A0E" w:rsidRDefault="00FE4A0E">
      <w:pPr>
        <w:spacing w:after="0" w:line="360" w:lineRule="auto"/>
      </w:pPr>
    </w:p>
    <w:p w:rsidR="00FE4A0E" w:rsidRDefault="00AB6B74">
      <w:pPr>
        <w:spacing w:after="0" w:line="360" w:lineRule="auto"/>
      </w:pPr>
      <w:r>
        <w:t xml:space="preserve">No obstante lo anterior, es importante señalar que el propio Recurrente afirmó que accedió a la liga electrónica proporcionada por el Sujeto Obligado, sin que esta de cuenta de lo solicitado, ya que a su decir, no existe la información solicitada. </w:t>
      </w:r>
    </w:p>
    <w:p w:rsidR="00FE4A0E" w:rsidRDefault="00FE4A0E">
      <w:pPr>
        <w:spacing w:after="0" w:line="360" w:lineRule="auto"/>
      </w:pPr>
    </w:p>
    <w:p w:rsidR="00FE4A0E" w:rsidRDefault="00AB6B74">
      <w:pPr>
        <w:spacing w:after="0" w:line="360" w:lineRule="auto"/>
        <w:ind w:right="-28"/>
      </w:pPr>
      <w:r>
        <w:t xml:space="preserve">En consecuencia de ello, este Instituto, realizó una consulta a la misma (liga electrónica) copiando cada uno de los caracteres proporcionados, en el que se siguió paso a paso el instructivo de localización de la información proporcionado por el propio Sujeto Obligado; sin embargo, se advierte que faltan pasos a seguir dentro del propio instructivo proporcionado, ya que, si bien, se accede a la página principal, posterior a ello, al encabezado de </w:t>
      </w:r>
      <w:r>
        <w:rPr>
          <w:i/>
        </w:rPr>
        <w:t>TRANSPARENCIA</w:t>
      </w:r>
      <w:r>
        <w:t xml:space="preserve"> y en años posteriores, lo cierto es que, el Sujeto Obligado omitió señalar que se accede dos veces años posteriores, primero respecto al </w:t>
      </w:r>
      <w:r>
        <w:rPr>
          <w:i/>
        </w:rPr>
        <w:t>año 2018 y posteriores</w:t>
      </w:r>
      <w:r>
        <w:t xml:space="preserve"> y después se </w:t>
      </w:r>
      <w:r>
        <w:lastRenderedPageBreak/>
        <w:t xml:space="preserve">debe buscar </w:t>
      </w:r>
      <w:r>
        <w:rPr>
          <w:i/>
        </w:rPr>
        <w:t>2024 y posteriores</w:t>
      </w:r>
      <w:r>
        <w:t>, para poder acceder a la información solicitada, tal como se ejemplifica con el extracto siguiente:</w:t>
      </w:r>
    </w:p>
    <w:p w:rsidR="00FE4A0E" w:rsidRDefault="00FE4A0E">
      <w:pPr>
        <w:spacing w:after="0" w:line="360" w:lineRule="auto"/>
        <w:ind w:right="-28"/>
      </w:pPr>
    </w:p>
    <w:p w:rsidR="00FE4A0E" w:rsidRDefault="00AB6B74">
      <w:pPr>
        <w:spacing w:after="0" w:line="360" w:lineRule="auto"/>
        <w:jc w:val="center"/>
      </w:pPr>
      <w:r>
        <w:rPr>
          <w:noProof/>
        </w:rPr>
        <w:drawing>
          <wp:inline distT="0" distB="0" distL="0" distR="0">
            <wp:extent cx="4505521" cy="902487"/>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505521" cy="902487"/>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4622800</wp:posOffset>
                </wp:positionH>
                <wp:positionV relativeFrom="paragraph">
                  <wp:posOffset>342900</wp:posOffset>
                </wp:positionV>
                <wp:extent cx="495300" cy="367709"/>
                <wp:effectExtent l="0" t="0" r="0" b="0"/>
                <wp:wrapNone/>
                <wp:docPr id="13" name="Rectángulo redondeado 13"/>
                <wp:cNvGraphicFramePr/>
                <a:graphic xmlns:a="http://schemas.openxmlformats.org/drawingml/2006/main">
                  <a:graphicData uri="http://schemas.microsoft.com/office/word/2010/wordprocessingShape">
                    <wps:wsp>
                      <wps:cNvSpPr/>
                      <wps:spPr>
                        <a:xfrm>
                          <a:off x="5117400" y="3615196"/>
                          <a:ext cx="457200" cy="329609"/>
                        </a:xfrm>
                        <a:prstGeom prst="roundRect">
                          <a:avLst>
                            <a:gd name="adj" fmla="val 16667"/>
                          </a:avLst>
                        </a:prstGeom>
                        <a:noFill/>
                        <a:ln w="38100" cap="flat" cmpd="sng">
                          <a:solidFill>
                            <a:srgbClr val="C00000"/>
                          </a:solidFill>
                          <a:prstDash val="solid"/>
                          <a:miter lim="800000"/>
                          <a:headEnd type="none" w="sm" len="sm"/>
                          <a:tailEnd type="none" w="sm" len="sm"/>
                        </a:ln>
                      </wps:spPr>
                      <wps:txbx>
                        <w:txbxContent>
                          <w:p w:rsidR="00FE4A0E" w:rsidRDefault="00FE4A0E">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4622800</wp:posOffset>
                </wp:positionH>
                <wp:positionV relativeFrom="paragraph">
                  <wp:posOffset>342900</wp:posOffset>
                </wp:positionV>
                <wp:extent cx="495300" cy="367709"/>
                <wp:effectExtent b="0" l="0" r="0" t="0"/>
                <wp:wrapNone/>
                <wp:docPr id="13"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495300" cy="367709"/>
                        </a:xfrm>
                        <a:prstGeom prst="rect"/>
                        <a:ln/>
                      </pic:spPr>
                    </pic:pic>
                  </a:graphicData>
                </a:graphic>
              </wp:anchor>
            </w:drawing>
          </mc:Fallback>
        </mc:AlternateContent>
      </w:r>
    </w:p>
    <w:p w:rsidR="00FE4A0E" w:rsidRDefault="00FE4A0E">
      <w:pPr>
        <w:spacing w:after="0" w:line="360" w:lineRule="auto"/>
      </w:pPr>
    </w:p>
    <w:p w:rsidR="00FE4A0E" w:rsidRDefault="00AB6B74">
      <w:pPr>
        <w:spacing w:after="0" w:line="360" w:lineRule="auto"/>
        <w:jc w:val="center"/>
      </w:pPr>
      <w:r>
        <w:rPr>
          <w:noProof/>
        </w:rPr>
        <w:drawing>
          <wp:inline distT="0" distB="0" distL="0" distR="0">
            <wp:extent cx="4444182" cy="1487566"/>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44182" cy="1487566"/>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4597400</wp:posOffset>
                </wp:positionH>
                <wp:positionV relativeFrom="paragraph">
                  <wp:posOffset>1079500</wp:posOffset>
                </wp:positionV>
                <wp:extent cx="431505" cy="346444"/>
                <wp:effectExtent l="0" t="0" r="0" b="0"/>
                <wp:wrapNone/>
                <wp:docPr id="10" name="Rectángulo redondeado 10"/>
                <wp:cNvGraphicFramePr/>
                <a:graphic xmlns:a="http://schemas.openxmlformats.org/drawingml/2006/main">
                  <a:graphicData uri="http://schemas.microsoft.com/office/word/2010/wordprocessingShape">
                    <wps:wsp>
                      <wps:cNvSpPr/>
                      <wps:spPr>
                        <a:xfrm>
                          <a:off x="5149298" y="3625828"/>
                          <a:ext cx="393405" cy="308344"/>
                        </a:xfrm>
                        <a:prstGeom prst="roundRect">
                          <a:avLst>
                            <a:gd name="adj" fmla="val 16667"/>
                          </a:avLst>
                        </a:prstGeom>
                        <a:noFill/>
                        <a:ln w="38100" cap="flat" cmpd="sng">
                          <a:solidFill>
                            <a:srgbClr val="C00000"/>
                          </a:solidFill>
                          <a:prstDash val="solid"/>
                          <a:miter lim="800000"/>
                          <a:headEnd type="none" w="sm" len="sm"/>
                          <a:tailEnd type="none" w="sm" len="sm"/>
                        </a:ln>
                      </wps:spPr>
                      <wps:txbx>
                        <w:txbxContent>
                          <w:p w:rsidR="00FE4A0E" w:rsidRDefault="00FE4A0E">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4597400</wp:posOffset>
                </wp:positionH>
                <wp:positionV relativeFrom="paragraph">
                  <wp:posOffset>1079500</wp:posOffset>
                </wp:positionV>
                <wp:extent cx="431505" cy="346444"/>
                <wp:effectExtent b="0" l="0" r="0" t="0"/>
                <wp:wrapNone/>
                <wp:docPr id="10"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431505" cy="346444"/>
                        </a:xfrm>
                        <a:prstGeom prst="rect"/>
                        <a:ln/>
                      </pic:spPr>
                    </pic:pic>
                  </a:graphicData>
                </a:graphic>
              </wp:anchor>
            </w:drawing>
          </mc:Fallback>
        </mc:AlternateContent>
      </w:r>
    </w:p>
    <w:p w:rsidR="00FE4A0E" w:rsidRDefault="00FE4A0E">
      <w:pPr>
        <w:spacing w:after="0" w:line="360" w:lineRule="auto"/>
      </w:pPr>
    </w:p>
    <w:p w:rsidR="00FE4A0E" w:rsidRDefault="00AB6B74">
      <w:pPr>
        <w:spacing w:after="0" w:line="360" w:lineRule="auto"/>
      </w:pPr>
      <w:r>
        <w:t>Así, independientemente de lo señalado con antelación este Instituto accedió a la información relativa al año 2024, en la que se advierten 21 registros de la Dirección de Diversidad Sexual y Atención a la Población LGBTTTIQ+, a través de sus dos departamentos, tal como se  muestra con la inserción de la imagen siguiente:</w:t>
      </w:r>
    </w:p>
    <w:p w:rsidR="00FE4A0E" w:rsidRDefault="00AB6B74">
      <w:pPr>
        <w:spacing w:after="0" w:line="360" w:lineRule="auto"/>
        <w:jc w:val="center"/>
      </w:pPr>
      <w:r>
        <w:rPr>
          <w:noProof/>
        </w:rPr>
        <w:drawing>
          <wp:inline distT="0" distB="0" distL="0" distR="0">
            <wp:extent cx="3130692" cy="1896136"/>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130692" cy="1896136"/>
                    </a:xfrm>
                    <a:prstGeom prst="rect">
                      <a:avLst/>
                    </a:prstGeom>
                    <a:ln/>
                  </pic:spPr>
                </pic:pic>
              </a:graphicData>
            </a:graphic>
          </wp:inline>
        </w:drawing>
      </w:r>
    </w:p>
    <w:p w:rsidR="00FE4A0E" w:rsidRDefault="00FE4A0E">
      <w:pPr>
        <w:spacing w:after="0" w:line="360" w:lineRule="auto"/>
      </w:pPr>
    </w:p>
    <w:p w:rsidR="00FE4A0E" w:rsidRDefault="00FE4A0E">
      <w:pPr>
        <w:spacing w:after="0" w:line="360" w:lineRule="auto"/>
        <w:ind w:right="-28"/>
      </w:pPr>
    </w:p>
    <w:p w:rsidR="00FE4A0E" w:rsidRDefault="00AB6B74">
      <w:pPr>
        <w:spacing w:after="0" w:line="360" w:lineRule="auto"/>
        <w:ind w:right="-28"/>
      </w:pPr>
      <w:r>
        <w:t>En razón de ello, el Ayuntamiento de Ecatepec de Morelos, deberá hacer entrega de la información solicitada, respecto de la Dirección de Diversidad Sexual y Atención a la Población LGBTTTIQ+, a saber, listado del personal adscrito, cargos y salarios, al veinte de noviembre de dos mil veinticuatro.</w:t>
      </w:r>
    </w:p>
    <w:p w:rsidR="00FE4A0E" w:rsidRDefault="00FE4A0E">
      <w:pPr>
        <w:spacing w:after="0" w:line="360" w:lineRule="auto"/>
        <w:rPr>
          <w:color w:val="000000"/>
        </w:rPr>
      </w:pPr>
    </w:p>
    <w:p w:rsidR="00FE4A0E" w:rsidRDefault="00AB6B74">
      <w:pPr>
        <w:numPr>
          <w:ilvl w:val="0"/>
          <w:numId w:val="2"/>
        </w:numPr>
        <w:pBdr>
          <w:top w:val="nil"/>
          <w:left w:val="nil"/>
          <w:bottom w:val="nil"/>
          <w:right w:val="nil"/>
          <w:between w:val="nil"/>
        </w:pBdr>
        <w:spacing w:after="0" w:line="360" w:lineRule="auto"/>
        <w:rPr>
          <w:color w:val="000000"/>
        </w:rPr>
      </w:pPr>
      <w:r>
        <w:rPr>
          <w:b/>
          <w:color w:val="000000"/>
        </w:rPr>
        <w:t>Inmuebles a cargo de la Dirección de Diversidad Sexual y Atención a la Población LGBTTTIQ+</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Al respecto, la Ley Orgánica Municipal del Estado de México, señala en sus numerales 91 fracción XI y 95, fracción IV, que la Secretaría del Ayuntamiento y la Tesorería Municipal, cuentan con las atribuciones siguientes:</w:t>
      </w:r>
    </w:p>
    <w:p w:rsidR="00FE4A0E" w:rsidRDefault="00FE4A0E">
      <w:pPr>
        <w:spacing w:after="0" w:line="360" w:lineRule="auto"/>
        <w:rPr>
          <w:color w:val="000000"/>
        </w:rPr>
      </w:pPr>
    </w:p>
    <w:p w:rsidR="00FE4A0E" w:rsidRDefault="00AB6B74">
      <w:pPr>
        <w:numPr>
          <w:ilvl w:val="0"/>
          <w:numId w:val="3"/>
        </w:numPr>
        <w:pBdr>
          <w:top w:val="nil"/>
          <w:left w:val="nil"/>
          <w:bottom w:val="nil"/>
          <w:right w:val="nil"/>
          <w:between w:val="nil"/>
        </w:pBdr>
        <w:spacing w:after="0" w:line="360" w:lineRule="auto"/>
        <w:rPr>
          <w:color w:val="000000"/>
        </w:rPr>
      </w:pPr>
      <w:r>
        <w:rPr>
          <w:b/>
          <w:color w:val="000000"/>
        </w:rPr>
        <w:t>Secretaría del Ayuntamiento.-</w:t>
      </w:r>
      <w:r>
        <w:rPr>
          <w:color w:val="000000"/>
        </w:rPr>
        <w:t xml:space="preserve">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rsidR="00FE4A0E" w:rsidRDefault="00FE4A0E">
      <w:pPr>
        <w:pBdr>
          <w:top w:val="nil"/>
          <w:left w:val="nil"/>
          <w:bottom w:val="nil"/>
          <w:right w:val="nil"/>
          <w:between w:val="nil"/>
        </w:pBdr>
        <w:spacing w:after="0" w:line="360" w:lineRule="auto"/>
        <w:ind w:left="720"/>
        <w:rPr>
          <w:color w:val="000000"/>
        </w:rPr>
      </w:pPr>
    </w:p>
    <w:p w:rsidR="00FE4A0E" w:rsidRDefault="00AB6B74">
      <w:pPr>
        <w:numPr>
          <w:ilvl w:val="0"/>
          <w:numId w:val="3"/>
        </w:numPr>
        <w:pBdr>
          <w:top w:val="nil"/>
          <w:left w:val="nil"/>
          <w:bottom w:val="nil"/>
          <w:right w:val="nil"/>
          <w:between w:val="nil"/>
        </w:pBdr>
        <w:spacing w:after="0" w:line="360" w:lineRule="auto"/>
        <w:rPr>
          <w:color w:val="000000"/>
        </w:rPr>
      </w:pPr>
      <w:r>
        <w:rPr>
          <w:b/>
          <w:color w:val="000000"/>
        </w:rPr>
        <w:t>Tesorería Municipal.-</w:t>
      </w:r>
      <w:r>
        <w:rPr>
          <w:color w:val="000000"/>
        </w:rPr>
        <w:t xml:space="preserve"> llevar los registros contables, financieros y administrativos de los ingresos, egresos e inventarios.</w:t>
      </w:r>
    </w:p>
    <w:p w:rsidR="00FE4A0E" w:rsidRDefault="00FE4A0E">
      <w:pPr>
        <w:spacing w:after="0"/>
        <w:rPr>
          <w:color w:val="000000"/>
        </w:rPr>
      </w:pPr>
    </w:p>
    <w:p w:rsidR="00FE4A0E" w:rsidRDefault="00AB6B74">
      <w:pPr>
        <w:spacing w:after="0" w:line="360" w:lineRule="auto"/>
        <w:rPr>
          <w:color w:val="000000"/>
        </w:rPr>
      </w:pPr>
      <w:r>
        <w:rPr>
          <w:color w:val="000000"/>
        </w:rPr>
        <w:t xml:space="preserve">Además, no pasa desapercibido, que la propia Ley Orgánica Municipal, señala como unidades administrativas de ayuda o consulta para la elaboración del inventario a los Síndicos Municipales, quienes entre sus atribuciones se encuentran la procuración y defensa de los derechos e intereses del municipio, en especial </w:t>
      </w:r>
      <w:r>
        <w:rPr>
          <w:b/>
          <w:color w:val="000000"/>
        </w:rPr>
        <w:t>los de carácter patrimonial</w:t>
      </w:r>
      <w:r>
        <w:rPr>
          <w:color w:val="000000"/>
        </w:rPr>
        <w:t xml:space="preserve">, al intervenir en la </w:t>
      </w:r>
      <w:r>
        <w:rPr>
          <w:color w:val="000000"/>
        </w:rPr>
        <w:lastRenderedPageBreak/>
        <w:t>formulación del inventario general de los bienes muebles e inmuebles propiedad del municipio, y el Órgano Interno de Control, quien</w:t>
      </w:r>
      <w:r>
        <w:rPr>
          <w:b/>
          <w:color w:val="000000"/>
        </w:rPr>
        <w:t xml:space="preserve"> p</w:t>
      </w:r>
      <w:r>
        <w:rPr>
          <w:color w:val="000000"/>
        </w:rPr>
        <w:t>articipa en la elaboración y actualización del inventario general de los bienes muebles e inmuebles propiedad del municipio, que expresará las características de identificación y destino de los mismos.</w:t>
      </w:r>
    </w:p>
    <w:p w:rsidR="00FE4A0E" w:rsidRDefault="00FE4A0E">
      <w:pPr>
        <w:pBdr>
          <w:top w:val="nil"/>
          <w:left w:val="nil"/>
          <w:bottom w:val="nil"/>
          <w:right w:val="nil"/>
          <w:between w:val="nil"/>
        </w:pBdr>
        <w:spacing w:after="0" w:line="240" w:lineRule="auto"/>
        <w:ind w:left="720"/>
        <w:rPr>
          <w:color w:val="000000"/>
        </w:rPr>
      </w:pPr>
    </w:p>
    <w:p w:rsidR="00FE4A0E" w:rsidRDefault="00AB6B74">
      <w:pPr>
        <w:spacing w:after="0" w:line="360" w:lineRule="auto"/>
        <w:rPr>
          <w:color w:val="000000"/>
        </w:rPr>
      </w:pPr>
      <w:r>
        <w:rPr>
          <w:color w:val="000000"/>
        </w:rPr>
        <w:t>En razón de lo anterior, el Sujeto Obligado, cuenta con la Tesorería y la Secretaría del Ayuntamiento, unidades administrativas competentes, para conocer, poseer y generar la información solicitada.</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No pasa desapercibido, que la información referente a los inmuebles del Ayuntamiento de Ecatepec de Morelos, corresponde a una obligación de transparencia, de acuerdo a lo señalado en el artículo 92, fracción XXXVIII, de la Ley de Transparencia y Acceso a la Información Pública del Estado de México y Municipios, que se transcribe a continuación:</w:t>
      </w:r>
    </w:p>
    <w:p w:rsidR="00FE4A0E" w:rsidRDefault="00FE4A0E">
      <w:pPr>
        <w:spacing w:after="0" w:line="360" w:lineRule="auto"/>
        <w:ind w:right="-93"/>
        <w:rPr>
          <w:color w:val="000000"/>
        </w:rPr>
      </w:pPr>
    </w:p>
    <w:p w:rsidR="00FE4A0E" w:rsidRDefault="00AB6B74">
      <w:pPr>
        <w:spacing w:after="0" w:line="360" w:lineRule="auto"/>
        <w:ind w:left="708" w:right="539"/>
        <w:jc w:val="center"/>
        <w:rPr>
          <w:b/>
          <w:i/>
          <w:color w:val="000000"/>
          <w:sz w:val="20"/>
          <w:szCs w:val="20"/>
        </w:rPr>
      </w:pPr>
      <w:r>
        <w:rPr>
          <w:b/>
          <w:i/>
          <w:color w:val="000000"/>
          <w:sz w:val="20"/>
          <w:szCs w:val="20"/>
        </w:rPr>
        <w:t>Capítulo II</w:t>
      </w:r>
    </w:p>
    <w:p w:rsidR="00FE4A0E" w:rsidRDefault="00AB6B74">
      <w:pPr>
        <w:spacing w:after="0" w:line="360" w:lineRule="auto"/>
        <w:ind w:left="708" w:right="539"/>
        <w:jc w:val="center"/>
        <w:rPr>
          <w:b/>
          <w:i/>
          <w:color w:val="000000"/>
          <w:sz w:val="20"/>
          <w:szCs w:val="20"/>
        </w:rPr>
      </w:pPr>
      <w:r>
        <w:rPr>
          <w:b/>
          <w:i/>
          <w:color w:val="000000"/>
          <w:sz w:val="20"/>
          <w:szCs w:val="20"/>
        </w:rPr>
        <w:t>De las Obligaciones de Transparencia Comunes</w:t>
      </w:r>
    </w:p>
    <w:p w:rsidR="00FE4A0E" w:rsidRDefault="00AB6B74">
      <w:pPr>
        <w:spacing w:after="0" w:line="360" w:lineRule="auto"/>
        <w:ind w:left="708" w:right="539"/>
        <w:rPr>
          <w:i/>
          <w:color w:val="000000"/>
          <w:sz w:val="20"/>
          <w:szCs w:val="20"/>
        </w:rPr>
      </w:pPr>
      <w:r>
        <w:rPr>
          <w:b/>
          <w:i/>
          <w:color w:val="000000"/>
          <w:sz w:val="20"/>
          <w:szCs w:val="20"/>
        </w:rPr>
        <w:t>Artículo 92.</w:t>
      </w:r>
      <w:r>
        <w:rPr>
          <w:i/>
          <w:color w:val="000000"/>
          <w:sz w:val="20"/>
          <w:szCs w:val="20"/>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FE4A0E" w:rsidRDefault="00FE4A0E">
      <w:pPr>
        <w:spacing w:after="0" w:line="360" w:lineRule="auto"/>
        <w:ind w:left="708" w:right="539"/>
        <w:rPr>
          <w:b/>
          <w:i/>
          <w:color w:val="000000"/>
          <w:sz w:val="20"/>
          <w:szCs w:val="20"/>
        </w:rPr>
      </w:pPr>
    </w:p>
    <w:p w:rsidR="00FE4A0E" w:rsidRDefault="00AB6B74">
      <w:pPr>
        <w:spacing w:after="0" w:line="360" w:lineRule="auto"/>
        <w:ind w:left="708" w:right="539"/>
        <w:rPr>
          <w:b/>
          <w:i/>
          <w:color w:val="000000"/>
          <w:sz w:val="20"/>
          <w:szCs w:val="20"/>
        </w:rPr>
      </w:pPr>
      <w:r>
        <w:rPr>
          <w:b/>
          <w:i/>
          <w:color w:val="000000"/>
          <w:sz w:val="20"/>
          <w:szCs w:val="20"/>
        </w:rPr>
        <w:t xml:space="preserve">I </w:t>
      </w:r>
      <w:r>
        <w:rPr>
          <w:i/>
          <w:color w:val="000000"/>
          <w:sz w:val="20"/>
          <w:szCs w:val="20"/>
        </w:rPr>
        <w:t>al</w:t>
      </w:r>
      <w:r>
        <w:rPr>
          <w:b/>
          <w:i/>
          <w:color w:val="000000"/>
          <w:sz w:val="20"/>
          <w:szCs w:val="20"/>
        </w:rPr>
        <w:t xml:space="preserve"> XXXVII…</w:t>
      </w:r>
    </w:p>
    <w:p w:rsidR="00FE4A0E" w:rsidRDefault="00AB6B74">
      <w:pPr>
        <w:spacing w:after="0" w:line="360" w:lineRule="auto"/>
        <w:ind w:left="708" w:right="539"/>
        <w:rPr>
          <w:b/>
          <w:i/>
          <w:color w:val="000000"/>
          <w:sz w:val="20"/>
          <w:szCs w:val="20"/>
        </w:rPr>
      </w:pPr>
      <w:r>
        <w:rPr>
          <w:b/>
          <w:i/>
          <w:color w:val="000000"/>
          <w:sz w:val="20"/>
          <w:szCs w:val="20"/>
        </w:rPr>
        <w:t>XXXVIII. El inventario de bienes muebles e inmuebles en posesión y propiedad;</w:t>
      </w:r>
    </w:p>
    <w:p w:rsidR="00FE4A0E" w:rsidRDefault="00AB6B74">
      <w:pPr>
        <w:spacing w:after="0" w:line="360" w:lineRule="auto"/>
        <w:ind w:left="708" w:right="539"/>
        <w:rPr>
          <w:i/>
          <w:color w:val="000000"/>
          <w:sz w:val="20"/>
          <w:szCs w:val="20"/>
        </w:rPr>
      </w:pPr>
      <w:r>
        <w:rPr>
          <w:b/>
          <w:i/>
          <w:color w:val="000000"/>
          <w:sz w:val="20"/>
          <w:szCs w:val="20"/>
        </w:rPr>
        <w:t xml:space="preserve">XXXIX </w:t>
      </w:r>
      <w:r>
        <w:rPr>
          <w:i/>
          <w:color w:val="000000"/>
          <w:sz w:val="20"/>
          <w:szCs w:val="20"/>
        </w:rPr>
        <w:t xml:space="preserve">a </w:t>
      </w:r>
      <w:r>
        <w:rPr>
          <w:b/>
          <w:i/>
          <w:color w:val="000000"/>
          <w:sz w:val="20"/>
          <w:szCs w:val="20"/>
        </w:rPr>
        <w:t>LII…</w:t>
      </w:r>
    </w:p>
    <w:p w:rsidR="00FE4A0E" w:rsidRDefault="00FE4A0E">
      <w:pPr>
        <w:spacing w:after="0" w:line="360" w:lineRule="auto"/>
        <w:ind w:right="-93"/>
        <w:rPr>
          <w:color w:val="000000"/>
        </w:rPr>
      </w:pPr>
    </w:p>
    <w:p w:rsidR="00FE4A0E" w:rsidRDefault="00AB6B74">
      <w:pPr>
        <w:spacing w:after="0" w:line="360" w:lineRule="auto"/>
        <w:rPr>
          <w:color w:val="000000"/>
        </w:rPr>
      </w:pPr>
      <w:r>
        <w:rPr>
          <w:color w:val="000000"/>
        </w:rPr>
        <w:t xml:space="preserve">Aunado lo anterior, los Lineamientos Técnicos Generales para la publicación, homologación y estandarización de la información de las obligaciones establecidas en el Título Quinto y en la </w:t>
      </w:r>
      <w:r>
        <w:rPr>
          <w:color w:val="000000"/>
        </w:rPr>
        <w:lastRenderedPageBreak/>
        <w:t>fracción IV, del artículo 31, de la Ley General de Transparencia y Acceso a la Información Pública, que deben de difundir los sujetos obligados en los portales de Internet y en la Plataforma Nacional de Transparencia detallan los criterios sustantivos y adjetivos que por cada rubro de información determinan los datos, características y forma de organización de la información que publicarán y actualizarán en sus portales de Internet y en la Plataforma Nacional.</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Así, dentro de ellos se encuentra la fracción XXXIV, “El inventario de bienes muebles e inmuebles en posesión y propiedad” y dentro de los datos correspondientes a los bienes inmuebles, se encuentran la Institución a cargo del inmueble y el área del servidor públicos que funge como responsable del inmueble, por parte del Gobierno Federal, las entidades federativas o los municipios, cuyo formato es el siguiente:</w:t>
      </w:r>
    </w:p>
    <w:p w:rsidR="00FE4A0E" w:rsidRDefault="00FE4A0E">
      <w:pPr>
        <w:spacing w:after="0" w:line="360" w:lineRule="auto"/>
        <w:rPr>
          <w:color w:val="000000"/>
        </w:rPr>
      </w:pPr>
    </w:p>
    <w:p w:rsidR="00FE4A0E" w:rsidRDefault="00AB6B74">
      <w:pPr>
        <w:spacing w:after="0" w:line="360" w:lineRule="auto"/>
        <w:jc w:val="center"/>
        <w:rPr>
          <w:color w:val="000000"/>
        </w:rPr>
      </w:pPr>
      <w:r>
        <w:rPr>
          <w:noProof/>
          <w:color w:val="000000"/>
        </w:rPr>
        <w:drawing>
          <wp:inline distT="0" distB="0" distL="0" distR="0">
            <wp:extent cx="5791835" cy="153543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791835" cy="1535430"/>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simplePos x="0" y="0"/>
                <wp:positionH relativeFrom="column">
                  <wp:posOffset>4749800</wp:posOffset>
                </wp:positionH>
                <wp:positionV relativeFrom="paragraph">
                  <wp:posOffset>469900</wp:posOffset>
                </wp:positionV>
                <wp:extent cx="964375" cy="703118"/>
                <wp:effectExtent l="0" t="0" r="0" b="0"/>
                <wp:wrapNone/>
                <wp:docPr id="12" name="Rectángulo redondeado 12"/>
                <wp:cNvGraphicFramePr/>
                <a:graphic xmlns:a="http://schemas.openxmlformats.org/drawingml/2006/main">
                  <a:graphicData uri="http://schemas.microsoft.com/office/word/2010/wordprocessingShape">
                    <wps:wsp>
                      <wps:cNvSpPr/>
                      <wps:spPr>
                        <a:xfrm>
                          <a:off x="4882863" y="3447491"/>
                          <a:ext cx="926275" cy="665018"/>
                        </a:xfrm>
                        <a:prstGeom prst="roundRect">
                          <a:avLst>
                            <a:gd name="adj" fmla="val 16667"/>
                          </a:avLst>
                        </a:prstGeom>
                        <a:noFill/>
                        <a:ln w="38100" cap="flat" cmpd="sng">
                          <a:solidFill>
                            <a:srgbClr val="C00000"/>
                          </a:solidFill>
                          <a:prstDash val="solid"/>
                          <a:miter lim="800000"/>
                          <a:headEnd type="none" w="sm" len="sm"/>
                          <a:tailEnd type="none" w="sm" len="sm"/>
                        </a:ln>
                      </wps:spPr>
                      <wps:txbx>
                        <w:txbxContent>
                          <w:p w:rsidR="00FE4A0E" w:rsidRDefault="00FE4A0E">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469900</wp:posOffset>
                </wp:positionV>
                <wp:extent cx="964375" cy="703118"/>
                <wp:effectExtent b="0" l="0" r="0" t="0"/>
                <wp:wrapNone/>
                <wp:docPr id="12"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964375" cy="703118"/>
                        </a:xfrm>
                        <a:prstGeom prst="rect"/>
                        <a:ln/>
                      </pic:spPr>
                    </pic:pic>
                  </a:graphicData>
                </a:graphic>
              </wp:anchor>
            </w:drawing>
          </mc:Fallback>
        </mc:AlternateContent>
      </w:r>
    </w:p>
    <w:p w:rsidR="00FE4A0E" w:rsidRDefault="00AB6B74">
      <w:pPr>
        <w:spacing w:after="0" w:line="360" w:lineRule="auto"/>
        <w:jc w:val="center"/>
        <w:rPr>
          <w:color w:val="000000"/>
        </w:rPr>
      </w:pPr>
      <w:r>
        <w:rPr>
          <w:noProof/>
          <w:color w:val="000000"/>
        </w:rPr>
        <w:drawing>
          <wp:inline distT="0" distB="0" distL="0" distR="0">
            <wp:extent cx="5791835" cy="108712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791835" cy="1087120"/>
                    </a:xfrm>
                    <a:prstGeom prst="rect">
                      <a:avLst/>
                    </a:prstGeom>
                    <a:ln/>
                  </pic:spPr>
                </pic:pic>
              </a:graphicData>
            </a:graphic>
          </wp:inline>
        </w:drawing>
      </w:r>
      <w:r>
        <w:rPr>
          <w:noProof/>
        </w:rPr>
        <mc:AlternateContent>
          <mc:Choice Requires="wpg">
            <w:drawing>
              <wp:anchor distT="0" distB="0" distL="114300" distR="114300" simplePos="0" relativeHeight="251661312" behindDoc="0" locked="0" layoutInCell="1" hidden="0" allowOverlap="1">
                <wp:simplePos x="0" y="0"/>
                <wp:positionH relativeFrom="column">
                  <wp:posOffset>3937000</wp:posOffset>
                </wp:positionH>
                <wp:positionV relativeFrom="paragraph">
                  <wp:posOffset>63500</wp:posOffset>
                </wp:positionV>
                <wp:extent cx="1771452" cy="786246"/>
                <wp:effectExtent l="0" t="0" r="0" b="0"/>
                <wp:wrapNone/>
                <wp:docPr id="11" name="Rectángulo redondeado 11"/>
                <wp:cNvGraphicFramePr/>
                <a:graphic xmlns:a="http://schemas.openxmlformats.org/drawingml/2006/main">
                  <a:graphicData uri="http://schemas.microsoft.com/office/word/2010/wordprocessingShape">
                    <wps:wsp>
                      <wps:cNvSpPr/>
                      <wps:spPr>
                        <a:xfrm>
                          <a:off x="4479324" y="3405927"/>
                          <a:ext cx="1733352" cy="748146"/>
                        </a:xfrm>
                        <a:prstGeom prst="roundRect">
                          <a:avLst>
                            <a:gd name="adj" fmla="val 16667"/>
                          </a:avLst>
                        </a:prstGeom>
                        <a:noFill/>
                        <a:ln w="38100" cap="flat" cmpd="sng">
                          <a:solidFill>
                            <a:srgbClr val="C00000"/>
                          </a:solidFill>
                          <a:prstDash val="solid"/>
                          <a:miter lim="800000"/>
                          <a:headEnd type="none" w="sm" len="sm"/>
                          <a:tailEnd type="none" w="sm" len="sm"/>
                        </a:ln>
                      </wps:spPr>
                      <wps:txbx>
                        <w:txbxContent>
                          <w:p w:rsidR="00FE4A0E" w:rsidRDefault="00FE4A0E">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3937000</wp:posOffset>
                </wp:positionH>
                <wp:positionV relativeFrom="paragraph">
                  <wp:posOffset>63500</wp:posOffset>
                </wp:positionV>
                <wp:extent cx="1771452" cy="786246"/>
                <wp:effectExtent b="0" l="0" r="0" t="0"/>
                <wp:wrapNone/>
                <wp:docPr id="11"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771452" cy="786246"/>
                        </a:xfrm>
                        <a:prstGeom prst="rect"/>
                        <a:ln/>
                      </pic:spPr>
                    </pic:pic>
                  </a:graphicData>
                </a:graphic>
              </wp:anchor>
            </w:drawing>
          </mc:Fallback>
        </mc:AlternateContent>
      </w:r>
    </w:p>
    <w:p w:rsidR="00FE4A0E" w:rsidRDefault="00251B8A">
      <w:pPr>
        <w:spacing w:after="0" w:line="360" w:lineRule="auto"/>
        <w:jc w:val="center"/>
        <w:rPr>
          <w:color w:val="000000"/>
          <w:sz w:val="16"/>
          <w:szCs w:val="16"/>
        </w:rPr>
      </w:pPr>
      <w:hyperlink r:id="rId18">
        <w:r w:rsidR="00AB6B74">
          <w:rPr>
            <w:color w:val="0563C1"/>
            <w:sz w:val="16"/>
            <w:szCs w:val="16"/>
            <w:u w:val="single"/>
          </w:rPr>
          <w:t>https://snt.org.mx/wp-content/uploads/Lineamientos-Tecnicos-Generales-Version-Integrada.pdf</w:t>
        </w:r>
      </w:hyperlink>
      <w:r w:rsidR="00AB6B74">
        <w:rPr>
          <w:color w:val="000000"/>
          <w:sz w:val="16"/>
          <w:szCs w:val="16"/>
        </w:rPr>
        <w:t xml:space="preserve"> </w:t>
      </w:r>
    </w:p>
    <w:p w:rsidR="00FE4A0E" w:rsidRDefault="00AB6B74">
      <w:pPr>
        <w:spacing w:after="0" w:line="360" w:lineRule="auto"/>
        <w:jc w:val="center"/>
        <w:rPr>
          <w:color w:val="000000"/>
          <w:sz w:val="16"/>
          <w:szCs w:val="16"/>
        </w:rPr>
      </w:pPr>
      <w:r>
        <w:rPr>
          <w:color w:val="000000"/>
          <w:sz w:val="16"/>
          <w:szCs w:val="16"/>
        </w:rPr>
        <w:t>(Consultado el diecinueve de diciembre de dos mil veinticuatro)</w:t>
      </w:r>
    </w:p>
    <w:p w:rsidR="00FE4A0E" w:rsidRDefault="00FE4A0E">
      <w:pPr>
        <w:spacing w:after="0" w:line="360" w:lineRule="auto"/>
        <w:jc w:val="center"/>
        <w:rPr>
          <w:color w:val="000000"/>
        </w:rPr>
      </w:pPr>
    </w:p>
    <w:p w:rsidR="00FE4A0E" w:rsidRDefault="00FE4A0E">
      <w:pPr>
        <w:spacing w:after="0" w:line="360" w:lineRule="auto"/>
        <w:rPr>
          <w:color w:val="000000"/>
        </w:rPr>
      </w:pPr>
    </w:p>
    <w:p w:rsidR="00FE4A0E" w:rsidRDefault="00AB6B74">
      <w:pPr>
        <w:spacing w:after="0" w:line="360" w:lineRule="auto"/>
        <w:rPr>
          <w:color w:val="000000"/>
        </w:rPr>
      </w:pPr>
      <w:r>
        <w:rPr>
          <w:color w:val="000000"/>
        </w:rPr>
        <w:t xml:space="preserve">Atento a lo anterior, el Sujeto Obligado, no emitió pronunciamiento alguno que diera cuenta de la información solicitada. Razón por la cual, para dar cabal cumplimiento a este punto de la solicitud, el Sujeto Obligado deberá proporcionar, de ser el caso, los nombres de los inmuebles que se encuentran a cargo de la Dirección de Diversidad Sexual y Atención a la Población LGBTTTIQ+. </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Ahora bien, este Instituto realizó una búsqueda en el Portal de Información Pública de Oficio Mexiquense y la página oficial del Sujeto Obligado y no se localizó algún indicio de que el área en cuestión, tenga asignado algún bien inmueble, por lo que, en dicho caso, deberá informárselo a la parte Recurrente, de manera clara y precisa, de conformidad con lo establecido en el artículo 19, párrafo segundo, de la Ley de Transparencia y Acceso a la Información Pública del Estado de México y Municipios.</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 xml:space="preserve">Para tal situación, el Sujeto Obligado deberá seguir el procedimiento establecido en el artículo 168 de dicho ordenamiento jurídico; esto es, que el área competente deberá elaborar la versión </w:t>
      </w:r>
      <w:r>
        <w:rPr>
          <w:color w:val="000000"/>
        </w:rPr>
        <w:lastRenderedPageBreak/>
        <w:t>pública, así como emitir el Acuerdo, por parte del Comité de Transparencia, donde confirme la clasificación de los datos, fundando y motivando la clasificación.</w:t>
      </w:r>
    </w:p>
    <w:p w:rsidR="00FE4A0E" w:rsidRDefault="00AB6B74">
      <w:pPr>
        <w:tabs>
          <w:tab w:val="left" w:pos="1845"/>
        </w:tabs>
        <w:spacing w:after="0" w:line="360" w:lineRule="auto"/>
        <w:rPr>
          <w:b/>
        </w:rPr>
      </w:pPr>
      <w:r>
        <w:rPr>
          <w:b/>
        </w:rPr>
        <w:t xml:space="preserve">SEXTO. Decisión </w:t>
      </w:r>
    </w:p>
    <w:p w:rsidR="00FE4A0E" w:rsidRDefault="00FE4A0E">
      <w:pPr>
        <w:spacing w:after="0" w:line="360" w:lineRule="auto"/>
      </w:pPr>
    </w:p>
    <w:p w:rsidR="00FE4A0E" w:rsidRDefault="00AB6B74">
      <w:pPr>
        <w:spacing w:after="0" w:line="360" w:lineRule="auto"/>
        <w:ind w:right="-93"/>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t>01420/ECATEPEC/IP/2024</w:t>
      </w:r>
      <w:r>
        <w:t xml:space="preserve">, por resultar parcialmente fundadas las razones o motivos de inconformidad hechos valer por el Recurrente, en el Recurso de Revisión </w:t>
      </w:r>
      <w:r>
        <w:rPr>
          <w:b/>
        </w:rPr>
        <w:t>07416/INFOEM/IP/RR/2024</w:t>
      </w:r>
      <w:r>
        <w:t xml:space="preserve">, en consecuencia procede </w:t>
      </w:r>
      <w:r>
        <w:rPr>
          <w:b/>
        </w:rPr>
        <w:t>ORDENAR</w:t>
      </w:r>
      <w:r>
        <w:t xml:space="preserve">, conceda a través del SAIMEX, la información requerida por el Particular. </w:t>
      </w:r>
    </w:p>
    <w:p w:rsidR="00FE4A0E" w:rsidRDefault="00AB6B74">
      <w:pPr>
        <w:spacing w:after="0" w:line="360" w:lineRule="auto"/>
        <w:ind w:right="-93"/>
      </w:pPr>
      <w:r>
        <w:t xml:space="preserve">  </w:t>
      </w:r>
    </w:p>
    <w:p w:rsidR="00FE4A0E" w:rsidRDefault="00AB6B74">
      <w:pPr>
        <w:spacing w:after="0" w:line="360" w:lineRule="auto"/>
        <w:rPr>
          <w:b/>
          <w:u w:val="single"/>
        </w:rPr>
      </w:pPr>
      <w:r>
        <w:rPr>
          <w:b/>
          <w:u w:val="single"/>
        </w:rPr>
        <w:t>Términos de la Resolución para el Recurrente:</w:t>
      </w:r>
    </w:p>
    <w:p w:rsidR="00FE4A0E" w:rsidRDefault="00FE4A0E">
      <w:pPr>
        <w:spacing w:after="0" w:line="360" w:lineRule="auto"/>
      </w:pPr>
    </w:p>
    <w:p w:rsidR="00FE4A0E" w:rsidRDefault="00AB6B74">
      <w:pPr>
        <w:spacing w:after="0" w:line="360" w:lineRule="auto"/>
      </w:pPr>
      <w:r>
        <w:t>Se hace del conocimiento del Recurrente que este Instituto, determinó modificar la respuesta que le entregó el Sujeto Obligado a su solicitud de acceso, toda vez que la información solicitada se trata de aquella generada en cumplimiento a sus atribuciones.</w:t>
      </w:r>
    </w:p>
    <w:p w:rsidR="00FE4A0E" w:rsidRDefault="00FE4A0E">
      <w:pPr>
        <w:spacing w:after="0" w:line="360" w:lineRule="auto"/>
        <w:rPr>
          <w:u w:val="single"/>
        </w:rPr>
      </w:pPr>
    </w:p>
    <w:p w:rsidR="00FE4A0E" w:rsidRDefault="00AB6B74">
      <w:pPr>
        <w:spacing w:after="0" w:line="360" w:lineRule="auto"/>
        <w:ind w:right="-93"/>
        <w:rPr>
          <w:u w:val="single"/>
        </w:rPr>
      </w:pPr>
      <w:r>
        <w:rPr>
          <w:u w:val="single"/>
        </w:rPr>
        <w:t>La labor del INFOEM, es apoyar a la población para acceder a la información pública y garantizar la protección de sus datos personales.</w:t>
      </w:r>
    </w:p>
    <w:p w:rsidR="00FE4A0E" w:rsidRDefault="00AB6B74">
      <w:pPr>
        <w:spacing w:after="0" w:line="360" w:lineRule="auto"/>
        <w:ind w:right="-93"/>
        <w:rPr>
          <w:color w:val="000000"/>
        </w:rPr>
      </w:pPr>
      <w:r>
        <w:rPr>
          <w:color w:val="000000"/>
        </w:rPr>
        <w:t>Por lo expuesto y fundado, este Pleno:</w:t>
      </w:r>
    </w:p>
    <w:p w:rsidR="00FE4A0E" w:rsidRDefault="00AB6B74">
      <w:pPr>
        <w:tabs>
          <w:tab w:val="left" w:pos="3918"/>
        </w:tabs>
        <w:spacing w:after="0" w:line="360" w:lineRule="auto"/>
        <w:ind w:right="-93"/>
      </w:pPr>
      <w:r>
        <w:tab/>
      </w:r>
    </w:p>
    <w:p w:rsidR="00FE4A0E" w:rsidRDefault="00AB6B74">
      <w:pPr>
        <w:spacing w:after="0" w:line="360" w:lineRule="auto"/>
        <w:ind w:right="-91"/>
        <w:jc w:val="center"/>
        <w:rPr>
          <w:b/>
        </w:rPr>
      </w:pPr>
      <w:r>
        <w:rPr>
          <w:b/>
        </w:rPr>
        <w:t>R E S U E L V E</w:t>
      </w:r>
    </w:p>
    <w:p w:rsidR="00FE4A0E" w:rsidRDefault="00FE4A0E">
      <w:pPr>
        <w:spacing w:after="0" w:line="360" w:lineRule="auto"/>
        <w:jc w:val="center"/>
        <w:rPr>
          <w:b/>
        </w:rPr>
      </w:pPr>
    </w:p>
    <w:p w:rsidR="00FE4A0E" w:rsidRDefault="00AB6B74">
      <w:pPr>
        <w:spacing w:after="0" w:line="360" w:lineRule="auto"/>
      </w:pPr>
      <w:r>
        <w:rPr>
          <w:b/>
        </w:rPr>
        <w:t xml:space="preserve">PRIMERO. </w:t>
      </w:r>
      <w:r>
        <w:t xml:space="preserve">Se </w:t>
      </w:r>
      <w:r>
        <w:rPr>
          <w:b/>
        </w:rPr>
        <w:t>MODIFICA</w:t>
      </w:r>
      <w:r>
        <w:t xml:space="preserve"> la respuesta entregada por el </w:t>
      </w:r>
      <w:r>
        <w:rPr>
          <w:b/>
        </w:rPr>
        <w:t xml:space="preserve">Ayuntamiento de Ecatepec de Morelos </w:t>
      </w:r>
      <w:r>
        <w:t xml:space="preserve">a la solicitud de información </w:t>
      </w:r>
      <w:r>
        <w:rPr>
          <w:b/>
        </w:rPr>
        <w:t xml:space="preserve">01420/ECATEPEC/IP/2024, </w:t>
      </w:r>
      <w:r>
        <w:t xml:space="preserve">por resultar parcialmente </w:t>
      </w:r>
      <w:r>
        <w:lastRenderedPageBreak/>
        <w:t xml:space="preserve">fundadas las razones o motivos de inconformidad hechos valer por el Recurrente en el Recurso de Revisión </w:t>
      </w:r>
      <w:r>
        <w:rPr>
          <w:b/>
          <w:color w:val="0D0D0D"/>
        </w:rPr>
        <w:t>07416/INFOEM/IP/RR/2024</w:t>
      </w:r>
      <w:r>
        <w:t xml:space="preserve">, en términos de los considerandos QUINTO y SEXTO de la presente Resolución.   </w:t>
      </w:r>
    </w:p>
    <w:p w:rsidR="00FE4A0E" w:rsidRDefault="00FE4A0E">
      <w:pPr>
        <w:spacing w:after="0" w:line="360" w:lineRule="auto"/>
        <w:ind w:left="708" w:hanging="708"/>
      </w:pPr>
    </w:p>
    <w:p w:rsidR="00FE4A0E" w:rsidRDefault="00AB6B74">
      <w:pPr>
        <w:spacing w:after="0" w:line="360" w:lineRule="auto"/>
      </w:pPr>
      <w:r>
        <w:rPr>
          <w:b/>
        </w:rPr>
        <w:t xml:space="preserve">SEGUNDO. </w:t>
      </w:r>
      <w:r>
        <w:t xml:space="preserve">Se </w:t>
      </w:r>
      <w:r>
        <w:rPr>
          <w:b/>
        </w:rPr>
        <w:t xml:space="preserve">ORDENA </w:t>
      </w:r>
      <w:r>
        <w:t xml:space="preserve">al </w:t>
      </w:r>
      <w:r>
        <w:rPr>
          <w:b/>
        </w:rPr>
        <w:t>Ayuntamiento de Ecatepec de Morelos</w:t>
      </w:r>
      <w:r>
        <w:t xml:space="preserve">, a efecto de que, previa búsqueda exhaustiva y razonable entregue, a través del SAIMEX, de ser procedente, en versión pública, los documentos donde conste, respecto de la Dirección de Diversidad Sexual y Atención a la Población LGBTTTIQ+, lo siguiente:  </w:t>
      </w:r>
    </w:p>
    <w:p w:rsidR="00FE4A0E" w:rsidRDefault="00FE4A0E">
      <w:pPr>
        <w:spacing w:after="0" w:line="360" w:lineRule="auto"/>
      </w:pPr>
    </w:p>
    <w:p w:rsidR="00FE4A0E" w:rsidRDefault="00AB6B74">
      <w:pPr>
        <w:numPr>
          <w:ilvl w:val="0"/>
          <w:numId w:val="6"/>
        </w:numPr>
        <w:pBdr>
          <w:top w:val="nil"/>
          <w:left w:val="nil"/>
          <w:bottom w:val="nil"/>
          <w:right w:val="nil"/>
          <w:between w:val="nil"/>
        </w:pBdr>
        <w:spacing w:after="0" w:line="360" w:lineRule="auto"/>
        <w:rPr>
          <w:color w:val="000000"/>
        </w:rPr>
      </w:pPr>
      <w:r>
        <w:rPr>
          <w:color w:val="000000"/>
        </w:rPr>
        <w:t>Personal adscrito, así como sus cargos y salarios, vigente al veinte de noviembre de dos mil veinticuatro;</w:t>
      </w:r>
    </w:p>
    <w:p w:rsidR="00FE4A0E" w:rsidRDefault="00AB6B74">
      <w:pPr>
        <w:numPr>
          <w:ilvl w:val="0"/>
          <w:numId w:val="6"/>
        </w:numPr>
        <w:pBdr>
          <w:top w:val="nil"/>
          <w:left w:val="nil"/>
          <w:bottom w:val="nil"/>
          <w:right w:val="nil"/>
          <w:between w:val="nil"/>
        </w:pBdr>
        <w:spacing w:after="0" w:line="360" w:lineRule="auto"/>
        <w:rPr>
          <w:color w:val="000000"/>
        </w:rPr>
      </w:pPr>
      <w:r>
        <w:rPr>
          <w:color w:val="000000"/>
        </w:rPr>
        <w:t xml:space="preserve">Bienes inmuebles a su cargo, al </w:t>
      </w:r>
      <w:r>
        <w:rPr>
          <w:color w:val="0D0D0D"/>
        </w:rPr>
        <w:t>veinte de noviembre de dos mil veinticuatro</w:t>
      </w:r>
      <w:r>
        <w:rPr>
          <w:color w:val="000000"/>
        </w:rPr>
        <w:t>.</w:t>
      </w:r>
    </w:p>
    <w:p w:rsidR="00FE4A0E" w:rsidRDefault="00FE4A0E">
      <w:pPr>
        <w:spacing w:after="0" w:line="360" w:lineRule="auto"/>
      </w:pPr>
    </w:p>
    <w:p w:rsidR="00FE4A0E" w:rsidRDefault="00AB6B74">
      <w:pPr>
        <w:spacing w:after="0" w:line="360" w:lineRule="auto"/>
        <w:rPr>
          <w:color w:val="000000"/>
        </w:rPr>
      </w:pPr>
      <w:r>
        <w:rPr>
          <w:color w:val="000000"/>
        </w:rPr>
        <w:t>Además, deberá proporcionar el Acuerdo de Clasificación donde el Comité de Transparencia, confirme la eliminación de los datos o información clasificada, en las versiones públicas, de conformidad con los artículos 49, fracciones II y VIII y 132, fracción II de la Ley de Transparencia y Acceso a la Información Pública del Estado de México y Municipios.</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En caso de que no cuente con lo que se ordena entregar en el numeral 2, bastará con que lo haga del conocimiento del Recurrente de manera clara y precisa.</w:t>
      </w:r>
    </w:p>
    <w:p w:rsidR="00FE4A0E" w:rsidRDefault="00FE4A0E">
      <w:pPr>
        <w:spacing w:after="0" w:line="360" w:lineRule="auto"/>
        <w:rPr>
          <w:color w:val="000000"/>
        </w:rPr>
      </w:pPr>
    </w:p>
    <w:p w:rsidR="00FE4A0E" w:rsidRDefault="00AB6B74">
      <w:pPr>
        <w:spacing w:after="0" w:line="360" w:lineRule="auto"/>
        <w:rPr>
          <w:color w:val="000000"/>
        </w:rPr>
      </w:pPr>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Pr>
          <w:color w:val="000000"/>
        </w:rPr>
        <w:t xml:space="preserve">e informe a este Instituto en un plazo de tres días hábiles siguientes sobre el cumplimiento </w:t>
      </w:r>
      <w:r>
        <w:rPr>
          <w:color w:val="000000"/>
        </w:rPr>
        <w:lastRenderedPageBreak/>
        <w:t>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FE4A0E" w:rsidRDefault="00FE4A0E">
      <w:pPr>
        <w:spacing w:after="0" w:line="360" w:lineRule="auto"/>
        <w:rPr>
          <w:color w:val="000000"/>
        </w:rPr>
      </w:pPr>
    </w:p>
    <w:p w:rsidR="00FE4A0E" w:rsidRDefault="00AB6B74">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FE4A0E" w:rsidRDefault="00FE4A0E">
      <w:pPr>
        <w:spacing w:after="0" w:line="360" w:lineRule="auto"/>
        <w:rPr>
          <w:color w:val="000000"/>
        </w:rPr>
      </w:pPr>
    </w:p>
    <w:p w:rsidR="00FE4A0E" w:rsidRDefault="00AB6B74">
      <w:pPr>
        <w:spacing w:after="0" w:line="360" w:lineRule="auto"/>
      </w:pPr>
      <w:r>
        <w:rPr>
          <w:b/>
        </w:rPr>
        <w:t>CUARTO. NOTIFÍQUESE POR SAIMEX</w:t>
      </w:r>
      <w: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términos de las leyes aplicables.</w:t>
      </w:r>
    </w:p>
    <w:p w:rsidR="00FE4A0E" w:rsidRDefault="00FE4A0E">
      <w:pPr>
        <w:spacing w:after="0" w:line="360" w:lineRule="auto"/>
      </w:pPr>
    </w:p>
    <w:p w:rsidR="00FE4A0E" w:rsidRDefault="00AB6B74">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rsidR="00FE4A0E" w:rsidRDefault="00AB6B74">
      <w:pPr>
        <w:spacing w:after="0" w:line="360" w:lineRule="auto"/>
        <w:jc w:val="left"/>
        <w:rPr>
          <w:b/>
        </w:rPr>
      </w:pPr>
      <w:r>
        <w:br w:type="page"/>
      </w:r>
    </w:p>
    <w:sectPr w:rsidR="00FE4A0E">
      <w:headerReference w:type="even" r:id="rId19"/>
      <w:headerReference w:type="default" r:id="rId20"/>
      <w:footerReference w:type="even" r:id="rId21"/>
      <w:footerReference w:type="default" r:id="rId22"/>
      <w:headerReference w:type="first" r:id="rId23"/>
      <w:footerReference w:type="first" r:id="rId24"/>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B8A" w:rsidRDefault="00251B8A">
      <w:pPr>
        <w:spacing w:after="0" w:line="240" w:lineRule="auto"/>
      </w:pPr>
      <w:r>
        <w:separator/>
      </w:r>
    </w:p>
  </w:endnote>
  <w:endnote w:type="continuationSeparator" w:id="0">
    <w:p w:rsidR="00251B8A" w:rsidRDefault="0025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0E" w:rsidRDefault="00AB6B7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825E0">
      <w:rPr>
        <w:b/>
        <w:noProof/>
        <w:color w:val="000000"/>
        <w:sz w:val="24"/>
        <w:szCs w:val="24"/>
      </w:rPr>
      <w:t>21</w:t>
    </w:r>
    <w:r>
      <w:rPr>
        <w:b/>
        <w:color w:val="000000"/>
        <w:sz w:val="24"/>
        <w:szCs w:val="24"/>
      </w:rPr>
      <w:fldChar w:fldCharType="end"/>
    </w:r>
  </w:p>
  <w:p w:rsidR="00FE4A0E" w:rsidRDefault="00FE4A0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0E" w:rsidRDefault="00AB6B7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50AB">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50AB">
      <w:rPr>
        <w:b/>
        <w:noProof/>
        <w:color w:val="000000"/>
        <w:sz w:val="24"/>
        <w:szCs w:val="24"/>
      </w:rPr>
      <w:t>21</w:t>
    </w:r>
    <w:r>
      <w:rPr>
        <w:b/>
        <w:color w:val="000000"/>
        <w:sz w:val="24"/>
        <w:szCs w:val="24"/>
      </w:rPr>
      <w:fldChar w:fldCharType="end"/>
    </w:r>
  </w:p>
  <w:p w:rsidR="00FE4A0E" w:rsidRDefault="00FE4A0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0E" w:rsidRDefault="00AB6B7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50A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50AB">
      <w:rPr>
        <w:b/>
        <w:noProof/>
        <w:color w:val="000000"/>
        <w:sz w:val="24"/>
        <w:szCs w:val="24"/>
      </w:rPr>
      <w:t>21</w:t>
    </w:r>
    <w:r>
      <w:rPr>
        <w:b/>
        <w:color w:val="000000"/>
        <w:sz w:val="24"/>
        <w:szCs w:val="24"/>
      </w:rPr>
      <w:fldChar w:fldCharType="end"/>
    </w:r>
  </w:p>
  <w:p w:rsidR="00FE4A0E" w:rsidRDefault="00FE4A0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B8A" w:rsidRDefault="00251B8A">
      <w:pPr>
        <w:spacing w:after="0" w:line="240" w:lineRule="auto"/>
      </w:pPr>
      <w:r>
        <w:separator/>
      </w:r>
    </w:p>
  </w:footnote>
  <w:footnote w:type="continuationSeparator" w:id="0">
    <w:p w:rsidR="00251B8A" w:rsidRDefault="00251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0E" w:rsidRDefault="00FE4A0E">
    <w:pPr>
      <w:widowControl w:val="0"/>
      <w:pBdr>
        <w:top w:val="nil"/>
        <w:left w:val="nil"/>
        <w:bottom w:val="nil"/>
        <w:right w:val="nil"/>
        <w:between w:val="nil"/>
      </w:pBdr>
      <w:spacing w:after="0" w:line="276" w:lineRule="auto"/>
      <w:jc w:val="left"/>
      <w:rPr>
        <w:b/>
      </w:rPr>
    </w:pPr>
  </w:p>
  <w:tbl>
    <w:tblPr>
      <w:tblStyle w:val="a"/>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FE4A0E">
      <w:trPr>
        <w:trHeight w:val="141"/>
      </w:trPr>
      <w:tc>
        <w:tcPr>
          <w:tcW w:w="0" w:type="auto"/>
        </w:tcPr>
        <w:p w:rsidR="00FE4A0E" w:rsidRDefault="00AB6B74">
          <w:pPr>
            <w:tabs>
              <w:tab w:val="right" w:pos="8838"/>
            </w:tabs>
            <w:ind w:right="-105"/>
            <w:rPr>
              <w:b/>
            </w:rPr>
          </w:pPr>
          <w:r>
            <w:rPr>
              <w:b/>
            </w:rPr>
            <w:t>Recurso de Revisión:</w:t>
          </w:r>
        </w:p>
      </w:tc>
      <w:tc>
        <w:tcPr>
          <w:tcW w:w="0" w:type="auto"/>
        </w:tcPr>
        <w:p w:rsidR="00FE4A0E" w:rsidRDefault="00AB6B74">
          <w:pPr>
            <w:tabs>
              <w:tab w:val="right" w:pos="8838"/>
            </w:tabs>
            <w:ind w:left="-28" w:right="683"/>
          </w:pPr>
          <w:r>
            <w:t>04196/INFOEM/IP/RR/2020</w:t>
          </w:r>
        </w:p>
      </w:tc>
    </w:tr>
    <w:tr w:rsidR="00FE4A0E">
      <w:trPr>
        <w:trHeight w:val="276"/>
      </w:trPr>
      <w:tc>
        <w:tcPr>
          <w:tcW w:w="0" w:type="auto"/>
        </w:tcPr>
        <w:p w:rsidR="00FE4A0E" w:rsidRDefault="00AB6B74">
          <w:pPr>
            <w:tabs>
              <w:tab w:val="right" w:pos="8838"/>
            </w:tabs>
            <w:ind w:right="-105"/>
            <w:rPr>
              <w:b/>
            </w:rPr>
          </w:pPr>
          <w:r>
            <w:rPr>
              <w:b/>
            </w:rPr>
            <w:t>Sujeto Obligado:</w:t>
          </w:r>
        </w:p>
      </w:tc>
      <w:tc>
        <w:tcPr>
          <w:tcW w:w="0" w:type="auto"/>
        </w:tcPr>
        <w:p w:rsidR="00FE4A0E" w:rsidRDefault="00AB6B74">
          <w:pPr>
            <w:tabs>
              <w:tab w:val="right" w:pos="8838"/>
            </w:tabs>
            <w:ind w:right="116"/>
          </w:pPr>
          <w:r>
            <w:t>Ayuntamiento de Chapultepec</w:t>
          </w:r>
        </w:p>
      </w:tc>
    </w:tr>
    <w:tr w:rsidR="00FE4A0E">
      <w:trPr>
        <w:trHeight w:val="276"/>
      </w:trPr>
      <w:tc>
        <w:tcPr>
          <w:tcW w:w="0" w:type="auto"/>
        </w:tcPr>
        <w:p w:rsidR="00FE4A0E" w:rsidRDefault="00AB6B74">
          <w:pPr>
            <w:tabs>
              <w:tab w:val="right" w:pos="8838"/>
            </w:tabs>
            <w:ind w:right="-105"/>
            <w:rPr>
              <w:b/>
            </w:rPr>
          </w:pPr>
          <w:r>
            <w:rPr>
              <w:b/>
            </w:rPr>
            <w:t>Comisionado Ponente:</w:t>
          </w:r>
        </w:p>
      </w:tc>
      <w:tc>
        <w:tcPr>
          <w:tcW w:w="0" w:type="auto"/>
        </w:tcPr>
        <w:p w:rsidR="00FE4A0E" w:rsidRDefault="00AB6B74">
          <w:pPr>
            <w:tabs>
              <w:tab w:val="right" w:pos="8838"/>
            </w:tabs>
            <w:ind w:right="-32"/>
          </w:pPr>
          <w:r>
            <w:t>Luis Gustavo Parra Noriega</w:t>
          </w:r>
        </w:p>
      </w:tc>
    </w:tr>
  </w:tbl>
  <w:p w:rsidR="00FE4A0E" w:rsidRDefault="00251B8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0E" w:rsidRDefault="00251B8A">
    <w:pPr>
      <w:rPr>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84.6pt;margin-top:-140.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620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651"/>
    </w:tblGrid>
    <w:tr w:rsidR="00FE4A0E">
      <w:trPr>
        <w:trHeight w:val="133"/>
      </w:trPr>
      <w:tc>
        <w:tcPr>
          <w:tcW w:w="2551" w:type="dxa"/>
        </w:tcPr>
        <w:p w:rsidR="00FE4A0E" w:rsidRPr="007D201E" w:rsidRDefault="00AB6B74">
          <w:pPr>
            <w:tabs>
              <w:tab w:val="right" w:pos="8838"/>
            </w:tabs>
            <w:ind w:left="-395" w:right="-105" w:firstLine="395"/>
            <w:rPr>
              <w:rFonts w:ascii="Palatino Linotype" w:hAnsi="Palatino Linotype"/>
              <w:b/>
              <w:sz w:val="22"/>
              <w:szCs w:val="22"/>
            </w:rPr>
          </w:pPr>
          <w:r w:rsidRPr="007D201E">
            <w:rPr>
              <w:rFonts w:ascii="Palatino Linotype" w:hAnsi="Palatino Linotype"/>
              <w:b/>
              <w:sz w:val="22"/>
              <w:szCs w:val="22"/>
            </w:rPr>
            <w:t>Recurso de Revisión:</w:t>
          </w:r>
        </w:p>
      </w:tc>
      <w:tc>
        <w:tcPr>
          <w:tcW w:w="3651" w:type="dxa"/>
        </w:tcPr>
        <w:p w:rsidR="00FE4A0E" w:rsidRPr="007D201E" w:rsidRDefault="00AB6B74">
          <w:pPr>
            <w:tabs>
              <w:tab w:val="right" w:pos="8838"/>
            </w:tabs>
            <w:ind w:left="-28" w:right="-107"/>
            <w:rPr>
              <w:rFonts w:ascii="Palatino Linotype" w:hAnsi="Palatino Linotype"/>
              <w:sz w:val="22"/>
              <w:szCs w:val="22"/>
            </w:rPr>
          </w:pPr>
          <w:r w:rsidRPr="007D201E">
            <w:rPr>
              <w:rFonts w:ascii="Palatino Linotype" w:hAnsi="Palatino Linotype"/>
              <w:sz w:val="22"/>
              <w:szCs w:val="22"/>
            </w:rPr>
            <w:t xml:space="preserve">07416/INFOEM/IP/RR/2024 </w:t>
          </w:r>
        </w:p>
      </w:tc>
    </w:tr>
    <w:tr w:rsidR="00FE4A0E">
      <w:trPr>
        <w:trHeight w:val="260"/>
      </w:trPr>
      <w:tc>
        <w:tcPr>
          <w:tcW w:w="2551" w:type="dxa"/>
        </w:tcPr>
        <w:p w:rsidR="00FE4A0E" w:rsidRPr="007D201E" w:rsidRDefault="00AB6B74">
          <w:pPr>
            <w:tabs>
              <w:tab w:val="right" w:pos="8838"/>
            </w:tabs>
            <w:ind w:right="-105"/>
            <w:rPr>
              <w:rFonts w:ascii="Palatino Linotype" w:hAnsi="Palatino Linotype"/>
              <w:b/>
              <w:sz w:val="22"/>
              <w:szCs w:val="22"/>
            </w:rPr>
          </w:pPr>
          <w:r w:rsidRPr="007D201E">
            <w:rPr>
              <w:rFonts w:ascii="Palatino Linotype" w:hAnsi="Palatino Linotype"/>
              <w:b/>
              <w:sz w:val="22"/>
              <w:szCs w:val="22"/>
            </w:rPr>
            <w:t>Sujeto Obligado:</w:t>
          </w:r>
        </w:p>
      </w:tc>
      <w:tc>
        <w:tcPr>
          <w:tcW w:w="3651" w:type="dxa"/>
        </w:tcPr>
        <w:p w:rsidR="00FE4A0E" w:rsidRPr="007D201E" w:rsidRDefault="00AB6B74">
          <w:pPr>
            <w:tabs>
              <w:tab w:val="right" w:pos="8838"/>
            </w:tabs>
            <w:ind w:right="454"/>
            <w:rPr>
              <w:rFonts w:ascii="Palatino Linotype" w:hAnsi="Palatino Linotype"/>
              <w:sz w:val="22"/>
              <w:szCs w:val="22"/>
            </w:rPr>
          </w:pPr>
          <w:r w:rsidRPr="007D201E">
            <w:rPr>
              <w:rFonts w:ascii="Palatino Linotype" w:hAnsi="Palatino Linotype"/>
              <w:sz w:val="22"/>
              <w:szCs w:val="22"/>
            </w:rPr>
            <w:t>Ayuntamiento de Ecatepec de Morelos</w:t>
          </w:r>
        </w:p>
      </w:tc>
    </w:tr>
    <w:tr w:rsidR="00FE4A0E">
      <w:trPr>
        <w:trHeight w:val="260"/>
      </w:trPr>
      <w:tc>
        <w:tcPr>
          <w:tcW w:w="2551" w:type="dxa"/>
        </w:tcPr>
        <w:p w:rsidR="00FE4A0E" w:rsidRPr="007D201E" w:rsidRDefault="00AB6B74">
          <w:pPr>
            <w:tabs>
              <w:tab w:val="right" w:pos="8838"/>
            </w:tabs>
            <w:ind w:right="-105"/>
            <w:rPr>
              <w:rFonts w:ascii="Palatino Linotype" w:hAnsi="Palatino Linotype"/>
              <w:b/>
              <w:sz w:val="22"/>
              <w:szCs w:val="22"/>
            </w:rPr>
          </w:pPr>
          <w:r w:rsidRPr="007D201E">
            <w:rPr>
              <w:rFonts w:ascii="Palatino Linotype" w:hAnsi="Palatino Linotype"/>
              <w:b/>
              <w:sz w:val="22"/>
              <w:szCs w:val="22"/>
            </w:rPr>
            <w:t>Comisionado Ponente:</w:t>
          </w:r>
        </w:p>
      </w:tc>
      <w:tc>
        <w:tcPr>
          <w:tcW w:w="3651" w:type="dxa"/>
        </w:tcPr>
        <w:p w:rsidR="00FE4A0E" w:rsidRPr="007D201E" w:rsidRDefault="00AB6B74">
          <w:pPr>
            <w:tabs>
              <w:tab w:val="right" w:pos="8838"/>
            </w:tabs>
            <w:ind w:right="454"/>
            <w:rPr>
              <w:rFonts w:ascii="Palatino Linotype" w:hAnsi="Palatino Linotype"/>
              <w:sz w:val="22"/>
              <w:szCs w:val="22"/>
            </w:rPr>
          </w:pPr>
          <w:r w:rsidRPr="007D201E">
            <w:rPr>
              <w:rFonts w:ascii="Palatino Linotype" w:hAnsi="Palatino Linotype"/>
              <w:sz w:val="22"/>
              <w:szCs w:val="22"/>
            </w:rPr>
            <w:t>Luis Gustavo Parra Noriega</w:t>
          </w:r>
        </w:p>
        <w:p w:rsidR="00FE4A0E" w:rsidRPr="007D201E" w:rsidRDefault="00FE4A0E">
          <w:pPr>
            <w:tabs>
              <w:tab w:val="right" w:pos="8838"/>
            </w:tabs>
            <w:ind w:right="454"/>
            <w:rPr>
              <w:rFonts w:ascii="Palatino Linotype" w:hAnsi="Palatino Linotype"/>
              <w:sz w:val="22"/>
              <w:szCs w:val="22"/>
            </w:rPr>
          </w:pPr>
        </w:p>
      </w:tc>
    </w:tr>
  </w:tbl>
  <w:p w:rsidR="00FE4A0E" w:rsidRDefault="00FE4A0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0E" w:rsidRDefault="00FE4A0E">
    <w:pPr>
      <w:widowControl w:val="0"/>
      <w:pBdr>
        <w:top w:val="nil"/>
        <w:left w:val="nil"/>
        <w:bottom w:val="nil"/>
        <w:right w:val="nil"/>
        <w:between w:val="nil"/>
      </w:pBdr>
      <w:spacing w:after="0" w:line="276" w:lineRule="auto"/>
      <w:jc w:val="left"/>
      <w:rPr>
        <w:color w:val="000000"/>
      </w:rPr>
    </w:pPr>
  </w:p>
  <w:tbl>
    <w:tblPr>
      <w:tblStyle w:val="a1"/>
      <w:tblW w:w="9072" w:type="dxa"/>
      <w:tblInd w:w="0" w:type="dxa"/>
      <w:tblLayout w:type="fixed"/>
      <w:tblLook w:val="0400" w:firstRow="0" w:lastRow="0" w:firstColumn="0" w:lastColumn="0" w:noHBand="0" w:noVBand="1"/>
    </w:tblPr>
    <w:tblGrid>
      <w:gridCol w:w="2127"/>
      <w:gridCol w:w="6945"/>
    </w:tblGrid>
    <w:tr w:rsidR="00FE4A0E">
      <w:trPr>
        <w:trHeight w:val="1546"/>
      </w:trPr>
      <w:tc>
        <w:tcPr>
          <w:tcW w:w="2127" w:type="dxa"/>
          <w:shd w:val="clear" w:color="auto" w:fill="auto"/>
        </w:tcPr>
        <w:p w:rsidR="00FE4A0E" w:rsidRDefault="00FE4A0E">
          <w:pPr>
            <w:tabs>
              <w:tab w:val="right" w:pos="4273"/>
            </w:tabs>
            <w:rPr>
              <w:rFonts w:ascii="Garamond" w:eastAsia="Garamond" w:hAnsi="Garamond" w:cs="Garamond"/>
              <w:sz w:val="16"/>
              <w:szCs w:val="16"/>
            </w:rPr>
          </w:pPr>
        </w:p>
      </w:tc>
      <w:tc>
        <w:tcPr>
          <w:tcW w:w="6945" w:type="dxa"/>
          <w:shd w:val="clear" w:color="auto" w:fill="auto"/>
        </w:tcPr>
        <w:p w:rsidR="00FE4A0E" w:rsidRDefault="00FE4A0E">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2"/>
            <w:tblW w:w="5364" w:type="dxa"/>
            <w:tblInd w:w="1446" w:type="dxa"/>
            <w:tblBorders>
              <w:top w:val="nil"/>
              <w:left w:val="nil"/>
              <w:bottom w:val="nil"/>
              <w:right w:val="nil"/>
              <w:insideH w:val="nil"/>
              <w:insideV w:val="nil"/>
            </w:tblBorders>
            <w:tblLayout w:type="fixed"/>
            <w:tblLook w:val="0400" w:firstRow="0" w:lastRow="0" w:firstColumn="0" w:lastColumn="0" w:noHBand="0" w:noVBand="1"/>
          </w:tblPr>
          <w:tblGrid>
            <w:gridCol w:w="2410"/>
            <w:gridCol w:w="2954"/>
          </w:tblGrid>
          <w:tr w:rsidR="00FE4A0E">
            <w:trPr>
              <w:trHeight w:val="416"/>
            </w:trPr>
            <w:tc>
              <w:tcPr>
                <w:tcW w:w="2410" w:type="dxa"/>
                <w:vAlign w:val="bottom"/>
              </w:tcPr>
              <w:p w:rsidR="00FE4A0E" w:rsidRPr="007D201E" w:rsidRDefault="00AB6B74">
                <w:pPr>
                  <w:tabs>
                    <w:tab w:val="right" w:pos="8838"/>
                  </w:tabs>
                  <w:ind w:right="-105"/>
                  <w:rPr>
                    <w:rFonts w:ascii="Palatino Linotype" w:hAnsi="Palatino Linotype"/>
                    <w:b/>
                    <w:sz w:val="22"/>
                    <w:szCs w:val="22"/>
                  </w:rPr>
                </w:pPr>
                <w:r w:rsidRPr="007D201E">
                  <w:rPr>
                    <w:rFonts w:ascii="Palatino Linotype" w:hAnsi="Palatino Linotype"/>
                    <w:b/>
                    <w:sz w:val="22"/>
                    <w:szCs w:val="22"/>
                  </w:rPr>
                  <w:t>Recurso de Revisión:</w:t>
                </w:r>
              </w:p>
            </w:tc>
            <w:tc>
              <w:tcPr>
                <w:tcW w:w="2954" w:type="dxa"/>
              </w:tcPr>
              <w:p w:rsidR="00FE4A0E" w:rsidRPr="007D201E" w:rsidRDefault="00FE4A0E">
                <w:pPr>
                  <w:tabs>
                    <w:tab w:val="right" w:pos="8838"/>
                  </w:tabs>
                  <w:ind w:left="-28" w:right="-107"/>
                  <w:rPr>
                    <w:rFonts w:ascii="Palatino Linotype" w:hAnsi="Palatino Linotype"/>
                    <w:sz w:val="22"/>
                    <w:szCs w:val="22"/>
                  </w:rPr>
                </w:pPr>
              </w:p>
              <w:p w:rsidR="00FE4A0E" w:rsidRPr="007D201E" w:rsidRDefault="00AB6B74">
                <w:pPr>
                  <w:tabs>
                    <w:tab w:val="right" w:pos="8838"/>
                  </w:tabs>
                  <w:ind w:left="-28" w:right="-107"/>
                  <w:rPr>
                    <w:rFonts w:ascii="Palatino Linotype" w:hAnsi="Palatino Linotype"/>
                    <w:sz w:val="22"/>
                    <w:szCs w:val="22"/>
                  </w:rPr>
                </w:pPr>
                <w:r w:rsidRPr="007D201E">
                  <w:rPr>
                    <w:rFonts w:ascii="Palatino Linotype" w:hAnsi="Palatino Linotype"/>
                    <w:sz w:val="22"/>
                    <w:szCs w:val="22"/>
                  </w:rPr>
                  <w:t>07416/INFOEM/IP/RR/2024</w:t>
                </w:r>
              </w:p>
            </w:tc>
          </w:tr>
          <w:tr w:rsidR="00FE4A0E">
            <w:trPr>
              <w:trHeight w:val="154"/>
            </w:trPr>
            <w:tc>
              <w:tcPr>
                <w:tcW w:w="2410" w:type="dxa"/>
              </w:tcPr>
              <w:p w:rsidR="00FE4A0E" w:rsidRPr="007D201E" w:rsidRDefault="00AB6B74">
                <w:pPr>
                  <w:tabs>
                    <w:tab w:val="right" w:pos="8838"/>
                  </w:tabs>
                  <w:ind w:right="-105"/>
                  <w:rPr>
                    <w:rFonts w:ascii="Palatino Linotype" w:hAnsi="Palatino Linotype"/>
                    <w:b/>
                    <w:sz w:val="22"/>
                    <w:szCs w:val="22"/>
                  </w:rPr>
                </w:pPr>
                <w:r w:rsidRPr="007D201E">
                  <w:rPr>
                    <w:rFonts w:ascii="Palatino Linotype" w:hAnsi="Palatino Linotype"/>
                    <w:b/>
                    <w:sz w:val="22"/>
                    <w:szCs w:val="22"/>
                  </w:rPr>
                  <w:t>Recurrente:</w:t>
                </w:r>
              </w:p>
            </w:tc>
            <w:tc>
              <w:tcPr>
                <w:tcW w:w="2954" w:type="dxa"/>
              </w:tcPr>
              <w:p w:rsidR="00FE4A0E" w:rsidRPr="007D201E" w:rsidRDefault="004250AB">
                <w:pPr>
                  <w:tabs>
                    <w:tab w:val="right" w:pos="8838"/>
                  </w:tabs>
                  <w:ind w:right="-107"/>
                  <w:rPr>
                    <w:rFonts w:ascii="Palatino Linotype" w:hAnsi="Palatino Linotype"/>
                    <w:sz w:val="22"/>
                    <w:szCs w:val="22"/>
                  </w:rPr>
                </w:pPr>
                <w:r w:rsidRPr="004250AB">
                  <w:rPr>
                    <w:rFonts w:ascii="Palatino Linotype" w:hAnsi="Palatino Linotype"/>
                    <w:sz w:val="22"/>
                    <w:szCs w:val="22"/>
                    <w:highlight w:val="black"/>
                  </w:rPr>
                  <w:t>xxxxxxxxxxxxxxx</w:t>
                </w:r>
              </w:p>
            </w:tc>
          </w:tr>
          <w:tr w:rsidR="00FE4A0E">
            <w:trPr>
              <w:trHeight w:val="302"/>
            </w:trPr>
            <w:tc>
              <w:tcPr>
                <w:tcW w:w="2410" w:type="dxa"/>
              </w:tcPr>
              <w:p w:rsidR="00FE4A0E" w:rsidRPr="007D201E" w:rsidRDefault="00AB6B74">
                <w:pPr>
                  <w:tabs>
                    <w:tab w:val="right" w:pos="8838"/>
                  </w:tabs>
                  <w:ind w:right="-105"/>
                  <w:rPr>
                    <w:rFonts w:ascii="Palatino Linotype" w:hAnsi="Palatino Linotype"/>
                    <w:b/>
                    <w:sz w:val="22"/>
                    <w:szCs w:val="22"/>
                  </w:rPr>
                </w:pPr>
                <w:r w:rsidRPr="007D201E">
                  <w:rPr>
                    <w:rFonts w:ascii="Palatino Linotype" w:hAnsi="Palatino Linotype"/>
                    <w:b/>
                    <w:sz w:val="22"/>
                    <w:szCs w:val="22"/>
                  </w:rPr>
                  <w:t>Sujeto Obligado:</w:t>
                </w:r>
              </w:p>
            </w:tc>
            <w:tc>
              <w:tcPr>
                <w:tcW w:w="2954" w:type="dxa"/>
              </w:tcPr>
              <w:p w:rsidR="00FE4A0E" w:rsidRPr="007D201E" w:rsidRDefault="00AB6B74">
                <w:pPr>
                  <w:tabs>
                    <w:tab w:val="right" w:pos="8838"/>
                  </w:tabs>
                  <w:ind w:right="-107"/>
                  <w:rPr>
                    <w:rFonts w:ascii="Palatino Linotype" w:hAnsi="Palatino Linotype"/>
                    <w:sz w:val="22"/>
                    <w:szCs w:val="22"/>
                  </w:rPr>
                </w:pPr>
                <w:r w:rsidRPr="007D201E">
                  <w:rPr>
                    <w:rFonts w:ascii="Palatino Linotype" w:hAnsi="Palatino Linotype"/>
                    <w:sz w:val="22"/>
                    <w:szCs w:val="22"/>
                  </w:rPr>
                  <w:t>Ayuntamiento de Ecatepec de Morelos</w:t>
                </w:r>
              </w:p>
            </w:tc>
          </w:tr>
          <w:tr w:rsidR="00FE4A0E">
            <w:trPr>
              <w:trHeight w:val="302"/>
            </w:trPr>
            <w:tc>
              <w:tcPr>
                <w:tcW w:w="2410" w:type="dxa"/>
              </w:tcPr>
              <w:p w:rsidR="00FE4A0E" w:rsidRPr="007D201E" w:rsidRDefault="00AB6B74">
                <w:pPr>
                  <w:tabs>
                    <w:tab w:val="right" w:pos="8838"/>
                  </w:tabs>
                  <w:ind w:right="-105"/>
                  <w:rPr>
                    <w:rFonts w:ascii="Palatino Linotype" w:hAnsi="Palatino Linotype"/>
                    <w:b/>
                    <w:sz w:val="22"/>
                    <w:szCs w:val="22"/>
                  </w:rPr>
                </w:pPr>
                <w:r w:rsidRPr="007D201E">
                  <w:rPr>
                    <w:rFonts w:ascii="Palatino Linotype" w:hAnsi="Palatino Linotype"/>
                    <w:b/>
                    <w:sz w:val="22"/>
                    <w:szCs w:val="22"/>
                  </w:rPr>
                  <w:t>Comisionado Ponente:</w:t>
                </w:r>
              </w:p>
            </w:tc>
            <w:tc>
              <w:tcPr>
                <w:tcW w:w="2954" w:type="dxa"/>
              </w:tcPr>
              <w:p w:rsidR="00FE4A0E" w:rsidRPr="007D201E" w:rsidRDefault="00AB6B74">
                <w:pPr>
                  <w:tabs>
                    <w:tab w:val="right" w:pos="8838"/>
                  </w:tabs>
                  <w:ind w:right="-107"/>
                  <w:rPr>
                    <w:rFonts w:ascii="Palatino Linotype" w:hAnsi="Palatino Linotype"/>
                    <w:sz w:val="22"/>
                    <w:szCs w:val="22"/>
                  </w:rPr>
                </w:pPr>
                <w:r w:rsidRPr="007D201E">
                  <w:rPr>
                    <w:rFonts w:ascii="Palatino Linotype" w:hAnsi="Palatino Linotype"/>
                    <w:sz w:val="22"/>
                    <w:szCs w:val="22"/>
                  </w:rPr>
                  <w:t>Luis Gustavo Parra Noriega</w:t>
                </w:r>
              </w:p>
            </w:tc>
          </w:tr>
        </w:tbl>
        <w:p w:rsidR="00FE4A0E" w:rsidRDefault="00FE4A0E">
          <w:pPr>
            <w:tabs>
              <w:tab w:val="right" w:pos="8838"/>
            </w:tabs>
            <w:ind w:left="-28"/>
            <w:rPr>
              <w:rFonts w:ascii="Arial" w:eastAsia="Arial" w:hAnsi="Arial" w:cs="Arial"/>
              <w:b/>
            </w:rPr>
          </w:pPr>
        </w:p>
      </w:tc>
    </w:tr>
  </w:tbl>
  <w:p w:rsidR="00FE4A0E" w:rsidRDefault="00251B8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7892"/>
    <w:multiLevelType w:val="multilevel"/>
    <w:tmpl w:val="88DC0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84654"/>
    <w:multiLevelType w:val="multilevel"/>
    <w:tmpl w:val="7EAC0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6F6007"/>
    <w:multiLevelType w:val="multilevel"/>
    <w:tmpl w:val="6172C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E833F6"/>
    <w:multiLevelType w:val="multilevel"/>
    <w:tmpl w:val="31D0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F420FB"/>
    <w:multiLevelType w:val="multilevel"/>
    <w:tmpl w:val="D3B43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C22C1B"/>
    <w:multiLevelType w:val="multilevel"/>
    <w:tmpl w:val="A328DA7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0E"/>
    <w:rsid w:val="00215D29"/>
    <w:rsid w:val="00251B8A"/>
    <w:rsid w:val="004250AB"/>
    <w:rsid w:val="007D201E"/>
    <w:rsid w:val="009825E0"/>
    <w:rsid w:val="00AB6B74"/>
    <w:rsid w:val="00C612DD"/>
    <w:rsid w:val="00FE4A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34A7A08-C5CB-4900-AEE1-F4C40A9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8"/>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5B75F3"/>
    <w:pPr>
      <w:spacing w:after="0" w:line="240" w:lineRule="auto"/>
    </w:pPr>
    <w:rPr>
      <w:rFonts w:ascii="Calibri" w:eastAsia="Calibri" w:hAnsi="Calibri"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05BC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qFormat/>
    <w:rsid w:val="00F675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9A0825"/>
    <w:pPr>
      <w:spacing w:after="0" w:line="240" w:lineRule="auto"/>
    </w:pPr>
    <w:rPr>
      <w:rFonts w:eastAsia="Times New Roman"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catepec.gob.mx/transparencia" TargetMode="External"/><Relationship Id="rId13" Type="http://schemas.openxmlformats.org/officeDocument/2006/relationships/image" Target="media/image3.png"/><Relationship Id="rId18" Type="http://schemas.openxmlformats.org/officeDocument/2006/relationships/hyperlink" Target="https://snt.org.mx/wp-content/uploads/Lineamientos-Tecnicos-Generales-Version-Integrada.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ONo+iBNNkL5FXhzEGiG56yPaA==">CgMxLjA4AHIhMU5zaFNRS0xRWGUycmNvYURwWmhEWVRlNDdtVWNPeFRF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4715</Words>
  <Characters>25935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Cuenta Microsoft</cp:lastModifiedBy>
  <cp:revision>2</cp:revision>
  <cp:lastPrinted>2025-01-17T00:30:00Z</cp:lastPrinted>
  <dcterms:created xsi:type="dcterms:W3CDTF">2025-01-23T17:47:00Z</dcterms:created>
  <dcterms:modified xsi:type="dcterms:W3CDTF">2025-01-23T17:47:00Z</dcterms:modified>
</cp:coreProperties>
</file>