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373929504"/>
        <w:docPartObj>
          <w:docPartGallery w:val="Table of Contents"/>
          <w:docPartUnique/>
        </w:docPartObj>
      </w:sdtPr>
      <w:sdtEndPr>
        <w:rPr>
          <w:b/>
          <w:bCs/>
        </w:rPr>
      </w:sdtEndPr>
      <w:sdtContent>
        <w:p w14:paraId="29E1DD24" w14:textId="77777777" w:rsidR="00D01F96" w:rsidRPr="000F5941" w:rsidRDefault="00D01F96" w:rsidP="00343A01">
          <w:pPr>
            <w:pStyle w:val="TtulodeTDC"/>
            <w:rPr>
              <w:color w:val="auto"/>
            </w:rPr>
          </w:pPr>
          <w:r w:rsidRPr="000F5941">
            <w:rPr>
              <w:color w:val="auto"/>
              <w:lang w:val="es-ES"/>
            </w:rPr>
            <w:t>Contenido</w:t>
          </w:r>
        </w:p>
        <w:p w14:paraId="101802BC" w14:textId="58F091CE" w:rsidR="00343A01" w:rsidRPr="000F5941" w:rsidRDefault="00D01F96" w:rsidP="00343A01">
          <w:pPr>
            <w:pStyle w:val="TDC1"/>
            <w:tabs>
              <w:tab w:val="right" w:leader="dot" w:pos="9034"/>
            </w:tabs>
            <w:rPr>
              <w:rFonts w:asciiTheme="minorHAnsi" w:eastAsiaTheme="minorEastAsia" w:hAnsiTheme="minorHAnsi" w:cstheme="minorBidi"/>
              <w:noProof/>
              <w:szCs w:val="22"/>
              <w:lang w:eastAsia="es-MX"/>
            </w:rPr>
          </w:pPr>
          <w:r w:rsidRPr="000F5941">
            <w:rPr>
              <w:b/>
              <w:bCs/>
              <w:lang w:val="es-ES"/>
            </w:rPr>
            <w:fldChar w:fldCharType="begin"/>
          </w:r>
          <w:r w:rsidRPr="000F5941">
            <w:rPr>
              <w:b/>
              <w:bCs/>
              <w:lang w:val="es-ES"/>
            </w:rPr>
            <w:instrText xml:space="preserve"> TOC \o "1-3" \h \z \u </w:instrText>
          </w:r>
          <w:r w:rsidRPr="000F5941">
            <w:rPr>
              <w:b/>
              <w:bCs/>
              <w:lang w:val="es-ES"/>
            </w:rPr>
            <w:fldChar w:fldCharType="separate"/>
          </w:r>
          <w:hyperlink w:anchor="_Toc208350792" w:history="1">
            <w:r w:rsidR="00343A01" w:rsidRPr="000F5941">
              <w:rPr>
                <w:rStyle w:val="Hipervnculo"/>
                <w:rFonts w:eastAsiaTheme="majorEastAsia"/>
                <w:noProof/>
                <w:color w:val="auto"/>
              </w:rPr>
              <w:t>ANTECEDENTES</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_Toc208350792 \h </w:instrText>
            </w:r>
            <w:r w:rsidR="00343A01" w:rsidRPr="000F5941">
              <w:rPr>
                <w:noProof/>
                <w:webHidden/>
              </w:rPr>
            </w:r>
            <w:r w:rsidR="00343A01" w:rsidRPr="000F5941">
              <w:rPr>
                <w:noProof/>
                <w:webHidden/>
              </w:rPr>
              <w:fldChar w:fldCharType="separate"/>
            </w:r>
            <w:r w:rsidR="000F5941">
              <w:rPr>
                <w:noProof/>
                <w:webHidden/>
              </w:rPr>
              <w:t>1</w:t>
            </w:r>
            <w:r w:rsidR="00343A01" w:rsidRPr="000F5941">
              <w:rPr>
                <w:noProof/>
                <w:webHidden/>
              </w:rPr>
              <w:fldChar w:fldCharType="end"/>
            </w:r>
          </w:hyperlink>
        </w:p>
        <w:p w14:paraId="042D8F10" w14:textId="7B7351E1" w:rsidR="00343A01" w:rsidRPr="000F5941" w:rsidRDefault="00FB2B08" w:rsidP="00343A01">
          <w:pPr>
            <w:pStyle w:val="TDC2"/>
            <w:rPr>
              <w:rFonts w:asciiTheme="minorHAnsi" w:eastAsiaTheme="minorEastAsia" w:hAnsiTheme="minorHAnsi" w:cstheme="minorBidi"/>
              <w:noProof/>
              <w:szCs w:val="22"/>
              <w:lang w:eastAsia="es-MX"/>
            </w:rPr>
          </w:pPr>
          <w:hyperlink w:anchor="_Toc208350793" w:history="1">
            <w:r w:rsidR="00343A01" w:rsidRPr="000F5941">
              <w:rPr>
                <w:rStyle w:val="Hipervnculo"/>
                <w:rFonts w:eastAsiaTheme="majorEastAsia"/>
                <w:noProof/>
                <w:color w:val="auto"/>
              </w:rPr>
              <w:t>DE LA SOLICITUD DE INFORMACIÓN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_Toc208350793 \h </w:instrText>
            </w:r>
            <w:r w:rsidR="00343A01" w:rsidRPr="000F5941">
              <w:rPr>
                <w:noProof/>
                <w:webHidden/>
              </w:rPr>
            </w:r>
            <w:r w:rsidR="00343A01" w:rsidRPr="000F5941">
              <w:rPr>
                <w:noProof/>
                <w:webHidden/>
              </w:rPr>
              <w:fldChar w:fldCharType="separate"/>
            </w:r>
            <w:r w:rsidR="000F5941">
              <w:rPr>
                <w:noProof/>
                <w:webHidden/>
              </w:rPr>
              <w:t>1</w:t>
            </w:r>
            <w:r w:rsidR="00343A01" w:rsidRPr="000F5941">
              <w:rPr>
                <w:noProof/>
                <w:webHidden/>
              </w:rPr>
              <w:fldChar w:fldCharType="end"/>
            </w:r>
          </w:hyperlink>
        </w:p>
        <w:p w14:paraId="62D60518" w14:textId="34378E09" w:rsidR="00343A01" w:rsidRPr="000F5941" w:rsidRDefault="00FB2B08" w:rsidP="00343A01">
          <w:pPr>
            <w:pStyle w:val="TDC3"/>
            <w:rPr>
              <w:rFonts w:asciiTheme="minorHAnsi" w:eastAsiaTheme="minorEastAsia" w:hAnsiTheme="minorHAnsi" w:cstheme="minorBidi"/>
              <w:noProof/>
              <w:szCs w:val="22"/>
              <w:lang w:eastAsia="es-MX"/>
            </w:rPr>
          </w:pPr>
          <w:hyperlink w:anchor="_Toc208350794" w:history="1">
            <w:r w:rsidR="00343A01" w:rsidRPr="000F5941">
              <w:rPr>
                <w:rStyle w:val="Hipervnculo"/>
                <w:rFonts w:eastAsiaTheme="majorEastAsia"/>
                <w:noProof/>
                <w:color w:val="auto"/>
              </w:rPr>
              <w:t>a) Solicitud de información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_Toc208350794 \h </w:instrText>
            </w:r>
            <w:r w:rsidR="00343A01" w:rsidRPr="000F5941">
              <w:rPr>
                <w:noProof/>
                <w:webHidden/>
              </w:rPr>
            </w:r>
            <w:r w:rsidR="00343A01" w:rsidRPr="000F5941">
              <w:rPr>
                <w:noProof/>
                <w:webHidden/>
              </w:rPr>
              <w:fldChar w:fldCharType="separate"/>
            </w:r>
            <w:r w:rsidR="000F5941">
              <w:rPr>
                <w:noProof/>
                <w:webHidden/>
              </w:rPr>
              <w:t>1</w:t>
            </w:r>
            <w:r w:rsidR="00343A01" w:rsidRPr="000F5941">
              <w:rPr>
                <w:noProof/>
                <w:webHidden/>
              </w:rPr>
              <w:fldChar w:fldCharType="end"/>
            </w:r>
          </w:hyperlink>
        </w:p>
        <w:p w14:paraId="478E50F8" w14:textId="36542B8A" w:rsidR="00343A01" w:rsidRPr="000F5941" w:rsidRDefault="00FB2B08" w:rsidP="00343A01">
          <w:pPr>
            <w:pStyle w:val="TDC3"/>
            <w:rPr>
              <w:rFonts w:asciiTheme="minorHAnsi" w:eastAsiaTheme="minorEastAsia" w:hAnsiTheme="minorHAnsi" w:cstheme="minorBidi"/>
              <w:noProof/>
              <w:szCs w:val="22"/>
              <w:lang w:eastAsia="es-MX"/>
            </w:rPr>
          </w:pPr>
          <w:hyperlink w:anchor="_Toc208350795" w:history="1">
            <w:r w:rsidR="00343A01" w:rsidRPr="000F5941">
              <w:rPr>
                <w:rStyle w:val="Hipervnculo"/>
                <w:rFonts w:eastAsiaTheme="majorEastAsia"/>
                <w:noProof/>
                <w:color w:val="auto"/>
              </w:rPr>
              <w:t>b) Turno de la solicitud de información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_Toc208350795 \h </w:instrText>
            </w:r>
            <w:r w:rsidR="00343A01" w:rsidRPr="000F5941">
              <w:rPr>
                <w:noProof/>
                <w:webHidden/>
              </w:rPr>
            </w:r>
            <w:r w:rsidR="00343A01" w:rsidRPr="000F5941">
              <w:rPr>
                <w:noProof/>
                <w:webHidden/>
              </w:rPr>
              <w:fldChar w:fldCharType="separate"/>
            </w:r>
            <w:r w:rsidR="000F5941">
              <w:rPr>
                <w:noProof/>
                <w:webHidden/>
              </w:rPr>
              <w:t>2</w:t>
            </w:r>
            <w:r w:rsidR="00343A01" w:rsidRPr="000F5941">
              <w:rPr>
                <w:noProof/>
                <w:webHidden/>
              </w:rPr>
              <w:fldChar w:fldCharType="end"/>
            </w:r>
          </w:hyperlink>
        </w:p>
        <w:p w14:paraId="39C51F79" w14:textId="7D27D817" w:rsidR="00343A01" w:rsidRPr="000F5941" w:rsidRDefault="00FB2B08" w:rsidP="00343A01">
          <w:pPr>
            <w:pStyle w:val="TDC3"/>
            <w:rPr>
              <w:rFonts w:asciiTheme="minorHAnsi" w:eastAsiaTheme="minorEastAsia" w:hAnsiTheme="minorHAnsi" w:cstheme="minorBidi"/>
              <w:noProof/>
              <w:szCs w:val="22"/>
              <w:lang w:eastAsia="es-MX"/>
            </w:rPr>
          </w:pPr>
          <w:hyperlink w:anchor="_Toc208350796" w:history="1">
            <w:r w:rsidR="00343A01" w:rsidRPr="000F5941">
              <w:rPr>
                <w:rStyle w:val="Hipervnculo"/>
                <w:rFonts w:eastAsiaTheme="majorEastAsia"/>
                <w:noProof/>
                <w:color w:val="auto"/>
              </w:rPr>
              <w:t>c) Respuesta del Sujeto Obligado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_Toc208350796 \h </w:instrText>
            </w:r>
            <w:r w:rsidR="00343A01" w:rsidRPr="000F5941">
              <w:rPr>
                <w:noProof/>
                <w:webHidden/>
              </w:rPr>
            </w:r>
            <w:r w:rsidR="00343A01" w:rsidRPr="000F5941">
              <w:rPr>
                <w:noProof/>
                <w:webHidden/>
              </w:rPr>
              <w:fldChar w:fldCharType="separate"/>
            </w:r>
            <w:r w:rsidR="000F5941">
              <w:rPr>
                <w:noProof/>
                <w:webHidden/>
              </w:rPr>
              <w:t>2</w:t>
            </w:r>
            <w:r w:rsidR="00343A01" w:rsidRPr="000F5941">
              <w:rPr>
                <w:noProof/>
                <w:webHidden/>
              </w:rPr>
              <w:fldChar w:fldCharType="end"/>
            </w:r>
          </w:hyperlink>
        </w:p>
        <w:p w14:paraId="5A553594" w14:textId="3D1CB650" w:rsidR="00343A01" w:rsidRPr="000F5941" w:rsidRDefault="00FB2B08" w:rsidP="00343A01">
          <w:pPr>
            <w:pStyle w:val="TDC2"/>
            <w:rPr>
              <w:rFonts w:asciiTheme="minorHAnsi" w:eastAsiaTheme="minorEastAsia" w:hAnsiTheme="minorHAnsi" w:cstheme="minorBidi"/>
              <w:noProof/>
              <w:szCs w:val="22"/>
              <w:lang w:eastAsia="es-MX"/>
            </w:rPr>
          </w:pPr>
          <w:hyperlink w:anchor="_Toc208350797" w:history="1">
            <w:r w:rsidR="00343A01" w:rsidRPr="000F5941">
              <w:rPr>
                <w:rStyle w:val="Hipervnculo"/>
                <w:rFonts w:eastAsiaTheme="majorEastAsia"/>
                <w:noProof/>
                <w:color w:val="auto"/>
              </w:rPr>
              <w:t>DEL RECURSO DE REVISIÓN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_Toc208350797 \h </w:instrText>
            </w:r>
            <w:r w:rsidR="00343A01" w:rsidRPr="000F5941">
              <w:rPr>
                <w:noProof/>
                <w:webHidden/>
              </w:rPr>
            </w:r>
            <w:r w:rsidR="00343A01" w:rsidRPr="000F5941">
              <w:rPr>
                <w:noProof/>
                <w:webHidden/>
              </w:rPr>
              <w:fldChar w:fldCharType="separate"/>
            </w:r>
            <w:r w:rsidR="000F5941">
              <w:rPr>
                <w:noProof/>
                <w:webHidden/>
              </w:rPr>
              <w:t>3</w:t>
            </w:r>
            <w:r w:rsidR="00343A01" w:rsidRPr="000F5941">
              <w:rPr>
                <w:noProof/>
                <w:webHidden/>
              </w:rPr>
              <w:fldChar w:fldCharType="end"/>
            </w:r>
          </w:hyperlink>
        </w:p>
        <w:p w14:paraId="11F559B1" w14:textId="7057026E" w:rsidR="00343A01" w:rsidRPr="000F5941" w:rsidRDefault="00FB2B08" w:rsidP="00343A01">
          <w:pPr>
            <w:pStyle w:val="TDC3"/>
            <w:rPr>
              <w:rFonts w:asciiTheme="minorHAnsi" w:eastAsiaTheme="minorEastAsia" w:hAnsiTheme="minorHAnsi" w:cstheme="minorBidi"/>
              <w:noProof/>
              <w:szCs w:val="22"/>
              <w:lang w:eastAsia="es-MX"/>
            </w:rPr>
          </w:pPr>
          <w:hyperlink w:anchor="_Toc208350798" w:history="1">
            <w:r w:rsidR="00343A01" w:rsidRPr="000F5941">
              <w:rPr>
                <w:rStyle w:val="Hipervnculo"/>
                <w:rFonts w:eastAsiaTheme="majorEastAsia"/>
                <w:noProof/>
                <w:color w:val="auto"/>
              </w:rPr>
              <w:t>a) Interposición del Recurso de Revisión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_Toc208350798 \h </w:instrText>
            </w:r>
            <w:r w:rsidR="00343A01" w:rsidRPr="000F5941">
              <w:rPr>
                <w:noProof/>
                <w:webHidden/>
              </w:rPr>
            </w:r>
            <w:r w:rsidR="00343A01" w:rsidRPr="000F5941">
              <w:rPr>
                <w:noProof/>
                <w:webHidden/>
              </w:rPr>
              <w:fldChar w:fldCharType="separate"/>
            </w:r>
            <w:r w:rsidR="000F5941">
              <w:rPr>
                <w:noProof/>
                <w:webHidden/>
              </w:rPr>
              <w:t>3</w:t>
            </w:r>
            <w:r w:rsidR="00343A01" w:rsidRPr="000F5941">
              <w:rPr>
                <w:noProof/>
                <w:webHidden/>
              </w:rPr>
              <w:fldChar w:fldCharType="end"/>
            </w:r>
          </w:hyperlink>
        </w:p>
        <w:p w14:paraId="0C7E967F" w14:textId="1391C16E" w:rsidR="00343A01" w:rsidRPr="000F5941" w:rsidRDefault="00FB2B08" w:rsidP="00343A01">
          <w:pPr>
            <w:pStyle w:val="TDC3"/>
            <w:rPr>
              <w:rFonts w:asciiTheme="minorHAnsi" w:eastAsiaTheme="minorEastAsia" w:hAnsiTheme="minorHAnsi" w:cstheme="minorBidi"/>
              <w:noProof/>
              <w:szCs w:val="22"/>
              <w:lang w:eastAsia="es-MX"/>
            </w:rPr>
          </w:pPr>
          <w:hyperlink w:anchor="_Toc208350799" w:history="1">
            <w:r w:rsidR="00343A01" w:rsidRPr="000F5941">
              <w:rPr>
                <w:rStyle w:val="Hipervnculo"/>
                <w:rFonts w:eastAsiaTheme="majorEastAsia"/>
                <w:noProof/>
                <w:color w:val="auto"/>
              </w:rPr>
              <w:t>b) Turno del Recurso de Revisión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_Toc208350799 \h </w:instrText>
            </w:r>
            <w:r w:rsidR="00343A01" w:rsidRPr="000F5941">
              <w:rPr>
                <w:noProof/>
                <w:webHidden/>
              </w:rPr>
            </w:r>
            <w:r w:rsidR="00343A01" w:rsidRPr="000F5941">
              <w:rPr>
                <w:noProof/>
                <w:webHidden/>
              </w:rPr>
              <w:fldChar w:fldCharType="separate"/>
            </w:r>
            <w:r w:rsidR="000F5941">
              <w:rPr>
                <w:noProof/>
                <w:webHidden/>
              </w:rPr>
              <w:t>4</w:t>
            </w:r>
            <w:r w:rsidR="00343A01" w:rsidRPr="000F5941">
              <w:rPr>
                <w:noProof/>
                <w:webHidden/>
              </w:rPr>
              <w:fldChar w:fldCharType="end"/>
            </w:r>
          </w:hyperlink>
        </w:p>
        <w:p w14:paraId="6F604CA4" w14:textId="5944C1E6" w:rsidR="00343A01" w:rsidRPr="000F5941" w:rsidRDefault="00FB2B08" w:rsidP="00343A01">
          <w:pPr>
            <w:pStyle w:val="TDC3"/>
            <w:rPr>
              <w:rFonts w:asciiTheme="minorHAnsi" w:eastAsiaTheme="minorEastAsia" w:hAnsiTheme="minorHAnsi" w:cstheme="minorBidi"/>
              <w:noProof/>
              <w:szCs w:val="22"/>
              <w:lang w:eastAsia="es-MX"/>
            </w:rPr>
          </w:pPr>
          <w:hyperlink w:anchor="_Toc208350800" w:history="1">
            <w:r w:rsidR="00343A01" w:rsidRPr="000F5941">
              <w:rPr>
                <w:rStyle w:val="Hipervnculo"/>
                <w:rFonts w:eastAsiaTheme="majorEastAsia"/>
                <w:noProof/>
                <w:color w:val="auto"/>
              </w:rPr>
              <w:t>c) Admisión del Recurso de Revisión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_Toc208350800 \h </w:instrText>
            </w:r>
            <w:r w:rsidR="00343A01" w:rsidRPr="000F5941">
              <w:rPr>
                <w:noProof/>
                <w:webHidden/>
              </w:rPr>
            </w:r>
            <w:r w:rsidR="00343A01" w:rsidRPr="000F5941">
              <w:rPr>
                <w:noProof/>
                <w:webHidden/>
              </w:rPr>
              <w:fldChar w:fldCharType="separate"/>
            </w:r>
            <w:r w:rsidR="000F5941">
              <w:rPr>
                <w:noProof/>
                <w:webHidden/>
              </w:rPr>
              <w:t>4</w:t>
            </w:r>
            <w:r w:rsidR="00343A01" w:rsidRPr="000F5941">
              <w:rPr>
                <w:noProof/>
                <w:webHidden/>
              </w:rPr>
              <w:fldChar w:fldCharType="end"/>
            </w:r>
          </w:hyperlink>
        </w:p>
        <w:p w14:paraId="5C692CDB" w14:textId="1C8D0273" w:rsidR="00343A01" w:rsidRPr="000F5941" w:rsidRDefault="00FB2B08" w:rsidP="00343A01">
          <w:pPr>
            <w:pStyle w:val="TDC3"/>
            <w:rPr>
              <w:rFonts w:asciiTheme="minorHAnsi" w:eastAsiaTheme="minorEastAsia" w:hAnsiTheme="minorHAnsi" w:cstheme="minorBidi"/>
              <w:noProof/>
              <w:szCs w:val="22"/>
              <w:lang w:eastAsia="es-MX"/>
            </w:rPr>
          </w:pPr>
          <w:hyperlink w:anchor="_Toc208350801" w:history="1">
            <w:r w:rsidR="00343A01" w:rsidRPr="000F5941">
              <w:rPr>
                <w:rStyle w:val="Hipervnculo"/>
                <w:rFonts w:eastAsiaTheme="majorEastAsia"/>
                <w:noProof/>
                <w:color w:val="auto"/>
              </w:rPr>
              <w:t>d) Informe Justificado del Sujeto Obligado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_Toc208350801 \h </w:instrText>
            </w:r>
            <w:r w:rsidR="00343A01" w:rsidRPr="000F5941">
              <w:rPr>
                <w:noProof/>
                <w:webHidden/>
              </w:rPr>
            </w:r>
            <w:r w:rsidR="00343A01" w:rsidRPr="000F5941">
              <w:rPr>
                <w:noProof/>
                <w:webHidden/>
              </w:rPr>
              <w:fldChar w:fldCharType="separate"/>
            </w:r>
            <w:r w:rsidR="000F5941">
              <w:rPr>
                <w:noProof/>
                <w:webHidden/>
              </w:rPr>
              <w:t>4</w:t>
            </w:r>
            <w:r w:rsidR="00343A01" w:rsidRPr="000F5941">
              <w:rPr>
                <w:noProof/>
                <w:webHidden/>
              </w:rPr>
              <w:fldChar w:fldCharType="end"/>
            </w:r>
          </w:hyperlink>
        </w:p>
        <w:p w14:paraId="49EAC25F" w14:textId="05623A14" w:rsidR="00343A01" w:rsidRPr="000F5941" w:rsidRDefault="00FB2B08" w:rsidP="00343A01">
          <w:pPr>
            <w:pStyle w:val="TDC3"/>
            <w:rPr>
              <w:rFonts w:asciiTheme="minorHAnsi" w:eastAsiaTheme="minorEastAsia" w:hAnsiTheme="minorHAnsi" w:cstheme="minorBidi"/>
              <w:noProof/>
              <w:szCs w:val="22"/>
              <w:lang w:eastAsia="es-MX"/>
            </w:rPr>
          </w:pPr>
          <w:hyperlink w:anchor="_Toc208350802" w:history="1">
            <w:r w:rsidR="00343A01" w:rsidRPr="000F5941">
              <w:rPr>
                <w:rStyle w:val="Hipervnculo"/>
                <w:rFonts w:eastAsiaTheme="majorEastAsia"/>
                <w:noProof/>
                <w:color w:val="auto"/>
              </w:rPr>
              <w:t>e) Manifestaciones de la Parte Recurrente</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_Toc208350802 \h </w:instrText>
            </w:r>
            <w:r w:rsidR="00343A01" w:rsidRPr="000F5941">
              <w:rPr>
                <w:noProof/>
                <w:webHidden/>
              </w:rPr>
            </w:r>
            <w:r w:rsidR="00343A01" w:rsidRPr="000F5941">
              <w:rPr>
                <w:noProof/>
                <w:webHidden/>
              </w:rPr>
              <w:fldChar w:fldCharType="separate"/>
            </w:r>
            <w:r w:rsidR="000F5941">
              <w:rPr>
                <w:noProof/>
                <w:webHidden/>
              </w:rPr>
              <w:t>5</w:t>
            </w:r>
            <w:r w:rsidR="00343A01" w:rsidRPr="000F5941">
              <w:rPr>
                <w:noProof/>
                <w:webHidden/>
              </w:rPr>
              <w:fldChar w:fldCharType="end"/>
            </w:r>
          </w:hyperlink>
        </w:p>
        <w:p w14:paraId="4E2F972B" w14:textId="3B7B94A9" w:rsidR="00343A01" w:rsidRPr="000F5941" w:rsidRDefault="00FB2B08" w:rsidP="00343A01">
          <w:pPr>
            <w:pStyle w:val="TDC3"/>
            <w:rPr>
              <w:rFonts w:asciiTheme="minorHAnsi" w:eastAsiaTheme="minorEastAsia" w:hAnsiTheme="minorHAnsi" w:cstheme="minorBidi"/>
              <w:noProof/>
              <w:szCs w:val="22"/>
              <w:lang w:eastAsia="es-MX"/>
            </w:rPr>
          </w:pPr>
          <w:hyperlink w:anchor="_Toc208350803" w:history="1">
            <w:r w:rsidR="00343A01" w:rsidRPr="000F5941">
              <w:rPr>
                <w:rStyle w:val="Hipervnculo"/>
                <w:rFonts w:eastAsiaTheme="majorEastAsia"/>
                <w:noProof/>
                <w:color w:val="auto"/>
              </w:rPr>
              <w:t>f) Ampliación de plazo para resolver el Recurso de Revisión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_Toc208350803 \h </w:instrText>
            </w:r>
            <w:r w:rsidR="00343A01" w:rsidRPr="000F5941">
              <w:rPr>
                <w:noProof/>
                <w:webHidden/>
              </w:rPr>
            </w:r>
            <w:r w:rsidR="00343A01" w:rsidRPr="000F5941">
              <w:rPr>
                <w:noProof/>
                <w:webHidden/>
              </w:rPr>
              <w:fldChar w:fldCharType="separate"/>
            </w:r>
            <w:r w:rsidR="000F5941">
              <w:rPr>
                <w:noProof/>
                <w:webHidden/>
              </w:rPr>
              <w:t>5</w:t>
            </w:r>
            <w:r w:rsidR="00343A01" w:rsidRPr="000F5941">
              <w:rPr>
                <w:noProof/>
                <w:webHidden/>
              </w:rPr>
              <w:fldChar w:fldCharType="end"/>
            </w:r>
          </w:hyperlink>
        </w:p>
        <w:p w14:paraId="12C7329A" w14:textId="573913B2" w:rsidR="00343A01" w:rsidRPr="000F5941" w:rsidRDefault="00FB2B08" w:rsidP="00343A01">
          <w:pPr>
            <w:pStyle w:val="TDC3"/>
            <w:rPr>
              <w:rFonts w:asciiTheme="minorHAnsi" w:eastAsiaTheme="minorEastAsia" w:hAnsiTheme="minorHAnsi" w:cstheme="minorBidi"/>
              <w:noProof/>
              <w:szCs w:val="22"/>
              <w:lang w:eastAsia="es-MX"/>
            </w:rPr>
          </w:pPr>
          <w:hyperlink w:anchor="_Toc208350804" w:history="1">
            <w:r w:rsidR="00343A01" w:rsidRPr="000F5941">
              <w:rPr>
                <w:rStyle w:val="Hipervnculo"/>
                <w:rFonts w:eastAsiaTheme="majorEastAsia"/>
                <w:noProof/>
                <w:color w:val="auto"/>
              </w:rPr>
              <w:t>g) Cierre de instrucción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_Toc208350804 \h </w:instrText>
            </w:r>
            <w:r w:rsidR="00343A01" w:rsidRPr="000F5941">
              <w:rPr>
                <w:noProof/>
                <w:webHidden/>
              </w:rPr>
            </w:r>
            <w:r w:rsidR="00343A01" w:rsidRPr="000F5941">
              <w:rPr>
                <w:noProof/>
                <w:webHidden/>
              </w:rPr>
              <w:fldChar w:fldCharType="separate"/>
            </w:r>
            <w:r w:rsidR="000F5941">
              <w:rPr>
                <w:noProof/>
                <w:webHidden/>
              </w:rPr>
              <w:t>8</w:t>
            </w:r>
            <w:r w:rsidR="00343A01" w:rsidRPr="000F5941">
              <w:rPr>
                <w:noProof/>
                <w:webHidden/>
              </w:rPr>
              <w:fldChar w:fldCharType="end"/>
            </w:r>
          </w:hyperlink>
        </w:p>
        <w:p w14:paraId="7EECF996" w14:textId="06D753B9" w:rsidR="00343A01" w:rsidRPr="000F5941" w:rsidRDefault="00FB2B08" w:rsidP="00343A01">
          <w:pPr>
            <w:pStyle w:val="TDC1"/>
            <w:tabs>
              <w:tab w:val="right" w:leader="dot" w:pos="9034"/>
            </w:tabs>
            <w:rPr>
              <w:rFonts w:asciiTheme="minorHAnsi" w:eastAsiaTheme="minorEastAsia" w:hAnsiTheme="minorHAnsi" w:cstheme="minorBidi"/>
              <w:noProof/>
              <w:szCs w:val="22"/>
              <w:lang w:eastAsia="es-MX"/>
            </w:rPr>
          </w:pPr>
          <w:hyperlink w:anchor="_Toc208350805" w:history="1">
            <w:r w:rsidR="00343A01" w:rsidRPr="000F5941">
              <w:rPr>
                <w:rStyle w:val="Hipervnculo"/>
                <w:rFonts w:eastAsiaTheme="majorEastAsia"/>
                <w:noProof/>
                <w:color w:val="auto"/>
              </w:rPr>
              <w:t>CONSIDERANDOS</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_Toc208350805 \h </w:instrText>
            </w:r>
            <w:r w:rsidR="00343A01" w:rsidRPr="000F5941">
              <w:rPr>
                <w:noProof/>
                <w:webHidden/>
              </w:rPr>
            </w:r>
            <w:r w:rsidR="00343A01" w:rsidRPr="000F5941">
              <w:rPr>
                <w:noProof/>
                <w:webHidden/>
              </w:rPr>
              <w:fldChar w:fldCharType="separate"/>
            </w:r>
            <w:r w:rsidR="000F5941">
              <w:rPr>
                <w:noProof/>
                <w:webHidden/>
              </w:rPr>
              <w:t>9</w:t>
            </w:r>
            <w:r w:rsidR="00343A01" w:rsidRPr="000F5941">
              <w:rPr>
                <w:noProof/>
                <w:webHidden/>
              </w:rPr>
              <w:fldChar w:fldCharType="end"/>
            </w:r>
          </w:hyperlink>
        </w:p>
        <w:p w14:paraId="642FDFCF" w14:textId="4D19C2B9" w:rsidR="00343A01" w:rsidRPr="000F5941" w:rsidRDefault="00FB2B08" w:rsidP="00343A01">
          <w:pPr>
            <w:pStyle w:val="TDC2"/>
            <w:rPr>
              <w:rFonts w:asciiTheme="minorHAnsi" w:eastAsiaTheme="minorEastAsia" w:hAnsiTheme="minorHAnsi" w:cstheme="minorBidi"/>
              <w:noProof/>
              <w:szCs w:val="22"/>
              <w:lang w:eastAsia="es-MX"/>
            </w:rPr>
          </w:pPr>
          <w:hyperlink w:anchor="_Toc208350806" w:history="1">
            <w:r w:rsidR="00343A01" w:rsidRPr="000F5941">
              <w:rPr>
                <w:rStyle w:val="Hipervnculo"/>
                <w:rFonts w:eastAsiaTheme="majorEastAsia"/>
                <w:noProof/>
                <w:color w:val="auto"/>
              </w:rPr>
              <w:t>PRIMERO. Procedibilidad</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_Toc208350806 \h </w:instrText>
            </w:r>
            <w:r w:rsidR="00343A01" w:rsidRPr="000F5941">
              <w:rPr>
                <w:noProof/>
                <w:webHidden/>
              </w:rPr>
            </w:r>
            <w:r w:rsidR="00343A01" w:rsidRPr="000F5941">
              <w:rPr>
                <w:noProof/>
                <w:webHidden/>
              </w:rPr>
              <w:fldChar w:fldCharType="separate"/>
            </w:r>
            <w:r w:rsidR="000F5941">
              <w:rPr>
                <w:noProof/>
                <w:webHidden/>
              </w:rPr>
              <w:t>9</w:t>
            </w:r>
            <w:r w:rsidR="00343A01" w:rsidRPr="000F5941">
              <w:rPr>
                <w:noProof/>
                <w:webHidden/>
              </w:rPr>
              <w:fldChar w:fldCharType="end"/>
            </w:r>
          </w:hyperlink>
        </w:p>
        <w:p w14:paraId="1BA9ECD5" w14:textId="1AAF67BD" w:rsidR="00343A01" w:rsidRPr="000F5941" w:rsidRDefault="00FB2B08" w:rsidP="00343A01">
          <w:pPr>
            <w:pStyle w:val="TDC3"/>
            <w:rPr>
              <w:rFonts w:asciiTheme="minorHAnsi" w:eastAsiaTheme="minorEastAsia" w:hAnsiTheme="minorHAnsi" w:cstheme="minorBidi"/>
              <w:noProof/>
              <w:szCs w:val="22"/>
              <w:lang w:eastAsia="es-MX"/>
            </w:rPr>
          </w:pPr>
          <w:hyperlink w:anchor="_Toc208350807" w:history="1">
            <w:r w:rsidR="00343A01" w:rsidRPr="000F5941">
              <w:rPr>
                <w:rStyle w:val="Hipervnculo"/>
                <w:rFonts w:eastAsiaTheme="majorEastAsia"/>
                <w:noProof/>
                <w:color w:val="auto"/>
              </w:rPr>
              <w:t>a) Competencia del Instituto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_Toc208350807 \h </w:instrText>
            </w:r>
            <w:r w:rsidR="00343A01" w:rsidRPr="000F5941">
              <w:rPr>
                <w:noProof/>
                <w:webHidden/>
              </w:rPr>
            </w:r>
            <w:r w:rsidR="00343A01" w:rsidRPr="000F5941">
              <w:rPr>
                <w:noProof/>
                <w:webHidden/>
              </w:rPr>
              <w:fldChar w:fldCharType="separate"/>
            </w:r>
            <w:r w:rsidR="000F5941">
              <w:rPr>
                <w:noProof/>
                <w:webHidden/>
              </w:rPr>
              <w:t>9</w:t>
            </w:r>
            <w:r w:rsidR="00343A01" w:rsidRPr="000F5941">
              <w:rPr>
                <w:noProof/>
                <w:webHidden/>
              </w:rPr>
              <w:fldChar w:fldCharType="end"/>
            </w:r>
          </w:hyperlink>
        </w:p>
        <w:p w14:paraId="60EF58AE" w14:textId="69A3DAEE" w:rsidR="00343A01" w:rsidRPr="000F5941" w:rsidRDefault="00FB2B08" w:rsidP="00343A01">
          <w:pPr>
            <w:pStyle w:val="TDC3"/>
            <w:rPr>
              <w:rFonts w:asciiTheme="minorHAnsi" w:eastAsiaTheme="minorEastAsia" w:hAnsiTheme="minorHAnsi" w:cstheme="minorBidi"/>
              <w:noProof/>
              <w:szCs w:val="22"/>
              <w:lang w:eastAsia="es-MX"/>
            </w:rPr>
          </w:pPr>
          <w:hyperlink w:anchor="_Toc208350808" w:history="1">
            <w:r w:rsidR="00343A01" w:rsidRPr="000F5941">
              <w:rPr>
                <w:rStyle w:val="Hipervnculo"/>
                <w:rFonts w:eastAsiaTheme="majorEastAsia"/>
                <w:noProof/>
                <w:color w:val="auto"/>
              </w:rPr>
              <w:t>b) Legitimidad de la parte recurrente</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_Toc208350808 \h </w:instrText>
            </w:r>
            <w:r w:rsidR="00343A01" w:rsidRPr="000F5941">
              <w:rPr>
                <w:noProof/>
                <w:webHidden/>
              </w:rPr>
            </w:r>
            <w:r w:rsidR="00343A01" w:rsidRPr="000F5941">
              <w:rPr>
                <w:noProof/>
                <w:webHidden/>
              </w:rPr>
              <w:fldChar w:fldCharType="separate"/>
            </w:r>
            <w:r w:rsidR="000F5941">
              <w:rPr>
                <w:noProof/>
                <w:webHidden/>
              </w:rPr>
              <w:t>9</w:t>
            </w:r>
            <w:r w:rsidR="00343A01" w:rsidRPr="000F5941">
              <w:rPr>
                <w:noProof/>
                <w:webHidden/>
              </w:rPr>
              <w:fldChar w:fldCharType="end"/>
            </w:r>
          </w:hyperlink>
        </w:p>
        <w:p w14:paraId="5929F8FB" w14:textId="5C048A39" w:rsidR="00343A01" w:rsidRPr="000F5941" w:rsidRDefault="00FB2B08" w:rsidP="00343A01">
          <w:pPr>
            <w:pStyle w:val="TDC3"/>
            <w:rPr>
              <w:rFonts w:asciiTheme="minorHAnsi" w:eastAsiaTheme="minorEastAsia" w:hAnsiTheme="minorHAnsi" w:cstheme="minorBidi"/>
              <w:noProof/>
              <w:szCs w:val="22"/>
              <w:lang w:eastAsia="es-MX"/>
            </w:rPr>
          </w:pPr>
          <w:hyperlink w:anchor="_Toc208350809" w:history="1">
            <w:r w:rsidR="00343A01" w:rsidRPr="000F5941">
              <w:rPr>
                <w:rStyle w:val="Hipervnculo"/>
                <w:rFonts w:eastAsiaTheme="majorEastAsia"/>
                <w:noProof/>
                <w:color w:val="auto"/>
              </w:rPr>
              <w:t>c) Plazo para interponer el recurso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_Toc208350809 \h </w:instrText>
            </w:r>
            <w:r w:rsidR="00343A01" w:rsidRPr="000F5941">
              <w:rPr>
                <w:noProof/>
                <w:webHidden/>
              </w:rPr>
            </w:r>
            <w:r w:rsidR="00343A01" w:rsidRPr="000F5941">
              <w:rPr>
                <w:noProof/>
                <w:webHidden/>
              </w:rPr>
              <w:fldChar w:fldCharType="separate"/>
            </w:r>
            <w:r w:rsidR="000F5941">
              <w:rPr>
                <w:noProof/>
                <w:webHidden/>
              </w:rPr>
              <w:t>9</w:t>
            </w:r>
            <w:r w:rsidR="00343A01" w:rsidRPr="000F5941">
              <w:rPr>
                <w:noProof/>
                <w:webHidden/>
              </w:rPr>
              <w:fldChar w:fldCharType="end"/>
            </w:r>
          </w:hyperlink>
        </w:p>
        <w:p w14:paraId="3A4192FF" w14:textId="237F7401" w:rsidR="00343A01" w:rsidRPr="000F5941" w:rsidRDefault="00FB2B08" w:rsidP="00343A01">
          <w:pPr>
            <w:pStyle w:val="TDC3"/>
            <w:rPr>
              <w:rFonts w:asciiTheme="minorHAnsi" w:eastAsiaTheme="minorEastAsia" w:hAnsiTheme="minorHAnsi" w:cstheme="minorBidi"/>
              <w:noProof/>
              <w:szCs w:val="22"/>
              <w:lang w:eastAsia="es-MX"/>
            </w:rPr>
          </w:pPr>
          <w:hyperlink w:anchor="_Toc208350810" w:history="1">
            <w:r w:rsidR="00343A01" w:rsidRPr="000F5941">
              <w:rPr>
                <w:rStyle w:val="Hipervnculo"/>
                <w:rFonts w:eastAsiaTheme="majorEastAsia"/>
                <w:noProof/>
                <w:color w:val="auto"/>
              </w:rPr>
              <w:t>d) Causal de Procedencia</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_Toc208350810 \h </w:instrText>
            </w:r>
            <w:r w:rsidR="00343A01" w:rsidRPr="000F5941">
              <w:rPr>
                <w:noProof/>
                <w:webHidden/>
              </w:rPr>
            </w:r>
            <w:r w:rsidR="00343A01" w:rsidRPr="000F5941">
              <w:rPr>
                <w:noProof/>
                <w:webHidden/>
              </w:rPr>
              <w:fldChar w:fldCharType="separate"/>
            </w:r>
            <w:r w:rsidR="000F5941">
              <w:rPr>
                <w:noProof/>
                <w:webHidden/>
              </w:rPr>
              <w:t>10</w:t>
            </w:r>
            <w:r w:rsidR="00343A01" w:rsidRPr="000F5941">
              <w:rPr>
                <w:noProof/>
                <w:webHidden/>
              </w:rPr>
              <w:fldChar w:fldCharType="end"/>
            </w:r>
          </w:hyperlink>
        </w:p>
        <w:p w14:paraId="00B10400" w14:textId="24C0A047" w:rsidR="00343A01" w:rsidRPr="000F5941" w:rsidRDefault="00FB2B08" w:rsidP="00343A01">
          <w:pPr>
            <w:pStyle w:val="TDC3"/>
            <w:rPr>
              <w:rFonts w:asciiTheme="minorHAnsi" w:eastAsiaTheme="minorEastAsia" w:hAnsiTheme="minorHAnsi" w:cstheme="minorBidi"/>
              <w:noProof/>
              <w:szCs w:val="22"/>
              <w:lang w:eastAsia="es-MX"/>
            </w:rPr>
          </w:pPr>
          <w:hyperlink w:anchor="_Toc208350811" w:history="1">
            <w:r w:rsidR="00343A01" w:rsidRPr="000F5941">
              <w:rPr>
                <w:rStyle w:val="Hipervnculo"/>
                <w:rFonts w:eastAsiaTheme="majorEastAsia"/>
                <w:noProof/>
                <w:color w:val="auto"/>
              </w:rPr>
              <w:t>e) Requisitos formales para la interposición del recurso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_Toc208350811 \h </w:instrText>
            </w:r>
            <w:r w:rsidR="00343A01" w:rsidRPr="000F5941">
              <w:rPr>
                <w:noProof/>
                <w:webHidden/>
              </w:rPr>
            </w:r>
            <w:r w:rsidR="00343A01" w:rsidRPr="000F5941">
              <w:rPr>
                <w:noProof/>
                <w:webHidden/>
              </w:rPr>
              <w:fldChar w:fldCharType="separate"/>
            </w:r>
            <w:r w:rsidR="000F5941">
              <w:rPr>
                <w:noProof/>
                <w:webHidden/>
              </w:rPr>
              <w:t>10</w:t>
            </w:r>
            <w:r w:rsidR="00343A01" w:rsidRPr="000F5941">
              <w:rPr>
                <w:noProof/>
                <w:webHidden/>
              </w:rPr>
              <w:fldChar w:fldCharType="end"/>
            </w:r>
          </w:hyperlink>
        </w:p>
        <w:p w14:paraId="21F332CB" w14:textId="06DBA2E0" w:rsidR="00343A01" w:rsidRPr="000F5941" w:rsidRDefault="00FB2B08" w:rsidP="00343A01">
          <w:pPr>
            <w:pStyle w:val="TDC2"/>
            <w:rPr>
              <w:rFonts w:asciiTheme="minorHAnsi" w:eastAsiaTheme="minorEastAsia" w:hAnsiTheme="minorHAnsi" w:cstheme="minorBidi"/>
              <w:noProof/>
              <w:szCs w:val="22"/>
              <w:lang w:eastAsia="es-MX"/>
            </w:rPr>
          </w:pPr>
          <w:hyperlink w:anchor="_Toc208350812" w:history="1">
            <w:r w:rsidR="00343A01" w:rsidRPr="000F5941">
              <w:rPr>
                <w:rStyle w:val="Hipervnculo"/>
                <w:rFonts w:eastAsiaTheme="majorEastAsia"/>
                <w:noProof/>
                <w:color w:val="auto"/>
              </w:rPr>
              <w:t>SEGUNDO. Estudio de Fondo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_Toc208350812 \h </w:instrText>
            </w:r>
            <w:r w:rsidR="00343A01" w:rsidRPr="000F5941">
              <w:rPr>
                <w:noProof/>
                <w:webHidden/>
              </w:rPr>
            </w:r>
            <w:r w:rsidR="00343A01" w:rsidRPr="000F5941">
              <w:rPr>
                <w:noProof/>
                <w:webHidden/>
              </w:rPr>
              <w:fldChar w:fldCharType="separate"/>
            </w:r>
            <w:r w:rsidR="000F5941">
              <w:rPr>
                <w:noProof/>
                <w:webHidden/>
              </w:rPr>
              <w:t>11</w:t>
            </w:r>
            <w:r w:rsidR="00343A01" w:rsidRPr="000F5941">
              <w:rPr>
                <w:noProof/>
                <w:webHidden/>
              </w:rPr>
              <w:fldChar w:fldCharType="end"/>
            </w:r>
          </w:hyperlink>
        </w:p>
        <w:p w14:paraId="09F05178" w14:textId="68E5FC94" w:rsidR="00343A01" w:rsidRPr="000F5941" w:rsidRDefault="00FB2B08" w:rsidP="00343A01">
          <w:pPr>
            <w:pStyle w:val="TDC3"/>
            <w:rPr>
              <w:rFonts w:asciiTheme="minorHAnsi" w:eastAsiaTheme="minorEastAsia" w:hAnsiTheme="minorHAnsi" w:cstheme="minorBidi"/>
              <w:noProof/>
              <w:szCs w:val="22"/>
              <w:lang w:eastAsia="es-MX"/>
            </w:rPr>
          </w:pPr>
          <w:hyperlink w:anchor="_Toc208350813" w:history="1">
            <w:r w:rsidR="00343A01" w:rsidRPr="000F5941">
              <w:rPr>
                <w:rStyle w:val="Hipervnculo"/>
                <w:rFonts w:eastAsiaTheme="majorEastAsia"/>
                <w:noProof/>
                <w:color w:val="auto"/>
              </w:rPr>
              <w:t>a) Mandato de transparencia y responsabilidad del Sujeto Obligado</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_Toc208350813 \h </w:instrText>
            </w:r>
            <w:r w:rsidR="00343A01" w:rsidRPr="000F5941">
              <w:rPr>
                <w:noProof/>
                <w:webHidden/>
              </w:rPr>
            </w:r>
            <w:r w:rsidR="00343A01" w:rsidRPr="000F5941">
              <w:rPr>
                <w:noProof/>
                <w:webHidden/>
              </w:rPr>
              <w:fldChar w:fldCharType="separate"/>
            </w:r>
            <w:r w:rsidR="000F5941">
              <w:rPr>
                <w:noProof/>
                <w:webHidden/>
              </w:rPr>
              <w:t>11</w:t>
            </w:r>
            <w:r w:rsidR="00343A01" w:rsidRPr="000F5941">
              <w:rPr>
                <w:noProof/>
                <w:webHidden/>
              </w:rPr>
              <w:fldChar w:fldCharType="end"/>
            </w:r>
          </w:hyperlink>
        </w:p>
        <w:p w14:paraId="63721EA7" w14:textId="799BF9A0" w:rsidR="00343A01" w:rsidRPr="000F5941" w:rsidRDefault="00FB2B08" w:rsidP="00343A01">
          <w:pPr>
            <w:pStyle w:val="TDC3"/>
            <w:rPr>
              <w:rFonts w:asciiTheme="minorHAnsi" w:eastAsiaTheme="minorEastAsia" w:hAnsiTheme="minorHAnsi" w:cstheme="minorBidi"/>
              <w:noProof/>
              <w:szCs w:val="22"/>
              <w:lang w:eastAsia="es-MX"/>
            </w:rPr>
          </w:pPr>
          <w:hyperlink w:anchor="_Toc208350814" w:history="1">
            <w:r w:rsidR="00343A01" w:rsidRPr="000F5941">
              <w:rPr>
                <w:rStyle w:val="Hipervnculo"/>
                <w:rFonts w:eastAsiaTheme="majorEastAsia"/>
                <w:noProof/>
                <w:color w:val="auto"/>
              </w:rPr>
              <w:t>b) Controversia a resolver</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_Toc208350814 \h </w:instrText>
            </w:r>
            <w:r w:rsidR="00343A01" w:rsidRPr="000F5941">
              <w:rPr>
                <w:noProof/>
                <w:webHidden/>
              </w:rPr>
            </w:r>
            <w:r w:rsidR="00343A01" w:rsidRPr="000F5941">
              <w:rPr>
                <w:noProof/>
                <w:webHidden/>
              </w:rPr>
              <w:fldChar w:fldCharType="separate"/>
            </w:r>
            <w:r w:rsidR="000F5941">
              <w:rPr>
                <w:noProof/>
                <w:webHidden/>
              </w:rPr>
              <w:t>13</w:t>
            </w:r>
            <w:r w:rsidR="00343A01" w:rsidRPr="000F5941">
              <w:rPr>
                <w:noProof/>
                <w:webHidden/>
              </w:rPr>
              <w:fldChar w:fldCharType="end"/>
            </w:r>
          </w:hyperlink>
        </w:p>
        <w:p w14:paraId="2C0EDBC0" w14:textId="1E8B9C34" w:rsidR="00343A01" w:rsidRPr="000F5941" w:rsidRDefault="00FB2B08" w:rsidP="00343A01">
          <w:pPr>
            <w:pStyle w:val="TDC3"/>
            <w:rPr>
              <w:rFonts w:asciiTheme="minorHAnsi" w:eastAsiaTheme="minorEastAsia" w:hAnsiTheme="minorHAnsi" w:cstheme="minorBidi"/>
              <w:noProof/>
              <w:szCs w:val="22"/>
              <w:lang w:eastAsia="es-MX"/>
            </w:rPr>
          </w:pPr>
          <w:hyperlink w:anchor="_Toc208350815" w:history="1">
            <w:r w:rsidR="00343A01" w:rsidRPr="000F5941">
              <w:rPr>
                <w:rStyle w:val="Hipervnculo"/>
                <w:rFonts w:eastAsiaTheme="majorEastAsia"/>
                <w:noProof/>
                <w:color w:val="auto"/>
              </w:rPr>
              <w:t>c) Estudio de la controversia</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_Toc208350815 \h </w:instrText>
            </w:r>
            <w:r w:rsidR="00343A01" w:rsidRPr="000F5941">
              <w:rPr>
                <w:noProof/>
                <w:webHidden/>
              </w:rPr>
            </w:r>
            <w:r w:rsidR="00343A01" w:rsidRPr="000F5941">
              <w:rPr>
                <w:noProof/>
                <w:webHidden/>
              </w:rPr>
              <w:fldChar w:fldCharType="separate"/>
            </w:r>
            <w:r w:rsidR="000F5941">
              <w:rPr>
                <w:noProof/>
                <w:webHidden/>
              </w:rPr>
              <w:t>15</w:t>
            </w:r>
            <w:r w:rsidR="00343A01" w:rsidRPr="000F5941">
              <w:rPr>
                <w:noProof/>
                <w:webHidden/>
              </w:rPr>
              <w:fldChar w:fldCharType="end"/>
            </w:r>
          </w:hyperlink>
        </w:p>
        <w:p w14:paraId="51112645" w14:textId="7E8E5673" w:rsidR="00343A01" w:rsidRPr="000F5941" w:rsidRDefault="00FB2B08" w:rsidP="00343A01">
          <w:pPr>
            <w:pStyle w:val="TDC3"/>
            <w:rPr>
              <w:rFonts w:asciiTheme="minorHAnsi" w:eastAsiaTheme="minorEastAsia" w:hAnsiTheme="minorHAnsi" w:cstheme="minorBidi"/>
              <w:noProof/>
              <w:szCs w:val="22"/>
              <w:lang w:eastAsia="es-MX"/>
            </w:rPr>
          </w:pPr>
          <w:hyperlink w:anchor="_Toc208350816" w:history="1">
            <w:r w:rsidR="00343A01" w:rsidRPr="000F5941">
              <w:rPr>
                <w:rStyle w:val="Hipervnculo"/>
                <w:rFonts w:eastAsiaTheme="majorEastAsia"/>
                <w:noProof/>
                <w:color w:val="auto"/>
              </w:rPr>
              <w:t>d) Conclusión</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_Toc208350816 \h </w:instrText>
            </w:r>
            <w:r w:rsidR="00343A01" w:rsidRPr="000F5941">
              <w:rPr>
                <w:noProof/>
                <w:webHidden/>
              </w:rPr>
            </w:r>
            <w:r w:rsidR="00343A01" w:rsidRPr="000F5941">
              <w:rPr>
                <w:noProof/>
                <w:webHidden/>
              </w:rPr>
              <w:fldChar w:fldCharType="separate"/>
            </w:r>
            <w:r w:rsidR="000F5941">
              <w:rPr>
                <w:noProof/>
                <w:webHidden/>
              </w:rPr>
              <w:t>23</w:t>
            </w:r>
            <w:r w:rsidR="00343A01" w:rsidRPr="000F5941">
              <w:rPr>
                <w:noProof/>
                <w:webHidden/>
              </w:rPr>
              <w:fldChar w:fldCharType="end"/>
            </w:r>
          </w:hyperlink>
        </w:p>
        <w:p w14:paraId="19F616E3" w14:textId="3971CBDF" w:rsidR="00343A01" w:rsidRPr="000F5941" w:rsidRDefault="00FB2B08" w:rsidP="00343A01">
          <w:pPr>
            <w:pStyle w:val="TDC1"/>
            <w:tabs>
              <w:tab w:val="right" w:leader="dot" w:pos="9034"/>
            </w:tabs>
            <w:rPr>
              <w:rFonts w:asciiTheme="minorHAnsi" w:eastAsiaTheme="minorEastAsia" w:hAnsiTheme="minorHAnsi" w:cstheme="minorBidi"/>
              <w:noProof/>
              <w:szCs w:val="22"/>
              <w:lang w:eastAsia="es-MX"/>
            </w:rPr>
          </w:pPr>
          <w:hyperlink w:anchor="_Toc208350817" w:history="1">
            <w:r w:rsidR="00343A01" w:rsidRPr="000F5941">
              <w:rPr>
                <w:rStyle w:val="Hipervnculo"/>
                <w:rFonts w:eastAsiaTheme="majorEastAsia"/>
                <w:noProof/>
                <w:color w:val="auto"/>
              </w:rPr>
              <w:t>RESUELVE</w:t>
            </w:r>
            <w:r w:rsidR="00343A01" w:rsidRPr="000F5941">
              <w:rPr>
                <w:noProof/>
                <w:webHidden/>
              </w:rPr>
              <w:tab/>
            </w:r>
            <w:r w:rsidR="00343A01" w:rsidRPr="000F5941">
              <w:rPr>
                <w:noProof/>
                <w:webHidden/>
              </w:rPr>
              <w:fldChar w:fldCharType="begin"/>
            </w:r>
            <w:r w:rsidR="00343A01" w:rsidRPr="000F5941">
              <w:rPr>
                <w:noProof/>
                <w:webHidden/>
              </w:rPr>
              <w:instrText xml:space="preserve"> PAGEREF _Toc208350817 \h </w:instrText>
            </w:r>
            <w:r w:rsidR="00343A01" w:rsidRPr="000F5941">
              <w:rPr>
                <w:noProof/>
                <w:webHidden/>
              </w:rPr>
            </w:r>
            <w:r w:rsidR="00343A01" w:rsidRPr="000F5941">
              <w:rPr>
                <w:noProof/>
                <w:webHidden/>
              </w:rPr>
              <w:fldChar w:fldCharType="separate"/>
            </w:r>
            <w:r w:rsidR="000F5941">
              <w:rPr>
                <w:noProof/>
                <w:webHidden/>
              </w:rPr>
              <w:t>24</w:t>
            </w:r>
            <w:r w:rsidR="00343A01" w:rsidRPr="000F5941">
              <w:rPr>
                <w:noProof/>
                <w:webHidden/>
              </w:rPr>
              <w:fldChar w:fldCharType="end"/>
            </w:r>
          </w:hyperlink>
        </w:p>
        <w:p w14:paraId="2723AE3B" w14:textId="56CCF676" w:rsidR="00D01F96" w:rsidRPr="000F5941" w:rsidRDefault="00D01F96" w:rsidP="00343A01">
          <w:pPr>
            <w:pStyle w:val="TDC1"/>
            <w:tabs>
              <w:tab w:val="right" w:leader="dot" w:pos="9034"/>
            </w:tabs>
          </w:pPr>
          <w:r w:rsidRPr="000F5941">
            <w:rPr>
              <w:b/>
              <w:bCs/>
              <w:lang w:val="es-ES"/>
            </w:rPr>
            <w:fldChar w:fldCharType="end"/>
          </w:r>
        </w:p>
      </w:sdtContent>
    </w:sdt>
    <w:p w14:paraId="1EDFC376" w14:textId="77777777" w:rsidR="00894FBA" w:rsidRPr="000F5941" w:rsidRDefault="00894FBA" w:rsidP="00343A01">
      <w:pPr>
        <w:sectPr w:rsidR="00894FBA" w:rsidRPr="000F5941">
          <w:headerReference w:type="default" r:id="rId9"/>
          <w:footerReference w:type="default" r:id="rId10"/>
          <w:headerReference w:type="first" r:id="rId11"/>
          <w:pgSz w:w="12240" w:h="15840"/>
          <w:pgMar w:top="2552" w:right="1608" w:bottom="851" w:left="1588" w:header="709" w:footer="737" w:gutter="0"/>
          <w:pgNumType w:start="1"/>
          <w:cols w:space="720"/>
          <w:titlePg/>
        </w:sectPr>
      </w:pPr>
    </w:p>
    <w:p w14:paraId="095A37EC" w14:textId="77777777" w:rsidR="00894FBA" w:rsidRPr="000F5941" w:rsidRDefault="008A5F01" w:rsidP="00343A01">
      <w:r w:rsidRPr="000F5941">
        <w:lastRenderedPageBreak/>
        <w:t xml:space="preserve">Resolución del Pleno del Instituto de Transparencia, Acceso a la Información Pública y Protección de Datos Personales del Estado de México y Municipios, con domicilio en Metepec, Estado de México, del </w:t>
      </w:r>
      <w:r w:rsidR="00D3236B" w:rsidRPr="000F5941">
        <w:rPr>
          <w:b/>
        </w:rPr>
        <w:t>diez de septiembre</w:t>
      </w:r>
      <w:r w:rsidRPr="000F5941">
        <w:rPr>
          <w:b/>
        </w:rPr>
        <w:t xml:space="preserve"> de dos mil veinticinco.</w:t>
      </w:r>
    </w:p>
    <w:p w14:paraId="65201919" w14:textId="77777777" w:rsidR="00894FBA" w:rsidRPr="000F5941" w:rsidRDefault="00894FBA" w:rsidP="00343A01"/>
    <w:p w14:paraId="1B6FAF0C" w14:textId="77777777" w:rsidR="00894FBA" w:rsidRPr="000F5941" w:rsidRDefault="008A5F01" w:rsidP="00343A01">
      <w:pPr>
        <w:spacing w:after="240"/>
      </w:pPr>
      <w:r w:rsidRPr="000F5941">
        <w:rPr>
          <w:b/>
        </w:rPr>
        <w:t xml:space="preserve">VISTO </w:t>
      </w:r>
      <w:r w:rsidRPr="000F5941">
        <w:t xml:space="preserve">el expediente formado con motivo del Recurso de Revisión </w:t>
      </w:r>
      <w:r w:rsidR="002F4D49" w:rsidRPr="000F5941">
        <w:rPr>
          <w:b/>
        </w:rPr>
        <w:t>05457</w:t>
      </w:r>
      <w:r w:rsidR="008B4468" w:rsidRPr="000F5941">
        <w:rPr>
          <w:b/>
        </w:rPr>
        <w:t>/INFOEM/IP/RR/2025</w:t>
      </w:r>
      <w:r w:rsidRPr="000F5941">
        <w:rPr>
          <w:b/>
        </w:rPr>
        <w:t xml:space="preserve"> </w:t>
      </w:r>
      <w:r w:rsidRPr="000F5941">
        <w:t xml:space="preserve">interpuesto por </w:t>
      </w:r>
      <w:r w:rsidR="008B4468" w:rsidRPr="000F5941">
        <w:rPr>
          <w:b/>
        </w:rPr>
        <w:t>una persona de manera anónima</w:t>
      </w:r>
      <w:r w:rsidRPr="000F5941">
        <w:t xml:space="preserve">, a quien en lo subsecuente se le denominará </w:t>
      </w:r>
      <w:r w:rsidRPr="000F5941">
        <w:rPr>
          <w:b/>
        </w:rPr>
        <w:t>LA PARTE RECURRENTE</w:t>
      </w:r>
      <w:r w:rsidRPr="000F5941">
        <w:t xml:space="preserve">, en contra de la respuesta emitida por el </w:t>
      </w:r>
      <w:r w:rsidR="008B4468" w:rsidRPr="000F5941">
        <w:rPr>
          <w:b/>
        </w:rPr>
        <w:t>Ayuntamiento de Cuautitlán Izcalli</w:t>
      </w:r>
      <w:r w:rsidRPr="000F5941">
        <w:t xml:space="preserve">, en adelante </w:t>
      </w:r>
      <w:r w:rsidRPr="000F5941">
        <w:rPr>
          <w:b/>
        </w:rPr>
        <w:t>EL SUJETO OBLIGADO</w:t>
      </w:r>
      <w:r w:rsidRPr="000F5941">
        <w:t>, se emite la presente Resolución con base en los Antecedentes y Considerandos que se exponen a continuación:</w:t>
      </w:r>
    </w:p>
    <w:p w14:paraId="269B2678" w14:textId="77777777" w:rsidR="00894FBA" w:rsidRPr="000F5941" w:rsidRDefault="008A5F01" w:rsidP="00343A01">
      <w:pPr>
        <w:pStyle w:val="Ttulo1"/>
      </w:pPr>
      <w:bookmarkStart w:id="2" w:name="_Toc208350792"/>
      <w:r w:rsidRPr="000F5941">
        <w:t>ANTECEDENTES</w:t>
      </w:r>
      <w:bookmarkEnd w:id="2"/>
    </w:p>
    <w:p w14:paraId="291F8B88" w14:textId="77777777" w:rsidR="00894FBA" w:rsidRPr="000F5941" w:rsidRDefault="00894FBA" w:rsidP="00343A01"/>
    <w:p w14:paraId="3A38B440" w14:textId="77777777" w:rsidR="00894FBA" w:rsidRPr="000F5941" w:rsidRDefault="008A5F01" w:rsidP="00343A01">
      <w:pPr>
        <w:pStyle w:val="Ttulo2"/>
        <w:jc w:val="left"/>
      </w:pPr>
      <w:bookmarkStart w:id="3" w:name="_Toc208350793"/>
      <w:r w:rsidRPr="000F5941">
        <w:t>DE LA SOLICITUD DE INFORMACIÓN</w:t>
      </w:r>
      <w:bookmarkEnd w:id="3"/>
    </w:p>
    <w:p w14:paraId="2C67DEE8" w14:textId="77777777" w:rsidR="00894FBA" w:rsidRPr="000F5941" w:rsidRDefault="008A5F01" w:rsidP="00343A01">
      <w:pPr>
        <w:pStyle w:val="Ttulo3"/>
      </w:pPr>
      <w:bookmarkStart w:id="4" w:name="_Toc208350794"/>
      <w:r w:rsidRPr="000F5941">
        <w:t>a) Solicitud de información</w:t>
      </w:r>
      <w:bookmarkEnd w:id="4"/>
    </w:p>
    <w:p w14:paraId="27DF3416" w14:textId="77777777" w:rsidR="00894FBA" w:rsidRPr="000F5941" w:rsidRDefault="008A5F01" w:rsidP="00343A01">
      <w:pPr>
        <w:spacing w:after="240"/>
      </w:pPr>
      <w:bookmarkStart w:id="5" w:name="_heading=h.fx19n1k97ld" w:colFirst="0" w:colLast="0"/>
      <w:bookmarkEnd w:id="5"/>
      <w:r w:rsidRPr="000F5941">
        <w:t xml:space="preserve">El </w:t>
      </w:r>
      <w:r w:rsidR="002F4D49" w:rsidRPr="000F5941">
        <w:rPr>
          <w:b/>
        </w:rPr>
        <w:t>veintiuno de abril</w:t>
      </w:r>
      <w:r w:rsidRPr="000F5941">
        <w:rPr>
          <w:b/>
        </w:rPr>
        <w:t xml:space="preserve"> de dos mil veinticinco</w:t>
      </w:r>
      <w:r w:rsidR="002F4D49" w:rsidRPr="000F5941">
        <w:rPr>
          <w:rStyle w:val="Refdenotaalpie"/>
          <w:b/>
        </w:rPr>
        <w:footnoteReference w:id="1"/>
      </w:r>
      <w:r w:rsidRPr="000F5941">
        <w:rPr>
          <w:b/>
        </w:rPr>
        <w:t xml:space="preserve"> LA PARTE RECURRENTE</w:t>
      </w:r>
      <w:r w:rsidRPr="000F5941">
        <w:t xml:space="preserve"> presentó una solicitud de acceso a la información pública ante </w:t>
      </w:r>
      <w:r w:rsidRPr="000F5941">
        <w:rPr>
          <w:b/>
        </w:rPr>
        <w:t>EL</w:t>
      </w:r>
      <w:r w:rsidRPr="000F5941">
        <w:t xml:space="preserve"> </w:t>
      </w:r>
      <w:r w:rsidRPr="000F5941">
        <w:rPr>
          <w:b/>
        </w:rPr>
        <w:t>SUJETO OBLIGADO</w:t>
      </w:r>
      <w:r w:rsidRPr="000F5941">
        <w:t>, a través del Sistema de Acceso a la Información</w:t>
      </w:r>
      <w:r w:rsidRPr="000F5941">
        <w:rPr>
          <w:b/>
        </w:rPr>
        <w:t xml:space="preserve"> </w:t>
      </w:r>
      <w:r w:rsidRPr="000F5941">
        <w:t>(</w:t>
      </w:r>
      <w:r w:rsidRPr="000F5941">
        <w:rPr>
          <w:b/>
        </w:rPr>
        <w:t>SAIMEX</w:t>
      </w:r>
      <w:r w:rsidRPr="000F5941">
        <w:t>). Dicha solicitud quedó registrada con el número de folio</w:t>
      </w:r>
      <w:r w:rsidRPr="000F5941">
        <w:rPr>
          <w:b/>
        </w:rPr>
        <w:t xml:space="preserve"> </w:t>
      </w:r>
      <w:r w:rsidR="002F4D49" w:rsidRPr="000F5941">
        <w:rPr>
          <w:b/>
        </w:rPr>
        <w:t>00737/CUAUTIZC/IP/2025</w:t>
      </w:r>
      <w:r w:rsidR="002F4D49" w:rsidRPr="000F5941">
        <w:rPr>
          <w:b/>
        </w:rPr>
        <w:tab/>
      </w:r>
      <w:r w:rsidRPr="000F5941">
        <w:rPr>
          <w:b/>
        </w:rPr>
        <w:t xml:space="preserve"> </w:t>
      </w:r>
      <w:r w:rsidRPr="000F5941">
        <w:t>y en ella se requirió la siguiente información:</w:t>
      </w:r>
    </w:p>
    <w:p w14:paraId="38DE069C" w14:textId="77777777" w:rsidR="00894FBA" w:rsidRPr="000F5941" w:rsidRDefault="008A5F01" w:rsidP="00343A01">
      <w:pPr>
        <w:pStyle w:val="Puesto"/>
        <w:ind w:left="851" w:right="822"/>
      </w:pPr>
      <w:r w:rsidRPr="000F5941">
        <w:t>“</w:t>
      </w:r>
      <w:r w:rsidR="002F4D49" w:rsidRPr="000F5941">
        <w:t>Solicito, en versión pública y formato abierto, los documentos donde consten las Condiciones Generales de Trabajo, contratos o convenios que regulen las relaciones laborales del personal de base y de confianza, así como los recursos públicos económicos, en especie o donativos, que sean entregados a los Sindicatos.</w:t>
      </w:r>
      <w:r w:rsidRPr="000F5941">
        <w:t>” (Sic)</w:t>
      </w:r>
    </w:p>
    <w:p w14:paraId="38B0679D" w14:textId="77777777" w:rsidR="00894FBA" w:rsidRPr="000F5941" w:rsidRDefault="00894FBA" w:rsidP="00343A01"/>
    <w:p w14:paraId="6283BCD0" w14:textId="77777777" w:rsidR="00894FBA" w:rsidRPr="000F5941" w:rsidRDefault="008A5F01" w:rsidP="00343A01">
      <w:pPr>
        <w:tabs>
          <w:tab w:val="left" w:pos="4667"/>
        </w:tabs>
        <w:ind w:left="567" w:right="567"/>
      </w:pPr>
      <w:r w:rsidRPr="000F5941">
        <w:rPr>
          <w:b/>
        </w:rPr>
        <w:lastRenderedPageBreak/>
        <w:t>Modalidad de entrega</w:t>
      </w:r>
      <w:r w:rsidRPr="000F5941">
        <w:t>: a</w:t>
      </w:r>
      <w:r w:rsidRPr="000F5941">
        <w:rPr>
          <w:i/>
        </w:rPr>
        <w:t xml:space="preserve"> través del </w:t>
      </w:r>
      <w:r w:rsidRPr="000F5941">
        <w:rPr>
          <w:b/>
          <w:i/>
        </w:rPr>
        <w:t>SAIMEX</w:t>
      </w:r>
      <w:r w:rsidRPr="000F5941">
        <w:rPr>
          <w:i/>
        </w:rPr>
        <w:t>.</w:t>
      </w:r>
    </w:p>
    <w:p w14:paraId="72EF5C0A" w14:textId="77777777" w:rsidR="00D37727" w:rsidRPr="000F5941" w:rsidRDefault="00D37727" w:rsidP="00343A01">
      <w:pPr>
        <w:ind w:right="-28"/>
        <w:rPr>
          <w:i/>
        </w:rPr>
      </w:pPr>
    </w:p>
    <w:p w14:paraId="63AADBB9" w14:textId="77777777" w:rsidR="00D37727" w:rsidRPr="000F5941" w:rsidRDefault="00D37727" w:rsidP="00343A01">
      <w:pPr>
        <w:pStyle w:val="Ttulo3"/>
      </w:pPr>
      <w:bookmarkStart w:id="6" w:name="_Toc165402856"/>
      <w:bookmarkStart w:id="7" w:name="_Toc208350795"/>
      <w:r w:rsidRPr="000F5941">
        <w:t>b) Turno de la solicitud de información</w:t>
      </w:r>
      <w:bookmarkEnd w:id="6"/>
      <w:bookmarkEnd w:id="7"/>
    </w:p>
    <w:p w14:paraId="2CBC3E38" w14:textId="77777777" w:rsidR="00D37727" w:rsidRPr="000F5941" w:rsidRDefault="00D37727" w:rsidP="00343A01">
      <w:r w:rsidRPr="000F5941">
        <w:t xml:space="preserve">En cumplimiento al artículo 162 de la Ley de Transparencia y Acceso a la Información Pública del Estado de México y Municipios, el </w:t>
      </w:r>
      <w:r w:rsidR="002F4D49" w:rsidRPr="000F5941">
        <w:rPr>
          <w:rFonts w:eastAsia="Palatino Linotype" w:cs="Palatino Linotype"/>
          <w:b/>
        </w:rPr>
        <w:t>veintiuno</w:t>
      </w:r>
      <w:r w:rsidR="00F04B3C" w:rsidRPr="000F5941">
        <w:rPr>
          <w:rFonts w:eastAsia="Palatino Linotype" w:cs="Palatino Linotype"/>
          <w:b/>
        </w:rPr>
        <w:t xml:space="preserve"> de abril </w:t>
      </w:r>
      <w:r w:rsidRPr="000F5941">
        <w:rPr>
          <w:rFonts w:eastAsia="Palatino Linotype" w:cs="Palatino Linotype"/>
          <w:b/>
        </w:rPr>
        <w:t>de dos mil veinticinco,</w:t>
      </w:r>
      <w:r w:rsidR="00924628" w:rsidRPr="000F5941">
        <w:t xml:space="preserve"> </w:t>
      </w:r>
      <w:r w:rsidRPr="000F5941">
        <w:t>l</w:t>
      </w:r>
      <w:r w:rsidR="00924628" w:rsidRPr="000F5941">
        <w:t>a</w:t>
      </w:r>
      <w:r w:rsidRPr="000F5941">
        <w:t xml:space="preserve"> Titular de la Unidad de Transparencia del </w:t>
      </w:r>
      <w:r w:rsidRPr="000F5941">
        <w:rPr>
          <w:b/>
        </w:rPr>
        <w:t>SUJETO OBLIGADO</w:t>
      </w:r>
      <w:r w:rsidRPr="000F5941">
        <w:t xml:space="preserve"> turnó la solicitud de información al servidor público habilitado que estimó pertinente.</w:t>
      </w:r>
    </w:p>
    <w:p w14:paraId="4CABC767" w14:textId="77777777" w:rsidR="00D37727" w:rsidRPr="000F5941" w:rsidRDefault="00D37727" w:rsidP="00343A01">
      <w:pPr>
        <w:ind w:right="-28"/>
        <w:rPr>
          <w:i/>
        </w:rPr>
      </w:pPr>
    </w:p>
    <w:p w14:paraId="750DAB2F" w14:textId="77777777" w:rsidR="00894FBA" w:rsidRPr="000F5941" w:rsidRDefault="00D37727" w:rsidP="00343A01">
      <w:pPr>
        <w:pStyle w:val="Ttulo3"/>
      </w:pPr>
      <w:bookmarkStart w:id="8" w:name="_Toc165402857"/>
      <w:bookmarkStart w:id="9" w:name="_Toc208350796"/>
      <w:r w:rsidRPr="000F5941">
        <w:t xml:space="preserve">c) </w:t>
      </w:r>
      <w:bookmarkEnd w:id="8"/>
      <w:r w:rsidR="008A5F01" w:rsidRPr="000F5941">
        <w:t>Respuesta del Sujeto Obligado</w:t>
      </w:r>
      <w:bookmarkEnd w:id="9"/>
    </w:p>
    <w:p w14:paraId="286D1214" w14:textId="77777777" w:rsidR="00894FBA" w:rsidRPr="000F5941" w:rsidRDefault="008A5F01" w:rsidP="00343A01">
      <w:pPr>
        <w:pBdr>
          <w:top w:val="nil"/>
          <w:left w:val="nil"/>
          <w:bottom w:val="nil"/>
          <w:right w:val="nil"/>
          <w:between w:val="nil"/>
        </w:pBdr>
      </w:pPr>
      <w:r w:rsidRPr="000F5941">
        <w:t xml:space="preserve">El </w:t>
      </w:r>
      <w:r w:rsidR="00F90079" w:rsidRPr="000F5941">
        <w:rPr>
          <w:b/>
        </w:rPr>
        <w:t xml:space="preserve">siete de </w:t>
      </w:r>
      <w:r w:rsidR="002F4D49" w:rsidRPr="000F5941">
        <w:rPr>
          <w:b/>
        </w:rPr>
        <w:t>mayo</w:t>
      </w:r>
      <w:r w:rsidR="002E7B15" w:rsidRPr="000F5941">
        <w:rPr>
          <w:b/>
        </w:rPr>
        <w:t xml:space="preserve"> </w:t>
      </w:r>
      <w:r w:rsidRPr="000F5941">
        <w:rPr>
          <w:b/>
        </w:rPr>
        <w:t>de dos mil veinticinco</w:t>
      </w:r>
      <w:r w:rsidR="00FB090D" w:rsidRPr="000F5941">
        <w:t xml:space="preserve">, </w:t>
      </w:r>
      <w:r w:rsidR="00A84C90" w:rsidRPr="000F5941">
        <w:t>l</w:t>
      </w:r>
      <w:r w:rsidR="00FB090D" w:rsidRPr="000F5941">
        <w:t>a</w:t>
      </w:r>
      <w:r w:rsidRPr="000F5941">
        <w:t xml:space="preserve"> Titular de la Unidad de Transparencia del </w:t>
      </w:r>
      <w:r w:rsidRPr="000F5941">
        <w:rPr>
          <w:b/>
        </w:rPr>
        <w:t>SUJETO OBLIGADO</w:t>
      </w:r>
      <w:r w:rsidRPr="000F5941">
        <w:t xml:space="preserve"> notificó la siguiente respuesta a través del </w:t>
      </w:r>
      <w:r w:rsidRPr="000F5941">
        <w:rPr>
          <w:b/>
        </w:rPr>
        <w:t>SAIMEX</w:t>
      </w:r>
      <w:r w:rsidRPr="000F5941">
        <w:t>:</w:t>
      </w:r>
    </w:p>
    <w:p w14:paraId="7B5B413C" w14:textId="77777777" w:rsidR="00894FBA" w:rsidRPr="000F5941" w:rsidRDefault="00894FBA" w:rsidP="00343A01">
      <w:pPr>
        <w:tabs>
          <w:tab w:val="left" w:pos="4667"/>
        </w:tabs>
        <w:ind w:left="567" w:right="567"/>
        <w:rPr>
          <w:b/>
        </w:rPr>
      </w:pPr>
    </w:p>
    <w:p w14:paraId="76E28EEF" w14:textId="77777777" w:rsidR="002F4D49" w:rsidRPr="000F5941" w:rsidRDefault="008A5F01" w:rsidP="00343A01">
      <w:pPr>
        <w:pStyle w:val="Puesto"/>
        <w:ind w:left="851" w:right="822"/>
      </w:pPr>
      <w:r w:rsidRPr="000F5941">
        <w:t>“</w:t>
      </w:r>
      <w:r w:rsidR="002F4D49" w:rsidRPr="000F5941">
        <w:t>Folio de la solicitud: 00737/CUAUTIZC/IP/2025</w:t>
      </w:r>
    </w:p>
    <w:p w14:paraId="6B2C99F7" w14:textId="77777777" w:rsidR="007950B5" w:rsidRPr="000F5941" w:rsidRDefault="007950B5" w:rsidP="00343A01"/>
    <w:p w14:paraId="6C9255A4" w14:textId="77777777" w:rsidR="002F4D49" w:rsidRPr="000F5941" w:rsidRDefault="002F4D49" w:rsidP="00343A01">
      <w:pPr>
        <w:pStyle w:val="Puesto"/>
        <w:ind w:left="851" w:right="822"/>
      </w:pPr>
      <w:r w:rsidRPr="000F5941">
        <w:t>En respuesta a la solicitud recibida, nos permitimos hacer de su conocimiento que con fundamento en el artículo 53, Fracciones: II, V y VI de la Ley de Transparencia y Acceso a la Información Pública del Estado de México y Municipios, le contestamos que:</w:t>
      </w:r>
    </w:p>
    <w:p w14:paraId="7BAE5CD7" w14:textId="77777777" w:rsidR="007950B5" w:rsidRPr="000F5941" w:rsidRDefault="007950B5" w:rsidP="00343A01"/>
    <w:p w14:paraId="44EC674B" w14:textId="77777777" w:rsidR="002F4D49" w:rsidRPr="000F5941" w:rsidRDefault="002F4D49" w:rsidP="00343A01">
      <w:pPr>
        <w:pStyle w:val="Puesto"/>
        <w:ind w:left="851" w:right="822"/>
      </w:pPr>
      <w:r w:rsidRPr="000F5941">
        <w:t>Se procede a notificar la respuesta a la solicitud de información pública. Así mismo se hace de su conocimiento que usted puede interponer su recurso de revisión dentro del plazo de 15 días hábiles contados a partir de la fecha en que se realice la notificación vía electrónica, a través del SAIMEX</w:t>
      </w:r>
    </w:p>
    <w:p w14:paraId="2F91C8EC" w14:textId="77777777" w:rsidR="007950B5" w:rsidRPr="000F5941" w:rsidRDefault="007950B5" w:rsidP="00343A01"/>
    <w:p w14:paraId="3C4385AF" w14:textId="77777777" w:rsidR="002F4D49" w:rsidRPr="000F5941" w:rsidRDefault="002F4D49" w:rsidP="00343A01">
      <w:pPr>
        <w:pStyle w:val="Puesto"/>
        <w:ind w:left="851" w:right="822"/>
      </w:pPr>
      <w:r w:rsidRPr="000F5941">
        <w:t>ATENTAMENTE</w:t>
      </w:r>
    </w:p>
    <w:p w14:paraId="06D5D490" w14:textId="77777777" w:rsidR="007950B5" w:rsidRPr="000F5941" w:rsidRDefault="007950B5" w:rsidP="00343A01"/>
    <w:p w14:paraId="056C5176" w14:textId="77777777" w:rsidR="00894FBA" w:rsidRPr="000F5941" w:rsidRDefault="002F4D49" w:rsidP="00343A01">
      <w:pPr>
        <w:pStyle w:val="Puesto"/>
        <w:ind w:left="851" w:right="822"/>
      </w:pPr>
      <w:r w:rsidRPr="000F5941">
        <w:t>GABRIELA ELIZABETH MORALES CRUZ</w:t>
      </w:r>
      <w:r w:rsidR="008A5F01" w:rsidRPr="000F5941">
        <w:t>” (Sic)</w:t>
      </w:r>
    </w:p>
    <w:p w14:paraId="277DC8E7" w14:textId="77777777" w:rsidR="00894FBA" w:rsidRPr="000F5941" w:rsidRDefault="00894FBA" w:rsidP="00343A01">
      <w:pPr>
        <w:ind w:right="-28"/>
      </w:pPr>
    </w:p>
    <w:p w14:paraId="1F90FFC4" w14:textId="77777777" w:rsidR="00F04B3C" w:rsidRPr="000F5941" w:rsidRDefault="008A5F01" w:rsidP="00343A01">
      <w:pPr>
        <w:spacing w:after="240"/>
      </w:pPr>
      <w:r w:rsidRPr="000F5941">
        <w:lastRenderedPageBreak/>
        <w:t xml:space="preserve">Asimismo, </w:t>
      </w:r>
      <w:r w:rsidRPr="000F5941">
        <w:rPr>
          <w:b/>
        </w:rPr>
        <w:t xml:space="preserve">EL SUJETO OBLIGADO </w:t>
      </w:r>
      <w:r w:rsidRPr="000F5941">
        <w:t xml:space="preserve">adjuntó a su respuesta </w:t>
      </w:r>
      <w:r w:rsidR="00F04B3C" w:rsidRPr="000F5941">
        <w:t>los siguientes archivos electrónicos:</w:t>
      </w:r>
    </w:p>
    <w:p w14:paraId="18B0BE60" w14:textId="77777777" w:rsidR="00170C55" w:rsidRPr="000F5941" w:rsidRDefault="008A5F01" w:rsidP="00343A01">
      <w:pPr>
        <w:pStyle w:val="Prrafodelista"/>
        <w:numPr>
          <w:ilvl w:val="0"/>
          <w:numId w:val="9"/>
        </w:numPr>
        <w:spacing w:after="240"/>
        <w:rPr>
          <w:rFonts w:eastAsia="Palatino Linotype" w:cs="Palatino Linotype"/>
          <w:szCs w:val="22"/>
        </w:rPr>
      </w:pPr>
      <w:r w:rsidRPr="000F5941">
        <w:rPr>
          <w:rFonts w:eastAsia="Palatino Linotype" w:cs="Palatino Linotype"/>
          <w:b/>
          <w:i/>
          <w:szCs w:val="22"/>
        </w:rPr>
        <w:t>“</w:t>
      </w:r>
      <w:r w:rsidR="002F4D49" w:rsidRPr="000F5941">
        <w:rPr>
          <w:rFonts w:eastAsia="Palatino Linotype" w:cs="Palatino Linotype"/>
          <w:b/>
          <w:i/>
          <w:szCs w:val="22"/>
        </w:rPr>
        <w:t>CONVENIO SINDICAL 2024 A COLOR.pdf</w:t>
      </w:r>
      <w:r w:rsidRPr="000F5941">
        <w:rPr>
          <w:rFonts w:eastAsia="Palatino Linotype" w:cs="Palatino Linotype"/>
          <w:b/>
          <w:i/>
          <w:szCs w:val="22"/>
        </w:rPr>
        <w:t>”</w:t>
      </w:r>
      <w:r w:rsidRPr="000F5941">
        <w:rPr>
          <w:rFonts w:eastAsia="Palatino Linotype" w:cs="Palatino Linotype"/>
          <w:szCs w:val="22"/>
        </w:rPr>
        <w:t xml:space="preserve"> de cuyo contenido se advierte </w:t>
      </w:r>
      <w:r w:rsidR="009E4C94" w:rsidRPr="000F5941">
        <w:rPr>
          <w:rFonts w:eastAsia="Palatino Linotype" w:cs="Palatino Linotype"/>
          <w:szCs w:val="22"/>
        </w:rPr>
        <w:t>convenio de prestaciones de ley y colaterales 2024, signado p</w:t>
      </w:r>
      <w:r w:rsidR="00964133" w:rsidRPr="000F5941">
        <w:rPr>
          <w:rFonts w:eastAsia="Palatino Linotype" w:cs="Palatino Linotype"/>
          <w:szCs w:val="22"/>
        </w:rPr>
        <w:t>or el S.U.T.E.Y.M. de Cuautitlán Izcalli, el Municipio de Cuautitlán Izcalli y el Organismo Descentralizado para la Prestación de los Servicios de Agua Potable, Alcantarillado y Saneamiento del Municipio de Cuautitlán Izcalli</w:t>
      </w:r>
      <w:r w:rsidR="00170C55" w:rsidRPr="000F5941">
        <w:t>.</w:t>
      </w:r>
    </w:p>
    <w:p w14:paraId="4F8416E1" w14:textId="77777777" w:rsidR="00F04B3C" w:rsidRPr="000F5941" w:rsidRDefault="00F04B3C" w:rsidP="00343A01">
      <w:pPr>
        <w:pStyle w:val="Prrafodelista"/>
        <w:numPr>
          <w:ilvl w:val="0"/>
          <w:numId w:val="9"/>
        </w:numPr>
        <w:spacing w:after="240"/>
      </w:pPr>
      <w:r w:rsidRPr="000F5941">
        <w:rPr>
          <w:rFonts w:eastAsia="Palatino Linotype" w:cs="Palatino Linotype"/>
          <w:b/>
          <w:i/>
          <w:szCs w:val="22"/>
        </w:rPr>
        <w:t>“</w:t>
      </w:r>
      <w:r w:rsidR="00964133" w:rsidRPr="000F5941">
        <w:rPr>
          <w:rFonts w:eastAsia="Palatino Linotype" w:cs="Palatino Linotype"/>
          <w:b/>
          <w:i/>
          <w:szCs w:val="22"/>
        </w:rPr>
        <w:t>RESPUESTA SOLICITUD 737.pdf</w:t>
      </w:r>
      <w:r w:rsidRPr="000F5941">
        <w:rPr>
          <w:rFonts w:eastAsia="Palatino Linotype" w:cs="Palatino Linotype"/>
          <w:b/>
          <w:i/>
          <w:szCs w:val="22"/>
        </w:rPr>
        <w:t xml:space="preserve">”, </w:t>
      </w:r>
      <w:r w:rsidR="00C04931" w:rsidRPr="000F5941">
        <w:rPr>
          <w:rFonts w:eastAsia="Palatino Linotype" w:cs="Palatino Linotype"/>
          <w:szCs w:val="22"/>
        </w:rPr>
        <w:t xml:space="preserve">mismo que contiene el oficio </w:t>
      </w:r>
      <w:r w:rsidR="00D87517" w:rsidRPr="000F5941">
        <w:rPr>
          <w:rFonts w:eastAsia="Palatino Linotype" w:cs="Palatino Linotype"/>
          <w:szCs w:val="22"/>
        </w:rPr>
        <w:t>DA/2608/2025</w:t>
      </w:r>
      <w:r w:rsidR="00C04931" w:rsidRPr="000F5941">
        <w:rPr>
          <w:rFonts w:eastAsia="Palatino Linotype" w:cs="Palatino Linotype"/>
          <w:szCs w:val="22"/>
        </w:rPr>
        <w:t xml:space="preserve"> del do</w:t>
      </w:r>
      <w:r w:rsidR="00D87517" w:rsidRPr="000F5941">
        <w:rPr>
          <w:rFonts w:eastAsia="Palatino Linotype" w:cs="Palatino Linotype"/>
          <w:szCs w:val="22"/>
        </w:rPr>
        <w:t>s</w:t>
      </w:r>
      <w:r w:rsidR="00C04931" w:rsidRPr="000F5941">
        <w:rPr>
          <w:rFonts w:eastAsia="Palatino Linotype" w:cs="Palatino Linotype"/>
          <w:szCs w:val="22"/>
        </w:rPr>
        <w:t xml:space="preserve"> de mayo de dos mil veinticinco, dirigido a la Coordinadora de Transparencia y mediante el cual </w:t>
      </w:r>
      <w:r w:rsidR="00D87517" w:rsidRPr="000F5941">
        <w:rPr>
          <w:rFonts w:eastAsia="Palatino Linotype" w:cs="Palatino Linotype"/>
          <w:szCs w:val="22"/>
        </w:rPr>
        <w:t>el Director de Administración</w:t>
      </w:r>
      <w:r w:rsidR="00C04931" w:rsidRPr="000F5941">
        <w:rPr>
          <w:rFonts w:eastAsia="Palatino Linotype" w:cs="Palatino Linotype"/>
          <w:szCs w:val="22"/>
        </w:rPr>
        <w:t xml:space="preserve"> </w:t>
      </w:r>
      <w:r w:rsidR="00D87517" w:rsidRPr="000F5941">
        <w:rPr>
          <w:rFonts w:eastAsia="Palatino Linotype" w:cs="Palatino Linotype"/>
          <w:szCs w:val="22"/>
        </w:rPr>
        <w:t>hace del conocimiento al ciudadano, que las condiciones generales de trabajo entre el Municipio y las personas servidoras públicas, están a lo establecido por los artículos 54 y 56 la Ley del Trabajo de los Servidores Públicos del Estado y Municipios y demás disposiciones legales y reglamentarias; asimismo adjunta una liga electrónica donde pueden ser consultados y adjunta en formato PDF el Convenio de Prestaciones de Ley у Colaterales 2024, celebrado entre el Municipio de Cuautitlán Izcalli y el Sindicato Único de Trabajadores de los Poderes, Municipios e Instituciones Descentralizadas del Estado de México S.U.T.E.Y.М.</w:t>
      </w:r>
    </w:p>
    <w:p w14:paraId="196EA3D0" w14:textId="77777777" w:rsidR="00894FBA" w:rsidRPr="000F5941" w:rsidRDefault="008A5F01" w:rsidP="00343A01">
      <w:pPr>
        <w:pStyle w:val="Ttulo2"/>
        <w:jc w:val="left"/>
      </w:pPr>
      <w:bookmarkStart w:id="10" w:name="_Toc208350797"/>
      <w:r w:rsidRPr="000F5941">
        <w:t>DEL RECURSO DE REVISIÓN</w:t>
      </w:r>
      <w:bookmarkEnd w:id="10"/>
    </w:p>
    <w:p w14:paraId="448F0F85" w14:textId="77777777" w:rsidR="00894FBA" w:rsidRPr="000F5941" w:rsidRDefault="008A5F01" w:rsidP="00343A01">
      <w:pPr>
        <w:pStyle w:val="Ttulo3"/>
      </w:pPr>
      <w:bookmarkStart w:id="11" w:name="_Toc208350798"/>
      <w:r w:rsidRPr="000F5941">
        <w:t>a) Interposición del Recurso de Revisión</w:t>
      </w:r>
      <w:bookmarkEnd w:id="11"/>
    </w:p>
    <w:p w14:paraId="3F533A8E" w14:textId="77777777" w:rsidR="00894FBA" w:rsidRPr="000F5941" w:rsidRDefault="008A5F01" w:rsidP="00343A01">
      <w:pPr>
        <w:spacing w:after="240"/>
        <w:ind w:right="-28"/>
      </w:pPr>
      <w:r w:rsidRPr="000F5941">
        <w:t xml:space="preserve">El </w:t>
      </w:r>
      <w:r w:rsidR="00D87517" w:rsidRPr="000F5941">
        <w:rPr>
          <w:b/>
        </w:rPr>
        <w:t>catorce</w:t>
      </w:r>
      <w:r w:rsidR="00C04931" w:rsidRPr="000F5941">
        <w:rPr>
          <w:b/>
        </w:rPr>
        <w:t xml:space="preserve"> de mayo</w:t>
      </w:r>
      <w:r w:rsidRPr="000F5941">
        <w:rPr>
          <w:b/>
        </w:rPr>
        <w:t xml:space="preserve"> dos mil veinticinco,</w:t>
      </w:r>
      <w:r w:rsidRPr="000F5941">
        <w:t xml:space="preserve"> </w:t>
      </w:r>
      <w:r w:rsidRPr="000F5941">
        <w:rPr>
          <w:b/>
        </w:rPr>
        <w:t>LA PARTE RECURRENTE</w:t>
      </w:r>
      <w:r w:rsidRPr="000F5941">
        <w:t xml:space="preserve"> interpuso el recurso de revisión en contra de la respuesta del </w:t>
      </w:r>
      <w:r w:rsidRPr="000F5941">
        <w:rPr>
          <w:b/>
        </w:rPr>
        <w:t>SUJETO OBLIGADO</w:t>
      </w:r>
      <w:r w:rsidRPr="000F5941">
        <w:t xml:space="preserve">, mismo que fue registrado en </w:t>
      </w:r>
      <w:r w:rsidRPr="000F5941">
        <w:rPr>
          <w:b/>
        </w:rPr>
        <w:t>EL SAIMEX</w:t>
      </w:r>
      <w:r w:rsidRPr="000F5941">
        <w:t xml:space="preserve"> con el número de expediente </w:t>
      </w:r>
      <w:r w:rsidR="00737179" w:rsidRPr="000F5941">
        <w:rPr>
          <w:b/>
        </w:rPr>
        <w:t>0</w:t>
      </w:r>
      <w:r w:rsidR="00D87517" w:rsidRPr="000F5941">
        <w:rPr>
          <w:b/>
        </w:rPr>
        <w:t>5457</w:t>
      </w:r>
      <w:r w:rsidR="00924628" w:rsidRPr="000F5941">
        <w:rPr>
          <w:b/>
        </w:rPr>
        <w:t>/INFOEM/IP/RR/2025</w:t>
      </w:r>
      <w:r w:rsidRPr="000F5941">
        <w:t>, y en el cual manifiesta lo siguiente:</w:t>
      </w:r>
    </w:p>
    <w:p w14:paraId="76FA403C" w14:textId="77777777" w:rsidR="00894FBA" w:rsidRPr="000F5941" w:rsidRDefault="008A5F01" w:rsidP="00343A01">
      <w:pPr>
        <w:tabs>
          <w:tab w:val="left" w:pos="4667"/>
        </w:tabs>
        <w:ind w:left="567" w:right="539"/>
        <w:rPr>
          <w:b/>
        </w:rPr>
      </w:pPr>
      <w:r w:rsidRPr="000F5941">
        <w:rPr>
          <w:b/>
        </w:rPr>
        <w:lastRenderedPageBreak/>
        <w:t>ACTO IMPUGNADO</w:t>
      </w:r>
    </w:p>
    <w:p w14:paraId="797F3827" w14:textId="77777777" w:rsidR="00894FBA" w:rsidRPr="000F5941" w:rsidRDefault="008A5F01" w:rsidP="00343A01">
      <w:pPr>
        <w:tabs>
          <w:tab w:val="left" w:pos="4667"/>
        </w:tabs>
        <w:spacing w:line="240" w:lineRule="auto"/>
        <w:ind w:left="567" w:right="539"/>
        <w:rPr>
          <w:i/>
        </w:rPr>
      </w:pPr>
      <w:r w:rsidRPr="000F5941">
        <w:rPr>
          <w:i/>
        </w:rPr>
        <w:t>“</w:t>
      </w:r>
      <w:r w:rsidR="00D87517" w:rsidRPr="000F5941">
        <w:rPr>
          <w:i/>
        </w:rPr>
        <w:t>La respuesta del sujeto obligado.</w:t>
      </w:r>
      <w:r w:rsidRPr="000F5941">
        <w:rPr>
          <w:i/>
        </w:rPr>
        <w:t>” (Sic)</w:t>
      </w:r>
    </w:p>
    <w:p w14:paraId="209A21D6" w14:textId="77777777" w:rsidR="00737179" w:rsidRPr="000F5941" w:rsidRDefault="00737179" w:rsidP="00343A01">
      <w:pPr>
        <w:tabs>
          <w:tab w:val="left" w:pos="4667"/>
        </w:tabs>
        <w:spacing w:line="240" w:lineRule="auto"/>
        <w:ind w:left="567" w:right="539"/>
        <w:rPr>
          <w:i/>
        </w:rPr>
      </w:pPr>
    </w:p>
    <w:p w14:paraId="68751FDF" w14:textId="77777777" w:rsidR="00894FBA" w:rsidRPr="000F5941" w:rsidRDefault="008A5F01" w:rsidP="00343A01">
      <w:pPr>
        <w:tabs>
          <w:tab w:val="left" w:pos="4667"/>
        </w:tabs>
        <w:spacing w:before="240" w:line="240" w:lineRule="auto"/>
        <w:ind w:left="567" w:right="539"/>
        <w:rPr>
          <w:b/>
        </w:rPr>
      </w:pPr>
      <w:r w:rsidRPr="000F5941">
        <w:rPr>
          <w:b/>
        </w:rPr>
        <w:t>RAZONES O MOTIVOS DE LA INCONFORMIDAD</w:t>
      </w:r>
    </w:p>
    <w:p w14:paraId="7054A479" w14:textId="77777777" w:rsidR="00894FBA" w:rsidRPr="000F5941" w:rsidRDefault="008A5F01" w:rsidP="00343A01">
      <w:pPr>
        <w:tabs>
          <w:tab w:val="left" w:pos="4667"/>
        </w:tabs>
        <w:spacing w:before="240" w:after="240" w:line="240" w:lineRule="auto"/>
        <w:ind w:left="567" w:right="539"/>
        <w:rPr>
          <w:i/>
        </w:rPr>
      </w:pPr>
      <w:r w:rsidRPr="000F5941">
        <w:rPr>
          <w:i/>
        </w:rPr>
        <w:t>“</w:t>
      </w:r>
      <w:r w:rsidR="00D87517" w:rsidRPr="000F5941">
        <w:rPr>
          <w:i/>
        </w:rPr>
        <w:t>Falta la información correspondiente al personal de confianza y al personal de base que no sea sindicalizado. Por favor envíen la información completa, sean transparentes, gracias.</w:t>
      </w:r>
      <w:r w:rsidRPr="000F5941">
        <w:rPr>
          <w:i/>
        </w:rPr>
        <w:t>” (Sic)</w:t>
      </w:r>
    </w:p>
    <w:p w14:paraId="7A369676" w14:textId="77777777" w:rsidR="00894FBA" w:rsidRPr="000F5941" w:rsidRDefault="008A5F01" w:rsidP="00343A01">
      <w:pPr>
        <w:pStyle w:val="Ttulo3"/>
      </w:pPr>
      <w:bookmarkStart w:id="12" w:name="_Toc208350799"/>
      <w:r w:rsidRPr="000F5941">
        <w:t>b) Turno del Recurso de Revisión</w:t>
      </w:r>
      <w:bookmarkEnd w:id="12"/>
    </w:p>
    <w:p w14:paraId="1B372B46" w14:textId="77777777" w:rsidR="00894FBA" w:rsidRPr="000F5941" w:rsidRDefault="008A5F01" w:rsidP="00343A01">
      <w:pPr>
        <w:spacing w:after="240"/>
      </w:pPr>
      <w:r w:rsidRPr="000F5941">
        <w:t xml:space="preserve">Con fundamento en el artículo 185, fracción I de la Ley de Transparencia y Acceso a la Información Pública del Estado de México y Municipios, el </w:t>
      </w:r>
      <w:r w:rsidR="00F247D5" w:rsidRPr="000F5941">
        <w:rPr>
          <w:b/>
        </w:rPr>
        <w:t>catorce</w:t>
      </w:r>
      <w:r w:rsidR="00737179" w:rsidRPr="000F5941">
        <w:rPr>
          <w:b/>
        </w:rPr>
        <w:t xml:space="preserve"> de mayo</w:t>
      </w:r>
      <w:r w:rsidRPr="000F5941">
        <w:rPr>
          <w:b/>
        </w:rPr>
        <w:t xml:space="preserve"> dos mil veinticinco,</w:t>
      </w:r>
      <w:r w:rsidRPr="000F5941">
        <w:t xml:space="preserve"> se turnó el recurso de revisión a través del SAIMEX a la </w:t>
      </w:r>
      <w:r w:rsidRPr="000F5941">
        <w:rPr>
          <w:b/>
        </w:rPr>
        <w:t>Comisionada Sharon Cristina Morales Martínez</w:t>
      </w:r>
      <w:r w:rsidRPr="000F5941">
        <w:t xml:space="preserve">, a efecto de decretar su admisión o desechamiento. </w:t>
      </w:r>
    </w:p>
    <w:p w14:paraId="2E83E064" w14:textId="77777777" w:rsidR="00894FBA" w:rsidRPr="000F5941" w:rsidRDefault="008A5F01" w:rsidP="00343A01">
      <w:pPr>
        <w:pStyle w:val="Ttulo3"/>
      </w:pPr>
      <w:bookmarkStart w:id="13" w:name="_Toc208350800"/>
      <w:r w:rsidRPr="000F5941">
        <w:t>c) Admisión del Recurso de Revisión</w:t>
      </w:r>
      <w:bookmarkEnd w:id="13"/>
    </w:p>
    <w:p w14:paraId="14442C81" w14:textId="77777777" w:rsidR="00894FBA" w:rsidRPr="000F5941" w:rsidRDefault="008A5F01" w:rsidP="00343A01">
      <w:pPr>
        <w:spacing w:after="240"/>
      </w:pPr>
      <w:r w:rsidRPr="000F5941">
        <w:t xml:space="preserve">El </w:t>
      </w:r>
      <w:r w:rsidR="00F247D5" w:rsidRPr="000F5941">
        <w:rPr>
          <w:b/>
        </w:rPr>
        <w:t>diecinueve</w:t>
      </w:r>
      <w:r w:rsidR="00737179" w:rsidRPr="000F5941">
        <w:rPr>
          <w:b/>
        </w:rPr>
        <w:t xml:space="preserve"> de junio</w:t>
      </w:r>
      <w:r w:rsidRPr="000F5941">
        <w:rPr>
          <w:b/>
        </w:rPr>
        <w:t xml:space="preserve"> de dos mil veinticinco, </w:t>
      </w:r>
      <w:r w:rsidRPr="000F5941">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66C11FB" w14:textId="77777777" w:rsidR="00894FBA" w:rsidRPr="000F5941" w:rsidRDefault="008A5F01" w:rsidP="00343A01">
      <w:pPr>
        <w:pStyle w:val="Ttulo3"/>
      </w:pPr>
      <w:bookmarkStart w:id="14" w:name="_Toc208350801"/>
      <w:r w:rsidRPr="000F5941">
        <w:t>d) Informe Justificado del Sujeto Obligado</w:t>
      </w:r>
      <w:bookmarkEnd w:id="14"/>
    </w:p>
    <w:p w14:paraId="4AFA77BD" w14:textId="77777777" w:rsidR="00527F50" w:rsidRPr="000F5941" w:rsidRDefault="00660ED7" w:rsidP="00343A01">
      <w:pPr>
        <w:spacing w:after="240"/>
        <w:rPr>
          <w:rFonts w:eastAsia="Arial Unicode MS" w:cs="Arial"/>
        </w:rPr>
      </w:pPr>
      <w:r w:rsidRPr="000F5941">
        <w:rPr>
          <w:rFonts w:cs="Tahoma"/>
          <w:b/>
          <w:szCs w:val="24"/>
        </w:rPr>
        <w:t xml:space="preserve">EL SUJETO OBLIGADO </w:t>
      </w:r>
      <w:r w:rsidRPr="000F5941">
        <w:rPr>
          <w:rFonts w:eastAsia="Arial Unicode MS" w:cs="Arial"/>
        </w:rPr>
        <w:t xml:space="preserve">rindió su informe justificado </w:t>
      </w:r>
      <w:r w:rsidR="00AE5EC9" w:rsidRPr="000F5941">
        <w:rPr>
          <w:rFonts w:eastAsia="Arial Unicode MS" w:cs="Arial"/>
        </w:rPr>
        <w:t xml:space="preserve">el </w:t>
      </w:r>
      <w:r w:rsidR="00F247D5" w:rsidRPr="000F5941">
        <w:rPr>
          <w:rFonts w:eastAsia="Arial Unicode MS" w:cs="Arial"/>
          <w:b/>
        </w:rPr>
        <w:t>veintiuno de mayo</w:t>
      </w:r>
      <w:r w:rsidR="00AE5EC9" w:rsidRPr="000F5941">
        <w:rPr>
          <w:rFonts w:eastAsia="Arial Unicode MS" w:cs="Arial"/>
          <w:b/>
        </w:rPr>
        <w:t xml:space="preserve"> de dos mil veinticinco, </w:t>
      </w:r>
      <w:r w:rsidR="00AE5EC9" w:rsidRPr="000F5941">
        <w:rPr>
          <w:rFonts w:eastAsia="Arial Unicode MS" w:cs="Arial"/>
        </w:rPr>
        <w:t xml:space="preserve">mediante </w:t>
      </w:r>
      <w:r w:rsidR="00F247D5" w:rsidRPr="000F5941">
        <w:rPr>
          <w:rFonts w:eastAsia="Arial Unicode MS" w:cs="Arial"/>
        </w:rPr>
        <w:t xml:space="preserve">el </w:t>
      </w:r>
      <w:r w:rsidR="00737179" w:rsidRPr="000F5941">
        <w:rPr>
          <w:rFonts w:eastAsia="Arial Unicode MS" w:cs="Arial"/>
        </w:rPr>
        <w:t>siguiente</w:t>
      </w:r>
      <w:r w:rsidR="00AE5EC9" w:rsidRPr="000F5941">
        <w:rPr>
          <w:rFonts w:eastAsia="Arial Unicode MS" w:cs="Arial"/>
        </w:rPr>
        <w:t xml:space="preserve"> archivo</w:t>
      </w:r>
      <w:r w:rsidR="00F247D5" w:rsidRPr="000F5941">
        <w:rPr>
          <w:rFonts w:eastAsia="Arial Unicode MS" w:cs="Arial"/>
        </w:rPr>
        <w:t xml:space="preserve"> </w:t>
      </w:r>
      <w:r w:rsidR="00AE5EC9" w:rsidRPr="000F5941">
        <w:rPr>
          <w:rFonts w:eastAsia="Arial Unicode MS" w:cs="Arial"/>
        </w:rPr>
        <w:t>electrónico</w:t>
      </w:r>
      <w:r w:rsidR="00F247D5" w:rsidRPr="000F5941">
        <w:rPr>
          <w:rFonts w:eastAsia="Arial Unicode MS" w:cs="Arial"/>
        </w:rPr>
        <w:t xml:space="preserve"> denominado </w:t>
      </w:r>
      <w:r w:rsidR="00AE5EC9" w:rsidRPr="000F5941">
        <w:rPr>
          <w:rFonts w:eastAsia="Arial Unicode MS" w:cs="Arial"/>
          <w:b/>
          <w:i/>
        </w:rPr>
        <w:t>“</w:t>
      </w:r>
      <w:r w:rsidR="00F247D5" w:rsidRPr="000F5941">
        <w:rPr>
          <w:rFonts w:eastAsia="Arial Unicode MS" w:cs="Arial"/>
          <w:b/>
          <w:i/>
        </w:rPr>
        <w:t>INFORME JUSTIFICADO RR 05457.pdf</w:t>
      </w:r>
      <w:r w:rsidR="00AE5EC9" w:rsidRPr="000F5941">
        <w:rPr>
          <w:rFonts w:eastAsia="Arial Unicode MS" w:cs="Arial"/>
          <w:b/>
          <w:i/>
        </w:rPr>
        <w:t>”</w:t>
      </w:r>
      <w:r w:rsidR="00527F50" w:rsidRPr="000F5941">
        <w:rPr>
          <w:rFonts w:eastAsia="Arial Unicode MS" w:cs="Arial"/>
          <w:b/>
          <w:i/>
        </w:rPr>
        <w:t xml:space="preserve">, </w:t>
      </w:r>
      <w:r w:rsidR="00527F50" w:rsidRPr="000F5941">
        <w:rPr>
          <w:rFonts w:eastAsia="Arial Unicode MS" w:cs="Arial"/>
        </w:rPr>
        <w:t xml:space="preserve">de cuyo contenido se advierte el oficio de número </w:t>
      </w:r>
      <w:r w:rsidR="00F247D5" w:rsidRPr="000F5941">
        <w:rPr>
          <w:rFonts w:eastAsia="Arial Unicode MS" w:cs="Arial"/>
        </w:rPr>
        <w:t>DA/SRM/TRANSP/0010/2025 d</w:t>
      </w:r>
      <w:r w:rsidR="00527F50" w:rsidRPr="000F5941">
        <w:rPr>
          <w:rFonts w:eastAsia="Arial Unicode MS" w:cs="Arial"/>
        </w:rPr>
        <w:t xml:space="preserve">el </w:t>
      </w:r>
      <w:r w:rsidR="00F247D5" w:rsidRPr="000F5941">
        <w:rPr>
          <w:rFonts w:eastAsia="Arial Unicode MS" w:cs="Arial"/>
        </w:rPr>
        <w:t>diecinueve de mayo</w:t>
      </w:r>
      <w:r w:rsidR="00527F50" w:rsidRPr="000F5941">
        <w:rPr>
          <w:rFonts w:eastAsia="Arial Unicode MS" w:cs="Arial"/>
        </w:rPr>
        <w:t xml:space="preserve"> de dos veinticinco </w:t>
      </w:r>
      <w:r w:rsidR="006713A4" w:rsidRPr="000F5941">
        <w:rPr>
          <w:rFonts w:eastAsia="Arial Unicode MS" w:cs="Arial"/>
        </w:rPr>
        <w:t xml:space="preserve">mediante el cual de manera sustancial ratifica su respuesta primigenia </w:t>
      </w:r>
      <w:r w:rsidR="00F247D5" w:rsidRPr="000F5941">
        <w:rPr>
          <w:rFonts w:eastAsia="Arial Unicode MS" w:cs="Arial"/>
        </w:rPr>
        <w:t xml:space="preserve">refiriendo que se hizo del conocimiento al </w:t>
      </w:r>
      <w:r w:rsidR="00F247D5" w:rsidRPr="000F5941">
        <w:rPr>
          <w:rFonts w:eastAsia="Arial Unicode MS" w:cs="Arial"/>
        </w:rPr>
        <w:lastRenderedPageBreak/>
        <w:t>ciudadano, que las condiciones generales de trabajo entre el Municipio y las personas servidoras públicas, están a lo establecido por los artículos 54 y 56 la Ley del Trabajo de los Servidores Públicos del Estado y Municipios y demás disposiciones legales y reglamentarias, insertándose los numerales antes aludidos, Así también proporcionó la dirección electrónica para poder ser consultados por el recurrente.</w:t>
      </w:r>
    </w:p>
    <w:p w14:paraId="05D07849" w14:textId="74D09868" w:rsidR="00F247D5" w:rsidRPr="000F5941" w:rsidRDefault="00F247D5" w:rsidP="00343A01">
      <w:pPr>
        <w:spacing w:after="240"/>
        <w:rPr>
          <w:rFonts w:eastAsia="Arial Unicode MS" w:cs="Arial"/>
        </w:rPr>
      </w:pPr>
      <w:r w:rsidRPr="000F5941">
        <w:t xml:space="preserve">Asimismo refirió que en aras de la transparencia y a efecto de satisfacer su derecho humano de acceso a la información pública, se hace del conocimiento </w:t>
      </w:r>
      <w:r w:rsidR="007950B5" w:rsidRPr="000F5941">
        <w:t>a</w:t>
      </w:r>
      <w:r w:rsidR="007950B5" w:rsidRPr="000F5941">
        <w:rPr>
          <w:b/>
        </w:rPr>
        <w:t xml:space="preserve"> LA PARTE RECURRENTE</w:t>
      </w:r>
      <w:r w:rsidR="007950B5" w:rsidRPr="000F5941">
        <w:t xml:space="preserve"> </w:t>
      </w:r>
      <w:r w:rsidRPr="000F5941">
        <w:t>que en el Reglamento Orgánico de la Administración Pública Municipal de Cuautitlán Izcalli, Estado de México, en el Libro Décimo Octavo las personas servidoras públicas, suplencias y sanciones, Título Primero obligaciones y deberes de las personas servidores públicas y sus áreas de adscripción, precisamente en los artículos 252 al 277 del citado ordenamiento, se establecen las obligaciones y deberes de las personas servidores públicas adscritas al Gobierno Municipal de Cuautitlán Izcalli.</w:t>
      </w:r>
    </w:p>
    <w:p w14:paraId="29A34E34" w14:textId="77777777" w:rsidR="007F6322" w:rsidRPr="000F5941" w:rsidRDefault="007F6322" w:rsidP="00343A01">
      <w:r w:rsidRPr="000F5941">
        <w:t xml:space="preserve">Esta información fue puesta a la vista de </w:t>
      </w:r>
      <w:r w:rsidRPr="000F5941">
        <w:rPr>
          <w:b/>
        </w:rPr>
        <w:t xml:space="preserve">LA PARTE RECURRENTE </w:t>
      </w:r>
      <w:r w:rsidRPr="000F5941">
        <w:t xml:space="preserve">el </w:t>
      </w:r>
      <w:r w:rsidR="00737179" w:rsidRPr="000F5941">
        <w:rPr>
          <w:b/>
        </w:rPr>
        <w:t>once de agosto</w:t>
      </w:r>
      <w:r w:rsidRPr="000F5941">
        <w:rPr>
          <w:b/>
        </w:rPr>
        <w:t xml:space="preserve"> de dos mil veinticinco, </w:t>
      </w:r>
      <w:r w:rsidRPr="000F5941">
        <w:t>para que, en un plazo de tres días hábiles, manifestara lo que a su derecho conviniera, de conformidad con lo establecido en el artículo 185, fracción III de la Ley de Transparencia y Acceso a la Información Pública del Estado de México y Municipios.</w:t>
      </w:r>
    </w:p>
    <w:p w14:paraId="78FBF7E1" w14:textId="77777777" w:rsidR="00737179" w:rsidRPr="000F5941" w:rsidRDefault="00737179" w:rsidP="00343A01"/>
    <w:p w14:paraId="75616E84" w14:textId="77777777" w:rsidR="00894FBA" w:rsidRPr="000F5941" w:rsidRDefault="008A5F01" w:rsidP="00343A01">
      <w:pPr>
        <w:pStyle w:val="Ttulo3"/>
      </w:pPr>
      <w:bookmarkStart w:id="15" w:name="_Toc208350802"/>
      <w:r w:rsidRPr="000F5941">
        <w:t>e) Manifestaciones de la Parte Recurrente</w:t>
      </w:r>
      <w:bookmarkEnd w:id="15"/>
    </w:p>
    <w:p w14:paraId="35D9C0DB" w14:textId="77777777" w:rsidR="00894FBA" w:rsidRPr="000F5941" w:rsidRDefault="008A5F01" w:rsidP="00343A01">
      <w:pPr>
        <w:spacing w:after="240"/>
      </w:pPr>
      <w:r w:rsidRPr="000F5941">
        <w:rPr>
          <w:b/>
        </w:rPr>
        <w:t xml:space="preserve">LA PARTE RECURRENTE </w:t>
      </w:r>
      <w:r w:rsidRPr="000F5941">
        <w:t>no realizó manifestación alguna dentro del término legalmente concedido para tal efecto, ni presentó pruebas o alegatos.</w:t>
      </w:r>
    </w:p>
    <w:p w14:paraId="7DC8519E" w14:textId="77777777" w:rsidR="00894FBA" w:rsidRPr="000F5941" w:rsidRDefault="008A5F01" w:rsidP="00343A01">
      <w:pPr>
        <w:pStyle w:val="Ttulo3"/>
      </w:pPr>
      <w:bookmarkStart w:id="16" w:name="_Toc208350803"/>
      <w:r w:rsidRPr="000F5941">
        <w:t>f) Ampliación de plazo para resolver el Recurso de Revisión</w:t>
      </w:r>
      <w:bookmarkEnd w:id="16"/>
    </w:p>
    <w:p w14:paraId="08F02638" w14:textId="77777777" w:rsidR="00894FBA" w:rsidRPr="000F5941" w:rsidRDefault="008A5F01" w:rsidP="00343A01">
      <w:pPr>
        <w:tabs>
          <w:tab w:val="left" w:pos="3261"/>
        </w:tabs>
      </w:pPr>
      <w:r w:rsidRPr="000F5941">
        <w:t xml:space="preserve">Con fundamento en lo dispuesto en el artículo 181, párrafo tercero, de la Ley de Transparencia y Acceso a la Información Pública del Estado de México y Municipios, el </w:t>
      </w:r>
      <w:r w:rsidR="000F6729" w:rsidRPr="000F5941">
        <w:rPr>
          <w:b/>
        </w:rPr>
        <w:t>treinta de junio</w:t>
      </w:r>
      <w:r w:rsidRPr="000F5941">
        <w:rPr>
          <w:b/>
        </w:rPr>
        <w:t xml:space="preserve"> de </w:t>
      </w:r>
      <w:r w:rsidRPr="000F5941">
        <w:rPr>
          <w:b/>
        </w:rPr>
        <w:lastRenderedPageBreak/>
        <w:t>dos mil veinticinco</w:t>
      </w:r>
      <w:r w:rsidRPr="000F5941">
        <w:t xml:space="preserve"> se acordó ampliar por un periodo razonable el plazo para resolver el presente Recurso de Revisión; acuerdo que fue notificado a las partes a través del </w:t>
      </w:r>
      <w:r w:rsidRPr="000F5941">
        <w:rPr>
          <w:b/>
        </w:rPr>
        <w:t>SAIMEX</w:t>
      </w:r>
      <w:r w:rsidRPr="000F5941">
        <w:t xml:space="preserve"> en misma fecha.</w:t>
      </w:r>
    </w:p>
    <w:p w14:paraId="0173CDEA" w14:textId="77777777" w:rsidR="007950B5" w:rsidRPr="000F5941" w:rsidRDefault="007950B5" w:rsidP="00343A01">
      <w:pPr>
        <w:tabs>
          <w:tab w:val="left" w:pos="3261"/>
        </w:tabs>
      </w:pPr>
    </w:p>
    <w:p w14:paraId="7FF6E3B8"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D8AFE95" w14:textId="77777777" w:rsidR="00894FBA" w:rsidRPr="000F5941" w:rsidRDefault="00894FBA" w:rsidP="00343A01">
      <w:pPr>
        <w:pBdr>
          <w:top w:val="nil"/>
          <w:left w:val="nil"/>
          <w:bottom w:val="nil"/>
          <w:right w:val="nil"/>
          <w:between w:val="nil"/>
        </w:pBdr>
        <w:rPr>
          <w:rFonts w:eastAsia="Palatino Linotype" w:cs="Palatino Linotype"/>
          <w:szCs w:val="22"/>
        </w:rPr>
      </w:pPr>
    </w:p>
    <w:p w14:paraId="185573F8"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214EC2C5" w14:textId="77777777" w:rsidR="00894FBA" w:rsidRPr="000F5941" w:rsidRDefault="00894FBA" w:rsidP="00343A01">
      <w:pPr>
        <w:pBdr>
          <w:top w:val="nil"/>
          <w:left w:val="nil"/>
          <w:bottom w:val="nil"/>
          <w:right w:val="nil"/>
          <w:between w:val="nil"/>
        </w:pBdr>
        <w:rPr>
          <w:rFonts w:eastAsia="Palatino Linotype" w:cs="Palatino Linotype"/>
          <w:szCs w:val="22"/>
        </w:rPr>
      </w:pPr>
    </w:p>
    <w:p w14:paraId="6592B297"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47DA3F72" w14:textId="77777777" w:rsidR="00894FBA" w:rsidRPr="000F5941" w:rsidRDefault="00894FBA" w:rsidP="00343A01">
      <w:pPr>
        <w:pBdr>
          <w:top w:val="nil"/>
          <w:left w:val="nil"/>
          <w:bottom w:val="nil"/>
          <w:right w:val="nil"/>
          <w:between w:val="nil"/>
        </w:pBdr>
        <w:rPr>
          <w:rFonts w:eastAsia="Palatino Linotype" w:cs="Palatino Linotype"/>
          <w:szCs w:val="22"/>
        </w:rPr>
      </w:pPr>
    </w:p>
    <w:p w14:paraId="1AC0C42B"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Por ello, excepcionalmente, si un asunto es resuelto con posterioridad a los plazos señalados por la norma, debe analizarse la razonabilidad del tiempo necesario para su resolución, atentos a los siguientes criterios:</w:t>
      </w:r>
    </w:p>
    <w:p w14:paraId="70327199" w14:textId="77777777" w:rsidR="00894FBA" w:rsidRPr="000F5941" w:rsidRDefault="00894FBA" w:rsidP="00343A01">
      <w:pPr>
        <w:pBdr>
          <w:top w:val="nil"/>
          <w:left w:val="nil"/>
          <w:bottom w:val="nil"/>
          <w:right w:val="nil"/>
          <w:between w:val="nil"/>
        </w:pBdr>
        <w:rPr>
          <w:rFonts w:eastAsia="Palatino Linotype" w:cs="Palatino Linotype"/>
          <w:szCs w:val="22"/>
        </w:rPr>
      </w:pPr>
    </w:p>
    <w:p w14:paraId="5A3CDB77" w14:textId="77777777" w:rsidR="00894FBA" w:rsidRPr="000F5941" w:rsidRDefault="008A5F01" w:rsidP="00343A01">
      <w:pPr>
        <w:pBdr>
          <w:top w:val="nil"/>
          <w:left w:val="nil"/>
          <w:bottom w:val="nil"/>
          <w:right w:val="nil"/>
          <w:between w:val="nil"/>
        </w:pBdr>
        <w:ind w:left="567" w:right="539"/>
        <w:rPr>
          <w:rFonts w:eastAsia="Palatino Linotype" w:cs="Palatino Linotype"/>
          <w:szCs w:val="22"/>
        </w:rPr>
      </w:pPr>
      <w:r w:rsidRPr="000F5941">
        <w:rPr>
          <w:rFonts w:eastAsia="Palatino Linotype" w:cs="Palatino Linotype"/>
          <w:b/>
          <w:szCs w:val="22"/>
        </w:rPr>
        <w:lastRenderedPageBreak/>
        <w:t>Complejidad del asunto:</w:t>
      </w:r>
      <w:r w:rsidRPr="000F5941">
        <w:rPr>
          <w:rFonts w:eastAsia="Palatino Linotype" w:cs="Palatino Linotype"/>
          <w:szCs w:val="22"/>
        </w:rPr>
        <w:t xml:space="preserve"> La complejidad de la prueba, la pluralidad de sujetos procesales, el tiempo transcurrido, las características y contexto del recurso.</w:t>
      </w:r>
    </w:p>
    <w:p w14:paraId="6BBC38D2" w14:textId="77777777" w:rsidR="00894FBA" w:rsidRPr="000F5941" w:rsidRDefault="008A5F01" w:rsidP="00343A01">
      <w:pPr>
        <w:pBdr>
          <w:top w:val="nil"/>
          <w:left w:val="nil"/>
          <w:bottom w:val="nil"/>
          <w:right w:val="nil"/>
          <w:between w:val="nil"/>
        </w:pBdr>
        <w:ind w:left="567" w:right="539"/>
        <w:rPr>
          <w:rFonts w:eastAsia="Palatino Linotype" w:cs="Palatino Linotype"/>
          <w:szCs w:val="22"/>
        </w:rPr>
      </w:pPr>
      <w:r w:rsidRPr="000F5941">
        <w:rPr>
          <w:rFonts w:eastAsia="Palatino Linotype" w:cs="Palatino Linotype"/>
          <w:b/>
          <w:szCs w:val="22"/>
        </w:rPr>
        <w:t>Actividad Procesal del interesado:</w:t>
      </w:r>
      <w:r w:rsidRPr="000F5941">
        <w:rPr>
          <w:rFonts w:eastAsia="Palatino Linotype" w:cs="Palatino Linotype"/>
          <w:szCs w:val="22"/>
        </w:rPr>
        <w:t xml:space="preserve"> Acciones u omisiones del interesado.</w:t>
      </w:r>
    </w:p>
    <w:p w14:paraId="2EDCD344" w14:textId="77777777" w:rsidR="00894FBA" w:rsidRPr="000F5941" w:rsidRDefault="008A5F01" w:rsidP="00343A01">
      <w:pPr>
        <w:pBdr>
          <w:top w:val="nil"/>
          <w:left w:val="nil"/>
          <w:bottom w:val="nil"/>
          <w:right w:val="nil"/>
          <w:between w:val="nil"/>
        </w:pBdr>
        <w:ind w:left="567" w:right="539"/>
        <w:rPr>
          <w:rFonts w:eastAsia="Palatino Linotype" w:cs="Palatino Linotype"/>
          <w:szCs w:val="22"/>
        </w:rPr>
      </w:pPr>
      <w:r w:rsidRPr="000F5941">
        <w:rPr>
          <w:rFonts w:eastAsia="Palatino Linotype" w:cs="Palatino Linotype"/>
          <w:b/>
          <w:szCs w:val="22"/>
        </w:rPr>
        <w:t>Conducta de la Autoridad:</w:t>
      </w:r>
      <w:r w:rsidRPr="000F5941">
        <w:rPr>
          <w:rFonts w:eastAsia="Palatino Linotype" w:cs="Palatino Linotype"/>
          <w:szCs w:val="22"/>
        </w:rPr>
        <w:t xml:space="preserve"> Las Acciones u omisiones realizadas en el procedimiento. Así como si la autoridad actuó con la debida diligencia.</w:t>
      </w:r>
    </w:p>
    <w:p w14:paraId="68A19EA8" w14:textId="77777777" w:rsidR="00894FBA" w:rsidRPr="000F5941" w:rsidRDefault="008A5F01" w:rsidP="00343A01">
      <w:pPr>
        <w:pBdr>
          <w:top w:val="nil"/>
          <w:left w:val="nil"/>
          <w:bottom w:val="nil"/>
          <w:right w:val="nil"/>
          <w:between w:val="nil"/>
        </w:pBdr>
        <w:ind w:left="567" w:right="539"/>
        <w:rPr>
          <w:rFonts w:eastAsia="Palatino Linotype" w:cs="Palatino Linotype"/>
          <w:szCs w:val="22"/>
        </w:rPr>
      </w:pPr>
      <w:r w:rsidRPr="000F5941">
        <w:rPr>
          <w:rFonts w:eastAsia="Palatino Linotype" w:cs="Palatino Linotype"/>
          <w:b/>
          <w:szCs w:val="22"/>
        </w:rPr>
        <w:t>La afectación generada en la situación jurídica de la persona involucrada en el proceso:</w:t>
      </w:r>
      <w:r w:rsidRPr="000F5941">
        <w:rPr>
          <w:rFonts w:eastAsia="Palatino Linotype" w:cs="Palatino Linotype"/>
          <w:szCs w:val="22"/>
        </w:rPr>
        <w:t xml:space="preserve"> Violación a sus derechos humanos.</w:t>
      </w:r>
    </w:p>
    <w:p w14:paraId="1B5093C3" w14:textId="77777777" w:rsidR="00894FBA" w:rsidRPr="000F5941" w:rsidRDefault="00894FBA" w:rsidP="00343A01">
      <w:pPr>
        <w:pBdr>
          <w:top w:val="nil"/>
          <w:left w:val="nil"/>
          <w:bottom w:val="nil"/>
          <w:right w:val="nil"/>
          <w:between w:val="nil"/>
        </w:pBdr>
        <w:ind w:left="567" w:right="539"/>
        <w:rPr>
          <w:rFonts w:eastAsia="Palatino Linotype" w:cs="Palatino Linotype"/>
          <w:szCs w:val="22"/>
        </w:rPr>
      </w:pPr>
    </w:p>
    <w:p w14:paraId="7D41558F"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E7C5838" w14:textId="77777777" w:rsidR="00894FBA" w:rsidRPr="000F5941" w:rsidRDefault="00894FBA" w:rsidP="00343A01">
      <w:pPr>
        <w:pBdr>
          <w:top w:val="nil"/>
          <w:left w:val="nil"/>
          <w:bottom w:val="nil"/>
          <w:right w:val="nil"/>
          <w:between w:val="nil"/>
        </w:pBdr>
        <w:rPr>
          <w:rFonts w:eastAsia="Palatino Linotype" w:cs="Palatino Linotype"/>
          <w:szCs w:val="22"/>
        </w:rPr>
      </w:pPr>
    </w:p>
    <w:p w14:paraId="13512D32"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Argumento que encuentra sustento en la jurisprudencia P./J. 32/92 emitida por el Pleno de la Suprema Corte de Justicia de la Nación de rubro “</w:t>
      </w:r>
      <w:r w:rsidRPr="000F5941">
        <w:rPr>
          <w:rFonts w:eastAsia="Palatino Linotype" w:cs="Palatino Linotype"/>
          <w:b/>
          <w:szCs w:val="22"/>
        </w:rPr>
        <w:t>TÉRMINOS PROCESALES. PARA DETERMINAR SI UN FUNCIONARIO JUDICIAL ACTUÓ INDEBIDAMENTE POR NO RESPETARLOS SE DEBE ATENDER AL PRESUPUESTO QUE CONSIDERÓ EL LEGISLADOR AL FIJARLOS Y LAS CARACTERÍSTICAS DEL CASO</w:t>
      </w:r>
      <w:r w:rsidRPr="000F5941">
        <w:rPr>
          <w:rFonts w:eastAsia="Palatino Linotype" w:cs="Palatino Linotype"/>
          <w:szCs w:val="22"/>
        </w:rPr>
        <w:t>.”, visible en la Gaceta del Seminario Judicial de la Federación con el registro digital 205635.</w:t>
      </w:r>
    </w:p>
    <w:p w14:paraId="2C3F8A44" w14:textId="77777777" w:rsidR="00894FBA" w:rsidRPr="000F5941" w:rsidRDefault="00894FBA" w:rsidP="00343A01">
      <w:pPr>
        <w:pBdr>
          <w:top w:val="nil"/>
          <w:left w:val="nil"/>
          <w:bottom w:val="nil"/>
          <w:right w:val="nil"/>
          <w:between w:val="nil"/>
        </w:pBdr>
        <w:rPr>
          <w:rFonts w:eastAsia="Palatino Linotype" w:cs="Palatino Linotype"/>
          <w:szCs w:val="22"/>
        </w:rPr>
      </w:pPr>
    </w:p>
    <w:p w14:paraId="1CA827E6"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0F5941">
        <w:rPr>
          <w:rFonts w:eastAsia="Palatino Linotype" w:cs="Palatino Linotype"/>
          <w:szCs w:val="22"/>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A0F6A2F" w14:textId="77777777" w:rsidR="00894FBA" w:rsidRPr="000F5941" w:rsidRDefault="00894FBA" w:rsidP="00343A01">
      <w:pPr>
        <w:pBdr>
          <w:top w:val="nil"/>
          <w:left w:val="nil"/>
          <w:bottom w:val="nil"/>
          <w:right w:val="nil"/>
          <w:between w:val="nil"/>
        </w:pBdr>
        <w:rPr>
          <w:rFonts w:eastAsia="Palatino Linotype" w:cs="Palatino Linotype"/>
          <w:szCs w:val="22"/>
        </w:rPr>
      </w:pPr>
    </w:p>
    <w:p w14:paraId="3C697FCA"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Al respecto, también son de considerar los criterios sostenidos por el Cuarto Tribunal Colegiado en Materia Administrativa del Primer Circuito, cuyos rubros y datos de identificación son los siguientes:</w:t>
      </w:r>
    </w:p>
    <w:p w14:paraId="365845D2" w14:textId="77777777" w:rsidR="00894FBA" w:rsidRPr="000F5941" w:rsidRDefault="00894FBA" w:rsidP="00343A01">
      <w:pPr>
        <w:pBdr>
          <w:top w:val="nil"/>
          <w:left w:val="nil"/>
          <w:bottom w:val="nil"/>
          <w:right w:val="nil"/>
          <w:between w:val="nil"/>
        </w:pBdr>
        <w:rPr>
          <w:rFonts w:eastAsia="Palatino Linotype" w:cs="Palatino Linotype"/>
          <w:szCs w:val="22"/>
        </w:rPr>
      </w:pPr>
    </w:p>
    <w:p w14:paraId="737B502B" w14:textId="77777777" w:rsidR="00894FBA" w:rsidRPr="000F5941" w:rsidRDefault="008A5F01" w:rsidP="00343A01">
      <w:pPr>
        <w:pStyle w:val="Puesto"/>
        <w:ind w:left="851" w:right="822"/>
        <w:rPr>
          <w:sz w:val="20"/>
          <w:szCs w:val="20"/>
        </w:rPr>
      </w:pPr>
      <w:r w:rsidRPr="000F5941">
        <w:rPr>
          <w:b/>
          <w:sz w:val="20"/>
          <w:szCs w:val="20"/>
        </w:rPr>
        <w:t>“PLAZO RAZONABLE PARA RESOLVER. DIMENSIÓN Y EFECTOS DE ESTE CONCEPTO CUANDO SE ADUCE EXCESIVA CARGA DE TRABAJO.”</w:t>
      </w:r>
      <w:r w:rsidRPr="000F5941">
        <w:rPr>
          <w:sz w:val="20"/>
          <w:szCs w:val="20"/>
        </w:rPr>
        <w:t xml:space="preserve"> consultable en el Seminario Judicial de la Federación y su gaceta, con el registro digital 2002351.</w:t>
      </w:r>
    </w:p>
    <w:p w14:paraId="5CBF7B61" w14:textId="77777777" w:rsidR="00894FBA" w:rsidRPr="000F5941" w:rsidRDefault="00894FBA" w:rsidP="00343A01">
      <w:pPr>
        <w:pStyle w:val="Puesto"/>
        <w:ind w:left="851" w:right="822"/>
        <w:rPr>
          <w:sz w:val="20"/>
          <w:szCs w:val="20"/>
        </w:rPr>
      </w:pPr>
    </w:p>
    <w:p w14:paraId="38ED1886" w14:textId="77777777" w:rsidR="00894FBA" w:rsidRPr="000F5941" w:rsidRDefault="008A5F01" w:rsidP="00343A01">
      <w:pPr>
        <w:pStyle w:val="Puesto"/>
        <w:ind w:left="851" w:right="822"/>
        <w:rPr>
          <w:sz w:val="20"/>
          <w:szCs w:val="20"/>
        </w:rPr>
      </w:pPr>
      <w:r w:rsidRPr="000F5941">
        <w:rPr>
          <w:b/>
          <w:sz w:val="20"/>
          <w:szCs w:val="20"/>
        </w:rPr>
        <w:t>“PLAZO RAZONABLE PARA RESOLVER. CONCEPTO Y ELEMENTOS QUE LO INTEGRAN A LA LUZ DEL DERECHO INTERNACIONAL DE LOS DERECHOS HUMANOS</w:t>
      </w:r>
      <w:r w:rsidRPr="000F5941">
        <w:rPr>
          <w:sz w:val="20"/>
          <w:szCs w:val="20"/>
        </w:rPr>
        <w:t>.”, visible en el Seminario Judicial de la Federación y su gaceta, con el registro digital 2002350.</w:t>
      </w:r>
    </w:p>
    <w:p w14:paraId="7AD28FD0" w14:textId="77777777" w:rsidR="00894FBA" w:rsidRPr="000F5941" w:rsidRDefault="00894FBA" w:rsidP="00343A01">
      <w:pPr>
        <w:pBdr>
          <w:top w:val="nil"/>
          <w:left w:val="nil"/>
          <w:bottom w:val="nil"/>
          <w:right w:val="nil"/>
          <w:between w:val="nil"/>
        </w:pBdr>
        <w:rPr>
          <w:rFonts w:eastAsia="Palatino Linotype" w:cs="Palatino Linotype"/>
          <w:szCs w:val="22"/>
        </w:rPr>
      </w:pPr>
    </w:p>
    <w:p w14:paraId="7AE4152C" w14:textId="77777777" w:rsidR="00894FBA" w:rsidRPr="000F5941" w:rsidRDefault="008A5F01" w:rsidP="00343A01">
      <w:pPr>
        <w:pBdr>
          <w:top w:val="nil"/>
          <w:left w:val="nil"/>
          <w:bottom w:val="nil"/>
          <w:right w:val="nil"/>
          <w:between w:val="nil"/>
        </w:pBdr>
        <w:rPr>
          <w:rFonts w:eastAsia="Palatino Linotype" w:cs="Palatino Linotype"/>
          <w:szCs w:val="22"/>
        </w:rPr>
      </w:pPr>
      <w:r w:rsidRPr="000F5941">
        <w:rPr>
          <w:rFonts w:eastAsia="Palatino Linotype" w:cs="Palatino Linotype"/>
          <w:szCs w:val="22"/>
        </w:rPr>
        <w:t>Por ello, este organismo garante comprometido con la tutela de los derechos humanos confiados señala que este exceso del plazo legal para resolver el asunto resulta de carácter excepcional.</w:t>
      </w:r>
    </w:p>
    <w:p w14:paraId="1B0D2782" w14:textId="77777777" w:rsidR="00894FBA" w:rsidRPr="000F5941" w:rsidRDefault="00894FBA" w:rsidP="00343A01"/>
    <w:p w14:paraId="62B156B4" w14:textId="77777777" w:rsidR="00894FBA" w:rsidRPr="000F5941" w:rsidRDefault="008A5F01" w:rsidP="00343A01">
      <w:pPr>
        <w:pStyle w:val="Ttulo3"/>
      </w:pPr>
      <w:bookmarkStart w:id="17" w:name="_Toc208350804"/>
      <w:r w:rsidRPr="000F5941">
        <w:t>g) Cierre de instrucción</w:t>
      </w:r>
      <w:bookmarkEnd w:id="17"/>
    </w:p>
    <w:p w14:paraId="4858253C" w14:textId="77777777" w:rsidR="00894FBA" w:rsidRPr="000F5941" w:rsidRDefault="008A5F01" w:rsidP="00343A01">
      <w:r w:rsidRPr="000F5941">
        <w:t xml:space="preserve">Al no existir diligencias pendientes por desahogar, el </w:t>
      </w:r>
      <w:r w:rsidR="001A01A0" w:rsidRPr="000F5941">
        <w:rPr>
          <w:b/>
        </w:rPr>
        <w:t>nueve de septiembre</w:t>
      </w:r>
      <w:r w:rsidRPr="000F5941">
        <w:rPr>
          <w:b/>
        </w:rPr>
        <w:t xml:space="preserve"> dos mil veinticinco,</w:t>
      </w:r>
      <w:r w:rsidRPr="000F5941">
        <w:t xml:space="preserve"> la </w:t>
      </w:r>
      <w:r w:rsidRPr="000F5941">
        <w:rPr>
          <w:b/>
        </w:rPr>
        <w:t xml:space="preserve">Comisionada Sharon Cristina Morales Martínez </w:t>
      </w:r>
      <w:r w:rsidRPr="000F5941">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8995393" w14:textId="77777777" w:rsidR="006E76ED" w:rsidRPr="000F5941" w:rsidRDefault="006E76ED" w:rsidP="00343A01"/>
    <w:p w14:paraId="2D281402" w14:textId="77777777" w:rsidR="00894FBA" w:rsidRPr="000F5941" w:rsidRDefault="008A5F01" w:rsidP="00343A01">
      <w:pPr>
        <w:pStyle w:val="Ttulo1"/>
      </w:pPr>
      <w:bookmarkStart w:id="18" w:name="_Toc208350805"/>
      <w:r w:rsidRPr="000F5941">
        <w:t>CONSIDERANDOS</w:t>
      </w:r>
      <w:bookmarkEnd w:id="18"/>
    </w:p>
    <w:p w14:paraId="75944FE3" w14:textId="77777777" w:rsidR="00894FBA" w:rsidRPr="000F5941" w:rsidRDefault="00894FBA" w:rsidP="00343A01">
      <w:pPr>
        <w:jc w:val="center"/>
        <w:rPr>
          <w:b/>
        </w:rPr>
      </w:pPr>
    </w:p>
    <w:p w14:paraId="55C9BC63" w14:textId="77777777" w:rsidR="00894FBA" w:rsidRPr="000F5941" w:rsidRDefault="008A5F01" w:rsidP="00343A01">
      <w:pPr>
        <w:pStyle w:val="Ttulo2"/>
      </w:pPr>
      <w:bookmarkStart w:id="19" w:name="_Toc208350806"/>
      <w:r w:rsidRPr="000F5941">
        <w:t>PRIMERO. Procedibilidad</w:t>
      </w:r>
      <w:bookmarkEnd w:id="19"/>
    </w:p>
    <w:p w14:paraId="374D04CC" w14:textId="77777777" w:rsidR="00894FBA" w:rsidRPr="000F5941" w:rsidRDefault="008A5F01" w:rsidP="00343A01">
      <w:pPr>
        <w:pStyle w:val="Ttulo3"/>
      </w:pPr>
      <w:bookmarkStart w:id="20" w:name="_Toc208350807"/>
      <w:r w:rsidRPr="000F5941">
        <w:t>a) Competencia del Instituto</w:t>
      </w:r>
      <w:bookmarkEnd w:id="20"/>
    </w:p>
    <w:p w14:paraId="20BDCFFE" w14:textId="77777777" w:rsidR="00894FBA" w:rsidRPr="000F5941" w:rsidRDefault="008A5F01" w:rsidP="00343A01">
      <w:r w:rsidRPr="000F5941">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CE0FA7F" w14:textId="77777777" w:rsidR="00894FBA" w:rsidRPr="000F5941" w:rsidRDefault="00894FBA" w:rsidP="00343A01"/>
    <w:p w14:paraId="4DF6AEF4" w14:textId="77777777" w:rsidR="00894FBA" w:rsidRPr="000F5941" w:rsidRDefault="008A5F01" w:rsidP="00343A01">
      <w:pPr>
        <w:pStyle w:val="Ttulo3"/>
      </w:pPr>
      <w:bookmarkStart w:id="21" w:name="_Toc208350808"/>
      <w:r w:rsidRPr="000F5941">
        <w:t>b) Legitimidad de la parte recurrente</w:t>
      </w:r>
      <w:bookmarkEnd w:id="21"/>
    </w:p>
    <w:p w14:paraId="0BA2B829" w14:textId="77777777" w:rsidR="00894FBA" w:rsidRPr="000F5941" w:rsidRDefault="008A5F01" w:rsidP="00343A01">
      <w:r w:rsidRPr="000F5941">
        <w:t>El recurso de revisión fue interpuesto por parte legítima, ya que se presentó por la misma persona que formuló la solicitud de acceso a la Información Pública,</w:t>
      </w:r>
      <w:r w:rsidRPr="000F5941">
        <w:rPr>
          <w:b/>
        </w:rPr>
        <w:t xml:space="preserve"> </w:t>
      </w:r>
      <w:r w:rsidRPr="000F5941">
        <w:t>debido a que los datos de acceso</w:t>
      </w:r>
      <w:r w:rsidRPr="000F5941">
        <w:rPr>
          <w:b/>
        </w:rPr>
        <w:t xml:space="preserve"> SAIMEX</w:t>
      </w:r>
      <w:r w:rsidRPr="000F5941">
        <w:t xml:space="preserve"> son personales e irrepetibles.</w:t>
      </w:r>
    </w:p>
    <w:p w14:paraId="7C7FB77C" w14:textId="77777777" w:rsidR="00894FBA" w:rsidRPr="000F5941" w:rsidRDefault="00894FBA" w:rsidP="00343A01"/>
    <w:p w14:paraId="4AAF11E6" w14:textId="77777777" w:rsidR="00894FBA" w:rsidRPr="000F5941" w:rsidRDefault="008A5F01" w:rsidP="00343A01">
      <w:pPr>
        <w:pStyle w:val="Ttulo3"/>
      </w:pPr>
      <w:bookmarkStart w:id="22" w:name="_Toc208350809"/>
      <w:r w:rsidRPr="000F5941">
        <w:t>c) Plazo para interponer el recurso</w:t>
      </w:r>
      <w:bookmarkEnd w:id="22"/>
    </w:p>
    <w:p w14:paraId="394E7627" w14:textId="77777777" w:rsidR="001A01A0" w:rsidRPr="000F5941" w:rsidRDefault="001A01A0" w:rsidP="00343A01">
      <w:bookmarkStart w:id="23" w:name="_heading=h.2jxsxqh" w:colFirst="0" w:colLast="0"/>
      <w:bookmarkEnd w:id="23"/>
      <w:r w:rsidRPr="000F5941">
        <w:rPr>
          <w:b/>
        </w:rPr>
        <w:t>EL SUJETO OBLIGADO</w:t>
      </w:r>
      <w:r w:rsidRPr="000F5941">
        <w:t xml:space="preserve"> notificó la respuesta a la solicitud de acceso a la Información Pública el </w:t>
      </w:r>
      <w:r w:rsidRPr="000F5941">
        <w:rPr>
          <w:b/>
        </w:rPr>
        <w:t>siete de mayo de dos mil veinticinco,</w:t>
      </w:r>
      <w:r w:rsidRPr="000F5941">
        <w:t xml:space="preserve"> y el recurso que nos ocupa se tuvo por presentado el </w:t>
      </w:r>
      <w:r w:rsidRPr="000F5941">
        <w:rPr>
          <w:b/>
        </w:rPr>
        <w:t>catorce de mayo de dos mil veinticinco</w:t>
      </w:r>
      <w:r w:rsidRPr="000F5941">
        <w:t xml:space="preserve">; por lo tanto, éste se encuentra dentro del margen </w:t>
      </w:r>
      <w:r w:rsidRPr="000F5941">
        <w:lastRenderedPageBreak/>
        <w:t>temporal previsto en el artículo 178 de la Ley de Transparencia y Acceso a la Información Pública del Estado de México y Municipios.</w:t>
      </w:r>
    </w:p>
    <w:p w14:paraId="12178898" w14:textId="77777777" w:rsidR="00894FBA" w:rsidRPr="000F5941" w:rsidRDefault="00894FBA" w:rsidP="00343A01"/>
    <w:p w14:paraId="2BDFDB34" w14:textId="77777777" w:rsidR="00894FBA" w:rsidRPr="000F5941" w:rsidRDefault="007F6322" w:rsidP="00343A01">
      <w:pPr>
        <w:pStyle w:val="Ttulo3"/>
      </w:pPr>
      <w:bookmarkStart w:id="24" w:name="_Toc208350810"/>
      <w:r w:rsidRPr="000F5941">
        <w:t>d) Causal</w:t>
      </w:r>
      <w:r w:rsidR="008A5F01" w:rsidRPr="000F5941">
        <w:t xml:space="preserve"> de Procedencia</w:t>
      </w:r>
      <w:bookmarkEnd w:id="24"/>
    </w:p>
    <w:p w14:paraId="45E92545" w14:textId="77777777" w:rsidR="00894FBA" w:rsidRPr="000F5941" w:rsidRDefault="008A5F01" w:rsidP="00343A01">
      <w:r w:rsidRPr="000F5941">
        <w:t>Resulta procedente la interposición del recurso de re</w:t>
      </w:r>
      <w:r w:rsidR="00C06C49" w:rsidRPr="000F5941">
        <w:t>visión, ya que se actualiza la causal de procedencia señalada</w:t>
      </w:r>
      <w:r w:rsidRPr="000F5941">
        <w:t xml:space="preserve"> </w:t>
      </w:r>
      <w:r w:rsidR="00043C70" w:rsidRPr="000F5941">
        <w:t xml:space="preserve">en el artículo 179, fracciones </w:t>
      </w:r>
      <w:r w:rsidR="007F6322" w:rsidRPr="000F5941">
        <w:t>V</w:t>
      </w:r>
      <w:r w:rsidRPr="000F5941">
        <w:t xml:space="preserve"> de la Ley de Transparencia y Acceso a la Información Pública del Estado de México y Municipios.</w:t>
      </w:r>
    </w:p>
    <w:p w14:paraId="1C479791" w14:textId="77777777" w:rsidR="00894FBA" w:rsidRPr="000F5941" w:rsidRDefault="00894FBA" w:rsidP="00343A01"/>
    <w:p w14:paraId="018E64CE" w14:textId="77777777" w:rsidR="00894FBA" w:rsidRPr="000F5941" w:rsidRDefault="008A5F01" w:rsidP="00343A01">
      <w:pPr>
        <w:pStyle w:val="Ttulo3"/>
      </w:pPr>
      <w:bookmarkStart w:id="25" w:name="_Toc208350811"/>
      <w:r w:rsidRPr="000F5941">
        <w:t>e) Requisitos formales para la interposición del recurso</w:t>
      </w:r>
      <w:bookmarkEnd w:id="25"/>
    </w:p>
    <w:p w14:paraId="4EBDDF1E" w14:textId="77777777" w:rsidR="00C06C49" w:rsidRPr="000F5941" w:rsidRDefault="00C06C49" w:rsidP="00343A01">
      <w:r w:rsidRPr="000F5941">
        <w:t xml:space="preserve">Es importante mencionar que, de la revisión del expediente electrónico del </w:t>
      </w:r>
      <w:r w:rsidRPr="000F5941">
        <w:rPr>
          <w:b/>
        </w:rPr>
        <w:t>SAIMEX</w:t>
      </w:r>
      <w:r w:rsidRPr="000F5941">
        <w:t xml:space="preserve">, se observa que </w:t>
      </w:r>
      <w:r w:rsidRPr="000F5941">
        <w:rPr>
          <w:b/>
        </w:rPr>
        <w:t>LA PARTE RECURRENTE</w:t>
      </w:r>
      <w:r w:rsidRPr="000F5941">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F5941">
        <w:rPr>
          <w:b/>
          <w:u w:val="single"/>
        </w:rPr>
        <w:t>el nombre no es un requisito indispensable</w:t>
      </w:r>
      <w:r w:rsidRPr="000F5941">
        <w:t xml:space="preserve"> para que las y los ciudadanos ejerzan el derecho de acceso a la información pública. </w:t>
      </w:r>
    </w:p>
    <w:p w14:paraId="65256926" w14:textId="77777777" w:rsidR="00C06C49" w:rsidRPr="000F5941" w:rsidRDefault="00C06C49" w:rsidP="00343A01"/>
    <w:p w14:paraId="673FC7A5" w14:textId="77777777" w:rsidR="00C06C49" w:rsidRPr="000F5941" w:rsidRDefault="00C06C49" w:rsidP="00343A01">
      <w:r w:rsidRPr="000F5941">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F5941">
        <w:rPr>
          <w:b/>
        </w:rPr>
        <w:t>LA PARTE RECURRENTE</w:t>
      </w:r>
      <w:r w:rsidRPr="000F5941">
        <w:t xml:space="preserve">; por lo que, en el presente caso, al haber sido presentado el recurso de revisión vía </w:t>
      </w:r>
      <w:r w:rsidRPr="000F5941">
        <w:rPr>
          <w:b/>
        </w:rPr>
        <w:t>SAIMEX</w:t>
      </w:r>
      <w:r w:rsidRPr="000F5941">
        <w:t>, dicho requisito resulta innecesario.</w:t>
      </w:r>
    </w:p>
    <w:p w14:paraId="14DAF3EA" w14:textId="77777777" w:rsidR="00894FBA" w:rsidRPr="000F5941" w:rsidRDefault="008A5F01" w:rsidP="00343A01">
      <w:pPr>
        <w:pStyle w:val="Ttulo2"/>
      </w:pPr>
      <w:bookmarkStart w:id="26" w:name="_Toc208350812"/>
      <w:r w:rsidRPr="000F5941">
        <w:lastRenderedPageBreak/>
        <w:t>SEGUNDO. Estudio de Fondo</w:t>
      </w:r>
      <w:bookmarkEnd w:id="26"/>
    </w:p>
    <w:p w14:paraId="2ECC0BDC" w14:textId="77777777" w:rsidR="00894FBA" w:rsidRPr="000F5941" w:rsidRDefault="008A5F01" w:rsidP="00343A01">
      <w:pPr>
        <w:pStyle w:val="Ttulo3"/>
      </w:pPr>
      <w:bookmarkStart w:id="27" w:name="_Toc208350813"/>
      <w:r w:rsidRPr="000F5941">
        <w:t>a) Mandato de transparencia y responsabilidad del Sujeto Obligado</w:t>
      </w:r>
      <w:bookmarkEnd w:id="27"/>
    </w:p>
    <w:p w14:paraId="64EFC512" w14:textId="77777777" w:rsidR="00894FBA" w:rsidRPr="000F5941" w:rsidRDefault="008A5F01" w:rsidP="00343A01">
      <w:pPr>
        <w:spacing w:after="240"/>
      </w:pPr>
      <w:r w:rsidRPr="000F5941">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5D682EAF" w14:textId="77777777" w:rsidR="00894FBA" w:rsidRPr="000F5941" w:rsidRDefault="008A5F01" w:rsidP="00343A01">
      <w:pPr>
        <w:spacing w:line="240" w:lineRule="auto"/>
        <w:ind w:left="567" w:right="539"/>
        <w:rPr>
          <w:b/>
          <w:i/>
        </w:rPr>
      </w:pPr>
      <w:r w:rsidRPr="000F5941">
        <w:rPr>
          <w:b/>
          <w:i/>
        </w:rPr>
        <w:t>Constitución Política de los Estados Unidos Mexicanos</w:t>
      </w:r>
    </w:p>
    <w:p w14:paraId="00D3E60A" w14:textId="77777777" w:rsidR="00894FBA" w:rsidRPr="000F5941" w:rsidRDefault="008A5F01" w:rsidP="00343A01">
      <w:pPr>
        <w:spacing w:line="240" w:lineRule="auto"/>
        <w:ind w:left="567" w:right="539"/>
        <w:rPr>
          <w:b/>
          <w:i/>
        </w:rPr>
      </w:pPr>
      <w:r w:rsidRPr="000F5941">
        <w:rPr>
          <w:b/>
          <w:i/>
        </w:rPr>
        <w:t>“Artículo 6.</w:t>
      </w:r>
    </w:p>
    <w:p w14:paraId="5C2CC7C7" w14:textId="77777777" w:rsidR="00894FBA" w:rsidRPr="000F5941" w:rsidRDefault="008A5F01" w:rsidP="00343A01">
      <w:pPr>
        <w:spacing w:line="240" w:lineRule="auto"/>
        <w:ind w:left="567" w:right="539"/>
        <w:rPr>
          <w:i/>
        </w:rPr>
      </w:pPr>
      <w:r w:rsidRPr="000F5941">
        <w:rPr>
          <w:i/>
        </w:rPr>
        <w:t>(…)</w:t>
      </w:r>
    </w:p>
    <w:p w14:paraId="3CF8F556" w14:textId="77777777" w:rsidR="00894FBA" w:rsidRPr="000F5941" w:rsidRDefault="008A5F01" w:rsidP="00343A01">
      <w:pPr>
        <w:spacing w:line="240" w:lineRule="auto"/>
        <w:ind w:left="567" w:right="539"/>
        <w:rPr>
          <w:i/>
        </w:rPr>
      </w:pPr>
      <w:r w:rsidRPr="000F5941">
        <w:rPr>
          <w:i/>
        </w:rPr>
        <w:t>Para efectos de lo dispuesto en el presente artículo se observará lo siguiente:</w:t>
      </w:r>
    </w:p>
    <w:p w14:paraId="35E8B398" w14:textId="77777777" w:rsidR="00894FBA" w:rsidRPr="000F5941" w:rsidRDefault="008A5F01" w:rsidP="00343A01">
      <w:pPr>
        <w:spacing w:line="240" w:lineRule="auto"/>
        <w:ind w:left="567" w:right="539"/>
        <w:rPr>
          <w:b/>
          <w:i/>
        </w:rPr>
      </w:pPr>
      <w:r w:rsidRPr="000F5941">
        <w:rPr>
          <w:b/>
          <w:i/>
        </w:rPr>
        <w:t>A</w:t>
      </w:r>
      <w:r w:rsidRPr="000F5941">
        <w:rPr>
          <w:i/>
        </w:rPr>
        <w:t xml:space="preserve">. </w:t>
      </w:r>
      <w:r w:rsidRPr="000F5941">
        <w:rPr>
          <w:b/>
          <w:i/>
        </w:rPr>
        <w:t>Para el ejercicio del derecho de acceso a la información</w:t>
      </w:r>
      <w:r w:rsidRPr="000F5941">
        <w:rPr>
          <w:i/>
        </w:rPr>
        <w:t xml:space="preserve">, la Federación y </w:t>
      </w:r>
      <w:r w:rsidRPr="000F5941">
        <w:rPr>
          <w:b/>
          <w:i/>
        </w:rPr>
        <w:t>las entidades federativas, en el ámbito de sus respectivas competencias, se regirán por los siguientes principios y bases:</w:t>
      </w:r>
    </w:p>
    <w:p w14:paraId="3B3E8F68" w14:textId="77777777" w:rsidR="00894FBA" w:rsidRPr="000F5941" w:rsidRDefault="008A5F01" w:rsidP="00343A01">
      <w:pPr>
        <w:spacing w:line="240" w:lineRule="auto"/>
        <w:ind w:left="567" w:right="539"/>
        <w:rPr>
          <w:i/>
        </w:rPr>
      </w:pPr>
      <w:r w:rsidRPr="000F5941">
        <w:rPr>
          <w:b/>
          <w:i/>
        </w:rPr>
        <w:t xml:space="preserve">I. </w:t>
      </w:r>
      <w:r w:rsidRPr="000F5941">
        <w:rPr>
          <w:b/>
          <w:i/>
        </w:rPr>
        <w:tab/>
        <w:t>Toda la información en posesión de cualquier</w:t>
      </w:r>
      <w:r w:rsidRPr="000F5941">
        <w:rPr>
          <w:i/>
        </w:rPr>
        <w:t xml:space="preserve"> </w:t>
      </w:r>
      <w:r w:rsidRPr="000F5941">
        <w:rPr>
          <w:b/>
          <w:i/>
        </w:rPr>
        <w:t>autoridad</w:t>
      </w:r>
      <w:r w:rsidRPr="000F5941">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F5941">
        <w:rPr>
          <w:b/>
          <w:i/>
        </w:rPr>
        <w:t>municipal</w:t>
      </w:r>
      <w:r w:rsidRPr="000F5941">
        <w:rPr>
          <w:i/>
        </w:rPr>
        <w:t xml:space="preserve">, </w:t>
      </w:r>
      <w:r w:rsidRPr="000F5941">
        <w:rPr>
          <w:b/>
          <w:i/>
        </w:rPr>
        <w:t>es pública</w:t>
      </w:r>
      <w:r w:rsidRPr="000F5941">
        <w:rPr>
          <w:i/>
        </w:rPr>
        <w:t xml:space="preserve"> y sólo podrá ser reservada temporalmente por razones de interés público y seguridad nacional, en los términos que fijen las leyes. </w:t>
      </w:r>
      <w:r w:rsidRPr="000F5941">
        <w:rPr>
          <w:b/>
          <w:i/>
        </w:rPr>
        <w:t>En la interpretación de este derecho deberá prevalecer el principio de máxima publicidad. Los sujetos obligados deberán documentar todo acto que derive del ejercicio de sus facultades, competencias o funciones</w:t>
      </w:r>
      <w:r w:rsidRPr="000F5941">
        <w:rPr>
          <w:i/>
        </w:rPr>
        <w:t>, la ley determinará los supuestos específicos bajo los cuales procederá la declaración de inexistencia de la información.”</w:t>
      </w:r>
    </w:p>
    <w:p w14:paraId="6A1063AB" w14:textId="77777777" w:rsidR="00894FBA" w:rsidRPr="000F5941" w:rsidRDefault="008A5F01" w:rsidP="00343A01">
      <w:pPr>
        <w:spacing w:line="240" w:lineRule="auto"/>
        <w:ind w:left="567" w:right="539"/>
        <w:rPr>
          <w:b/>
          <w:i/>
        </w:rPr>
      </w:pPr>
      <w:r w:rsidRPr="000F5941">
        <w:rPr>
          <w:b/>
          <w:i/>
        </w:rPr>
        <w:t>Constitución Política del Estado Libre y Soberano de México</w:t>
      </w:r>
    </w:p>
    <w:p w14:paraId="11CC7DA0" w14:textId="77777777" w:rsidR="00894FBA" w:rsidRPr="000F5941" w:rsidRDefault="008A5F01" w:rsidP="00343A01">
      <w:pPr>
        <w:spacing w:line="240" w:lineRule="auto"/>
        <w:ind w:left="567" w:right="539"/>
        <w:rPr>
          <w:i/>
        </w:rPr>
      </w:pPr>
      <w:r w:rsidRPr="000F5941">
        <w:rPr>
          <w:b/>
          <w:i/>
        </w:rPr>
        <w:t>“Artículo 5</w:t>
      </w:r>
      <w:r w:rsidRPr="000F5941">
        <w:rPr>
          <w:i/>
        </w:rPr>
        <w:t xml:space="preserve">.- </w:t>
      </w:r>
    </w:p>
    <w:p w14:paraId="6CFC292E" w14:textId="77777777" w:rsidR="00894FBA" w:rsidRPr="000F5941" w:rsidRDefault="008A5F01" w:rsidP="00343A01">
      <w:pPr>
        <w:spacing w:line="240" w:lineRule="auto"/>
        <w:ind w:left="567" w:right="539"/>
        <w:rPr>
          <w:i/>
        </w:rPr>
      </w:pPr>
      <w:r w:rsidRPr="000F5941">
        <w:rPr>
          <w:i/>
        </w:rPr>
        <w:t>(…)</w:t>
      </w:r>
    </w:p>
    <w:p w14:paraId="20C4C38C" w14:textId="77777777" w:rsidR="00894FBA" w:rsidRPr="000F5941" w:rsidRDefault="008A5F01" w:rsidP="00343A01">
      <w:pPr>
        <w:spacing w:line="240" w:lineRule="auto"/>
        <w:ind w:left="567" w:right="539"/>
        <w:rPr>
          <w:i/>
        </w:rPr>
      </w:pPr>
      <w:r w:rsidRPr="000F5941">
        <w:rPr>
          <w:b/>
          <w:i/>
        </w:rPr>
        <w:t>El derecho a la información será garantizado por el Estado. La ley establecerá las previsiones que permitan asegurar la protección, el respeto y la difusión de este derecho</w:t>
      </w:r>
      <w:r w:rsidRPr="000F5941">
        <w:rPr>
          <w:i/>
        </w:rPr>
        <w:t>.</w:t>
      </w:r>
    </w:p>
    <w:p w14:paraId="378E92D3" w14:textId="77777777" w:rsidR="00894FBA" w:rsidRPr="000F5941" w:rsidRDefault="008A5F01" w:rsidP="00343A01">
      <w:pPr>
        <w:spacing w:line="240" w:lineRule="auto"/>
        <w:ind w:left="567" w:right="539"/>
        <w:rPr>
          <w:i/>
        </w:rPr>
      </w:pPr>
      <w:r w:rsidRPr="000F5941">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3A36EA2" w14:textId="77777777" w:rsidR="00894FBA" w:rsidRPr="000F5941" w:rsidRDefault="008A5F01" w:rsidP="00343A01">
      <w:pPr>
        <w:spacing w:line="240" w:lineRule="auto"/>
        <w:ind w:left="567" w:right="539"/>
        <w:rPr>
          <w:i/>
        </w:rPr>
      </w:pPr>
      <w:r w:rsidRPr="000F5941">
        <w:rPr>
          <w:b/>
          <w:i/>
        </w:rPr>
        <w:t>Este derecho se regirá por los principios y bases siguientes</w:t>
      </w:r>
      <w:r w:rsidRPr="000F5941">
        <w:rPr>
          <w:i/>
        </w:rPr>
        <w:t>:</w:t>
      </w:r>
    </w:p>
    <w:p w14:paraId="5FD82FB7" w14:textId="77777777" w:rsidR="00894FBA" w:rsidRPr="000F5941" w:rsidRDefault="008A5F01" w:rsidP="00343A01">
      <w:pPr>
        <w:spacing w:line="240" w:lineRule="auto"/>
        <w:ind w:left="567" w:right="539"/>
        <w:rPr>
          <w:i/>
        </w:rPr>
      </w:pPr>
      <w:r w:rsidRPr="000F5941">
        <w:rPr>
          <w:b/>
          <w:i/>
        </w:rPr>
        <w:t>I. Toda la información en posesión de cualquier autoridad, entidad, órgano y organismos de los</w:t>
      </w:r>
      <w:r w:rsidRPr="000F5941">
        <w:rPr>
          <w:i/>
        </w:rPr>
        <w:t xml:space="preserve"> Poderes Ejecutivo, Legislativo y Judicial, órganos autónomos, partidos </w:t>
      </w:r>
      <w:r w:rsidRPr="000F5941">
        <w:rPr>
          <w:i/>
        </w:rPr>
        <w:lastRenderedPageBreak/>
        <w:t xml:space="preserve">políticos, fideicomisos y fondos públicos estatales y </w:t>
      </w:r>
      <w:r w:rsidRPr="000F5941">
        <w:rPr>
          <w:b/>
          <w:i/>
        </w:rPr>
        <w:t>municipales</w:t>
      </w:r>
      <w:r w:rsidRPr="000F5941">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F5941">
        <w:rPr>
          <w:b/>
          <w:i/>
        </w:rPr>
        <w:t>es pública</w:t>
      </w:r>
      <w:r w:rsidRPr="000F5941">
        <w:rPr>
          <w:i/>
        </w:rPr>
        <w:t xml:space="preserve"> y sólo podrá ser reservada temporalmente por razones previstas en la Constitución Política de los Estados Unidos Mexicanos de interés público y seguridad, en los términos que fijen las leyes. </w:t>
      </w:r>
      <w:r w:rsidRPr="000F5941">
        <w:rPr>
          <w:b/>
          <w:i/>
        </w:rPr>
        <w:t>En la interpretación de este derecho deberá prevalecer el principio de máxima publicidad</w:t>
      </w:r>
      <w:r w:rsidRPr="000F5941">
        <w:rPr>
          <w:i/>
        </w:rPr>
        <w:t xml:space="preserve">. </w:t>
      </w:r>
      <w:r w:rsidRPr="000F5941">
        <w:rPr>
          <w:b/>
          <w:i/>
        </w:rPr>
        <w:t>Los sujetos obligados deberán documentar todo acto que derive del ejercicio de sus facultades, competencias o funciones</w:t>
      </w:r>
      <w:r w:rsidRPr="000F5941">
        <w:rPr>
          <w:i/>
        </w:rPr>
        <w:t>, la ley determinará los supuestos específicos bajo los cuales procederá la declaración de inexistencia de la información.”</w:t>
      </w:r>
    </w:p>
    <w:p w14:paraId="03AB6ADB" w14:textId="77777777" w:rsidR="00894FBA" w:rsidRPr="000F5941" w:rsidRDefault="00894FBA" w:rsidP="00343A01">
      <w:pPr>
        <w:spacing w:line="240" w:lineRule="auto"/>
        <w:ind w:left="567" w:right="539"/>
        <w:rPr>
          <w:i/>
        </w:rPr>
      </w:pPr>
    </w:p>
    <w:p w14:paraId="622F1232" w14:textId="77777777" w:rsidR="00894FBA" w:rsidRPr="000F5941" w:rsidRDefault="008A5F01" w:rsidP="00343A01">
      <w:pPr>
        <w:rPr>
          <w:i/>
        </w:rPr>
      </w:pPr>
      <w:r w:rsidRPr="000F5941">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0F5941">
        <w:rPr>
          <w:i/>
        </w:rPr>
        <w:t>por los principios de simplicidad, rapidez, gratuidad del procedimiento, auxilio y orientación a los particulares.</w:t>
      </w:r>
    </w:p>
    <w:p w14:paraId="42DA02AC" w14:textId="77777777" w:rsidR="00894FBA" w:rsidRPr="000F5941" w:rsidRDefault="00894FBA" w:rsidP="00343A01">
      <w:pPr>
        <w:rPr>
          <w:i/>
        </w:rPr>
      </w:pPr>
    </w:p>
    <w:p w14:paraId="40A559A6" w14:textId="77777777" w:rsidR="00894FBA" w:rsidRPr="000F5941" w:rsidRDefault="008A5F01" w:rsidP="00343A01">
      <w:pPr>
        <w:rPr>
          <w:i/>
        </w:rPr>
      </w:pPr>
      <w:r w:rsidRPr="000F5941">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226D14FE" w14:textId="77777777" w:rsidR="00894FBA" w:rsidRPr="000F5941" w:rsidRDefault="00894FBA" w:rsidP="00343A01"/>
    <w:p w14:paraId="4DCB0606" w14:textId="77777777" w:rsidR="00894FBA" w:rsidRPr="000F5941" w:rsidRDefault="008A5F01" w:rsidP="00343A01">
      <w:r w:rsidRPr="000F5941">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0B30567" w14:textId="77777777" w:rsidR="00894FBA" w:rsidRPr="000F5941" w:rsidRDefault="00894FBA" w:rsidP="00343A01"/>
    <w:p w14:paraId="6EE2DF23" w14:textId="77777777" w:rsidR="00894FBA" w:rsidRPr="000F5941" w:rsidRDefault="008A5F01" w:rsidP="00343A01">
      <w:pPr>
        <w:spacing w:after="240"/>
      </w:pPr>
      <w:r w:rsidRPr="000F5941">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w:t>
      </w:r>
      <w:r w:rsidRPr="000F5941">
        <w:lastRenderedPageBreak/>
        <w:t>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10972DB1" w14:textId="77777777" w:rsidR="00894FBA" w:rsidRPr="000F5941" w:rsidRDefault="008A5F01" w:rsidP="00343A01">
      <w:pPr>
        <w:spacing w:after="240"/>
      </w:pPr>
      <w:r w:rsidRPr="000F5941">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12C09494" w14:textId="77777777" w:rsidR="00894FBA" w:rsidRPr="000F5941" w:rsidRDefault="008A5F01" w:rsidP="00343A01">
      <w:pPr>
        <w:spacing w:after="240"/>
      </w:pPr>
      <w:bookmarkStart w:id="28" w:name="_heading=h.2xcytpi" w:colFirst="0" w:colLast="0"/>
      <w:bookmarkEnd w:id="28"/>
      <w:r w:rsidRPr="000F5941">
        <w:t xml:space="preserve">Con base en lo anterior, se considera que </w:t>
      </w:r>
      <w:r w:rsidRPr="000F5941">
        <w:rPr>
          <w:b/>
        </w:rPr>
        <w:t>EL</w:t>
      </w:r>
      <w:r w:rsidRPr="000F5941">
        <w:t xml:space="preserve"> </w:t>
      </w:r>
      <w:r w:rsidRPr="000F5941">
        <w:rPr>
          <w:b/>
        </w:rPr>
        <w:t>SUJETO OBLIGADO</w:t>
      </w:r>
      <w:r w:rsidRPr="000F5941">
        <w:t xml:space="preserve"> se encontraba compelido a atender la solicitud de acceso a la información realizada por </w:t>
      </w:r>
      <w:r w:rsidRPr="000F5941">
        <w:rPr>
          <w:b/>
        </w:rPr>
        <w:t>LA PARTE RECURRENTE</w:t>
      </w:r>
      <w:r w:rsidRPr="000F5941">
        <w:t>.</w:t>
      </w:r>
    </w:p>
    <w:p w14:paraId="0110AADD" w14:textId="77777777" w:rsidR="00894FBA" w:rsidRPr="000F5941" w:rsidRDefault="008A5F01" w:rsidP="00343A01">
      <w:pPr>
        <w:pStyle w:val="Ttulo3"/>
      </w:pPr>
      <w:bookmarkStart w:id="29" w:name="_Toc208350814"/>
      <w:r w:rsidRPr="000F5941">
        <w:t>b) Controversia a resolver</w:t>
      </w:r>
      <w:bookmarkEnd w:id="29"/>
    </w:p>
    <w:p w14:paraId="7777A37E" w14:textId="77777777" w:rsidR="00894FBA" w:rsidRPr="000F5941" w:rsidRDefault="008A5F01" w:rsidP="00343A01">
      <w:pPr>
        <w:spacing w:after="240"/>
      </w:pPr>
      <w:r w:rsidRPr="000F5941">
        <w:t xml:space="preserve">Con el objeto de ilustrar la controversia planteada, resulta conveniente precisar que, una vez realizado el estudio de las constancias que integran el expediente en que se actúa, se desprende que </w:t>
      </w:r>
      <w:r w:rsidRPr="000F5941">
        <w:rPr>
          <w:b/>
        </w:rPr>
        <w:t>LA PARTE RECURRENTE</w:t>
      </w:r>
      <w:r w:rsidRPr="000F5941">
        <w:t xml:space="preserve"> solicitó </w:t>
      </w:r>
      <w:r w:rsidR="001A01A0" w:rsidRPr="000F5941">
        <w:t xml:space="preserve">en versión pública y formato abierto </w:t>
      </w:r>
      <w:r w:rsidRPr="000F5941">
        <w:t>de</w:t>
      </w:r>
      <w:r w:rsidR="001047BB" w:rsidRPr="000F5941">
        <w:t xml:space="preserve">l </w:t>
      </w:r>
      <w:r w:rsidR="00C06C49" w:rsidRPr="000F5941">
        <w:t>Ayuntamiento de Cuautitlán Izcalli</w:t>
      </w:r>
      <w:r w:rsidR="00043C70" w:rsidRPr="000F5941">
        <w:t xml:space="preserve"> </w:t>
      </w:r>
      <w:r w:rsidRPr="000F5941">
        <w:t xml:space="preserve">como </w:t>
      </w:r>
      <w:r w:rsidRPr="000F5941">
        <w:rPr>
          <w:b/>
        </w:rPr>
        <w:t>SUJETO OBLIGADO</w:t>
      </w:r>
      <w:r w:rsidR="00043C70" w:rsidRPr="000F5941">
        <w:t xml:space="preserve"> lo siguiente:</w:t>
      </w:r>
    </w:p>
    <w:p w14:paraId="43C8165B" w14:textId="77777777" w:rsidR="00894FBA" w:rsidRPr="000F5941" w:rsidRDefault="008A5F01" w:rsidP="00343A01">
      <w:pPr>
        <w:pBdr>
          <w:top w:val="nil"/>
          <w:left w:val="nil"/>
          <w:bottom w:val="nil"/>
          <w:right w:val="nil"/>
          <w:between w:val="nil"/>
        </w:pBdr>
        <w:tabs>
          <w:tab w:val="left" w:pos="4962"/>
        </w:tabs>
        <w:ind w:left="567"/>
      </w:pPr>
      <w:r w:rsidRPr="000F5941">
        <w:t xml:space="preserve">1.- </w:t>
      </w:r>
      <w:r w:rsidR="001A01A0" w:rsidRPr="000F5941">
        <w:t>Los documentos donde consten las Condiciones Generales de Trabajo, contratos o convenios que regulen las relaciones laborales del personal de base y de confianza</w:t>
      </w:r>
      <w:r w:rsidR="00043C70" w:rsidRPr="000F5941">
        <w:t>.</w:t>
      </w:r>
    </w:p>
    <w:p w14:paraId="6E0E708E" w14:textId="77777777" w:rsidR="00D24D15" w:rsidRPr="000F5941" w:rsidRDefault="00D24D15" w:rsidP="00343A01">
      <w:pPr>
        <w:pBdr>
          <w:top w:val="nil"/>
          <w:left w:val="nil"/>
          <w:bottom w:val="nil"/>
          <w:right w:val="nil"/>
          <w:between w:val="nil"/>
        </w:pBdr>
        <w:tabs>
          <w:tab w:val="left" w:pos="4962"/>
        </w:tabs>
        <w:ind w:left="567"/>
      </w:pPr>
      <w:r w:rsidRPr="000F5941">
        <w:t xml:space="preserve">2.- </w:t>
      </w:r>
      <w:r w:rsidR="001A01A0" w:rsidRPr="000F5941">
        <w:t>Los recursos públicos económicos, en especie o donativos, que sean entregados a los Sindicatos.</w:t>
      </w:r>
    </w:p>
    <w:p w14:paraId="3B00ED13" w14:textId="77777777" w:rsidR="001A01A0" w:rsidRPr="000F5941" w:rsidRDefault="001A01A0" w:rsidP="00343A01">
      <w:pPr>
        <w:spacing w:after="240"/>
      </w:pPr>
    </w:p>
    <w:p w14:paraId="2D93C48D" w14:textId="77777777" w:rsidR="00825AF8" w:rsidRPr="000F5941" w:rsidRDefault="008A5F01" w:rsidP="00343A01">
      <w:pPr>
        <w:spacing w:after="240"/>
      </w:pPr>
      <w:r w:rsidRPr="000F5941">
        <w:lastRenderedPageBreak/>
        <w:t xml:space="preserve">En respuesta </w:t>
      </w:r>
      <w:r w:rsidR="00222633" w:rsidRPr="000F5941">
        <w:rPr>
          <w:b/>
        </w:rPr>
        <w:t>EL SUJETO OBLIGADO</w:t>
      </w:r>
      <w:r w:rsidR="00222633" w:rsidRPr="000F5941">
        <w:t xml:space="preserve"> a través del Director de Administración hizo del conocimiento al ciudadano, que las condiciones generales de trabajo entre el Municipio y las personas servidoras públicas, están a lo establecido por los artículos 54 y 56 la Ley del Trabajo de los Servidores Públicos del Estado y Municipios y demás disposiciones legales y reglamentarias; asimismo adjuntó una liga electrónica donde pueden ser consultados y adjuntó en formato PDF el Convenio de Prestaciones de Ley у Colaterales 2024, celebrado entre el Municipio de Cuautitlán Izcalli y el Sindicato Único de Trabajadores de los Poderes, Municipios e Instituciones Descentralizadas del Estado de México S.U.T.E.Y.М.</w:t>
      </w:r>
    </w:p>
    <w:p w14:paraId="18E8161D" w14:textId="77777777" w:rsidR="00894FBA" w:rsidRPr="000F5941" w:rsidRDefault="008A5F01" w:rsidP="00343A01">
      <w:pPr>
        <w:tabs>
          <w:tab w:val="left" w:pos="4962"/>
        </w:tabs>
        <w:spacing w:after="240"/>
      </w:pPr>
      <w:r w:rsidRPr="000F5941">
        <w:t xml:space="preserve">Ante la respuesta del </w:t>
      </w:r>
      <w:r w:rsidRPr="000F5941">
        <w:rPr>
          <w:b/>
        </w:rPr>
        <w:t>SUJETO OBLIGADO</w:t>
      </w:r>
      <w:r w:rsidRPr="000F5941">
        <w:t xml:space="preserve">, se interpuso el presente Recurso mediante el cual </w:t>
      </w:r>
      <w:r w:rsidRPr="000F5941">
        <w:rPr>
          <w:b/>
        </w:rPr>
        <w:t>LA PARTE RECURRENTE</w:t>
      </w:r>
      <w:r w:rsidRPr="000F5941">
        <w:t xml:space="preserve"> se inconformó </w:t>
      </w:r>
      <w:r w:rsidR="00233BDC" w:rsidRPr="000F5941">
        <w:t xml:space="preserve">esencialmente </w:t>
      </w:r>
      <w:r w:rsidR="00B84F21" w:rsidRPr="000F5941">
        <w:t xml:space="preserve">de la </w:t>
      </w:r>
      <w:r w:rsidR="00825AF8" w:rsidRPr="000F5941">
        <w:t>entrega de la información incompleta</w:t>
      </w:r>
      <w:r w:rsidR="00233BDC" w:rsidRPr="000F5941">
        <w:t xml:space="preserve">. </w:t>
      </w:r>
    </w:p>
    <w:p w14:paraId="1AA5158D" w14:textId="330A9F9D" w:rsidR="00222633" w:rsidRPr="000F5941" w:rsidRDefault="00370D44" w:rsidP="00343A01">
      <w:pPr>
        <w:tabs>
          <w:tab w:val="left" w:pos="4962"/>
        </w:tabs>
        <w:spacing w:after="240"/>
      </w:pPr>
      <w:r w:rsidRPr="000F5941">
        <w:t xml:space="preserve">Es preciso señalar que mediante informe justificado </w:t>
      </w:r>
      <w:r w:rsidRPr="000F5941">
        <w:rPr>
          <w:b/>
        </w:rPr>
        <w:t xml:space="preserve">EL SUJETO OBLIGADO </w:t>
      </w:r>
      <w:r w:rsidR="00767C46" w:rsidRPr="000F5941">
        <w:rPr>
          <w:rFonts w:eastAsia="Palatino Linotype" w:cs="Palatino Linotype"/>
          <w:szCs w:val="22"/>
        </w:rPr>
        <w:t xml:space="preserve">ratifico su respuesta </w:t>
      </w:r>
      <w:r w:rsidR="00222633" w:rsidRPr="000F5941">
        <w:rPr>
          <w:rFonts w:eastAsia="Palatino Linotype" w:cs="Palatino Linotype"/>
          <w:szCs w:val="22"/>
        </w:rPr>
        <w:t xml:space="preserve">y refirió que en aras de la transparencia y a efecto de satisfacer su derecho humano de acceso a la información pública, se hace del conocimiento al recurrente que en el Reglamento Orgánico de la Administración Pública Municipal de Cuautitlán Izcalli, Estado de México, en el Libro Décimo Octavo las personas servidoras públicas, suplencias y sanciones, Título Primero obligaciones y deberes de las personas servidores públicas y sus áreas de adscripción, precisamente en los artículos 252 al 277 del citado ordenamiento, se establecen las obligaciones y deberes de las personas servidores públicas adscritas al Gobierno Municipal de Cuautitlán Izcalli, </w:t>
      </w:r>
      <w:r w:rsidR="00222633" w:rsidRPr="000F5941">
        <w:t xml:space="preserve">por su parte </w:t>
      </w:r>
      <w:r w:rsidR="00222633" w:rsidRPr="000F5941">
        <w:rPr>
          <w:b/>
        </w:rPr>
        <w:t xml:space="preserve">LA </w:t>
      </w:r>
      <w:r w:rsidR="007950B5" w:rsidRPr="000F5941">
        <w:rPr>
          <w:b/>
        </w:rPr>
        <w:t xml:space="preserve">PARTE </w:t>
      </w:r>
      <w:r w:rsidR="00222633" w:rsidRPr="000F5941">
        <w:rPr>
          <w:b/>
        </w:rPr>
        <w:t xml:space="preserve">RECURRENTE </w:t>
      </w:r>
      <w:r w:rsidR="00222633" w:rsidRPr="000F5941">
        <w:t>no realizó manifestación alguna dentro del término legalmente concedido para tal efecto, ni presentó pruebas o alegatos.</w:t>
      </w:r>
    </w:p>
    <w:p w14:paraId="4A3892D8" w14:textId="77777777" w:rsidR="00774A79" w:rsidRPr="000F5941" w:rsidRDefault="00774A79" w:rsidP="00343A01">
      <w:pPr>
        <w:tabs>
          <w:tab w:val="left" w:pos="4962"/>
        </w:tabs>
        <w:spacing w:after="240"/>
        <w:rPr>
          <w:rFonts w:eastAsia="Palatino Linotype" w:cs="Palatino Linotype"/>
          <w:szCs w:val="22"/>
        </w:rPr>
      </w:pPr>
    </w:p>
    <w:p w14:paraId="77665363" w14:textId="77777777" w:rsidR="00222633" w:rsidRPr="000F5941" w:rsidRDefault="00222633" w:rsidP="00343A01">
      <w:pPr>
        <w:tabs>
          <w:tab w:val="left" w:pos="4962"/>
        </w:tabs>
        <w:spacing w:after="240"/>
        <w:rPr>
          <w:rFonts w:eastAsia="Palatino Linotype" w:cs="Palatino Linotype"/>
          <w:szCs w:val="22"/>
        </w:rPr>
      </w:pPr>
    </w:p>
    <w:p w14:paraId="2B9A04E3" w14:textId="77777777" w:rsidR="008B7C83" w:rsidRPr="000F5941" w:rsidRDefault="008A5F01" w:rsidP="00343A01">
      <w:pPr>
        <w:tabs>
          <w:tab w:val="left" w:pos="4962"/>
        </w:tabs>
        <w:spacing w:after="240"/>
      </w:pPr>
      <w:r w:rsidRPr="000F5941">
        <w:lastRenderedPageBreak/>
        <w:t xml:space="preserve">Por lo tanto, el estudio del presente medio de impugnación se centrará en el análisis de las documentales remitidas para determinar si se colma o no con la pretensión del particular o deviene fundado el argumento de </w:t>
      </w:r>
      <w:r w:rsidRPr="000F5941">
        <w:rPr>
          <w:b/>
        </w:rPr>
        <w:t xml:space="preserve">LA PARTE RECURRENTE </w:t>
      </w:r>
      <w:r w:rsidRPr="000F5941">
        <w:t xml:space="preserve">respecto a que </w:t>
      </w:r>
      <w:r w:rsidR="00B84F21" w:rsidRPr="000F5941">
        <w:t xml:space="preserve">se le </w:t>
      </w:r>
      <w:r w:rsidR="00370D44" w:rsidRPr="000F5941">
        <w:t>entrego la información de manera incompleta</w:t>
      </w:r>
      <w:r w:rsidR="008B7C83" w:rsidRPr="000F5941">
        <w:t>.</w:t>
      </w:r>
    </w:p>
    <w:p w14:paraId="4EBA3F1F" w14:textId="77777777" w:rsidR="00894FBA" w:rsidRPr="000F5941" w:rsidRDefault="008A5F01" w:rsidP="00343A01">
      <w:pPr>
        <w:pStyle w:val="Ttulo3"/>
      </w:pPr>
      <w:bookmarkStart w:id="30" w:name="_Toc208350815"/>
      <w:r w:rsidRPr="000F5941">
        <w:t>c) Estudio de la controversia</w:t>
      </w:r>
      <w:bookmarkEnd w:id="30"/>
    </w:p>
    <w:p w14:paraId="5A146D1D" w14:textId="77777777" w:rsidR="00222633" w:rsidRPr="000F5941" w:rsidRDefault="00222633" w:rsidP="00343A01">
      <w:pPr>
        <w:ind w:right="-93"/>
      </w:pPr>
      <w:r w:rsidRPr="000F5941">
        <w:t xml:space="preserve">Iniciando con el estudio es importante puntualizar que en la interposición del presente recurso </w:t>
      </w:r>
      <w:r w:rsidRPr="000F5941">
        <w:rPr>
          <w:b/>
        </w:rPr>
        <w:t>LA PARTE RECURRENTE</w:t>
      </w:r>
      <w:r w:rsidRPr="000F5941">
        <w:t xml:space="preserve"> se inconformó </w:t>
      </w:r>
      <w:r w:rsidR="004C40F1" w:rsidRPr="000F5941">
        <w:t>sobre la falta de la información correspondiente al personal de confianza y al personal de base que no sea sindicalizado</w:t>
      </w:r>
      <w:r w:rsidRPr="000F5941">
        <w:t xml:space="preserve">. Ante tal situación, se advierte que </w:t>
      </w:r>
      <w:r w:rsidRPr="000F5941">
        <w:rPr>
          <w:b/>
        </w:rPr>
        <w:t>LA PARTE RECURRENTE</w:t>
      </w:r>
      <w:r w:rsidRPr="000F5941">
        <w:t xml:space="preserve"> no </w:t>
      </w:r>
      <w:r w:rsidR="004C40F1" w:rsidRPr="000F5941">
        <w:t>manifestó inconformidad respecto a</w:t>
      </w:r>
      <w:r w:rsidRPr="000F5941">
        <w:t xml:space="preserve"> la información correspondiente </w:t>
      </w:r>
      <w:r w:rsidR="004C40F1" w:rsidRPr="000F5941">
        <w:t>a los recursos públicos económicos, en especie o donativos, que sean entregados a los Sindicatos</w:t>
      </w:r>
      <w:r w:rsidRPr="000F5941">
        <w:t>; por lo cual, se presume que dicha información ha sido consentida por el propio solicitante.</w:t>
      </w:r>
    </w:p>
    <w:p w14:paraId="5CAADE1B" w14:textId="77777777" w:rsidR="00222633" w:rsidRPr="000F5941" w:rsidRDefault="00222633" w:rsidP="00343A01">
      <w:pPr>
        <w:ind w:right="-93"/>
      </w:pPr>
    </w:p>
    <w:p w14:paraId="22179338" w14:textId="77777777" w:rsidR="00222633" w:rsidRPr="000F5941" w:rsidRDefault="00222633" w:rsidP="00343A01">
      <w:pPr>
        <w:ind w:right="-93"/>
      </w:pPr>
      <w:r w:rsidRPr="000F5941">
        <w:t>Sirve de sustento, la tesis jurisprudencial número VI.2o. J/21, publicada en el Semanario Judicial de la Federación y su Gaceta bajo el número de registro 204707 que a la letra dice:</w:t>
      </w:r>
    </w:p>
    <w:p w14:paraId="7D7783E9" w14:textId="77777777" w:rsidR="00222633" w:rsidRPr="000F5941" w:rsidRDefault="00222633" w:rsidP="00343A01">
      <w:pPr>
        <w:ind w:right="-93"/>
      </w:pPr>
    </w:p>
    <w:p w14:paraId="6D0C872A" w14:textId="77777777" w:rsidR="00222633" w:rsidRPr="000F5941" w:rsidRDefault="00222633" w:rsidP="00343A01">
      <w:pPr>
        <w:pStyle w:val="Puesto"/>
        <w:ind w:left="851" w:right="822"/>
      </w:pPr>
      <w:r w:rsidRPr="000F5941">
        <w:rPr>
          <w:b/>
        </w:rPr>
        <w:t>ACTOS CONSENTIDOS TACITAMENTE</w:t>
      </w:r>
      <w:r w:rsidRPr="000F5941">
        <w:t>.</w:t>
      </w:r>
    </w:p>
    <w:p w14:paraId="14AA4A79" w14:textId="77777777" w:rsidR="00222633" w:rsidRPr="000F5941" w:rsidRDefault="00222633" w:rsidP="00343A01">
      <w:pPr>
        <w:pStyle w:val="Puesto"/>
        <w:ind w:left="851" w:right="822"/>
      </w:pPr>
    </w:p>
    <w:p w14:paraId="63F7D34E" w14:textId="77777777" w:rsidR="00222633" w:rsidRPr="000F5941" w:rsidRDefault="00222633" w:rsidP="00343A01">
      <w:pPr>
        <w:pStyle w:val="Puesto"/>
        <w:ind w:left="851" w:right="822"/>
      </w:pPr>
      <w:r w:rsidRPr="000F5941">
        <w:t>“Se presumen así, para los efectos del amparo, los actos del orden civil y administrativo, que no hubieren sido reclamados en esa vía dentro de los plazos que la ley señala”.</w:t>
      </w:r>
    </w:p>
    <w:p w14:paraId="35723EE3" w14:textId="77777777" w:rsidR="00222633" w:rsidRPr="000F5941" w:rsidRDefault="00222633" w:rsidP="00343A01">
      <w:pPr>
        <w:ind w:right="-93"/>
      </w:pPr>
    </w:p>
    <w:p w14:paraId="7AE36559" w14:textId="77777777" w:rsidR="00222633" w:rsidRPr="000F5941" w:rsidRDefault="00222633" w:rsidP="00343A01">
      <w:pPr>
        <w:ind w:right="-93"/>
      </w:pPr>
      <w:r w:rsidRPr="000F5941">
        <w:t xml:space="preserve">En ese tenor, es el presente estudio versará respecto de la información incompleta ante la </w:t>
      </w:r>
      <w:r w:rsidR="004C40F1" w:rsidRPr="000F5941">
        <w:t>sobre la falta de la información correspondiente al personal de confianza y al personal de base que no sea sindicalizado</w:t>
      </w:r>
      <w:r w:rsidRPr="000F5941">
        <w:t>.</w:t>
      </w:r>
    </w:p>
    <w:p w14:paraId="00B41434" w14:textId="77777777" w:rsidR="00222633" w:rsidRPr="000F5941" w:rsidRDefault="00222633" w:rsidP="00343A01">
      <w:pPr>
        <w:spacing w:after="240"/>
        <w:ind w:right="-93"/>
      </w:pPr>
    </w:p>
    <w:p w14:paraId="1777AE97" w14:textId="77777777" w:rsidR="00520456" w:rsidRPr="000F5941" w:rsidRDefault="00520456" w:rsidP="00343A01">
      <w:pPr>
        <w:spacing w:after="240"/>
        <w:ind w:right="49"/>
      </w:pPr>
      <w:r w:rsidRPr="000F5941">
        <w:lastRenderedPageBreak/>
        <w:t xml:space="preserve">Ahora bien en </w:t>
      </w:r>
      <w:r w:rsidR="00A66341" w:rsidRPr="000F5941">
        <w:t xml:space="preserve">atención a la información </w:t>
      </w:r>
      <w:r w:rsidR="0005193C" w:rsidRPr="000F5941">
        <w:t>peticionada y en a</w:t>
      </w:r>
      <w:r w:rsidRPr="000F5941">
        <w:t xml:space="preserve">ras de garantizar el derecho de acceso a la información, se estima </w:t>
      </w:r>
      <w:r w:rsidRPr="000F5941">
        <w:rPr>
          <w:rFonts w:eastAsia="Palatino Linotype" w:cs="Palatino Linotype"/>
        </w:rPr>
        <w:t xml:space="preserve">es oportuno traer a colación el contenido de los artículos 5, 45, 48 fracción I y 49 de la Ley del Trabajo de los Servidores Públicos del Estado de México y </w:t>
      </w:r>
      <w:r w:rsidRPr="000F5941">
        <w:rPr>
          <w:rFonts w:eastAsia="Palatino Linotype" w:cs="Palatino Linotype"/>
          <w:iCs/>
        </w:rPr>
        <w:t>Municipios,</w:t>
      </w:r>
      <w:r w:rsidRPr="000F5941">
        <w:rPr>
          <w:rFonts w:eastAsia="Palatino Linotype" w:cs="Palatino Linotype"/>
        </w:rPr>
        <w:t xml:space="preserve"> que en su parte conducente señalan lo siguiente:</w:t>
      </w:r>
    </w:p>
    <w:p w14:paraId="657183F6"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i/>
          <w:szCs w:val="22"/>
        </w:rPr>
        <w:t>“ARTÍCULO 5.- La relación de trabajo entre las instituciones públicas y sus servidores públicos se entiende establecida mediante nombramiento, formato único de movimiento de personal, contrato o por cualquier otro acto</w:t>
      </w:r>
      <w:r w:rsidRPr="000F5941">
        <w:rPr>
          <w:rFonts w:eastAsia="Palatino Linotype" w:cs="Palatino Linotype"/>
          <w:i/>
          <w:szCs w:val="22"/>
        </w:rPr>
        <w:t xml:space="preserve"> que tenga como consecuencia la prestación personal subordinada del servicio y la percepción de un sueldo.</w:t>
      </w:r>
    </w:p>
    <w:p w14:paraId="4EE0670B"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i/>
          <w:szCs w:val="22"/>
        </w:rPr>
        <w:t>Para los efectos de esta ley, las instituciones públicas estarán representadas por sus titulares.</w:t>
      </w:r>
    </w:p>
    <w:p w14:paraId="11DDFE18"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i/>
          <w:szCs w:val="22"/>
        </w:rPr>
        <w:t>(…)</w:t>
      </w:r>
    </w:p>
    <w:p w14:paraId="0C69A42E"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i/>
          <w:szCs w:val="22"/>
        </w:rPr>
        <w:t>ARTÍCULO 45.- Los servidores públicos prestarán sus servicios mediante nombramiento, contrato o formato único de Movimientos de Personal</w:t>
      </w:r>
      <w:r w:rsidRPr="000F5941">
        <w:rPr>
          <w:rFonts w:eastAsia="Palatino Linotype" w:cs="Palatino Linotype"/>
          <w:i/>
          <w:szCs w:val="22"/>
        </w:rPr>
        <w:t xml:space="preserve"> expedidos por quien estuviere facultado legalmente para extenderlo.</w:t>
      </w:r>
    </w:p>
    <w:p w14:paraId="4BCC3ACC" w14:textId="77777777" w:rsidR="00520456" w:rsidRPr="000F5941" w:rsidRDefault="00520456" w:rsidP="00343A01">
      <w:pPr>
        <w:spacing w:before="120" w:after="120" w:line="240" w:lineRule="auto"/>
        <w:ind w:left="851" w:right="822"/>
        <w:rPr>
          <w:i/>
          <w:szCs w:val="22"/>
        </w:rPr>
      </w:pPr>
      <w:r w:rsidRPr="000F5941">
        <w:rPr>
          <w:i/>
          <w:szCs w:val="22"/>
        </w:rPr>
        <w:t>…</w:t>
      </w:r>
    </w:p>
    <w:p w14:paraId="74F885E3" w14:textId="77777777" w:rsidR="00520456" w:rsidRPr="000F5941" w:rsidRDefault="00520456" w:rsidP="00343A01">
      <w:pPr>
        <w:spacing w:before="120" w:after="120" w:line="240" w:lineRule="auto"/>
        <w:ind w:left="851" w:right="822"/>
        <w:rPr>
          <w:i/>
          <w:szCs w:val="22"/>
        </w:rPr>
      </w:pPr>
      <w:r w:rsidRPr="000F5941">
        <w:rPr>
          <w:b/>
          <w:i/>
          <w:szCs w:val="22"/>
        </w:rPr>
        <w:t>ARTÍCULO 47.</w:t>
      </w:r>
      <w:r w:rsidRPr="000F5941">
        <w:rPr>
          <w:i/>
          <w:szCs w:val="22"/>
        </w:rPr>
        <w:t xml:space="preserve"> Para </w:t>
      </w:r>
      <w:r w:rsidRPr="000F5941">
        <w:rPr>
          <w:b/>
          <w:i/>
          <w:szCs w:val="22"/>
        </w:rPr>
        <w:t>ingresar al servicio público</w:t>
      </w:r>
      <w:r w:rsidRPr="000F5941">
        <w:rPr>
          <w:i/>
          <w:szCs w:val="22"/>
        </w:rPr>
        <w:t xml:space="preserve"> se requiere:</w:t>
      </w:r>
    </w:p>
    <w:p w14:paraId="7D35573D" w14:textId="77777777" w:rsidR="00520456" w:rsidRPr="000F5941" w:rsidRDefault="00520456" w:rsidP="00343A01">
      <w:pPr>
        <w:spacing w:before="120" w:after="120" w:line="240" w:lineRule="auto"/>
        <w:ind w:left="851" w:right="822"/>
        <w:rPr>
          <w:i/>
          <w:szCs w:val="22"/>
        </w:rPr>
      </w:pPr>
      <w:r w:rsidRPr="000F5941">
        <w:rPr>
          <w:b/>
          <w:i/>
          <w:szCs w:val="22"/>
        </w:rPr>
        <w:t>I.</w:t>
      </w:r>
      <w:r w:rsidRPr="000F5941">
        <w:rPr>
          <w:i/>
          <w:szCs w:val="22"/>
        </w:rPr>
        <w:t xml:space="preserve"> Presentar una solicitud utilizando la forma oficial que se autorice por la institución pública o dependencia correspondiente;</w:t>
      </w:r>
    </w:p>
    <w:p w14:paraId="0260B015"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i/>
          <w:szCs w:val="22"/>
        </w:rPr>
        <w:t>…</w:t>
      </w:r>
    </w:p>
    <w:p w14:paraId="524FBEEA"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b/>
          <w:i/>
          <w:szCs w:val="22"/>
        </w:rPr>
        <w:t>VIII.</w:t>
      </w:r>
      <w:r w:rsidRPr="000F5941">
        <w:rPr>
          <w:i/>
          <w:szCs w:val="22"/>
        </w:rPr>
        <w:t xml:space="preserve"> Cumplir con los requisitos que se establezcan para los diferentes puestos;</w:t>
      </w:r>
    </w:p>
    <w:p w14:paraId="585BF412"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i/>
          <w:szCs w:val="22"/>
        </w:rPr>
        <w:t>(…)</w:t>
      </w:r>
    </w:p>
    <w:p w14:paraId="5AAF37F2"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i/>
          <w:szCs w:val="22"/>
        </w:rPr>
        <w:t xml:space="preserve">ARTÍCULO 48. </w:t>
      </w:r>
      <w:r w:rsidRPr="000F5941">
        <w:rPr>
          <w:rFonts w:eastAsia="Palatino Linotype" w:cs="Palatino Linotype"/>
          <w:i/>
          <w:szCs w:val="22"/>
        </w:rPr>
        <w:t xml:space="preserve">Para </w:t>
      </w:r>
      <w:r w:rsidRPr="000F5941">
        <w:rPr>
          <w:rFonts w:eastAsia="Palatino Linotype" w:cs="Palatino Linotype"/>
          <w:b/>
          <w:i/>
          <w:szCs w:val="22"/>
        </w:rPr>
        <w:t>iniciar la prestación de los servicios</w:t>
      </w:r>
      <w:r w:rsidRPr="000F5941">
        <w:rPr>
          <w:rFonts w:eastAsia="Palatino Linotype" w:cs="Palatino Linotype"/>
          <w:i/>
          <w:szCs w:val="22"/>
        </w:rPr>
        <w:t xml:space="preserve"> se requiere:</w:t>
      </w:r>
    </w:p>
    <w:p w14:paraId="0F021DDA"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I</w:t>
      </w:r>
      <w:r w:rsidRPr="000F5941">
        <w:rPr>
          <w:rFonts w:eastAsia="Palatino Linotype" w:cs="Palatino Linotype"/>
          <w:i/>
          <w:szCs w:val="22"/>
        </w:rPr>
        <w:t xml:space="preserve">. </w:t>
      </w:r>
      <w:r w:rsidRPr="000F5941">
        <w:rPr>
          <w:rFonts w:eastAsia="Palatino Linotype" w:cs="Palatino Linotype"/>
          <w:b/>
          <w:i/>
          <w:szCs w:val="22"/>
        </w:rPr>
        <w:t>Tener conferido el nombramiento, contrato respectivo o formato único de Movimientos de Personal</w:t>
      </w:r>
      <w:r w:rsidRPr="000F5941">
        <w:rPr>
          <w:rFonts w:eastAsia="Palatino Linotype" w:cs="Palatino Linotype"/>
          <w:i/>
          <w:szCs w:val="22"/>
        </w:rPr>
        <w:t>;</w:t>
      </w:r>
    </w:p>
    <w:p w14:paraId="5F3FECFD"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i/>
          <w:szCs w:val="22"/>
        </w:rPr>
        <w:t>(…)</w:t>
      </w:r>
    </w:p>
    <w:p w14:paraId="327399FA"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i/>
          <w:szCs w:val="22"/>
        </w:rPr>
        <w:t>ARTÍCULO 49.- Los nombramientos, contratos o formato único de Movimientos de Personal</w:t>
      </w:r>
      <w:r w:rsidRPr="000F5941">
        <w:rPr>
          <w:rFonts w:eastAsia="Palatino Linotype" w:cs="Palatino Linotype"/>
          <w:i/>
          <w:szCs w:val="22"/>
        </w:rPr>
        <w:t xml:space="preserve"> de los servidores públicos deberán contener:</w:t>
      </w:r>
    </w:p>
    <w:p w14:paraId="17E6CD29"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I.</w:t>
      </w:r>
      <w:r w:rsidRPr="000F5941">
        <w:rPr>
          <w:rFonts w:eastAsia="Palatino Linotype" w:cs="Palatino Linotype"/>
          <w:i/>
          <w:szCs w:val="22"/>
        </w:rPr>
        <w:t xml:space="preserve"> Nombre completo del servidor público;</w:t>
      </w:r>
    </w:p>
    <w:p w14:paraId="0C59605C"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lastRenderedPageBreak/>
        <w:t>II</w:t>
      </w:r>
      <w:r w:rsidRPr="000F5941">
        <w:rPr>
          <w:rFonts w:eastAsia="Palatino Linotype" w:cs="Palatino Linotype"/>
          <w:i/>
          <w:szCs w:val="22"/>
        </w:rPr>
        <w:t xml:space="preserve">. </w:t>
      </w:r>
      <w:r w:rsidRPr="000F5941">
        <w:rPr>
          <w:rFonts w:eastAsia="Palatino Linotype" w:cs="Palatino Linotype"/>
          <w:bCs/>
          <w:i/>
          <w:szCs w:val="22"/>
        </w:rPr>
        <w:t>Cargo para el que es designado</w:t>
      </w:r>
      <w:r w:rsidRPr="000F5941">
        <w:rPr>
          <w:rFonts w:eastAsia="Palatino Linotype" w:cs="Palatino Linotype"/>
          <w:i/>
          <w:szCs w:val="22"/>
        </w:rPr>
        <w:t>, fecha de inicio de sus servicios y lugar de adscripción;</w:t>
      </w:r>
    </w:p>
    <w:p w14:paraId="5BD26151"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III.</w:t>
      </w:r>
      <w:r w:rsidRPr="000F5941">
        <w:rPr>
          <w:rFonts w:eastAsia="Palatino Linotype" w:cs="Palatino Linotype"/>
          <w:i/>
          <w:szCs w:val="22"/>
        </w:rPr>
        <w:t xml:space="preserve"> Carácter del nombramiento, ya sea de servidores públicos generales o de confianza, así como la temporalidad del mismo;</w:t>
      </w:r>
    </w:p>
    <w:p w14:paraId="30EC4D99"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IV.</w:t>
      </w:r>
      <w:r w:rsidRPr="000F5941">
        <w:rPr>
          <w:rFonts w:eastAsia="Palatino Linotype" w:cs="Palatino Linotype"/>
          <w:i/>
          <w:szCs w:val="22"/>
        </w:rPr>
        <w:t xml:space="preserve"> Remuneración correspondiente al puesto;</w:t>
      </w:r>
    </w:p>
    <w:p w14:paraId="7469B302"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V.</w:t>
      </w:r>
      <w:r w:rsidRPr="000F5941">
        <w:rPr>
          <w:rFonts w:eastAsia="Palatino Linotype" w:cs="Palatino Linotype"/>
          <w:i/>
          <w:szCs w:val="22"/>
        </w:rPr>
        <w:t xml:space="preserve"> Jornada de trabajo;</w:t>
      </w:r>
    </w:p>
    <w:p w14:paraId="1605380F"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VI.</w:t>
      </w:r>
      <w:r w:rsidRPr="000F5941">
        <w:rPr>
          <w:rFonts w:eastAsia="Palatino Linotype" w:cs="Palatino Linotype"/>
          <w:i/>
          <w:szCs w:val="22"/>
        </w:rPr>
        <w:t xml:space="preserve"> Derogada;</w:t>
      </w:r>
    </w:p>
    <w:p w14:paraId="61445351" w14:textId="77777777" w:rsidR="00520456" w:rsidRPr="000F5941" w:rsidRDefault="00520456" w:rsidP="00343A01">
      <w:pPr>
        <w:spacing w:before="120" w:after="120" w:line="240" w:lineRule="auto"/>
        <w:ind w:left="851" w:right="822"/>
        <w:rPr>
          <w:rFonts w:eastAsia="Palatino Linotype" w:cs="Palatino Linotype"/>
          <w:i/>
          <w:szCs w:val="22"/>
        </w:rPr>
      </w:pPr>
      <w:r w:rsidRPr="000F5941">
        <w:rPr>
          <w:rFonts w:eastAsia="Palatino Linotype" w:cs="Palatino Linotype"/>
          <w:b/>
          <w:bCs/>
          <w:i/>
          <w:szCs w:val="22"/>
        </w:rPr>
        <w:t>VII.</w:t>
      </w:r>
      <w:r w:rsidRPr="000F5941">
        <w:rPr>
          <w:rFonts w:eastAsia="Palatino Linotype" w:cs="Palatino Linotype"/>
          <w:i/>
          <w:szCs w:val="22"/>
        </w:rPr>
        <w:t xml:space="preserve"> Firma del servidor público autorizado para emitir el nombramiento, contrato o formato único de Movimientos de Personal, así como el fundamento legal de esa atribución”</w:t>
      </w:r>
    </w:p>
    <w:p w14:paraId="153D294A" w14:textId="77777777" w:rsidR="00520456" w:rsidRPr="000F5941" w:rsidRDefault="00520456" w:rsidP="00343A01">
      <w:pPr>
        <w:spacing w:before="240" w:after="240"/>
        <w:ind w:right="49"/>
        <w:rPr>
          <w:rFonts w:eastAsia="Palatino Linotype" w:cs="Palatino Linotype"/>
        </w:rPr>
      </w:pPr>
      <w:r w:rsidRPr="000F5941">
        <w:rPr>
          <w:rFonts w:eastAsia="Palatino Linotype" w:cs="Palatino Linotype"/>
        </w:rPr>
        <w:t xml:space="preserve">De los elementos normativos transcritos podemos advertir que las relaciones de trabajo entre los servidores públicos del Estado y sus municipios se encuentran reguladas por la Ley del Trabajo de los Servidores Públicos del Estado y Municipios, la cual indica expresamente que las mismas se entenderán establecidas mediante el </w:t>
      </w:r>
      <w:r w:rsidRPr="000F5941">
        <w:rPr>
          <w:rFonts w:eastAsia="Palatino Linotype" w:cs="Palatino Linotype"/>
          <w:i/>
        </w:rPr>
        <w:t>nombramiento</w:t>
      </w:r>
      <w:r w:rsidRPr="000F5941">
        <w:rPr>
          <w:rFonts w:eastAsia="Palatino Linotype" w:cs="Palatino Linotype"/>
        </w:rPr>
        <w:t xml:space="preserve">, </w:t>
      </w:r>
      <w:r w:rsidRPr="000F5941">
        <w:rPr>
          <w:rFonts w:eastAsia="Palatino Linotype" w:cs="Palatino Linotype"/>
          <w:i/>
        </w:rPr>
        <w:t>formato único de movimientos de personal</w:t>
      </w:r>
      <w:r w:rsidRPr="000F5941">
        <w:rPr>
          <w:rFonts w:eastAsia="Palatino Linotype" w:cs="Palatino Linotype"/>
        </w:rPr>
        <w:t xml:space="preserve">, </w:t>
      </w:r>
      <w:r w:rsidRPr="000F5941">
        <w:rPr>
          <w:rFonts w:eastAsia="Palatino Linotype" w:cs="Palatino Linotype"/>
          <w:i/>
        </w:rPr>
        <w:t>contrato o cualquiera que tenga como consecuencia la prestación personal subordinada del servicio y la percepción de un sueldo</w:t>
      </w:r>
      <w:r w:rsidRPr="000F5941">
        <w:rPr>
          <w:rFonts w:eastAsia="Palatino Linotype" w:cs="Palatino Linotype"/>
        </w:rPr>
        <w:t xml:space="preserve">; de manera que, todos los servidores públicos prestan necesariamente sus servicios a través de cualquiera de dichos documentos, ya que </w:t>
      </w:r>
      <w:r w:rsidRPr="000F5941">
        <w:rPr>
          <w:rFonts w:eastAsia="Palatino Linotype" w:cs="Palatino Linotype"/>
          <w:b/>
          <w:bCs/>
        </w:rPr>
        <w:t>son requisitos para configurar la relación laboral entre estos y las instituciones públicas</w:t>
      </w:r>
      <w:r w:rsidRPr="000F5941">
        <w:rPr>
          <w:rFonts w:eastAsia="Palatino Linotype" w:cs="Palatino Linotype"/>
        </w:rPr>
        <w:t>, debiendo ser expedidos por quien tenga facultades para ello, asimismo, como parte de los requisitos para ingresar al servicio público, se encuentra la solicitud en el formato oficial que autorice la institución pública o dependencia correspondiente, además de cumplir los requisitos que se establezcan para los diferentes puestos.</w:t>
      </w:r>
    </w:p>
    <w:p w14:paraId="6665ADB5" w14:textId="77777777" w:rsidR="0005193C" w:rsidRPr="000F5941" w:rsidRDefault="00774A79" w:rsidP="00343A01">
      <w:pPr>
        <w:spacing w:after="240"/>
        <w:ind w:right="-93"/>
      </w:pPr>
      <w:r w:rsidRPr="000F5941">
        <w:t xml:space="preserve">Ahora bien, </w:t>
      </w:r>
      <w:r w:rsidR="0005193C" w:rsidRPr="000F5941">
        <w:t>e</w:t>
      </w:r>
      <w:r w:rsidR="00ED4042" w:rsidRPr="000F5941">
        <w:t xml:space="preserve">s preciso puntualizar que </w:t>
      </w:r>
      <w:r w:rsidR="0005193C" w:rsidRPr="000F5941">
        <w:t xml:space="preserve">mediante informe justificado </w:t>
      </w:r>
      <w:r w:rsidR="0005193C" w:rsidRPr="000F5941">
        <w:rPr>
          <w:b/>
        </w:rPr>
        <w:t>EL SUJETO OBLIGADO</w:t>
      </w:r>
      <w:r w:rsidR="0005193C" w:rsidRPr="000F5941">
        <w:t xml:space="preserve"> a través de la Dirección de Administración además de ratificar</w:t>
      </w:r>
      <w:r w:rsidR="0022210C" w:rsidRPr="000F5941">
        <w:t xml:space="preserve"> que en</w:t>
      </w:r>
      <w:r w:rsidR="0005193C" w:rsidRPr="000F5941">
        <w:t xml:space="preserve"> los artículos 54 y 56 la Ley del Trabajo de los Servidores Públicos del Estado y Municipios</w:t>
      </w:r>
      <w:r w:rsidR="0022210C" w:rsidRPr="000F5941">
        <w:t xml:space="preserve"> es </w:t>
      </w:r>
      <w:r w:rsidR="0005193C" w:rsidRPr="000F5941">
        <w:t xml:space="preserve"> donde se establecen que las condiciones generales de trabajo entre el Municipio y las personas servidoras públicas.</w:t>
      </w:r>
    </w:p>
    <w:p w14:paraId="65C5F0F0" w14:textId="399A0C92" w:rsidR="0005193C" w:rsidRPr="000F5941" w:rsidRDefault="0022210C" w:rsidP="00343A01">
      <w:pPr>
        <w:spacing w:after="240"/>
        <w:ind w:right="-93"/>
      </w:pPr>
      <w:r w:rsidRPr="000F5941">
        <w:lastRenderedPageBreak/>
        <w:t>Asimismo remitió una dirección electrónica en la cual pude ser consultada la Gaceta Municipal Periódico Oficial del Gobierno Municipal de Cuautitlán Izcalli, Estado de México, Número 16 de fecha 25 de febrero de 2025</w:t>
      </w:r>
      <w:r w:rsidRPr="000F5941">
        <w:rPr>
          <w:rStyle w:val="Refdenotaalpie"/>
        </w:rPr>
        <w:footnoteReference w:id="2"/>
      </w:r>
      <w:r w:rsidRPr="000F5941">
        <w:t>, en la que refiere que el Título Primero obligaciones y deberes de las personas servidores públicas y sus áreas de adscripción, en los artículos 252 al 277 del citado ordenamiento, se establecen las obligaciones y deberes de las personas servidores públicas adscritas al Gobierno Municipal de Cuautitlán Izcalli.</w:t>
      </w:r>
    </w:p>
    <w:p w14:paraId="75B90E83" w14:textId="77777777" w:rsidR="00686994" w:rsidRPr="000F5941" w:rsidRDefault="00686994" w:rsidP="00343A01">
      <w:r w:rsidRPr="000F5941">
        <w:t>Cabe referir que sobre las condiciones generales de trabajo no sólo se trata de información pública, sino además que corresponde a las obligaciones de transparencia, de acuerdo a lo señalado en el artículo 92, fracción XX, de la Ley de Transparencia y Acceso a la Información Pública del Estado de México y Municipios, que se transcribe a continuación:</w:t>
      </w:r>
    </w:p>
    <w:p w14:paraId="576EA3EF" w14:textId="77777777" w:rsidR="00686994" w:rsidRPr="000F5941" w:rsidRDefault="00686994" w:rsidP="00343A01">
      <w:pPr>
        <w:ind w:right="-93"/>
      </w:pPr>
    </w:p>
    <w:p w14:paraId="4A93FAD7" w14:textId="77777777" w:rsidR="00686994" w:rsidRPr="000F5941" w:rsidRDefault="00686994" w:rsidP="00343A01">
      <w:pPr>
        <w:spacing w:line="240" w:lineRule="auto"/>
        <w:ind w:left="851" w:right="822"/>
        <w:rPr>
          <w:i/>
        </w:rPr>
      </w:pPr>
      <w:r w:rsidRPr="000F5941">
        <w:rPr>
          <w:b/>
          <w:i/>
        </w:rPr>
        <w:t>“Artículo 92.</w:t>
      </w:r>
      <w:r w:rsidRPr="000F5941">
        <w:rPr>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A0ADCFA" w14:textId="77777777" w:rsidR="00686994" w:rsidRPr="000F5941" w:rsidRDefault="00686994" w:rsidP="00343A01">
      <w:pPr>
        <w:spacing w:line="240" w:lineRule="auto"/>
        <w:ind w:left="851" w:right="822"/>
        <w:rPr>
          <w:i/>
        </w:rPr>
      </w:pPr>
      <w:r w:rsidRPr="000F5941">
        <w:rPr>
          <w:b/>
          <w:i/>
        </w:rPr>
        <w:t>(…</w:t>
      </w:r>
      <w:r w:rsidRPr="000F5941">
        <w:rPr>
          <w:i/>
        </w:rPr>
        <w:t>)</w:t>
      </w:r>
    </w:p>
    <w:p w14:paraId="7DCC389C" w14:textId="77777777" w:rsidR="00686994" w:rsidRPr="000F5941" w:rsidRDefault="00686994" w:rsidP="00343A01">
      <w:pPr>
        <w:spacing w:line="240" w:lineRule="auto"/>
        <w:ind w:left="851" w:right="822"/>
        <w:rPr>
          <w:i/>
        </w:rPr>
      </w:pPr>
      <w:r w:rsidRPr="000F5941">
        <w:rPr>
          <w:i/>
        </w:rPr>
        <w:t>XX.  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1EA4B80D" w14:textId="77777777" w:rsidR="00686994" w:rsidRPr="000F5941" w:rsidRDefault="00686994" w:rsidP="00343A01">
      <w:pPr>
        <w:spacing w:after="240" w:line="240" w:lineRule="auto"/>
        <w:ind w:left="851" w:right="822"/>
        <w:rPr>
          <w:i/>
        </w:rPr>
      </w:pPr>
      <w:r w:rsidRPr="000F5941">
        <w:rPr>
          <w:i/>
        </w:rPr>
        <w:t>(…)</w:t>
      </w:r>
    </w:p>
    <w:p w14:paraId="30359C79" w14:textId="77777777" w:rsidR="00686994" w:rsidRPr="000F5941" w:rsidRDefault="00F87BAB" w:rsidP="00343A01">
      <w:pPr>
        <w:spacing w:after="240"/>
        <w:ind w:right="-93"/>
      </w:pPr>
      <w:r w:rsidRPr="000F5941">
        <w:t xml:space="preserve">Por </w:t>
      </w:r>
      <w:r w:rsidR="007F3F30" w:rsidRPr="000F5941">
        <w:t>anterior este Órgano Garante procedió a consultar</w:t>
      </w:r>
      <w:r w:rsidRPr="000F5941">
        <w:t xml:space="preserve"> el Sistema de Información Pública de Oficio Mexiquense (IPOMEX)</w:t>
      </w:r>
      <w:r w:rsidRPr="000F5941">
        <w:rPr>
          <w:rStyle w:val="Refdenotaalpie"/>
        </w:rPr>
        <w:footnoteReference w:id="3"/>
      </w:r>
      <w:r w:rsidR="007F3F30" w:rsidRPr="000F5941">
        <w:t xml:space="preserve"> </w:t>
      </w:r>
      <w:r w:rsidRPr="000F5941">
        <w:t>localizando lo siguiente:</w:t>
      </w:r>
    </w:p>
    <w:p w14:paraId="13C087F4" w14:textId="77777777" w:rsidR="00686994" w:rsidRPr="000F5941" w:rsidRDefault="00686994" w:rsidP="00343A01">
      <w:pPr>
        <w:spacing w:after="240"/>
        <w:ind w:right="-93"/>
      </w:pPr>
    </w:p>
    <w:p w14:paraId="5C2C65BE" w14:textId="77777777" w:rsidR="007F3F30" w:rsidRPr="000F5941" w:rsidRDefault="00F52F47" w:rsidP="00343A01">
      <w:pPr>
        <w:spacing w:after="240"/>
        <w:ind w:right="-93"/>
      </w:pPr>
      <w:r w:rsidRPr="000F5941">
        <w:rPr>
          <w:noProof/>
          <w:lang w:eastAsia="es-MX"/>
        </w:rPr>
        <w:lastRenderedPageBreak/>
        <mc:AlternateContent>
          <mc:Choice Requires="wps">
            <w:drawing>
              <wp:anchor distT="0" distB="0" distL="114300" distR="114300" simplePos="0" relativeHeight="251663360" behindDoc="0" locked="0" layoutInCell="1" allowOverlap="1" wp14:anchorId="5E1B634C" wp14:editId="5BBD465B">
                <wp:simplePos x="0" y="0"/>
                <wp:positionH relativeFrom="column">
                  <wp:posOffset>-458663</wp:posOffset>
                </wp:positionH>
                <wp:positionV relativeFrom="paragraph">
                  <wp:posOffset>1886226</wp:posOffset>
                </wp:positionV>
                <wp:extent cx="556591" cy="222636"/>
                <wp:effectExtent l="0" t="19050" r="34290" b="44450"/>
                <wp:wrapNone/>
                <wp:docPr id="11" name="Flecha derecha 11"/>
                <wp:cNvGraphicFramePr/>
                <a:graphic xmlns:a="http://schemas.openxmlformats.org/drawingml/2006/main">
                  <a:graphicData uri="http://schemas.microsoft.com/office/word/2010/wordprocessingShape">
                    <wps:wsp>
                      <wps:cNvSpPr/>
                      <wps:spPr>
                        <a:xfrm>
                          <a:off x="0" y="0"/>
                          <a:ext cx="556591" cy="22263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type w14:anchorId="0B28234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1" o:spid="_x0000_s1026" type="#_x0000_t13" style="position:absolute;margin-left:-36.1pt;margin-top:148.5pt;width:43.8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" adj="17280" fillcolor="red" strokecolor="red" strokeweight="1pt"/>
            </w:pict>
          </mc:Fallback>
        </mc:AlternateContent>
      </w:r>
      <w:r w:rsidRPr="000F5941">
        <w:rPr>
          <w:noProof/>
          <w:lang w:eastAsia="es-MX"/>
        </w:rPr>
        <mc:AlternateContent>
          <mc:Choice Requires="wps">
            <w:drawing>
              <wp:anchor distT="0" distB="0" distL="114300" distR="114300" simplePos="0" relativeHeight="251665408" behindDoc="0" locked="0" layoutInCell="1" allowOverlap="1" wp14:anchorId="0740F28B" wp14:editId="61A57E09">
                <wp:simplePos x="0" y="0"/>
                <wp:positionH relativeFrom="column">
                  <wp:posOffset>1291314</wp:posOffset>
                </wp:positionH>
                <wp:positionV relativeFrom="paragraph">
                  <wp:posOffset>2570728</wp:posOffset>
                </wp:positionV>
                <wp:extent cx="556591" cy="222636"/>
                <wp:effectExtent l="0" t="19050" r="34290" b="44450"/>
                <wp:wrapNone/>
                <wp:docPr id="13" name="Flecha derecha 13"/>
                <wp:cNvGraphicFramePr/>
                <a:graphic xmlns:a="http://schemas.openxmlformats.org/drawingml/2006/main">
                  <a:graphicData uri="http://schemas.microsoft.com/office/word/2010/wordprocessingShape">
                    <wps:wsp>
                      <wps:cNvSpPr/>
                      <wps:spPr>
                        <a:xfrm>
                          <a:off x="0" y="0"/>
                          <a:ext cx="556591" cy="22263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0F68BA2E" id="Flecha derecha 13" o:spid="_x0000_s1026" type="#_x0000_t13" style="position:absolute;margin-left:101.7pt;margin-top:202.4pt;width:43.8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" adj="17280" fillcolor="red" strokecolor="red" strokeweight="1pt"/>
            </w:pict>
          </mc:Fallback>
        </mc:AlternateContent>
      </w:r>
      <w:r w:rsidRPr="000F5941">
        <w:rPr>
          <w:noProof/>
          <w:lang w:eastAsia="es-MX"/>
        </w:rPr>
        <mc:AlternateContent>
          <mc:Choice Requires="wps">
            <w:drawing>
              <wp:anchor distT="0" distB="0" distL="114300" distR="114300" simplePos="0" relativeHeight="251661312" behindDoc="0" locked="0" layoutInCell="1" allowOverlap="1" wp14:anchorId="24E0FA4F" wp14:editId="65EF76C6">
                <wp:simplePos x="0" y="0"/>
                <wp:positionH relativeFrom="column">
                  <wp:posOffset>3594376</wp:posOffset>
                </wp:positionH>
                <wp:positionV relativeFrom="paragraph">
                  <wp:posOffset>1494900</wp:posOffset>
                </wp:positionV>
                <wp:extent cx="556591" cy="222636"/>
                <wp:effectExtent l="19050" t="19050" r="15240" b="44450"/>
                <wp:wrapNone/>
                <wp:docPr id="10" name="Flecha derecha 10"/>
                <wp:cNvGraphicFramePr/>
                <a:graphic xmlns:a="http://schemas.openxmlformats.org/drawingml/2006/main">
                  <a:graphicData uri="http://schemas.microsoft.com/office/word/2010/wordprocessingShape">
                    <wps:wsp>
                      <wps:cNvSpPr/>
                      <wps:spPr>
                        <a:xfrm rot="10800000">
                          <a:off x="0" y="0"/>
                          <a:ext cx="556591" cy="22263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74DEBA20" id="Flecha derecha 10" o:spid="_x0000_s1026" type="#_x0000_t13" style="position:absolute;margin-left:283pt;margin-top:117.7pt;width:43.85pt;height:17.5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" adj="17280" fillcolor="red" strokecolor="red" strokeweight="1pt"/>
            </w:pict>
          </mc:Fallback>
        </mc:AlternateContent>
      </w:r>
      <w:r w:rsidRPr="000F5941">
        <w:rPr>
          <w:noProof/>
          <w:lang w:eastAsia="es-MX"/>
        </w:rPr>
        <mc:AlternateContent>
          <mc:Choice Requires="wps">
            <w:drawing>
              <wp:anchor distT="0" distB="0" distL="114300" distR="114300" simplePos="0" relativeHeight="251659264" behindDoc="0" locked="0" layoutInCell="1" allowOverlap="1" wp14:anchorId="2EAC6E1C" wp14:editId="2808FC65">
                <wp:simplePos x="0" y="0"/>
                <wp:positionH relativeFrom="column">
                  <wp:posOffset>4032195</wp:posOffset>
                </wp:positionH>
                <wp:positionV relativeFrom="paragraph">
                  <wp:posOffset>64632</wp:posOffset>
                </wp:positionV>
                <wp:extent cx="556591" cy="222636"/>
                <wp:effectExtent l="19050" t="19050" r="15240" b="44450"/>
                <wp:wrapNone/>
                <wp:docPr id="9" name="Flecha derecha 9"/>
                <wp:cNvGraphicFramePr/>
                <a:graphic xmlns:a="http://schemas.openxmlformats.org/drawingml/2006/main">
                  <a:graphicData uri="http://schemas.microsoft.com/office/word/2010/wordprocessingShape">
                    <wps:wsp>
                      <wps:cNvSpPr/>
                      <wps:spPr>
                        <a:xfrm rot="10800000">
                          <a:off x="0" y="0"/>
                          <a:ext cx="556591" cy="22263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29FC0C07" id="Flecha derecha 9" o:spid="_x0000_s1026" type="#_x0000_t13" style="position:absolute;margin-left:317.5pt;margin-top:5.1pt;width:43.85pt;height:17.55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" adj="17280" fillcolor="red" strokecolor="red" strokeweight="1pt"/>
            </w:pict>
          </mc:Fallback>
        </mc:AlternateContent>
      </w:r>
      <w:r w:rsidRPr="000F5941">
        <w:rPr>
          <w:noProof/>
          <w:lang w:eastAsia="es-MX"/>
        </w:rPr>
        <w:drawing>
          <wp:inline distT="0" distB="0" distL="0" distR="0" wp14:anchorId="7BC76875" wp14:editId="2BFF526E">
            <wp:extent cx="5742940" cy="285115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2851150"/>
                    </a:xfrm>
                    <a:prstGeom prst="rect">
                      <a:avLst/>
                    </a:prstGeom>
                  </pic:spPr>
                </pic:pic>
              </a:graphicData>
            </a:graphic>
          </wp:inline>
        </w:drawing>
      </w:r>
    </w:p>
    <w:p w14:paraId="2E481C84" w14:textId="77777777" w:rsidR="007F3F30" w:rsidRPr="000F5941" w:rsidRDefault="00F52F47" w:rsidP="00343A01">
      <w:pPr>
        <w:spacing w:after="240"/>
        <w:ind w:right="-93"/>
      </w:pPr>
      <w:r w:rsidRPr="000F5941">
        <w:t>De cuyo hipervínculo electrónico se desprende lo siguiente:</w:t>
      </w:r>
    </w:p>
    <w:p w14:paraId="1F7ABC69" w14:textId="77777777" w:rsidR="00F52F47" w:rsidRPr="000F5941" w:rsidRDefault="00F52F47" w:rsidP="00343A01">
      <w:pPr>
        <w:spacing w:after="240"/>
        <w:ind w:right="-93"/>
        <w:jc w:val="center"/>
      </w:pPr>
      <w:r w:rsidRPr="000F5941">
        <w:rPr>
          <w:noProof/>
          <w:lang w:eastAsia="es-MX"/>
        </w:rPr>
        <mc:AlternateContent>
          <mc:Choice Requires="wps">
            <w:drawing>
              <wp:anchor distT="0" distB="0" distL="114300" distR="114300" simplePos="0" relativeHeight="251667456" behindDoc="0" locked="0" layoutInCell="1" allowOverlap="1" wp14:anchorId="7D0A1E99" wp14:editId="0844CF38">
                <wp:simplePos x="0" y="0"/>
                <wp:positionH relativeFrom="column">
                  <wp:posOffset>3935730</wp:posOffset>
                </wp:positionH>
                <wp:positionV relativeFrom="paragraph">
                  <wp:posOffset>1910715</wp:posOffset>
                </wp:positionV>
                <wp:extent cx="556591" cy="222636"/>
                <wp:effectExtent l="19050" t="19050" r="15240" b="44450"/>
                <wp:wrapNone/>
                <wp:docPr id="15" name="Flecha derecha 15"/>
                <wp:cNvGraphicFramePr/>
                <a:graphic xmlns:a="http://schemas.openxmlformats.org/drawingml/2006/main">
                  <a:graphicData uri="http://schemas.microsoft.com/office/word/2010/wordprocessingShape">
                    <wps:wsp>
                      <wps:cNvSpPr/>
                      <wps:spPr>
                        <a:xfrm rot="10800000">
                          <a:off x="0" y="0"/>
                          <a:ext cx="556591" cy="22263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cx="http://schemas.microsoft.com/office/drawing/2014/chartex">
            <w:pict>
              <v:shape w14:anchorId="236E4BB7" id="Flecha derecha 15" o:spid="_x0000_s1026" type="#_x0000_t13" style="position:absolute;margin-left:309.9pt;margin-top:150.45pt;width:43.85pt;height:17.5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" adj="17280" fillcolor="red" strokecolor="red" strokeweight="1pt"/>
            </w:pict>
          </mc:Fallback>
        </mc:AlternateContent>
      </w:r>
      <w:r w:rsidRPr="000F5941">
        <w:rPr>
          <w:noProof/>
          <w:lang w:eastAsia="es-MX"/>
        </w:rPr>
        <w:drawing>
          <wp:inline distT="0" distB="0" distL="0" distR="0" wp14:anchorId="52CE3FBB" wp14:editId="4D6FBF1A">
            <wp:extent cx="2742897" cy="3474720"/>
            <wp:effectExtent l="0" t="0" r="635"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69034" cy="3507831"/>
                    </a:xfrm>
                    <a:prstGeom prst="rect">
                      <a:avLst/>
                    </a:prstGeom>
                  </pic:spPr>
                </pic:pic>
              </a:graphicData>
            </a:graphic>
          </wp:inline>
        </w:drawing>
      </w:r>
    </w:p>
    <w:p w14:paraId="429AD46C" w14:textId="77777777" w:rsidR="00F52F47" w:rsidRPr="000F5941" w:rsidRDefault="00F52F47" w:rsidP="00343A01">
      <w:pPr>
        <w:spacing w:after="240"/>
        <w:ind w:right="-93"/>
      </w:pPr>
      <w:r w:rsidRPr="000F5941">
        <w:lastRenderedPageBreak/>
        <w:t xml:space="preserve">Es decir remite al documento proporcionado por </w:t>
      </w:r>
      <w:r w:rsidRPr="000F5941">
        <w:rPr>
          <w:b/>
        </w:rPr>
        <w:t>EL SUJETO OBLIGADO</w:t>
      </w:r>
      <w:r w:rsidRPr="000F5941">
        <w:t xml:space="preserve"> a través de la Dirección de Administración donde se aprecia las condiciones generales de trabajo del personal de Confianza, disposiciones normativas que junto a las remitidas en respuesta y ratificadas en informe justificado colmarían el derecho de acceso a la información pública de </w:t>
      </w:r>
      <w:r w:rsidRPr="000F5941">
        <w:rPr>
          <w:b/>
        </w:rPr>
        <w:t xml:space="preserve">LA PARTE RECURRENTE, </w:t>
      </w:r>
    </w:p>
    <w:p w14:paraId="48D409A0" w14:textId="77777777" w:rsidR="00F52F47" w:rsidRPr="000F5941" w:rsidRDefault="00F52F47" w:rsidP="00343A01">
      <w:pPr>
        <w:spacing w:after="240"/>
        <w:ind w:right="-93"/>
      </w:pPr>
      <w:r w:rsidRPr="000F5941">
        <w:t xml:space="preserve">Ante la respuesta y el informe justificado emitidos por </w:t>
      </w:r>
      <w:r w:rsidRPr="000F5941">
        <w:rPr>
          <w:b/>
        </w:rPr>
        <w:t>EL SUJETO OBLIGADO</w:t>
      </w:r>
      <w:r w:rsidRPr="000F5941">
        <w:t xml:space="preserve"> es conveniente recordar el procedimiento de búsqueda que deben de seguir los Sujetos Obligados para localizar la información, el cual se encuentra previsto en los artículos 160 y 162 de la Ley de Transparencia local, mismo que es el siguiente:</w:t>
      </w:r>
    </w:p>
    <w:p w14:paraId="09822987" w14:textId="77777777" w:rsidR="00F52F47" w:rsidRPr="000F5941" w:rsidRDefault="00F52F47" w:rsidP="00343A01">
      <w:pPr>
        <w:pStyle w:val="Prrafodelista"/>
        <w:numPr>
          <w:ilvl w:val="0"/>
          <w:numId w:val="12"/>
        </w:numPr>
        <w:spacing w:after="240"/>
        <w:ind w:right="-93"/>
      </w:pPr>
      <w:r w:rsidRPr="000F5941">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617FD0D2" w14:textId="77777777" w:rsidR="00F52F47" w:rsidRPr="000F5941" w:rsidRDefault="00F52F47" w:rsidP="00343A01">
      <w:pPr>
        <w:pStyle w:val="Prrafodelista"/>
        <w:numPr>
          <w:ilvl w:val="0"/>
          <w:numId w:val="12"/>
        </w:numPr>
        <w:spacing w:after="240"/>
        <w:ind w:right="-93"/>
      </w:pPr>
      <w:r w:rsidRPr="000F5941">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7F7AEBA4" w14:textId="77777777" w:rsidR="00F52F47" w:rsidRPr="000F5941" w:rsidRDefault="00F52F47" w:rsidP="00343A01">
      <w:pPr>
        <w:spacing w:after="240"/>
        <w:ind w:right="-93"/>
      </w:pPr>
      <w:r w:rsidRPr="000F5941">
        <w:t>En ese sentid</w:t>
      </w:r>
      <w:r w:rsidR="004B49AC" w:rsidRPr="000F5941">
        <w:t xml:space="preserve">o es de referir lo previsto por el Bando Municipal de Cuautitlán Izcalli el cual </w:t>
      </w:r>
      <w:r w:rsidRPr="000F5941">
        <w:t>establece lo siguiente:</w:t>
      </w:r>
    </w:p>
    <w:p w14:paraId="29AEED3D" w14:textId="77777777" w:rsidR="00F52F47" w:rsidRPr="000F5941" w:rsidRDefault="00F52F47" w:rsidP="00343A01">
      <w:pPr>
        <w:spacing w:line="240" w:lineRule="auto"/>
        <w:ind w:left="851" w:right="822"/>
        <w:rPr>
          <w:i/>
        </w:rPr>
      </w:pPr>
      <w:r w:rsidRPr="000F5941">
        <w:rPr>
          <w:b/>
          <w:i/>
        </w:rPr>
        <w:t>Artículo 28.</w:t>
      </w:r>
      <w:r w:rsidRPr="000F5941">
        <w:rPr>
          <w:i/>
        </w:rPr>
        <w:t xml:space="preserve"> Para el despacho, estudio y planeación de los diversos asuntos, la administración pública municipal, contará con las siguientes dependencias:</w:t>
      </w:r>
    </w:p>
    <w:p w14:paraId="36CFFDF9" w14:textId="77777777" w:rsidR="004B49AC" w:rsidRPr="000F5941" w:rsidRDefault="004B49AC" w:rsidP="00343A01">
      <w:pPr>
        <w:spacing w:line="240" w:lineRule="auto"/>
        <w:ind w:left="851" w:right="822"/>
        <w:rPr>
          <w:i/>
        </w:rPr>
      </w:pPr>
      <w:r w:rsidRPr="000F5941">
        <w:rPr>
          <w:i/>
        </w:rPr>
        <w:t>(…)</w:t>
      </w:r>
    </w:p>
    <w:p w14:paraId="644F17DD" w14:textId="77777777" w:rsidR="004B49AC" w:rsidRPr="000F5941" w:rsidRDefault="004B49AC" w:rsidP="00343A01">
      <w:pPr>
        <w:spacing w:after="240" w:line="240" w:lineRule="auto"/>
        <w:ind w:left="851" w:right="822"/>
        <w:rPr>
          <w:i/>
        </w:rPr>
      </w:pPr>
      <w:r w:rsidRPr="000F5941">
        <w:rPr>
          <w:i/>
        </w:rPr>
        <w:t>X. Dirección de Administración.</w:t>
      </w:r>
    </w:p>
    <w:p w14:paraId="49537464" w14:textId="77777777" w:rsidR="004B49AC" w:rsidRPr="000F5941" w:rsidRDefault="004B49AC" w:rsidP="00343A01">
      <w:pPr>
        <w:spacing w:after="240"/>
        <w:ind w:right="-93"/>
      </w:pPr>
      <w:r w:rsidRPr="000F5941">
        <w:lastRenderedPageBreak/>
        <w:t>Por su parte el Reglamento Orgánico de la Administración Pública Municipal de Cuautitlán Izcalli, Estado De México refiere lo siguiente:</w:t>
      </w:r>
    </w:p>
    <w:p w14:paraId="21A50AE1" w14:textId="77777777" w:rsidR="004B49AC" w:rsidRPr="000F5941" w:rsidRDefault="004B49AC" w:rsidP="00343A01">
      <w:pPr>
        <w:spacing w:line="240" w:lineRule="auto"/>
        <w:ind w:left="851" w:right="822"/>
        <w:rPr>
          <w:i/>
        </w:rPr>
      </w:pPr>
      <w:r w:rsidRPr="000F5941">
        <w:rPr>
          <w:b/>
          <w:i/>
        </w:rPr>
        <w:t xml:space="preserve">Artículo 8.- </w:t>
      </w:r>
      <w:r w:rsidRPr="000F5941">
        <w:rPr>
          <w:i/>
        </w:rPr>
        <w:t>La Administración Pública Municipal Centralizada estará integrada por las siguientes dependencias, subordinadas jerárquicamente a persona titular de la Presidencia Municipal:</w:t>
      </w:r>
    </w:p>
    <w:p w14:paraId="539F1874" w14:textId="77777777" w:rsidR="004B49AC" w:rsidRPr="000F5941" w:rsidRDefault="004B49AC" w:rsidP="00343A01">
      <w:pPr>
        <w:spacing w:line="240" w:lineRule="auto"/>
        <w:ind w:left="851" w:right="822"/>
        <w:rPr>
          <w:i/>
        </w:rPr>
      </w:pPr>
      <w:r w:rsidRPr="000F5941">
        <w:rPr>
          <w:i/>
        </w:rPr>
        <w:t>(…)</w:t>
      </w:r>
    </w:p>
    <w:p w14:paraId="1979F542" w14:textId="77777777" w:rsidR="004B49AC" w:rsidRPr="000F5941" w:rsidRDefault="004B49AC" w:rsidP="00343A01">
      <w:pPr>
        <w:spacing w:line="240" w:lineRule="auto"/>
        <w:ind w:left="851" w:right="822"/>
        <w:rPr>
          <w:i/>
        </w:rPr>
      </w:pPr>
      <w:r w:rsidRPr="000F5941">
        <w:rPr>
          <w:i/>
        </w:rPr>
        <w:t>XI</w:t>
      </w:r>
      <w:r w:rsidRPr="000F5941">
        <w:t xml:space="preserve"> </w:t>
      </w:r>
      <w:r w:rsidRPr="000F5941">
        <w:rPr>
          <w:i/>
        </w:rPr>
        <w:t>Dirección de Administración.</w:t>
      </w:r>
    </w:p>
    <w:p w14:paraId="76C293A7" w14:textId="77777777" w:rsidR="004B49AC" w:rsidRPr="000F5941" w:rsidRDefault="004B49AC" w:rsidP="00343A01">
      <w:pPr>
        <w:spacing w:line="240" w:lineRule="auto"/>
        <w:ind w:left="851" w:right="822"/>
        <w:rPr>
          <w:i/>
        </w:rPr>
      </w:pPr>
      <w:r w:rsidRPr="000F5941">
        <w:rPr>
          <w:i/>
        </w:rPr>
        <w:t>(…)</w:t>
      </w:r>
    </w:p>
    <w:p w14:paraId="21A77417" w14:textId="77777777" w:rsidR="00B9223E" w:rsidRPr="000F5941" w:rsidRDefault="00B9223E" w:rsidP="00343A01">
      <w:pPr>
        <w:spacing w:line="240" w:lineRule="auto"/>
        <w:ind w:left="851" w:right="822"/>
        <w:rPr>
          <w:i/>
        </w:rPr>
      </w:pPr>
    </w:p>
    <w:p w14:paraId="301D6B1A" w14:textId="77777777" w:rsidR="004B49AC" w:rsidRPr="000F5941" w:rsidRDefault="00B9223E" w:rsidP="00343A01">
      <w:pPr>
        <w:spacing w:line="240" w:lineRule="auto"/>
        <w:ind w:left="851" w:right="822"/>
        <w:rPr>
          <w:i/>
        </w:rPr>
      </w:pPr>
      <w:r w:rsidRPr="000F5941">
        <w:rPr>
          <w:b/>
          <w:i/>
        </w:rPr>
        <w:t>Artículo 199.</w:t>
      </w:r>
      <w:r w:rsidRPr="000F5941">
        <w:rPr>
          <w:i/>
        </w:rPr>
        <w:t xml:space="preserve"> La persona titular de la Dirección de Administración, además de las atribuciones establecidas en las disposiciones legales y reglamentarias aplicables, tendrá las siguientes:</w:t>
      </w:r>
    </w:p>
    <w:p w14:paraId="73A288A1" w14:textId="77777777" w:rsidR="00B9223E" w:rsidRPr="000F5941" w:rsidRDefault="00B9223E" w:rsidP="00343A01">
      <w:pPr>
        <w:spacing w:line="240" w:lineRule="auto"/>
        <w:ind w:left="851" w:right="822"/>
        <w:rPr>
          <w:i/>
        </w:rPr>
      </w:pPr>
      <w:r w:rsidRPr="000F5941">
        <w:rPr>
          <w:b/>
          <w:i/>
        </w:rPr>
        <w:t>(…</w:t>
      </w:r>
      <w:r w:rsidRPr="000F5941">
        <w:rPr>
          <w:i/>
        </w:rPr>
        <w:t>)</w:t>
      </w:r>
    </w:p>
    <w:p w14:paraId="3D606D91" w14:textId="77777777" w:rsidR="00B9223E" w:rsidRPr="000F5941" w:rsidRDefault="00B9223E" w:rsidP="00343A01">
      <w:pPr>
        <w:spacing w:line="240" w:lineRule="auto"/>
        <w:ind w:left="851" w:right="822"/>
        <w:rPr>
          <w:i/>
        </w:rPr>
      </w:pPr>
      <w:r w:rsidRPr="000F5941">
        <w:rPr>
          <w:i/>
        </w:rPr>
        <w:t xml:space="preserve">XV. Verificar que se cumplan las disposiciones en materia de trabajo, seguridad e higiene laboral, respecto de los derechos y obligaciones del personal; </w:t>
      </w:r>
    </w:p>
    <w:p w14:paraId="37582EDD" w14:textId="77777777" w:rsidR="00B9223E" w:rsidRPr="000F5941" w:rsidRDefault="00B9223E" w:rsidP="00343A01">
      <w:pPr>
        <w:spacing w:line="240" w:lineRule="auto"/>
        <w:ind w:left="851" w:right="822"/>
        <w:rPr>
          <w:i/>
        </w:rPr>
      </w:pPr>
      <w:r w:rsidRPr="000F5941">
        <w:rPr>
          <w:i/>
        </w:rPr>
        <w:t xml:space="preserve">XVI. Suscribir los contratos laborales, en términos de la Ley del Trabajo de las personas servidoras públicas del Estado y Municipios: </w:t>
      </w:r>
    </w:p>
    <w:p w14:paraId="4D0AB04C" w14:textId="77777777" w:rsidR="00B9223E" w:rsidRPr="000F5941" w:rsidRDefault="00B9223E" w:rsidP="00343A01">
      <w:pPr>
        <w:spacing w:line="240" w:lineRule="auto"/>
        <w:ind w:left="851" w:right="822"/>
        <w:rPr>
          <w:i/>
        </w:rPr>
      </w:pPr>
      <w:r w:rsidRPr="000F5941">
        <w:rPr>
          <w:i/>
        </w:rPr>
        <w:t xml:space="preserve">XVII. Promover el cumplimiento de las condiciones generales de trabajo entre el Municipio y las personas servidoras públicas en términos de las disposiciones legales y reglamentarias aplicables; </w:t>
      </w:r>
    </w:p>
    <w:p w14:paraId="2E1A2F8C" w14:textId="77777777" w:rsidR="00B9223E" w:rsidRPr="000F5941" w:rsidRDefault="00B9223E" w:rsidP="00343A01">
      <w:pPr>
        <w:spacing w:line="240" w:lineRule="auto"/>
        <w:ind w:left="851" w:right="822"/>
        <w:rPr>
          <w:i/>
        </w:rPr>
      </w:pPr>
      <w:r w:rsidRPr="000F5941">
        <w:rPr>
          <w:i/>
        </w:rPr>
        <w:t xml:space="preserve">XVIII. Acordar con la persona titular de la Presidencia Municipal la creación de plazas laborales para atender las necesidades del servicio público de acuerdo con el presupuesto y organigrama autorizado; </w:t>
      </w:r>
    </w:p>
    <w:p w14:paraId="3D9EE2D4" w14:textId="77777777" w:rsidR="00B9223E" w:rsidRPr="000F5941" w:rsidRDefault="00B9223E" w:rsidP="00343A01">
      <w:pPr>
        <w:spacing w:line="240" w:lineRule="auto"/>
        <w:ind w:left="851" w:right="822"/>
        <w:rPr>
          <w:i/>
        </w:rPr>
      </w:pPr>
      <w:r w:rsidRPr="000F5941">
        <w:rPr>
          <w:i/>
        </w:rPr>
        <w:t xml:space="preserve">XIX. Establecer y dirigir los procesos para seleccionar, contratar y capacitar al personal de la Administración Pública Municipal; </w:t>
      </w:r>
    </w:p>
    <w:p w14:paraId="1370B81C" w14:textId="77777777" w:rsidR="00B9223E" w:rsidRPr="000F5941" w:rsidRDefault="00B9223E" w:rsidP="00343A01">
      <w:pPr>
        <w:spacing w:line="240" w:lineRule="auto"/>
        <w:ind w:left="851" w:right="822"/>
        <w:rPr>
          <w:i/>
        </w:rPr>
      </w:pPr>
      <w:r w:rsidRPr="000F5941">
        <w:rPr>
          <w:i/>
        </w:rPr>
        <w:t>XX. Expedir y firmar los nombramientos de las personas servidoras públicas que no sean competencia del Ayuntamiento, en términos de la Ley del Trabajo de las personas servidoras públicas del Estado y Municipios, la Ley Orgánica y del presente Reglamento;</w:t>
      </w:r>
    </w:p>
    <w:p w14:paraId="6653BC86" w14:textId="77777777" w:rsidR="00B9223E" w:rsidRPr="000F5941" w:rsidRDefault="00B9223E" w:rsidP="00343A01">
      <w:pPr>
        <w:spacing w:after="240" w:line="240" w:lineRule="auto"/>
        <w:ind w:left="851" w:right="822"/>
        <w:rPr>
          <w:i/>
        </w:rPr>
      </w:pPr>
      <w:r w:rsidRPr="000F5941">
        <w:rPr>
          <w:i/>
        </w:rPr>
        <w:t>(…)</w:t>
      </w:r>
    </w:p>
    <w:p w14:paraId="35743CEB" w14:textId="77777777" w:rsidR="00B9223E" w:rsidRPr="000F5941" w:rsidRDefault="00B9223E" w:rsidP="00343A01">
      <w:pPr>
        <w:spacing w:after="240"/>
        <w:ind w:right="-28"/>
        <w:rPr>
          <w:rFonts w:eastAsiaTheme="minorHAnsi" w:cs="Tahoma"/>
          <w:bCs/>
          <w:iCs/>
          <w:szCs w:val="22"/>
          <w:lang w:eastAsia="en-US"/>
        </w:rPr>
      </w:pPr>
      <w:r w:rsidRPr="000F5941">
        <w:rPr>
          <w:rFonts w:eastAsiaTheme="minorHAnsi" w:cs="Tahoma"/>
          <w:bCs/>
          <w:iCs/>
          <w:szCs w:val="22"/>
          <w:lang w:eastAsia="en-US"/>
        </w:rPr>
        <w:t xml:space="preserve">Así, este Órgano Garante considera que </w:t>
      </w:r>
      <w:r w:rsidRPr="000F5941">
        <w:rPr>
          <w:rFonts w:eastAsiaTheme="minorHAnsi" w:cs="Tahoma"/>
          <w:b/>
          <w:bCs/>
          <w:iCs/>
          <w:szCs w:val="22"/>
          <w:lang w:eastAsia="en-US"/>
        </w:rPr>
        <w:t>EL SUJETO OBLIGADO</w:t>
      </w:r>
      <w:r w:rsidRPr="000F5941">
        <w:rPr>
          <w:rFonts w:eastAsiaTheme="minorHAnsi" w:cs="Tahoma"/>
          <w:bCs/>
          <w:iCs/>
          <w:szCs w:val="22"/>
          <w:lang w:eastAsia="en-US"/>
        </w:rPr>
        <w:t xml:space="preserve"> cumplió con el procedimiento de búsqueda exhaustiva y razonable, pues gestionó la solicitud de información en la unidad administrativa que de acuerdo a sus facultades cuenta con la información solicitada.</w:t>
      </w:r>
    </w:p>
    <w:p w14:paraId="4751CDDA" w14:textId="77777777" w:rsidR="00B9223E" w:rsidRPr="000F5941" w:rsidRDefault="00B9223E" w:rsidP="00343A01">
      <w:pPr>
        <w:rPr>
          <w:rFonts w:eastAsia="Palatino Linotype" w:cs="Palatino Linotype"/>
        </w:rPr>
      </w:pPr>
      <w:r w:rsidRPr="000F5941">
        <w:rPr>
          <w:rFonts w:eastAsia="Palatino Linotype" w:cs="Palatino Linotype"/>
        </w:rPr>
        <w:lastRenderedPageBreak/>
        <w:t xml:space="preserve">En consecuencia, el Pleno de este Instituto considera que la información entregada en por </w:t>
      </w:r>
      <w:r w:rsidRPr="000F5941">
        <w:rPr>
          <w:rFonts w:eastAsia="Palatino Linotype" w:cs="Palatino Linotype"/>
          <w:b/>
        </w:rPr>
        <w:t xml:space="preserve">EL SUJETO OBLIGADO </w:t>
      </w:r>
      <w:r w:rsidRPr="000F5941">
        <w:rPr>
          <w:rFonts w:eastAsia="Palatino Linotype" w:cs="Palatino Linotype"/>
        </w:rPr>
        <w:t xml:space="preserve">mediante informe justificado </w:t>
      </w:r>
      <w:r w:rsidRPr="000F5941">
        <w:rPr>
          <w:rFonts w:eastAsia="Palatino Linotype" w:cs="Palatino Linotype"/>
          <w:b/>
        </w:rPr>
        <w:t>colma la solicitud de acceso a la información pública</w:t>
      </w:r>
      <w:r w:rsidRPr="000F5941">
        <w:rPr>
          <w:rFonts w:eastAsia="Palatino Linotype" w:cs="Palatino Linotype"/>
        </w:rPr>
        <w:t xml:space="preserve">. </w:t>
      </w:r>
    </w:p>
    <w:p w14:paraId="2852ECCD" w14:textId="77777777" w:rsidR="00B9223E" w:rsidRPr="000F5941" w:rsidRDefault="00B9223E" w:rsidP="00343A01">
      <w:pPr>
        <w:widowControl w:val="0"/>
        <w:tabs>
          <w:tab w:val="left" w:pos="1701"/>
          <w:tab w:val="left" w:pos="1843"/>
        </w:tabs>
        <w:rPr>
          <w:rFonts w:eastAsia="Palatino Linotype" w:cs="Palatino Linotype"/>
        </w:rPr>
      </w:pPr>
    </w:p>
    <w:p w14:paraId="10534EB1" w14:textId="77777777" w:rsidR="00B9223E" w:rsidRPr="000F5941" w:rsidRDefault="00B9223E" w:rsidP="00343A01">
      <w:pPr>
        <w:rPr>
          <w:rFonts w:eastAsiaTheme="minorEastAsia" w:cstheme="minorBidi"/>
          <w:lang w:val="es-ES_tradnl"/>
        </w:rPr>
      </w:pPr>
      <w:r w:rsidRPr="000F5941">
        <w:rPr>
          <w:rFonts w:cs="Arial"/>
          <w:bCs/>
        </w:rPr>
        <w:t xml:space="preserve">Ahora bien, es importante precisar que, respecto a los documentos proporcionados por </w:t>
      </w:r>
      <w:r w:rsidRPr="000F5941">
        <w:rPr>
          <w:rFonts w:cs="Arial"/>
          <w:b/>
          <w:bCs/>
        </w:rPr>
        <w:t xml:space="preserve">EL SUJETO OBLIGADO </w:t>
      </w:r>
      <w:r w:rsidRPr="000F5941">
        <w:rPr>
          <w:rFonts w:cs="Arial"/>
          <w:bCs/>
        </w:rPr>
        <w:t xml:space="preserve">a fin de dar respuesta a la solicitud planteada, este Órgano Garante no </w:t>
      </w:r>
      <w:r w:rsidRPr="000F5941">
        <w:rPr>
          <w:rFonts w:eastAsiaTheme="minorEastAsia" w:cstheme="minorBidi"/>
          <w:lang w:val="es-ES_tradnl"/>
        </w:rPr>
        <w:t xml:space="preserve">está facultado para manifestarse sobre la veracidad de la información proporcionada. </w:t>
      </w:r>
    </w:p>
    <w:p w14:paraId="66FE8416" w14:textId="77777777" w:rsidR="00B9223E" w:rsidRPr="000F5941" w:rsidRDefault="00B9223E" w:rsidP="00343A01">
      <w:pPr>
        <w:rPr>
          <w:rFonts w:eastAsiaTheme="minorEastAsia" w:cstheme="minorBidi"/>
          <w:lang w:val="es-ES_tradnl"/>
        </w:rPr>
      </w:pPr>
    </w:p>
    <w:p w14:paraId="4D1E2B24" w14:textId="77777777" w:rsidR="00B9223E" w:rsidRPr="000F5941" w:rsidRDefault="00B9223E" w:rsidP="00343A01">
      <w:pPr>
        <w:rPr>
          <w:rFonts w:eastAsiaTheme="minorEastAsia" w:cs="Arial"/>
          <w:lang w:val="es-ES_tradnl"/>
        </w:rPr>
      </w:pPr>
      <w:r w:rsidRPr="000F5941">
        <w:rPr>
          <w:rFonts w:eastAsiaTheme="minorEastAsia" w:cs="Arial"/>
          <w:lang w:val="es-ES_tradnl"/>
        </w:rPr>
        <w:t xml:space="preserve">Sirve de sustento a lo anterior, el criterio 31/10 emitido por el entonces Instituto Federal de Acceso a la Información y Protección de Datos, el cual refiere: </w:t>
      </w:r>
    </w:p>
    <w:p w14:paraId="1969D42E" w14:textId="77777777" w:rsidR="00B9223E" w:rsidRPr="000F5941" w:rsidRDefault="00B9223E" w:rsidP="00343A01">
      <w:pPr>
        <w:rPr>
          <w:rFonts w:eastAsiaTheme="minorEastAsia" w:cs="Arial"/>
          <w:sz w:val="20"/>
          <w:lang w:val="es-ES_tradnl"/>
        </w:rPr>
      </w:pPr>
    </w:p>
    <w:p w14:paraId="0BFDA2DC" w14:textId="77777777" w:rsidR="00B9223E" w:rsidRPr="000F5941" w:rsidRDefault="00B9223E" w:rsidP="00343A01">
      <w:pPr>
        <w:pStyle w:val="Puesto"/>
        <w:rPr>
          <w:rFonts w:eastAsiaTheme="minorEastAsia"/>
          <w:lang w:val="es-ES_tradnl"/>
        </w:rPr>
      </w:pPr>
      <w:r w:rsidRPr="000F5941">
        <w:rPr>
          <w:rFonts w:eastAsiaTheme="minorEastAsia"/>
          <w:lang w:val="es-ES_tradnl"/>
        </w:rPr>
        <w:t>“</w:t>
      </w:r>
      <w:r w:rsidRPr="000F5941">
        <w:rPr>
          <w:rFonts w:eastAsiaTheme="minorEastAsia"/>
          <w:b/>
          <w:lang w:val="es-ES_tradnl"/>
        </w:rPr>
        <w:t>El Instituto Federal de Acceso a la Información y Protección de Datos no cuenta con facultades para pronunciarse respecto de la veracidad de los documentos proporcionados por los sujetos obligados</w:t>
      </w:r>
      <w:r w:rsidRPr="000F5941">
        <w:rPr>
          <w:rFonts w:eastAsiaTheme="minorEastAsia"/>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14:paraId="1C5D839A" w14:textId="77777777" w:rsidR="00B9223E" w:rsidRPr="000F5941" w:rsidRDefault="00B9223E" w:rsidP="00343A01"/>
    <w:p w14:paraId="4A8E6ED4" w14:textId="77777777" w:rsidR="00B9223E" w:rsidRPr="000F5941" w:rsidRDefault="00B9223E" w:rsidP="00343A01">
      <w:pPr>
        <w:rPr>
          <w:rFonts w:eastAsiaTheme="minorEastAsia" w:cs="Arial"/>
          <w:lang w:val="es-ES_tradnl"/>
        </w:rPr>
      </w:pPr>
      <w:r w:rsidRPr="000F5941">
        <w:rPr>
          <w:rFonts w:eastAsiaTheme="minorEastAsia" w:cs="Arial"/>
          <w:lang w:val="es-ES_tradnl"/>
        </w:rPr>
        <w:t>En razón de lo anteriormente expuesto, este Instituto considera que se actualiza la causal de sobreseimiento establecida en el artículo 192, fracción III de la Ley de Transparencia y Acceso a la Información Pública del Estado de México y Municipios, que establece que el sobreseimiento del recurso de revisión procede en los siguientes casos:</w:t>
      </w:r>
    </w:p>
    <w:p w14:paraId="553EAA95" w14:textId="77777777" w:rsidR="00B9223E" w:rsidRPr="000F5941" w:rsidRDefault="00B9223E" w:rsidP="00343A01">
      <w:pPr>
        <w:rPr>
          <w:rFonts w:eastAsia="Palatino Linotype" w:cs="Palatino Linotype"/>
          <w:sz w:val="24"/>
          <w:szCs w:val="24"/>
        </w:rPr>
      </w:pPr>
    </w:p>
    <w:p w14:paraId="602301B9" w14:textId="77777777" w:rsidR="00B9223E" w:rsidRPr="000F5941" w:rsidRDefault="00B9223E" w:rsidP="00343A01">
      <w:pPr>
        <w:pStyle w:val="Puesto"/>
      </w:pPr>
      <w:r w:rsidRPr="000F5941">
        <w:rPr>
          <w:rFonts w:eastAsia="Palatino Linotype"/>
        </w:rPr>
        <w:lastRenderedPageBreak/>
        <w:t>a) Cuando el sujeto obligado modifique el acto impugnado y;</w:t>
      </w:r>
    </w:p>
    <w:p w14:paraId="3A06101E" w14:textId="77777777" w:rsidR="00B9223E" w:rsidRPr="000F5941" w:rsidRDefault="00B9223E" w:rsidP="00343A01">
      <w:pPr>
        <w:pStyle w:val="Puesto"/>
      </w:pPr>
      <w:r w:rsidRPr="000F5941">
        <w:rPr>
          <w:rFonts w:eastAsia="Palatino Linotype"/>
        </w:rPr>
        <w:t>b) Cuando el sujeto obligado revoque el acto impugnado.</w:t>
      </w:r>
    </w:p>
    <w:p w14:paraId="15A516AF" w14:textId="77777777" w:rsidR="00B9223E" w:rsidRPr="000F5941" w:rsidRDefault="00B9223E" w:rsidP="00343A01">
      <w:pPr>
        <w:rPr>
          <w:rFonts w:eastAsia="Palatino Linotype" w:cs="Palatino Linotype"/>
          <w:sz w:val="24"/>
          <w:szCs w:val="24"/>
        </w:rPr>
      </w:pPr>
    </w:p>
    <w:p w14:paraId="7963EB7F" w14:textId="77777777" w:rsidR="00B9223E" w:rsidRPr="000F5941" w:rsidRDefault="00B9223E" w:rsidP="00343A01">
      <w:pPr>
        <w:rPr>
          <w:rFonts w:eastAsia="Palatino Linotype"/>
        </w:rPr>
      </w:pPr>
      <w:r w:rsidRPr="000F5941">
        <w:rPr>
          <w:rFonts w:eastAsia="Palatino Linotype"/>
        </w:rPr>
        <w:t>Quedando en ambos casos el acto combatido sin materia o sin efectos.</w:t>
      </w:r>
    </w:p>
    <w:p w14:paraId="094E629F" w14:textId="77777777" w:rsidR="00B9223E" w:rsidRPr="000F5941" w:rsidRDefault="00B9223E" w:rsidP="00343A01">
      <w:pPr>
        <w:rPr>
          <w:rFonts w:eastAsia="Palatino Linotype"/>
        </w:rPr>
      </w:pPr>
    </w:p>
    <w:p w14:paraId="1F2A2E6D" w14:textId="77777777" w:rsidR="00B9223E" w:rsidRPr="000F5941" w:rsidRDefault="00B9223E" w:rsidP="00343A01">
      <w:pPr>
        <w:rPr>
          <w:rFonts w:eastAsia="Palatino Linotype"/>
        </w:rPr>
      </w:pPr>
      <w:r w:rsidRPr="000F5941">
        <w:rPr>
          <w:rFonts w:eastAsia="Palatino Linotype"/>
        </w:rPr>
        <w:t xml:space="preserve">Como se observa de lo anterior, un acto impugnado es </w:t>
      </w:r>
      <w:r w:rsidRPr="000F5941">
        <w:rPr>
          <w:rFonts w:eastAsia="Palatino Linotype"/>
          <w:b/>
        </w:rPr>
        <w:t>modificado</w:t>
      </w:r>
      <w:r w:rsidRPr="000F5941">
        <w:rPr>
          <w:rFonts w:eastAsia="Palatino Linotype"/>
        </w:rPr>
        <w:t xml:space="preserve"> en aquellos casos en los que el sujeto obligado </w:t>
      </w:r>
      <w:r w:rsidRPr="000F5941">
        <w:rPr>
          <w:rFonts w:eastAsia="Palatino Linotype"/>
          <w:bCs/>
        </w:rPr>
        <w:t>subsana las deficiencias que hubiera tenido en primer momento</w:t>
      </w:r>
      <w:r w:rsidRPr="000F5941">
        <w:rPr>
          <w:rFonts w:eastAsia="Palatino Linotype"/>
          <w:b/>
        </w:rPr>
        <w:t>,</w:t>
      </w:r>
      <w:r w:rsidRPr="000F5941">
        <w:rPr>
          <w:rFonts w:eastAsia="Palatino Linotype"/>
        </w:rPr>
        <w:t xml:space="preserve"> quedando satisfecho el derecho subjetivo accionado por la parte recurrente. </w:t>
      </w:r>
    </w:p>
    <w:p w14:paraId="3043DC12" w14:textId="77777777" w:rsidR="00B9223E" w:rsidRPr="000F5941" w:rsidRDefault="00B9223E" w:rsidP="00343A01">
      <w:pPr>
        <w:rPr>
          <w:rFonts w:eastAsia="Palatino Linotype"/>
        </w:rPr>
      </w:pPr>
    </w:p>
    <w:p w14:paraId="365E7B87" w14:textId="77777777" w:rsidR="00B9223E" w:rsidRPr="000F5941" w:rsidRDefault="00B9223E" w:rsidP="00343A01">
      <w:pPr>
        <w:rPr>
          <w:rFonts w:eastAsia="Palatino Linotype"/>
        </w:rPr>
      </w:pPr>
      <w:r w:rsidRPr="000F5941">
        <w:rPr>
          <w:rFonts w:eastAsia="Palatino Linotype"/>
        </w:rPr>
        <w:t>Por lo que hace a la</w:t>
      </w:r>
      <w:r w:rsidRPr="000F5941">
        <w:rPr>
          <w:rFonts w:eastAsia="Palatino Linotype"/>
          <w:b/>
        </w:rPr>
        <w:t xml:space="preserve"> revocación</w:t>
      </w:r>
      <w:r w:rsidRPr="000F5941">
        <w:rPr>
          <w:rFonts w:eastAsia="Palatino Linotype"/>
        </w:rPr>
        <w:t>, esta se actualiza cuando el sujeto obligado</w:t>
      </w:r>
      <w:r w:rsidRPr="000F5941">
        <w:rPr>
          <w:rFonts w:eastAsia="Palatino Linotype"/>
          <w:b/>
        </w:rPr>
        <w:t xml:space="preserve"> </w:t>
      </w:r>
      <w:r w:rsidRPr="000F5941">
        <w:rPr>
          <w:rFonts w:eastAsia="Palatino Linotype"/>
        </w:rPr>
        <w:t>deja sin efectos su actuar y en su lugar emite otra con las características y cualidades suficientes para dejar satisfecho el ejercicio del derecho al acceso a la información pública.</w:t>
      </w:r>
    </w:p>
    <w:p w14:paraId="61B5AD7A" w14:textId="77777777" w:rsidR="00B9223E" w:rsidRPr="000F5941" w:rsidRDefault="00B9223E" w:rsidP="00343A01">
      <w:pPr>
        <w:rPr>
          <w:rFonts w:eastAsia="Palatino Linotype"/>
        </w:rPr>
      </w:pPr>
    </w:p>
    <w:p w14:paraId="11CD0D72" w14:textId="77777777" w:rsidR="00B9223E" w:rsidRPr="000F5941" w:rsidRDefault="00B9223E" w:rsidP="00343A01">
      <w:pPr>
        <w:rPr>
          <w:rFonts w:eastAsia="Palatino Linotype"/>
        </w:rPr>
      </w:pPr>
      <w:r w:rsidRPr="000F5941">
        <w:rPr>
          <w:rFonts w:eastAsia="Palatino Linotype"/>
        </w:rPr>
        <w:t>En ese tenor, un acto impugnado queda sin efectos, cuando aun existiendo jurídicamente ya no genera ninguna consecuencia legal.</w:t>
      </w:r>
    </w:p>
    <w:p w14:paraId="02898604" w14:textId="77777777" w:rsidR="00B9223E" w:rsidRPr="000F5941" w:rsidRDefault="00B9223E" w:rsidP="00343A01">
      <w:pPr>
        <w:rPr>
          <w:rFonts w:eastAsia="Palatino Linotype"/>
        </w:rPr>
      </w:pPr>
    </w:p>
    <w:p w14:paraId="70E6F262" w14:textId="77777777" w:rsidR="00B9223E" w:rsidRPr="000F5941" w:rsidRDefault="00B9223E" w:rsidP="00343A01">
      <w:pPr>
        <w:rPr>
          <w:rFonts w:eastAsia="Palatino Linotype"/>
        </w:rPr>
      </w:pPr>
      <w:r w:rsidRPr="000F5941">
        <w:rPr>
          <w:rFonts w:eastAsia="Palatino Linotype"/>
        </w:rPr>
        <w:t xml:space="preserve">En tanto, en el presente caso, toda vez que, </w:t>
      </w:r>
      <w:r w:rsidRPr="000F5941">
        <w:rPr>
          <w:rFonts w:eastAsia="Palatino Linotype"/>
          <w:b/>
        </w:rPr>
        <w:t>EL SUJETO OBLIGADO</w:t>
      </w:r>
      <w:r w:rsidRPr="000F5941">
        <w:rPr>
          <w:rFonts w:eastAsia="Palatino Linotype"/>
        </w:rPr>
        <w:t xml:space="preserve"> mediante informe justificado, a través de su unidad administrativa competente, proporcionó la información requerida por </w:t>
      </w:r>
      <w:r w:rsidRPr="000F5941">
        <w:rPr>
          <w:rFonts w:eastAsiaTheme="minorHAnsi" w:cs="Tahoma"/>
          <w:b/>
          <w:iCs/>
          <w:szCs w:val="22"/>
          <w:lang w:eastAsia="en-US"/>
        </w:rPr>
        <w:t>LA PARTE RECURRENTE</w:t>
      </w:r>
      <w:r w:rsidRPr="000F5941">
        <w:rPr>
          <w:rFonts w:eastAsia="Palatino Linotype"/>
        </w:rPr>
        <w:t xml:space="preserve">; dejó sin materia el presente recurso de revisión, actualizándose entonces la causal prevista en la fracción III del artículo 192 de la Ley de la Materia vigente en la Entidad. </w:t>
      </w:r>
    </w:p>
    <w:p w14:paraId="66ED9CE0" w14:textId="77777777" w:rsidR="00B9223E" w:rsidRPr="000F5941" w:rsidRDefault="00B9223E" w:rsidP="00343A01"/>
    <w:p w14:paraId="44A83749" w14:textId="77777777" w:rsidR="008E1FA2" w:rsidRPr="000F5941" w:rsidRDefault="001C0793" w:rsidP="00343A01">
      <w:pPr>
        <w:pStyle w:val="Ttulo3"/>
        <w:spacing w:line="360" w:lineRule="auto"/>
      </w:pPr>
      <w:bookmarkStart w:id="31" w:name="_Toc192697972"/>
      <w:bookmarkStart w:id="32" w:name="_Toc208350816"/>
      <w:r w:rsidRPr="000F5941">
        <w:t>d</w:t>
      </w:r>
      <w:r w:rsidR="008E1FA2" w:rsidRPr="000F5941">
        <w:t>) Conclusión</w:t>
      </w:r>
      <w:bookmarkEnd w:id="31"/>
      <w:bookmarkEnd w:id="32"/>
    </w:p>
    <w:p w14:paraId="045DB34E" w14:textId="77777777" w:rsidR="008E1FA2" w:rsidRPr="000F5941" w:rsidRDefault="00A91DE2" w:rsidP="00343A01">
      <w:pPr>
        <w:widowControl w:val="0"/>
        <w:tabs>
          <w:tab w:val="left" w:pos="1701"/>
          <w:tab w:val="left" w:pos="1843"/>
        </w:tabs>
        <w:spacing w:after="240"/>
      </w:pPr>
      <w:r w:rsidRPr="000F5941">
        <w:t xml:space="preserve">En razón de lo anteriormente expuesto, este Instituto estima que las razones o motivos de inconformidad </w:t>
      </w:r>
      <w:r w:rsidR="008E1FA2" w:rsidRPr="000F5941">
        <w:t>de la información desc</w:t>
      </w:r>
      <w:r w:rsidRPr="000F5941">
        <w:t xml:space="preserve">rita en el presente Considerando, resultan infundadas; por lo que en consecuencia, este Órgano Garante determina </w:t>
      </w:r>
      <w:r w:rsidRPr="000F5941">
        <w:rPr>
          <w:b/>
        </w:rPr>
        <w:t>SOBRESEER</w:t>
      </w:r>
      <w:r w:rsidRPr="000F5941">
        <w:t xml:space="preserve"> la respuesta </w:t>
      </w:r>
      <w:r w:rsidRPr="000F5941">
        <w:lastRenderedPageBreak/>
        <w:t xml:space="preserve">otorgada por </w:t>
      </w:r>
      <w:r w:rsidRPr="000F5941">
        <w:rPr>
          <w:b/>
        </w:rPr>
        <w:t>EL SUJETO OBLIGADO</w:t>
      </w:r>
      <w:r w:rsidRPr="000F5941">
        <w:t xml:space="preserve">, pues al modificar </w:t>
      </w:r>
      <w:r w:rsidRPr="000F5941">
        <w:rPr>
          <w:b/>
        </w:rPr>
        <w:t>EL SUJETO OBLIGADO</w:t>
      </w:r>
      <w:r w:rsidRPr="000F5941">
        <w:t xml:space="preserve"> la respuesta mediante la información proporcionada vía informe justificado, el Recurso de Revisión quedó sin materia</w:t>
      </w:r>
    </w:p>
    <w:p w14:paraId="19B46B44" w14:textId="1118F82B" w:rsidR="008E1FA2" w:rsidRPr="000F5941" w:rsidRDefault="008E1FA2" w:rsidP="00343A01">
      <w:pPr>
        <w:ind w:right="-93"/>
      </w:pPr>
      <w:r w:rsidRPr="000F5941">
        <w:t xml:space="preserve">Así, con fundamento en lo establecido en los artículos 5, </w:t>
      </w:r>
      <w:r w:rsidRPr="000F5941">
        <w:rPr>
          <w:szCs w:val="22"/>
        </w:rPr>
        <w:t xml:space="preserve">párrafos </w:t>
      </w:r>
      <w:r w:rsidRPr="000F5941">
        <w:rPr>
          <w:rFonts w:cs="Tahoma"/>
          <w:bCs/>
          <w:szCs w:val="22"/>
        </w:rPr>
        <w:t>trigésimo séptimo, trigésimo octavo y trigésimo noveno fracciones IV y V</w:t>
      </w:r>
      <w:r w:rsidRPr="000F5941">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5F545B8" w14:textId="77777777" w:rsidR="00343A01" w:rsidRPr="000F5941" w:rsidRDefault="00343A01" w:rsidP="00343A01">
      <w:pPr>
        <w:ind w:right="-93"/>
      </w:pPr>
    </w:p>
    <w:p w14:paraId="3983BE76" w14:textId="77777777" w:rsidR="00A91DE2" w:rsidRPr="000F5941" w:rsidRDefault="00A91DE2" w:rsidP="00343A01">
      <w:pPr>
        <w:ind w:right="-93"/>
      </w:pPr>
    </w:p>
    <w:p w14:paraId="1D5E3EBA" w14:textId="77777777" w:rsidR="00894FBA" w:rsidRPr="000F5941" w:rsidRDefault="008A5F01" w:rsidP="00343A01">
      <w:pPr>
        <w:pStyle w:val="Ttulo1"/>
        <w:spacing w:after="240"/>
      </w:pPr>
      <w:bookmarkStart w:id="33" w:name="_Toc208350817"/>
      <w:r w:rsidRPr="000F5941">
        <w:t>RESUELVE</w:t>
      </w:r>
      <w:bookmarkEnd w:id="33"/>
    </w:p>
    <w:p w14:paraId="43992902" w14:textId="77777777" w:rsidR="00A91DE2" w:rsidRPr="000F5941" w:rsidRDefault="008A5F01" w:rsidP="00343A01">
      <w:pPr>
        <w:widowControl w:val="0"/>
        <w:spacing w:after="240"/>
      </w:pPr>
      <w:r w:rsidRPr="000F5941">
        <w:rPr>
          <w:b/>
        </w:rPr>
        <w:t>PRIMERO.</w:t>
      </w:r>
      <w:r w:rsidRPr="000F5941">
        <w:t xml:space="preserve"> </w:t>
      </w:r>
      <w:r w:rsidR="00A91DE2" w:rsidRPr="000F5941">
        <w:rPr>
          <w:rFonts w:cs="Arial"/>
        </w:rPr>
        <w:t xml:space="preserve">Se </w:t>
      </w:r>
      <w:r w:rsidR="00A91DE2" w:rsidRPr="000F5941">
        <w:rPr>
          <w:rFonts w:cs="Arial"/>
          <w:b/>
        </w:rPr>
        <w:t xml:space="preserve">SOBRESEE </w:t>
      </w:r>
      <w:r w:rsidR="00A91DE2" w:rsidRPr="000F5941">
        <w:rPr>
          <w:rFonts w:cs="Arial"/>
        </w:rPr>
        <w:t xml:space="preserve">el Recurso de Revisión número </w:t>
      </w:r>
      <w:r w:rsidR="00A91DE2" w:rsidRPr="000F5941">
        <w:rPr>
          <w:rFonts w:cs="Arial"/>
          <w:b/>
        </w:rPr>
        <w:t xml:space="preserve">05457/INFOEM/IP/RR/2025 </w:t>
      </w:r>
      <w:r w:rsidR="00A91DE2" w:rsidRPr="000F5941">
        <w:rPr>
          <w:rFonts w:cs="Arial"/>
          <w:lang w:val="es-ES"/>
        </w:rPr>
        <w:t xml:space="preserve">por actualizarse la causal establecida en la fracción III del artículo 192 de la </w:t>
      </w:r>
      <w:r w:rsidR="00A91DE2" w:rsidRPr="000F5941">
        <w:rPr>
          <w:lang w:eastAsia="es-ES_tradnl"/>
        </w:rPr>
        <w:t>Ley de Transparencia y Acceso a la Información Pública del Estado de México y Municipios</w:t>
      </w:r>
      <w:r w:rsidR="00A91DE2" w:rsidRPr="000F5941">
        <w:rPr>
          <w:rFonts w:cs="Arial"/>
          <w:lang w:val="es-ES"/>
        </w:rPr>
        <w:t xml:space="preserve">, ya que al </w:t>
      </w:r>
      <w:r w:rsidR="00A91DE2" w:rsidRPr="000F5941">
        <w:rPr>
          <w:rFonts w:cs="Arial"/>
          <w:b/>
          <w:lang w:val="es-ES"/>
        </w:rPr>
        <w:t>modificar EL SUJETO OBLIGADO la respuesta, el Recurso de Revisión quedó sin materia</w:t>
      </w:r>
      <w:r w:rsidR="00A91DE2" w:rsidRPr="000F5941">
        <w:rPr>
          <w:rFonts w:cs="Arial"/>
          <w:lang w:val="es-ES"/>
        </w:rPr>
        <w:t xml:space="preserve">, en términos del Considerando </w:t>
      </w:r>
      <w:r w:rsidR="00A91DE2" w:rsidRPr="000F5941">
        <w:rPr>
          <w:rFonts w:cs="Arial"/>
          <w:b/>
          <w:lang w:val="es-ES"/>
        </w:rPr>
        <w:t>SEGUNDO</w:t>
      </w:r>
      <w:r w:rsidR="00A91DE2" w:rsidRPr="000F5941">
        <w:rPr>
          <w:rFonts w:cs="Arial"/>
          <w:lang w:val="es-ES"/>
        </w:rPr>
        <w:t xml:space="preserve"> de la presente resolución.</w:t>
      </w:r>
    </w:p>
    <w:p w14:paraId="65C6F77C" w14:textId="77777777" w:rsidR="00A91DE2" w:rsidRPr="000F5941" w:rsidRDefault="00A91DE2" w:rsidP="00343A01">
      <w:pPr>
        <w:ind w:right="-93"/>
      </w:pPr>
      <w:r w:rsidRPr="000F5941">
        <w:rPr>
          <w:rFonts w:eastAsia="Calibri" w:cs="Tahoma"/>
          <w:b/>
          <w:bCs/>
          <w:szCs w:val="22"/>
          <w:lang w:eastAsia="en-US"/>
        </w:rPr>
        <w:t>SEGUNDO.</w:t>
      </w:r>
      <w:r w:rsidRPr="000F5941">
        <w:rPr>
          <w:rFonts w:eastAsia="Calibri" w:cs="Tahoma"/>
          <w:szCs w:val="22"/>
          <w:lang w:eastAsia="es-MX"/>
        </w:rPr>
        <w:t xml:space="preserve"> </w:t>
      </w:r>
      <w:r w:rsidRPr="000F5941">
        <w:t>Notifíquese la presente resolución mediante Sistema de Acceso a la Información Mexiquense (</w:t>
      </w:r>
      <w:r w:rsidRPr="000F5941">
        <w:rPr>
          <w:b/>
        </w:rPr>
        <w:t>SAIMEX</w:t>
      </w:r>
      <w:r w:rsidRPr="000F5941">
        <w:t xml:space="preserve">), al Titular de la Unidad de Transparencia del </w:t>
      </w:r>
      <w:r w:rsidRPr="000F5941">
        <w:rPr>
          <w:b/>
          <w:bCs/>
        </w:rPr>
        <w:t>SUJETO OBLIGADO</w:t>
      </w:r>
      <w:r w:rsidRPr="000F5941">
        <w:t>, para su conocimiento.</w:t>
      </w:r>
    </w:p>
    <w:p w14:paraId="1D112E02" w14:textId="77777777" w:rsidR="00A91DE2" w:rsidRPr="000F5941" w:rsidRDefault="00A91DE2" w:rsidP="00343A01">
      <w:pPr>
        <w:ind w:right="-93"/>
      </w:pPr>
    </w:p>
    <w:p w14:paraId="371ED406" w14:textId="77777777" w:rsidR="00A91DE2" w:rsidRPr="000F5941" w:rsidRDefault="00A91DE2" w:rsidP="00343A01">
      <w:r w:rsidRPr="000F5941">
        <w:rPr>
          <w:b/>
          <w:bCs/>
        </w:rPr>
        <w:t>TERCERO.</w:t>
      </w:r>
      <w:r w:rsidRPr="000F5941">
        <w:t xml:space="preserve"> Notifíquese a </w:t>
      </w:r>
      <w:r w:rsidRPr="000F5941">
        <w:rPr>
          <w:b/>
          <w:bCs/>
        </w:rPr>
        <w:t>LA PARTE RECURRENTE</w:t>
      </w:r>
      <w:r w:rsidRPr="000F5941">
        <w:t xml:space="preserve"> la presente resolución vía Sistema de Acceso a la Información Mexiquense (</w:t>
      </w:r>
      <w:r w:rsidRPr="000F5941">
        <w:rPr>
          <w:b/>
        </w:rPr>
        <w:t>SAIMEX</w:t>
      </w:r>
      <w:r w:rsidRPr="000F5941">
        <w:t>).</w:t>
      </w:r>
    </w:p>
    <w:p w14:paraId="34B8C717" w14:textId="77777777" w:rsidR="00A91DE2" w:rsidRPr="000F5941" w:rsidRDefault="00A91DE2" w:rsidP="00343A01"/>
    <w:p w14:paraId="2FBAA030" w14:textId="77777777" w:rsidR="00A91DE2" w:rsidRPr="000F5941" w:rsidRDefault="00A91DE2" w:rsidP="00343A01">
      <w:r w:rsidRPr="000F5941">
        <w:rPr>
          <w:b/>
          <w:bCs/>
        </w:rPr>
        <w:lastRenderedPageBreak/>
        <w:t>CUARTO</w:t>
      </w:r>
      <w:r w:rsidRPr="000F5941">
        <w:t xml:space="preserve">. Hágase del conocimiento a </w:t>
      </w:r>
      <w:r w:rsidRPr="000F5941">
        <w:rPr>
          <w:b/>
          <w:bCs/>
        </w:rPr>
        <w:t>LA PARTE RECURRENTE</w:t>
      </w:r>
      <w:r w:rsidRPr="000F5941">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25A01B52" w14:textId="77777777" w:rsidR="00A91DE2" w:rsidRPr="000F5941" w:rsidRDefault="00A91DE2" w:rsidP="00343A01"/>
    <w:p w14:paraId="0A44D004" w14:textId="2D4C969D" w:rsidR="00894FBA" w:rsidRPr="000F5941" w:rsidRDefault="008A5F01" w:rsidP="00343A01">
      <w:r w:rsidRPr="000F5941">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EMITIENDO VOTO PARTICULAR Y GUADALUPE RAMÍREZ PEÑA, EN LA </w:t>
      </w:r>
      <w:r w:rsidR="00A91DE2" w:rsidRPr="000F5941">
        <w:t>TRI</w:t>
      </w:r>
      <w:r w:rsidRPr="000F5941">
        <w:t xml:space="preserve">GÉSIMA </w:t>
      </w:r>
      <w:r w:rsidR="00A91DE2" w:rsidRPr="000F5941">
        <w:t>SEGU</w:t>
      </w:r>
      <w:r w:rsidR="001A1C17" w:rsidRPr="000F5941">
        <w:t>N</w:t>
      </w:r>
      <w:r w:rsidR="00A91DE2" w:rsidRPr="000F5941">
        <w:t>D</w:t>
      </w:r>
      <w:r w:rsidR="001A1C17" w:rsidRPr="000F5941">
        <w:t xml:space="preserve">A </w:t>
      </w:r>
      <w:r w:rsidRPr="000F5941">
        <w:t xml:space="preserve">SESIÓN ORDINARIA, CELEBRADA EL </w:t>
      </w:r>
      <w:r w:rsidR="00D17B76" w:rsidRPr="000F5941">
        <w:t>DIEZ</w:t>
      </w:r>
      <w:r w:rsidRPr="000F5941">
        <w:t xml:space="preserve"> </w:t>
      </w:r>
      <w:r w:rsidR="00D17B76" w:rsidRPr="000F5941">
        <w:t>DE SEPTIEMBRE</w:t>
      </w:r>
      <w:r w:rsidRPr="000F5941">
        <w:t>DE DOS MIL VEINTICINCO, ANTE EL SECRETARIO TÉCNICO DEL PLENO, ALEXIS TAPIA RAMÍREZ.</w:t>
      </w:r>
      <w:r w:rsidR="000F5941" w:rsidRPr="000F5941">
        <w:t>---------------------------------------------------------------------------------------------------------------------------------------------------------------------------------------------------------------------------------------</w:t>
      </w:r>
    </w:p>
    <w:p w14:paraId="0CECD7EA" w14:textId="77777777" w:rsidR="00894FBA" w:rsidRPr="00343A01" w:rsidRDefault="008A5F01" w:rsidP="00343A01">
      <w:pPr>
        <w:rPr>
          <w:sz w:val="20"/>
        </w:rPr>
      </w:pPr>
      <w:r w:rsidRPr="000F5941">
        <w:rPr>
          <w:sz w:val="20"/>
        </w:rPr>
        <w:t>SCMM/AGZ/DEMF/CMP</w:t>
      </w:r>
      <w:bookmarkStart w:id="34" w:name="_GoBack"/>
      <w:bookmarkEnd w:id="34"/>
    </w:p>
    <w:p w14:paraId="7523D0CB" w14:textId="77777777" w:rsidR="00894FBA" w:rsidRPr="00343A01" w:rsidRDefault="00894FBA" w:rsidP="00343A01"/>
    <w:p w14:paraId="7A0E0310" w14:textId="77777777" w:rsidR="00894FBA" w:rsidRPr="00343A01" w:rsidRDefault="00894FBA" w:rsidP="00343A01">
      <w:pPr>
        <w:ind w:right="-93"/>
      </w:pPr>
    </w:p>
    <w:p w14:paraId="06987ED1" w14:textId="77777777" w:rsidR="00894FBA" w:rsidRPr="00343A01" w:rsidRDefault="00894FBA" w:rsidP="00343A01">
      <w:pPr>
        <w:ind w:right="-93"/>
      </w:pPr>
    </w:p>
    <w:p w14:paraId="2345D119" w14:textId="77777777" w:rsidR="00894FBA" w:rsidRPr="00343A01" w:rsidRDefault="00894FBA" w:rsidP="00343A01">
      <w:pPr>
        <w:ind w:right="-93"/>
      </w:pPr>
    </w:p>
    <w:p w14:paraId="48737643" w14:textId="77777777" w:rsidR="00894FBA" w:rsidRPr="00343A01" w:rsidRDefault="00894FBA" w:rsidP="00343A01">
      <w:pPr>
        <w:ind w:right="-93"/>
      </w:pPr>
    </w:p>
    <w:p w14:paraId="108CBB70" w14:textId="77777777" w:rsidR="00894FBA" w:rsidRPr="00343A01" w:rsidRDefault="00894FBA" w:rsidP="00343A01">
      <w:pPr>
        <w:ind w:right="-93"/>
      </w:pPr>
    </w:p>
    <w:p w14:paraId="01FF7C07" w14:textId="77777777" w:rsidR="00894FBA" w:rsidRPr="00343A01" w:rsidRDefault="00894FBA" w:rsidP="00343A01">
      <w:pPr>
        <w:ind w:right="-93"/>
      </w:pPr>
    </w:p>
    <w:p w14:paraId="4145BED5" w14:textId="77777777" w:rsidR="00894FBA" w:rsidRPr="00343A01" w:rsidRDefault="00894FBA" w:rsidP="00343A01">
      <w:pPr>
        <w:ind w:right="-93"/>
      </w:pPr>
    </w:p>
    <w:p w14:paraId="2BB6C441" w14:textId="77777777" w:rsidR="00894FBA" w:rsidRPr="00343A01" w:rsidRDefault="00894FBA" w:rsidP="00343A01">
      <w:pPr>
        <w:ind w:right="-93"/>
      </w:pPr>
    </w:p>
    <w:p w14:paraId="1D93B80C" w14:textId="77777777" w:rsidR="00894FBA" w:rsidRPr="00343A01" w:rsidRDefault="00894FBA" w:rsidP="00343A01">
      <w:pPr>
        <w:tabs>
          <w:tab w:val="center" w:pos="4568"/>
        </w:tabs>
        <w:ind w:right="-93"/>
      </w:pPr>
    </w:p>
    <w:p w14:paraId="4708744F" w14:textId="77777777" w:rsidR="00894FBA" w:rsidRPr="00343A01" w:rsidRDefault="00894FBA" w:rsidP="00343A01">
      <w:pPr>
        <w:tabs>
          <w:tab w:val="center" w:pos="4568"/>
        </w:tabs>
        <w:ind w:right="-93"/>
      </w:pPr>
    </w:p>
    <w:p w14:paraId="2A62CD46" w14:textId="77777777" w:rsidR="00894FBA" w:rsidRPr="00343A01" w:rsidRDefault="00894FBA" w:rsidP="00343A01">
      <w:pPr>
        <w:tabs>
          <w:tab w:val="center" w:pos="4568"/>
        </w:tabs>
        <w:ind w:right="-93"/>
      </w:pPr>
    </w:p>
    <w:p w14:paraId="2B69B05A" w14:textId="77777777" w:rsidR="00894FBA" w:rsidRPr="00343A01" w:rsidRDefault="00894FBA" w:rsidP="00343A01">
      <w:pPr>
        <w:tabs>
          <w:tab w:val="center" w:pos="4568"/>
        </w:tabs>
        <w:ind w:right="-93"/>
      </w:pPr>
    </w:p>
    <w:p w14:paraId="109F2FD6" w14:textId="77777777" w:rsidR="00894FBA" w:rsidRPr="00343A01" w:rsidRDefault="00894FBA" w:rsidP="00343A01">
      <w:pPr>
        <w:tabs>
          <w:tab w:val="center" w:pos="4568"/>
        </w:tabs>
        <w:ind w:right="-93"/>
      </w:pPr>
    </w:p>
    <w:p w14:paraId="45FACEA1" w14:textId="77777777" w:rsidR="00894FBA" w:rsidRPr="00343A01" w:rsidRDefault="00894FBA" w:rsidP="00343A01">
      <w:pPr>
        <w:tabs>
          <w:tab w:val="center" w:pos="4568"/>
        </w:tabs>
        <w:ind w:right="-93"/>
      </w:pPr>
    </w:p>
    <w:p w14:paraId="41D5BE92" w14:textId="77777777" w:rsidR="00894FBA" w:rsidRPr="00343A01" w:rsidRDefault="00894FBA" w:rsidP="00343A01">
      <w:pPr>
        <w:tabs>
          <w:tab w:val="center" w:pos="4568"/>
        </w:tabs>
        <w:ind w:right="-93"/>
      </w:pPr>
    </w:p>
    <w:p w14:paraId="3FFCB6D7" w14:textId="77777777" w:rsidR="00894FBA" w:rsidRPr="00343A01" w:rsidRDefault="00894FBA" w:rsidP="00343A01">
      <w:pPr>
        <w:tabs>
          <w:tab w:val="center" w:pos="4568"/>
        </w:tabs>
        <w:ind w:right="-93"/>
      </w:pPr>
    </w:p>
    <w:p w14:paraId="5CFF1ABD" w14:textId="77777777" w:rsidR="00894FBA" w:rsidRPr="00343A01" w:rsidRDefault="00894FBA" w:rsidP="00343A01">
      <w:pPr>
        <w:tabs>
          <w:tab w:val="center" w:pos="4568"/>
        </w:tabs>
        <w:ind w:right="-93"/>
      </w:pPr>
    </w:p>
    <w:p w14:paraId="41B1AD2F" w14:textId="77777777" w:rsidR="00894FBA" w:rsidRPr="00343A01" w:rsidRDefault="00894FBA" w:rsidP="00343A01">
      <w:pPr>
        <w:tabs>
          <w:tab w:val="center" w:pos="4568"/>
        </w:tabs>
        <w:ind w:right="-93"/>
      </w:pPr>
    </w:p>
    <w:p w14:paraId="584DCCD3" w14:textId="77777777" w:rsidR="00894FBA" w:rsidRPr="00343A01" w:rsidRDefault="00894FBA" w:rsidP="00343A01">
      <w:pPr>
        <w:tabs>
          <w:tab w:val="center" w:pos="4568"/>
        </w:tabs>
        <w:ind w:right="-93"/>
      </w:pPr>
    </w:p>
    <w:p w14:paraId="3BB791F2" w14:textId="77777777" w:rsidR="00894FBA" w:rsidRPr="00343A01" w:rsidRDefault="00894FBA" w:rsidP="00343A01">
      <w:pPr>
        <w:tabs>
          <w:tab w:val="center" w:pos="4568"/>
        </w:tabs>
        <w:ind w:right="-93"/>
      </w:pPr>
    </w:p>
    <w:p w14:paraId="0C66BBD9" w14:textId="77777777" w:rsidR="00894FBA" w:rsidRPr="00343A01" w:rsidRDefault="00894FBA" w:rsidP="00343A01">
      <w:pPr>
        <w:tabs>
          <w:tab w:val="center" w:pos="4568"/>
        </w:tabs>
        <w:ind w:right="-93"/>
      </w:pPr>
    </w:p>
    <w:p w14:paraId="5C411985" w14:textId="77777777" w:rsidR="00894FBA" w:rsidRPr="00343A01" w:rsidRDefault="00894FBA" w:rsidP="00343A01">
      <w:pPr>
        <w:tabs>
          <w:tab w:val="center" w:pos="4568"/>
        </w:tabs>
        <w:ind w:right="-93"/>
      </w:pPr>
    </w:p>
    <w:p w14:paraId="487CEB2B" w14:textId="77777777" w:rsidR="00894FBA" w:rsidRPr="00343A01" w:rsidRDefault="00894FBA" w:rsidP="00343A01">
      <w:pPr>
        <w:tabs>
          <w:tab w:val="center" w:pos="4568"/>
        </w:tabs>
        <w:ind w:right="-93"/>
      </w:pPr>
    </w:p>
    <w:p w14:paraId="7B56A104" w14:textId="77777777" w:rsidR="00894FBA" w:rsidRPr="00343A01" w:rsidRDefault="00894FBA" w:rsidP="00343A01">
      <w:pPr>
        <w:tabs>
          <w:tab w:val="center" w:pos="4568"/>
        </w:tabs>
        <w:ind w:right="-93"/>
      </w:pPr>
    </w:p>
    <w:p w14:paraId="456C12D6" w14:textId="77777777" w:rsidR="00894FBA" w:rsidRPr="00343A01" w:rsidRDefault="00894FBA" w:rsidP="00343A01"/>
    <w:sectPr w:rsidR="00894FBA" w:rsidRPr="00343A01">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6253A" w14:textId="77777777" w:rsidR="00FB2B08" w:rsidRDefault="00FB2B08">
      <w:pPr>
        <w:spacing w:line="240" w:lineRule="auto"/>
      </w:pPr>
      <w:r>
        <w:separator/>
      </w:r>
    </w:p>
  </w:endnote>
  <w:endnote w:type="continuationSeparator" w:id="0">
    <w:p w14:paraId="5C9A9C92" w14:textId="77777777" w:rsidR="00FB2B08" w:rsidRDefault="00FB2B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D44E4" w14:textId="77777777" w:rsidR="0022210C" w:rsidRDefault="0022210C">
    <w:pPr>
      <w:tabs>
        <w:tab w:val="center" w:pos="4550"/>
        <w:tab w:val="left" w:pos="5818"/>
      </w:tabs>
      <w:ind w:right="260"/>
      <w:jc w:val="right"/>
      <w:rPr>
        <w:color w:val="071320"/>
        <w:sz w:val="24"/>
        <w:szCs w:val="24"/>
      </w:rPr>
    </w:pPr>
  </w:p>
  <w:p w14:paraId="2D68C901" w14:textId="77777777" w:rsidR="0022210C" w:rsidRDefault="0022210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A91F" w14:textId="62F9BC76" w:rsidR="0022210C" w:rsidRDefault="0022210C">
    <w:pPr>
      <w:tabs>
        <w:tab w:val="center" w:pos="4550"/>
        <w:tab w:val="left" w:pos="5818"/>
      </w:tabs>
      <w:ind w:right="260"/>
      <w:jc w:val="right"/>
      <w:rPr>
        <w:sz w:val="24"/>
        <w:szCs w:val="24"/>
      </w:rPr>
    </w:pPr>
    <w:r>
      <w:rPr>
        <w:sz w:val="24"/>
        <w:szCs w:val="24"/>
      </w:rPr>
      <w:t xml:space="preserve">Página </w:t>
    </w:r>
    <w:r>
      <w:rPr>
        <w:sz w:val="24"/>
        <w:szCs w:val="24"/>
      </w:rPr>
      <w:fldChar w:fldCharType="begin"/>
    </w:r>
    <w:r>
      <w:rPr>
        <w:sz w:val="24"/>
        <w:szCs w:val="24"/>
      </w:rPr>
      <w:instrText>PAGE</w:instrText>
    </w:r>
    <w:r>
      <w:rPr>
        <w:sz w:val="24"/>
        <w:szCs w:val="24"/>
      </w:rPr>
      <w:fldChar w:fldCharType="separate"/>
    </w:r>
    <w:r w:rsidR="000F5941">
      <w:rPr>
        <w:noProof/>
        <w:sz w:val="24"/>
        <w:szCs w:val="24"/>
      </w:rPr>
      <w:t>24</w:t>
    </w:r>
    <w:r>
      <w:rPr>
        <w:sz w:val="24"/>
        <w:szCs w:val="24"/>
      </w:rPr>
      <w:fldChar w:fldCharType="end"/>
    </w:r>
    <w:r>
      <w:rPr>
        <w:sz w:val="24"/>
        <w:szCs w:val="24"/>
      </w:rPr>
      <w:t xml:space="preserve"> | </w:t>
    </w:r>
    <w:r>
      <w:rPr>
        <w:sz w:val="24"/>
        <w:szCs w:val="24"/>
      </w:rPr>
      <w:fldChar w:fldCharType="begin"/>
    </w:r>
    <w:r>
      <w:rPr>
        <w:sz w:val="24"/>
        <w:szCs w:val="24"/>
      </w:rPr>
      <w:instrText>NUMPAGES</w:instrText>
    </w:r>
    <w:r>
      <w:rPr>
        <w:sz w:val="24"/>
        <w:szCs w:val="24"/>
      </w:rPr>
      <w:fldChar w:fldCharType="separate"/>
    </w:r>
    <w:r w:rsidR="000F5941">
      <w:rPr>
        <w:noProof/>
        <w:sz w:val="24"/>
        <w:szCs w:val="24"/>
      </w:rPr>
      <w:t>27</w:t>
    </w:r>
    <w:r>
      <w:rPr>
        <w:sz w:val="24"/>
        <w:szCs w:val="24"/>
      </w:rPr>
      <w:fldChar w:fldCharType="end"/>
    </w:r>
  </w:p>
  <w:p w14:paraId="5929CF32" w14:textId="77777777" w:rsidR="0022210C" w:rsidRDefault="0022210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01BD5" w14:textId="77777777" w:rsidR="00FB2B08" w:rsidRDefault="00FB2B08">
      <w:pPr>
        <w:spacing w:line="240" w:lineRule="auto"/>
      </w:pPr>
      <w:r>
        <w:separator/>
      </w:r>
    </w:p>
  </w:footnote>
  <w:footnote w:type="continuationSeparator" w:id="0">
    <w:p w14:paraId="08539FC8" w14:textId="77777777" w:rsidR="00FB2B08" w:rsidRDefault="00FB2B08">
      <w:pPr>
        <w:spacing w:line="240" w:lineRule="auto"/>
      </w:pPr>
      <w:r>
        <w:continuationSeparator/>
      </w:r>
    </w:p>
  </w:footnote>
  <w:footnote w:id="1">
    <w:p w14:paraId="002403B2" w14:textId="77777777" w:rsidR="0022210C" w:rsidRPr="007950B5" w:rsidRDefault="0022210C" w:rsidP="002F4D49">
      <w:pPr>
        <w:pStyle w:val="Textonotapie"/>
        <w:jc w:val="both"/>
        <w:rPr>
          <w:rFonts w:ascii="Palatino Linotype" w:hAnsi="Palatino Linotype"/>
          <w:i/>
          <w:sz w:val="18"/>
        </w:rPr>
      </w:pPr>
      <w:r>
        <w:rPr>
          <w:rStyle w:val="Refdenotaalpie"/>
        </w:rPr>
        <w:footnoteRef/>
      </w:r>
      <w:r>
        <w:t xml:space="preserve"> </w:t>
      </w:r>
      <w:r w:rsidRPr="007950B5">
        <w:rPr>
          <w:rFonts w:ascii="Palatino Linotype" w:hAnsi="Palatino Linotype"/>
          <w:i/>
          <w:sz w:val="18"/>
        </w:rPr>
        <w:t>Si bien, se registró el trece del mismo mes y año, a través de dicho portal, también lo es, que fue inhábil, de conformidad con el Calendario Oficial en Materia de Transparencia, Acceso a la Información Pública y Protección de Datos Personales del Estado de México y Municipios, así como de labores del Instituto, por lo que, se tuvo por recibido, el día hábil subsecuente.</w:t>
      </w:r>
    </w:p>
  </w:footnote>
  <w:footnote w:id="2">
    <w:p w14:paraId="00AE73FF" w14:textId="77777777" w:rsidR="0022210C" w:rsidRDefault="0022210C">
      <w:pPr>
        <w:pStyle w:val="Textonotapie"/>
      </w:pPr>
      <w:r>
        <w:rPr>
          <w:rStyle w:val="Refdenotaalpie"/>
        </w:rPr>
        <w:footnoteRef/>
      </w:r>
      <w:r>
        <w:t xml:space="preserve"> </w:t>
      </w:r>
      <w:r w:rsidRPr="0022210C">
        <w:t>https://cuautitlanizcalli.gob.mx/wp-content/uploads/2025/02/GACETA-016.pdf</w:t>
      </w:r>
      <w:r w:rsidRPr="0022210C">
        <w:cr/>
      </w:r>
    </w:p>
  </w:footnote>
  <w:footnote w:id="3">
    <w:p w14:paraId="3FA4B72F" w14:textId="77777777" w:rsidR="00F87BAB" w:rsidRDefault="00F87BAB">
      <w:pPr>
        <w:pStyle w:val="Textonotapie"/>
      </w:pPr>
      <w:r>
        <w:rPr>
          <w:rStyle w:val="Refdenotaalpie"/>
        </w:rPr>
        <w:footnoteRef/>
      </w:r>
      <w:r>
        <w:t xml:space="preserve"> </w:t>
      </w:r>
      <w:r w:rsidRPr="00F87BAB">
        <w:t>https://ipomex.org.mx/ipomex/#/info-fraccion/26/121/15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16095" w14:textId="77777777" w:rsidR="0022210C" w:rsidRDefault="0022210C">
    <w:pPr>
      <w:widowControl w:val="0"/>
      <w:pBdr>
        <w:top w:val="nil"/>
        <w:left w:val="nil"/>
        <w:bottom w:val="nil"/>
        <w:right w:val="nil"/>
        <w:between w:val="nil"/>
      </w:pBdr>
      <w:spacing w:line="276" w:lineRule="auto"/>
      <w:jc w:val="left"/>
      <w:rPr>
        <w:rFonts w:ascii="Aptos" w:eastAsia="Aptos" w:hAnsi="Aptos" w:cs="Aptos"/>
        <w:i/>
        <w:color w:val="000000"/>
        <w:sz w:val="20"/>
      </w:rPr>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22210C" w14:paraId="358D8FD8" w14:textId="77777777">
      <w:trPr>
        <w:trHeight w:val="144"/>
        <w:jc w:val="right"/>
      </w:trPr>
      <w:tc>
        <w:tcPr>
          <w:tcW w:w="2727" w:type="dxa"/>
        </w:tcPr>
        <w:p w14:paraId="7CC31562" w14:textId="77777777" w:rsidR="0022210C" w:rsidRDefault="0022210C">
          <w:pPr>
            <w:tabs>
              <w:tab w:val="right" w:pos="8838"/>
            </w:tabs>
            <w:ind w:left="-74" w:right="-105"/>
            <w:rPr>
              <w:b/>
            </w:rPr>
          </w:pPr>
          <w:r>
            <w:rPr>
              <w:b/>
            </w:rPr>
            <w:t>Recurso de Revisión:</w:t>
          </w:r>
        </w:p>
      </w:tc>
      <w:tc>
        <w:tcPr>
          <w:tcW w:w="3402" w:type="dxa"/>
        </w:tcPr>
        <w:p w14:paraId="631847F6" w14:textId="77777777" w:rsidR="0022210C" w:rsidRDefault="0022210C">
          <w:pPr>
            <w:tabs>
              <w:tab w:val="right" w:pos="8838"/>
            </w:tabs>
            <w:ind w:left="-74" w:right="-105"/>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6F759789" wp14:editId="0D4345FA">
                <wp:simplePos x="0" y="0"/>
                <wp:positionH relativeFrom="margin">
                  <wp:posOffset>-4907864</wp:posOffset>
                </wp:positionH>
                <wp:positionV relativeFrom="page">
                  <wp:posOffset>-617855</wp:posOffset>
                </wp:positionV>
                <wp:extent cx="8426450" cy="10972800"/>
                <wp:effectExtent l="0" t="0" r="0" b="0"/>
                <wp:wrapNone/>
                <wp:docPr id="188831448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r>
            <w:t>05457</w:t>
          </w:r>
          <w:r w:rsidRPr="000731BC">
            <w:t>/INFOEM/IP/RR/2025</w:t>
          </w:r>
        </w:p>
      </w:tc>
    </w:tr>
    <w:tr w:rsidR="0022210C" w14:paraId="159A338B" w14:textId="77777777">
      <w:trPr>
        <w:trHeight w:val="283"/>
        <w:jc w:val="right"/>
      </w:trPr>
      <w:tc>
        <w:tcPr>
          <w:tcW w:w="2727" w:type="dxa"/>
        </w:tcPr>
        <w:p w14:paraId="12D42564" w14:textId="77777777" w:rsidR="0022210C" w:rsidRDefault="0022210C">
          <w:pPr>
            <w:tabs>
              <w:tab w:val="right" w:pos="8838"/>
            </w:tabs>
            <w:ind w:left="-74" w:right="-105"/>
            <w:rPr>
              <w:b/>
            </w:rPr>
          </w:pPr>
          <w:r>
            <w:rPr>
              <w:b/>
            </w:rPr>
            <w:t>Sujeto Obligado:</w:t>
          </w:r>
        </w:p>
      </w:tc>
      <w:tc>
        <w:tcPr>
          <w:tcW w:w="3402" w:type="dxa"/>
        </w:tcPr>
        <w:p w14:paraId="6FAB3196" w14:textId="77777777" w:rsidR="0022210C" w:rsidRDefault="0022210C">
          <w:pPr>
            <w:tabs>
              <w:tab w:val="left" w:pos="2834"/>
              <w:tab w:val="right" w:pos="8838"/>
            </w:tabs>
            <w:ind w:left="-108" w:right="-105"/>
          </w:pPr>
          <w:r w:rsidRPr="008B4468">
            <w:t>Ayuntamiento de Cuautitlán Izcalli</w:t>
          </w:r>
        </w:p>
      </w:tc>
    </w:tr>
    <w:tr w:rsidR="0022210C" w14:paraId="1F463F51" w14:textId="77777777">
      <w:trPr>
        <w:trHeight w:val="283"/>
        <w:jc w:val="right"/>
      </w:trPr>
      <w:tc>
        <w:tcPr>
          <w:tcW w:w="2727" w:type="dxa"/>
        </w:tcPr>
        <w:p w14:paraId="57B80C46" w14:textId="77777777" w:rsidR="0022210C" w:rsidRDefault="0022210C">
          <w:pPr>
            <w:tabs>
              <w:tab w:val="right" w:pos="8838"/>
            </w:tabs>
            <w:ind w:left="-74" w:right="-105"/>
            <w:rPr>
              <w:b/>
            </w:rPr>
          </w:pPr>
          <w:r>
            <w:rPr>
              <w:b/>
            </w:rPr>
            <w:t>Comisionada Ponente:</w:t>
          </w:r>
        </w:p>
      </w:tc>
      <w:tc>
        <w:tcPr>
          <w:tcW w:w="3402" w:type="dxa"/>
        </w:tcPr>
        <w:p w14:paraId="4ABBBCC9" w14:textId="77777777" w:rsidR="0022210C" w:rsidRDefault="0022210C">
          <w:pPr>
            <w:tabs>
              <w:tab w:val="right" w:pos="8838"/>
            </w:tabs>
            <w:ind w:left="-108" w:right="-105"/>
          </w:pPr>
          <w:r>
            <w:t>Sharon Cristina Morales Martínez</w:t>
          </w:r>
        </w:p>
      </w:tc>
    </w:tr>
  </w:tbl>
  <w:p w14:paraId="64F7C729" w14:textId="77777777" w:rsidR="0022210C" w:rsidRDefault="0022210C">
    <w:pPr>
      <w:pBdr>
        <w:top w:val="nil"/>
        <w:left w:val="nil"/>
        <w:bottom w:val="nil"/>
        <w:right w:val="nil"/>
        <w:between w:val="nil"/>
      </w:pBdr>
      <w:tabs>
        <w:tab w:val="center" w:pos="4419"/>
        <w:tab w:val="right" w:pos="8838"/>
        <w:tab w:val="center" w:pos="4522"/>
        <w:tab w:val="left" w:pos="6203"/>
      </w:tabs>
      <w:rPr>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1D62B" w14:textId="77777777" w:rsidR="0022210C" w:rsidRDefault="00FB2B08">
    <w:pPr>
      <w:widowControl w:val="0"/>
      <w:pBdr>
        <w:top w:val="nil"/>
        <w:left w:val="nil"/>
        <w:bottom w:val="nil"/>
        <w:right w:val="nil"/>
        <w:between w:val="nil"/>
      </w:pBdr>
      <w:spacing w:line="276" w:lineRule="auto"/>
      <w:jc w:val="left"/>
      <w:rPr>
        <w:color w:val="000000"/>
        <w:sz w:val="14"/>
        <w:szCs w:val="14"/>
      </w:rPr>
    </w:pPr>
    <w:r>
      <w:rPr>
        <w:color w:val="000000"/>
        <w:sz w:val="36"/>
        <w:szCs w:val="36"/>
      </w:rPr>
      <w:pict w14:anchorId="68E04E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9.15pt;margin-top:-128.6pt;width:663.5pt;height:12in;z-index:-251658240;mso-position-horizontal:absolute;mso-position-horizontal-relative:margin;mso-position-vertical:absolute;mso-position-vertical-relative:margin">
          <v:imagedata r:id="rId1" o:title="image1"/>
          <w10:wrap anchorx="margin" anchory="margin"/>
        </v:shape>
      </w:pict>
    </w:r>
  </w:p>
  <w:tbl>
    <w:tblPr>
      <w:tblStyle w:val="a3"/>
      <w:tblW w:w="6660" w:type="dxa"/>
      <w:tblInd w:w="2552" w:type="dxa"/>
      <w:tblLayout w:type="fixed"/>
      <w:tblLook w:val="0400" w:firstRow="0" w:lastRow="0" w:firstColumn="0" w:lastColumn="0" w:noHBand="0" w:noVBand="1"/>
    </w:tblPr>
    <w:tblGrid>
      <w:gridCol w:w="283"/>
      <w:gridCol w:w="6377"/>
    </w:tblGrid>
    <w:tr w:rsidR="0022210C" w14:paraId="007D4B5D" w14:textId="77777777">
      <w:trPr>
        <w:trHeight w:val="1435"/>
      </w:trPr>
      <w:tc>
        <w:tcPr>
          <w:tcW w:w="283" w:type="dxa"/>
        </w:tcPr>
        <w:p w14:paraId="7FB22508" w14:textId="77777777" w:rsidR="0022210C" w:rsidRDefault="0022210C">
          <w:pPr>
            <w:tabs>
              <w:tab w:val="right" w:pos="4273"/>
            </w:tabs>
            <w:rPr>
              <w:rFonts w:ascii="Garamond" w:eastAsia="Garamond" w:hAnsi="Garamond" w:cs="Garamond"/>
            </w:rPr>
          </w:pPr>
        </w:p>
      </w:tc>
      <w:tc>
        <w:tcPr>
          <w:tcW w:w="6378" w:type="dxa"/>
        </w:tcPr>
        <w:p w14:paraId="704395F2" w14:textId="77777777" w:rsidR="0022210C" w:rsidRDefault="0022210C">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gridCol w:w="3402"/>
          </w:tblGrid>
          <w:tr w:rsidR="0022210C" w14:paraId="4037770F" w14:textId="77777777">
            <w:trPr>
              <w:trHeight w:val="144"/>
            </w:trPr>
            <w:tc>
              <w:tcPr>
                <w:tcW w:w="2727" w:type="dxa"/>
              </w:tcPr>
              <w:p w14:paraId="6BDC506F" w14:textId="77777777" w:rsidR="0022210C" w:rsidRDefault="0022210C">
                <w:pPr>
                  <w:tabs>
                    <w:tab w:val="right" w:pos="8838"/>
                  </w:tabs>
                  <w:ind w:left="-74" w:right="-105"/>
                  <w:rPr>
                    <w:b/>
                  </w:rPr>
                </w:pPr>
                <w:bookmarkStart w:id="0" w:name="_heading=h.1pxezwc" w:colFirst="0" w:colLast="0"/>
                <w:bookmarkEnd w:id="0"/>
                <w:r>
                  <w:rPr>
                    <w:b/>
                  </w:rPr>
                  <w:t>Recurso de Revisión:</w:t>
                </w:r>
              </w:p>
            </w:tc>
            <w:tc>
              <w:tcPr>
                <w:tcW w:w="3402" w:type="dxa"/>
              </w:tcPr>
              <w:p w14:paraId="7E06A556" w14:textId="77777777" w:rsidR="0022210C" w:rsidRDefault="0022210C" w:rsidP="008B4468">
                <w:pPr>
                  <w:tabs>
                    <w:tab w:val="right" w:pos="8838"/>
                  </w:tabs>
                  <w:ind w:left="-74" w:right="-105"/>
                </w:pPr>
                <w:r w:rsidRPr="00975163">
                  <w:t>05457/INFOEM/IP/RR/2025</w:t>
                </w:r>
              </w:p>
            </w:tc>
            <w:tc>
              <w:tcPr>
                <w:tcW w:w="3402" w:type="dxa"/>
              </w:tcPr>
              <w:p w14:paraId="6001CD8D" w14:textId="77777777" w:rsidR="0022210C" w:rsidRDefault="0022210C">
                <w:pPr>
                  <w:tabs>
                    <w:tab w:val="right" w:pos="8838"/>
                  </w:tabs>
                  <w:ind w:left="-74" w:right="-105"/>
                </w:pPr>
              </w:p>
            </w:tc>
          </w:tr>
          <w:tr w:rsidR="0022210C" w14:paraId="706E2684" w14:textId="77777777">
            <w:trPr>
              <w:trHeight w:val="144"/>
            </w:trPr>
            <w:tc>
              <w:tcPr>
                <w:tcW w:w="2727" w:type="dxa"/>
              </w:tcPr>
              <w:p w14:paraId="2ADF5650" w14:textId="77777777" w:rsidR="0022210C" w:rsidRDefault="0022210C">
                <w:pPr>
                  <w:tabs>
                    <w:tab w:val="right" w:pos="8838"/>
                  </w:tabs>
                  <w:ind w:left="-74" w:right="-105"/>
                  <w:rPr>
                    <w:b/>
                  </w:rPr>
                </w:pPr>
                <w:bookmarkStart w:id="1" w:name="_heading=h.49x2ik5" w:colFirst="0" w:colLast="0"/>
                <w:bookmarkEnd w:id="1"/>
                <w:r>
                  <w:rPr>
                    <w:b/>
                  </w:rPr>
                  <w:t>Recurrente:</w:t>
                </w:r>
              </w:p>
            </w:tc>
            <w:tc>
              <w:tcPr>
                <w:tcW w:w="3402" w:type="dxa"/>
              </w:tcPr>
              <w:p w14:paraId="54FF0910" w14:textId="77777777" w:rsidR="0022210C" w:rsidRDefault="0022210C">
                <w:pPr>
                  <w:tabs>
                    <w:tab w:val="left" w:pos="3122"/>
                    <w:tab w:val="right" w:pos="8838"/>
                  </w:tabs>
                  <w:ind w:left="-105" w:right="-105"/>
                </w:pPr>
              </w:p>
            </w:tc>
            <w:tc>
              <w:tcPr>
                <w:tcW w:w="3402" w:type="dxa"/>
              </w:tcPr>
              <w:p w14:paraId="570B8806" w14:textId="77777777" w:rsidR="0022210C" w:rsidRDefault="0022210C">
                <w:pPr>
                  <w:tabs>
                    <w:tab w:val="left" w:pos="3122"/>
                    <w:tab w:val="right" w:pos="8838"/>
                  </w:tabs>
                  <w:ind w:left="-105" w:right="-105"/>
                </w:pPr>
              </w:p>
            </w:tc>
          </w:tr>
          <w:tr w:rsidR="0022210C" w14:paraId="0F78FE2F" w14:textId="77777777">
            <w:trPr>
              <w:trHeight w:val="283"/>
            </w:trPr>
            <w:tc>
              <w:tcPr>
                <w:tcW w:w="2727" w:type="dxa"/>
              </w:tcPr>
              <w:p w14:paraId="4CC89C13" w14:textId="77777777" w:rsidR="0022210C" w:rsidRDefault="0022210C">
                <w:pPr>
                  <w:tabs>
                    <w:tab w:val="right" w:pos="8838"/>
                  </w:tabs>
                  <w:ind w:left="-74" w:right="-105"/>
                  <w:rPr>
                    <w:b/>
                  </w:rPr>
                </w:pPr>
                <w:r>
                  <w:rPr>
                    <w:b/>
                  </w:rPr>
                  <w:t>Sujeto Obligado:</w:t>
                </w:r>
              </w:p>
            </w:tc>
            <w:tc>
              <w:tcPr>
                <w:tcW w:w="3402" w:type="dxa"/>
              </w:tcPr>
              <w:p w14:paraId="47186423" w14:textId="77777777" w:rsidR="0022210C" w:rsidRDefault="0022210C">
                <w:pPr>
                  <w:tabs>
                    <w:tab w:val="left" w:pos="2834"/>
                    <w:tab w:val="right" w:pos="8838"/>
                  </w:tabs>
                  <w:ind w:left="-108" w:right="-105"/>
                </w:pPr>
                <w:r w:rsidRPr="008B4468">
                  <w:t>Ayuntamiento de Cuautitlán Izcalli</w:t>
                </w:r>
              </w:p>
            </w:tc>
            <w:tc>
              <w:tcPr>
                <w:tcW w:w="3402" w:type="dxa"/>
              </w:tcPr>
              <w:p w14:paraId="0DC66763" w14:textId="77777777" w:rsidR="0022210C" w:rsidRDefault="0022210C">
                <w:pPr>
                  <w:tabs>
                    <w:tab w:val="left" w:pos="2834"/>
                    <w:tab w:val="right" w:pos="8838"/>
                  </w:tabs>
                  <w:ind w:left="-108" w:right="-105"/>
                </w:pPr>
              </w:p>
            </w:tc>
          </w:tr>
          <w:tr w:rsidR="0022210C" w14:paraId="28BAB3EC" w14:textId="77777777">
            <w:trPr>
              <w:trHeight w:val="283"/>
            </w:trPr>
            <w:tc>
              <w:tcPr>
                <w:tcW w:w="2727" w:type="dxa"/>
              </w:tcPr>
              <w:p w14:paraId="2FBC13E9" w14:textId="77777777" w:rsidR="0022210C" w:rsidRDefault="0022210C">
                <w:pPr>
                  <w:tabs>
                    <w:tab w:val="right" w:pos="8838"/>
                  </w:tabs>
                  <w:ind w:left="-74" w:right="-105"/>
                  <w:rPr>
                    <w:b/>
                  </w:rPr>
                </w:pPr>
                <w:r>
                  <w:rPr>
                    <w:b/>
                  </w:rPr>
                  <w:t>Comisionada Ponente:</w:t>
                </w:r>
              </w:p>
            </w:tc>
            <w:tc>
              <w:tcPr>
                <w:tcW w:w="3402" w:type="dxa"/>
              </w:tcPr>
              <w:p w14:paraId="5D54AC62" w14:textId="77777777" w:rsidR="0022210C" w:rsidRDefault="0022210C">
                <w:pPr>
                  <w:tabs>
                    <w:tab w:val="right" w:pos="8838"/>
                  </w:tabs>
                  <w:ind w:left="-108" w:right="-105"/>
                </w:pPr>
                <w:r>
                  <w:t>Sharon Cristina Morales Martínez</w:t>
                </w:r>
              </w:p>
            </w:tc>
            <w:tc>
              <w:tcPr>
                <w:tcW w:w="3402" w:type="dxa"/>
              </w:tcPr>
              <w:p w14:paraId="1466042B" w14:textId="77777777" w:rsidR="0022210C" w:rsidRDefault="0022210C">
                <w:pPr>
                  <w:tabs>
                    <w:tab w:val="right" w:pos="8838"/>
                  </w:tabs>
                  <w:ind w:left="-108" w:right="-105"/>
                </w:pPr>
              </w:p>
            </w:tc>
          </w:tr>
        </w:tbl>
        <w:p w14:paraId="1D953775" w14:textId="77777777" w:rsidR="0022210C" w:rsidRDefault="0022210C">
          <w:pPr>
            <w:tabs>
              <w:tab w:val="right" w:pos="8838"/>
            </w:tabs>
            <w:ind w:left="-28"/>
            <w:rPr>
              <w:rFonts w:ascii="Arial" w:eastAsia="Arial" w:hAnsi="Arial" w:cs="Arial"/>
              <w:b/>
            </w:rPr>
          </w:pPr>
        </w:p>
      </w:tc>
    </w:tr>
  </w:tbl>
  <w:p w14:paraId="61C0E9AD" w14:textId="77777777" w:rsidR="0022210C" w:rsidRDefault="0022210C">
    <w:pPr>
      <w:pBdr>
        <w:top w:val="nil"/>
        <w:left w:val="nil"/>
        <w:bottom w:val="nil"/>
        <w:right w:val="nil"/>
        <w:between w:val="nil"/>
      </w:pBdr>
      <w:tabs>
        <w:tab w:val="center" w:pos="4419"/>
        <w:tab w:val="right" w:pos="8838"/>
        <w:tab w:val="left" w:pos="2957"/>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200056FC"/>
    <w:multiLevelType w:val="multilevel"/>
    <w:tmpl w:val="A890337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51B4490"/>
    <w:multiLevelType w:val="hybridMultilevel"/>
    <w:tmpl w:val="F3CA56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F272ABE"/>
    <w:multiLevelType w:val="hybridMultilevel"/>
    <w:tmpl w:val="092654FE"/>
    <w:lvl w:ilvl="0" w:tplc="0702559E">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F4702F9"/>
    <w:multiLevelType w:val="hybridMultilevel"/>
    <w:tmpl w:val="5D969E2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5657B0B"/>
    <w:multiLevelType w:val="hybridMultilevel"/>
    <w:tmpl w:val="8D7675A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56395E"/>
    <w:multiLevelType w:val="multilevel"/>
    <w:tmpl w:val="25466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42A647F"/>
    <w:multiLevelType w:val="multilevel"/>
    <w:tmpl w:val="61AA0B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73543CFD"/>
    <w:multiLevelType w:val="hybridMultilevel"/>
    <w:tmpl w:val="E0A8265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1"/>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5"/>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FBA"/>
    <w:rsid w:val="00043C70"/>
    <w:rsid w:val="0005193C"/>
    <w:rsid w:val="000731BC"/>
    <w:rsid w:val="000857EA"/>
    <w:rsid w:val="00096BC0"/>
    <w:rsid w:val="000C356D"/>
    <w:rsid w:val="000C773B"/>
    <w:rsid w:val="000C7872"/>
    <w:rsid w:val="000F5941"/>
    <w:rsid w:val="000F6729"/>
    <w:rsid w:val="001047BB"/>
    <w:rsid w:val="0011745A"/>
    <w:rsid w:val="00170C55"/>
    <w:rsid w:val="00181AA6"/>
    <w:rsid w:val="001A01A0"/>
    <w:rsid w:val="001A1C17"/>
    <w:rsid w:val="001B29DE"/>
    <w:rsid w:val="001C0793"/>
    <w:rsid w:val="001C52BB"/>
    <w:rsid w:val="001C79D1"/>
    <w:rsid w:val="001E76FC"/>
    <w:rsid w:val="001F2169"/>
    <w:rsid w:val="001F4F2B"/>
    <w:rsid w:val="0022210C"/>
    <w:rsid w:val="00222633"/>
    <w:rsid w:val="00233BDC"/>
    <w:rsid w:val="0027241A"/>
    <w:rsid w:val="002A3F49"/>
    <w:rsid w:val="002E5FA5"/>
    <w:rsid w:val="002E7B15"/>
    <w:rsid w:val="002F4D49"/>
    <w:rsid w:val="00343A01"/>
    <w:rsid w:val="00370D44"/>
    <w:rsid w:val="00474B3D"/>
    <w:rsid w:val="004B49AC"/>
    <w:rsid w:val="004C40F1"/>
    <w:rsid w:val="004D3019"/>
    <w:rsid w:val="004E4EEC"/>
    <w:rsid w:val="00520456"/>
    <w:rsid w:val="00527F50"/>
    <w:rsid w:val="0059720D"/>
    <w:rsid w:val="005D138A"/>
    <w:rsid w:val="00600F2C"/>
    <w:rsid w:val="00641290"/>
    <w:rsid w:val="006576AE"/>
    <w:rsid w:val="00660ED7"/>
    <w:rsid w:val="006713A4"/>
    <w:rsid w:val="00684A45"/>
    <w:rsid w:val="00686994"/>
    <w:rsid w:val="006B5598"/>
    <w:rsid w:val="006B5ECB"/>
    <w:rsid w:val="006E76ED"/>
    <w:rsid w:val="00721616"/>
    <w:rsid w:val="00737179"/>
    <w:rsid w:val="00762149"/>
    <w:rsid w:val="00767C46"/>
    <w:rsid w:val="00774A79"/>
    <w:rsid w:val="007950B5"/>
    <w:rsid w:val="007F3F30"/>
    <w:rsid w:val="007F6322"/>
    <w:rsid w:val="00825AF8"/>
    <w:rsid w:val="00855FEE"/>
    <w:rsid w:val="00894FBA"/>
    <w:rsid w:val="008A5F01"/>
    <w:rsid w:val="008B4468"/>
    <w:rsid w:val="008B7C83"/>
    <w:rsid w:val="008E1FA2"/>
    <w:rsid w:val="008F0B3C"/>
    <w:rsid w:val="008F216B"/>
    <w:rsid w:val="008F4D8B"/>
    <w:rsid w:val="00906529"/>
    <w:rsid w:val="00923879"/>
    <w:rsid w:val="00924628"/>
    <w:rsid w:val="00935870"/>
    <w:rsid w:val="00964133"/>
    <w:rsid w:val="00975163"/>
    <w:rsid w:val="009A4490"/>
    <w:rsid w:val="009A7321"/>
    <w:rsid w:val="009E4C94"/>
    <w:rsid w:val="00A566B6"/>
    <w:rsid w:val="00A66341"/>
    <w:rsid w:val="00A72FE3"/>
    <w:rsid w:val="00A84C90"/>
    <w:rsid w:val="00A91DE2"/>
    <w:rsid w:val="00AB72B7"/>
    <w:rsid w:val="00AE5EC9"/>
    <w:rsid w:val="00B463FC"/>
    <w:rsid w:val="00B84F21"/>
    <w:rsid w:val="00B9223E"/>
    <w:rsid w:val="00BD2692"/>
    <w:rsid w:val="00BE2C47"/>
    <w:rsid w:val="00BE2C5B"/>
    <w:rsid w:val="00BE59A2"/>
    <w:rsid w:val="00C04931"/>
    <w:rsid w:val="00C06C49"/>
    <w:rsid w:val="00C37FB4"/>
    <w:rsid w:val="00C41F68"/>
    <w:rsid w:val="00C45B03"/>
    <w:rsid w:val="00CB2B40"/>
    <w:rsid w:val="00CD4E2C"/>
    <w:rsid w:val="00D01F96"/>
    <w:rsid w:val="00D17B76"/>
    <w:rsid w:val="00D2186E"/>
    <w:rsid w:val="00D24D15"/>
    <w:rsid w:val="00D3236B"/>
    <w:rsid w:val="00D334D5"/>
    <w:rsid w:val="00D37727"/>
    <w:rsid w:val="00D711E5"/>
    <w:rsid w:val="00D87517"/>
    <w:rsid w:val="00DB21DB"/>
    <w:rsid w:val="00DD4C92"/>
    <w:rsid w:val="00DE001B"/>
    <w:rsid w:val="00DE4108"/>
    <w:rsid w:val="00DF1528"/>
    <w:rsid w:val="00E7444F"/>
    <w:rsid w:val="00ED1D7D"/>
    <w:rsid w:val="00ED4042"/>
    <w:rsid w:val="00EF10E3"/>
    <w:rsid w:val="00F04B3C"/>
    <w:rsid w:val="00F165A9"/>
    <w:rsid w:val="00F247D5"/>
    <w:rsid w:val="00F37514"/>
    <w:rsid w:val="00F52F47"/>
    <w:rsid w:val="00F87BAB"/>
    <w:rsid w:val="00F90079"/>
    <w:rsid w:val="00FB090D"/>
    <w:rsid w:val="00FB2B08"/>
    <w:rsid w:val="00FD2A72"/>
    <w:rsid w:val="00FD4A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AAFEE6"/>
  <w15:docId w15:val="{E69BC4B0-66E4-4EF6-8E15-100D4A02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29BE"/>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aliases w:val="Francesa,INAI"/>
    <w:link w:val="SinespaciadoCar"/>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34218F"/>
    <w:rPr>
      <w:vertAlign w:val="superscript"/>
    </w:rPr>
  </w:style>
  <w:style w:type="character" w:customStyle="1" w:styleId="SinespaciadoCar">
    <w:name w:val="Sin espaciado Car"/>
    <w:aliases w:val="Francesa Car,INAI Car"/>
    <w:link w:val="Sinespaciado"/>
    <w:uiPriority w:val="1"/>
    <w:locked/>
    <w:rsid w:val="0088324D"/>
    <w:rPr>
      <w:rFonts w:ascii="Palatino Linotype" w:eastAsia="Times New Roman" w:hAnsi="Palatino Linotype" w:cs="Times New Roman"/>
      <w:kern w:val="0"/>
      <w:szCs w:val="20"/>
      <w:lang w:eastAsia="es-ES"/>
    </w:rPr>
  </w:style>
  <w:style w:type="character" w:styleId="Textoennegrita">
    <w:name w:val="Strong"/>
    <w:uiPriority w:val="22"/>
    <w:qFormat/>
    <w:rsid w:val="00742F68"/>
    <w:rPr>
      <w:b/>
      <w:bCs/>
    </w:rPr>
  </w:style>
  <w:style w:type="paragraph" w:styleId="NormalWeb">
    <w:name w:val="Normal (Web)"/>
    <w:basedOn w:val="Normal"/>
    <w:uiPriority w:val="99"/>
    <w:unhideWhenUsed/>
    <w:rsid w:val="00742F68"/>
    <w:pPr>
      <w:spacing w:before="100" w:beforeAutospacing="1" w:after="100" w:afterAutospacing="1" w:line="240" w:lineRule="auto"/>
      <w:jc w:val="left"/>
    </w:pPr>
    <w:rPr>
      <w:rFonts w:ascii="Times New Roman" w:hAnsi="Times New Roman"/>
      <w:sz w:val="24"/>
      <w:szCs w:val="24"/>
      <w:lang w:eastAsia="es-MX"/>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paragraph" w:customStyle="1" w:styleId="Texto">
    <w:name w:val="Texto"/>
    <w:basedOn w:val="Normal"/>
    <w:link w:val="TextoCar"/>
    <w:rsid w:val="006467AB"/>
    <w:pPr>
      <w:spacing w:after="101" w:line="216" w:lineRule="exact"/>
      <w:ind w:firstLine="288"/>
    </w:pPr>
    <w:rPr>
      <w:rFonts w:ascii="Arial" w:hAnsi="Arial" w:cs="Arial"/>
      <w:sz w:val="18"/>
      <w:lang w:val="es-ES"/>
    </w:rPr>
  </w:style>
  <w:style w:type="character" w:customStyle="1" w:styleId="TextoCar">
    <w:name w:val="Texto Car"/>
    <w:link w:val="Texto"/>
    <w:locked/>
    <w:rsid w:val="006467AB"/>
    <w:rPr>
      <w:rFonts w:ascii="Arial" w:eastAsia="Times New Roman" w:hAnsi="Arial" w:cs="Arial"/>
      <w:sz w:val="18"/>
      <w:szCs w:val="20"/>
      <w:lang w:val="es-ES" w:eastAsia="es-ES"/>
    </w:rPr>
  </w:style>
  <w:style w:type="paragraph" w:styleId="Textosinformato">
    <w:name w:val="Plain Text"/>
    <w:basedOn w:val="Normal"/>
    <w:link w:val="TextosinformatoCar"/>
    <w:rsid w:val="006467AB"/>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6467AB"/>
    <w:rPr>
      <w:rFonts w:ascii="Courier New" w:eastAsia="Times New Roman" w:hAnsi="Courier New" w:cs="Times New Roman"/>
      <w:sz w:val="20"/>
      <w:szCs w:val="20"/>
      <w:lang w:val="es-ES" w:eastAsia="es-ES"/>
    </w:rPr>
  </w:style>
  <w:style w:type="paragraph" w:styleId="Textodeglobo">
    <w:name w:val="Balloon Text"/>
    <w:basedOn w:val="Normal"/>
    <w:link w:val="TextodegloboCar"/>
    <w:uiPriority w:val="99"/>
    <w:semiHidden/>
    <w:unhideWhenUsed/>
    <w:rsid w:val="00717CC0"/>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7CC0"/>
    <w:rPr>
      <w:rFonts w:ascii="Segoe UI" w:eastAsia="Times New Roman" w:hAnsi="Segoe UI" w:cs="Segoe UI"/>
      <w:sz w:val="18"/>
      <w:szCs w:val="18"/>
      <w:lang w:eastAsia="es-ES"/>
    </w:rPr>
  </w:style>
  <w:style w:type="character" w:customStyle="1" w:styleId="apple-converted-space">
    <w:name w:val="apple-converted-space"/>
    <w:basedOn w:val="Fuentedeprrafopredeter"/>
    <w:rsid w:val="009050BB"/>
  </w:style>
  <w:style w:type="character" w:customStyle="1" w:styleId="il">
    <w:name w:val="il"/>
    <w:basedOn w:val="Fuentedeprrafopredeter"/>
    <w:rsid w:val="009050BB"/>
    <w:rPr>
      <w:rFonts w:cs="Times New Roman"/>
    </w:r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29288">
      <w:bodyDiv w:val="1"/>
      <w:marLeft w:val="0"/>
      <w:marRight w:val="0"/>
      <w:marTop w:val="0"/>
      <w:marBottom w:val="0"/>
      <w:divBdr>
        <w:top w:val="none" w:sz="0" w:space="0" w:color="auto"/>
        <w:left w:val="none" w:sz="0" w:space="0" w:color="auto"/>
        <w:bottom w:val="none" w:sz="0" w:space="0" w:color="auto"/>
        <w:right w:val="none" w:sz="0" w:space="0" w:color="auto"/>
      </w:divBdr>
    </w:div>
    <w:div w:id="815995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fVoyKS19IdEpPRpYDiB64G2A==">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5FC130-B300-479A-B114-51E21E63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6598</Words>
  <Characters>36294</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Gutierrez Zarate</dc:creator>
  <cp:lastModifiedBy>USUARIO</cp:lastModifiedBy>
  <cp:revision>5</cp:revision>
  <cp:lastPrinted>2025-09-11T18:14:00Z</cp:lastPrinted>
  <dcterms:created xsi:type="dcterms:W3CDTF">2025-09-04T16:21:00Z</dcterms:created>
  <dcterms:modified xsi:type="dcterms:W3CDTF">2025-09-11T18:14:00Z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