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sdtContent>
        <w:p w14:paraId="57B44453" w14:textId="77777777" w:rsidR="00342378" w:rsidRPr="005A5793" w:rsidRDefault="00342378" w:rsidP="00903F17">
          <w:pPr>
            <w:pStyle w:val="TtulodeTDC"/>
            <w:spacing w:before="0" w:line="360" w:lineRule="auto"/>
            <w:rPr>
              <w:rFonts w:ascii="Palatino Linotype" w:hAnsi="Palatino Linotype"/>
              <w:color w:val="auto"/>
              <w:sz w:val="22"/>
              <w:szCs w:val="22"/>
            </w:rPr>
          </w:pPr>
          <w:r w:rsidRPr="005A5793">
            <w:rPr>
              <w:rFonts w:ascii="Palatino Linotype" w:hAnsi="Palatino Linotype"/>
              <w:color w:val="auto"/>
              <w:sz w:val="22"/>
              <w:szCs w:val="22"/>
              <w:lang w:val="es-ES"/>
            </w:rPr>
            <w:t>Contenido</w:t>
          </w:r>
        </w:p>
        <w:p w14:paraId="24CC8631" w14:textId="484A26A0" w:rsidR="00FF7544" w:rsidRPr="005A5793" w:rsidRDefault="00342378">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5A5793">
            <w:rPr>
              <w:rFonts w:ascii="Palatino Linotype" w:hAnsi="Palatino Linotype"/>
              <w:sz w:val="22"/>
              <w:szCs w:val="22"/>
              <w:lang w:val="es-ES"/>
            </w:rPr>
            <w:fldChar w:fldCharType="begin"/>
          </w:r>
          <w:r w:rsidRPr="005A5793">
            <w:rPr>
              <w:rFonts w:ascii="Palatino Linotype" w:hAnsi="Palatino Linotype"/>
              <w:sz w:val="22"/>
              <w:szCs w:val="22"/>
              <w:lang w:val="es-ES"/>
            </w:rPr>
            <w:instrText xml:space="preserve"> TOC \o "1-3" \h \z \u </w:instrText>
          </w:r>
          <w:r w:rsidRPr="005A5793">
            <w:rPr>
              <w:rFonts w:ascii="Palatino Linotype" w:hAnsi="Palatino Linotype"/>
              <w:sz w:val="22"/>
              <w:szCs w:val="22"/>
              <w:lang w:val="es-ES"/>
            </w:rPr>
            <w:fldChar w:fldCharType="separate"/>
          </w:r>
          <w:hyperlink w:anchor="_Toc209708714" w:history="1">
            <w:r w:rsidR="00FF7544" w:rsidRPr="005A5793">
              <w:rPr>
                <w:rStyle w:val="Hipervnculo"/>
                <w:rFonts w:ascii="Palatino Linotype" w:hAnsi="Palatino Linotype"/>
                <w:noProof/>
              </w:rPr>
              <w:t>A N T E C E D E N T E S</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_Toc209708714 \h </w:instrText>
            </w:r>
            <w:r w:rsidR="00FF7544" w:rsidRPr="005A5793">
              <w:rPr>
                <w:noProof/>
                <w:webHidden/>
              </w:rPr>
            </w:r>
            <w:r w:rsidR="00FF7544" w:rsidRPr="005A5793">
              <w:rPr>
                <w:noProof/>
                <w:webHidden/>
              </w:rPr>
              <w:fldChar w:fldCharType="separate"/>
            </w:r>
            <w:r w:rsidR="003C34AC">
              <w:rPr>
                <w:noProof/>
                <w:webHidden/>
              </w:rPr>
              <w:t>2</w:t>
            </w:r>
            <w:r w:rsidR="00FF7544" w:rsidRPr="005A5793">
              <w:rPr>
                <w:noProof/>
                <w:webHidden/>
              </w:rPr>
              <w:fldChar w:fldCharType="end"/>
            </w:r>
          </w:hyperlink>
        </w:p>
        <w:p w14:paraId="5544D141" w14:textId="772B9E60"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15" w:history="1">
            <w:r w:rsidR="00FF7544" w:rsidRPr="005A5793">
              <w:rPr>
                <w:rStyle w:val="Hipervnculo"/>
                <w:rFonts w:ascii="Palatino Linotype" w:hAnsi="Palatino Linotype"/>
                <w:noProof/>
              </w:rPr>
              <w:t>I. Presentación de la solicitud de información</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_Toc209708715 \h </w:instrText>
            </w:r>
            <w:r w:rsidR="00FF7544" w:rsidRPr="005A5793">
              <w:rPr>
                <w:noProof/>
                <w:webHidden/>
              </w:rPr>
            </w:r>
            <w:r w:rsidR="00FF7544" w:rsidRPr="005A5793">
              <w:rPr>
                <w:noProof/>
                <w:webHidden/>
              </w:rPr>
              <w:fldChar w:fldCharType="separate"/>
            </w:r>
            <w:r w:rsidR="003C34AC">
              <w:rPr>
                <w:noProof/>
                <w:webHidden/>
              </w:rPr>
              <w:t>2</w:t>
            </w:r>
            <w:r w:rsidR="00FF7544" w:rsidRPr="005A5793">
              <w:rPr>
                <w:noProof/>
                <w:webHidden/>
              </w:rPr>
              <w:fldChar w:fldCharType="end"/>
            </w:r>
          </w:hyperlink>
        </w:p>
        <w:p w14:paraId="4C1C8115" w14:textId="66F93E58"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16" w:history="1">
            <w:r w:rsidR="00FF7544" w:rsidRPr="005A5793">
              <w:rPr>
                <w:rStyle w:val="Hipervnculo"/>
                <w:rFonts w:ascii="Palatino Linotype" w:hAnsi="Palatino Linotype" w:cs="Tahoma"/>
                <w:noProof/>
              </w:rPr>
              <w:t>II. Respuesta del Sujeto Obligado</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_Toc209708716 \h </w:instrText>
            </w:r>
            <w:r w:rsidR="00FF7544" w:rsidRPr="005A5793">
              <w:rPr>
                <w:noProof/>
                <w:webHidden/>
              </w:rPr>
            </w:r>
            <w:r w:rsidR="00FF7544" w:rsidRPr="005A5793">
              <w:rPr>
                <w:noProof/>
                <w:webHidden/>
              </w:rPr>
              <w:fldChar w:fldCharType="separate"/>
            </w:r>
            <w:r w:rsidR="003C34AC">
              <w:rPr>
                <w:noProof/>
                <w:webHidden/>
              </w:rPr>
              <w:t>3</w:t>
            </w:r>
            <w:r w:rsidR="00FF7544" w:rsidRPr="005A5793">
              <w:rPr>
                <w:noProof/>
                <w:webHidden/>
              </w:rPr>
              <w:fldChar w:fldCharType="end"/>
            </w:r>
          </w:hyperlink>
        </w:p>
        <w:p w14:paraId="7C90CDA1" w14:textId="60096C33"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17" w:history="1">
            <w:r w:rsidR="00FF7544" w:rsidRPr="005A5793">
              <w:rPr>
                <w:rStyle w:val="Hipervnculo"/>
                <w:rFonts w:ascii="Palatino Linotype" w:hAnsi="Palatino Linotype" w:cs="Tahoma"/>
                <w:noProof/>
              </w:rPr>
              <w:t>III. Interposición del Recurso de Revisión</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_Toc209708717 \h </w:instrText>
            </w:r>
            <w:r w:rsidR="00FF7544" w:rsidRPr="005A5793">
              <w:rPr>
                <w:noProof/>
                <w:webHidden/>
              </w:rPr>
            </w:r>
            <w:r w:rsidR="00FF7544" w:rsidRPr="005A5793">
              <w:rPr>
                <w:noProof/>
                <w:webHidden/>
              </w:rPr>
              <w:fldChar w:fldCharType="separate"/>
            </w:r>
            <w:r w:rsidR="003C34AC">
              <w:rPr>
                <w:noProof/>
                <w:webHidden/>
              </w:rPr>
              <w:t>3</w:t>
            </w:r>
            <w:r w:rsidR="00FF7544" w:rsidRPr="005A5793">
              <w:rPr>
                <w:noProof/>
                <w:webHidden/>
              </w:rPr>
              <w:fldChar w:fldCharType="end"/>
            </w:r>
          </w:hyperlink>
        </w:p>
        <w:p w14:paraId="5A2D92DF" w14:textId="1646B3FA"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18" w:history="1">
            <w:r w:rsidR="00FF7544" w:rsidRPr="005A5793">
              <w:rPr>
                <w:rStyle w:val="Hipervnculo"/>
                <w:rFonts w:ascii="Palatino Linotype" w:hAnsi="Palatino Linotype"/>
                <w:noProof/>
              </w:rPr>
              <w:t>IV. Trámite del Recurso de Revisión ante el Instituto</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_Toc209708718 \h </w:instrText>
            </w:r>
            <w:r w:rsidR="00FF7544" w:rsidRPr="005A5793">
              <w:rPr>
                <w:noProof/>
                <w:webHidden/>
              </w:rPr>
            </w:r>
            <w:r w:rsidR="00FF7544" w:rsidRPr="005A5793">
              <w:rPr>
                <w:noProof/>
                <w:webHidden/>
              </w:rPr>
              <w:fldChar w:fldCharType="separate"/>
            </w:r>
            <w:r w:rsidR="003C34AC">
              <w:rPr>
                <w:noProof/>
                <w:webHidden/>
              </w:rPr>
              <w:t>4</w:t>
            </w:r>
            <w:r w:rsidR="00FF7544" w:rsidRPr="005A5793">
              <w:rPr>
                <w:noProof/>
                <w:webHidden/>
              </w:rPr>
              <w:fldChar w:fldCharType="end"/>
            </w:r>
          </w:hyperlink>
        </w:p>
        <w:p w14:paraId="216858BE" w14:textId="6E6074CC" w:rsidR="00FF7544" w:rsidRPr="005A5793" w:rsidRDefault="00AA7199">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19" w:history="1">
            <w:r w:rsidR="00FF7544" w:rsidRPr="005A5793">
              <w:rPr>
                <w:rStyle w:val="Hipervnculo"/>
                <w:rFonts w:ascii="Palatino Linotype" w:hAnsi="Palatino Linotype"/>
                <w:noProof/>
              </w:rPr>
              <w:t>a) Turno del Recurso de Revisión.</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_Toc209708719 \h </w:instrText>
            </w:r>
            <w:r w:rsidR="00FF7544" w:rsidRPr="005A5793">
              <w:rPr>
                <w:noProof/>
                <w:webHidden/>
              </w:rPr>
            </w:r>
            <w:r w:rsidR="00FF7544" w:rsidRPr="005A5793">
              <w:rPr>
                <w:noProof/>
                <w:webHidden/>
              </w:rPr>
              <w:fldChar w:fldCharType="separate"/>
            </w:r>
            <w:r w:rsidR="003C34AC">
              <w:rPr>
                <w:noProof/>
                <w:webHidden/>
              </w:rPr>
              <w:t>4</w:t>
            </w:r>
            <w:r w:rsidR="00FF7544" w:rsidRPr="005A5793">
              <w:rPr>
                <w:noProof/>
                <w:webHidden/>
              </w:rPr>
              <w:fldChar w:fldCharType="end"/>
            </w:r>
          </w:hyperlink>
        </w:p>
        <w:p w14:paraId="3B2141CC" w14:textId="2AD150E2" w:rsidR="00FF7544" w:rsidRPr="005A5793" w:rsidRDefault="00AA7199">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0" w:history="1">
            <w:r w:rsidR="00FF7544" w:rsidRPr="005A5793">
              <w:rPr>
                <w:rStyle w:val="Hipervnculo"/>
                <w:rFonts w:ascii="Palatino Linotype" w:hAnsi="Palatino Linotype"/>
                <w:noProof/>
              </w:rPr>
              <w:t>b) Admisión del Recurso de Revisión.</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_Toc209708720 \h </w:instrText>
            </w:r>
            <w:r w:rsidR="00FF7544" w:rsidRPr="005A5793">
              <w:rPr>
                <w:noProof/>
                <w:webHidden/>
              </w:rPr>
            </w:r>
            <w:r w:rsidR="00FF7544" w:rsidRPr="005A5793">
              <w:rPr>
                <w:noProof/>
                <w:webHidden/>
              </w:rPr>
              <w:fldChar w:fldCharType="separate"/>
            </w:r>
            <w:r w:rsidR="003C34AC">
              <w:rPr>
                <w:noProof/>
                <w:webHidden/>
              </w:rPr>
              <w:t>4</w:t>
            </w:r>
            <w:r w:rsidR="00FF7544" w:rsidRPr="005A5793">
              <w:rPr>
                <w:noProof/>
                <w:webHidden/>
              </w:rPr>
              <w:fldChar w:fldCharType="end"/>
            </w:r>
          </w:hyperlink>
        </w:p>
        <w:p w14:paraId="05E6019C" w14:textId="2D88B50D" w:rsidR="00FF7544" w:rsidRPr="005A5793" w:rsidRDefault="00AA7199">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1" w:history="1">
            <w:r w:rsidR="00FF7544" w:rsidRPr="005A5793">
              <w:rPr>
                <w:rStyle w:val="Hipervnculo"/>
                <w:rFonts w:ascii="Palatino Linotype" w:hAnsi="Palatino Linotype"/>
                <w:noProof/>
              </w:rPr>
              <w:t>e) Cierre de instrucción</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_Toc209708721 \h </w:instrText>
            </w:r>
            <w:r w:rsidR="00FF7544" w:rsidRPr="005A5793">
              <w:rPr>
                <w:noProof/>
                <w:webHidden/>
              </w:rPr>
            </w:r>
            <w:r w:rsidR="00FF7544" w:rsidRPr="005A5793">
              <w:rPr>
                <w:noProof/>
                <w:webHidden/>
              </w:rPr>
              <w:fldChar w:fldCharType="separate"/>
            </w:r>
            <w:r w:rsidR="003C34AC">
              <w:rPr>
                <w:noProof/>
                <w:webHidden/>
              </w:rPr>
              <w:t>5</w:t>
            </w:r>
            <w:r w:rsidR="00FF7544" w:rsidRPr="005A5793">
              <w:rPr>
                <w:noProof/>
                <w:webHidden/>
              </w:rPr>
              <w:fldChar w:fldCharType="end"/>
            </w:r>
          </w:hyperlink>
        </w:p>
        <w:p w14:paraId="63D8709F" w14:textId="12CA40CB" w:rsidR="00FF7544" w:rsidRPr="005A5793" w:rsidRDefault="00AA7199">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2" w:history="1">
            <w:r w:rsidR="00FF7544" w:rsidRPr="005A5793">
              <w:rPr>
                <w:rStyle w:val="Hipervnculo"/>
                <w:rFonts w:ascii="Palatino Linotype" w:hAnsi="Palatino Linotype"/>
                <w:noProof/>
              </w:rPr>
              <w:t>C O N S I D E R A N D O S</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_Toc209708722 \h </w:instrText>
            </w:r>
            <w:r w:rsidR="00FF7544" w:rsidRPr="005A5793">
              <w:rPr>
                <w:noProof/>
                <w:webHidden/>
              </w:rPr>
            </w:r>
            <w:r w:rsidR="00FF7544" w:rsidRPr="005A5793">
              <w:rPr>
                <w:noProof/>
                <w:webHidden/>
              </w:rPr>
              <w:fldChar w:fldCharType="separate"/>
            </w:r>
            <w:r w:rsidR="003C34AC">
              <w:rPr>
                <w:noProof/>
                <w:webHidden/>
              </w:rPr>
              <w:t>6</w:t>
            </w:r>
            <w:r w:rsidR="00FF7544" w:rsidRPr="005A5793">
              <w:rPr>
                <w:noProof/>
                <w:webHidden/>
              </w:rPr>
              <w:fldChar w:fldCharType="end"/>
            </w:r>
          </w:hyperlink>
        </w:p>
        <w:p w14:paraId="01657163" w14:textId="5D4EDD7B"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3" w:history="1">
            <w:r w:rsidR="00FF7544" w:rsidRPr="005A5793">
              <w:rPr>
                <w:rStyle w:val="Hipervnculo"/>
                <w:rFonts w:ascii="Palatino Linotype" w:eastAsia="Calibri" w:hAnsi="Palatino Linotype"/>
                <w:noProof/>
                <w:lang w:eastAsia="es-MX"/>
              </w:rPr>
              <w:t xml:space="preserve">PRIMERO. </w:t>
            </w:r>
            <w:r w:rsidR="00FF7544" w:rsidRPr="005A5793">
              <w:rPr>
                <w:rStyle w:val="Hipervnculo"/>
                <w:rFonts w:ascii="Palatino Linotype" w:hAnsi="Palatino Linotype"/>
                <w:noProof/>
              </w:rPr>
              <w:t>Competencia</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_Toc209708723 \h </w:instrText>
            </w:r>
            <w:r w:rsidR="00FF7544" w:rsidRPr="005A5793">
              <w:rPr>
                <w:noProof/>
                <w:webHidden/>
              </w:rPr>
            </w:r>
            <w:r w:rsidR="00FF7544" w:rsidRPr="005A5793">
              <w:rPr>
                <w:noProof/>
                <w:webHidden/>
              </w:rPr>
              <w:fldChar w:fldCharType="separate"/>
            </w:r>
            <w:r w:rsidR="003C34AC">
              <w:rPr>
                <w:noProof/>
                <w:webHidden/>
              </w:rPr>
              <w:t>6</w:t>
            </w:r>
            <w:r w:rsidR="00FF7544" w:rsidRPr="005A5793">
              <w:rPr>
                <w:noProof/>
                <w:webHidden/>
              </w:rPr>
              <w:fldChar w:fldCharType="end"/>
            </w:r>
          </w:hyperlink>
        </w:p>
        <w:p w14:paraId="2BBB8C7A" w14:textId="530816B1"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4" w:history="1">
            <w:r w:rsidR="00FF7544" w:rsidRPr="005A5793">
              <w:rPr>
                <w:rStyle w:val="Hipervnculo"/>
                <w:rFonts w:ascii="Palatino Linotype" w:eastAsia="Calibri" w:hAnsi="Palatino Linotype"/>
                <w:noProof/>
                <w:lang w:eastAsia="es-MX"/>
              </w:rPr>
              <w:t>SEGUNDO. Causales de improcedencia y sobreseimiento</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_Toc209708724 \h </w:instrText>
            </w:r>
            <w:r w:rsidR="00FF7544" w:rsidRPr="005A5793">
              <w:rPr>
                <w:noProof/>
                <w:webHidden/>
              </w:rPr>
            </w:r>
            <w:r w:rsidR="00FF7544" w:rsidRPr="005A5793">
              <w:rPr>
                <w:noProof/>
                <w:webHidden/>
              </w:rPr>
              <w:fldChar w:fldCharType="separate"/>
            </w:r>
            <w:r w:rsidR="003C34AC">
              <w:rPr>
                <w:noProof/>
                <w:webHidden/>
              </w:rPr>
              <w:t>6</w:t>
            </w:r>
            <w:r w:rsidR="00FF7544" w:rsidRPr="005A5793">
              <w:rPr>
                <w:noProof/>
                <w:webHidden/>
              </w:rPr>
              <w:fldChar w:fldCharType="end"/>
            </w:r>
          </w:hyperlink>
        </w:p>
        <w:p w14:paraId="5508EFEC" w14:textId="6FBD764B" w:rsidR="00FF7544" w:rsidRPr="005A5793" w:rsidRDefault="00AA7199">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5" w:history="1">
            <w:r w:rsidR="00FF7544" w:rsidRPr="005A5793">
              <w:rPr>
                <w:rStyle w:val="Hipervnculo"/>
                <w:rFonts w:ascii="Palatino Linotype" w:eastAsia="Calibri" w:hAnsi="Palatino Linotype" w:cs="Arial"/>
                <w:noProof/>
                <w:lang w:eastAsia="es-ES_tradnl"/>
              </w:rPr>
              <w:t>Causales de sobreseimiento</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_Toc209708725 \h </w:instrText>
            </w:r>
            <w:r w:rsidR="00FF7544" w:rsidRPr="005A5793">
              <w:rPr>
                <w:noProof/>
                <w:webHidden/>
              </w:rPr>
            </w:r>
            <w:r w:rsidR="00FF7544" w:rsidRPr="005A5793">
              <w:rPr>
                <w:noProof/>
                <w:webHidden/>
              </w:rPr>
              <w:fldChar w:fldCharType="separate"/>
            </w:r>
            <w:r w:rsidR="003C34AC">
              <w:rPr>
                <w:noProof/>
                <w:webHidden/>
              </w:rPr>
              <w:t>7</w:t>
            </w:r>
            <w:r w:rsidR="00FF7544" w:rsidRPr="005A5793">
              <w:rPr>
                <w:noProof/>
                <w:webHidden/>
              </w:rPr>
              <w:fldChar w:fldCharType="end"/>
            </w:r>
          </w:hyperlink>
        </w:p>
        <w:p w14:paraId="52E920A4" w14:textId="56DD1A84"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6" w:history="1">
            <w:r w:rsidR="00FF7544" w:rsidRPr="005A5793">
              <w:rPr>
                <w:rStyle w:val="Hipervnculo"/>
                <w:rFonts w:ascii="Palatino Linotype" w:eastAsia="Calibri" w:hAnsi="Palatino Linotype"/>
                <w:noProof/>
                <w:lang w:eastAsia="es-ES_tradnl"/>
              </w:rPr>
              <w:t>TERCERO. Determinación de la Controversia</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_Toc209708726 \h </w:instrText>
            </w:r>
            <w:r w:rsidR="00FF7544" w:rsidRPr="005A5793">
              <w:rPr>
                <w:noProof/>
                <w:webHidden/>
              </w:rPr>
            </w:r>
            <w:r w:rsidR="00FF7544" w:rsidRPr="005A5793">
              <w:rPr>
                <w:noProof/>
                <w:webHidden/>
              </w:rPr>
              <w:fldChar w:fldCharType="separate"/>
            </w:r>
            <w:r w:rsidR="003C34AC">
              <w:rPr>
                <w:noProof/>
                <w:webHidden/>
              </w:rPr>
              <w:t>7</w:t>
            </w:r>
            <w:r w:rsidR="00FF7544" w:rsidRPr="005A5793">
              <w:rPr>
                <w:noProof/>
                <w:webHidden/>
              </w:rPr>
              <w:fldChar w:fldCharType="end"/>
            </w:r>
          </w:hyperlink>
        </w:p>
        <w:p w14:paraId="549604F3" w14:textId="168AE14C"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7" w:history="1">
            <w:r w:rsidR="00FF7544" w:rsidRPr="005A5793">
              <w:rPr>
                <w:rStyle w:val="Hipervnculo"/>
                <w:rFonts w:ascii="Palatino Linotype" w:eastAsia="Calibri" w:hAnsi="Palatino Linotype" w:cs="Arial"/>
                <w:noProof/>
                <w:lang w:eastAsia="es-ES_tradnl"/>
              </w:rPr>
              <w:t>CUARTO. Marco normativo aplicable en materia de transparencia y acceso a la información pública</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_Toc209708727 \h </w:instrText>
            </w:r>
            <w:r w:rsidR="00FF7544" w:rsidRPr="005A5793">
              <w:rPr>
                <w:noProof/>
                <w:webHidden/>
              </w:rPr>
            </w:r>
            <w:r w:rsidR="00FF7544" w:rsidRPr="005A5793">
              <w:rPr>
                <w:noProof/>
                <w:webHidden/>
              </w:rPr>
              <w:fldChar w:fldCharType="separate"/>
            </w:r>
            <w:r w:rsidR="003C34AC">
              <w:rPr>
                <w:noProof/>
                <w:webHidden/>
              </w:rPr>
              <w:t>8</w:t>
            </w:r>
            <w:r w:rsidR="00FF7544" w:rsidRPr="005A5793">
              <w:rPr>
                <w:noProof/>
                <w:webHidden/>
              </w:rPr>
              <w:fldChar w:fldCharType="end"/>
            </w:r>
          </w:hyperlink>
        </w:p>
        <w:p w14:paraId="1A48C229" w14:textId="47D5CA44"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8" w:history="1">
            <w:r w:rsidR="00FF7544" w:rsidRPr="005A5793">
              <w:rPr>
                <w:rStyle w:val="Hipervnculo"/>
                <w:rFonts w:ascii="Palatino Linotype" w:eastAsia="Calibri" w:hAnsi="Palatino Linotype"/>
                <w:noProof/>
                <w:lang w:eastAsia="es-ES_tradnl"/>
              </w:rPr>
              <w:t>QUINTO. Estudio de Fondo</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_Toc209708728 \h </w:instrText>
            </w:r>
            <w:r w:rsidR="00FF7544" w:rsidRPr="005A5793">
              <w:rPr>
                <w:noProof/>
                <w:webHidden/>
              </w:rPr>
            </w:r>
            <w:r w:rsidR="00FF7544" w:rsidRPr="005A5793">
              <w:rPr>
                <w:noProof/>
                <w:webHidden/>
              </w:rPr>
              <w:fldChar w:fldCharType="separate"/>
            </w:r>
            <w:r w:rsidR="003C34AC">
              <w:rPr>
                <w:noProof/>
                <w:webHidden/>
              </w:rPr>
              <w:t>9</w:t>
            </w:r>
            <w:r w:rsidR="00FF7544" w:rsidRPr="005A5793">
              <w:rPr>
                <w:noProof/>
                <w:webHidden/>
              </w:rPr>
              <w:fldChar w:fldCharType="end"/>
            </w:r>
          </w:hyperlink>
        </w:p>
        <w:p w14:paraId="744D573D" w14:textId="77CE1AA9" w:rsidR="00FF7544" w:rsidRPr="005A5793" w:rsidRDefault="00AA7199">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29" w:history="1">
            <w:r w:rsidR="00FF7544" w:rsidRPr="005A5793">
              <w:rPr>
                <w:rStyle w:val="Hipervnculo"/>
                <w:rFonts w:ascii="Palatino Linotype" w:hAnsi="Palatino Linotype"/>
                <w:noProof/>
              </w:rPr>
              <w:t>SEXTO. Decisión</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_Toc209708729 \h </w:instrText>
            </w:r>
            <w:r w:rsidR="00FF7544" w:rsidRPr="005A5793">
              <w:rPr>
                <w:noProof/>
                <w:webHidden/>
              </w:rPr>
            </w:r>
            <w:r w:rsidR="00FF7544" w:rsidRPr="005A5793">
              <w:rPr>
                <w:noProof/>
                <w:webHidden/>
              </w:rPr>
              <w:fldChar w:fldCharType="separate"/>
            </w:r>
            <w:r w:rsidR="003C34AC">
              <w:rPr>
                <w:noProof/>
                <w:webHidden/>
              </w:rPr>
              <w:t>33</w:t>
            </w:r>
            <w:r w:rsidR="00FF7544" w:rsidRPr="005A5793">
              <w:rPr>
                <w:noProof/>
                <w:webHidden/>
              </w:rPr>
              <w:fldChar w:fldCharType="end"/>
            </w:r>
          </w:hyperlink>
        </w:p>
        <w:p w14:paraId="5618AFC7" w14:textId="29E0FCDB" w:rsidR="00FF7544" w:rsidRPr="005A5793" w:rsidRDefault="00AA7199">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09708730" w:history="1">
            <w:r w:rsidR="00FF7544" w:rsidRPr="005A5793">
              <w:rPr>
                <w:rStyle w:val="Hipervnculo"/>
                <w:rFonts w:ascii="Palatino Linotype" w:eastAsia="Calibri" w:hAnsi="Palatino Linotype"/>
                <w:noProof/>
                <w:lang w:eastAsia="en-US"/>
              </w:rPr>
              <w:t>R E S U E L V E</w:t>
            </w:r>
            <w:r w:rsidR="00FF7544" w:rsidRPr="005A5793">
              <w:rPr>
                <w:noProof/>
                <w:webHidden/>
              </w:rPr>
              <w:tab/>
            </w:r>
            <w:r w:rsidR="00FF7544" w:rsidRPr="005A5793">
              <w:rPr>
                <w:noProof/>
                <w:webHidden/>
              </w:rPr>
              <w:fldChar w:fldCharType="begin"/>
            </w:r>
            <w:r w:rsidR="00FF7544" w:rsidRPr="005A5793">
              <w:rPr>
                <w:noProof/>
                <w:webHidden/>
              </w:rPr>
              <w:instrText xml:space="preserve"> PAGEREF _Toc209708730 \h </w:instrText>
            </w:r>
            <w:r w:rsidR="00FF7544" w:rsidRPr="005A5793">
              <w:rPr>
                <w:noProof/>
                <w:webHidden/>
              </w:rPr>
            </w:r>
            <w:r w:rsidR="00FF7544" w:rsidRPr="005A5793">
              <w:rPr>
                <w:noProof/>
                <w:webHidden/>
              </w:rPr>
              <w:fldChar w:fldCharType="separate"/>
            </w:r>
            <w:r w:rsidR="003C34AC">
              <w:rPr>
                <w:noProof/>
                <w:webHidden/>
              </w:rPr>
              <w:t>34</w:t>
            </w:r>
            <w:r w:rsidR="00FF7544" w:rsidRPr="005A5793">
              <w:rPr>
                <w:noProof/>
                <w:webHidden/>
              </w:rPr>
              <w:fldChar w:fldCharType="end"/>
            </w:r>
          </w:hyperlink>
        </w:p>
        <w:p w14:paraId="58FF81C1" w14:textId="0C1C3F6F" w:rsidR="00342378" w:rsidRPr="005A5793" w:rsidRDefault="00342378" w:rsidP="00903F17">
          <w:pPr>
            <w:spacing w:line="360" w:lineRule="auto"/>
          </w:pPr>
          <w:r w:rsidRPr="005A5793">
            <w:rPr>
              <w:rFonts w:ascii="Palatino Linotype" w:hAnsi="Palatino Linotype"/>
              <w:sz w:val="22"/>
              <w:szCs w:val="22"/>
              <w:lang w:val="es-ES"/>
            </w:rPr>
            <w:fldChar w:fldCharType="end"/>
          </w:r>
        </w:p>
      </w:sdtContent>
    </w:sdt>
    <w:p w14:paraId="5D21A101" w14:textId="77777777" w:rsidR="00ED76AF" w:rsidRPr="005A5793" w:rsidRDefault="00ED76AF" w:rsidP="00903F17">
      <w:pPr>
        <w:tabs>
          <w:tab w:val="left" w:pos="3969"/>
        </w:tabs>
        <w:spacing w:line="360" w:lineRule="auto"/>
        <w:contextualSpacing/>
        <w:jc w:val="both"/>
        <w:rPr>
          <w:rFonts w:ascii="Palatino Linotype" w:hAnsi="Palatino Linotype" w:cs="Tahoma"/>
          <w:bCs/>
          <w:sz w:val="22"/>
          <w:szCs w:val="22"/>
        </w:rPr>
      </w:pPr>
    </w:p>
    <w:p w14:paraId="6E2A7FAC" w14:textId="77777777" w:rsidR="00501E1B" w:rsidRPr="005A5793" w:rsidRDefault="00501E1B" w:rsidP="00903F17">
      <w:pPr>
        <w:tabs>
          <w:tab w:val="left" w:pos="3969"/>
        </w:tabs>
        <w:spacing w:line="360" w:lineRule="auto"/>
        <w:contextualSpacing/>
        <w:jc w:val="both"/>
        <w:rPr>
          <w:rFonts w:ascii="Palatino Linotype" w:hAnsi="Palatino Linotype" w:cs="Tahoma"/>
          <w:bCs/>
          <w:sz w:val="22"/>
          <w:szCs w:val="22"/>
        </w:rPr>
      </w:pPr>
    </w:p>
    <w:p w14:paraId="6F70E14B" w14:textId="77777777" w:rsidR="00342378" w:rsidRPr="005A5793" w:rsidRDefault="00342378" w:rsidP="00903F17">
      <w:pPr>
        <w:tabs>
          <w:tab w:val="left" w:pos="3969"/>
        </w:tabs>
        <w:spacing w:line="360" w:lineRule="auto"/>
        <w:contextualSpacing/>
        <w:jc w:val="both"/>
        <w:rPr>
          <w:rFonts w:ascii="Palatino Linotype" w:hAnsi="Palatino Linotype" w:cs="Tahoma"/>
          <w:bCs/>
          <w:sz w:val="22"/>
          <w:szCs w:val="22"/>
        </w:rPr>
      </w:pPr>
    </w:p>
    <w:p w14:paraId="587FE52B" w14:textId="77777777" w:rsidR="00342378" w:rsidRPr="005A5793" w:rsidRDefault="00342378" w:rsidP="00903F17">
      <w:pPr>
        <w:tabs>
          <w:tab w:val="left" w:pos="3969"/>
        </w:tabs>
        <w:spacing w:line="360" w:lineRule="auto"/>
        <w:contextualSpacing/>
        <w:jc w:val="both"/>
        <w:rPr>
          <w:rFonts w:ascii="Palatino Linotype" w:hAnsi="Palatino Linotype" w:cs="Tahoma"/>
          <w:bCs/>
          <w:sz w:val="22"/>
          <w:szCs w:val="22"/>
        </w:rPr>
      </w:pPr>
    </w:p>
    <w:p w14:paraId="3D878441" w14:textId="77777777" w:rsidR="00342378" w:rsidRPr="005A5793" w:rsidRDefault="00342378" w:rsidP="00903F17">
      <w:pPr>
        <w:tabs>
          <w:tab w:val="left" w:pos="3969"/>
        </w:tabs>
        <w:spacing w:line="360" w:lineRule="auto"/>
        <w:contextualSpacing/>
        <w:jc w:val="both"/>
        <w:rPr>
          <w:rFonts w:ascii="Palatino Linotype" w:hAnsi="Palatino Linotype" w:cs="Tahoma"/>
          <w:bCs/>
          <w:sz w:val="22"/>
          <w:szCs w:val="22"/>
        </w:rPr>
      </w:pPr>
    </w:p>
    <w:p w14:paraId="5F8A8FDE" w14:textId="77777777" w:rsidR="00FF7544" w:rsidRPr="005A5793" w:rsidRDefault="00FF7544" w:rsidP="00903F17">
      <w:pPr>
        <w:tabs>
          <w:tab w:val="left" w:pos="3969"/>
        </w:tabs>
        <w:spacing w:line="360" w:lineRule="auto"/>
        <w:contextualSpacing/>
        <w:jc w:val="both"/>
        <w:rPr>
          <w:rFonts w:ascii="Palatino Linotype" w:hAnsi="Palatino Linotype" w:cs="Tahoma"/>
          <w:bCs/>
          <w:sz w:val="22"/>
          <w:szCs w:val="22"/>
        </w:rPr>
      </w:pPr>
    </w:p>
    <w:p w14:paraId="53E577C1" w14:textId="77777777" w:rsidR="00FF7544" w:rsidRPr="005A5793" w:rsidRDefault="00FF7544" w:rsidP="00903F17">
      <w:pPr>
        <w:tabs>
          <w:tab w:val="left" w:pos="3969"/>
        </w:tabs>
        <w:spacing w:line="360" w:lineRule="auto"/>
        <w:contextualSpacing/>
        <w:jc w:val="both"/>
        <w:rPr>
          <w:rFonts w:ascii="Palatino Linotype" w:hAnsi="Palatino Linotype" w:cs="Tahoma"/>
          <w:bCs/>
          <w:sz w:val="22"/>
          <w:szCs w:val="22"/>
        </w:rPr>
      </w:pPr>
    </w:p>
    <w:p w14:paraId="12E97F18" w14:textId="77777777" w:rsidR="00DB28B1" w:rsidRPr="005A5793" w:rsidRDefault="00DB28B1" w:rsidP="00903F17">
      <w:pPr>
        <w:tabs>
          <w:tab w:val="left" w:pos="3969"/>
        </w:tabs>
        <w:spacing w:line="360" w:lineRule="auto"/>
        <w:contextualSpacing/>
        <w:jc w:val="both"/>
        <w:rPr>
          <w:rFonts w:ascii="Palatino Linotype" w:hAnsi="Palatino Linotype" w:cs="Tahoma"/>
          <w:bCs/>
          <w:sz w:val="22"/>
          <w:szCs w:val="22"/>
        </w:rPr>
      </w:pPr>
    </w:p>
    <w:p w14:paraId="6A1BE368" w14:textId="04EE740B" w:rsidR="00E35DF9" w:rsidRPr="005A5793" w:rsidRDefault="00E35DF9" w:rsidP="00903F17">
      <w:pPr>
        <w:spacing w:line="360" w:lineRule="auto"/>
        <w:contextualSpacing/>
        <w:jc w:val="both"/>
        <w:rPr>
          <w:rFonts w:ascii="Palatino Linotype" w:hAnsi="Palatino Linotype" w:cs="Tahoma"/>
          <w:bCs/>
          <w:sz w:val="22"/>
          <w:szCs w:val="22"/>
        </w:rPr>
      </w:pPr>
      <w:r w:rsidRPr="005A5793">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5A5793">
        <w:rPr>
          <w:rFonts w:ascii="Palatino Linotype" w:hAnsi="Palatino Linotype" w:cs="Tahoma"/>
          <w:bCs/>
          <w:sz w:val="22"/>
          <w:szCs w:val="22"/>
        </w:rPr>
        <w:t xml:space="preserve"> </w:t>
      </w:r>
      <w:r w:rsidR="00E0412D" w:rsidRPr="005A5793">
        <w:rPr>
          <w:rFonts w:ascii="Palatino Linotype" w:hAnsi="Palatino Linotype" w:cs="Tahoma"/>
          <w:bCs/>
          <w:sz w:val="22"/>
          <w:szCs w:val="22"/>
        </w:rPr>
        <w:t>veinticuatro</w:t>
      </w:r>
      <w:r w:rsidR="00A3770E" w:rsidRPr="005A5793">
        <w:rPr>
          <w:rFonts w:ascii="Palatino Linotype" w:hAnsi="Palatino Linotype" w:cs="Tahoma"/>
          <w:bCs/>
          <w:sz w:val="22"/>
          <w:szCs w:val="22"/>
        </w:rPr>
        <w:t xml:space="preserve"> de septiembre</w:t>
      </w:r>
      <w:r w:rsidR="00954EDD" w:rsidRPr="005A5793">
        <w:rPr>
          <w:rFonts w:ascii="Palatino Linotype" w:hAnsi="Palatino Linotype" w:cs="Tahoma"/>
          <w:bCs/>
          <w:sz w:val="22"/>
          <w:szCs w:val="22"/>
        </w:rPr>
        <w:t xml:space="preserve"> </w:t>
      </w:r>
      <w:r w:rsidR="008453FA" w:rsidRPr="005A5793">
        <w:rPr>
          <w:rFonts w:ascii="Palatino Linotype" w:hAnsi="Palatino Linotype" w:cs="Tahoma"/>
          <w:bCs/>
          <w:sz w:val="22"/>
          <w:szCs w:val="22"/>
        </w:rPr>
        <w:t>de dos mil veinti</w:t>
      </w:r>
      <w:r w:rsidR="00F93A36" w:rsidRPr="005A5793">
        <w:rPr>
          <w:rFonts w:ascii="Palatino Linotype" w:hAnsi="Palatino Linotype" w:cs="Tahoma"/>
          <w:bCs/>
          <w:sz w:val="22"/>
          <w:szCs w:val="22"/>
        </w:rPr>
        <w:t>c</w:t>
      </w:r>
      <w:r w:rsidR="009C323D" w:rsidRPr="005A5793">
        <w:rPr>
          <w:rFonts w:ascii="Palatino Linotype" w:hAnsi="Palatino Linotype" w:cs="Tahoma"/>
          <w:bCs/>
          <w:sz w:val="22"/>
          <w:szCs w:val="22"/>
        </w:rPr>
        <w:t>inc</w:t>
      </w:r>
      <w:r w:rsidR="00F93A36" w:rsidRPr="005A5793">
        <w:rPr>
          <w:rFonts w:ascii="Palatino Linotype" w:hAnsi="Palatino Linotype" w:cs="Tahoma"/>
          <w:bCs/>
          <w:sz w:val="22"/>
          <w:szCs w:val="22"/>
        </w:rPr>
        <w:t>o</w:t>
      </w:r>
      <w:r w:rsidRPr="005A5793">
        <w:rPr>
          <w:rFonts w:ascii="Palatino Linotype" w:hAnsi="Palatino Linotype" w:cs="Tahoma"/>
          <w:bCs/>
          <w:sz w:val="22"/>
          <w:szCs w:val="22"/>
        </w:rPr>
        <w:t>.</w:t>
      </w:r>
    </w:p>
    <w:p w14:paraId="4AF00484" w14:textId="77777777" w:rsidR="00E35DF9" w:rsidRPr="005A5793" w:rsidRDefault="00E35DF9" w:rsidP="00903F17">
      <w:pPr>
        <w:spacing w:line="360" w:lineRule="auto"/>
        <w:contextualSpacing/>
        <w:jc w:val="both"/>
        <w:rPr>
          <w:rFonts w:ascii="Palatino Linotype" w:hAnsi="Palatino Linotype" w:cs="Tahoma"/>
          <w:bCs/>
          <w:sz w:val="22"/>
          <w:szCs w:val="22"/>
        </w:rPr>
      </w:pPr>
    </w:p>
    <w:p w14:paraId="74EA1FD4" w14:textId="64109DD5" w:rsidR="00E35DF9" w:rsidRPr="005A5793" w:rsidRDefault="00E35DF9" w:rsidP="00903F17">
      <w:pPr>
        <w:spacing w:line="360" w:lineRule="auto"/>
        <w:contextualSpacing/>
        <w:jc w:val="both"/>
        <w:rPr>
          <w:rFonts w:ascii="Palatino Linotype" w:hAnsi="Palatino Linotype" w:cs="Tahoma"/>
          <w:bCs/>
          <w:sz w:val="22"/>
          <w:szCs w:val="22"/>
        </w:rPr>
      </w:pPr>
      <w:r w:rsidRPr="005A5793">
        <w:rPr>
          <w:rFonts w:ascii="Palatino Linotype" w:hAnsi="Palatino Linotype" w:cs="Tahoma"/>
          <w:b/>
          <w:bCs/>
          <w:color w:val="0D0D0D" w:themeColor="text1" w:themeTint="F2"/>
          <w:sz w:val="22"/>
          <w:szCs w:val="22"/>
        </w:rPr>
        <w:t xml:space="preserve">VISTO </w:t>
      </w:r>
      <w:r w:rsidR="00D0542E" w:rsidRPr="005A5793">
        <w:rPr>
          <w:rFonts w:ascii="Palatino Linotype" w:hAnsi="Palatino Linotype" w:cs="Tahoma"/>
          <w:bCs/>
          <w:color w:val="0D0D0D" w:themeColor="text1" w:themeTint="F2"/>
          <w:sz w:val="22"/>
          <w:szCs w:val="22"/>
        </w:rPr>
        <w:t>el expediente</w:t>
      </w:r>
      <w:r w:rsidRPr="005A5793">
        <w:rPr>
          <w:rFonts w:ascii="Palatino Linotype" w:hAnsi="Palatino Linotype" w:cs="Tahoma"/>
          <w:bCs/>
          <w:color w:val="0D0D0D" w:themeColor="text1" w:themeTint="F2"/>
          <w:sz w:val="22"/>
          <w:szCs w:val="22"/>
        </w:rPr>
        <w:t xml:space="preserve"> conformado con motivo de</w:t>
      </w:r>
      <w:r w:rsidR="00E30210" w:rsidRPr="005A5793">
        <w:rPr>
          <w:rFonts w:ascii="Palatino Linotype" w:hAnsi="Palatino Linotype" w:cs="Tahoma"/>
          <w:bCs/>
          <w:color w:val="0D0D0D" w:themeColor="text1" w:themeTint="F2"/>
          <w:sz w:val="22"/>
          <w:szCs w:val="22"/>
        </w:rPr>
        <w:t>l</w:t>
      </w:r>
      <w:r w:rsidRPr="005A5793">
        <w:rPr>
          <w:rFonts w:ascii="Palatino Linotype" w:hAnsi="Palatino Linotype" w:cs="Tahoma"/>
          <w:bCs/>
          <w:color w:val="0D0D0D" w:themeColor="text1" w:themeTint="F2"/>
          <w:sz w:val="22"/>
          <w:szCs w:val="22"/>
        </w:rPr>
        <w:t xml:space="preserve"> Recurso de Revisión</w:t>
      </w:r>
      <w:r w:rsidR="0089175F" w:rsidRPr="005A5793">
        <w:rPr>
          <w:rFonts w:ascii="Palatino Linotype" w:hAnsi="Palatino Linotype" w:cs="Tahoma"/>
          <w:bCs/>
          <w:color w:val="0D0D0D" w:themeColor="text1" w:themeTint="F2"/>
          <w:sz w:val="22"/>
          <w:szCs w:val="22"/>
        </w:rPr>
        <w:t xml:space="preserve"> </w:t>
      </w:r>
      <w:r w:rsidR="00670F18" w:rsidRPr="004065DA">
        <w:rPr>
          <w:rFonts w:ascii="Palatino Linotype" w:hAnsi="Palatino Linotype" w:cs="Tahoma"/>
          <w:b/>
          <w:color w:val="0D0D0D" w:themeColor="text1" w:themeTint="F2"/>
          <w:sz w:val="22"/>
          <w:szCs w:val="22"/>
        </w:rPr>
        <w:t>0</w:t>
      </w:r>
      <w:r w:rsidR="00A3770E" w:rsidRPr="004065DA">
        <w:rPr>
          <w:rFonts w:ascii="Palatino Linotype" w:hAnsi="Palatino Linotype" w:cs="Tahoma"/>
          <w:b/>
          <w:color w:val="0D0D0D" w:themeColor="text1" w:themeTint="F2"/>
          <w:sz w:val="22"/>
          <w:szCs w:val="22"/>
        </w:rPr>
        <w:t>10021</w:t>
      </w:r>
      <w:r w:rsidR="0089175F" w:rsidRPr="004065DA">
        <w:rPr>
          <w:rFonts w:ascii="Palatino Linotype" w:hAnsi="Palatino Linotype" w:cs="Tahoma"/>
          <w:b/>
          <w:color w:val="0D0D0D" w:themeColor="text1" w:themeTint="F2"/>
          <w:sz w:val="22"/>
          <w:szCs w:val="22"/>
        </w:rPr>
        <w:t>/INFOEM/IP/RR/202</w:t>
      </w:r>
      <w:r w:rsidR="00CD10BF" w:rsidRPr="004065DA">
        <w:rPr>
          <w:rFonts w:ascii="Palatino Linotype" w:hAnsi="Palatino Linotype" w:cs="Tahoma"/>
          <w:b/>
          <w:color w:val="0D0D0D" w:themeColor="text1" w:themeTint="F2"/>
          <w:sz w:val="22"/>
          <w:szCs w:val="22"/>
        </w:rPr>
        <w:t>5</w:t>
      </w:r>
      <w:r w:rsidR="0089175F" w:rsidRPr="004065DA">
        <w:rPr>
          <w:rFonts w:ascii="Palatino Linotype" w:hAnsi="Palatino Linotype" w:cs="Tahoma"/>
          <w:b/>
          <w:color w:val="0D0D0D" w:themeColor="text1" w:themeTint="F2"/>
          <w:sz w:val="22"/>
          <w:szCs w:val="22"/>
        </w:rPr>
        <w:t>,</w:t>
      </w:r>
      <w:r w:rsidRPr="005A5793">
        <w:rPr>
          <w:rFonts w:ascii="Palatino Linotype" w:hAnsi="Palatino Linotype" w:cs="Tahoma"/>
          <w:color w:val="0D0D0D" w:themeColor="text1" w:themeTint="F2"/>
          <w:sz w:val="22"/>
          <w:szCs w:val="22"/>
        </w:rPr>
        <w:t xml:space="preserve"> interpuesto</w:t>
      </w:r>
      <w:r w:rsidR="00C74F5F" w:rsidRPr="005A5793">
        <w:rPr>
          <w:rFonts w:ascii="Palatino Linotype" w:hAnsi="Palatino Linotype" w:cs="Tahoma"/>
          <w:color w:val="0D0D0D" w:themeColor="text1" w:themeTint="F2"/>
          <w:sz w:val="22"/>
          <w:szCs w:val="22"/>
        </w:rPr>
        <w:t xml:space="preserve"> </w:t>
      </w:r>
      <w:r w:rsidR="007E4927" w:rsidRPr="005A5793">
        <w:rPr>
          <w:rFonts w:ascii="Palatino Linotype" w:hAnsi="Palatino Linotype" w:cs="Tahoma"/>
          <w:color w:val="0D0D0D" w:themeColor="text1" w:themeTint="F2"/>
          <w:sz w:val="22"/>
          <w:szCs w:val="22"/>
        </w:rPr>
        <w:t>por</w:t>
      </w:r>
      <w:r w:rsidR="00383BDB" w:rsidRPr="005A5793">
        <w:rPr>
          <w:rFonts w:ascii="Palatino Linotype" w:hAnsi="Palatino Linotype" w:cs="Tahoma"/>
          <w:color w:val="0D0D0D" w:themeColor="text1" w:themeTint="F2"/>
          <w:sz w:val="22"/>
          <w:szCs w:val="22"/>
        </w:rPr>
        <w:t xml:space="preserve"> </w:t>
      </w:r>
      <w:r w:rsidR="00CD52E7" w:rsidRPr="005A5793">
        <w:rPr>
          <w:rFonts w:ascii="Palatino Linotype" w:hAnsi="Palatino Linotype" w:cs="Tahoma"/>
          <w:color w:val="0D0D0D" w:themeColor="text1" w:themeTint="F2"/>
          <w:sz w:val="22"/>
          <w:szCs w:val="22"/>
        </w:rPr>
        <w:t>un</w:t>
      </w:r>
      <w:r w:rsidR="00F770EE" w:rsidRPr="005A5793">
        <w:rPr>
          <w:rFonts w:ascii="Palatino Linotype" w:hAnsi="Palatino Linotype" w:cs="Tahoma"/>
          <w:color w:val="0D0D0D" w:themeColor="text1" w:themeTint="F2"/>
          <w:sz w:val="22"/>
          <w:szCs w:val="22"/>
        </w:rPr>
        <w:t xml:space="preserve"> </w:t>
      </w:r>
      <w:r w:rsidRPr="005A5793">
        <w:rPr>
          <w:rFonts w:ascii="Palatino Linotype" w:hAnsi="Palatino Linotype" w:cs="Tahoma"/>
          <w:color w:val="0D0D0D" w:themeColor="text1" w:themeTint="F2"/>
          <w:sz w:val="22"/>
          <w:szCs w:val="22"/>
        </w:rPr>
        <w:t>Recurrente o Particular, en contra de la respuesta del Sujeto Obligado</w:t>
      </w:r>
      <w:r w:rsidRPr="005A5793">
        <w:rPr>
          <w:rFonts w:ascii="Palatino Linotype" w:hAnsi="Palatino Linotype"/>
          <w:sz w:val="22"/>
          <w:szCs w:val="22"/>
        </w:rPr>
        <w:t xml:space="preserve"> </w:t>
      </w:r>
      <w:r w:rsidR="00A3770E" w:rsidRPr="004065DA">
        <w:rPr>
          <w:rFonts w:ascii="Palatino Linotype" w:eastAsia="Calibri" w:hAnsi="Palatino Linotype" w:cs="Tahoma"/>
          <w:b/>
          <w:sz w:val="22"/>
          <w:szCs w:val="22"/>
          <w:lang w:eastAsia="en-US"/>
        </w:rPr>
        <w:t>Instituto Municipal de Cultura Física y Deporte de Tenango del Valle</w:t>
      </w:r>
      <w:r w:rsidRPr="005A5793">
        <w:rPr>
          <w:rFonts w:ascii="Palatino Linotype" w:hAnsi="Palatino Linotype" w:cs="Tahoma"/>
          <w:b/>
          <w:color w:val="0D0D0D" w:themeColor="text1" w:themeTint="F2"/>
          <w:sz w:val="22"/>
          <w:szCs w:val="22"/>
        </w:rPr>
        <w:t xml:space="preserve">, </w:t>
      </w:r>
      <w:r w:rsidRPr="005A5793">
        <w:rPr>
          <w:rFonts w:ascii="Palatino Linotype" w:hAnsi="Palatino Linotype" w:cs="Tahoma"/>
          <w:bCs/>
          <w:color w:val="0D0D0D" w:themeColor="text1" w:themeTint="F2"/>
          <w:sz w:val="22"/>
          <w:szCs w:val="22"/>
        </w:rPr>
        <w:t>se emite la presente Resolución, con base en los Antecedentes y C</w:t>
      </w:r>
      <w:r w:rsidRPr="005A5793">
        <w:rPr>
          <w:rFonts w:ascii="Palatino Linotype" w:hAnsi="Palatino Linotype" w:cs="Tahoma"/>
          <w:bCs/>
          <w:sz w:val="22"/>
          <w:szCs w:val="22"/>
        </w:rPr>
        <w:t>onsiderandos que a continuación se exponen:</w:t>
      </w:r>
    </w:p>
    <w:p w14:paraId="54D40D16" w14:textId="77777777" w:rsidR="00BB1F81" w:rsidRPr="005A5793" w:rsidRDefault="00BB1F81" w:rsidP="00903F17">
      <w:pPr>
        <w:spacing w:line="360" w:lineRule="auto"/>
        <w:contextualSpacing/>
        <w:jc w:val="both"/>
        <w:rPr>
          <w:rFonts w:ascii="Palatino Linotype" w:hAnsi="Palatino Linotype" w:cs="Tahoma"/>
          <w:b/>
          <w:color w:val="0D0D0D" w:themeColor="text1" w:themeTint="F2"/>
          <w:sz w:val="18"/>
          <w:szCs w:val="22"/>
        </w:rPr>
      </w:pPr>
      <w:bookmarkStart w:id="1" w:name="_GoBack"/>
      <w:bookmarkEnd w:id="1"/>
    </w:p>
    <w:p w14:paraId="6606F59B" w14:textId="77777777" w:rsidR="00E35DF9" w:rsidRPr="005A5793" w:rsidRDefault="00E35DF9" w:rsidP="00903F17">
      <w:pPr>
        <w:pStyle w:val="Ttulo1"/>
        <w:spacing w:before="0" w:line="360" w:lineRule="auto"/>
        <w:jc w:val="center"/>
        <w:rPr>
          <w:rFonts w:ascii="Palatino Linotype" w:hAnsi="Palatino Linotype"/>
          <w:b/>
          <w:sz w:val="22"/>
          <w:szCs w:val="22"/>
        </w:rPr>
      </w:pPr>
      <w:bookmarkStart w:id="2" w:name="_Toc209708714"/>
      <w:r w:rsidRPr="005A5793">
        <w:rPr>
          <w:rFonts w:ascii="Palatino Linotype" w:hAnsi="Palatino Linotype"/>
          <w:b/>
          <w:color w:val="auto"/>
          <w:sz w:val="22"/>
          <w:szCs w:val="22"/>
        </w:rPr>
        <w:t>A N T E C E D E N T E S</w:t>
      </w:r>
      <w:bookmarkEnd w:id="2"/>
    </w:p>
    <w:p w14:paraId="34093BBD" w14:textId="77777777" w:rsidR="001E7B8B" w:rsidRPr="005A5793" w:rsidRDefault="001E7B8B" w:rsidP="00903F17">
      <w:pPr>
        <w:pStyle w:val="Prrafodelista"/>
        <w:tabs>
          <w:tab w:val="left" w:pos="567"/>
        </w:tabs>
        <w:spacing w:line="360" w:lineRule="auto"/>
        <w:ind w:left="0"/>
        <w:jc w:val="both"/>
        <w:rPr>
          <w:rFonts w:ascii="Palatino Linotype" w:hAnsi="Palatino Linotype" w:cs="Tahoma"/>
          <w:b/>
          <w:szCs w:val="22"/>
        </w:rPr>
      </w:pPr>
    </w:p>
    <w:p w14:paraId="614581DF" w14:textId="77777777" w:rsidR="00E35DF9" w:rsidRPr="005A5793" w:rsidRDefault="00E35DF9" w:rsidP="00903F17">
      <w:pPr>
        <w:pStyle w:val="Ttulo2"/>
        <w:spacing w:before="0" w:line="360" w:lineRule="auto"/>
        <w:rPr>
          <w:rFonts w:ascii="Palatino Linotype" w:hAnsi="Palatino Linotype"/>
          <w:b/>
          <w:color w:val="auto"/>
          <w:sz w:val="22"/>
          <w:szCs w:val="22"/>
        </w:rPr>
      </w:pPr>
      <w:bookmarkStart w:id="3" w:name="_Toc209708715"/>
      <w:r w:rsidRPr="005A5793">
        <w:rPr>
          <w:rFonts w:ascii="Palatino Linotype" w:hAnsi="Palatino Linotype"/>
          <w:b/>
          <w:color w:val="auto"/>
          <w:sz w:val="22"/>
          <w:szCs w:val="22"/>
        </w:rPr>
        <w:t>I. Presentación de la solicitud de información</w:t>
      </w:r>
      <w:bookmarkEnd w:id="3"/>
    </w:p>
    <w:p w14:paraId="42943B67" w14:textId="77777777" w:rsidR="00E35DF9" w:rsidRPr="005A5793" w:rsidRDefault="00E35DF9" w:rsidP="00903F17">
      <w:pPr>
        <w:pStyle w:val="Prrafodelista"/>
        <w:tabs>
          <w:tab w:val="left" w:pos="567"/>
        </w:tabs>
        <w:spacing w:line="360" w:lineRule="auto"/>
        <w:ind w:left="0"/>
        <w:jc w:val="both"/>
        <w:rPr>
          <w:rFonts w:ascii="Palatino Linotype" w:hAnsi="Palatino Linotype" w:cs="Tahoma"/>
          <w:b/>
          <w:sz w:val="18"/>
          <w:szCs w:val="22"/>
        </w:rPr>
      </w:pPr>
    </w:p>
    <w:p w14:paraId="4BB7ADC4" w14:textId="386B44CD" w:rsidR="00D807FB" w:rsidRPr="005A5793" w:rsidRDefault="00BB1F81" w:rsidP="00903F17">
      <w:pPr>
        <w:widowControl w:val="0"/>
        <w:tabs>
          <w:tab w:val="left" w:pos="567"/>
        </w:tabs>
        <w:spacing w:line="360" w:lineRule="auto"/>
        <w:jc w:val="both"/>
        <w:rPr>
          <w:rFonts w:ascii="Palatino Linotype" w:hAnsi="Palatino Linotype" w:cs="Tahoma"/>
          <w:sz w:val="22"/>
          <w:szCs w:val="22"/>
        </w:rPr>
      </w:pPr>
      <w:r w:rsidRPr="005A5793">
        <w:rPr>
          <w:rFonts w:ascii="Palatino Linotype" w:hAnsi="Palatino Linotype" w:cs="Tahoma"/>
          <w:sz w:val="22"/>
          <w:szCs w:val="22"/>
        </w:rPr>
        <w:t>El</w:t>
      </w:r>
      <w:r w:rsidR="00E35DF9" w:rsidRPr="005A5793">
        <w:rPr>
          <w:rFonts w:ascii="Palatino Linotype" w:hAnsi="Palatino Linotype" w:cs="Tahoma"/>
          <w:sz w:val="22"/>
          <w:szCs w:val="22"/>
        </w:rPr>
        <w:t xml:space="preserve"> </w:t>
      </w:r>
      <w:r w:rsidR="00A3770E" w:rsidRPr="005A5793">
        <w:rPr>
          <w:rFonts w:ascii="Palatino Linotype" w:hAnsi="Palatino Linotype" w:cs="Tahoma"/>
          <w:sz w:val="22"/>
          <w:szCs w:val="22"/>
        </w:rPr>
        <w:t>quince de agosto</w:t>
      </w:r>
      <w:r w:rsidR="004313EA" w:rsidRPr="005A5793">
        <w:rPr>
          <w:rFonts w:ascii="Palatino Linotype" w:hAnsi="Palatino Linotype" w:cs="Tahoma"/>
          <w:sz w:val="22"/>
          <w:szCs w:val="22"/>
        </w:rPr>
        <w:t xml:space="preserve"> </w:t>
      </w:r>
      <w:r w:rsidR="00D6115B" w:rsidRPr="005A5793">
        <w:rPr>
          <w:rFonts w:ascii="Palatino Linotype" w:hAnsi="Palatino Linotype" w:cs="Tahoma"/>
          <w:sz w:val="22"/>
          <w:szCs w:val="22"/>
        </w:rPr>
        <w:t>de dos mil veinticinco</w:t>
      </w:r>
      <w:r w:rsidR="00E35DF9" w:rsidRPr="005A5793">
        <w:rPr>
          <w:rFonts w:ascii="Palatino Linotype" w:hAnsi="Palatino Linotype" w:cs="Tahoma"/>
          <w:sz w:val="22"/>
          <w:szCs w:val="22"/>
        </w:rPr>
        <w:t xml:space="preserve">, </w:t>
      </w:r>
      <w:r w:rsidR="00C247E5" w:rsidRPr="005A5793">
        <w:rPr>
          <w:rFonts w:ascii="Palatino Linotype" w:hAnsi="Palatino Linotype" w:cs="Tahoma"/>
          <w:sz w:val="22"/>
          <w:szCs w:val="22"/>
        </w:rPr>
        <w:t>el</w:t>
      </w:r>
      <w:r w:rsidR="00E35DF9" w:rsidRPr="005A5793">
        <w:rPr>
          <w:rFonts w:ascii="Palatino Linotype" w:hAnsi="Palatino Linotype" w:cs="Tahoma"/>
          <w:sz w:val="22"/>
          <w:szCs w:val="22"/>
        </w:rPr>
        <w:t xml:space="preserve"> Particular presentó solicitud de acceso a la i</w:t>
      </w:r>
      <w:r w:rsidR="009D6672" w:rsidRPr="005A5793">
        <w:rPr>
          <w:rFonts w:ascii="Palatino Linotype" w:hAnsi="Palatino Linotype" w:cs="Tahoma"/>
          <w:sz w:val="22"/>
          <w:szCs w:val="22"/>
        </w:rPr>
        <w:t>nformación pública, a través de</w:t>
      </w:r>
      <w:r w:rsidR="00EA2594" w:rsidRPr="005A5793">
        <w:rPr>
          <w:rFonts w:ascii="Palatino Linotype" w:hAnsi="Palatino Linotype" w:cs="Tahoma"/>
          <w:sz w:val="22"/>
          <w:szCs w:val="22"/>
        </w:rPr>
        <w:t xml:space="preserve">l </w:t>
      </w:r>
      <w:r w:rsidR="00062387" w:rsidRPr="005A5793">
        <w:rPr>
          <w:rFonts w:ascii="Palatino Linotype" w:hAnsi="Palatino Linotype" w:cs="Tahoma"/>
          <w:sz w:val="22"/>
          <w:szCs w:val="22"/>
        </w:rPr>
        <w:t>Sistema de Acceso a la</w:t>
      </w:r>
      <w:r w:rsidR="000973B8" w:rsidRPr="005A5793">
        <w:rPr>
          <w:rFonts w:ascii="Palatino Linotype" w:hAnsi="Palatino Linotype" w:cs="Tahoma"/>
          <w:sz w:val="22"/>
          <w:szCs w:val="22"/>
        </w:rPr>
        <w:t xml:space="preserve"> Información Mexiquense</w:t>
      </w:r>
      <w:r w:rsidRPr="005A5793">
        <w:rPr>
          <w:rFonts w:ascii="Palatino Linotype" w:hAnsi="Palatino Linotype" w:cs="Tahoma"/>
          <w:sz w:val="22"/>
          <w:szCs w:val="22"/>
        </w:rPr>
        <w:t>, en lo sucesivo</w:t>
      </w:r>
      <w:r w:rsidR="000973B8" w:rsidRPr="005A5793">
        <w:rPr>
          <w:rFonts w:ascii="Palatino Linotype" w:hAnsi="Palatino Linotype" w:cs="Tahoma"/>
          <w:sz w:val="22"/>
          <w:szCs w:val="22"/>
        </w:rPr>
        <w:t xml:space="preserve"> </w:t>
      </w:r>
      <w:r w:rsidRPr="005A5793">
        <w:rPr>
          <w:rFonts w:ascii="Palatino Linotype" w:hAnsi="Palatino Linotype" w:cs="Tahoma"/>
          <w:sz w:val="22"/>
          <w:szCs w:val="22"/>
        </w:rPr>
        <w:t xml:space="preserve">el </w:t>
      </w:r>
      <w:r w:rsidR="000973B8" w:rsidRPr="005A5793">
        <w:rPr>
          <w:rFonts w:ascii="Palatino Linotype" w:hAnsi="Palatino Linotype" w:cs="Tahoma"/>
          <w:sz w:val="22"/>
          <w:szCs w:val="22"/>
        </w:rPr>
        <w:t>SAIMEX</w:t>
      </w:r>
      <w:r w:rsidR="00E35DF9" w:rsidRPr="005A5793">
        <w:rPr>
          <w:rFonts w:ascii="Palatino Linotype" w:hAnsi="Palatino Linotype" w:cs="Tahoma"/>
          <w:sz w:val="22"/>
          <w:szCs w:val="22"/>
        </w:rPr>
        <w:t xml:space="preserve">, ante </w:t>
      </w:r>
      <w:r w:rsidR="009C323D" w:rsidRPr="005A5793">
        <w:rPr>
          <w:rFonts w:ascii="Palatino Linotype" w:hAnsi="Palatino Linotype" w:cs="Tahoma"/>
          <w:sz w:val="22"/>
          <w:szCs w:val="22"/>
        </w:rPr>
        <w:t>e</w:t>
      </w:r>
      <w:r w:rsidR="00212285" w:rsidRPr="005A5793">
        <w:rPr>
          <w:rFonts w:ascii="Palatino Linotype" w:hAnsi="Palatino Linotype" w:cs="Tahoma"/>
          <w:sz w:val="22"/>
          <w:szCs w:val="22"/>
        </w:rPr>
        <w:t>l</w:t>
      </w:r>
      <w:r w:rsidR="00E35DF9" w:rsidRPr="005A5793">
        <w:rPr>
          <w:rFonts w:ascii="Palatino Linotype" w:hAnsi="Palatino Linotype" w:cs="Tahoma"/>
          <w:sz w:val="22"/>
          <w:szCs w:val="22"/>
        </w:rPr>
        <w:t xml:space="preserve"> </w:t>
      </w:r>
      <w:r w:rsidR="00A3770E" w:rsidRPr="005A5793">
        <w:rPr>
          <w:rFonts w:ascii="Palatino Linotype" w:hAnsi="Palatino Linotype" w:cs="Tahoma"/>
          <w:sz w:val="22"/>
          <w:szCs w:val="22"/>
        </w:rPr>
        <w:t>Instituto Municipal de Cultura Física y Deporte de Tenango del Valle</w:t>
      </w:r>
      <w:r w:rsidR="00E35DF9" w:rsidRPr="005A5793">
        <w:rPr>
          <w:rFonts w:ascii="Palatino Linotype" w:hAnsi="Palatino Linotype" w:cs="Tahoma"/>
          <w:sz w:val="22"/>
          <w:szCs w:val="22"/>
        </w:rPr>
        <w:t xml:space="preserve">, </w:t>
      </w:r>
      <w:r w:rsidR="003A12F1" w:rsidRPr="005A5793">
        <w:rPr>
          <w:rFonts w:ascii="Palatino Linotype" w:hAnsi="Palatino Linotype" w:cs="Tahoma"/>
          <w:sz w:val="22"/>
          <w:szCs w:val="22"/>
        </w:rPr>
        <w:t xml:space="preserve">misma que fue registrada con el número de folio </w:t>
      </w:r>
      <w:bookmarkStart w:id="4" w:name="_Hlk208409682"/>
      <w:r w:rsidR="00A3770E" w:rsidRPr="005A5793">
        <w:rPr>
          <w:rFonts w:ascii="Palatino Linotype" w:hAnsi="Palatino Linotype" w:cs="Tahoma"/>
          <w:sz w:val="22"/>
          <w:szCs w:val="22"/>
        </w:rPr>
        <w:t>00007/IMCUFIDETENAVA/IP/2025</w:t>
      </w:r>
      <w:bookmarkEnd w:id="4"/>
      <w:r w:rsidR="003A12F1" w:rsidRPr="005A5793">
        <w:rPr>
          <w:rFonts w:ascii="Palatino Linotype" w:hAnsi="Palatino Linotype" w:cs="Tahoma"/>
          <w:sz w:val="22"/>
          <w:szCs w:val="22"/>
        </w:rPr>
        <w:t>,</w:t>
      </w:r>
      <w:r w:rsidR="003A12F1" w:rsidRPr="005A5793">
        <w:rPr>
          <w:rFonts w:ascii="Palatino Linotype" w:hAnsi="Palatino Linotype" w:cs="Tahoma"/>
          <w:b/>
          <w:bCs/>
          <w:sz w:val="22"/>
          <w:szCs w:val="22"/>
        </w:rPr>
        <w:t xml:space="preserve"> </w:t>
      </w:r>
      <w:r w:rsidR="00E35DF9" w:rsidRPr="005A5793">
        <w:rPr>
          <w:rFonts w:ascii="Palatino Linotype" w:hAnsi="Palatino Linotype" w:cs="Tahoma"/>
          <w:sz w:val="22"/>
          <w:szCs w:val="22"/>
        </w:rPr>
        <w:t xml:space="preserve">mediante </w:t>
      </w:r>
      <w:r w:rsidR="0074594A" w:rsidRPr="005A5793">
        <w:rPr>
          <w:rFonts w:ascii="Palatino Linotype" w:hAnsi="Palatino Linotype" w:cs="Tahoma"/>
          <w:sz w:val="22"/>
          <w:szCs w:val="22"/>
        </w:rPr>
        <w:t>l</w:t>
      </w:r>
      <w:r w:rsidR="00B50512" w:rsidRPr="005A5793">
        <w:rPr>
          <w:rFonts w:ascii="Palatino Linotype" w:hAnsi="Palatino Linotype" w:cs="Tahoma"/>
          <w:sz w:val="22"/>
          <w:szCs w:val="22"/>
        </w:rPr>
        <w:t>a</w:t>
      </w:r>
      <w:r w:rsidR="00E35DF9" w:rsidRPr="005A5793">
        <w:rPr>
          <w:rFonts w:ascii="Palatino Linotype" w:hAnsi="Palatino Linotype" w:cs="Tahoma"/>
          <w:sz w:val="22"/>
          <w:szCs w:val="22"/>
        </w:rPr>
        <w:t xml:space="preserve"> cual requirió lo siguiente: </w:t>
      </w:r>
    </w:p>
    <w:p w14:paraId="60921FC1" w14:textId="77777777" w:rsidR="00634E2D" w:rsidRPr="005A5793" w:rsidRDefault="00634E2D" w:rsidP="00903F17">
      <w:pPr>
        <w:tabs>
          <w:tab w:val="left" w:pos="567"/>
        </w:tabs>
        <w:spacing w:line="360" w:lineRule="auto"/>
        <w:contextualSpacing/>
        <w:jc w:val="both"/>
        <w:rPr>
          <w:rFonts w:ascii="Palatino Linotype" w:hAnsi="Palatino Linotype" w:cs="Tahoma"/>
          <w:sz w:val="22"/>
        </w:rPr>
      </w:pPr>
    </w:p>
    <w:p w14:paraId="60D90A00" w14:textId="77777777" w:rsidR="00D807FB" w:rsidRPr="005A5793" w:rsidRDefault="00D807FB" w:rsidP="00903F17">
      <w:pPr>
        <w:tabs>
          <w:tab w:val="left" w:pos="567"/>
        </w:tabs>
        <w:spacing w:line="360" w:lineRule="auto"/>
        <w:ind w:left="567" w:right="539"/>
        <w:contextualSpacing/>
        <w:jc w:val="both"/>
        <w:rPr>
          <w:rFonts w:ascii="Palatino Linotype" w:hAnsi="Palatino Linotype" w:cs="Tahoma"/>
          <w:b/>
          <w:bCs/>
          <w:sz w:val="22"/>
          <w:szCs w:val="22"/>
        </w:rPr>
      </w:pPr>
      <w:r w:rsidRPr="005A5793">
        <w:rPr>
          <w:rFonts w:ascii="Palatino Linotype" w:hAnsi="Palatino Linotype" w:cs="Tahoma"/>
          <w:b/>
          <w:bCs/>
        </w:rPr>
        <w:t>DESCRIPCIÓN CLARA Y PRECISA DE LA INFORMACIÓN SOLICITADA</w:t>
      </w:r>
    </w:p>
    <w:p w14:paraId="01618882" w14:textId="206E5610" w:rsidR="000F2B83" w:rsidRPr="005A5793" w:rsidRDefault="004B553D" w:rsidP="00903F17">
      <w:pPr>
        <w:pStyle w:val="Prrafodelista"/>
        <w:tabs>
          <w:tab w:val="left" w:pos="567"/>
        </w:tabs>
        <w:spacing w:line="360" w:lineRule="auto"/>
        <w:ind w:left="567" w:right="539"/>
        <w:jc w:val="both"/>
        <w:rPr>
          <w:rFonts w:ascii="Palatino Linotype" w:hAnsi="Palatino Linotype"/>
          <w:i/>
          <w:iCs/>
          <w:color w:val="000000"/>
          <w:sz w:val="20"/>
          <w:szCs w:val="20"/>
        </w:rPr>
      </w:pPr>
      <w:r w:rsidRPr="005A5793">
        <w:rPr>
          <w:rFonts w:ascii="Palatino Linotype" w:hAnsi="Palatino Linotype"/>
          <w:i/>
          <w:iCs/>
          <w:color w:val="000000"/>
          <w:sz w:val="20"/>
          <w:szCs w:val="20"/>
        </w:rPr>
        <w:t>"</w:t>
      </w:r>
      <w:r w:rsidR="00A3770E" w:rsidRPr="005A5793">
        <w:rPr>
          <w:rFonts w:ascii="Palatino Linotype" w:hAnsi="Palatino Linotype"/>
          <w:i/>
          <w:iCs/>
          <w:color w:val="000000"/>
          <w:sz w:val="20"/>
          <w:szCs w:val="20"/>
        </w:rPr>
        <w:t xml:space="preserve">Solicito copia de los recibos de nómina de todos los servidores públicos del IMCUFIDE de Tenango del Valle, de la segunda quincena de julio de 2025. </w:t>
      </w:r>
      <w:r w:rsidR="00B50512" w:rsidRPr="005A5793">
        <w:rPr>
          <w:rFonts w:ascii="Palatino Linotype" w:hAnsi="Palatino Linotype"/>
          <w:i/>
          <w:iCs/>
          <w:color w:val="000000"/>
          <w:sz w:val="20"/>
          <w:szCs w:val="20"/>
        </w:rPr>
        <w:t>"</w:t>
      </w:r>
      <w:r w:rsidR="00A650C6" w:rsidRPr="005A5793">
        <w:rPr>
          <w:rFonts w:ascii="Palatino Linotype" w:hAnsi="Palatino Linotype"/>
          <w:i/>
          <w:iCs/>
          <w:color w:val="000000"/>
          <w:sz w:val="20"/>
          <w:szCs w:val="20"/>
        </w:rPr>
        <w:t xml:space="preserve"> </w:t>
      </w:r>
      <w:r w:rsidR="00954EDD" w:rsidRPr="005A5793">
        <w:rPr>
          <w:rFonts w:ascii="Palatino Linotype" w:hAnsi="Palatino Linotype"/>
          <w:i/>
          <w:iCs/>
          <w:color w:val="000000"/>
          <w:sz w:val="20"/>
          <w:szCs w:val="20"/>
        </w:rPr>
        <w:t>(Sic)</w:t>
      </w:r>
    </w:p>
    <w:p w14:paraId="15BE82ED" w14:textId="77777777" w:rsidR="007E4927" w:rsidRPr="005A5793" w:rsidRDefault="007E4927" w:rsidP="00903F17">
      <w:pPr>
        <w:pStyle w:val="Prrafodelista"/>
        <w:tabs>
          <w:tab w:val="left" w:pos="567"/>
        </w:tabs>
        <w:spacing w:line="360" w:lineRule="auto"/>
        <w:ind w:left="567" w:right="539"/>
        <w:jc w:val="both"/>
        <w:rPr>
          <w:rFonts w:ascii="Palatino Linotype" w:hAnsi="Palatino Linotype"/>
          <w:i/>
          <w:iCs/>
          <w:color w:val="000000"/>
          <w:sz w:val="20"/>
          <w:szCs w:val="20"/>
        </w:rPr>
      </w:pPr>
    </w:p>
    <w:p w14:paraId="48B16B35" w14:textId="77777777" w:rsidR="00E35DF9" w:rsidRPr="005A5793" w:rsidRDefault="00E35DF9" w:rsidP="00903F17">
      <w:pPr>
        <w:pStyle w:val="Prrafodelista"/>
        <w:tabs>
          <w:tab w:val="left" w:pos="567"/>
        </w:tabs>
        <w:spacing w:line="360" w:lineRule="auto"/>
        <w:ind w:left="567" w:right="539"/>
        <w:jc w:val="both"/>
        <w:rPr>
          <w:rFonts w:ascii="Palatino Linotype" w:hAnsi="Palatino Linotype" w:cs="Tahoma"/>
          <w:i/>
          <w:sz w:val="20"/>
          <w:szCs w:val="22"/>
        </w:rPr>
      </w:pPr>
      <w:r w:rsidRPr="005A5793">
        <w:rPr>
          <w:rFonts w:ascii="Palatino Linotype" w:hAnsi="Palatino Linotype" w:cs="Tahoma"/>
          <w:b/>
          <w:sz w:val="20"/>
          <w:szCs w:val="22"/>
        </w:rPr>
        <w:t>MODALIDAD DE ENTREGA</w:t>
      </w:r>
      <w:r w:rsidR="00007985" w:rsidRPr="005A5793">
        <w:rPr>
          <w:rFonts w:ascii="Palatino Linotype" w:hAnsi="Palatino Linotype" w:cs="Tahoma"/>
          <w:b/>
          <w:sz w:val="20"/>
          <w:szCs w:val="22"/>
        </w:rPr>
        <w:t xml:space="preserve"> </w:t>
      </w:r>
      <w:r w:rsidR="007E4927" w:rsidRPr="005A5793">
        <w:rPr>
          <w:rFonts w:ascii="Palatino Linotype" w:hAnsi="Palatino Linotype" w:cs="Tahoma"/>
          <w:i/>
          <w:sz w:val="20"/>
          <w:szCs w:val="22"/>
        </w:rPr>
        <w:t>“</w:t>
      </w:r>
      <w:r w:rsidR="00062387" w:rsidRPr="005A5793">
        <w:rPr>
          <w:rFonts w:ascii="Palatino Linotype" w:hAnsi="Palatino Linotype" w:cs="Tahoma"/>
          <w:i/>
          <w:sz w:val="20"/>
          <w:szCs w:val="22"/>
        </w:rPr>
        <w:t>A través del SAIMEX</w:t>
      </w:r>
      <w:r w:rsidR="007E4927" w:rsidRPr="005A5793">
        <w:rPr>
          <w:rFonts w:ascii="Palatino Linotype" w:hAnsi="Palatino Linotype" w:cs="Tahoma"/>
          <w:i/>
          <w:sz w:val="20"/>
          <w:szCs w:val="22"/>
        </w:rPr>
        <w:t>”</w:t>
      </w:r>
    </w:p>
    <w:p w14:paraId="6A0553C5" w14:textId="77777777" w:rsidR="00681D84" w:rsidRPr="005A5793" w:rsidRDefault="00954EDD" w:rsidP="00903F17">
      <w:pPr>
        <w:pStyle w:val="Ttulo2"/>
        <w:spacing w:before="0" w:line="360" w:lineRule="auto"/>
      </w:pPr>
      <w:bookmarkStart w:id="5" w:name="_Toc209708716"/>
      <w:r w:rsidRPr="005A5793">
        <w:rPr>
          <w:rFonts w:ascii="Palatino Linotype" w:hAnsi="Palatino Linotype" w:cs="Tahoma"/>
          <w:b/>
          <w:color w:val="auto"/>
          <w:sz w:val="22"/>
          <w:szCs w:val="22"/>
        </w:rPr>
        <w:lastRenderedPageBreak/>
        <w:t>I</w:t>
      </w:r>
      <w:r w:rsidR="00F86BFB" w:rsidRPr="005A5793">
        <w:rPr>
          <w:rFonts w:ascii="Palatino Linotype" w:hAnsi="Palatino Linotype" w:cs="Tahoma"/>
          <w:b/>
          <w:color w:val="auto"/>
          <w:sz w:val="22"/>
          <w:szCs w:val="22"/>
        </w:rPr>
        <w:t xml:space="preserve">I. </w:t>
      </w:r>
      <w:r w:rsidR="00681D84" w:rsidRPr="005A5793">
        <w:rPr>
          <w:rFonts w:ascii="Palatino Linotype" w:hAnsi="Palatino Linotype" w:cs="Tahoma"/>
          <w:b/>
          <w:color w:val="auto"/>
          <w:sz w:val="22"/>
          <w:szCs w:val="22"/>
        </w:rPr>
        <w:t>Respuesta del Sujeto Obligado</w:t>
      </w:r>
      <w:bookmarkEnd w:id="5"/>
    </w:p>
    <w:p w14:paraId="696B9863" w14:textId="77777777" w:rsidR="00E0128F" w:rsidRPr="005A5793" w:rsidRDefault="00E0128F" w:rsidP="00903F17">
      <w:pPr>
        <w:pStyle w:val="Prrafodelista"/>
        <w:tabs>
          <w:tab w:val="left" w:pos="567"/>
        </w:tabs>
        <w:spacing w:line="360" w:lineRule="auto"/>
        <w:ind w:left="0"/>
        <w:jc w:val="both"/>
        <w:rPr>
          <w:rFonts w:ascii="Palatino Linotype" w:hAnsi="Palatino Linotype" w:cs="Tahoma"/>
          <w:b/>
          <w:sz w:val="20"/>
          <w:szCs w:val="22"/>
        </w:rPr>
      </w:pPr>
    </w:p>
    <w:p w14:paraId="326789CA" w14:textId="77777777" w:rsidR="00A3770E" w:rsidRPr="005A5793" w:rsidRDefault="00BB1F81" w:rsidP="00903F17">
      <w:pPr>
        <w:autoSpaceDE w:val="0"/>
        <w:autoSpaceDN w:val="0"/>
        <w:adjustRightInd w:val="0"/>
        <w:spacing w:line="360" w:lineRule="auto"/>
        <w:contextualSpacing/>
        <w:jc w:val="both"/>
        <w:rPr>
          <w:rFonts w:ascii="Palatino Linotype" w:hAnsi="Palatino Linotype" w:cs="Tahoma"/>
          <w:sz w:val="22"/>
          <w:szCs w:val="22"/>
        </w:rPr>
      </w:pPr>
      <w:r w:rsidRPr="005A5793">
        <w:rPr>
          <w:rFonts w:ascii="Palatino Linotype" w:hAnsi="Palatino Linotype" w:cs="Tahoma"/>
          <w:sz w:val="22"/>
          <w:szCs w:val="22"/>
        </w:rPr>
        <w:t>El</w:t>
      </w:r>
      <w:r w:rsidR="00681D84" w:rsidRPr="005A5793">
        <w:rPr>
          <w:rFonts w:ascii="Palatino Linotype" w:hAnsi="Palatino Linotype" w:cs="Tahoma"/>
          <w:sz w:val="22"/>
          <w:szCs w:val="22"/>
        </w:rPr>
        <w:t xml:space="preserve"> </w:t>
      </w:r>
      <w:r w:rsidR="00A3770E" w:rsidRPr="005A5793">
        <w:rPr>
          <w:rFonts w:ascii="Palatino Linotype" w:hAnsi="Palatino Linotype" w:cs="Tahoma"/>
          <w:sz w:val="22"/>
          <w:szCs w:val="22"/>
        </w:rPr>
        <w:t>veinticinco de agosto</w:t>
      </w:r>
      <w:r w:rsidR="00DB28B1" w:rsidRPr="005A5793">
        <w:rPr>
          <w:rFonts w:ascii="Palatino Linotype" w:hAnsi="Palatino Linotype" w:cs="Tahoma"/>
          <w:sz w:val="22"/>
          <w:szCs w:val="22"/>
        </w:rPr>
        <w:t xml:space="preserve"> </w:t>
      </w:r>
      <w:r w:rsidR="00B71F2C" w:rsidRPr="005A5793">
        <w:rPr>
          <w:rFonts w:ascii="Palatino Linotype" w:hAnsi="Palatino Linotype" w:cs="Tahoma"/>
          <w:sz w:val="22"/>
          <w:szCs w:val="22"/>
        </w:rPr>
        <w:t>de dos mil veinti</w:t>
      </w:r>
      <w:r w:rsidR="00F93A36" w:rsidRPr="005A5793">
        <w:rPr>
          <w:rFonts w:ascii="Palatino Linotype" w:hAnsi="Palatino Linotype" w:cs="Tahoma"/>
          <w:sz w:val="22"/>
          <w:szCs w:val="22"/>
        </w:rPr>
        <w:t>c</w:t>
      </w:r>
      <w:r w:rsidR="00CD10BF" w:rsidRPr="005A5793">
        <w:rPr>
          <w:rFonts w:ascii="Palatino Linotype" w:hAnsi="Palatino Linotype" w:cs="Tahoma"/>
          <w:sz w:val="22"/>
          <w:szCs w:val="22"/>
        </w:rPr>
        <w:t>inco</w:t>
      </w:r>
      <w:r w:rsidR="00681D84" w:rsidRPr="005A5793">
        <w:rPr>
          <w:rFonts w:ascii="Palatino Linotype" w:hAnsi="Palatino Linotype" w:cs="Tahoma"/>
          <w:sz w:val="22"/>
          <w:szCs w:val="22"/>
        </w:rPr>
        <w:t xml:space="preserve">, </w:t>
      </w:r>
      <w:r w:rsidR="00D74B06" w:rsidRPr="005A5793">
        <w:rPr>
          <w:rFonts w:ascii="Palatino Linotype" w:hAnsi="Palatino Linotype" w:cs="Tahoma"/>
          <w:sz w:val="22"/>
          <w:szCs w:val="22"/>
        </w:rPr>
        <w:t xml:space="preserve">el Sujeto Obligado </w:t>
      </w:r>
      <w:r w:rsidR="008453FA" w:rsidRPr="005A5793">
        <w:rPr>
          <w:rFonts w:ascii="Palatino Linotype" w:hAnsi="Palatino Linotype" w:cs="Tahoma"/>
          <w:sz w:val="22"/>
          <w:szCs w:val="22"/>
        </w:rPr>
        <w:t xml:space="preserve">otorgó respuesta a través del </w:t>
      </w:r>
      <w:r w:rsidRPr="005A5793">
        <w:rPr>
          <w:rFonts w:ascii="Palatino Linotype" w:hAnsi="Palatino Linotype" w:cs="Tahoma"/>
          <w:sz w:val="22"/>
          <w:szCs w:val="22"/>
        </w:rPr>
        <w:t>SAIMEX</w:t>
      </w:r>
      <w:r w:rsidR="008453FA" w:rsidRPr="005A5793">
        <w:rPr>
          <w:rFonts w:ascii="Palatino Linotype" w:hAnsi="Palatino Linotype" w:cs="Tahoma"/>
          <w:sz w:val="22"/>
          <w:szCs w:val="22"/>
        </w:rPr>
        <w:t xml:space="preserve"> en </w:t>
      </w:r>
      <w:r w:rsidR="00A3770E" w:rsidRPr="005A5793">
        <w:rPr>
          <w:rFonts w:ascii="Palatino Linotype" w:hAnsi="Palatino Linotype" w:cs="Tahoma"/>
          <w:sz w:val="22"/>
          <w:szCs w:val="22"/>
        </w:rPr>
        <w:t>los siguientes términos:</w:t>
      </w:r>
    </w:p>
    <w:p w14:paraId="16B0E7EF" w14:textId="77777777" w:rsidR="00A3770E" w:rsidRPr="005A5793" w:rsidRDefault="00A3770E" w:rsidP="00A3770E">
      <w:pPr>
        <w:autoSpaceDE w:val="0"/>
        <w:autoSpaceDN w:val="0"/>
        <w:adjustRightInd w:val="0"/>
        <w:spacing w:line="360" w:lineRule="auto"/>
        <w:ind w:left="567" w:right="539"/>
        <w:contextualSpacing/>
        <w:jc w:val="both"/>
        <w:rPr>
          <w:rFonts w:ascii="Palatino Linotype" w:hAnsi="Palatino Linotype" w:cs="Tahoma"/>
          <w:i/>
          <w:iCs/>
        </w:rPr>
      </w:pPr>
    </w:p>
    <w:p w14:paraId="45EF5E5F" w14:textId="77777777" w:rsidR="00A3770E" w:rsidRPr="005A5793" w:rsidRDefault="00A3770E" w:rsidP="00A3770E">
      <w:pPr>
        <w:autoSpaceDE w:val="0"/>
        <w:autoSpaceDN w:val="0"/>
        <w:adjustRightInd w:val="0"/>
        <w:spacing w:line="360" w:lineRule="auto"/>
        <w:ind w:left="567" w:right="539"/>
        <w:contextualSpacing/>
        <w:jc w:val="both"/>
        <w:rPr>
          <w:rFonts w:ascii="Palatino Linotype" w:hAnsi="Palatino Linotype" w:cs="Tahoma"/>
          <w:i/>
          <w:iCs/>
        </w:rPr>
      </w:pPr>
      <w:r w:rsidRPr="005A5793">
        <w:rPr>
          <w:rFonts w:ascii="Palatino Linotype" w:hAnsi="Palatino Linotype" w:cs="Tahoma"/>
          <w:i/>
          <w:iCs/>
        </w:rPr>
        <w:t>“…</w:t>
      </w:r>
    </w:p>
    <w:p w14:paraId="18BB280C" w14:textId="0B044485" w:rsidR="00A3770E" w:rsidRPr="005A5793" w:rsidRDefault="00A3770E" w:rsidP="00A3770E">
      <w:pPr>
        <w:autoSpaceDE w:val="0"/>
        <w:autoSpaceDN w:val="0"/>
        <w:adjustRightInd w:val="0"/>
        <w:spacing w:line="360" w:lineRule="auto"/>
        <w:ind w:left="567" w:right="539"/>
        <w:contextualSpacing/>
        <w:jc w:val="both"/>
        <w:rPr>
          <w:rFonts w:ascii="Palatino Linotype" w:hAnsi="Palatino Linotype" w:cs="Tahoma"/>
          <w:i/>
          <w:iCs/>
        </w:rPr>
      </w:pPr>
      <w:r w:rsidRPr="005A5793">
        <w:rPr>
          <w:rFonts w:ascii="Palatino Linotype" w:hAnsi="Palatino Linotype" w:cs="Tahoma"/>
          <w:i/>
          <w:iCs/>
        </w:rPr>
        <w:t>ESTABLECIDO EN LA LEY FEDERAL DE PROTECCIÓN DE DATOS PERSONALES EN POSESION DE LOS PARTICULARES, MENCIONA EL ARTICULO 9 YA QUE DE NO TENER EL CONSENTIMIENTO DEL TRABAJADOR NO SE PUEDE DAR ESTA INFORMACIÓN, SOLO POR UNA ORDEN JURIDICA Y LA LEY FEDERAL DEL TRABAJO MENCIONA LO MISMO QUE NO SE PUEDE DAR ESTE TIPO DE INFORMACIÓN YA QUE PUEDE SER UNA ACCIÓN DAÑINA PARA LA PERSONA, ESCRITO EN EL ARTICULO 805 YA QUE ES PROTECCIÓN AL TRABAJADOR.</w:t>
      </w:r>
    </w:p>
    <w:p w14:paraId="3DC56C45" w14:textId="42F65F6C" w:rsidR="00A3770E" w:rsidRPr="005A5793" w:rsidRDefault="00A3770E" w:rsidP="00A3770E">
      <w:pPr>
        <w:autoSpaceDE w:val="0"/>
        <w:autoSpaceDN w:val="0"/>
        <w:adjustRightInd w:val="0"/>
        <w:spacing w:line="360" w:lineRule="auto"/>
        <w:ind w:left="567" w:right="539"/>
        <w:contextualSpacing/>
        <w:jc w:val="both"/>
        <w:rPr>
          <w:rFonts w:ascii="Palatino Linotype" w:hAnsi="Palatino Linotype" w:cs="Tahoma"/>
          <w:i/>
          <w:iCs/>
        </w:rPr>
      </w:pPr>
      <w:r w:rsidRPr="005A5793">
        <w:rPr>
          <w:rFonts w:ascii="Palatino Linotype" w:hAnsi="Palatino Linotype" w:cs="Tahoma"/>
          <w:i/>
          <w:iCs/>
        </w:rPr>
        <w:t>…”</w:t>
      </w:r>
    </w:p>
    <w:p w14:paraId="3ADAEFA7" w14:textId="77777777" w:rsidR="00A3770E" w:rsidRPr="005A5793" w:rsidRDefault="00A3770E" w:rsidP="00A3770E">
      <w:pPr>
        <w:autoSpaceDE w:val="0"/>
        <w:autoSpaceDN w:val="0"/>
        <w:adjustRightInd w:val="0"/>
        <w:spacing w:line="360" w:lineRule="auto"/>
        <w:ind w:right="539"/>
        <w:contextualSpacing/>
        <w:jc w:val="both"/>
        <w:rPr>
          <w:rFonts w:ascii="Palatino Linotype" w:hAnsi="Palatino Linotype" w:cs="Tahoma"/>
          <w:sz w:val="22"/>
          <w:szCs w:val="22"/>
        </w:rPr>
      </w:pPr>
    </w:p>
    <w:p w14:paraId="00B779F2" w14:textId="15D4BC88" w:rsidR="00A3770E" w:rsidRPr="005A5793" w:rsidRDefault="00A3770E" w:rsidP="004A2C87">
      <w:pPr>
        <w:autoSpaceDE w:val="0"/>
        <w:autoSpaceDN w:val="0"/>
        <w:adjustRightInd w:val="0"/>
        <w:spacing w:line="360" w:lineRule="auto"/>
        <w:contextualSpacing/>
        <w:jc w:val="both"/>
        <w:rPr>
          <w:rFonts w:ascii="Palatino Linotype" w:hAnsi="Palatino Linotype" w:cs="Tahoma"/>
          <w:sz w:val="22"/>
          <w:szCs w:val="22"/>
        </w:rPr>
      </w:pPr>
      <w:r w:rsidRPr="005A5793">
        <w:rPr>
          <w:rFonts w:ascii="Palatino Linotype" w:hAnsi="Palatino Linotype" w:cs="Tahoma"/>
          <w:sz w:val="22"/>
          <w:szCs w:val="22"/>
        </w:rPr>
        <w:t>Además, adjunto la Ley Federal de Protección de Datos Personales en posesión de los particulares, así como la Ley Federal del Trabajo.</w:t>
      </w:r>
    </w:p>
    <w:p w14:paraId="1D516EF9" w14:textId="77777777" w:rsidR="00A3770E" w:rsidRPr="005A5793" w:rsidRDefault="00A3770E" w:rsidP="00A3770E">
      <w:pPr>
        <w:autoSpaceDE w:val="0"/>
        <w:autoSpaceDN w:val="0"/>
        <w:adjustRightInd w:val="0"/>
        <w:spacing w:line="360" w:lineRule="auto"/>
        <w:ind w:right="539"/>
        <w:contextualSpacing/>
        <w:jc w:val="both"/>
        <w:rPr>
          <w:rFonts w:ascii="Palatino Linotype" w:hAnsi="Palatino Linotype" w:cs="Tahoma"/>
          <w:sz w:val="22"/>
          <w:szCs w:val="22"/>
        </w:rPr>
      </w:pPr>
    </w:p>
    <w:p w14:paraId="68F42939" w14:textId="77777777" w:rsidR="001A412B" w:rsidRPr="005A5793" w:rsidRDefault="007812D1" w:rsidP="00903F17">
      <w:pPr>
        <w:pStyle w:val="Ttulo2"/>
        <w:spacing w:before="0" w:line="360" w:lineRule="auto"/>
        <w:rPr>
          <w:rFonts w:ascii="Palatino Linotype" w:hAnsi="Palatino Linotype" w:cs="Tahoma"/>
          <w:b/>
          <w:color w:val="auto"/>
          <w:sz w:val="22"/>
          <w:szCs w:val="22"/>
        </w:rPr>
      </w:pPr>
      <w:bookmarkStart w:id="6" w:name="_Toc209708717"/>
      <w:bookmarkEnd w:id="0"/>
      <w:r w:rsidRPr="005A5793">
        <w:rPr>
          <w:rFonts w:ascii="Palatino Linotype" w:hAnsi="Palatino Linotype" w:cs="Tahoma"/>
          <w:b/>
          <w:color w:val="auto"/>
          <w:sz w:val="22"/>
          <w:szCs w:val="22"/>
        </w:rPr>
        <w:t>I</w:t>
      </w:r>
      <w:r w:rsidR="00BF4B55" w:rsidRPr="005A5793">
        <w:rPr>
          <w:rFonts w:ascii="Palatino Linotype" w:hAnsi="Palatino Linotype" w:cs="Tahoma"/>
          <w:b/>
          <w:color w:val="auto"/>
          <w:sz w:val="22"/>
          <w:szCs w:val="22"/>
        </w:rPr>
        <w:t>II</w:t>
      </w:r>
      <w:r w:rsidR="009A7587" w:rsidRPr="005A5793">
        <w:rPr>
          <w:rFonts w:ascii="Palatino Linotype" w:hAnsi="Palatino Linotype" w:cs="Tahoma"/>
          <w:b/>
          <w:color w:val="auto"/>
          <w:sz w:val="22"/>
          <w:szCs w:val="22"/>
        </w:rPr>
        <w:t>. Interposición del Recurso de Revisión</w:t>
      </w:r>
      <w:bookmarkEnd w:id="6"/>
    </w:p>
    <w:p w14:paraId="79DE4F3D" w14:textId="77777777" w:rsidR="00F87649" w:rsidRPr="005A5793" w:rsidRDefault="00F87649" w:rsidP="00903F17">
      <w:pPr>
        <w:autoSpaceDE w:val="0"/>
        <w:autoSpaceDN w:val="0"/>
        <w:adjustRightInd w:val="0"/>
        <w:spacing w:line="360" w:lineRule="auto"/>
        <w:contextualSpacing/>
        <w:jc w:val="both"/>
        <w:rPr>
          <w:rFonts w:ascii="Palatino Linotype" w:hAnsi="Palatino Linotype" w:cs="Tahoma"/>
          <w:b/>
          <w:sz w:val="18"/>
          <w:szCs w:val="22"/>
        </w:rPr>
      </w:pPr>
    </w:p>
    <w:p w14:paraId="6092C7B3" w14:textId="25CBF2A0" w:rsidR="009A7587" w:rsidRPr="005A5793" w:rsidRDefault="009A7587" w:rsidP="00903F17">
      <w:pPr>
        <w:tabs>
          <w:tab w:val="left" w:pos="3122"/>
        </w:tabs>
        <w:spacing w:line="360" w:lineRule="auto"/>
        <w:contextualSpacing/>
        <w:jc w:val="both"/>
        <w:rPr>
          <w:rFonts w:ascii="Palatino Linotype" w:hAnsi="Palatino Linotype" w:cs="Tahoma"/>
          <w:sz w:val="22"/>
          <w:szCs w:val="22"/>
        </w:rPr>
      </w:pPr>
      <w:r w:rsidRPr="005A5793">
        <w:rPr>
          <w:rFonts w:ascii="Palatino Linotype" w:hAnsi="Palatino Linotype" w:cs="Tahoma"/>
          <w:sz w:val="22"/>
          <w:szCs w:val="22"/>
        </w:rPr>
        <w:t>Con fecha</w:t>
      </w:r>
      <w:r w:rsidR="00E13C8C" w:rsidRPr="005A5793">
        <w:rPr>
          <w:rFonts w:ascii="Palatino Linotype" w:hAnsi="Palatino Linotype" w:cs="Tahoma"/>
          <w:sz w:val="22"/>
          <w:szCs w:val="22"/>
        </w:rPr>
        <w:t xml:space="preserve"> </w:t>
      </w:r>
      <w:r w:rsidR="00260B92" w:rsidRPr="005A5793">
        <w:rPr>
          <w:rFonts w:ascii="Palatino Linotype" w:hAnsi="Palatino Linotype" w:cs="Tahoma"/>
          <w:sz w:val="22"/>
          <w:szCs w:val="22"/>
        </w:rPr>
        <w:t xml:space="preserve">veintiséis </w:t>
      </w:r>
      <w:r w:rsidR="00A3770E" w:rsidRPr="005A5793">
        <w:rPr>
          <w:rFonts w:ascii="Palatino Linotype" w:hAnsi="Palatino Linotype" w:cs="Tahoma"/>
          <w:sz w:val="22"/>
          <w:szCs w:val="22"/>
        </w:rPr>
        <w:t>de agosto</w:t>
      </w:r>
      <w:r w:rsidR="00761396" w:rsidRPr="005A5793">
        <w:rPr>
          <w:rFonts w:ascii="Palatino Linotype" w:hAnsi="Palatino Linotype" w:cs="Tahoma"/>
          <w:sz w:val="22"/>
          <w:szCs w:val="22"/>
        </w:rPr>
        <w:t xml:space="preserve"> </w:t>
      </w:r>
      <w:r w:rsidR="00B267E1" w:rsidRPr="005A5793">
        <w:rPr>
          <w:rFonts w:ascii="Palatino Linotype" w:hAnsi="Palatino Linotype" w:cs="Tahoma"/>
          <w:sz w:val="22"/>
          <w:szCs w:val="22"/>
        </w:rPr>
        <w:t>de dos mil veinti</w:t>
      </w:r>
      <w:r w:rsidR="00F93A36" w:rsidRPr="005A5793">
        <w:rPr>
          <w:rFonts w:ascii="Palatino Linotype" w:hAnsi="Palatino Linotype" w:cs="Tahoma"/>
          <w:sz w:val="22"/>
          <w:szCs w:val="22"/>
        </w:rPr>
        <w:t>c</w:t>
      </w:r>
      <w:r w:rsidR="00BF4B55" w:rsidRPr="005A5793">
        <w:rPr>
          <w:rFonts w:ascii="Palatino Linotype" w:hAnsi="Palatino Linotype" w:cs="Tahoma"/>
          <w:sz w:val="22"/>
          <w:szCs w:val="22"/>
        </w:rPr>
        <w:t>inco</w:t>
      </w:r>
      <w:r w:rsidRPr="005A5793">
        <w:rPr>
          <w:rFonts w:ascii="Palatino Linotype" w:hAnsi="Palatino Linotype" w:cs="Tahoma"/>
          <w:sz w:val="22"/>
          <w:szCs w:val="22"/>
        </w:rPr>
        <w:t xml:space="preserve">, a través del </w:t>
      </w:r>
      <w:r w:rsidR="00BB1F81" w:rsidRPr="005A5793">
        <w:rPr>
          <w:rFonts w:ascii="Palatino Linotype" w:hAnsi="Palatino Linotype" w:cs="Tahoma"/>
          <w:sz w:val="22"/>
          <w:szCs w:val="22"/>
          <w:lang w:val="es-ES"/>
        </w:rPr>
        <w:t>SAIMEX</w:t>
      </w:r>
      <w:r w:rsidR="00A048C7" w:rsidRPr="005A5793">
        <w:rPr>
          <w:rFonts w:ascii="Palatino Linotype" w:hAnsi="Palatino Linotype" w:cs="Tahoma"/>
          <w:sz w:val="22"/>
          <w:szCs w:val="22"/>
        </w:rPr>
        <w:t>, se interpus</w:t>
      </w:r>
      <w:r w:rsidR="003C3E71" w:rsidRPr="005A5793">
        <w:rPr>
          <w:rFonts w:ascii="Palatino Linotype" w:hAnsi="Palatino Linotype" w:cs="Tahoma"/>
          <w:sz w:val="22"/>
          <w:szCs w:val="22"/>
        </w:rPr>
        <w:t>o</w:t>
      </w:r>
      <w:r w:rsidR="00A048C7" w:rsidRPr="005A5793">
        <w:rPr>
          <w:rFonts w:ascii="Palatino Linotype" w:hAnsi="Palatino Linotype" w:cs="Tahoma"/>
          <w:sz w:val="22"/>
          <w:szCs w:val="22"/>
        </w:rPr>
        <w:t xml:space="preserve"> </w:t>
      </w:r>
      <w:r w:rsidR="003C3E71" w:rsidRPr="005A5793">
        <w:rPr>
          <w:rFonts w:ascii="Palatino Linotype" w:hAnsi="Palatino Linotype" w:cs="Tahoma"/>
          <w:sz w:val="22"/>
          <w:szCs w:val="22"/>
        </w:rPr>
        <w:t>el</w:t>
      </w:r>
      <w:r w:rsidRPr="005A5793">
        <w:rPr>
          <w:rFonts w:ascii="Palatino Linotype" w:hAnsi="Palatino Linotype" w:cs="Tahoma"/>
          <w:sz w:val="22"/>
          <w:szCs w:val="22"/>
        </w:rPr>
        <w:t xml:space="preserve"> presente Recurso de Revisión por</w:t>
      </w:r>
      <w:r w:rsidR="008E6658" w:rsidRPr="005A5793">
        <w:rPr>
          <w:rFonts w:ascii="Palatino Linotype" w:hAnsi="Palatino Linotype" w:cs="Tahoma"/>
          <w:sz w:val="22"/>
          <w:szCs w:val="22"/>
        </w:rPr>
        <w:t xml:space="preserve"> </w:t>
      </w:r>
      <w:r w:rsidR="0035716C" w:rsidRPr="005A5793">
        <w:rPr>
          <w:rFonts w:ascii="Palatino Linotype" w:hAnsi="Palatino Linotype" w:cs="Tahoma"/>
          <w:sz w:val="22"/>
          <w:szCs w:val="22"/>
        </w:rPr>
        <w:t xml:space="preserve">el </w:t>
      </w:r>
      <w:r w:rsidRPr="005A5793">
        <w:rPr>
          <w:rFonts w:ascii="Palatino Linotype" w:hAnsi="Palatino Linotype" w:cs="Tahoma"/>
          <w:sz w:val="22"/>
          <w:szCs w:val="22"/>
        </w:rPr>
        <w:t xml:space="preserve">Recurrente, en contra de </w:t>
      </w:r>
      <w:r w:rsidR="00655265" w:rsidRPr="005A5793">
        <w:rPr>
          <w:rFonts w:ascii="Palatino Linotype" w:hAnsi="Palatino Linotype" w:cs="Tahoma"/>
          <w:sz w:val="22"/>
          <w:szCs w:val="22"/>
        </w:rPr>
        <w:t>la respuesta emitida</w:t>
      </w:r>
      <w:r w:rsidRPr="005A5793">
        <w:rPr>
          <w:rFonts w:ascii="Palatino Linotype" w:hAnsi="Palatino Linotype" w:cs="Tahoma"/>
          <w:sz w:val="22"/>
          <w:szCs w:val="22"/>
        </w:rPr>
        <w:t xml:space="preserve"> por el Sujeto Obligado a </w:t>
      </w:r>
      <w:r w:rsidR="00655265" w:rsidRPr="005A5793">
        <w:rPr>
          <w:rFonts w:ascii="Palatino Linotype" w:hAnsi="Palatino Linotype" w:cs="Tahoma"/>
          <w:sz w:val="22"/>
          <w:szCs w:val="22"/>
        </w:rPr>
        <w:t>la solicitud</w:t>
      </w:r>
      <w:r w:rsidRPr="005A5793">
        <w:rPr>
          <w:rFonts w:ascii="Palatino Linotype" w:hAnsi="Palatino Linotype" w:cs="Tahoma"/>
          <w:sz w:val="22"/>
          <w:szCs w:val="22"/>
        </w:rPr>
        <w:t xml:space="preserve"> de información, en los siguientes términos:</w:t>
      </w:r>
    </w:p>
    <w:p w14:paraId="7A0417A2" w14:textId="77777777" w:rsidR="00AB6595" w:rsidRPr="005A5793" w:rsidRDefault="00AB6595" w:rsidP="00903F17">
      <w:pPr>
        <w:tabs>
          <w:tab w:val="left" w:pos="4995"/>
        </w:tabs>
        <w:spacing w:line="360" w:lineRule="auto"/>
        <w:contextualSpacing/>
        <w:jc w:val="both"/>
        <w:rPr>
          <w:rFonts w:ascii="Palatino Linotype" w:hAnsi="Palatino Linotype" w:cs="Tahoma"/>
          <w:sz w:val="22"/>
          <w:szCs w:val="22"/>
        </w:rPr>
      </w:pPr>
    </w:p>
    <w:p w14:paraId="0A0B9A7D" w14:textId="77777777" w:rsidR="00D5699B" w:rsidRPr="005A5793" w:rsidRDefault="00D5699B" w:rsidP="00903F17">
      <w:pPr>
        <w:spacing w:line="360" w:lineRule="auto"/>
        <w:ind w:left="567" w:right="539"/>
        <w:contextualSpacing/>
        <w:jc w:val="both"/>
        <w:rPr>
          <w:rFonts w:ascii="Palatino Linotype" w:hAnsi="Palatino Linotype" w:cs="Tahoma"/>
          <w:b/>
          <w:bCs/>
          <w:szCs w:val="22"/>
        </w:rPr>
      </w:pPr>
      <w:r w:rsidRPr="005A5793">
        <w:rPr>
          <w:rFonts w:ascii="Palatino Linotype" w:hAnsi="Palatino Linotype" w:cs="Tahoma"/>
          <w:b/>
          <w:bCs/>
          <w:szCs w:val="22"/>
        </w:rPr>
        <w:t>ACTO IMPUGNADO</w:t>
      </w:r>
    </w:p>
    <w:p w14:paraId="7A3271F7" w14:textId="3958E003" w:rsidR="003D1770" w:rsidRPr="005A5793" w:rsidRDefault="007E4927" w:rsidP="00903F17">
      <w:pPr>
        <w:spacing w:line="360" w:lineRule="auto"/>
        <w:ind w:left="567" w:right="539"/>
        <w:contextualSpacing/>
        <w:jc w:val="both"/>
        <w:rPr>
          <w:rFonts w:ascii="Palatino Linotype" w:hAnsi="Palatino Linotype" w:cs="Tahoma"/>
          <w:bCs/>
          <w:szCs w:val="22"/>
        </w:rPr>
      </w:pPr>
      <w:r w:rsidRPr="005A5793">
        <w:rPr>
          <w:rFonts w:ascii="Palatino Linotype" w:hAnsi="Palatino Linotype" w:cs="Tahoma"/>
          <w:bCs/>
          <w:i/>
          <w:szCs w:val="22"/>
        </w:rPr>
        <w:t>“</w:t>
      </w:r>
      <w:r w:rsidR="00A3770E" w:rsidRPr="005A5793">
        <w:rPr>
          <w:rFonts w:ascii="Palatino Linotype" w:hAnsi="Palatino Linotype" w:cs="Tahoma"/>
          <w:bCs/>
          <w:i/>
          <w:szCs w:val="22"/>
        </w:rPr>
        <w:t xml:space="preserve">La supuesta respuesta notificada el 25 de agosto de 2025 a través de SAIMEX </w:t>
      </w:r>
      <w:r w:rsidR="00E55401" w:rsidRPr="005A5793">
        <w:rPr>
          <w:rFonts w:ascii="Palatino Linotype" w:hAnsi="Palatino Linotype" w:cs="Tahoma"/>
          <w:bCs/>
          <w:i/>
          <w:szCs w:val="22"/>
        </w:rPr>
        <w:t>"</w:t>
      </w:r>
    </w:p>
    <w:p w14:paraId="7C4B18A6" w14:textId="77777777" w:rsidR="00CE2F19" w:rsidRPr="005A5793" w:rsidRDefault="00CE2F19" w:rsidP="00903F17">
      <w:pPr>
        <w:spacing w:line="360" w:lineRule="auto"/>
        <w:ind w:left="567" w:right="539"/>
        <w:contextualSpacing/>
        <w:jc w:val="both"/>
        <w:rPr>
          <w:rFonts w:ascii="Palatino Linotype" w:hAnsi="Palatino Linotype" w:cs="Tahoma"/>
          <w:bCs/>
          <w:szCs w:val="22"/>
        </w:rPr>
      </w:pPr>
    </w:p>
    <w:p w14:paraId="67FD8553" w14:textId="77777777" w:rsidR="00CE2F19" w:rsidRPr="005A5793" w:rsidRDefault="00CE2F19" w:rsidP="00903F17">
      <w:pPr>
        <w:spacing w:line="360" w:lineRule="auto"/>
        <w:ind w:left="567" w:right="539"/>
        <w:contextualSpacing/>
        <w:jc w:val="both"/>
        <w:rPr>
          <w:rFonts w:ascii="Palatino Linotype" w:hAnsi="Palatino Linotype" w:cs="Tahoma"/>
          <w:b/>
          <w:bCs/>
          <w:szCs w:val="22"/>
        </w:rPr>
      </w:pPr>
      <w:r w:rsidRPr="005A5793">
        <w:rPr>
          <w:rFonts w:ascii="Palatino Linotype" w:hAnsi="Palatino Linotype" w:cs="Tahoma"/>
          <w:b/>
          <w:bCs/>
          <w:szCs w:val="22"/>
        </w:rPr>
        <w:lastRenderedPageBreak/>
        <w:t>RAZONES O MOTIVOS DE LA INCONFORMIDAD</w:t>
      </w:r>
    </w:p>
    <w:p w14:paraId="03F0A616" w14:textId="04F5552C" w:rsidR="00CE2F19" w:rsidRPr="005A5793" w:rsidRDefault="00CE2F19" w:rsidP="00903F17">
      <w:pPr>
        <w:spacing w:line="360" w:lineRule="auto"/>
        <w:ind w:left="567" w:right="539"/>
        <w:contextualSpacing/>
        <w:jc w:val="both"/>
        <w:rPr>
          <w:rFonts w:ascii="Palatino Linotype" w:hAnsi="Palatino Linotype" w:cs="Tahoma"/>
          <w:bCs/>
          <w:i/>
          <w:szCs w:val="24"/>
        </w:rPr>
      </w:pPr>
      <w:r w:rsidRPr="005A5793">
        <w:rPr>
          <w:rFonts w:ascii="Palatino Linotype" w:hAnsi="Palatino Linotype" w:cs="Tahoma"/>
          <w:bCs/>
          <w:i/>
          <w:szCs w:val="24"/>
        </w:rPr>
        <w:t>“</w:t>
      </w:r>
      <w:bookmarkStart w:id="7" w:name="_Hlk181699048"/>
      <w:r w:rsidR="00260B92" w:rsidRPr="005A5793">
        <w:rPr>
          <w:rFonts w:ascii="Palatino Linotype" w:hAnsi="Palatino Linotype" w:cs="Tahoma"/>
          <w:bCs/>
          <w:i/>
          <w:szCs w:val="24"/>
        </w:rPr>
        <w:t>No entrega la información solicitada, sólo agregan los siguientes archivos PDF: LEY DE PROTECCIÓN.pdf LEY FEDERAL DEL TRABAJO.pdf y eso no es lo que solicite. Requiero respeten mi derecho de acceso a la información y se le condene al Sujeto Obligado a entregarme las versiones públicas de la información que pido. Es una vergüenza que Arturo Carrillo Cuevas entregue ese tipo de respuestas que no responden nada, no están fundadas ni motivadas, bueno ni siquiera número de oficio maneja. Se aprecia absoluta ignorancia de ese servidor público en temas de Transparencia, protección de datos personales y del derecho de acceso a la información.</w:t>
      </w:r>
      <w:r w:rsidRPr="005A5793">
        <w:rPr>
          <w:rFonts w:ascii="Palatino Linotype" w:hAnsi="Palatino Linotype" w:cs="Tahoma"/>
          <w:bCs/>
          <w:i/>
          <w:szCs w:val="24"/>
        </w:rPr>
        <w:t>”</w:t>
      </w:r>
    </w:p>
    <w:p w14:paraId="422040CE" w14:textId="77777777" w:rsidR="00342378" w:rsidRPr="005A5793" w:rsidRDefault="00342378" w:rsidP="00903F17">
      <w:pPr>
        <w:spacing w:line="360" w:lineRule="auto"/>
        <w:ind w:right="539"/>
        <w:contextualSpacing/>
        <w:jc w:val="both"/>
        <w:rPr>
          <w:rFonts w:ascii="Palatino Linotype" w:hAnsi="Palatino Linotype" w:cs="Tahoma"/>
          <w:bCs/>
          <w:i/>
          <w:szCs w:val="24"/>
        </w:rPr>
      </w:pPr>
    </w:p>
    <w:p w14:paraId="6A62FC1F" w14:textId="77777777" w:rsidR="009A7587" w:rsidRPr="005A5793" w:rsidRDefault="00BF4B55" w:rsidP="00903F17">
      <w:pPr>
        <w:pStyle w:val="Ttulo2"/>
        <w:spacing w:before="0" w:line="360" w:lineRule="auto"/>
        <w:rPr>
          <w:rFonts w:ascii="Palatino Linotype" w:eastAsia="Batang" w:hAnsi="Palatino Linotype" w:cs="Tahoma"/>
          <w:b/>
          <w:bCs/>
          <w:color w:val="auto"/>
          <w:sz w:val="22"/>
          <w:szCs w:val="22"/>
        </w:rPr>
      </w:pPr>
      <w:bookmarkStart w:id="8" w:name="_Toc209708718"/>
      <w:bookmarkEnd w:id="7"/>
      <w:r w:rsidRPr="005A5793">
        <w:rPr>
          <w:rStyle w:val="Ttulo2Car"/>
          <w:rFonts w:ascii="Palatino Linotype" w:hAnsi="Palatino Linotype"/>
          <w:b/>
          <w:color w:val="auto"/>
          <w:sz w:val="22"/>
          <w:szCs w:val="22"/>
        </w:rPr>
        <w:t>I</w:t>
      </w:r>
      <w:r w:rsidR="00FF1049" w:rsidRPr="005A5793">
        <w:rPr>
          <w:rStyle w:val="Ttulo2Car"/>
          <w:rFonts w:ascii="Palatino Linotype" w:hAnsi="Palatino Linotype"/>
          <w:b/>
          <w:color w:val="auto"/>
          <w:sz w:val="22"/>
          <w:szCs w:val="22"/>
        </w:rPr>
        <w:t>V</w:t>
      </w:r>
      <w:r w:rsidR="009A7587" w:rsidRPr="005A5793">
        <w:rPr>
          <w:rStyle w:val="Ttulo2Car"/>
          <w:rFonts w:ascii="Palatino Linotype" w:hAnsi="Palatino Linotype"/>
          <w:b/>
          <w:color w:val="auto"/>
          <w:sz w:val="22"/>
          <w:szCs w:val="22"/>
        </w:rPr>
        <w:t>. Trámite del Recurso de Revisión ante el Instituto</w:t>
      </w:r>
      <w:bookmarkEnd w:id="8"/>
    </w:p>
    <w:p w14:paraId="726F1091" w14:textId="77777777" w:rsidR="007E4927" w:rsidRPr="005A5793" w:rsidRDefault="007E4927" w:rsidP="00903F17">
      <w:pPr>
        <w:spacing w:line="360" w:lineRule="auto"/>
        <w:contextualSpacing/>
        <w:jc w:val="both"/>
        <w:rPr>
          <w:rFonts w:ascii="Palatino Linotype" w:eastAsia="Batang" w:hAnsi="Palatino Linotype" w:cs="Tahoma"/>
          <w:b/>
          <w:bCs/>
          <w:sz w:val="22"/>
          <w:szCs w:val="22"/>
        </w:rPr>
      </w:pPr>
    </w:p>
    <w:p w14:paraId="29DB8CAE" w14:textId="79B63527" w:rsidR="00C950E3" w:rsidRPr="005A5793" w:rsidRDefault="009A7587" w:rsidP="00903F17">
      <w:pPr>
        <w:spacing w:line="360" w:lineRule="auto"/>
        <w:contextualSpacing/>
        <w:jc w:val="both"/>
        <w:rPr>
          <w:rFonts w:ascii="Palatino Linotype" w:eastAsia="Batang" w:hAnsi="Palatino Linotype" w:cs="Tahoma"/>
          <w:bCs/>
          <w:sz w:val="22"/>
          <w:szCs w:val="22"/>
        </w:rPr>
      </w:pPr>
      <w:bookmarkStart w:id="9" w:name="_Toc209708719"/>
      <w:r w:rsidRPr="005A5793">
        <w:rPr>
          <w:rStyle w:val="Ttulo3Car"/>
          <w:rFonts w:ascii="Palatino Linotype" w:hAnsi="Palatino Linotype"/>
          <w:b/>
          <w:color w:val="auto"/>
          <w:sz w:val="22"/>
          <w:szCs w:val="22"/>
        </w:rPr>
        <w:t>a) Turno del Recurso de Revisión</w:t>
      </w:r>
      <w:r w:rsidRPr="005A5793">
        <w:rPr>
          <w:rStyle w:val="Ttulo3Car"/>
          <w:rFonts w:ascii="Palatino Linotype" w:hAnsi="Palatino Linotype"/>
          <w:color w:val="auto"/>
          <w:sz w:val="22"/>
          <w:szCs w:val="22"/>
        </w:rPr>
        <w:t>.</w:t>
      </w:r>
      <w:bookmarkEnd w:id="9"/>
      <w:r w:rsidRPr="005A5793">
        <w:rPr>
          <w:rFonts w:ascii="Palatino Linotype" w:eastAsia="Batang" w:hAnsi="Palatino Linotype" w:cs="Tahoma"/>
          <w:b/>
          <w:bCs/>
          <w:sz w:val="22"/>
          <w:szCs w:val="22"/>
        </w:rPr>
        <w:t xml:space="preserve"> </w:t>
      </w:r>
      <w:r w:rsidR="00A06844" w:rsidRPr="005A5793">
        <w:rPr>
          <w:rFonts w:ascii="Palatino Linotype" w:eastAsia="Batang" w:hAnsi="Palatino Linotype" w:cs="Tahoma"/>
          <w:bCs/>
          <w:sz w:val="22"/>
          <w:szCs w:val="22"/>
        </w:rPr>
        <w:t xml:space="preserve">El </w:t>
      </w:r>
      <w:r w:rsidR="00260B92" w:rsidRPr="005A5793">
        <w:rPr>
          <w:rFonts w:ascii="Palatino Linotype" w:hAnsi="Palatino Linotype" w:cs="Tahoma"/>
          <w:sz w:val="22"/>
          <w:szCs w:val="22"/>
        </w:rPr>
        <w:t xml:space="preserve">veintiséis de agosto </w:t>
      </w:r>
      <w:r w:rsidR="00BF4B55" w:rsidRPr="005A5793">
        <w:rPr>
          <w:rFonts w:ascii="Palatino Linotype" w:hAnsi="Palatino Linotype" w:cs="Tahoma"/>
          <w:sz w:val="22"/>
          <w:szCs w:val="22"/>
        </w:rPr>
        <w:t>de dos mil veinticinco</w:t>
      </w:r>
      <w:r w:rsidR="00A06844" w:rsidRPr="005A5793">
        <w:rPr>
          <w:rFonts w:ascii="Palatino Linotype" w:eastAsia="Batang" w:hAnsi="Palatino Linotype" w:cs="Tahoma"/>
          <w:bCs/>
          <w:sz w:val="22"/>
          <w:szCs w:val="22"/>
        </w:rPr>
        <w:t xml:space="preserve">, </w:t>
      </w:r>
      <w:r w:rsidR="00D5699B" w:rsidRPr="005A5793">
        <w:rPr>
          <w:rFonts w:ascii="Palatino Linotype" w:eastAsia="Batang" w:hAnsi="Palatino Linotype" w:cs="Tahoma"/>
          <w:bCs/>
          <w:sz w:val="22"/>
          <w:szCs w:val="22"/>
        </w:rPr>
        <w:t xml:space="preserve">el </w:t>
      </w:r>
      <w:r w:rsidR="00BB1F81" w:rsidRPr="005A5793">
        <w:rPr>
          <w:rFonts w:ascii="Palatino Linotype" w:eastAsia="Batang" w:hAnsi="Palatino Linotype" w:cs="Tahoma"/>
          <w:bCs/>
          <w:sz w:val="22"/>
          <w:szCs w:val="22"/>
        </w:rPr>
        <w:t>SAIMEX</w:t>
      </w:r>
      <w:r w:rsidR="00D5699B" w:rsidRPr="005A5793">
        <w:rPr>
          <w:rFonts w:ascii="Palatino Linotype" w:eastAsia="Batang" w:hAnsi="Palatino Linotype" w:cs="Tahoma"/>
          <w:bCs/>
          <w:sz w:val="22"/>
          <w:szCs w:val="22"/>
        </w:rPr>
        <w:t xml:space="preserve">, asignó el número de expediente </w:t>
      </w:r>
      <w:r w:rsidR="00260B92" w:rsidRPr="005A5793">
        <w:rPr>
          <w:rFonts w:ascii="Palatino Linotype" w:eastAsia="Batang" w:hAnsi="Palatino Linotype" w:cs="Tahoma"/>
          <w:b/>
          <w:bCs/>
          <w:sz w:val="22"/>
          <w:szCs w:val="22"/>
        </w:rPr>
        <w:t>10021</w:t>
      </w:r>
      <w:r w:rsidR="00D5699B" w:rsidRPr="005A5793">
        <w:rPr>
          <w:rFonts w:ascii="Palatino Linotype" w:eastAsia="Batang" w:hAnsi="Palatino Linotype" w:cs="Tahoma"/>
          <w:b/>
          <w:bCs/>
          <w:sz w:val="22"/>
          <w:szCs w:val="22"/>
        </w:rPr>
        <w:t>/INFOEM/IP/RR/202</w:t>
      </w:r>
      <w:r w:rsidR="00BF4B55" w:rsidRPr="005A5793">
        <w:rPr>
          <w:rFonts w:ascii="Palatino Linotype" w:eastAsia="Batang" w:hAnsi="Palatino Linotype" w:cs="Tahoma"/>
          <w:b/>
          <w:bCs/>
          <w:sz w:val="22"/>
          <w:szCs w:val="22"/>
        </w:rPr>
        <w:t>5</w:t>
      </w:r>
      <w:r w:rsidR="00D5699B" w:rsidRPr="005A5793">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5A5793">
        <w:rPr>
          <w:rFonts w:ascii="Palatino Linotype" w:eastAsia="Batang" w:hAnsi="Palatino Linotype" w:cs="Tahoma"/>
          <w:b/>
          <w:bCs/>
          <w:sz w:val="22"/>
          <w:szCs w:val="22"/>
        </w:rPr>
        <w:t>Comisionado Ponente Luis Gustavo Parra Noriega</w:t>
      </w:r>
      <w:r w:rsidR="00D5699B" w:rsidRPr="005A5793">
        <w:rPr>
          <w:rFonts w:ascii="Palatino Linotype" w:eastAsia="Batang" w:hAnsi="Palatino Linotype" w:cs="Tahoma"/>
          <w:bCs/>
          <w:sz w:val="22"/>
          <w:szCs w:val="22"/>
        </w:rPr>
        <w:t>, para los efectos del artículo 185, fracción I</w:t>
      </w:r>
      <w:r w:rsidR="00BB1F81" w:rsidRPr="005A5793">
        <w:rPr>
          <w:rFonts w:ascii="Palatino Linotype" w:eastAsia="Batang" w:hAnsi="Palatino Linotype" w:cs="Tahoma"/>
          <w:bCs/>
          <w:sz w:val="22"/>
          <w:szCs w:val="22"/>
        </w:rPr>
        <w:t>,</w:t>
      </w:r>
      <w:r w:rsidR="00D5699B" w:rsidRPr="005A5793">
        <w:rPr>
          <w:rFonts w:ascii="Palatino Linotype" w:eastAsia="Batang" w:hAnsi="Palatino Linotype" w:cs="Tahoma"/>
          <w:bCs/>
          <w:sz w:val="22"/>
          <w:szCs w:val="22"/>
        </w:rPr>
        <w:t xml:space="preserve"> de la Ley de Transparencia y Acceso a la Información Pública del Estado de México y Municipios.</w:t>
      </w:r>
    </w:p>
    <w:p w14:paraId="66B0A861" w14:textId="77777777" w:rsidR="00D5699B" w:rsidRPr="005A5793" w:rsidRDefault="00D5699B" w:rsidP="00903F17">
      <w:pPr>
        <w:spacing w:line="360" w:lineRule="auto"/>
        <w:contextualSpacing/>
        <w:jc w:val="both"/>
        <w:rPr>
          <w:rFonts w:ascii="Palatino Linotype" w:eastAsia="Batang" w:hAnsi="Palatino Linotype" w:cs="Tahoma"/>
          <w:b/>
          <w:bCs/>
          <w:sz w:val="22"/>
          <w:szCs w:val="22"/>
        </w:rPr>
      </w:pPr>
    </w:p>
    <w:p w14:paraId="223881C8" w14:textId="1769DD37" w:rsidR="00253937" w:rsidRPr="005A5793" w:rsidRDefault="009A7587" w:rsidP="00903F17">
      <w:pPr>
        <w:spacing w:line="360" w:lineRule="auto"/>
        <w:contextualSpacing/>
        <w:jc w:val="both"/>
        <w:rPr>
          <w:rFonts w:ascii="Palatino Linotype" w:hAnsi="Palatino Linotype" w:cs="Tahoma"/>
          <w:bCs/>
          <w:sz w:val="22"/>
          <w:szCs w:val="22"/>
          <w:lang w:val="es-ES_tradnl"/>
        </w:rPr>
      </w:pPr>
      <w:bookmarkStart w:id="10" w:name="_Toc209708720"/>
      <w:r w:rsidRPr="005A5793">
        <w:rPr>
          <w:rStyle w:val="Ttulo3Car"/>
          <w:rFonts w:ascii="Palatino Linotype" w:hAnsi="Palatino Linotype"/>
          <w:b/>
          <w:color w:val="auto"/>
          <w:sz w:val="22"/>
          <w:szCs w:val="22"/>
        </w:rPr>
        <w:t>b) Admisión del Recurso de Revisión</w:t>
      </w:r>
      <w:r w:rsidRPr="005A5793">
        <w:rPr>
          <w:rStyle w:val="Ttulo3Car"/>
          <w:rFonts w:ascii="Palatino Linotype" w:hAnsi="Palatino Linotype"/>
          <w:color w:val="auto"/>
          <w:sz w:val="22"/>
          <w:szCs w:val="22"/>
        </w:rPr>
        <w:t>.</w:t>
      </w:r>
      <w:bookmarkEnd w:id="10"/>
      <w:r w:rsidRPr="005A5793">
        <w:rPr>
          <w:rFonts w:ascii="Palatino Linotype" w:eastAsia="Batang" w:hAnsi="Palatino Linotype" w:cs="Tahoma"/>
          <w:b/>
          <w:bCs/>
          <w:sz w:val="22"/>
          <w:szCs w:val="22"/>
          <w:lang w:val="es-ES_tradnl"/>
        </w:rPr>
        <w:t xml:space="preserve"> </w:t>
      </w:r>
      <w:r w:rsidRPr="005A5793">
        <w:rPr>
          <w:rFonts w:ascii="Palatino Linotype" w:hAnsi="Palatino Linotype" w:cs="Tahoma"/>
          <w:bCs/>
          <w:sz w:val="22"/>
          <w:szCs w:val="22"/>
        </w:rPr>
        <w:t>El</w:t>
      </w:r>
      <w:r w:rsidR="00EB3A2C" w:rsidRPr="005A5793">
        <w:rPr>
          <w:rFonts w:ascii="Palatino Linotype" w:hAnsi="Palatino Linotype" w:cs="Tahoma"/>
          <w:bCs/>
          <w:sz w:val="22"/>
          <w:szCs w:val="22"/>
        </w:rPr>
        <w:t xml:space="preserve"> </w:t>
      </w:r>
      <w:r w:rsidR="00260B92" w:rsidRPr="005A5793">
        <w:rPr>
          <w:rFonts w:ascii="Palatino Linotype" w:hAnsi="Palatino Linotype" w:cs="Tahoma"/>
          <w:bCs/>
          <w:sz w:val="22"/>
          <w:szCs w:val="22"/>
        </w:rPr>
        <w:t>veintiocho</w:t>
      </w:r>
      <w:r w:rsidR="00670F18" w:rsidRPr="005A5793">
        <w:rPr>
          <w:rFonts w:ascii="Palatino Linotype" w:hAnsi="Palatino Linotype" w:cs="Tahoma"/>
          <w:bCs/>
          <w:sz w:val="22"/>
          <w:szCs w:val="22"/>
        </w:rPr>
        <w:t xml:space="preserve"> de agosto</w:t>
      </w:r>
      <w:r w:rsidR="00CA2588" w:rsidRPr="005A5793">
        <w:rPr>
          <w:rFonts w:ascii="Palatino Linotype" w:hAnsi="Palatino Linotype" w:cs="Tahoma"/>
          <w:bCs/>
          <w:sz w:val="22"/>
          <w:szCs w:val="22"/>
        </w:rPr>
        <w:t xml:space="preserve"> </w:t>
      </w:r>
      <w:r w:rsidR="00BF4B55" w:rsidRPr="005A5793">
        <w:rPr>
          <w:rFonts w:ascii="Palatino Linotype" w:hAnsi="Palatino Linotype" w:cs="Tahoma"/>
          <w:bCs/>
          <w:sz w:val="22"/>
          <w:szCs w:val="22"/>
        </w:rPr>
        <w:t>de dos mil veinticinco</w:t>
      </w:r>
      <w:r w:rsidRPr="005A5793">
        <w:rPr>
          <w:rFonts w:ascii="Palatino Linotype" w:hAnsi="Palatino Linotype" w:cs="Tahoma"/>
          <w:bCs/>
          <w:sz w:val="22"/>
          <w:szCs w:val="22"/>
        </w:rPr>
        <w:t xml:space="preserve">, </w:t>
      </w:r>
      <w:r w:rsidR="001F787A" w:rsidRPr="005A5793">
        <w:rPr>
          <w:rFonts w:ascii="Palatino Linotype" w:hAnsi="Palatino Linotype" w:cs="Tahoma"/>
          <w:bCs/>
          <w:sz w:val="22"/>
          <w:szCs w:val="22"/>
        </w:rPr>
        <w:t xml:space="preserve">se acordó la admisión del </w:t>
      </w:r>
      <w:r w:rsidR="001F787A" w:rsidRPr="005A5793">
        <w:rPr>
          <w:rFonts w:ascii="Palatino Linotype" w:hAnsi="Palatino Linotype" w:cs="Tahoma"/>
          <w:bCs/>
          <w:sz w:val="22"/>
          <w:szCs w:val="22"/>
          <w:lang w:val="es-ES_tradnl"/>
        </w:rPr>
        <w:t xml:space="preserve">Recurso de Revisión interpuesto por el Recurrente en contra del </w:t>
      </w:r>
      <w:r w:rsidR="001F787A" w:rsidRPr="005A5793">
        <w:rPr>
          <w:rFonts w:ascii="Palatino Linotype" w:hAnsi="Palatino Linotype" w:cs="Tahoma"/>
          <w:b/>
          <w:bCs/>
          <w:sz w:val="22"/>
          <w:szCs w:val="22"/>
          <w:lang w:val="es-ES_tradnl"/>
        </w:rPr>
        <w:t>Sujeto Obligado</w:t>
      </w:r>
      <w:r w:rsidR="001F787A" w:rsidRPr="005A5793">
        <w:rPr>
          <w:rFonts w:ascii="Palatino Linotype" w:hAnsi="Palatino Linotype" w:cs="Tahoma"/>
          <w:bCs/>
          <w:sz w:val="22"/>
          <w:szCs w:val="22"/>
          <w:lang w:val="es-ES_tradnl"/>
        </w:rPr>
        <w:t>, en términos del artículo 185, fracciones I, II y IV</w:t>
      </w:r>
      <w:r w:rsidR="00BB1F81" w:rsidRPr="005A5793">
        <w:rPr>
          <w:rFonts w:ascii="Palatino Linotype" w:hAnsi="Palatino Linotype" w:cs="Tahoma"/>
          <w:bCs/>
          <w:sz w:val="22"/>
          <w:szCs w:val="22"/>
          <w:lang w:val="es-ES_tradnl"/>
        </w:rPr>
        <w:t>,</w:t>
      </w:r>
      <w:r w:rsidR="001F787A" w:rsidRPr="005A5793">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5A5793">
        <w:rPr>
          <w:rFonts w:ascii="Palatino Linotype" w:hAnsi="Palatino Linotype" w:cs="Tahoma"/>
          <w:bCs/>
          <w:sz w:val="22"/>
          <w:szCs w:val="22"/>
          <w:lang w:val="es-ES_tradnl"/>
        </w:rPr>
        <w:t>o a las partes el mismo día</w:t>
      </w:r>
      <w:r w:rsidR="001F787A" w:rsidRPr="005A5793">
        <w:rPr>
          <w:rFonts w:ascii="Palatino Linotype" w:hAnsi="Palatino Linotype" w:cs="Tahoma"/>
          <w:bCs/>
          <w:sz w:val="22"/>
          <w:szCs w:val="22"/>
          <w:lang w:val="es-ES_tradnl"/>
        </w:rPr>
        <w:t xml:space="preserve"> a través del </w:t>
      </w:r>
      <w:r w:rsidR="00BB1F81" w:rsidRPr="005A5793">
        <w:rPr>
          <w:rFonts w:ascii="Palatino Linotype" w:hAnsi="Palatino Linotype" w:cs="Tahoma"/>
          <w:bCs/>
          <w:sz w:val="22"/>
          <w:szCs w:val="22"/>
          <w:lang w:val="es-ES_tradnl"/>
        </w:rPr>
        <w:t>SAIMEX</w:t>
      </w:r>
      <w:r w:rsidR="001F787A" w:rsidRPr="005A5793">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6522D0D3" w14:textId="77777777" w:rsidR="00281227" w:rsidRPr="005A5793" w:rsidRDefault="00281227" w:rsidP="00903F17">
      <w:pPr>
        <w:spacing w:line="360" w:lineRule="auto"/>
        <w:contextualSpacing/>
        <w:jc w:val="both"/>
        <w:rPr>
          <w:rFonts w:ascii="Palatino Linotype" w:hAnsi="Palatino Linotype" w:cs="Tahoma"/>
          <w:bCs/>
          <w:sz w:val="22"/>
          <w:szCs w:val="22"/>
          <w:lang w:val="es-ES_tradnl"/>
        </w:rPr>
      </w:pPr>
    </w:p>
    <w:p w14:paraId="0E9CA84F" w14:textId="77777777" w:rsidR="00260B92" w:rsidRPr="005A5793" w:rsidRDefault="00260B92" w:rsidP="00260B92">
      <w:pPr>
        <w:spacing w:line="360" w:lineRule="auto"/>
        <w:jc w:val="both"/>
        <w:rPr>
          <w:rFonts w:ascii="Palatino Linotype" w:hAnsi="Palatino Linotype" w:cs="Tahoma"/>
          <w:sz w:val="22"/>
          <w:szCs w:val="22"/>
        </w:rPr>
      </w:pPr>
      <w:r w:rsidRPr="005A5793">
        <w:rPr>
          <w:rFonts w:ascii="Palatino Linotype" w:hAnsi="Palatino Linotype" w:cs="Tahoma"/>
          <w:b/>
          <w:color w:val="000000" w:themeColor="text1"/>
          <w:sz w:val="22"/>
          <w:szCs w:val="22"/>
        </w:rPr>
        <w:lastRenderedPageBreak/>
        <w:t>c)</w:t>
      </w:r>
      <w:r w:rsidRPr="005A5793">
        <w:rPr>
          <w:rFonts w:ascii="Palatino Linotype" w:hAnsi="Palatino Linotype" w:cs="Tahoma"/>
          <w:color w:val="000000" w:themeColor="text1"/>
          <w:sz w:val="22"/>
          <w:szCs w:val="22"/>
          <w:lang w:val="es-ES_tradnl"/>
        </w:rPr>
        <w:t xml:space="preserve"> </w:t>
      </w:r>
      <w:r w:rsidRPr="005A5793">
        <w:rPr>
          <w:rFonts w:ascii="Palatino Linotype" w:hAnsi="Palatino Linotype" w:cs="Tahoma"/>
          <w:b/>
          <w:sz w:val="22"/>
          <w:szCs w:val="22"/>
          <w:lang w:val="es-ES_tradnl"/>
        </w:rPr>
        <w:t xml:space="preserve"> Informe Justificado. </w:t>
      </w:r>
      <w:r w:rsidRPr="005A5793">
        <w:rPr>
          <w:rFonts w:ascii="Palatino Linotype" w:hAnsi="Palatino Linotype" w:cs="Tahoma"/>
          <w:iCs/>
          <w:sz w:val="22"/>
          <w:szCs w:val="22"/>
          <w:lang w:val="es-ES"/>
        </w:rPr>
        <w:t>El Sujeto Obligado fue omiso en realizar manifestación alguna</w:t>
      </w:r>
      <w:r w:rsidRPr="005A5793">
        <w:rPr>
          <w:rFonts w:ascii="Palatino Linotype" w:hAnsi="Palatino Linotype" w:cs="Tahoma"/>
          <w:sz w:val="22"/>
          <w:szCs w:val="22"/>
        </w:rPr>
        <w:t>.</w:t>
      </w:r>
    </w:p>
    <w:p w14:paraId="2AF196E6" w14:textId="77777777" w:rsidR="00260B92" w:rsidRPr="005A5793" w:rsidRDefault="00260B92" w:rsidP="00260B92">
      <w:pPr>
        <w:spacing w:line="360" w:lineRule="auto"/>
        <w:jc w:val="both"/>
        <w:rPr>
          <w:rFonts w:ascii="Palatino Linotype" w:hAnsi="Palatino Linotype" w:cs="Tahoma"/>
          <w:sz w:val="22"/>
          <w:szCs w:val="22"/>
        </w:rPr>
      </w:pPr>
    </w:p>
    <w:p w14:paraId="6B2B4297" w14:textId="0DF91619" w:rsidR="00260B92" w:rsidRPr="005A5793" w:rsidRDefault="00260B92" w:rsidP="00260B92">
      <w:pPr>
        <w:spacing w:line="360" w:lineRule="auto"/>
        <w:jc w:val="both"/>
        <w:rPr>
          <w:rFonts w:ascii="Palatino Linotype" w:hAnsi="Palatino Linotype" w:cs="Tahoma"/>
          <w:sz w:val="22"/>
          <w:szCs w:val="22"/>
        </w:rPr>
      </w:pPr>
      <w:r w:rsidRPr="005A5793">
        <w:rPr>
          <w:rFonts w:ascii="Palatino Linotype" w:hAnsi="Palatino Linotype" w:cs="Tahoma"/>
          <w:b/>
          <w:sz w:val="22"/>
          <w:szCs w:val="22"/>
        </w:rPr>
        <w:t xml:space="preserve">d) Manifestaciones del Recurrente: </w:t>
      </w:r>
      <w:r w:rsidRPr="005A5793">
        <w:rPr>
          <w:rFonts w:ascii="Palatino Linotype" w:hAnsi="Palatino Linotype" w:cs="Tahoma"/>
          <w:sz w:val="22"/>
          <w:szCs w:val="22"/>
        </w:rPr>
        <w:t>El Particular a través del SAIMEX señaló lo siguiente:</w:t>
      </w:r>
    </w:p>
    <w:p w14:paraId="27D17C8C" w14:textId="2AA3DAEE" w:rsidR="00260B92" w:rsidRPr="005A5793" w:rsidRDefault="00260B92" w:rsidP="00260B92">
      <w:pPr>
        <w:spacing w:line="360" w:lineRule="auto"/>
        <w:jc w:val="both"/>
        <w:rPr>
          <w:rFonts w:ascii="Palatino Linotype" w:hAnsi="Palatino Linotype" w:cs="Tahoma"/>
          <w:sz w:val="22"/>
          <w:szCs w:val="22"/>
        </w:rPr>
      </w:pPr>
    </w:p>
    <w:p w14:paraId="6B12AEA8" w14:textId="008BF2E7" w:rsidR="00260B92" w:rsidRPr="005A5793" w:rsidRDefault="00260B92" w:rsidP="00260B92">
      <w:pPr>
        <w:spacing w:line="360" w:lineRule="auto"/>
        <w:ind w:left="567" w:right="539"/>
        <w:jc w:val="both"/>
        <w:rPr>
          <w:rFonts w:ascii="Palatino Linotype" w:hAnsi="Palatino Linotype" w:cs="Tahoma"/>
          <w:i/>
          <w:iCs/>
        </w:rPr>
      </w:pPr>
      <w:r w:rsidRPr="005A5793">
        <w:rPr>
          <w:rFonts w:ascii="Palatino Linotype" w:hAnsi="Palatino Linotype" w:cs="Tahoma"/>
          <w:i/>
          <w:iCs/>
        </w:rPr>
        <w:t>“…Por medio del presente expongo que el titular de la Unidad de Transparencia del Instituto Municipal de Cultura Física y Deporte de Tenango del Valle no entregó la información que le solicite, además de que queda de manifiesto el absoluto desconocimiento de sus funciones que lo lleva a no dar atención debida a mi solicitud, desacatando brutalmente las siguientes disposiciones normativas:</w:t>
      </w:r>
    </w:p>
    <w:p w14:paraId="13F243CA" w14:textId="5A6141CC" w:rsidR="00260B92" w:rsidRPr="005A5793" w:rsidRDefault="00260B92" w:rsidP="00260B92">
      <w:pPr>
        <w:spacing w:line="360" w:lineRule="auto"/>
        <w:ind w:left="567" w:right="539"/>
        <w:jc w:val="both"/>
        <w:rPr>
          <w:rFonts w:ascii="Palatino Linotype" w:hAnsi="Palatino Linotype" w:cs="Tahoma"/>
          <w:i/>
          <w:iCs/>
        </w:rPr>
      </w:pPr>
      <w:r w:rsidRPr="005A5793">
        <w:rPr>
          <w:rFonts w:ascii="Palatino Linotype" w:hAnsi="Palatino Linotype" w:cs="Tahoma"/>
          <w:i/>
          <w:iCs/>
        </w:rPr>
        <w:t>…</w:t>
      </w:r>
    </w:p>
    <w:p w14:paraId="602628A4" w14:textId="1B02ED9A" w:rsidR="00260B92" w:rsidRPr="005A5793" w:rsidRDefault="00260B92" w:rsidP="00260B92">
      <w:pPr>
        <w:spacing w:line="360" w:lineRule="auto"/>
        <w:ind w:left="567" w:right="539"/>
        <w:jc w:val="both"/>
        <w:rPr>
          <w:rFonts w:ascii="Palatino Linotype" w:hAnsi="Palatino Linotype" w:cs="Tahoma"/>
          <w:i/>
          <w:iCs/>
        </w:rPr>
      </w:pPr>
      <w:r w:rsidRPr="005A5793">
        <w:rPr>
          <w:rFonts w:ascii="Palatino Linotype" w:hAnsi="Palatino Linotype" w:cs="Tahoma"/>
          <w:i/>
          <w:iCs/>
        </w:rPr>
        <w:t>También solicito se le de vista a la Contraloría interna del Sujeto Obligado por la responsabilidad administrativa del titular de la Unidad de Transparencia del Instituto Municipal de Cultura Física y Deporte de Tenango del Valle al desconocer las funciones de su cargo y no realizar con eficacia los tramites internos para entregarme la información que le solicité.</w:t>
      </w:r>
    </w:p>
    <w:p w14:paraId="5A61F6C0" w14:textId="22F6F294" w:rsidR="00260B92" w:rsidRPr="005A5793" w:rsidRDefault="00260B92" w:rsidP="00260B92">
      <w:pPr>
        <w:spacing w:line="360" w:lineRule="auto"/>
        <w:ind w:left="567" w:right="539"/>
        <w:jc w:val="both"/>
        <w:rPr>
          <w:rFonts w:ascii="Palatino Linotype" w:hAnsi="Palatino Linotype" w:cs="Tahoma"/>
          <w:i/>
          <w:iCs/>
        </w:rPr>
      </w:pPr>
      <w:r w:rsidRPr="005A5793">
        <w:rPr>
          <w:rFonts w:ascii="Palatino Linotype" w:hAnsi="Palatino Linotype" w:cs="Tahoma"/>
          <w:i/>
          <w:iCs/>
        </w:rPr>
        <w:t>…”</w:t>
      </w:r>
    </w:p>
    <w:p w14:paraId="4C81577C" w14:textId="1905FE6D" w:rsidR="00260B92" w:rsidRPr="005A5793" w:rsidRDefault="00260B92" w:rsidP="00260B92">
      <w:pPr>
        <w:spacing w:line="360" w:lineRule="auto"/>
        <w:jc w:val="both"/>
        <w:rPr>
          <w:rFonts w:ascii="Palatino Linotype" w:hAnsi="Palatino Linotype" w:cs="Tahoma"/>
          <w:sz w:val="22"/>
          <w:szCs w:val="22"/>
        </w:rPr>
      </w:pPr>
    </w:p>
    <w:p w14:paraId="39118AE7" w14:textId="19DCF8EC" w:rsidR="00ED5DF5" w:rsidRPr="005A5793" w:rsidRDefault="00670F18" w:rsidP="00903F17">
      <w:pPr>
        <w:spacing w:line="360" w:lineRule="auto"/>
        <w:jc w:val="both"/>
        <w:rPr>
          <w:rFonts w:ascii="Palatino Linotype" w:hAnsi="Palatino Linotype" w:cs="Tahoma"/>
          <w:sz w:val="22"/>
          <w:szCs w:val="22"/>
        </w:rPr>
      </w:pPr>
      <w:bookmarkStart w:id="11" w:name="_Toc209708721"/>
      <w:r w:rsidRPr="005A5793">
        <w:rPr>
          <w:rStyle w:val="Ttulo3Car"/>
          <w:rFonts w:ascii="Palatino Linotype" w:hAnsi="Palatino Linotype"/>
          <w:b/>
          <w:color w:val="auto"/>
          <w:sz w:val="22"/>
          <w:szCs w:val="22"/>
        </w:rPr>
        <w:t>e</w:t>
      </w:r>
      <w:r w:rsidR="003B0501" w:rsidRPr="005A5793">
        <w:rPr>
          <w:rStyle w:val="Ttulo3Car"/>
          <w:rFonts w:ascii="Palatino Linotype" w:hAnsi="Palatino Linotype"/>
          <w:b/>
          <w:color w:val="auto"/>
          <w:sz w:val="22"/>
          <w:szCs w:val="22"/>
        </w:rPr>
        <w:t>)</w:t>
      </w:r>
      <w:r w:rsidR="00C3485C" w:rsidRPr="005A5793">
        <w:rPr>
          <w:rStyle w:val="Ttulo3Car"/>
          <w:rFonts w:ascii="Palatino Linotype" w:hAnsi="Palatino Linotype"/>
          <w:b/>
          <w:color w:val="auto"/>
          <w:sz w:val="22"/>
          <w:szCs w:val="22"/>
        </w:rPr>
        <w:t xml:space="preserve"> </w:t>
      </w:r>
      <w:r w:rsidR="00ED5DF5" w:rsidRPr="005A5793">
        <w:rPr>
          <w:rStyle w:val="Ttulo3Car"/>
          <w:rFonts w:ascii="Palatino Linotype" w:hAnsi="Palatino Linotype"/>
          <w:b/>
          <w:color w:val="auto"/>
          <w:sz w:val="22"/>
          <w:szCs w:val="22"/>
        </w:rPr>
        <w:t>Cierre de instrucción</w:t>
      </w:r>
      <w:bookmarkEnd w:id="11"/>
      <w:r w:rsidR="00ED5DF5" w:rsidRPr="005A5793">
        <w:rPr>
          <w:rFonts w:ascii="Palatino Linotype" w:hAnsi="Palatino Linotype" w:cs="Tahoma"/>
          <w:b/>
          <w:bCs/>
          <w:sz w:val="22"/>
          <w:szCs w:val="22"/>
        </w:rPr>
        <w:t xml:space="preserve">. </w:t>
      </w:r>
      <w:r w:rsidR="00ED5DF5" w:rsidRPr="005A5793">
        <w:rPr>
          <w:rFonts w:ascii="Palatino Linotype" w:hAnsi="Palatino Linotype" w:cs="Tahoma"/>
          <w:sz w:val="22"/>
          <w:szCs w:val="22"/>
        </w:rPr>
        <w:t>El</w:t>
      </w:r>
      <w:r w:rsidR="000F437A" w:rsidRPr="005A5793">
        <w:rPr>
          <w:rFonts w:ascii="Palatino Linotype" w:hAnsi="Palatino Linotype" w:cs="Tahoma"/>
          <w:sz w:val="22"/>
          <w:szCs w:val="22"/>
        </w:rPr>
        <w:t xml:space="preserve"> </w:t>
      </w:r>
      <w:r w:rsidR="00260B92" w:rsidRPr="005A5793">
        <w:rPr>
          <w:rFonts w:ascii="Palatino Linotype" w:hAnsi="Palatino Linotype" w:cs="Tahoma"/>
          <w:sz w:val="22"/>
          <w:szCs w:val="22"/>
        </w:rPr>
        <w:t xml:space="preserve">diez de septiembre </w:t>
      </w:r>
      <w:r w:rsidR="00E95147" w:rsidRPr="005A5793">
        <w:rPr>
          <w:rFonts w:ascii="Palatino Linotype" w:hAnsi="Palatino Linotype" w:cs="Tahoma"/>
          <w:sz w:val="22"/>
          <w:szCs w:val="22"/>
        </w:rPr>
        <w:t>de dos mil veinti</w:t>
      </w:r>
      <w:r w:rsidR="00F93A36" w:rsidRPr="005A5793">
        <w:rPr>
          <w:rFonts w:ascii="Palatino Linotype" w:hAnsi="Palatino Linotype" w:cs="Tahoma"/>
          <w:sz w:val="22"/>
          <w:szCs w:val="22"/>
        </w:rPr>
        <w:t>c</w:t>
      </w:r>
      <w:r w:rsidR="009C323D" w:rsidRPr="005A5793">
        <w:rPr>
          <w:rFonts w:ascii="Palatino Linotype" w:hAnsi="Palatino Linotype" w:cs="Tahoma"/>
          <w:sz w:val="22"/>
          <w:szCs w:val="22"/>
        </w:rPr>
        <w:t>inco</w:t>
      </w:r>
      <w:r w:rsidR="00ED5DF5" w:rsidRPr="005A5793">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5A5793">
        <w:rPr>
          <w:rFonts w:ascii="Palatino Linotype" w:hAnsi="Palatino Linotype" w:cs="Tahoma"/>
          <w:sz w:val="22"/>
          <w:szCs w:val="22"/>
        </w:rPr>
        <w:t>el mismo día</w:t>
      </w:r>
      <w:r w:rsidR="00ED5DF5" w:rsidRPr="005A5793">
        <w:rPr>
          <w:rFonts w:ascii="Palatino Linotype" w:hAnsi="Palatino Linotype" w:cs="Tahoma"/>
          <w:sz w:val="22"/>
          <w:szCs w:val="22"/>
        </w:rPr>
        <w:t xml:space="preserve">, a través del </w:t>
      </w:r>
      <w:r w:rsidR="00BB1F81" w:rsidRPr="005A5793">
        <w:rPr>
          <w:rFonts w:ascii="Palatino Linotype" w:hAnsi="Palatino Linotype" w:cs="Tahoma"/>
          <w:sz w:val="22"/>
          <w:szCs w:val="22"/>
          <w:lang w:val="es-ES"/>
        </w:rPr>
        <w:t>SAIMEX</w:t>
      </w:r>
      <w:r w:rsidR="00ED5DF5" w:rsidRPr="005A5793">
        <w:rPr>
          <w:rFonts w:ascii="Palatino Linotype" w:hAnsi="Palatino Linotype" w:cs="Tahoma"/>
          <w:sz w:val="22"/>
          <w:szCs w:val="22"/>
        </w:rPr>
        <w:t>.</w:t>
      </w:r>
    </w:p>
    <w:p w14:paraId="710A885F" w14:textId="77777777" w:rsidR="0079675C" w:rsidRPr="005A5793" w:rsidRDefault="0079675C" w:rsidP="00903F17">
      <w:pPr>
        <w:spacing w:line="360" w:lineRule="auto"/>
        <w:jc w:val="both"/>
        <w:rPr>
          <w:rFonts w:ascii="Palatino Linotype" w:hAnsi="Palatino Linotype" w:cs="Tahoma"/>
          <w:sz w:val="22"/>
          <w:szCs w:val="22"/>
        </w:rPr>
      </w:pPr>
    </w:p>
    <w:p w14:paraId="3C1E9727" w14:textId="77777777" w:rsidR="004F2D88" w:rsidRPr="005A5793" w:rsidRDefault="004F2D88" w:rsidP="00903F17">
      <w:pPr>
        <w:spacing w:line="360" w:lineRule="auto"/>
        <w:contextualSpacing/>
        <w:jc w:val="both"/>
        <w:rPr>
          <w:rFonts w:ascii="Palatino Linotype" w:hAnsi="Palatino Linotype" w:cs="Tahoma"/>
          <w:color w:val="000000"/>
          <w:sz w:val="22"/>
          <w:szCs w:val="22"/>
        </w:rPr>
      </w:pPr>
      <w:r w:rsidRPr="005A5793">
        <w:rPr>
          <w:rFonts w:ascii="Palatino Linotype" w:hAnsi="Palatino Linotype" w:cs="Tahoma"/>
          <w:color w:val="000000"/>
          <w:sz w:val="22"/>
          <w:szCs w:val="22"/>
        </w:rPr>
        <w:t xml:space="preserve">En </w:t>
      </w:r>
      <w:r w:rsidR="00367F82" w:rsidRPr="005A5793">
        <w:rPr>
          <w:rFonts w:ascii="Palatino Linotype" w:hAnsi="Palatino Linotype" w:cs="Tahoma"/>
          <w:color w:val="000000"/>
          <w:sz w:val="22"/>
          <w:szCs w:val="22"/>
        </w:rPr>
        <w:t>razón de que fue debidamente su</w:t>
      </w:r>
      <w:r w:rsidRPr="005A5793">
        <w:rPr>
          <w:rFonts w:ascii="Palatino Linotype" w:hAnsi="Palatino Linotype" w:cs="Tahoma"/>
          <w:color w:val="000000"/>
          <w:sz w:val="22"/>
          <w:szCs w:val="22"/>
        </w:rPr>
        <w:t xml:space="preserve">stanciado el expediente </w:t>
      </w:r>
      <w:r w:rsidR="00367F82" w:rsidRPr="005A5793">
        <w:rPr>
          <w:rFonts w:ascii="Palatino Linotype" w:hAnsi="Palatino Linotype" w:cs="Tahoma"/>
          <w:color w:val="000000"/>
          <w:sz w:val="22"/>
          <w:szCs w:val="22"/>
        </w:rPr>
        <w:t xml:space="preserve">electrónico </w:t>
      </w:r>
      <w:r w:rsidRPr="005A5793">
        <w:rPr>
          <w:rFonts w:ascii="Palatino Linotype" w:hAnsi="Palatino Linotype" w:cs="Tahoma"/>
          <w:color w:val="000000"/>
          <w:sz w:val="22"/>
          <w:szCs w:val="22"/>
        </w:rPr>
        <w:t>y no exist</w:t>
      </w:r>
      <w:r w:rsidR="00367F82" w:rsidRPr="005A5793">
        <w:rPr>
          <w:rFonts w:ascii="Palatino Linotype" w:hAnsi="Palatino Linotype" w:cs="Tahoma"/>
          <w:color w:val="000000"/>
          <w:sz w:val="22"/>
          <w:szCs w:val="22"/>
        </w:rPr>
        <w:t>e</w:t>
      </w:r>
      <w:r w:rsidRPr="005A5793">
        <w:rPr>
          <w:rFonts w:ascii="Palatino Linotype" w:hAnsi="Palatino Linotype" w:cs="Tahoma"/>
          <w:color w:val="000000"/>
          <w:sz w:val="22"/>
          <w:szCs w:val="22"/>
        </w:rPr>
        <w:t xml:space="preserve"> dilige</w:t>
      </w:r>
      <w:r w:rsidR="00367F82" w:rsidRPr="005A5793">
        <w:rPr>
          <w:rFonts w:ascii="Palatino Linotype" w:hAnsi="Palatino Linotype" w:cs="Tahoma"/>
          <w:color w:val="000000"/>
          <w:sz w:val="22"/>
          <w:szCs w:val="22"/>
        </w:rPr>
        <w:t xml:space="preserve">ncia pendiente de desahogo, se </w:t>
      </w:r>
      <w:r w:rsidRPr="005A5793">
        <w:rPr>
          <w:rFonts w:ascii="Palatino Linotype" w:hAnsi="Palatino Linotype" w:cs="Tahoma"/>
          <w:color w:val="000000"/>
          <w:sz w:val="22"/>
          <w:szCs w:val="22"/>
        </w:rPr>
        <w:t>emit</w:t>
      </w:r>
      <w:r w:rsidR="00367F82" w:rsidRPr="005A5793">
        <w:rPr>
          <w:rFonts w:ascii="Palatino Linotype" w:hAnsi="Palatino Linotype" w:cs="Tahoma"/>
          <w:color w:val="000000"/>
          <w:sz w:val="22"/>
          <w:szCs w:val="22"/>
        </w:rPr>
        <w:t>e</w:t>
      </w:r>
      <w:r w:rsidRPr="005A5793">
        <w:rPr>
          <w:rFonts w:ascii="Palatino Linotype" w:hAnsi="Palatino Linotype" w:cs="Tahoma"/>
          <w:color w:val="000000"/>
          <w:sz w:val="22"/>
          <w:szCs w:val="22"/>
        </w:rPr>
        <w:t xml:space="preserve"> la resolución que conforme a Derecho proceda, de acuerdo a l</w:t>
      </w:r>
      <w:r w:rsidR="009A620E" w:rsidRPr="005A5793">
        <w:rPr>
          <w:rFonts w:ascii="Palatino Linotype" w:hAnsi="Palatino Linotype" w:cs="Tahoma"/>
          <w:color w:val="000000"/>
          <w:sz w:val="22"/>
          <w:szCs w:val="22"/>
        </w:rPr>
        <w:t>o</w:t>
      </w:r>
      <w:r w:rsidRPr="005A5793">
        <w:rPr>
          <w:rFonts w:ascii="Palatino Linotype" w:hAnsi="Palatino Linotype" w:cs="Tahoma"/>
          <w:color w:val="000000"/>
          <w:sz w:val="22"/>
          <w:szCs w:val="22"/>
        </w:rPr>
        <w:t xml:space="preserve">s siguientes: </w:t>
      </w:r>
    </w:p>
    <w:p w14:paraId="7C9989B5" w14:textId="77777777" w:rsidR="001C0C73" w:rsidRPr="005A5793" w:rsidRDefault="001C0C73" w:rsidP="00903F17">
      <w:pPr>
        <w:spacing w:line="360" w:lineRule="auto"/>
        <w:contextualSpacing/>
        <w:jc w:val="both"/>
        <w:rPr>
          <w:rFonts w:ascii="Palatino Linotype" w:hAnsi="Palatino Linotype" w:cs="Tahoma"/>
          <w:color w:val="000000"/>
          <w:sz w:val="22"/>
          <w:szCs w:val="22"/>
        </w:rPr>
      </w:pPr>
    </w:p>
    <w:p w14:paraId="2944DD17" w14:textId="77777777" w:rsidR="00EA4E4A" w:rsidRPr="005A5793" w:rsidRDefault="00EA4E4A" w:rsidP="00903F17">
      <w:pPr>
        <w:pStyle w:val="Ttulo1"/>
        <w:spacing w:before="0" w:line="360" w:lineRule="auto"/>
        <w:jc w:val="center"/>
        <w:rPr>
          <w:rFonts w:ascii="Palatino Linotype" w:hAnsi="Palatino Linotype"/>
          <w:b/>
          <w:color w:val="auto"/>
          <w:sz w:val="22"/>
          <w:szCs w:val="22"/>
        </w:rPr>
      </w:pPr>
      <w:bookmarkStart w:id="12" w:name="_Toc209708722"/>
      <w:r w:rsidRPr="005A5793">
        <w:rPr>
          <w:rFonts w:ascii="Palatino Linotype" w:hAnsi="Palatino Linotype"/>
          <w:b/>
          <w:color w:val="auto"/>
          <w:sz w:val="22"/>
          <w:szCs w:val="22"/>
        </w:rPr>
        <w:lastRenderedPageBreak/>
        <w:t>C O N S I D E R A N D O S</w:t>
      </w:r>
      <w:bookmarkEnd w:id="12"/>
    </w:p>
    <w:p w14:paraId="51E28A67" w14:textId="77777777" w:rsidR="00EA4E4A" w:rsidRPr="005A5793" w:rsidRDefault="00EA4E4A" w:rsidP="00903F17">
      <w:pPr>
        <w:spacing w:line="360" w:lineRule="auto"/>
        <w:contextualSpacing/>
        <w:jc w:val="both"/>
        <w:rPr>
          <w:rFonts w:ascii="Palatino Linotype" w:hAnsi="Palatino Linotype" w:cs="Tahoma"/>
          <w:b/>
          <w:sz w:val="22"/>
          <w:szCs w:val="22"/>
        </w:rPr>
      </w:pPr>
    </w:p>
    <w:p w14:paraId="7AE48375" w14:textId="77777777" w:rsidR="00EA4E4A" w:rsidRPr="005A5793" w:rsidRDefault="00EA4E4A" w:rsidP="00903F17">
      <w:pPr>
        <w:pStyle w:val="Ttulo2"/>
        <w:spacing w:before="0" w:line="360" w:lineRule="auto"/>
        <w:rPr>
          <w:rFonts w:ascii="Palatino Linotype" w:hAnsi="Palatino Linotype"/>
          <w:b/>
          <w:sz w:val="22"/>
          <w:szCs w:val="22"/>
        </w:rPr>
      </w:pPr>
      <w:bookmarkStart w:id="13" w:name="_Toc209708723"/>
      <w:r w:rsidRPr="005A5793">
        <w:rPr>
          <w:rFonts w:ascii="Palatino Linotype" w:eastAsia="Calibri" w:hAnsi="Palatino Linotype"/>
          <w:b/>
          <w:color w:val="auto"/>
          <w:sz w:val="22"/>
          <w:szCs w:val="22"/>
          <w:lang w:eastAsia="es-MX"/>
        </w:rPr>
        <w:t xml:space="preserve">PRIMERO. </w:t>
      </w:r>
      <w:r w:rsidRPr="005A5793">
        <w:rPr>
          <w:rFonts w:ascii="Palatino Linotype" w:hAnsi="Palatino Linotype"/>
          <w:b/>
          <w:color w:val="auto"/>
          <w:sz w:val="22"/>
          <w:szCs w:val="22"/>
        </w:rPr>
        <w:t>Competencia</w:t>
      </w:r>
      <w:bookmarkEnd w:id="13"/>
    </w:p>
    <w:p w14:paraId="2B940AE1" w14:textId="77777777" w:rsidR="00EA4E4A" w:rsidRPr="005A5793" w:rsidRDefault="00EA4E4A" w:rsidP="00903F17">
      <w:pPr>
        <w:autoSpaceDE w:val="0"/>
        <w:autoSpaceDN w:val="0"/>
        <w:adjustRightInd w:val="0"/>
        <w:spacing w:line="360" w:lineRule="auto"/>
        <w:contextualSpacing/>
        <w:jc w:val="both"/>
        <w:rPr>
          <w:rFonts w:ascii="Palatino Linotype" w:hAnsi="Palatino Linotype" w:cs="Tahoma"/>
          <w:b/>
          <w:sz w:val="22"/>
          <w:szCs w:val="22"/>
        </w:rPr>
      </w:pPr>
    </w:p>
    <w:p w14:paraId="69721873" w14:textId="77777777" w:rsidR="005C0E48" w:rsidRPr="005A5793" w:rsidRDefault="005C0E48" w:rsidP="00903F17">
      <w:pPr>
        <w:spacing w:line="360" w:lineRule="auto"/>
        <w:jc w:val="both"/>
        <w:rPr>
          <w:rFonts w:ascii="Palatino Linotype" w:eastAsia="Calibri" w:hAnsi="Palatino Linotype" w:cs="Tahoma"/>
          <w:color w:val="000000"/>
          <w:sz w:val="22"/>
          <w:szCs w:val="22"/>
          <w:lang w:eastAsia="es-MX"/>
        </w:rPr>
      </w:pPr>
      <w:r w:rsidRPr="005A5793">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4" w:name="_Hlk205301454"/>
      <w:r w:rsidRPr="005A5793">
        <w:rPr>
          <w:rFonts w:ascii="Palatino Linotype" w:eastAsia="Calibri" w:hAnsi="Palatino Linotype" w:cs="Tahoma"/>
          <w:color w:val="000000"/>
          <w:sz w:val="22"/>
          <w:szCs w:val="22"/>
          <w:lang w:eastAsia="es-MX"/>
        </w:rPr>
        <w:t xml:space="preserve">trigésimo </w:t>
      </w:r>
      <w:r w:rsidR="0054688D" w:rsidRPr="005A5793">
        <w:rPr>
          <w:rFonts w:ascii="Palatino Linotype" w:eastAsia="Calibri" w:hAnsi="Palatino Linotype" w:cs="Tahoma"/>
          <w:color w:val="000000"/>
          <w:sz w:val="22"/>
          <w:szCs w:val="22"/>
          <w:lang w:eastAsia="es-MX"/>
        </w:rPr>
        <w:t>noveno, cuadragésimo y cuadragésimo primero</w:t>
      </w:r>
      <w:bookmarkEnd w:id="14"/>
      <w:r w:rsidRPr="005A5793">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920F541" w14:textId="77777777" w:rsidR="00F66601" w:rsidRPr="005A5793" w:rsidRDefault="00F66601" w:rsidP="00903F17">
      <w:pPr>
        <w:spacing w:line="360" w:lineRule="auto"/>
        <w:jc w:val="both"/>
        <w:rPr>
          <w:rFonts w:ascii="Palatino Linotype" w:hAnsi="Palatino Linotype" w:cs="Tahoma"/>
          <w:sz w:val="22"/>
          <w:szCs w:val="22"/>
          <w:shd w:val="clear" w:color="auto" w:fill="FFFFFF"/>
        </w:rPr>
      </w:pPr>
    </w:p>
    <w:p w14:paraId="606D93A8" w14:textId="77777777" w:rsidR="00CE0B4C" w:rsidRPr="005A5793" w:rsidRDefault="00CE0B4C" w:rsidP="00903F17">
      <w:pPr>
        <w:pStyle w:val="Ttulo2"/>
        <w:spacing w:before="0" w:line="360" w:lineRule="auto"/>
        <w:rPr>
          <w:rFonts w:ascii="Palatino Linotype" w:eastAsia="Calibri" w:hAnsi="Palatino Linotype"/>
          <w:b/>
          <w:color w:val="auto"/>
          <w:sz w:val="22"/>
          <w:szCs w:val="22"/>
          <w:lang w:eastAsia="es-MX"/>
        </w:rPr>
      </w:pPr>
      <w:bookmarkStart w:id="15" w:name="_Toc209708724"/>
      <w:r w:rsidRPr="005A5793">
        <w:rPr>
          <w:rFonts w:ascii="Palatino Linotype" w:eastAsia="Calibri" w:hAnsi="Palatino Linotype"/>
          <w:b/>
          <w:color w:val="auto"/>
          <w:sz w:val="22"/>
          <w:szCs w:val="22"/>
          <w:lang w:eastAsia="es-MX"/>
        </w:rPr>
        <w:t>SEGUNDO. Causales de improcedencia y sobreseimiento</w:t>
      </w:r>
      <w:bookmarkEnd w:id="15"/>
    </w:p>
    <w:p w14:paraId="66C67416" w14:textId="77777777" w:rsidR="00566562" w:rsidRPr="005A5793" w:rsidRDefault="00566562"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6606AF3" w14:textId="77777777" w:rsidR="00CE0B4C" w:rsidRPr="005A5793"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A5793">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BF3C8E4" w14:textId="77777777" w:rsidR="00CE0B4C" w:rsidRPr="005A5793"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26E99C8" w14:textId="77777777" w:rsidR="00CE0B4C" w:rsidRPr="005A5793" w:rsidRDefault="00CE0B4C"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A5793">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80E8E63" w14:textId="77777777" w:rsidR="00BF4B55" w:rsidRPr="005A5793" w:rsidRDefault="00BF4B55" w:rsidP="00903F1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17921D8" w14:textId="77777777" w:rsidR="00CE0B4C" w:rsidRPr="005A5793" w:rsidRDefault="00CE0B4C" w:rsidP="00903F17">
      <w:pPr>
        <w:pStyle w:val="Ttulo3"/>
        <w:spacing w:before="0" w:line="360" w:lineRule="auto"/>
        <w:rPr>
          <w:rFonts w:ascii="Palatino Linotype" w:eastAsia="Calibri" w:hAnsi="Palatino Linotype" w:cs="Arial"/>
          <w:b/>
          <w:color w:val="auto"/>
          <w:sz w:val="22"/>
          <w:szCs w:val="22"/>
          <w:lang w:eastAsia="es-ES_tradnl"/>
        </w:rPr>
      </w:pPr>
      <w:bookmarkStart w:id="16" w:name="_Toc209708725"/>
      <w:r w:rsidRPr="005A5793">
        <w:rPr>
          <w:rFonts w:ascii="Palatino Linotype" w:eastAsia="Calibri" w:hAnsi="Palatino Linotype" w:cs="Arial"/>
          <w:b/>
          <w:color w:val="auto"/>
          <w:sz w:val="22"/>
          <w:szCs w:val="22"/>
          <w:lang w:eastAsia="es-ES_tradnl"/>
        </w:rPr>
        <w:t>Causales de sobreseimiento</w:t>
      </w:r>
      <w:bookmarkEnd w:id="16"/>
    </w:p>
    <w:p w14:paraId="1F13FF96" w14:textId="77777777" w:rsidR="00CE0B4C" w:rsidRPr="005A5793" w:rsidRDefault="00CE0B4C" w:rsidP="00903F17">
      <w:pPr>
        <w:spacing w:line="360" w:lineRule="auto"/>
        <w:jc w:val="both"/>
        <w:rPr>
          <w:rFonts w:ascii="Palatino Linotype" w:eastAsia="Calibri" w:hAnsi="Palatino Linotype" w:cs="Tahoma"/>
          <w:sz w:val="22"/>
          <w:szCs w:val="22"/>
          <w:lang w:eastAsia="es-ES_tradnl"/>
        </w:rPr>
      </w:pPr>
    </w:p>
    <w:p w14:paraId="5D40E619" w14:textId="77777777" w:rsidR="00CE0B4C" w:rsidRPr="005A5793" w:rsidRDefault="00CE0B4C" w:rsidP="00903F17">
      <w:pPr>
        <w:spacing w:line="360" w:lineRule="auto"/>
        <w:jc w:val="both"/>
        <w:rPr>
          <w:rFonts w:ascii="Palatino Linotype" w:eastAsia="Calibri" w:hAnsi="Palatino Linotype" w:cs="Tahoma"/>
          <w:sz w:val="22"/>
          <w:szCs w:val="22"/>
          <w:lang w:eastAsia="es-ES_tradnl"/>
        </w:rPr>
      </w:pPr>
      <w:r w:rsidRPr="005A5793">
        <w:rPr>
          <w:rFonts w:ascii="Palatino Linotype" w:eastAsia="Calibri" w:hAnsi="Palatino Linotype" w:cs="Tahoma"/>
          <w:sz w:val="22"/>
          <w:szCs w:val="22"/>
          <w:lang w:eastAsia="es-ES_tradnl"/>
        </w:rPr>
        <w:t>Por lo que hace a las causales de sobreseimiento, del análisis realizado por este Instituto, se advierte que</w:t>
      </w:r>
      <w:r w:rsidRPr="005A5793">
        <w:rPr>
          <w:rFonts w:ascii="Palatino Linotype" w:eastAsia="Calibri" w:hAnsi="Palatino Linotype" w:cs="Tahoma"/>
          <w:b/>
          <w:sz w:val="22"/>
          <w:szCs w:val="22"/>
          <w:lang w:eastAsia="es-ES_tradnl"/>
        </w:rPr>
        <w:t xml:space="preserve"> </w:t>
      </w:r>
      <w:r w:rsidRPr="005A5793">
        <w:rPr>
          <w:rFonts w:ascii="Palatino Linotype" w:eastAsia="Calibri" w:hAnsi="Palatino Linotype" w:cs="Tahoma"/>
          <w:bCs/>
          <w:sz w:val="22"/>
          <w:szCs w:val="22"/>
          <w:lang w:eastAsia="es-ES_tradnl"/>
        </w:rPr>
        <w:t>no se actualiza ninguna de las previstas por el artículo 192 de la Ley de Transparencia y Acceso a la Información Pública del Estado de México y Municipios</w:t>
      </w:r>
      <w:r w:rsidRPr="005A5793">
        <w:rPr>
          <w:rFonts w:ascii="Palatino Linotype" w:eastAsia="Calibri" w:hAnsi="Palatino Linotype" w:cs="Tahoma"/>
          <w:b/>
          <w:sz w:val="22"/>
          <w:szCs w:val="22"/>
          <w:lang w:eastAsia="es-ES_tradnl"/>
        </w:rPr>
        <w:t xml:space="preserve">; </w:t>
      </w:r>
      <w:r w:rsidRPr="005A5793">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5A5793">
        <w:rPr>
          <w:rFonts w:ascii="Palatino Linotype" w:eastAsia="Calibri" w:hAnsi="Palatino Linotype" w:cs="Tahoma"/>
          <w:bCs/>
          <w:sz w:val="22"/>
          <w:szCs w:val="22"/>
          <w:lang w:eastAsia="es-ES_tradnl"/>
        </w:rPr>
        <w:t xml:space="preserve">Por tales motivos, </w:t>
      </w:r>
      <w:r w:rsidRPr="005A5793">
        <w:rPr>
          <w:rFonts w:ascii="Palatino Linotype" w:eastAsia="Calibri" w:hAnsi="Palatino Linotype" w:cs="Tahoma"/>
          <w:sz w:val="22"/>
          <w:szCs w:val="22"/>
          <w:lang w:eastAsia="es-ES_tradnl"/>
        </w:rPr>
        <w:t xml:space="preserve">se considera procedente entrar al fondo del presente asunto. </w:t>
      </w:r>
    </w:p>
    <w:p w14:paraId="1DC832CD" w14:textId="77777777" w:rsidR="00472490" w:rsidRPr="005A5793" w:rsidRDefault="00472490" w:rsidP="00903F17">
      <w:pPr>
        <w:spacing w:line="360" w:lineRule="auto"/>
        <w:jc w:val="both"/>
        <w:rPr>
          <w:rFonts w:ascii="Palatino Linotype" w:eastAsia="Calibri" w:hAnsi="Palatino Linotype" w:cs="Tahoma"/>
          <w:sz w:val="22"/>
          <w:szCs w:val="22"/>
          <w:lang w:eastAsia="es-ES_tradnl"/>
        </w:rPr>
      </w:pPr>
    </w:p>
    <w:p w14:paraId="245198DF" w14:textId="77777777" w:rsidR="00CE0B4C" w:rsidRPr="005A5793" w:rsidRDefault="00CE0B4C" w:rsidP="00903F17">
      <w:pPr>
        <w:pStyle w:val="Ttulo2"/>
        <w:spacing w:before="0" w:line="360" w:lineRule="auto"/>
        <w:rPr>
          <w:rFonts w:ascii="Palatino Linotype" w:eastAsia="Calibri" w:hAnsi="Palatino Linotype"/>
          <w:b/>
          <w:color w:val="auto"/>
          <w:sz w:val="22"/>
          <w:lang w:val="es-ES" w:eastAsia="es-ES_tradnl"/>
        </w:rPr>
      </w:pPr>
      <w:bookmarkStart w:id="17" w:name="_Toc209708726"/>
      <w:r w:rsidRPr="005A5793">
        <w:rPr>
          <w:rFonts w:ascii="Palatino Linotype" w:eastAsia="Calibri" w:hAnsi="Palatino Linotype"/>
          <w:b/>
          <w:color w:val="auto"/>
          <w:sz w:val="22"/>
          <w:lang w:eastAsia="es-ES_tradnl"/>
        </w:rPr>
        <w:t>TERCERO. Determinación de la Controversia</w:t>
      </w:r>
      <w:bookmarkEnd w:id="17"/>
    </w:p>
    <w:p w14:paraId="696277E7" w14:textId="77777777" w:rsidR="00CE0B4C" w:rsidRPr="005A5793" w:rsidRDefault="00CE0B4C" w:rsidP="00903F17">
      <w:pPr>
        <w:tabs>
          <w:tab w:val="left" w:pos="4962"/>
        </w:tabs>
        <w:spacing w:line="360" w:lineRule="auto"/>
        <w:jc w:val="both"/>
        <w:rPr>
          <w:rFonts w:ascii="Palatino Linotype" w:eastAsia="Calibri" w:hAnsi="Palatino Linotype" w:cs="Tahoma"/>
          <w:b/>
          <w:iCs/>
          <w:sz w:val="22"/>
          <w:szCs w:val="22"/>
          <w:lang w:val="es-ES" w:eastAsia="es-ES_tradnl"/>
        </w:rPr>
      </w:pPr>
    </w:p>
    <w:p w14:paraId="019ED168" w14:textId="04EF1025" w:rsidR="005A40EB" w:rsidRPr="005A5793" w:rsidRDefault="00CE0B4C" w:rsidP="00903F17">
      <w:pPr>
        <w:tabs>
          <w:tab w:val="left" w:pos="4962"/>
        </w:tabs>
        <w:spacing w:line="360" w:lineRule="auto"/>
        <w:jc w:val="both"/>
        <w:rPr>
          <w:rFonts w:ascii="Palatino Linotype" w:eastAsia="Calibri" w:hAnsi="Palatino Linotype" w:cs="Tahoma"/>
          <w:iCs/>
          <w:sz w:val="22"/>
          <w:szCs w:val="22"/>
          <w:lang w:val="es-ES" w:eastAsia="es-ES_tradnl"/>
        </w:rPr>
      </w:pPr>
      <w:r w:rsidRPr="005A5793">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5A5793">
        <w:rPr>
          <w:rFonts w:ascii="Palatino Linotype" w:eastAsia="Calibri" w:hAnsi="Palatino Linotype" w:cs="Tahoma"/>
          <w:iCs/>
          <w:sz w:val="22"/>
          <w:szCs w:val="22"/>
          <w:lang w:val="es-ES" w:eastAsia="es-ES_tradnl"/>
        </w:rPr>
        <w:t xml:space="preserve">Particular </w:t>
      </w:r>
      <w:r w:rsidRPr="005A5793">
        <w:rPr>
          <w:rFonts w:ascii="Palatino Linotype" w:eastAsia="Calibri" w:hAnsi="Palatino Linotype" w:cs="Tahoma"/>
          <w:iCs/>
          <w:sz w:val="22"/>
          <w:szCs w:val="22"/>
          <w:lang w:val="es-ES" w:eastAsia="es-ES_tradnl"/>
        </w:rPr>
        <w:t>solicitó a</w:t>
      </w:r>
      <w:r w:rsidR="00212285" w:rsidRPr="005A5793">
        <w:rPr>
          <w:rFonts w:ascii="Palatino Linotype" w:eastAsia="Calibri" w:hAnsi="Palatino Linotype" w:cs="Tahoma"/>
          <w:iCs/>
          <w:sz w:val="22"/>
          <w:szCs w:val="22"/>
          <w:lang w:val="es-ES" w:eastAsia="es-ES_tradnl"/>
        </w:rPr>
        <w:t>l</w:t>
      </w:r>
      <w:r w:rsidR="0003473A" w:rsidRPr="005A5793">
        <w:rPr>
          <w:rFonts w:ascii="Palatino Linotype" w:eastAsia="Calibri" w:hAnsi="Palatino Linotype" w:cs="Tahoma"/>
          <w:iCs/>
          <w:sz w:val="22"/>
          <w:szCs w:val="22"/>
          <w:lang w:val="es-ES" w:eastAsia="es-ES_tradnl"/>
        </w:rPr>
        <w:t xml:space="preserve"> </w:t>
      </w:r>
      <w:r w:rsidR="00A3770E" w:rsidRPr="005A5793">
        <w:rPr>
          <w:rFonts w:ascii="Palatino Linotype" w:eastAsia="Calibri" w:hAnsi="Palatino Linotype" w:cs="Tahoma"/>
          <w:iCs/>
          <w:sz w:val="22"/>
          <w:szCs w:val="22"/>
          <w:lang w:val="es-ES" w:eastAsia="es-ES_tradnl"/>
        </w:rPr>
        <w:t>Instituto Municipal de Cultura Física y Deporte de Tenango del Valle</w:t>
      </w:r>
      <w:r w:rsidRPr="005A5793">
        <w:rPr>
          <w:rFonts w:ascii="Palatino Linotype" w:eastAsia="Calibri" w:hAnsi="Palatino Linotype" w:cs="Tahoma"/>
          <w:iCs/>
          <w:sz w:val="22"/>
          <w:szCs w:val="22"/>
          <w:lang w:val="es-ES" w:eastAsia="es-ES_tradnl"/>
        </w:rPr>
        <w:t>,</w:t>
      </w:r>
      <w:r w:rsidR="00F25703" w:rsidRPr="005A5793">
        <w:rPr>
          <w:rFonts w:ascii="Palatino Linotype" w:eastAsia="Calibri" w:hAnsi="Palatino Linotype" w:cs="Tahoma"/>
          <w:iCs/>
          <w:sz w:val="22"/>
          <w:szCs w:val="22"/>
          <w:lang w:val="es-ES" w:eastAsia="es-ES_tradnl"/>
        </w:rPr>
        <w:t xml:space="preserve"> </w:t>
      </w:r>
      <w:r w:rsidR="00F312B3" w:rsidRPr="005A5793">
        <w:rPr>
          <w:rFonts w:ascii="Palatino Linotype" w:eastAsia="Calibri" w:hAnsi="Palatino Linotype" w:cs="Tahoma"/>
          <w:iCs/>
          <w:sz w:val="22"/>
          <w:szCs w:val="22"/>
          <w:lang w:val="es-ES" w:eastAsia="es-ES_tradnl"/>
        </w:rPr>
        <w:t xml:space="preserve">los recibos de nómina de todos los servidores públicos, de la segunda quincena de julio de </w:t>
      </w:r>
      <w:r w:rsidR="005F4614" w:rsidRPr="005A5793">
        <w:rPr>
          <w:rFonts w:ascii="Palatino Linotype" w:eastAsia="Calibri" w:hAnsi="Palatino Linotype" w:cs="Tahoma"/>
          <w:iCs/>
          <w:sz w:val="22"/>
          <w:szCs w:val="22"/>
          <w:lang w:val="es-ES" w:eastAsia="es-ES_tradnl"/>
        </w:rPr>
        <w:t>dos mil veinticinco</w:t>
      </w:r>
      <w:r w:rsidR="00F312B3" w:rsidRPr="005A5793">
        <w:rPr>
          <w:rFonts w:ascii="Palatino Linotype" w:eastAsia="Calibri" w:hAnsi="Palatino Linotype" w:cs="Tahoma"/>
          <w:iCs/>
          <w:sz w:val="22"/>
          <w:szCs w:val="22"/>
          <w:lang w:val="es-ES" w:eastAsia="es-ES_tradnl"/>
        </w:rPr>
        <w:t>.</w:t>
      </w:r>
    </w:p>
    <w:p w14:paraId="44D43941" w14:textId="77777777" w:rsidR="005A40EB" w:rsidRPr="005A5793" w:rsidRDefault="005A40EB" w:rsidP="00903F17">
      <w:pPr>
        <w:tabs>
          <w:tab w:val="left" w:pos="4962"/>
        </w:tabs>
        <w:spacing w:line="360" w:lineRule="auto"/>
        <w:jc w:val="both"/>
        <w:rPr>
          <w:rFonts w:ascii="Palatino Linotype" w:eastAsia="Calibri" w:hAnsi="Palatino Linotype" w:cs="Tahoma"/>
          <w:iCs/>
          <w:sz w:val="22"/>
          <w:szCs w:val="22"/>
          <w:lang w:val="es-ES" w:eastAsia="es-ES_tradnl"/>
        </w:rPr>
      </w:pPr>
    </w:p>
    <w:p w14:paraId="1CA54E7B" w14:textId="7C133393" w:rsidR="00A511BB" w:rsidRPr="005A5793" w:rsidRDefault="00993BF4" w:rsidP="00903F17">
      <w:pPr>
        <w:tabs>
          <w:tab w:val="left" w:pos="4962"/>
        </w:tabs>
        <w:spacing w:line="360" w:lineRule="auto"/>
        <w:jc w:val="both"/>
        <w:rPr>
          <w:rFonts w:ascii="Palatino Linotype" w:eastAsia="Calibri" w:hAnsi="Palatino Linotype" w:cs="Tahoma"/>
          <w:iCs/>
          <w:sz w:val="22"/>
          <w:szCs w:val="22"/>
          <w:lang w:val="es-ES" w:eastAsia="es-ES_tradnl"/>
        </w:rPr>
      </w:pPr>
      <w:r w:rsidRPr="005A5793">
        <w:rPr>
          <w:rFonts w:ascii="Palatino Linotype" w:eastAsia="Calibri" w:hAnsi="Palatino Linotype" w:cs="Tahoma"/>
          <w:iCs/>
          <w:sz w:val="22"/>
          <w:szCs w:val="22"/>
          <w:lang w:val="es-ES" w:eastAsia="es-ES_tradnl"/>
        </w:rPr>
        <w:lastRenderedPageBreak/>
        <w:t>E</w:t>
      </w:r>
      <w:r w:rsidR="0044640B" w:rsidRPr="005A5793">
        <w:rPr>
          <w:rFonts w:ascii="Palatino Linotype" w:eastAsia="Calibri" w:hAnsi="Palatino Linotype" w:cs="Tahoma"/>
          <w:iCs/>
          <w:sz w:val="22"/>
          <w:szCs w:val="22"/>
          <w:lang w:val="es-ES" w:eastAsia="es-ES_tradnl"/>
        </w:rPr>
        <w:t>n respuesta</w:t>
      </w:r>
      <w:r w:rsidR="007F34CB" w:rsidRPr="005A5793">
        <w:rPr>
          <w:rFonts w:ascii="Palatino Linotype" w:eastAsia="Calibri" w:hAnsi="Palatino Linotype" w:cs="Tahoma"/>
          <w:iCs/>
          <w:sz w:val="22"/>
          <w:szCs w:val="22"/>
          <w:lang w:val="es-ES" w:eastAsia="es-ES_tradnl"/>
        </w:rPr>
        <w:t>,</w:t>
      </w:r>
      <w:r w:rsidR="0044640B" w:rsidRPr="005A5793">
        <w:rPr>
          <w:rFonts w:ascii="Palatino Linotype" w:eastAsia="Calibri" w:hAnsi="Palatino Linotype" w:cs="Tahoma"/>
          <w:iCs/>
          <w:sz w:val="22"/>
          <w:szCs w:val="22"/>
          <w:lang w:val="es-ES" w:eastAsia="es-ES_tradnl"/>
        </w:rPr>
        <w:t xml:space="preserve"> el Sujeto Obligado</w:t>
      </w:r>
      <w:r w:rsidR="00043A1D" w:rsidRPr="005A5793">
        <w:rPr>
          <w:rFonts w:ascii="Palatino Linotype" w:eastAsia="Calibri" w:hAnsi="Palatino Linotype" w:cs="Tahoma"/>
          <w:iCs/>
          <w:sz w:val="22"/>
          <w:szCs w:val="22"/>
          <w:lang w:val="es-ES" w:eastAsia="es-ES_tradnl"/>
        </w:rPr>
        <w:t xml:space="preserve"> </w:t>
      </w:r>
      <w:r w:rsidR="00F312B3" w:rsidRPr="005A5793">
        <w:rPr>
          <w:rFonts w:ascii="Palatino Linotype" w:eastAsia="Calibri" w:hAnsi="Palatino Linotype" w:cs="Tahoma"/>
          <w:iCs/>
          <w:sz w:val="22"/>
          <w:szCs w:val="22"/>
          <w:lang w:val="es-ES" w:eastAsia="es-ES_tradnl"/>
        </w:rPr>
        <w:t>señaló que no podía entregar la información</w:t>
      </w:r>
      <w:r w:rsidR="00634E2D" w:rsidRPr="005A5793">
        <w:rPr>
          <w:rFonts w:ascii="Palatino Linotype" w:eastAsia="Calibri" w:hAnsi="Palatino Linotype" w:cs="Tahoma"/>
          <w:iCs/>
          <w:sz w:val="22"/>
          <w:szCs w:val="22"/>
          <w:lang w:val="es-ES" w:eastAsia="es-ES_tradnl"/>
        </w:rPr>
        <w:t>,</w:t>
      </w:r>
      <w:r w:rsidR="0018547D" w:rsidRPr="005A5793">
        <w:rPr>
          <w:rFonts w:ascii="Palatino Linotype" w:eastAsia="Calibri" w:hAnsi="Palatino Linotype" w:cs="Tahoma"/>
          <w:iCs/>
          <w:sz w:val="22"/>
          <w:szCs w:val="22"/>
          <w:lang w:val="es-ES" w:eastAsia="es-ES_tradnl"/>
        </w:rPr>
        <w:t xml:space="preserve"> </w:t>
      </w:r>
      <w:r w:rsidR="0004574F" w:rsidRPr="005A5793">
        <w:rPr>
          <w:rFonts w:ascii="Palatino Linotype" w:eastAsia="Calibri" w:hAnsi="Palatino Linotype" w:cs="Tahoma"/>
          <w:iCs/>
          <w:sz w:val="22"/>
          <w:szCs w:val="22"/>
          <w:lang w:val="es-ES" w:eastAsia="es-ES_tradnl"/>
        </w:rPr>
        <w:t xml:space="preserve">derivado de ello </w:t>
      </w:r>
      <w:r w:rsidR="005A40EB" w:rsidRPr="005A5793">
        <w:rPr>
          <w:rFonts w:ascii="Palatino Linotype" w:eastAsia="Calibri" w:hAnsi="Palatino Linotype" w:cs="Tahoma"/>
          <w:iCs/>
          <w:sz w:val="22"/>
          <w:szCs w:val="22"/>
          <w:lang w:val="es-ES" w:eastAsia="es-ES_tradnl"/>
        </w:rPr>
        <w:t xml:space="preserve">el Particular </w:t>
      </w:r>
      <w:r w:rsidR="00F25703" w:rsidRPr="005A5793">
        <w:rPr>
          <w:rFonts w:ascii="Palatino Linotype" w:eastAsia="Calibri" w:hAnsi="Palatino Linotype" w:cs="Tahoma"/>
          <w:iCs/>
          <w:sz w:val="22"/>
          <w:szCs w:val="22"/>
          <w:lang w:val="es-ES" w:eastAsia="es-ES_tradnl"/>
        </w:rPr>
        <w:t xml:space="preserve">se </w:t>
      </w:r>
      <w:r w:rsidR="00556012" w:rsidRPr="005A5793">
        <w:rPr>
          <w:rFonts w:ascii="Palatino Linotype" w:eastAsia="Calibri" w:hAnsi="Palatino Linotype" w:cs="Tahoma"/>
          <w:iCs/>
          <w:sz w:val="22"/>
          <w:szCs w:val="22"/>
          <w:lang w:val="es-ES" w:eastAsia="es-ES_tradnl"/>
        </w:rPr>
        <w:t>inconformó</w:t>
      </w:r>
      <w:r w:rsidR="00634E2D" w:rsidRPr="005A5793">
        <w:rPr>
          <w:rFonts w:ascii="Palatino Linotype" w:eastAsia="Calibri" w:hAnsi="Palatino Linotype" w:cs="Tahoma"/>
          <w:iCs/>
          <w:sz w:val="22"/>
          <w:szCs w:val="22"/>
          <w:lang w:val="es-ES" w:eastAsia="es-ES_tradnl"/>
        </w:rPr>
        <w:t xml:space="preserve"> </w:t>
      </w:r>
      <w:r w:rsidR="00E77482" w:rsidRPr="005A5793">
        <w:rPr>
          <w:rFonts w:ascii="Palatino Linotype" w:eastAsia="Calibri" w:hAnsi="Palatino Linotype" w:cs="Tahoma"/>
          <w:iCs/>
          <w:sz w:val="22"/>
          <w:szCs w:val="22"/>
          <w:lang w:val="es-ES" w:eastAsia="es-ES_tradnl"/>
        </w:rPr>
        <w:t xml:space="preserve">por la </w:t>
      </w:r>
      <w:r w:rsidR="00F312B3" w:rsidRPr="005A5793">
        <w:rPr>
          <w:rFonts w:ascii="Palatino Linotype" w:eastAsia="Calibri" w:hAnsi="Palatino Linotype" w:cs="Tahoma"/>
          <w:iCs/>
          <w:sz w:val="22"/>
          <w:szCs w:val="22"/>
          <w:lang w:val="es-ES" w:eastAsia="es-ES_tradnl"/>
        </w:rPr>
        <w:t>negativa de la información</w:t>
      </w:r>
      <w:r w:rsidR="00556012" w:rsidRPr="005A5793">
        <w:rPr>
          <w:rFonts w:ascii="Palatino Linotype" w:eastAsia="Calibri" w:hAnsi="Palatino Linotype" w:cs="Tahoma"/>
          <w:iCs/>
          <w:sz w:val="22"/>
          <w:szCs w:val="22"/>
          <w:lang w:val="es-ES" w:eastAsia="es-ES_tradnl"/>
        </w:rPr>
        <w:t xml:space="preserve">, </w:t>
      </w:r>
      <w:r w:rsidR="00120425" w:rsidRPr="005A5793">
        <w:rPr>
          <w:rFonts w:ascii="Palatino Linotype" w:eastAsia="Calibri" w:hAnsi="Palatino Linotype" w:cs="Tahoma"/>
          <w:bCs/>
          <w:sz w:val="22"/>
          <w:szCs w:val="22"/>
          <w:lang w:val="es-ES_tradnl" w:eastAsia="en-US"/>
        </w:rPr>
        <w:t xml:space="preserve">así </w:t>
      </w:r>
      <w:r w:rsidR="00A511BB" w:rsidRPr="005A5793">
        <w:rPr>
          <w:rFonts w:ascii="Palatino Linotype" w:eastAsia="Calibri" w:hAnsi="Palatino Linotype" w:cs="Tahoma"/>
          <w:color w:val="000000"/>
          <w:sz w:val="22"/>
          <w:szCs w:val="22"/>
        </w:rPr>
        <w:t xml:space="preserve">en el asunto que nos ocupa se actualiza la causal de procedencia señalada en el </w:t>
      </w:r>
      <w:r w:rsidR="00A511BB" w:rsidRPr="005A5793">
        <w:rPr>
          <w:rFonts w:ascii="Palatino Linotype" w:eastAsia="Calibri" w:hAnsi="Palatino Linotype" w:cs="Tahoma"/>
          <w:sz w:val="22"/>
          <w:szCs w:val="22"/>
        </w:rPr>
        <w:t xml:space="preserve">artículo 179, </w:t>
      </w:r>
      <w:r w:rsidR="005638D9" w:rsidRPr="005A5793">
        <w:rPr>
          <w:rFonts w:ascii="Palatino Linotype" w:eastAsia="Calibri" w:hAnsi="Palatino Linotype" w:cs="Tahoma"/>
          <w:sz w:val="22"/>
          <w:szCs w:val="22"/>
        </w:rPr>
        <w:t xml:space="preserve">fracción </w:t>
      </w:r>
      <w:r w:rsidR="00F312B3" w:rsidRPr="005A5793">
        <w:rPr>
          <w:rFonts w:ascii="Palatino Linotype" w:eastAsia="Calibri" w:hAnsi="Palatino Linotype" w:cs="Tahoma"/>
          <w:sz w:val="22"/>
          <w:szCs w:val="22"/>
        </w:rPr>
        <w:t>I</w:t>
      </w:r>
      <w:r w:rsidR="00E52703" w:rsidRPr="005A5793">
        <w:rPr>
          <w:rFonts w:ascii="Palatino Linotype" w:eastAsia="Calibri" w:hAnsi="Palatino Linotype" w:cs="Tahoma"/>
          <w:sz w:val="22"/>
          <w:szCs w:val="22"/>
        </w:rPr>
        <w:t>,</w:t>
      </w:r>
      <w:r w:rsidR="00A511BB" w:rsidRPr="005A5793">
        <w:rPr>
          <w:rFonts w:ascii="Palatino Linotype" w:eastAsia="Calibri" w:hAnsi="Palatino Linotype" w:cs="Tahoma"/>
          <w:sz w:val="22"/>
          <w:szCs w:val="22"/>
        </w:rPr>
        <w:t xml:space="preserve"> de la Ley de la materia</w:t>
      </w:r>
      <w:r w:rsidR="00A511BB" w:rsidRPr="005A5793">
        <w:rPr>
          <w:rFonts w:ascii="Palatino Linotype" w:eastAsia="Calibri" w:hAnsi="Palatino Linotype" w:cs="Tahoma"/>
          <w:bCs/>
          <w:sz w:val="22"/>
          <w:szCs w:val="22"/>
        </w:rPr>
        <w:t>.</w:t>
      </w:r>
    </w:p>
    <w:p w14:paraId="0CC077CA" w14:textId="77777777" w:rsidR="00CE0B4C" w:rsidRPr="005A5793" w:rsidRDefault="00CE0B4C" w:rsidP="00903F17">
      <w:pPr>
        <w:tabs>
          <w:tab w:val="left" w:pos="4962"/>
        </w:tabs>
        <w:spacing w:line="360" w:lineRule="auto"/>
        <w:jc w:val="both"/>
        <w:rPr>
          <w:rFonts w:ascii="Palatino Linotype" w:eastAsia="Calibri" w:hAnsi="Palatino Linotype" w:cs="Tahoma"/>
          <w:b/>
          <w:iCs/>
          <w:sz w:val="22"/>
          <w:szCs w:val="22"/>
          <w:lang w:val="es-ES" w:eastAsia="es-ES_tradnl"/>
        </w:rPr>
      </w:pPr>
    </w:p>
    <w:p w14:paraId="4EC02F36" w14:textId="77777777" w:rsidR="00571944" w:rsidRPr="005A5793" w:rsidRDefault="00CE0B4C" w:rsidP="00903F17">
      <w:pPr>
        <w:tabs>
          <w:tab w:val="left" w:pos="4962"/>
        </w:tabs>
        <w:spacing w:line="360" w:lineRule="auto"/>
        <w:jc w:val="both"/>
        <w:rPr>
          <w:rFonts w:ascii="Palatino Linotype" w:eastAsia="Calibri" w:hAnsi="Palatino Linotype" w:cs="Tahoma"/>
          <w:iCs/>
          <w:sz w:val="22"/>
          <w:szCs w:val="22"/>
          <w:lang w:eastAsia="es-ES_tradnl"/>
        </w:rPr>
      </w:pPr>
      <w:r w:rsidRPr="005A5793">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DE0189D" w14:textId="77777777" w:rsidR="00FF5303" w:rsidRPr="005A5793" w:rsidRDefault="00FF5303" w:rsidP="00903F17">
      <w:pPr>
        <w:tabs>
          <w:tab w:val="left" w:pos="4962"/>
        </w:tabs>
        <w:spacing w:line="360" w:lineRule="auto"/>
        <w:jc w:val="both"/>
        <w:rPr>
          <w:rFonts w:ascii="Palatino Linotype" w:eastAsia="Calibri" w:hAnsi="Palatino Linotype" w:cs="Tahoma"/>
          <w:iCs/>
          <w:sz w:val="22"/>
          <w:szCs w:val="22"/>
          <w:lang w:eastAsia="es-ES_tradnl"/>
        </w:rPr>
      </w:pPr>
    </w:p>
    <w:p w14:paraId="591D0B63" w14:textId="77777777" w:rsidR="00CE0B4C" w:rsidRPr="005A5793" w:rsidRDefault="00CE0B4C" w:rsidP="00903F17">
      <w:pPr>
        <w:pStyle w:val="Ttulo2"/>
        <w:spacing w:before="0" w:line="360" w:lineRule="auto"/>
        <w:jc w:val="both"/>
        <w:rPr>
          <w:rFonts w:ascii="Palatino Linotype" w:eastAsia="Calibri" w:hAnsi="Palatino Linotype" w:cs="Arial"/>
          <w:b/>
          <w:color w:val="auto"/>
          <w:sz w:val="22"/>
          <w:lang w:eastAsia="es-ES_tradnl"/>
        </w:rPr>
      </w:pPr>
      <w:bookmarkStart w:id="18" w:name="_Toc209708727"/>
      <w:r w:rsidRPr="005A5793">
        <w:rPr>
          <w:rFonts w:ascii="Palatino Linotype" w:eastAsia="Calibri" w:hAnsi="Palatino Linotype" w:cs="Arial"/>
          <w:b/>
          <w:color w:val="auto"/>
          <w:sz w:val="22"/>
          <w:lang w:eastAsia="es-ES_tradnl"/>
        </w:rPr>
        <w:t>CUARTO. Marco normativo aplicable en materia de transparencia y acceso a la información pública</w:t>
      </w:r>
      <w:bookmarkEnd w:id="18"/>
    </w:p>
    <w:p w14:paraId="4A4AB253" w14:textId="77777777" w:rsidR="00CE0B4C" w:rsidRPr="005A5793" w:rsidRDefault="00CE0B4C" w:rsidP="00903F17">
      <w:pPr>
        <w:spacing w:line="360" w:lineRule="auto"/>
        <w:contextualSpacing/>
        <w:jc w:val="both"/>
        <w:rPr>
          <w:rFonts w:ascii="Palatino Linotype" w:hAnsi="Palatino Linotype" w:cs="Tahoma"/>
          <w:sz w:val="22"/>
          <w:szCs w:val="22"/>
        </w:rPr>
      </w:pPr>
    </w:p>
    <w:p w14:paraId="2EA8006E" w14:textId="77777777" w:rsidR="00CE0B4C" w:rsidRPr="005A5793" w:rsidRDefault="00CE0B4C" w:rsidP="00903F17">
      <w:pPr>
        <w:widowControl w:val="0"/>
        <w:spacing w:line="360" w:lineRule="auto"/>
        <w:contextualSpacing/>
        <w:jc w:val="both"/>
        <w:rPr>
          <w:rFonts w:ascii="Palatino Linotype" w:hAnsi="Palatino Linotype" w:cs="Tahoma"/>
          <w:sz w:val="22"/>
          <w:szCs w:val="22"/>
        </w:rPr>
      </w:pPr>
      <w:r w:rsidRPr="005A5793">
        <w:rPr>
          <w:rFonts w:ascii="Palatino Linotype" w:hAnsi="Palatino Linotype" w:cs="Tahoma"/>
          <w:sz w:val="22"/>
          <w:szCs w:val="22"/>
        </w:rPr>
        <w:t>El artículo 6°, Apartado A), fracción I</w:t>
      </w:r>
      <w:r w:rsidR="00D63A43" w:rsidRPr="005A5793">
        <w:rPr>
          <w:rFonts w:ascii="Palatino Linotype" w:hAnsi="Palatino Linotype" w:cs="Tahoma"/>
          <w:sz w:val="22"/>
          <w:szCs w:val="22"/>
        </w:rPr>
        <w:t>,</w:t>
      </w:r>
      <w:r w:rsidRPr="005A5793">
        <w:rPr>
          <w:rFonts w:ascii="Palatino Linotype" w:hAnsi="Palatino Linotype" w:cs="Tahoma"/>
          <w:sz w:val="22"/>
          <w:szCs w:val="22"/>
        </w:rPr>
        <w:t xml:space="preserve"> de la Constitución Política de los Estados Unidos Mexicanos, establece que toda la información en posesión de cualquier </w:t>
      </w:r>
      <w:r w:rsidR="005A1884" w:rsidRPr="005A5793">
        <w:rPr>
          <w:rFonts w:ascii="Palatino Linotype" w:hAnsi="Palatino Linotype" w:cs="Tahoma"/>
          <w:sz w:val="22"/>
          <w:szCs w:val="22"/>
        </w:rPr>
        <w:t>autoridad</w:t>
      </w:r>
      <w:r w:rsidRPr="005A5793">
        <w:rPr>
          <w:rFonts w:ascii="Palatino Linotype" w:hAnsi="Palatino Linotype" w:cs="Tahoma"/>
          <w:sz w:val="22"/>
          <w:szCs w:val="22"/>
        </w:rPr>
        <w:t xml:space="preserve"> es pública y sólo podrá ser reservada temporalmente por razones de interés público.</w:t>
      </w:r>
    </w:p>
    <w:p w14:paraId="7E255379" w14:textId="77777777" w:rsidR="00CE0B4C" w:rsidRPr="005A5793" w:rsidRDefault="00CE0B4C" w:rsidP="00903F17">
      <w:pPr>
        <w:spacing w:line="360" w:lineRule="auto"/>
        <w:contextualSpacing/>
        <w:jc w:val="both"/>
        <w:rPr>
          <w:rFonts w:ascii="Palatino Linotype" w:hAnsi="Palatino Linotype" w:cs="Tahoma"/>
          <w:sz w:val="22"/>
          <w:szCs w:val="22"/>
        </w:rPr>
      </w:pPr>
    </w:p>
    <w:p w14:paraId="79004F27" w14:textId="77777777" w:rsidR="00CE0B4C" w:rsidRPr="005A5793" w:rsidRDefault="00CE0B4C" w:rsidP="00903F17">
      <w:pPr>
        <w:spacing w:line="360" w:lineRule="auto"/>
        <w:jc w:val="both"/>
        <w:rPr>
          <w:rFonts w:ascii="Palatino Linotype" w:hAnsi="Palatino Linotype" w:cs="Tahoma"/>
          <w:sz w:val="22"/>
          <w:szCs w:val="22"/>
        </w:rPr>
      </w:pPr>
      <w:r w:rsidRPr="005A5793">
        <w:rPr>
          <w:rFonts w:ascii="Palatino Linotype" w:hAnsi="Palatino Linotype" w:cs="Tahoma"/>
          <w:sz w:val="22"/>
          <w:szCs w:val="22"/>
        </w:rPr>
        <w:t>En materia local, el artículo 5°, fracción I</w:t>
      </w:r>
      <w:r w:rsidR="00002CF8" w:rsidRPr="005A5793">
        <w:rPr>
          <w:rFonts w:ascii="Palatino Linotype" w:hAnsi="Palatino Linotype" w:cs="Tahoma"/>
          <w:sz w:val="22"/>
          <w:szCs w:val="22"/>
        </w:rPr>
        <w:t>,</w:t>
      </w:r>
      <w:r w:rsidRPr="005A5793">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E9714C" w14:textId="77777777" w:rsidR="00CE0B4C" w:rsidRPr="005A5793" w:rsidRDefault="00CE0B4C" w:rsidP="00903F17">
      <w:pPr>
        <w:spacing w:line="360" w:lineRule="auto"/>
        <w:jc w:val="both"/>
        <w:rPr>
          <w:rFonts w:ascii="Palatino Linotype" w:hAnsi="Palatino Linotype" w:cs="Tahoma"/>
          <w:sz w:val="22"/>
          <w:szCs w:val="22"/>
        </w:rPr>
      </w:pPr>
    </w:p>
    <w:p w14:paraId="65AC3A43" w14:textId="77777777" w:rsidR="00CE0B4C" w:rsidRPr="005A5793" w:rsidRDefault="00CE0B4C" w:rsidP="00903F17">
      <w:pPr>
        <w:spacing w:line="360" w:lineRule="auto"/>
        <w:jc w:val="both"/>
        <w:rPr>
          <w:rFonts w:ascii="Palatino Linotype" w:hAnsi="Palatino Linotype" w:cs="Tahoma"/>
          <w:sz w:val="22"/>
          <w:szCs w:val="22"/>
        </w:rPr>
      </w:pPr>
      <w:r w:rsidRPr="005A579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B440B63" w14:textId="77777777" w:rsidR="00CE0B4C" w:rsidRPr="005A5793" w:rsidRDefault="00CE0B4C" w:rsidP="00903F17">
      <w:pPr>
        <w:spacing w:line="360" w:lineRule="auto"/>
        <w:jc w:val="both"/>
        <w:rPr>
          <w:rFonts w:ascii="Palatino Linotype" w:hAnsi="Palatino Linotype" w:cs="Tahoma"/>
          <w:sz w:val="22"/>
          <w:szCs w:val="22"/>
        </w:rPr>
      </w:pPr>
    </w:p>
    <w:p w14:paraId="1C758FC9" w14:textId="77777777" w:rsidR="00CE0B4C" w:rsidRPr="005A5793" w:rsidRDefault="00CE0B4C" w:rsidP="00903F17">
      <w:pPr>
        <w:spacing w:line="360" w:lineRule="auto"/>
        <w:jc w:val="both"/>
        <w:rPr>
          <w:rFonts w:ascii="Palatino Linotype" w:hAnsi="Palatino Linotype" w:cs="Tahoma"/>
          <w:sz w:val="22"/>
          <w:szCs w:val="22"/>
        </w:rPr>
      </w:pPr>
      <w:r w:rsidRPr="005A5793">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6519DC0C" w14:textId="77777777" w:rsidR="00EF5683" w:rsidRPr="005A5793" w:rsidRDefault="00EF5683" w:rsidP="00903F17">
      <w:pPr>
        <w:spacing w:line="360" w:lineRule="auto"/>
        <w:jc w:val="both"/>
        <w:rPr>
          <w:rFonts w:ascii="Palatino Linotype" w:hAnsi="Palatino Linotype" w:cs="Tahoma"/>
          <w:sz w:val="22"/>
          <w:szCs w:val="22"/>
        </w:rPr>
      </w:pPr>
    </w:p>
    <w:p w14:paraId="2C1BA3E2" w14:textId="77777777" w:rsidR="00CE0B4C" w:rsidRPr="005A5793" w:rsidRDefault="00CE0B4C" w:rsidP="00903F17">
      <w:pPr>
        <w:spacing w:line="360" w:lineRule="auto"/>
        <w:jc w:val="both"/>
        <w:rPr>
          <w:rFonts w:ascii="Palatino Linotype" w:hAnsi="Palatino Linotype" w:cs="Tahoma"/>
          <w:sz w:val="22"/>
          <w:szCs w:val="22"/>
        </w:rPr>
      </w:pPr>
      <w:r w:rsidRPr="005A5793">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B6AE1AE" w14:textId="77777777" w:rsidR="005C0E48" w:rsidRPr="005A5793" w:rsidRDefault="005C0E48" w:rsidP="00903F17">
      <w:pPr>
        <w:spacing w:line="360" w:lineRule="auto"/>
        <w:jc w:val="both"/>
        <w:rPr>
          <w:rFonts w:ascii="Palatino Linotype" w:hAnsi="Palatino Linotype" w:cs="Tahoma"/>
          <w:sz w:val="22"/>
          <w:szCs w:val="22"/>
        </w:rPr>
      </w:pPr>
    </w:p>
    <w:p w14:paraId="0E609C1E" w14:textId="77777777" w:rsidR="00CE0B4C" w:rsidRPr="005A5793" w:rsidRDefault="00CE0B4C" w:rsidP="00903F17">
      <w:pPr>
        <w:spacing w:line="360" w:lineRule="auto"/>
        <w:jc w:val="both"/>
        <w:rPr>
          <w:rFonts w:ascii="Palatino Linotype" w:hAnsi="Palatino Linotype" w:cs="Tahoma"/>
          <w:sz w:val="22"/>
          <w:szCs w:val="22"/>
        </w:rPr>
      </w:pPr>
      <w:r w:rsidRPr="005A5793">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B51DE73" w14:textId="77777777" w:rsidR="00EA1A4A" w:rsidRPr="005A5793" w:rsidRDefault="00EA1A4A" w:rsidP="00903F17">
      <w:pPr>
        <w:spacing w:line="360" w:lineRule="auto"/>
        <w:jc w:val="both"/>
        <w:rPr>
          <w:rFonts w:ascii="Palatino Linotype" w:hAnsi="Palatino Linotype" w:cs="Tahoma"/>
          <w:sz w:val="22"/>
          <w:szCs w:val="22"/>
        </w:rPr>
      </w:pPr>
    </w:p>
    <w:p w14:paraId="7ECFBA6A" w14:textId="77777777" w:rsidR="00CE0B4C" w:rsidRPr="005A5793" w:rsidRDefault="00CE0B4C" w:rsidP="00903F17">
      <w:pPr>
        <w:pStyle w:val="Ttulo2"/>
        <w:spacing w:before="0" w:line="360" w:lineRule="auto"/>
        <w:rPr>
          <w:rFonts w:ascii="Palatino Linotype" w:hAnsi="Palatino Linotype"/>
          <w:b/>
          <w:color w:val="auto"/>
          <w:sz w:val="22"/>
          <w:lang w:val="es-ES"/>
        </w:rPr>
      </w:pPr>
      <w:bookmarkStart w:id="19" w:name="_Toc209708728"/>
      <w:r w:rsidRPr="005A5793">
        <w:rPr>
          <w:rFonts w:ascii="Palatino Linotype" w:eastAsia="Calibri" w:hAnsi="Palatino Linotype"/>
          <w:b/>
          <w:color w:val="auto"/>
          <w:sz w:val="22"/>
          <w:lang w:eastAsia="es-ES_tradnl"/>
        </w:rPr>
        <w:t>QUINTO. Estudio de Fondo</w:t>
      </w:r>
      <w:bookmarkEnd w:id="19"/>
    </w:p>
    <w:p w14:paraId="022F7025" w14:textId="77777777" w:rsidR="00040101" w:rsidRPr="005A5793" w:rsidRDefault="00040101" w:rsidP="00903F17">
      <w:pPr>
        <w:spacing w:line="360" w:lineRule="auto"/>
        <w:ind w:right="-93"/>
        <w:jc w:val="both"/>
        <w:rPr>
          <w:rFonts w:ascii="Palatino Linotype" w:hAnsi="Palatino Linotype" w:cs="Tahoma"/>
          <w:b/>
          <w:sz w:val="22"/>
          <w:szCs w:val="22"/>
          <w:lang w:val="es-ES"/>
        </w:rPr>
      </w:pPr>
    </w:p>
    <w:p w14:paraId="70EDE3D3" w14:textId="77777777" w:rsidR="00612C39" w:rsidRPr="005A5793" w:rsidRDefault="00605837" w:rsidP="00903F17">
      <w:pPr>
        <w:spacing w:line="360" w:lineRule="auto"/>
        <w:jc w:val="both"/>
        <w:rPr>
          <w:rFonts w:ascii="Palatino Linotype" w:hAnsi="Palatino Linotype" w:cs="Tahoma"/>
          <w:sz w:val="22"/>
          <w:szCs w:val="22"/>
        </w:rPr>
      </w:pPr>
      <w:r w:rsidRPr="005A5793">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5A5793">
        <w:rPr>
          <w:rFonts w:ascii="Palatino Linotype" w:hAnsi="Palatino Linotype" w:cs="Tahoma"/>
          <w:sz w:val="22"/>
          <w:szCs w:val="22"/>
        </w:rPr>
        <w:t>so a la información pública</w:t>
      </w:r>
      <w:r w:rsidR="00F25703" w:rsidRPr="005A5793">
        <w:rPr>
          <w:rFonts w:ascii="Palatino Linotype" w:hAnsi="Palatino Linotype" w:cs="Tahoma"/>
          <w:sz w:val="22"/>
          <w:szCs w:val="22"/>
        </w:rPr>
        <w:t>.</w:t>
      </w:r>
    </w:p>
    <w:p w14:paraId="714A122F" w14:textId="4C5B7C75" w:rsidR="00F25703" w:rsidRPr="005A5793" w:rsidRDefault="00F25703" w:rsidP="00903F17">
      <w:pPr>
        <w:spacing w:line="360" w:lineRule="auto"/>
        <w:jc w:val="both"/>
        <w:rPr>
          <w:rFonts w:ascii="Palatino Linotype" w:hAnsi="Palatino Linotype" w:cs="Tahoma"/>
          <w:sz w:val="22"/>
          <w:szCs w:val="22"/>
        </w:rPr>
      </w:pPr>
    </w:p>
    <w:p w14:paraId="56E65920" w14:textId="77777777" w:rsidR="004A2C87" w:rsidRPr="005A5793" w:rsidRDefault="004A2C87" w:rsidP="004A2C87">
      <w:pPr>
        <w:tabs>
          <w:tab w:val="left" w:pos="4962"/>
        </w:tabs>
        <w:spacing w:line="360" w:lineRule="auto"/>
        <w:contextualSpacing/>
        <w:jc w:val="both"/>
        <w:rPr>
          <w:rFonts w:ascii="Palatino Linotype" w:hAnsi="Palatino Linotype"/>
          <w:bCs/>
          <w:sz w:val="22"/>
          <w:szCs w:val="22"/>
        </w:rPr>
      </w:pPr>
      <w:r w:rsidRPr="005A5793">
        <w:rPr>
          <w:rFonts w:ascii="Palatino Linotype" w:hAnsi="Palatino Linotype"/>
          <w:bCs/>
          <w:sz w:val="22"/>
          <w:szCs w:val="22"/>
        </w:rPr>
        <w:t>Al respecto,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5DF5FD92" w14:textId="77777777" w:rsidR="004A2C87" w:rsidRPr="005A5793" w:rsidRDefault="004A2C87" w:rsidP="004A2C87">
      <w:pPr>
        <w:tabs>
          <w:tab w:val="left" w:pos="4962"/>
        </w:tabs>
        <w:spacing w:line="360" w:lineRule="auto"/>
        <w:contextualSpacing/>
        <w:jc w:val="both"/>
        <w:rPr>
          <w:rFonts w:ascii="Palatino Linotype" w:eastAsia="Calibri" w:hAnsi="Palatino Linotype" w:cs="Tahoma"/>
          <w:bCs/>
          <w:sz w:val="22"/>
          <w:szCs w:val="22"/>
        </w:rPr>
      </w:pPr>
    </w:p>
    <w:p w14:paraId="410DC393" w14:textId="77777777" w:rsidR="004A2C87" w:rsidRPr="005A5793" w:rsidRDefault="004A2C87" w:rsidP="004A2C87">
      <w:pPr>
        <w:spacing w:line="360" w:lineRule="auto"/>
        <w:contextualSpacing/>
        <w:jc w:val="both"/>
        <w:rPr>
          <w:rFonts w:ascii="Palatino Linotype" w:eastAsia="Calibri" w:hAnsi="Palatino Linotype"/>
          <w:bCs/>
          <w:sz w:val="22"/>
          <w:szCs w:val="22"/>
        </w:rPr>
      </w:pPr>
      <w:r w:rsidRPr="005A5793">
        <w:rPr>
          <w:rFonts w:ascii="Palatino Linotype" w:eastAsia="Calibri" w:hAnsi="Palatino Linotype"/>
          <w:bCs/>
          <w:sz w:val="22"/>
          <w:szCs w:val="22"/>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814A9B5" w14:textId="77777777" w:rsidR="004A2C87" w:rsidRPr="005A5793" w:rsidRDefault="004A2C87" w:rsidP="004A2C87">
      <w:pPr>
        <w:spacing w:line="360" w:lineRule="auto"/>
        <w:contextualSpacing/>
        <w:jc w:val="both"/>
        <w:rPr>
          <w:rFonts w:ascii="Palatino Linotype" w:eastAsia="Calibri" w:hAnsi="Palatino Linotype"/>
          <w:bCs/>
          <w:sz w:val="22"/>
          <w:szCs w:val="22"/>
        </w:rPr>
      </w:pPr>
    </w:p>
    <w:p w14:paraId="5BBF4D48" w14:textId="77777777" w:rsidR="004A2C87" w:rsidRPr="005A5793" w:rsidRDefault="004A2C87" w:rsidP="004A2C87">
      <w:pPr>
        <w:spacing w:line="360" w:lineRule="auto"/>
        <w:contextualSpacing/>
        <w:jc w:val="both"/>
        <w:rPr>
          <w:rFonts w:ascii="Palatino Linotype" w:eastAsia="Calibri" w:hAnsi="Palatino Linotype"/>
          <w:bCs/>
          <w:sz w:val="22"/>
          <w:szCs w:val="22"/>
        </w:rPr>
      </w:pPr>
      <w:r w:rsidRPr="005A5793">
        <w:rPr>
          <w:rFonts w:ascii="Palatino Linotype" w:eastAsia="Calibri" w:hAnsi="Palatino Linotype"/>
          <w:bCs/>
          <w:sz w:val="22"/>
          <w:szCs w:val="22"/>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5504BCC4" w14:textId="77777777" w:rsidR="004A2C87" w:rsidRPr="005A5793" w:rsidRDefault="004A2C87" w:rsidP="004A2C87">
      <w:pPr>
        <w:spacing w:line="360" w:lineRule="auto"/>
        <w:contextualSpacing/>
        <w:jc w:val="both"/>
        <w:rPr>
          <w:rFonts w:ascii="Palatino Linotype" w:eastAsia="Calibri" w:hAnsi="Palatino Linotype"/>
          <w:bCs/>
          <w:sz w:val="22"/>
          <w:szCs w:val="22"/>
        </w:rPr>
      </w:pPr>
    </w:p>
    <w:p w14:paraId="31CA7D7A" w14:textId="77777777" w:rsidR="004A2C87" w:rsidRPr="005A5793" w:rsidRDefault="004A2C87" w:rsidP="004A2C87">
      <w:pPr>
        <w:spacing w:line="360" w:lineRule="auto"/>
        <w:contextualSpacing/>
        <w:jc w:val="both"/>
        <w:rPr>
          <w:rFonts w:ascii="Palatino Linotype" w:eastAsia="Calibri" w:hAnsi="Palatino Linotype"/>
          <w:bCs/>
          <w:iCs/>
          <w:sz w:val="22"/>
          <w:szCs w:val="22"/>
          <w:lang w:val="es-ES"/>
        </w:rPr>
      </w:pPr>
      <w:r w:rsidRPr="005A5793">
        <w:rPr>
          <w:rFonts w:ascii="Palatino Linotype" w:eastAsia="Calibri" w:hAnsi="Palatino Linotype"/>
          <w:bCs/>
          <w:iCs/>
          <w:sz w:val="22"/>
          <w:szCs w:val="22"/>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03C75BB" w14:textId="77777777" w:rsidR="004A2C87" w:rsidRPr="005A5793" w:rsidRDefault="004A2C87" w:rsidP="004A2C87">
      <w:pPr>
        <w:spacing w:line="360" w:lineRule="auto"/>
        <w:contextualSpacing/>
        <w:jc w:val="both"/>
        <w:rPr>
          <w:rFonts w:ascii="Palatino Linotype" w:eastAsia="Calibri" w:hAnsi="Palatino Linotype"/>
          <w:bCs/>
          <w:sz w:val="22"/>
          <w:szCs w:val="22"/>
        </w:rPr>
      </w:pPr>
    </w:p>
    <w:p w14:paraId="6A7D5A8D" w14:textId="77777777" w:rsidR="004A2C87" w:rsidRPr="005A5793" w:rsidRDefault="004A2C87" w:rsidP="004A2C87">
      <w:pPr>
        <w:spacing w:line="360" w:lineRule="auto"/>
        <w:contextualSpacing/>
        <w:jc w:val="both"/>
        <w:rPr>
          <w:rFonts w:ascii="Palatino Linotype" w:eastAsia="Calibri" w:hAnsi="Palatino Linotype"/>
          <w:b/>
          <w:bCs/>
          <w:iCs/>
          <w:sz w:val="22"/>
          <w:szCs w:val="22"/>
          <w:lang w:val="es-ES"/>
        </w:rPr>
      </w:pPr>
      <w:r w:rsidRPr="005A5793">
        <w:rPr>
          <w:rFonts w:ascii="Palatino Linotype" w:eastAsia="Calibri" w:hAnsi="Palatino Linotype"/>
          <w:bCs/>
          <w:iCs/>
          <w:sz w:val="22"/>
          <w:szCs w:val="22"/>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5A5793">
        <w:rPr>
          <w:rFonts w:ascii="Palatino Linotype" w:eastAsia="Calibri" w:hAnsi="Palatino Linotype"/>
          <w:b/>
          <w:bCs/>
          <w:iCs/>
          <w:sz w:val="22"/>
          <w:szCs w:val="22"/>
          <w:lang w:val="es-ES"/>
        </w:rPr>
        <w:t>1000 Servicios Personales</w:t>
      </w:r>
      <w:r w:rsidRPr="005A5793">
        <w:rPr>
          <w:rFonts w:ascii="Palatino Linotype" w:eastAsia="Calibri" w:hAnsi="Palatino Linotype"/>
          <w:bCs/>
          <w:iCs/>
          <w:sz w:val="22"/>
          <w:szCs w:val="22"/>
          <w:lang w:val="es-ES"/>
        </w:rPr>
        <w:t>,</w:t>
      </w:r>
      <w:r w:rsidRPr="005A5793">
        <w:rPr>
          <w:rFonts w:ascii="Palatino Linotype" w:eastAsia="Calibri" w:hAnsi="Palatino Linotype"/>
          <w:b/>
          <w:bCs/>
          <w:iCs/>
          <w:sz w:val="22"/>
          <w:szCs w:val="22"/>
          <w:lang w:val="es-ES"/>
        </w:rPr>
        <w:t xml:space="preserve"> que agrupa las remuneraciones del personal al servicio de los entes públicos, tales como el sueldo, salarios, dietas, honorarios, prestaciones, obligaciones laborales, entre otras.</w:t>
      </w:r>
    </w:p>
    <w:p w14:paraId="6607C855" w14:textId="77777777" w:rsidR="004A2C87" w:rsidRPr="005A5793" w:rsidRDefault="004A2C87" w:rsidP="004A2C87">
      <w:pPr>
        <w:spacing w:line="360" w:lineRule="auto"/>
        <w:contextualSpacing/>
        <w:jc w:val="both"/>
        <w:rPr>
          <w:rFonts w:ascii="Palatino Linotype" w:eastAsia="Calibri" w:hAnsi="Palatino Linotype"/>
          <w:bCs/>
          <w:sz w:val="22"/>
          <w:szCs w:val="22"/>
        </w:rPr>
      </w:pPr>
    </w:p>
    <w:p w14:paraId="539D6169" w14:textId="77777777" w:rsidR="004A2C87" w:rsidRPr="005A5793" w:rsidRDefault="004A2C87" w:rsidP="004A2C87">
      <w:pPr>
        <w:spacing w:line="360" w:lineRule="auto"/>
        <w:contextualSpacing/>
        <w:jc w:val="both"/>
        <w:rPr>
          <w:rFonts w:ascii="Palatino Linotype" w:eastAsia="Calibri" w:hAnsi="Palatino Linotype"/>
          <w:bCs/>
          <w:sz w:val="22"/>
          <w:szCs w:val="22"/>
        </w:rPr>
      </w:pPr>
      <w:r w:rsidRPr="005A5793">
        <w:rPr>
          <w:rFonts w:ascii="Palatino Linotype" w:eastAsia="Calibri" w:hAnsi="Palatino Linotype"/>
          <w:bCs/>
          <w:sz w:val="22"/>
          <w:szCs w:val="22"/>
        </w:rPr>
        <w:lastRenderedPageBreak/>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5A5793">
        <w:rPr>
          <w:rFonts w:ascii="Palatino Linotype" w:eastAsia="Calibri" w:hAnsi="Palatino Linotype"/>
          <w:b/>
          <w:bCs/>
          <w:sz w:val="22"/>
          <w:szCs w:val="22"/>
        </w:rPr>
        <w:t>recibos de pago de salarios o las</w:t>
      </w:r>
      <w:r w:rsidRPr="005A5793">
        <w:rPr>
          <w:rFonts w:ascii="Palatino Linotype" w:eastAsia="Calibri" w:hAnsi="Palatino Linotype"/>
          <w:bCs/>
          <w:sz w:val="22"/>
          <w:szCs w:val="22"/>
        </w:rPr>
        <w:t xml:space="preserve"> </w:t>
      </w:r>
      <w:r w:rsidRPr="005A5793">
        <w:rPr>
          <w:rFonts w:ascii="Palatino Linotype" w:eastAsia="Calibri" w:hAnsi="Palatino Linotype"/>
          <w:b/>
          <w:bCs/>
          <w:sz w:val="22"/>
          <w:szCs w:val="22"/>
        </w:rPr>
        <w:t xml:space="preserve">constancias documentales del pago de sueldos, </w:t>
      </w:r>
      <w:r w:rsidRPr="005A5793">
        <w:rPr>
          <w:rFonts w:ascii="Palatino Linotype" w:eastAsia="Calibri" w:hAnsi="Palatino Linotype"/>
          <w:bCs/>
          <w:sz w:val="22"/>
          <w:szCs w:val="22"/>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7AECEA3" w14:textId="77777777" w:rsidR="004A2C87" w:rsidRPr="005A5793" w:rsidRDefault="004A2C87" w:rsidP="004A2C87">
      <w:pPr>
        <w:spacing w:line="360" w:lineRule="auto"/>
        <w:contextualSpacing/>
        <w:jc w:val="both"/>
        <w:rPr>
          <w:rFonts w:ascii="Palatino Linotype" w:eastAsia="Calibri" w:hAnsi="Palatino Linotype"/>
          <w:bCs/>
          <w:sz w:val="22"/>
          <w:szCs w:val="22"/>
        </w:rPr>
      </w:pPr>
    </w:p>
    <w:p w14:paraId="683A26B8" w14:textId="77777777" w:rsidR="004A2C87" w:rsidRPr="005A5793" w:rsidRDefault="004A2C87" w:rsidP="004A2C87">
      <w:pPr>
        <w:spacing w:line="360" w:lineRule="auto"/>
        <w:contextualSpacing/>
        <w:jc w:val="both"/>
        <w:rPr>
          <w:rFonts w:ascii="Palatino Linotype" w:eastAsia="Calibri" w:hAnsi="Palatino Linotype"/>
          <w:bCs/>
          <w:sz w:val="22"/>
          <w:szCs w:val="22"/>
        </w:rPr>
      </w:pPr>
      <w:r w:rsidRPr="005A5793">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9EC4314" w14:textId="77777777" w:rsidR="004A2C87" w:rsidRPr="005A5793" w:rsidRDefault="004A2C87" w:rsidP="004A2C87">
      <w:pPr>
        <w:spacing w:line="360" w:lineRule="auto"/>
        <w:contextualSpacing/>
        <w:jc w:val="both"/>
        <w:rPr>
          <w:rFonts w:ascii="Palatino Linotype" w:eastAsia="Calibri" w:hAnsi="Palatino Linotype"/>
          <w:bCs/>
          <w:sz w:val="22"/>
          <w:szCs w:val="22"/>
        </w:rPr>
      </w:pPr>
    </w:p>
    <w:p w14:paraId="17D60EC4" w14:textId="77777777" w:rsidR="004A2C87" w:rsidRPr="005A5793" w:rsidRDefault="004A2C87" w:rsidP="004A2C87">
      <w:pPr>
        <w:spacing w:line="360" w:lineRule="auto"/>
        <w:ind w:left="567" w:right="567"/>
        <w:contextualSpacing/>
        <w:jc w:val="both"/>
        <w:rPr>
          <w:rFonts w:ascii="Palatino Linotype" w:eastAsia="Calibri" w:hAnsi="Palatino Linotype"/>
          <w:bCs/>
          <w:i/>
          <w:iCs/>
          <w:lang w:val="es-ES"/>
        </w:rPr>
      </w:pPr>
      <w:r w:rsidRPr="005A5793">
        <w:rPr>
          <w:rFonts w:ascii="Palatino Linotype" w:eastAsia="Calibri" w:hAnsi="Palatino Linotype"/>
          <w:b/>
          <w:bCs/>
          <w:i/>
          <w:iCs/>
          <w:lang w:val="es-ES"/>
        </w:rPr>
        <w:t>“RECIBOS DE PAGO</w:t>
      </w:r>
      <w:r w:rsidRPr="005A5793">
        <w:rPr>
          <w:rFonts w:ascii="Palatino Linotype" w:eastAsia="Calibri" w:hAnsi="Palatino Linotype"/>
          <w:bCs/>
          <w:i/>
          <w:iCs/>
          <w:lang w:val="es-ES"/>
        </w:rPr>
        <w:t xml:space="preserve"> </w:t>
      </w:r>
      <w:r w:rsidRPr="005A5793">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5A5793">
        <w:rPr>
          <w:rFonts w:ascii="Palatino Linotype" w:eastAsia="Calibri" w:hAnsi="Palatino Linotype"/>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0A012709" w14:textId="77777777" w:rsidR="004A2C87" w:rsidRPr="005A5793" w:rsidRDefault="004A2C87" w:rsidP="004A2C87">
      <w:pPr>
        <w:spacing w:line="360" w:lineRule="auto"/>
        <w:contextualSpacing/>
        <w:jc w:val="both"/>
        <w:rPr>
          <w:rFonts w:ascii="Palatino Linotype" w:eastAsia="Calibri" w:hAnsi="Palatino Linotype"/>
          <w:b/>
          <w:bCs/>
          <w:i/>
          <w:iCs/>
          <w:sz w:val="22"/>
          <w:szCs w:val="22"/>
          <w:lang w:val="es-ES"/>
        </w:rPr>
      </w:pPr>
    </w:p>
    <w:p w14:paraId="69432FBA" w14:textId="77777777" w:rsidR="004A2C87" w:rsidRPr="005A5793" w:rsidRDefault="004A2C87" w:rsidP="004A2C87">
      <w:pPr>
        <w:spacing w:line="360" w:lineRule="auto"/>
        <w:contextualSpacing/>
        <w:jc w:val="both"/>
        <w:rPr>
          <w:rFonts w:ascii="Palatino Linotype" w:eastAsia="Calibri" w:hAnsi="Palatino Linotype"/>
          <w:bCs/>
          <w:sz w:val="22"/>
          <w:szCs w:val="22"/>
          <w:lang w:val="es-ES"/>
        </w:rPr>
      </w:pPr>
      <w:r w:rsidRPr="005A5793">
        <w:rPr>
          <w:rFonts w:ascii="Palatino Linotype" w:eastAsia="Calibri" w:hAnsi="Palatino Linotype"/>
          <w:bCs/>
          <w:sz w:val="22"/>
          <w:szCs w:val="22"/>
          <w:lang w:val="es-ES"/>
        </w:rPr>
        <w:t xml:space="preserve">De la tesis transcrita, se desprende que </w:t>
      </w:r>
      <w:r w:rsidRPr="005A5793">
        <w:rPr>
          <w:rFonts w:ascii="Palatino Linotype" w:eastAsia="Calibri" w:hAnsi="Palatino Linotype"/>
          <w:b/>
          <w:bCs/>
          <w:sz w:val="22"/>
          <w:szCs w:val="22"/>
          <w:lang w:val="es-ES"/>
        </w:rPr>
        <w:t>en materia burocrática</w:t>
      </w:r>
      <w:r w:rsidRPr="005A5793">
        <w:rPr>
          <w:rFonts w:ascii="Palatino Linotype" w:eastAsia="Calibri" w:hAnsi="Palatino Linotype"/>
          <w:bCs/>
          <w:sz w:val="22"/>
          <w:szCs w:val="22"/>
          <w:lang w:val="es-ES"/>
        </w:rPr>
        <w:t xml:space="preserve"> </w:t>
      </w:r>
      <w:r w:rsidRPr="005A5793">
        <w:rPr>
          <w:rFonts w:ascii="Palatino Linotype" w:eastAsia="Calibri" w:hAnsi="Palatino Linotype"/>
          <w:b/>
          <w:bCs/>
          <w:sz w:val="22"/>
          <w:szCs w:val="22"/>
          <w:lang w:val="es-ES"/>
        </w:rPr>
        <w:t>los recibos de pago acreditan los conceptos y montos que en ellos se insertan</w:t>
      </w:r>
      <w:r w:rsidRPr="005A5793">
        <w:rPr>
          <w:rFonts w:ascii="Palatino Linotype" w:eastAsia="Calibri" w:hAnsi="Palatino Linotype"/>
          <w:bCs/>
          <w:sz w:val="22"/>
          <w:szCs w:val="22"/>
          <w:lang w:val="es-ES"/>
        </w:rPr>
        <w:t xml:space="preserve">, y constituyen prueba para demostrar las percepciones y montos que reciben los servidores públicos. </w:t>
      </w:r>
    </w:p>
    <w:p w14:paraId="518AD9E5" w14:textId="77777777" w:rsidR="004A2C87" w:rsidRPr="005A5793" w:rsidRDefault="004A2C87" w:rsidP="004A2C87">
      <w:pPr>
        <w:widowControl w:val="0"/>
        <w:spacing w:line="360" w:lineRule="auto"/>
        <w:contextualSpacing/>
        <w:jc w:val="both"/>
        <w:rPr>
          <w:rFonts w:ascii="Palatino Linotype" w:hAnsi="Palatino Linotype" w:cs="Tahoma"/>
          <w:bCs/>
          <w:iCs/>
          <w:sz w:val="22"/>
          <w:szCs w:val="22"/>
        </w:rPr>
      </w:pPr>
    </w:p>
    <w:p w14:paraId="56D61289" w14:textId="77777777" w:rsidR="004A2C87" w:rsidRPr="005A5793" w:rsidRDefault="004A2C87" w:rsidP="004A2C87">
      <w:pPr>
        <w:widowControl w:val="0"/>
        <w:spacing w:line="360" w:lineRule="auto"/>
        <w:contextualSpacing/>
        <w:jc w:val="both"/>
        <w:rPr>
          <w:rFonts w:ascii="Palatino Linotype" w:eastAsia="Palatino Linotype" w:hAnsi="Palatino Linotype" w:cs="Palatino Linotype"/>
          <w:sz w:val="22"/>
          <w:szCs w:val="22"/>
          <w:lang w:eastAsia="es-MX"/>
        </w:rPr>
      </w:pPr>
      <w:r w:rsidRPr="005A5793">
        <w:rPr>
          <w:rFonts w:ascii="Palatino Linotype" w:eastAsia="Palatino Linotype" w:hAnsi="Palatino Linotype" w:cs="Palatino Linotype"/>
          <w:sz w:val="22"/>
          <w:szCs w:val="22"/>
          <w:lang w:eastAsia="es-MX"/>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Internete por concepto de nómina.</w:t>
      </w:r>
    </w:p>
    <w:p w14:paraId="32541B46" w14:textId="5FA71ABA" w:rsidR="00D05952" w:rsidRPr="005A5793" w:rsidRDefault="00D05952" w:rsidP="00903F17">
      <w:pPr>
        <w:spacing w:line="360" w:lineRule="auto"/>
        <w:jc w:val="both"/>
        <w:rPr>
          <w:rFonts w:ascii="Palatino Linotype" w:hAnsi="Palatino Linotype" w:cs="Tahoma"/>
          <w:sz w:val="22"/>
          <w:szCs w:val="22"/>
        </w:rPr>
      </w:pPr>
    </w:p>
    <w:p w14:paraId="0EB0A423" w14:textId="101F5454" w:rsidR="004A2C87" w:rsidRPr="005A5793" w:rsidRDefault="004A2C87" w:rsidP="00903F17">
      <w:pPr>
        <w:spacing w:line="360" w:lineRule="auto"/>
        <w:jc w:val="both"/>
        <w:rPr>
          <w:rFonts w:ascii="Palatino Linotype" w:hAnsi="Palatino Linotype" w:cs="Tahoma"/>
          <w:sz w:val="22"/>
          <w:szCs w:val="22"/>
        </w:rPr>
      </w:pPr>
      <w:r w:rsidRPr="005A5793">
        <w:rPr>
          <w:rFonts w:ascii="Palatino Linotype" w:hAnsi="Palatino Linotype" w:cs="Tahoma"/>
          <w:sz w:val="22"/>
          <w:szCs w:val="22"/>
        </w:rPr>
        <w:t>Conforme a lo anterior, se logra vislumbrar que la pretensión de la persona Recurrente es obtener los recibos de nómina de la segunda quincena de julio de dos mil veinticinco, de todos los servidores públicos adscritos al Organismo Público Descentralizado.</w:t>
      </w:r>
    </w:p>
    <w:p w14:paraId="670AC5D3" w14:textId="77777777" w:rsidR="004A2C87" w:rsidRPr="005A5793" w:rsidRDefault="004A2C87" w:rsidP="00903F17">
      <w:pPr>
        <w:spacing w:line="360" w:lineRule="auto"/>
        <w:jc w:val="both"/>
        <w:rPr>
          <w:rFonts w:ascii="Palatino Linotype" w:hAnsi="Palatino Linotype" w:cs="Tahoma"/>
          <w:sz w:val="22"/>
          <w:szCs w:val="22"/>
        </w:rPr>
      </w:pPr>
    </w:p>
    <w:p w14:paraId="57AC09D4" w14:textId="0F998CC8" w:rsidR="00D05952" w:rsidRPr="005A5793" w:rsidRDefault="00D05952" w:rsidP="00D05952">
      <w:pPr>
        <w:spacing w:line="360" w:lineRule="auto"/>
        <w:jc w:val="both"/>
        <w:rPr>
          <w:rFonts w:ascii="Palatino Linotype" w:hAnsi="Palatino Linotype" w:cs="Tahoma"/>
          <w:bCs/>
          <w:sz w:val="22"/>
          <w:szCs w:val="24"/>
          <w:lang w:val="es-ES_tradnl"/>
        </w:rPr>
      </w:pPr>
      <w:r w:rsidRPr="005A5793">
        <w:rPr>
          <w:rFonts w:ascii="Palatino Linotype" w:eastAsia="Calibri" w:hAnsi="Palatino Linotype" w:cs="Tahoma"/>
          <w:bCs/>
          <w:sz w:val="22"/>
          <w:szCs w:val="22"/>
          <w:lang w:eastAsia="en-US"/>
        </w:rPr>
        <w:t xml:space="preserve">Derivado de lo anterior, es de recordar que en respuesta </w:t>
      </w:r>
      <w:r w:rsidRPr="005A5793">
        <w:rPr>
          <w:rFonts w:ascii="Palatino Linotype" w:hAnsi="Palatino Linotype" w:cs="Tahoma"/>
          <w:sz w:val="22"/>
          <w:szCs w:val="22"/>
        </w:rPr>
        <w:t xml:space="preserve">el Sujeto Obligado </w:t>
      </w:r>
      <w:r w:rsidR="00525771" w:rsidRPr="005A5793">
        <w:rPr>
          <w:rFonts w:ascii="Palatino Linotype" w:hAnsi="Palatino Linotype" w:cs="Tahoma"/>
          <w:sz w:val="22"/>
          <w:szCs w:val="22"/>
        </w:rPr>
        <w:t>señaló que no podía entregar la información al no tener los consentimientos de los trabajadores</w:t>
      </w:r>
      <w:r w:rsidRPr="005A5793">
        <w:rPr>
          <w:rFonts w:ascii="Palatino Linotype" w:hAnsi="Palatino Linotype" w:cs="Tahoma"/>
          <w:sz w:val="22"/>
          <w:szCs w:val="22"/>
        </w:rPr>
        <w:t xml:space="preserve">, por lo que es de señalar que no proporcionó ninguna acuerdo que validara </w:t>
      </w:r>
      <w:r w:rsidR="00525771" w:rsidRPr="005A5793">
        <w:rPr>
          <w:rFonts w:ascii="Palatino Linotype" w:hAnsi="Palatino Linotype" w:cs="Tahoma"/>
          <w:sz w:val="22"/>
          <w:szCs w:val="22"/>
        </w:rPr>
        <w:t xml:space="preserve">tal situación </w:t>
      </w:r>
      <w:r w:rsidRPr="005A5793">
        <w:rPr>
          <w:rFonts w:ascii="Palatino Linotype" w:hAnsi="Palatino Linotype" w:cs="Tahoma"/>
          <w:bCs/>
          <w:iCs/>
          <w:sz w:val="22"/>
          <w:szCs w:val="24"/>
          <w:lang w:val="es-ES"/>
        </w:rPr>
        <w:t xml:space="preserve">por ello se realizan las siguientes consideraciones: </w:t>
      </w:r>
      <w:r w:rsidRPr="005A5793">
        <w:rPr>
          <w:rFonts w:ascii="Palatino Linotype" w:hAnsi="Palatino Linotype" w:cs="Tahoma"/>
          <w:bCs/>
          <w:sz w:val="22"/>
          <w:szCs w:val="24"/>
          <w:lang w:val="es-ES_tradnl"/>
        </w:rPr>
        <w:t xml:space="preserve">según Trujillo, Humberto (2019), en el “Diccionario de Transparencia y Acceso a la Información Pública” (p. 201), </w:t>
      </w:r>
      <w:r w:rsidRPr="005A5793">
        <w:rPr>
          <w:rFonts w:ascii="Palatino Linotype" w:hAnsi="Palatino Linotype" w:cs="Tahoma"/>
          <w:b/>
          <w:bCs/>
          <w:sz w:val="22"/>
          <w:szCs w:val="24"/>
          <w:lang w:val="es-ES_tradnl"/>
        </w:rPr>
        <w:t xml:space="preserve">la negativa de acceso a la información </w:t>
      </w:r>
      <w:r w:rsidRPr="005A5793">
        <w:rPr>
          <w:rFonts w:ascii="Palatino Linotype" w:hAnsi="Palatino Linotype" w:cs="Tahoma"/>
          <w:bCs/>
          <w:sz w:val="22"/>
          <w:szCs w:val="24"/>
          <w:lang w:val="es-ES_tradnl"/>
        </w:rPr>
        <w:t xml:space="preserve">ocurre cuanto de manera fundada y motivada, una autoridad la niega o la limita, por alguna de las siguientes razones: </w:t>
      </w:r>
    </w:p>
    <w:p w14:paraId="7E01DC6F" w14:textId="77777777" w:rsidR="00D05952" w:rsidRPr="005A5793" w:rsidRDefault="00D05952" w:rsidP="00D05952">
      <w:pPr>
        <w:spacing w:line="360" w:lineRule="auto"/>
        <w:ind w:right="-93"/>
        <w:contextualSpacing/>
        <w:jc w:val="both"/>
        <w:rPr>
          <w:rFonts w:ascii="Palatino Linotype" w:hAnsi="Palatino Linotype" w:cs="Tahoma"/>
          <w:bCs/>
          <w:sz w:val="22"/>
          <w:szCs w:val="24"/>
          <w:lang w:val="es-ES_tradnl"/>
        </w:rPr>
      </w:pPr>
    </w:p>
    <w:p w14:paraId="28728709" w14:textId="77777777" w:rsidR="00D05952" w:rsidRPr="005A5793" w:rsidRDefault="00D05952" w:rsidP="002708AC">
      <w:pPr>
        <w:numPr>
          <w:ilvl w:val="0"/>
          <w:numId w:val="3"/>
        </w:numPr>
        <w:spacing w:line="360" w:lineRule="auto"/>
        <w:ind w:right="-93"/>
        <w:contextualSpacing/>
        <w:jc w:val="both"/>
        <w:rPr>
          <w:rFonts w:ascii="Palatino Linotype" w:hAnsi="Palatino Linotype" w:cs="Tahoma"/>
          <w:b/>
          <w:bCs/>
          <w:sz w:val="22"/>
          <w:szCs w:val="24"/>
          <w:lang w:val="es-ES_tradnl"/>
        </w:rPr>
      </w:pPr>
      <w:r w:rsidRPr="005A5793">
        <w:rPr>
          <w:rFonts w:ascii="Palatino Linotype" w:hAnsi="Palatino Linotype" w:cs="Tahoma"/>
          <w:b/>
          <w:bCs/>
          <w:sz w:val="22"/>
          <w:szCs w:val="24"/>
          <w:lang w:val="es-ES_tradnl"/>
        </w:rPr>
        <w:t xml:space="preserve">La inexistencia de la información (p. 171): </w:t>
      </w:r>
      <w:r w:rsidRPr="005A5793">
        <w:rPr>
          <w:rFonts w:ascii="Palatino Linotype" w:hAnsi="Palatino Linotype" w:cs="Tahoma"/>
          <w:bCs/>
          <w:sz w:val="22"/>
          <w:szCs w:val="24"/>
          <w:lang w:val="es-ES_tradnl"/>
        </w:rPr>
        <w:t>Sucede cuando la información solicitada no se encuentra en los archivos públicos o clasificados de los entes sujetos a las Leyes de Transparencia.</w:t>
      </w:r>
    </w:p>
    <w:p w14:paraId="4CB32FB9" w14:textId="77777777" w:rsidR="00D05952" w:rsidRPr="005A5793" w:rsidRDefault="00D05952" w:rsidP="00D05952">
      <w:pPr>
        <w:spacing w:line="360" w:lineRule="auto"/>
        <w:ind w:right="-93"/>
        <w:contextualSpacing/>
        <w:jc w:val="both"/>
        <w:rPr>
          <w:rFonts w:ascii="Palatino Linotype" w:hAnsi="Palatino Linotype" w:cs="Tahoma"/>
          <w:b/>
          <w:bCs/>
          <w:sz w:val="22"/>
          <w:szCs w:val="24"/>
          <w:lang w:val="es-ES_tradnl"/>
        </w:rPr>
      </w:pPr>
    </w:p>
    <w:p w14:paraId="113AA2AD" w14:textId="77777777" w:rsidR="00D05952" w:rsidRPr="005A5793" w:rsidRDefault="00D05952" w:rsidP="002708AC">
      <w:pPr>
        <w:numPr>
          <w:ilvl w:val="0"/>
          <w:numId w:val="3"/>
        </w:numPr>
        <w:spacing w:line="360" w:lineRule="auto"/>
        <w:ind w:right="-93"/>
        <w:contextualSpacing/>
        <w:jc w:val="both"/>
        <w:rPr>
          <w:rFonts w:ascii="Palatino Linotype" w:hAnsi="Palatino Linotype" w:cs="Tahoma"/>
          <w:b/>
          <w:bCs/>
          <w:sz w:val="22"/>
          <w:szCs w:val="24"/>
          <w:lang w:val="es-ES_tradnl"/>
        </w:rPr>
      </w:pPr>
      <w:r w:rsidRPr="005A5793">
        <w:rPr>
          <w:rFonts w:ascii="Palatino Linotype" w:hAnsi="Palatino Linotype" w:cs="Tahoma"/>
          <w:b/>
          <w:bCs/>
          <w:sz w:val="22"/>
          <w:szCs w:val="24"/>
          <w:lang w:val="es-ES_tradnl"/>
        </w:rPr>
        <w:lastRenderedPageBreak/>
        <w:t xml:space="preserve">La incompetencia del Sujeto Obligado (p. 171): </w:t>
      </w:r>
      <w:r w:rsidRPr="005A5793">
        <w:rPr>
          <w:rFonts w:ascii="Palatino Linotype" w:hAnsi="Palatino Linotype" w:cs="Tahoma"/>
          <w:bCs/>
          <w:sz w:val="22"/>
          <w:szCs w:val="24"/>
          <w:lang w:val="es-ES_tradnl"/>
        </w:rPr>
        <w:t>Ocurre cuando el Sujeto Obligado carece de atribuciones para poseer la información peticionada.</w:t>
      </w:r>
    </w:p>
    <w:p w14:paraId="117F91DB" w14:textId="77777777" w:rsidR="00D05952" w:rsidRPr="005A5793" w:rsidRDefault="00D05952" w:rsidP="00D05952">
      <w:pPr>
        <w:spacing w:line="360" w:lineRule="auto"/>
        <w:ind w:right="-93"/>
        <w:contextualSpacing/>
        <w:jc w:val="both"/>
        <w:rPr>
          <w:rFonts w:ascii="Palatino Linotype" w:hAnsi="Palatino Linotype" w:cs="Tahoma"/>
          <w:b/>
          <w:bCs/>
          <w:sz w:val="22"/>
          <w:szCs w:val="24"/>
          <w:lang w:val="es-ES_tradnl"/>
        </w:rPr>
      </w:pPr>
    </w:p>
    <w:p w14:paraId="660B2B37" w14:textId="77777777" w:rsidR="00D05952" w:rsidRPr="005A5793" w:rsidRDefault="00D05952" w:rsidP="002708AC">
      <w:pPr>
        <w:numPr>
          <w:ilvl w:val="0"/>
          <w:numId w:val="3"/>
        </w:numPr>
        <w:spacing w:line="360" w:lineRule="auto"/>
        <w:ind w:right="-93"/>
        <w:contextualSpacing/>
        <w:jc w:val="both"/>
        <w:rPr>
          <w:rFonts w:ascii="Palatino Linotype" w:hAnsi="Palatino Linotype" w:cs="Tahoma"/>
          <w:b/>
          <w:bCs/>
          <w:sz w:val="22"/>
          <w:szCs w:val="24"/>
          <w:lang w:val="es-ES_tradnl"/>
        </w:rPr>
      </w:pPr>
      <w:r w:rsidRPr="005A5793">
        <w:rPr>
          <w:rFonts w:ascii="Palatino Linotype" w:hAnsi="Palatino Linotype" w:cs="Tahoma"/>
          <w:b/>
          <w:bCs/>
          <w:sz w:val="22"/>
          <w:szCs w:val="24"/>
          <w:lang w:val="es-ES_tradnl"/>
        </w:rPr>
        <w:t xml:space="preserve">La clasificación de la información (p. 70): </w:t>
      </w:r>
      <w:r w:rsidRPr="005A5793">
        <w:rPr>
          <w:rFonts w:ascii="Palatino Linotype" w:hAnsi="Palatino Linotype" w:cs="Tahoma"/>
          <w:bCs/>
          <w:sz w:val="22"/>
          <w:szCs w:val="24"/>
          <w:lang w:val="es-ES_tradnl"/>
        </w:rPr>
        <w:t>Es el proceso o conjunto de acciones que realizan los sujetos obligados para establecer que determinada información se encuentra en alguno de los supuestos de reserva o confidencialidad establecidos en la legislación en materia de transparencia.</w:t>
      </w:r>
    </w:p>
    <w:p w14:paraId="5585C0B6" w14:textId="77777777" w:rsidR="00D05952" w:rsidRPr="005A5793" w:rsidRDefault="00D05952" w:rsidP="00D05952">
      <w:pPr>
        <w:spacing w:line="360" w:lineRule="auto"/>
        <w:ind w:right="-93"/>
        <w:contextualSpacing/>
        <w:jc w:val="both"/>
        <w:rPr>
          <w:rFonts w:ascii="Palatino Linotype" w:hAnsi="Palatino Linotype" w:cs="Tahoma"/>
          <w:sz w:val="22"/>
          <w:szCs w:val="24"/>
          <w:lang w:val="es-ES_tradnl"/>
        </w:rPr>
      </w:pPr>
    </w:p>
    <w:p w14:paraId="073ED6E5" w14:textId="77777777" w:rsidR="00D05952" w:rsidRPr="005A5793" w:rsidRDefault="00D05952" w:rsidP="00D05952">
      <w:pPr>
        <w:spacing w:line="360" w:lineRule="auto"/>
        <w:ind w:right="-93"/>
        <w:contextualSpacing/>
        <w:jc w:val="both"/>
        <w:rPr>
          <w:rFonts w:ascii="Palatino Linotype" w:hAnsi="Palatino Linotype" w:cs="Tahoma"/>
          <w:b/>
          <w:bCs/>
          <w:iCs/>
          <w:sz w:val="22"/>
          <w:szCs w:val="24"/>
          <w:lang w:val="es-ES"/>
        </w:rPr>
      </w:pPr>
      <w:r w:rsidRPr="005A5793">
        <w:rPr>
          <w:rFonts w:ascii="Palatino Linotype" w:hAnsi="Palatino Linotype" w:cs="Tahoma"/>
          <w:sz w:val="22"/>
          <w:szCs w:val="24"/>
          <w:lang w:val="es-ES_tradnl"/>
        </w:rPr>
        <w:t>En ese orden de ideas y en atención a lo anterior, es de señalar que l</w:t>
      </w:r>
      <w:r w:rsidRPr="005A5793">
        <w:rPr>
          <w:rFonts w:ascii="Palatino Linotype" w:hAnsi="Palatino Linotype" w:cs="Tahoma"/>
          <w:sz w:val="22"/>
          <w:szCs w:val="24"/>
          <w:lang w:val="es-ES"/>
        </w:rPr>
        <w:t xml:space="preserve">as </w:t>
      </w:r>
      <w:r w:rsidRPr="005A5793">
        <w:rPr>
          <w:rFonts w:ascii="Palatino Linotype" w:hAnsi="Palatino Linotype" w:cs="Tahoma"/>
          <w:bCs/>
          <w:iCs/>
          <w:sz w:val="22"/>
          <w:szCs w:val="24"/>
          <w:lang w:val="es-ES"/>
        </w:rPr>
        <w:t xml:space="preserve">excepciones al derecho de acceso a la información, consisten en que la documentación sea inexistente, </w:t>
      </w:r>
      <w:r w:rsidRPr="005A5793">
        <w:rPr>
          <w:rFonts w:ascii="Palatino Linotype" w:hAnsi="Palatino Linotype" w:cs="Tahoma"/>
          <w:b/>
          <w:bCs/>
          <w:iCs/>
          <w:sz w:val="22"/>
          <w:szCs w:val="24"/>
          <w:lang w:val="es-ES"/>
        </w:rPr>
        <w:t>se encuentre clasificada</w:t>
      </w:r>
      <w:r w:rsidRPr="005A5793">
        <w:rPr>
          <w:rFonts w:ascii="Palatino Linotype" w:hAnsi="Palatino Linotype" w:cs="Tahoma"/>
          <w:bCs/>
          <w:iCs/>
          <w:sz w:val="22"/>
          <w:szCs w:val="24"/>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5A5793">
        <w:rPr>
          <w:rFonts w:ascii="Palatino Linotype" w:hAnsi="Palatino Linotype" w:cs="Tahoma"/>
          <w:b/>
          <w:bCs/>
          <w:iCs/>
          <w:sz w:val="22"/>
          <w:szCs w:val="24"/>
          <w:lang w:val="es-ES"/>
        </w:rPr>
        <w:t>confidenciales o reservados.</w:t>
      </w:r>
    </w:p>
    <w:p w14:paraId="10C6BB54" w14:textId="77777777" w:rsidR="00D05952" w:rsidRPr="005A5793" w:rsidRDefault="00D05952" w:rsidP="00D05952">
      <w:pPr>
        <w:spacing w:line="360" w:lineRule="auto"/>
        <w:ind w:right="-93"/>
        <w:jc w:val="both"/>
        <w:rPr>
          <w:rFonts w:ascii="Palatino Linotype" w:hAnsi="Palatino Linotype" w:cs="Tahoma"/>
          <w:b/>
          <w:bCs/>
          <w:iCs/>
          <w:sz w:val="22"/>
          <w:szCs w:val="24"/>
          <w:lang w:val="es-ES"/>
        </w:rPr>
      </w:pPr>
    </w:p>
    <w:p w14:paraId="330D3878" w14:textId="77777777" w:rsidR="00D05952" w:rsidRPr="005A5793" w:rsidRDefault="00D05952" w:rsidP="00D05952">
      <w:pPr>
        <w:spacing w:line="360" w:lineRule="auto"/>
        <w:ind w:right="-93"/>
        <w:jc w:val="both"/>
        <w:rPr>
          <w:rFonts w:ascii="Palatino Linotype" w:hAnsi="Palatino Linotype" w:cs="Tahoma"/>
          <w:sz w:val="22"/>
          <w:szCs w:val="24"/>
          <w:lang w:val="es-ES"/>
        </w:rPr>
      </w:pPr>
      <w:r w:rsidRPr="005A5793">
        <w:rPr>
          <w:rFonts w:ascii="Palatino Linotype" w:hAnsi="Palatino Linotype" w:cs="Tahoma"/>
          <w:sz w:val="22"/>
          <w:szCs w:val="24"/>
          <w:lang w:val="es-ES_tradnl"/>
        </w:rPr>
        <w:t xml:space="preserve">Así, en los artículos 122, 128 y 130 de la Ley Transparencia y Acceso a la Información Pública del Estado de México y Municipios, se prevé que </w:t>
      </w:r>
      <w:r w:rsidRPr="005A5793">
        <w:rPr>
          <w:rFonts w:ascii="Palatino Linotype" w:hAnsi="Palatino Linotype" w:cs="Tahoma"/>
          <w:b/>
          <w:sz w:val="22"/>
          <w:szCs w:val="24"/>
          <w:lang w:val="es-ES_tradnl"/>
        </w:rPr>
        <w:t xml:space="preserve">la clasificación </w:t>
      </w:r>
      <w:r w:rsidRPr="005A5793">
        <w:rPr>
          <w:rFonts w:ascii="Palatino Linotype" w:hAnsi="Palatino Linotype" w:cs="Tahoma"/>
          <w:sz w:val="22"/>
          <w:szCs w:val="24"/>
          <w:lang w:val="es-ES_tradnl"/>
        </w:rPr>
        <w:t xml:space="preserve">es el proceso mediante el cual los sujetos obligados determinan que la información en su poder </w:t>
      </w:r>
      <w:proofErr w:type="spellStart"/>
      <w:r w:rsidRPr="005A5793">
        <w:rPr>
          <w:rFonts w:ascii="Palatino Linotype" w:hAnsi="Palatino Linotype" w:cs="Tahoma"/>
          <w:sz w:val="22"/>
          <w:szCs w:val="24"/>
          <w:lang w:val="es-ES_tradnl"/>
        </w:rPr>
        <w:t>actualiza</w:t>
      </w:r>
      <w:proofErr w:type="spellEnd"/>
      <w:r w:rsidRPr="005A5793">
        <w:rPr>
          <w:rFonts w:ascii="Palatino Linotype" w:hAnsi="Palatino Linotype" w:cs="Tahoma"/>
          <w:sz w:val="22"/>
          <w:szCs w:val="24"/>
          <w:lang w:val="es-ES_tradnl"/>
        </w:rPr>
        <w:t xml:space="preserve"> alguno de los supuestos de reserva o confidencialidad. </w:t>
      </w:r>
      <w:r w:rsidRPr="005A5793">
        <w:rPr>
          <w:rFonts w:ascii="Palatino Linotype" w:hAnsi="Palatino Linotype" w:cs="Tahoma"/>
          <w:sz w:val="22"/>
          <w:szCs w:val="24"/>
          <w:lang w:val="es-ES"/>
        </w:rPr>
        <w:t>Además, que dichos entes deberán aplicar de manera restrictiva y limitada, las excepciones al derecho de acceso a la información, por lo que, tendrán que acreditar la procedencia.</w:t>
      </w:r>
    </w:p>
    <w:p w14:paraId="1D3C1ADA" w14:textId="77777777" w:rsidR="00D05952" w:rsidRPr="005A5793" w:rsidRDefault="00D05952" w:rsidP="00D05952">
      <w:pPr>
        <w:spacing w:line="360" w:lineRule="auto"/>
        <w:ind w:right="-93"/>
        <w:jc w:val="both"/>
        <w:rPr>
          <w:rFonts w:ascii="Palatino Linotype" w:hAnsi="Palatino Linotype" w:cs="Tahoma"/>
          <w:sz w:val="22"/>
          <w:szCs w:val="24"/>
          <w:lang w:val="es-ES_tradnl"/>
        </w:rPr>
      </w:pPr>
    </w:p>
    <w:p w14:paraId="25DEED12" w14:textId="77777777" w:rsidR="00D05952" w:rsidRPr="005A5793" w:rsidRDefault="00D05952" w:rsidP="00D05952">
      <w:pPr>
        <w:spacing w:line="360" w:lineRule="auto"/>
        <w:ind w:right="-93"/>
        <w:jc w:val="both"/>
        <w:rPr>
          <w:rFonts w:ascii="Palatino Linotype" w:hAnsi="Palatino Linotype" w:cs="Tahoma"/>
          <w:sz w:val="22"/>
          <w:szCs w:val="24"/>
          <w:lang w:val="es-ES"/>
        </w:rPr>
      </w:pPr>
      <w:r w:rsidRPr="005A5793">
        <w:rPr>
          <w:rFonts w:ascii="Palatino Linotype" w:hAnsi="Palatino Linotype" w:cs="Tahoma"/>
          <w:sz w:val="22"/>
          <w:szCs w:val="24"/>
          <w:lang w:val="es-ES"/>
        </w:rPr>
        <w:t xml:space="preserve">Por lo cual, en los casos en que se niegue el acceso a la información, por actualizarse alguno de los supuestos de clasificación, </w:t>
      </w:r>
      <w:r w:rsidRPr="005A5793">
        <w:rPr>
          <w:rFonts w:ascii="Palatino Linotype" w:hAnsi="Palatino Linotype" w:cs="Tahoma"/>
          <w:b/>
          <w:sz w:val="22"/>
          <w:szCs w:val="24"/>
          <w:lang w:val="es-ES"/>
        </w:rPr>
        <w:t xml:space="preserve">el Comité de Transparencia deberá confirmar, modificar o revocar la decisión; </w:t>
      </w:r>
      <w:r w:rsidRPr="005A5793">
        <w:rPr>
          <w:rFonts w:ascii="Palatino Linotype" w:hAnsi="Palatino Linotype" w:cs="Tahoma"/>
          <w:sz w:val="22"/>
          <w:szCs w:val="24"/>
          <w:lang w:val="es-ES"/>
        </w:rPr>
        <w:t xml:space="preserve">además, deberá motivar la confirmación de dicha situación, señalando las </w:t>
      </w:r>
      <w:r w:rsidRPr="005A5793">
        <w:rPr>
          <w:rFonts w:ascii="Palatino Linotype" w:hAnsi="Palatino Linotype" w:cs="Tahoma"/>
          <w:sz w:val="22"/>
          <w:szCs w:val="24"/>
          <w:lang w:val="es-ES"/>
        </w:rPr>
        <w:lastRenderedPageBreak/>
        <w:t>razones, motivos o circunstancias especiales que llevaron al sujeto obligado a concluir que en el caso particular se ajusta al supuesto previsto por la norma legal invocada como fundamento.</w:t>
      </w:r>
    </w:p>
    <w:p w14:paraId="74399724" w14:textId="77777777" w:rsidR="00D05952" w:rsidRPr="005A5793" w:rsidRDefault="00D05952" w:rsidP="00D05952">
      <w:pPr>
        <w:spacing w:line="360" w:lineRule="auto"/>
        <w:ind w:right="-93"/>
        <w:jc w:val="both"/>
        <w:rPr>
          <w:rFonts w:ascii="Palatino Linotype" w:hAnsi="Palatino Linotype" w:cs="Tahoma"/>
          <w:sz w:val="22"/>
          <w:szCs w:val="24"/>
          <w:lang w:val="es-ES"/>
        </w:rPr>
      </w:pPr>
    </w:p>
    <w:p w14:paraId="6068247B" w14:textId="77777777" w:rsidR="00D05952" w:rsidRPr="005A5793" w:rsidRDefault="00D05952" w:rsidP="00D05952">
      <w:pPr>
        <w:spacing w:line="360" w:lineRule="auto"/>
        <w:ind w:right="-93"/>
        <w:jc w:val="both"/>
        <w:rPr>
          <w:rFonts w:ascii="Palatino Linotype" w:hAnsi="Palatino Linotype" w:cs="Tahoma"/>
          <w:b/>
          <w:bCs/>
          <w:sz w:val="22"/>
          <w:szCs w:val="24"/>
          <w:lang w:val="es-ES_tradnl"/>
        </w:rPr>
      </w:pPr>
      <w:r w:rsidRPr="005A5793">
        <w:rPr>
          <w:rFonts w:ascii="Palatino Linotype" w:hAnsi="Palatino Linotype" w:cs="Tahoma"/>
          <w:sz w:val="22"/>
          <w:szCs w:val="24"/>
          <w:lang w:val="es-ES"/>
        </w:rPr>
        <w:t xml:space="preserve">Por su parte, </w:t>
      </w:r>
      <w:r w:rsidRPr="005A5793">
        <w:rPr>
          <w:rFonts w:ascii="Palatino Linotype" w:hAnsi="Palatino Linotype" w:cs="Tahoma"/>
          <w:bCs/>
          <w:sz w:val="22"/>
          <w:szCs w:val="24"/>
          <w:lang w:val="es-ES_tradnl"/>
        </w:rPr>
        <w:t xml:space="preserve">según Bonifaz, Leticia (2016), en la “Ley General de Transparencia y Acceso a la Información Pública Comentada” (p. 342), la </w:t>
      </w:r>
      <w:r w:rsidRPr="005A5793">
        <w:rPr>
          <w:rFonts w:ascii="Palatino Linotype" w:hAnsi="Palatino Linotype" w:cs="Tahoma"/>
          <w:b/>
          <w:bCs/>
          <w:sz w:val="22"/>
          <w:szCs w:val="24"/>
          <w:lang w:val="es-ES_tradnl"/>
        </w:rPr>
        <w:t>clasificación de la información</w:t>
      </w:r>
      <w:r w:rsidRPr="005A5793">
        <w:rPr>
          <w:rFonts w:ascii="Palatino Linotype" w:hAnsi="Palatino Linotype" w:cs="Tahoma"/>
          <w:bCs/>
          <w:sz w:val="22"/>
          <w:szCs w:val="24"/>
          <w:lang w:val="es-ES_tradnl"/>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5A5793">
        <w:rPr>
          <w:rFonts w:ascii="Palatino Linotype" w:hAnsi="Palatino Linotype" w:cs="Tahoma"/>
          <w:b/>
          <w:bCs/>
          <w:sz w:val="22"/>
          <w:szCs w:val="24"/>
          <w:lang w:val="es-ES_tradnl"/>
        </w:rPr>
        <w:t>de manera adecuada la negativa de información.</w:t>
      </w:r>
    </w:p>
    <w:p w14:paraId="164C6BD0" w14:textId="77777777" w:rsidR="00D05952" w:rsidRPr="005A5793" w:rsidRDefault="00D05952" w:rsidP="00D05952">
      <w:pPr>
        <w:spacing w:line="360" w:lineRule="auto"/>
        <w:ind w:right="-93"/>
        <w:jc w:val="both"/>
        <w:rPr>
          <w:rFonts w:ascii="Palatino Linotype" w:hAnsi="Palatino Linotype" w:cs="Tahoma"/>
          <w:sz w:val="22"/>
          <w:szCs w:val="24"/>
        </w:rPr>
      </w:pPr>
    </w:p>
    <w:p w14:paraId="0CD0B7F9" w14:textId="77777777" w:rsidR="00D05952" w:rsidRPr="005A5793" w:rsidRDefault="00D05952" w:rsidP="00D05952">
      <w:pPr>
        <w:spacing w:line="360" w:lineRule="auto"/>
        <w:ind w:right="-93"/>
        <w:jc w:val="both"/>
        <w:rPr>
          <w:rFonts w:ascii="Palatino Linotype" w:hAnsi="Palatino Linotype" w:cs="Tahoma"/>
          <w:sz w:val="22"/>
          <w:szCs w:val="24"/>
          <w:lang w:val="es-ES_tradnl"/>
        </w:rPr>
      </w:pPr>
      <w:r w:rsidRPr="005A5793">
        <w:rPr>
          <w:rFonts w:ascii="Palatino Linotype" w:hAnsi="Palatino Linotype" w:cs="Tahoma"/>
          <w:sz w:val="22"/>
          <w:szCs w:val="24"/>
          <w:lang w:val="es-ES_tradnl"/>
        </w:rPr>
        <w:t xml:space="preserve">Además, el artículo 131 de la Ley referida, así como el Quinto de los Lineamientos Generales en Materia de Clasificación y Desclasificación de la Información, así como para la Elaboración de Versiones Públicas –Lineamientos Generales-, vigentes a la fecha de la solicitud, establecen que los sujetos obligados </w:t>
      </w:r>
      <w:r w:rsidRPr="005A5793">
        <w:rPr>
          <w:rFonts w:ascii="Palatino Linotype" w:hAnsi="Palatino Linotype" w:cs="Tahoma"/>
          <w:b/>
          <w:sz w:val="22"/>
          <w:szCs w:val="24"/>
          <w:lang w:val="es-ES_tradnl"/>
        </w:rPr>
        <w:t>deberán fundar y motivar</w:t>
      </w:r>
      <w:r w:rsidRPr="005A5793">
        <w:rPr>
          <w:rFonts w:ascii="Palatino Linotype" w:hAnsi="Palatino Linotype" w:cs="Tahoma"/>
          <w:sz w:val="22"/>
          <w:szCs w:val="24"/>
          <w:lang w:val="es-ES_tradnl"/>
        </w:rPr>
        <w:t xml:space="preserve"> debidamente la clasificación de la información.</w:t>
      </w:r>
    </w:p>
    <w:p w14:paraId="3E2E81C8" w14:textId="77777777" w:rsidR="00D05952" w:rsidRPr="005A5793" w:rsidRDefault="00D05952" w:rsidP="00D05952">
      <w:pPr>
        <w:spacing w:line="360" w:lineRule="auto"/>
        <w:ind w:right="-93"/>
        <w:jc w:val="both"/>
        <w:rPr>
          <w:rFonts w:ascii="Palatino Linotype" w:hAnsi="Palatino Linotype" w:cs="Tahoma"/>
          <w:b/>
          <w:sz w:val="22"/>
          <w:szCs w:val="24"/>
          <w:lang w:val="es-ES_tradnl"/>
        </w:rPr>
      </w:pPr>
    </w:p>
    <w:p w14:paraId="1935A396" w14:textId="77777777" w:rsidR="00D05952" w:rsidRPr="005A5793" w:rsidRDefault="00D05952" w:rsidP="00D05952">
      <w:pPr>
        <w:spacing w:line="360" w:lineRule="auto"/>
        <w:ind w:right="-93"/>
        <w:jc w:val="both"/>
        <w:rPr>
          <w:rFonts w:ascii="Palatino Linotype" w:hAnsi="Palatino Linotype" w:cs="Tahoma"/>
          <w:bCs/>
          <w:iCs/>
          <w:sz w:val="22"/>
          <w:szCs w:val="24"/>
          <w:lang w:val="es-ES_tradnl"/>
        </w:rPr>
      </w:pPr>
      <w:r w:rsidRPr="005A5793">
        <w:rPr>
          <w:rFonts w:ascii="Palatino Linotype" w:hAnsi="Palatino Linotype" w:cs="Tahoma"/>
          <w:sz w:val="22"/>
          <w:szCs w:val="24"/>
          <w:lang w:val="es-ES_tradnl"/>
        </w:rPr>
        <w:t>Al respecto, e</w:t>
      </w:r>
      <w:r w:rsidRPr="005A5793">
        <w:rPr>
          <w:rFonts w:ascii="Palatino Linotype" w:hAnsi="Palatino Linotype" w:cs="Tahoma"/>
          <w:bCs/>
          <w:iCs/>
          <w:sz w:val="22"/>
          <w:szCs w:val="24"/>
          <w:lang w:val="es-ES_tradnl"/>
        </w:rPr>
        <w:t>l Octavo de los Lineamientos Generales, precisa lo siguiente:</w:t>
      </w:r>
    </w:p>
    <w:p w14:paraId="39D1615F" w14:textId="77777777" w:rsidR="00D05952" w:rsidRPr="005A5793" w:rsidRDefault="00D05952" w:rsidP="00D05952">
      <w:pPr>
        <w:spacing w:line="360" w:lineRule="auto"/>
        <w:ind w:right="-93"/>
        <w:jc w:val="both"/>
        <w:rPr>
          <w:rFonts w:ascii="Palatino Linotype" w:hAnsi="Palatino Linotype" w:cs="Tahoma"/>
          <w:bCs/>
          <w:iCs/>
          <w:sz w:val="22"/>
          <w:szCs w:val="24"/>
          <w:lang w:val="es-ES_tradnl"/>
        </w:rPr>
      </w:pPr>
    </w:p>
    <w:p w14:paraId="309155F9" w14:textId="547F6F5C" w:rsidR="00D05952" w:rsidRPr="005A5793" w:rsidRDefault="00D05952" w:rsidP="002708AC">
      <w:pPr>
        <w:numPr>
          <w:ilvl w:val="0"/>
          <w:numId w:val="2"/>
        </w:numPr>
        <w:spacing w:line="360" w:lineRule="auto"/>
        <w:ind w:right="-93"/>
        <w:jc w:val="both"/>
        <w:rPr>
          <w:rFonts w:ascii="Palatino Linotype" w:hAnsi="Palatino Linotype" w:cs="Tahoma"/>
          <w:bCs/>
          <w:sz w:val="22"/>
          <w:szCs w:val="24"/>
          <w:lang w:val="es-ES_tradnl"/>
        </w:rPr>
      </w:pPr>
      <w:r w:rsidRPr="005A5793">
        <w:rPr>
          <w:rFonts w:ascii="Palatino Linotype" w:hAnsi="Palatino Linotype" w:cs="Tahoma"/>
          <w:b/>
          <w:bCs/>
          <w:sz w:val="22"/>
          <w:szCs w:val="24"/>
          <w:lang w:val="es-ES_tradnl"/>
        </w:rPr>
        <w:t>Para fundar la clasificación</w:t>
      </w:r>
      <w:r w:rsidRPr="005A5793">
        <w:rPr>
          <w:rFonts w:ascii="Palatino Linotype" w:hAnsi="Palatino Linotype" w:cs="Tahoma"/>
          <w:bCs/>
          <w:sz w:val="22"/>
          <w:szCs w:val="24"/>
          <w:lang w:val="es-ES_tradnl"/>
        </w:rPr>
        <w:t xml:space="preserve"> de la información se deberán señalar el artículo, fracción, inciso, párrafo o numeral de la Ley aplicable</w:t>
      </w:r>
      <w:r w:rsidR="004A2C87" w:rsidRPr="005A5793">
        <w:rPr>
          <w:rFonts w:ascii="Palatino Linotype" w:hAnsi="Palatino Linotype" w:cs="Tahoma"/>
          <w:bCs/>
          <w:sz w:val="22"/>
          <w:szCs w:val="24"/>
          <w:lang w:val="es-ES_tradnl"/>
        </w:rPr>
        <w:t>, y</w:t>
      </w:r>
    </w:p>
    <w:p w14:paraId="2845CCEC" w14:textId="77777777" w:rsidR="004A2C87" w:rsidRPr="005A5793" w:rsidRDefault="004A2C87" w:rsidP="004A2C87">
      <w:pPr>
        <w:spacing w:line="360" w:lineRule="auto"/>
        <w:ind w:left="720" w:right="-93"/>
        <w:jc w:val="both"/>
        <w:rPr>
          <w:rFonts w:ascii="Palatino Linotype" w:hAnsi="Palatino Linotype" w:cs="Tahoma"/>
          <w:bCs/>
          <w:sz w:val="22"/>
          <w:szCs w:val="24"/>
          <w:lang w:val="es-ES_tradnl"/>
        </w:rPr>
      </w:pPr>
    </w:p>
    <w:p w14:paraId="529C10D7" w14:textId="77777777" w:rsidR="00D05952" w:rsidRPr="005A5793" w:rsidRDefault="00D05952" w:rsidP="002708AC">
      <w:pPr>
        <w:numPr>
          <w:ilvl w:val="0"/>
          <w:numId w:val="2"/>
        </w:numPr>
        <w:spacing w:line="360" w:lineRule="auto"/>
        <w:ind w:right="-93"/>
        <w:jc w:val="both"/>
        <w:rPr>
          <w:rFonts w:ascii="Palatino Linotype" w:hAnsi="Palatino Linotype" w:cs="Tahoma"/>
          <w:bCs/>
          <w:sz w:val="22"/>
          <w:szCs w:val="24"/>
          <w:lang w:val="es-ES_tradnl"/>
        </w:rPr>
      </w:pPr>
      <w:r w:rsidRPr="005A5793">
        <w:rPr>
          <w:rFonts w:ascii="Palatino Linotype" w:hAnsi="Palatino Linotype" w:cs="Tahoma"/>
          <w:b/>
          <w:bCs/>
          <w:sz w:val="22"/>
          <w:szCs w:val="24"/>
          <w:lang w:val="es-ES_tradnl"/>
        </w:rPr>
        <w:t>Para motivar la clasificación</w:t>
      </w:r>
      <w:r w:rsidRPr="005A5793">
        <w:rPr>
          <w:rFonts w:ascii="Palatino Linotype" w:hAnsi="Palatino Linotype" w:cs="Tahoma"/>
          <w:bCs/>
          <w:sz w:val="22"/>
          <w:szCs w:val="24"/>
          <w:lang w:val="es-ES_tradnl"/>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14:paraId="30BF2375" w14:textId="77777777" w:rsidR="00D05952" w:rsidRPr="005A5793" w:rsidRDefault="00D05952" w:rsidP="00D05952">
      <w:pPr>
        <w:spacing w:line="360" w:lineRule="auto"/>
        <w:ind w:right="-93"/>
        <w:jc w:val="both"/>
        <w:rPr>
          <w:rFonts w:ascii="Palatino Linotype" w:hAnsi="Palatino Linotype" w:cs="Tahoma"/>
          <w:sz w:val="22"/>
          <w:szCs w:val="24"/>
          <w:lang w:val="es-ES_tradnl"/>
        </w:rPr>
      </w:pPr>
      <w:r w:rsidRPr="005A5793">
        <w:rPr>
          <w:rFonts w:ascii="Palatino Linotype" w:hAnsi="Palatino Linotype" w:cs="Tahoma"/>
          <w:sz w:val="22"/>
          <w:szCs w:val="24"/>
          <w:lang w:val="es-ES_tradnl"/>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2FC00317" w14:textId="77777777" w:rsidR="00D05952" w:rsidRPr="005A5793" w:rsidRDefault="00D05952" w:rsidP="00D05952">
      <w:pPr>
        <w:spacing w:line="360" w:lineRule="auto"/>
        <w:ind w:right="-93"/>
        <w:jc w:val="both"/>
        <w:rPr>
          <w:rFonts w:ascii="Palatino Linotype" w:hAnsi="Palatino Linotype" w:cs="Tahoma"/>
          <w:sz w:val="22"/>
          <w:szCs w:val="24"/>
          <w:lang w:val="es-ES_tradnl"/>
        </w:rPr>
      </w:pPr>
    </w:p>
    <w:p w14:paraId="74435D0C" w14:textId="77777777" w:rsidR="00D05952" w:rsidRPr="005A5793" w:rsidRDefault="00D05952" w:rsidP="00D05952">
      <w:pPr>
        <w:spacing w:line="360" w:lineRule="auto"/>
        <w:ind w:left="567" w:right="539"/>
        <w:jc w:val="both"/>
        <w:rPr>
          <w:rFonts w:ascii="Palatino Linotype" w:hAnsi="Palatino Linotype" w:cs="Tahoma"/>
          <w:i/>
          <w:szCs w:val="24"/>
          <w:lang w:val="es-ES_tradnl"/>
        </w:rPr>
      </w:pPr>
      <w:r w:rsidRPr="005A5793">
        <w:rPr>
          <w:rFonts w:ascii="Palatino Linotype" w:hAnsi="Palatino Linotype" w:cs="Tahoma"/>
          <w:b/>
          <w:i/>
          <w:szCs w:val="24"/>
          <w:lang w:val="es-ES_tradnl"/>
        </w:rPr>
        <w:t xml:space="preserve">“FUNDAMENTACION Y MOTIVACION, CONCEPTO DE. </w:t>
      </w:r>
      <w:r w:rsidRPr="005A5793">
        <w:rPr>
          <w:rFonts w:ascii="Palatino Linotype" w:hAnsi="Palatino Linotype" w:cs="Tahoma"/>
          <w:i/>
          <w:szCs w:val="24"/>
          <w:lang w:val="es-ES_tradnl"/>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7559171" w14:textId="77777777" w:rsidR="00D05952" w:rsidRPr="005A5793" w:rsidRDefault="00D05952" w:rsidP="00D05952">
      <w:pPr>
        <w:spacing w:line="360" w:lineRule="auto"/>
        <w:ind w:right="-93"/>
        <w:jc w:val="both"/>
        <w:rPr>
          <w:rFonts w:ascii="Palatino Linotype" w:hAnsi="Palatino Linotype" w:cs="Tahoma"/>
          <w:sz w:val="22"/>
          <w:szCs w:val="24"/>
          <w:lang w:val="es-ES_tradnl"/>
        </w:rPr>
      </w:pPr>
    </w:p>
    <w:p w14:paraId="08B96E1A" w14:textId="77777777" w:rsidR="00D05952" w:rsidRPr="005A5793" w:rsidRDefault="00D05952" w:rsidP="00D05952">
      <w:pPr>
        <w:spacing w:line="360" w:lineRule="auto"/>
        <w:ind w:right="-93"/>
        <w:jc w:val="both"/>
        <w:rPr>
          <w:rFonts w:ascii="Palatino Linotype" w:hAnsi="Palatino Linotype" w:cs="Tahoma"/>
          <w:sz w:val="22"/>
          <w:szCs w:val="24"/>
          <w:lang w:val="es-ES_tradnl"/>
        </w:rPr>
      </w:pPr>
      <w:r w:rsidRPr="005A5793">
        <w:rPr>
          <w:rFonts w:ascii="Palatino Linotype" w:hAnsi="Palatino Linotype" w:cs="Tahoma"/>
          <w:sz w:val="22"/>
          <w:szCs w:val="24"/>
          <w:lang w:val="es-ES_tradnl"/>
        </w:rPr>
        <w:t>Conforme a lo anterior, se advierte lo siguiente:</w:t>
      </w:r>
    </w:p>
    <w:p w14:paraId="4CC18AF3" w14:textId="77777777" w:rsidR="00D05952" w:rsidRPr="005A5793" w:rsidRDefault="00D05952" w:rsidP="00D05952">
      <w:pPr>
        <w:spacing w:line="360" w:lineRule="auto"/>
        <w:ind w:right="-93"/>
        <w:jc w:val="both"/>
        <w:rPr>
          <w:rFonts w:ascii="Palatino Linotype" w:hAnsi="Palatino Linotype" w:cs="Tahoma"/>
          <w:sz w:val="22"/>
          <w:szCs w:val="24"/>
          <w:lang w:val="es-ES_tradnl"/>
        </w:rPr>
      </w:pPr>
    </w:p>
    <w:p w14:paraId="37FC6C43" w14:textId="77777777" w:rsidR="00D05952" w:rsidRPr="005A5793" w:rsidRDefault="00D05952" w:rsidP="002708AC">
      <w:pPr>
        <w:numPr>
          <w:ilvl w:val="0"/>
          <w:numId w:val="4"/>
        </w:numPr>
        <w:spacing w:line="360" w:lineRule="auto"/>
        <w:ind w:right="-93"/>
        <w:jc w:val="both"/>
        <w:rPr>
          <w:rFonts w:ascii="Palatino Linotype" w:hAnsi="Palatino Linotype" w:cs="Tahoma"/>
          <w:b/>
          <w:sz w:val="22"/>
          <w:szCs w:val="24"/>
          <w:lang w:val="es-ES_tradnl"/>
        </w:rPr>
      </w:pPr>
      <w:r w:rsidRPr="005A5793">
        <w:rPr>
          <w:rFonts w:ascii="Palatino Linotype" w:hAnsi="Palatino Linotype" w:cs="Tahoma"/>
          <w:b/>
          <w:sz w:val="22"/>
          <w:szCs w:val="24"/>
          <w:lang w:val="es-ES_tradnl"/>
        </w:rPr>
        <w:t xml:space="preserve">Fundamentación: </w:t>
      </w:r>
      <w:r w:rsidRPr="005A5793">
        <w:rPr>
          <w:rFonts w:ascii="Palatino Linotype" w:hAnsi="Palatino Linotype" w:cs="Tahoma"/>
          <w:sz w:val="22"/>
          <w:szCs w:val="24"/>
          <w:lang w:val="es-ES_tradnl"/>
        </w:rPr>
        <w:t>Obligación de la autoridad que emite un acto, para citar los preceptos legales, sustantivos y adjetivos, en que se apoye para la determinación tomada.</w:t>
      </w:r>
    </w:p>
    <w:p w14:paraId="28FC773A" w14:textId="77777777" w:rsidR="004A2C87" w:rsidRPr="005A5793" w:rsidRDefault="004A2C87" w:rsidP="004A2C87">
      <w:pPr>
        <w:spacing w:line="360" w:lineRule="auto"/>
        <w:ind w:left="720" w:right="-93"/>
        <w:jc w:val="both"/>
        <w:rPr>
          <w:rFonts w:ascii="Palatino Linotype" w:hAnsi="Palatino Linotype" w:cs="Tahoma"/>
          <w:b/>
          <w:sz w:val="22"/>
          <w:szCs w:val="24"/>
          <w:lang w:val="es-ES_tradnl"/>
        </w:rPr>
      </w:pPr>
    </w:p>
    <w:p w14:paraId="69D213F7" w14:textId="77777777" w:rsidR="00D05952" w:rsidRPr="005A5793" w:rsidRDefault="00D05952" w:rsidP="002708AC">
      <w:pPr>
        <w:numPr>
          <w:ilvl w:val="0"/>
          <w:numId w:val="4"/>
        </w:numPr>
        <w:spacing w:line="360" w:lineRule="auto"/>
        <w:ind w:right="-93"/>
        <w:jc w:val="both"/>
        <w:rPr>
          <w:rFonts w:ascii="Palatino Linotype" w:hAnsi="Palatino Linotype" w:cs="Tahoma"/>
          <w:b/>
          <w:sz w:val="22"/>
          <w:szCs w:val="24"/>
          <w:lang w:val="es-ES_tradnl"/>
        </w:rPr>
      </w:pPr>
      <w:r w:rsidRPr="005A5793">
        <w:rPr>
          <w:rFonts w:ascii="Palatino Linotype" w:hAnsi="Palatino Linotype" w:cs="Tahoma"/>
          <w:b/>
          <w:sz w:val="22"/>
          <w:szCs w:val="24"/>
          <w:lang w:val="es-ES_tradnl"/>
        </w:rPr>
        <w:t xml:space="preserve">Motivación: </w:t>
      </w:r>
      <w:r w:rsidRPr="005A5793">
        <w:rPr>
          <w:rFonts w:ascii="Palatino Linotype" w:hAnsi="Palatino Linotype" w:cs="Tahoma"/>
          <w:sz w:val="22"/>
          <w:szCs w:val="24"/>
          <w:lang w:val="es-ES_tradnl"/>
        </w:rPr>
        <w:t>Razonamientos lógico-jurídicos sobre porque se consideró en el caso en concreto, que se ajusta a la hipótesis normativa.</w:t>
      </w:r>
    </w:p>
    <w:p w14:paraId="3B54CB77" w14:textId="77777777" w:rsidR="00D05952" w:rsidRPr="005A5793" w:rsidRDefault="00D05952" w:rsidP="00D05952">
      <w:pPr>
        <w:spacing w:line="360" w:lineRule="auto"/>
        <w:ind w:right="-93"/>
        <w:jc w:val="both"/>
        <w:rPr>
          <w:rFonts w:ascii="Palatino Linotype" w:hAnsi="Palatino Linotype" w:cs="Tahoma"/>
          <w:sz w:val="22"/>
          <w:szCs w:val="24"/>
          <w:lang w:val="es-ES_tradnl"/>
        </w:rPr>
      </w:pPr>
    </w:p>
    <w:p w14:paraId="7392180B" w14:textId="77777777" w:rsidR="004A2C87" w:rsidRPr="005A5793" w:rsidRDefault="004A2C87" w:rsidP="004A2C87">
      <w:pPr>
        <w:spacing w:line="360" w:lineRule="auto"/>
        <w:jc w:val="both"/>
        <w:rPr>
          <w:rFonts w:ascii="Palatino Linotype" w:eastAsia="Calibri" w:hAnsi="Palatino Linotype" w:cs="Tahoma"/>
          <w:color w:val="000000"/>
          <w:sz w:val="22"/>
          <w:szCs w:val="22"/>
          <w:lang w:val="es-ES" w:eastAsia="es-MX"/>
        </w:rPr>
      </w:pPr>
      <w:r w:rsidRPr="005A5793">
        <w:rPr>
          <w:rFonts w:ascii="Palatino Linotype" w:eastAsia="Calibri" w:hAnsi="Palatino Linotype" w:cs="Tahoma"/>
          <w:color w:val="000000"/>
          <w:sz w:val="22"/>
          <w:szCs w:val="22"/>
          <w:lang w:val="es-ES" w:eastAsia="es-MX"/>
        </w:rPr>
        <w:t xml:space="preserve">Situación que toma relevancia, pues conforme al artículo 149 de la Ley de Transparencia y Acceso a la Información Pública del Estado de México y Municipios, todo acuerdo que clasifique la información como confidencial, deberá contener un razonamiento lógico en el que </w:t>
      </w:r>
      <w:r w:rsidRPr="005A5793">
        <w:rPr>
          <w:rFonts w:ascii="Palatino Linotype" w:eastAsia="Calibri" w:hAnsi="Palatino Linotype" w:cs="Tahoma"/>
          <w:color w:val="000000"/>
          <w:sz w:val="22"/>
          <w:szCs w:val="22"/>
          <w:lang w:val="es-ES" w:eastAsia="es-MX"/>
        </w:rPr>
        <w:lastRenderedPageBreak/>
        <w:t>se demuestre que la información actualiza alguna de las hipótesis previstas en el artículo 143 del ordenamiento jurídico establecido.</w:t>
      </w:r>
    </w:p>
    <w:p w14:paraId="46B1543C" w14:textId="77777777" w:rsidR="004A2C87" w:rsidRPr="005A5793" w:rsidRDefault="004A2C87" w:rsidP="004A2C87">
      <w:pPr>
        <w:widowControl w:val="0"/>
        <w:autoSpaceDE w:val="0"/>
        <w:autoSpaceDN w:val="0"/>
        <w:adjustRightInd w:val="0"/>
        <w:spacing w:line="360" w:lineRule="auto"/>
        <w:contextualSpacing/>
        <w:jc w:val="both"/>
        <w:rPr>
          <w:rFonts w:ascii="Palatino Linotype" w:eastAsia="Palatino Linotype" w:hAnsi="Palatino Linotype" w:cs="Tahoma"/>
          <w:iCs/>
          <w:color w:val="000000"/>
          <w:sz w:val="22"/>
          <w:szCs w:val="24"/>
          <w:lang w:val="es-ES_tradnl" w:eastAsia="es-MX"/>
        </w:rPr>
      </w:pPr>
    </w:p>
    <w:p w14:paraId="1BF94D67" w14:textId="648319D1" w:rsidR="004A2C87" w:rsidRPr="005A5793" w:rsidRDefault="004A2C87" w:rsidP="004A2C87">
      <w:pPr>
        <w:spacing w:line="360" w:lineRule="auto"/>
        <w:jc w:val="both"/>
        <w:rPr>
          <w:rFonts w:ascii="Palatino Linotype" w:eastAsia="Batang" w:hAnsi="Palatino Linotype" w:cs="Tahoma"/>
          <w:bCs/>
          <w:color w:val="000000"/>
          <w:sz w:val="22"/>
          <w:szCs w:val="22"/>
          <w:lang w:val="es-ES"/>
        </w:rPr>
      </w:pPr>
      <w:r w:rsidRPr="005A5793">
        <w:rPr>
          <w:rFonts w:ascii="Palatino Linotype" w:eastAsia="Batang" w:hAnsi="Palatino Linotype" w:cs="Tahoma"/>
          <w:bCs/>
          <w:color w:val="000000"/>
          <w:sz w:val="22"/>
          <w:szCs w:val="22"/>
          <w:lang w:val="es-ES"/>
        </w:rPr>
        <w:t>En ese contexto, es de señalar que el Sujeto Obligado no precisó de manera fundada y motivada las razones por las cuales, consideraba que</w:t>
      </w:r>
      <w:r w:rsidRPr="005A5793">
        <w:rPr>
          <w:rFonts w:ascii="Palatino Linotype" w:eastAsia="Calibri" w:hAnsi="Palatino Linotype"/>
          <w:sz w:val="22"/>
          <w:szCs w:val="22"/>
          <w:lang w:eastAsia="en-US"/>
        </w:rPr>
        <w:t xml:space="preserve"> los recibos de nómina eran confidenciales</w:t>
      </w:r>
      <w:r w:rsidRPr="005A5793">
        <w:rPr>
          <w:rFonts w:ascii="Palatino Linotype" w:eastAsia="Batang" w:hAnsi="Palatino Linotype" w:cs="Tahoma"/>
          <w:bCs/>
          <w:color w:val="000000"/>
          <w:sz w:val="22"/>
          <w:szCs w:val="22"/>
          <w:lang w:val="es-ES"/>
        </w:rPr>
        <w:t xml:space="preserve">, pues únicamente señaló que no podía entregarlos por no contar con el consentimiento de los trabajadores, lo cual da como resultado que el agravio sea </w:t>
      </w:r>
      <w:r w:rsidRPr="005A5793">
        <w:rPr>
          <w:rFonts w:ascii="Palatino Linotype" w:eastAsia="Batang" w:hAnsi="Palatino Linotype" w:cs="Tahoma"/>
          <w:b/>
          <w:bCs/>
          <w:color w:val="000000"/>
          <w:sz w:val="22"/>
          <w:szCs w:val="22"/>
          <w:lang w:val="es-ES"/>
        </w:rPr>
        <w:t>FUNDADO</w:t>
      </w:r>
      <w:r w:rsidRPr="005A5793">
        <w:rPr>
          <w:rFonts w:ascii="Palatino Linotype" w:eastAsia="Batang" w:hAnsi="Palatino Linotype" w:cs="Tahoma"/>
          <w:bCs/>
          <w:color w:val="000000"/>
          <w:sz w:val="22"/>
          <w:szCs w:val="22"/>
          <w:lang w:val="es-ES"/>
        </w:rPr>
        <w:t>.</w:t>
      </w:r>
    </w:p>
    <w:p w14:paraId="41A6DFEE" w14:textId="77777777" w:rsidR="004A2C87" w:rsidRPr="005A5793" w:rsidRDefault="004A2C87" w:rsidP="00D05952">
      <w:pPr>
        <w:spacing w:line="360" w:lineRule="auto"/>
        <w:ind w:right="-93"/>
        <w:jc w:val="both"/>
        <w:rPr>
          <w:rFonts w:ascii="Palatino Linotype" w:hAnsi="Palatino Linotype" w:cs="Tahoma"/>
          <w:sz w:val="22"/>
          <w:szCs w:val="24"/>
          <w:lang w:val="es-ES"/>
        </w:rPr>
      </w:pPr>
    </w:p>
    <w:p w14:paraId="4429F51B" w14:textId="380F716A" w:rsidR="00D05952" w:rsidRPr="005A5793" w:rsidRDefault="004A2C87" w:rsidP="00D05952">
      <w:pPr>
        <w:spacing w:line="360" w:lineRule="auto"/>
        <w:jc w:val="both"/>
        <w:rPr>
          <w:rFonts w:ascii="Palatino Linotype" w:hAnsi="Palatino Linotype" w:cs="Arial"/>
          <w:color w:val="000000"/>
          <w:sz w:val="22"/>
          <w:szCs w:val="22"/>
          <w:lang w:val="x-none"/>
        </w:rPr>
      </w:pPr>
      <w:r w:rsidRPr="005A5793">
        <w:rPr>
          <w:rFonts w:ascii="Palatino Linotype" w:eastAsia="Calibri" w:hAnsi="Palatino Linotype" w:cs="Tahoma"/>
          <w:bCs/>
          <w:iCs/>
          <w:sz w:val="22"/>
          <w:szCs w:val="22"/>
          <w:lang w:val="es-ES" w:eastAsia="en-US"/>
        </w:rPr>
        <w:t>Situación que toma relevancia, pues los recibos de</w:t>
      </w:r>
      <w:r w:rsidR="00D05952" w:rsidRPr="005A5793">
        <w:rPr>
          <w:rFonts w:ascii="Palatino Linotype" w:eastAsia="Palatino Linotype" w:hAnsi="Palatino Linotype" w:cs="Palatino Linotype"/>
          <w:color w:val="000000"/>
          <w:sz w:val="22"/>
          <w:szCs w:val="22"/>
          <w:lang w:eastAsia="es-MX"/>
        </w:rPr>
        <w:t xml:space="preserve"> nómina </w:t>
      </w:r>
      <w:r w:rsidR="00D05952" w:rsidRPr="005A5793">
        <w:rPr>
          <w:rFonts w:ascii="Palatino Linotype" w:eastAsia="Calibri" w:hAnsi="Palatino Linotype" w:cs="Tahoma"/>
          <w:bCs/>
          <w:color w:val="000000"/>
          <w:sz w:val="22"/>
          <w:szCs w:val="22"/>
          <w:lang w:eastAsia="es-MX"/>
        </w:rPr>
        <w:t>rinde</w:t>
      </w:r>
      <w:r w:rsidRPr="005A5793">
        <w:rPr>
          <w:rFonts w:ascii="Palatino Linotype" w:eastAsia="Calibri" w:hAnsi="Palatino Linotype" w:cs="Tahoma"/>
          <w:bCs/>
          <w:color w:val="000000"/>
          <w:sz w:val="22"/>
          <w:szCs w:val="22"/>
          <w:lang w:eastAsia="es-MX"/>
        </w:rPr>
        <w:t>n</w:t>
      </w:r>
      <w:r w:rsidR="00D05952" w:rsidRPr="005A5793">
        <w:rPr>
          <w:rFonts w:ascii="Palatino Linotype" w:eastAsia="Calibri" w:hAnsi="Palatino Linotype" w:cs="Tahoma"/>
          <w:bCs/>
          <w:color w:val="000000"/>
          <w:sz w:val="22"/>
          <w:szCs w:val="22"/>
          <w:lang w:eastAsia="es-MX"/>
        </w:rPr>
        <w:t xml:space="preserve"> cuentas de la forma en que utiliza el </w:t>
      </w:r>
      <w:r w:rsidR="00525771" w:rsidRPr="005A5793">
        <w:rPr>
          <w:rFonts w:ascii="Palatino Linotype" w:eastAsia="Calibri" w:hAnsi="Palatino Linotype" w:cs="Tahoma"/>
          <w:bCs/>
          <w:color w:val="000000"/>
          <w:sz w:val="22"/>
          <w:szCs w:val="22"/>
          <w:lang w:eastAsia="es-MX"/>
        </w:rPr>
        <w:t>Sujeto Obligado</w:t>
      </w:r>
      <w:r w:rsidR="00D05952" w:rsidRPr="005A5793">
        <w:rPr>
          <w:rFonts w:ascii="Palatino Linotype" w:eastAsia="Calibri" w:hAnsi="Palatino Linotype" w:cs="Tahoma"/>
          <w:bCs/>
          <w:color w:val="000000"/>
          <w:sz w:val="22"/>
          <w:szCs w:val="22"/>
          <w:lang w:eastAsia="es-MX"/>
        </w:rPr>
        <w:t xml:space="preserve"> los recursos públicos</w:t>
      </w:r>
      <w:r w:rsidR="00D05952" w:rsidRPr="005A5793">
        <w:rPr>
          <w:rFonts w:ascii="Palatino Linotype" w:hAnsi="Palatino Linotype" w:cs="Tahoma"/>
          <w:bCs/>
          <w:iCs/>
          <w:color w:val="000000"/>
          <w:sz w:val="22"/>
          <w:szCs w:val="22"/>
          <w:lang w:val="es-ES_tradnl"/>
        </w:rPr>
        <w:t>; sobre</w:t>
      </w:r>
      <w:r w:rsidR="00D05952" w:rsidRPr="005A5793">
        <w:rPr>
          <w:rFonts w:ascii="Palatino Linotype" w:hAnsi="Palatino Linotype" w:cs="Tahoma"/>
          <w:color w:val="000000"/>
          <w:sz w:val="22"/>
          <w:szCs w:val="22"/>
          <w:lang w:val="es-ES"/>
        </w:rPr>
        <w:t xml:space="preserve"> el tema, </w:t>
      </w:r>
      <w:r w:rsidR="00D05952" w:rsidRPr="005A5793">
        <w:rPr>
          <w:rFonts w:ascii="Palatino Linotype" w:hAnsi="Palatino Linotype" w:cs="Arial"/>
          <w:bCs/>
          <w:color w:val="000000"/>
          <w:sz w:val="22"/>
          <w:szCs w:val="22"/>
        </w:rPr>
        <w:t xml:space="preserve">según Arizmendi, Guillermo (2016), en la “Ley General de Transparencia y Acceso a la Información Pública Comentada” (p. 240 y 241), los recursos públicos, deber ser administrado con responsabilidad y transparencia. </w:t>
      </w:r>
      <w:r w:rsidR="00D05952" w:rsidRPr="005A5793">
        <w:rPr>
          <w:rFonts w:ascii="Palatino Linotype" w:hAnsi="Palatino Linotype" w:cs="Tahoma"/>
          <w:color w:val="000000"/>
          <w:sz w:val="22"/>
          <w:szCs w:val="22"/>
          <w:lang w:val="es-ES"/>
        </w:rPr>
        <w:t xml:space="preserve">En ese orden de ideas, según Trujillo, Humberto (2019), en el “Diccionario de Transparencia y Acceso a la Información Pública” (p. 276), </w:t>
      </w:r>
      <w:r w:rsidR="00D05952" w:rsidRPr="005A5793">
        <w:rPr>
          <w:rFonts w:ascii="Palatino Linotype" w:hAnsi="Palatino Linotype" w:cs="Tahoma"/>
          <w:b/>
          <w:color w:val="000000"/>
          <w:sz w:val="22"/>
          <w:szCs w:val="22"/>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18ACEDD8" w14:textId="77777777" w:rsidR="00D05952" w:rsidRPr="005A5793" w:rsidRDefault="00D05952" w:rsidP="00D05952">
      <w:pPr>
        <w:spacing w:line="360" w:lineRule="auto"/>
        <w:jc w:val="both"/>
        <w:rPr>
          <w:rFonts w:ascii="Palatino Linotype" w:hAnsi="Palatino Linotype" w:cs="Tahoma"/>
          <w:b/>
          <w:color w:val="000000"/>
          <w:sz w:val="22"/>
          <w:szCs w:val="22"/>
          <w:lang w:val="es-ES"/>
        </w:rPr>
      </w:pPr>
    </w:p>
    <w:p w14:paraId="3D2D3390" w14:textId="77777777" w:rsidR="00D05952" w:rsidRPr="005A5793" w:rsidRDefault="00D05952" w:rsidP="00D05952">
      <w:pPr>
        <w:spacing w:line="360" w:lineRule="auto"/>
        <w:jc w:val="both"/>
        <w:rPr>
          <w:rFonts w:ascii="Palatino Linotype" w:hAnsi="Palatino Linotype" w:cs="Tahoma"/>
          <w:color w:val="000000"/>
          <w:sz w:val="22"/>
          <w:szCs w:val="22"/>
        </w:rPr>
      </w:pPr>
      <w:r w:rsidRPr="005A5793">
        <w:rPr>
          <w:rFonts w:ascii="Palatino Linotype" w:hAnsi="Palatino Linotype" w:cs="Tahoma"/>
          <w:color w:val="000000"/>
          <w:sz w:val="22"/>
          <w:szCs w:val="22"/>
          <w:lang w:val="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5A5793">
        <w:rPr>
          <w:rFonts w:ascii="Palatino Linotype" w:hAnsi="Palatino Linotype" w:cs="Tahoma"/>
          <w:b/>
          <w:color w:val="000000"/>
          <w:sz w:val="22"/>
          <w:szCs w:val="22"/>
          <w:lang w:val="es-ES"/>
        </w:rPr>
        <w:t xml:space="preserve">transparencia </w:t>
      </w:r>
      <w:r w:rsidRPr="005A5793">
        <w:rPr>
          <w:rFonts w:ascii="Palatino Linotype" w:hAnsi="Palatino Linotype" w:cs="Tahoma"/>
          <w:color w:val="000000"/>
          <w:sz w:val="22"/>
          <w:szCs w:val="22"/>
          <w:lang w:val="es-ES"/>
        </w:rPr>
        <w:t xml:space="preserve">y honradez; sobre lo referido,  </w:t>
      </w:r>
      <w:r w:rsidRPr="005A5793">
        <w:rPr>
          <w:rFonts w:ascii="Palatino Linotype" w:hAnsi="Palatino Linotype" w:cs="Tahoma"/>
          <w:color w:val="000000"/>
          <w:sz w:val="22"/>
          <w:szCs w:val="22"/>
        </w:rPr>
        <w:t>la Tesis número 1a.CXLV/2009, Novena Época, publicada en el Semanario Judicial de la Federación, Tomo XXX, de septiembre de dos mil nueve, (p. 2712), establece lo siguiente:</w:t>
      </w:r>
    </w:p>
    <w:p w14:paraId="0A1FE8B8" w14:textId="77777777" w:rsidR="00D05952" w:rsidRPr="005A5793" w:rsidRDefault="00D05952" w:rsidP="00D05952">
      <w:pPr>
        <w:spacing w:line="360" w:lineRule="auto"/>
        <w:jc w:val="both"/>
        <w:rPr>
          <w:rFonts w:ascii="Palatino Linotype" w:hAnsi="Palatino Linotype" w:cs="Tahoma"/>
          <w:color w:val="000000"/>
          <w:sz w:val="22"/>
          <w:szCs w:val="22"/>
          <w:lang w:val="es-ES"/>
        </w:rPr>
      </w:pPr>
    </w:p>
    <w:p w14:paraId="052F8050" w14:textId="77777777" w:rsidR="00D05952" w:rsidRPr="005A5793" w:rsidRDefault="00D05952" w:rsidP="00D05952">
      <w:pPr>
        <w:spacing w:line="360" w:lineRule="auto"/>
        <w:ind w:left="567" w:right="567"/>
        <w:jc w:val="both"/>
        <w:rPr>
          <w:rFonts w:ascii="Palatino Linotype" w:hAnsi="Palatino Linotype" w:cs="Tahoma"/>
          <w:bCs/>
          <w:i/>
          <w:iCs/>
          <w:color w:val="000000"/>
          <w:lang w:val="es-ES"/>
        </w:rPr>
      </w:pPr>
      <w:r w:rsidRPr="005A5793">
        <w:rPr>
          <w:rFonts w:ascii="Palatino Linotype" w:hAnsi="Palatino Linotype" w:cs="Tahoma"/>
          <w:b/>
          <w:bCs/>
          <w:i/>
          <w:iCs/>
          <w:color w:val="000000"/>
          <w:lang w:val="es-ES"/>
        </w:rPr>
        <w:lastRenderedPageBreak/>
        <w:t>“</w:t>
      </w:r>
      <w:r w:rsidRPr="005A5793">
        <w:rPr>
          <w:rFonts w:ascii="Palatino Linotype" w:hAnsi="Palatino Linotype" w:cs="Tahoma"/>
          <w:b/>
          <w:bCs/>
          <w:i/>
          <w:iCs/>
          <w:color w:val="000000"/>
        </w:rPr>
        <w:t xml:space="preserve">GASTO PÚBLICO. EL ARTÍCULO 134 DE LA CONSTITUCIÓN POLÍTICA DE LOS ESTADOS UNIDOS MEXICANOS ELEVA A RANGO CONSTITUCIONAL LOS PRINCIPIOS DE LEGALIDAD, EFICIENCIA, EFICACIA, ECONOMÍA, TRANSPARENCIA Y HONRADEZ EN ESTA MATERIA. </w:t>
      </w:r>
      <w:r w:rsidRPr="005A5793">
        <w:rPr>
          <w:rFonts w:ascii="Palatino Linotype" w:hAnsi="Palatino Linotype" w:cs="Tahoma"/>
          <w:bCs/>
          <w:i/>
          <w:iCs/>
          <w:color w:val="000000"/>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5A5793">
        <w:rPr>
          <w:rFonts w:ascii="Palatino Linotype" w:hAnsi="Palatino Linotype" w:cs="Tahoma"/>
          <w:bCs/>
          <w:i/>
          <w:iCs/>
          <w:color w:val="000000"/>
          <w:lang w:val="es-ES"/>
        </w:rPr>
        <w:t>”</w:t>
      </w:r>
    </w:p>
    <w:p w14:paraId="0A5A29A6" w14:textId="77777777" w:rsidR="00D05952" w:rsidRPr="005A5793" w:rsidRDefault="00D05952" w:rsidP="00D05952">
      <w:pPr>
        <w:spacing w:line="360" w:lineRule="auto"/>
        <w:jc w:val="both"/>
        <w:rPr>
          <w:rFonts w:ascii="Palatino Linotype" w:hAnsi="Palatino Linotype" w:cs="Tahoma"/>
          <w:bCs/>
          <w:iCs/>
          <w:color w:val="000000"/>
          <w:sz w:val="22"/>
          <w:szCs w:val="22"/>
          <w:lang w:val="es-ES"/>
        </w:rPr>
      </w:pPr>
    </w:p>
    <w:p w14:paraId="3FFC7BB4" w14:textId="77777777" w:rsidR="00D05952" w:rsidRPr="005A5793" w:rsidRDefault="00D05952" w:rsidP="00D05952">
      <w:pPr>
        <w:spacing w:line="360" w:lineRule="auto"/>
        <w:jc w:val="both"/>
        <w:rPr>
          <w:rFonts w:ascii="Palatino Linotype" w:hAnsi="Palatino Linotype" w:cs="Tahoma"/>
          <w:bCs/>
          <w:iCs/>
          <w:color w:val="000000"/>
          <w:sz w:val="22"/>
          <w:szCs w:val="22"/>
          <w:lang w:val="es-ES"/>
        </w:rPr>
      </w:pPr>
      <w:r w:rsidRPr="005A5793">
        <w:rPr>
          <w:rFonts w:ascii="Palatino Linotype" w:hAnsi="Palatino Linotype" w:cs="Tahoma"/>
          <w:bCs/>
          <w:iCs/>
          <w:color w:val="000000"/>
          <w:sz w:val="22"/>
          <w:szCs w:val="22"/>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54227D49" w14:textId="77777777" w:rsidR="00D05952" w:rsidRPr="005A5793" w:rsidRDefault="00D05952" w:rsidP="00D05952">
      <w:pPr>
        <w:spacing w:line="360" w:lineRule="auto"/>
        <w:jc w:val="both"/>
        <w:rPr>
          <w:rFonts w:ascii="Palatino Linotype" w:hAnsi="Palatino Linotype" w:cs="Tahoma"/>
          <w:bCs/>
          <w:iCs/>
          <w:color w:val="000000"/>
          <w:sz w:val="22"/>
          <w:szCs w:val="22"/>
          <w:lang w:val="es-ES"/>
        </w:rPr>
      </w:pPr>
    </w:p>
    <w:p w14:paraId="4A2D2BA4" w14:textId="77777777" w:rsidR="00D05952" w:rsidRPr="005A5793" w:rsidRDefault="00D05952" w:rsidP="00D05952">
      <w:pPr>
        <w:spacing w:line="360" w:lineRule="auto"/>
        <w:jc w:val="both"/>
        <w:rPr>
          <w:rFonts w:ascii="Palatino Linotype" w:hAnsi="Palatino Linotype" w:cs="Tahoma"/>
          <w:color w:val="000000"/>
          <w:sz w:val="22"/>
          <w:szCs w:val="22"/>
          <w:lang w:val="es-ES"/>
        </w:rPr>
      </w:pPr>
      <w:r w:rsidRPr="005A5793">
        <w:rPr>
          <w:rFonts w:ascii="Palatino Linotype" w:hAnsi="Palatino Linotype" w:cs="Tahoma"/>
          <w:bCs/>
          <w:iCs/>
          <w:color w:val="000000"/>
          <w:sz w:val="22"/>
          <w:szCs w:val="22"/>
          <w:lang w:val="es-ES"/>
        </w:rPr>
        <w:t xml:space="preserve">Al respecto, </w:t>
      </w:r>
      <w:r w:rsidRPr="005A5793">
        <w:rPr>
          <w:rFonts w:ascii="Palatino Linotype" w:hAnsi="Palatino Linotype" w:cs="Tahoma"/>
          <w:color w:val="000000"/>
          <w:sz w:val="22"/>
          <w:szCs w:val="22"/>
          <w:lang w:val="es-ES"/>
        </w:rPr>
        <w:t xml:space="preserve">según Merino, Mauricio (2019), en el “Diccionario de Transparencia y Acceso a la Información Pública” (p. 276), </w:t>
      </w:r>
      <w:r w:rsidRPr="005A5793">
        <w:rPr>
          <w:rFonts w:ascii="Palatino Linotype" w:hAnsi="Palatino Linotype" w:cs="Tahoma"/>
          <w:b/>
          <w:color w:val="000000"/>
          <w:sz w:val="22"/>
          <w:szCs w:val="22"/>
          <w:lang w:val="es-ES"/>
        </w:rPr>
        <w:t xml:space="preserve">la rendición de cuentas, </w:t>
      </w:r>
      <w:r w:rsidRPr="005A5793">
        <w:rPr>
          <w:rFonts w:ascii="Palatino Linotype" w:hAnsi="Palatino Linotype" w:cs="Tahoma"/>
          <w:color w:val="000000"/>
          <w:sz w:val="22"/>
          <w:szCs w:val="22"/>
          <w:lang w:val="es-ES"/>
        </w:rPr>
        <w:t xml:space="preserve">es un ejercicio de transparencia e información pública; es un medio a través del cual los gobiernos informan al público de sus actividades, </w:t>
      </w:r>
      <w:r w:rsidRPr="005A5793">
        <w:rPr>
          <w:rFonts w:ascii="Palatino Linotype" w:hAnsi="Palatino Linotype" w:cs="Tahoma"/>
          <w:b/>
          <w:color w:val="000000"/>
          <w:sz w:val="22"/>
          <w:szCs w:val="22"/>
          <w:lang w:val="es-ES"/>
        </w:rPr>
        <w:t>de los recursos que han ejercido</w:t>
      </w:r>
      <w:r w:rsidRPr="005A5793">
        <w:rPr>
          <w:rFonts w:ascii="Palatino Linotype" w:hAnsi="Palatino Linotype" w:cs="Tahoma"/>
          <w:color w:val="000000"/>
          <w:sz w:val="22"/>
          <w:szCs w:val="22"/>
          <w:lang w:val="es-ES"/>
        </w:rPr>
        <w:t xml:space="preserve"> y de los resultados obtenidos.</w:t>
      </w:r>
    </w:p>
    <w:p w14:paraId="41F00F6A" w14:textId="77777777" w:rsidR="00D05952" w:rsidRPr="005A5793" w:rsidRDefault="00D05952" w:rsidP="00D05952">
      <w:pPr>
        <w:spacing w:line="360" w:lineRule="auto"/>
        <w:jc w:val="both"/>
        <w:rPr>
          <w:rFonts w:ascii="Palatino Linotype" w:hAnsi="Palatino Linotype" w:cs="Tahoma"/>
          <w:color w:val="000000"/>
          <w:sz w:val="22"/>
          <w:szCs w:val="22"/>
          <w:lang w:val="es-ES"/>
        </w:rPr>
      </w:pPr>
    </w:p>
    <w:p w14:paraId="318C315F" w14:textId="77777777" w:rsidR="00D05952" w:rsidRPr="005A5793" w:rsidRDefault="00D05952" w:rsidP="00D05952">
      <w:pPr>
        <w:spacing w:line="360" w:lineRule="auto"/>
        <w:jc w:val="both"/>
        <w:rPr>
          <w:rFonts w:ascii="Palatino Linotype" w:hAnsi="Palatino Linotype" w:cs="Tahoma"/>
          <w:bCs/>
          <w:iCs/>
          <w:color w:val="000000"/>
          <w:sz w:val="22"/>
          <w:szCs w:val="22"/>
          <w:lang w:val="es-ES"/>
        </w:rPr>
      </w:pPr>
      <w:r w:rsidRPr="005A5793">
        <w:rPr>
          <w:rFonts w:ascii="Palatino Linotype" w:hAnsi="Palatino Linotype" w:cs="Tahoma"/>
          <w:bCs/>
          <w:iCs/>
          <w:color w:val="000000"/>
          <w:sz w:val="22"/>
          <w:szCs w:val="22"/>
          <w:lang w:val="es-ES"/>
        </w:rPr>
        <w:lastRenderedPageBreak/>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6A4ED783" w14:textId="77777777" w:rsidR="00D05952" w:rsidRPr="005A5793" w:rsidRDefault="00D05952" w:rsidP="00D05952">
      <w:pPr>
        <w:spacing w:line="360" w:lineRule="auto"/>
        <w:jc w:val="both"/>
        <w:rPr>
          <w:rFonts w:ascii="Palatino Linotype" w:hAnsi="Palatino Linotype" w:cs="Tahoma"/>
          <w:bCs/>
          <w:iCs/>
          <w:color w:val="000000"/>
          <w:sz w:val="22"/>
          <w:szCs w:val="22"/>
          <w:lang w:val="es-ES"/>
        </w:rPr>
      </w:pPr>
    </w:p>
    <w:p w14:paraId="6DAE99CC" w14:textId="5BB83719" w:rsidR="00D05952" w:rsidRPr="005A5793" w:rsidRDefault="00D05952" w:rsidP="00D05952">
      <w:pPr>
        <w:spacing w:line="360" w:lineRule="auto"/>
        <w:jc w:val="both"/>
        <w:rPr>
          <w:rFonts w:ascii="Palatino Linotype" w:hAnsi="Palatino Linotype" w:cs="Tahoma"/>
          <w:bCs/>
          <w:iCs/>
          <w:color w:val="000000"/>
          <w:sz w:val="22"/>
          <w:szCs w:val="22"/>
          <w:lang w:val="es-ES"/>
        </w:rPr>
      </w:pPr>
      <w:r w:rsidRPr="005A5793">
        <w:rPr>
          <w:rFonts w:ascii="Palatino Linotype" w:hAnsi="Palatino Linotype" w:cs="Tahoma"/>
          <w:bCs/>
          <w:iCs/>
          <w:color w:val="000000"/>
          <w:sz w:val="22"/>
          <w:szCs w:val="22"/>
          <w:lang w:val="es-ES"/>
        </w:rPr>
        <w:t xml:space="preserve">Toma relevancia lo anterior, pues conforme al artículo 2°, fracción VII de la Ley de Transparencia y Acceso a la Información Pública del Estado de México y Municipios, establece que es un objetivo,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5E4F25D0" w14:textId="77777777" w:rsidR="00D05952" w:rsidRPr="005A5793" w:rsidRDefault="00D05952" w:rsidP="00D05952">
      <w:pPr>
        <w:spacing w:line="360" w:lineRule="auto"/>
        <w:jc w:val="both"/>
        <w:rPr>
          <w:rFonts w:ascii="Palatino Linotype" w:hAnsi="Palatino Linotype" w:cs="Tahoma"/>
          <w:bCs/>
          <w:iCs/>
          <w:color w:val="000000"/>
          <w:sz w:val="22"/>
          <w:szCs w:val="22"/>
          <w:lang w:val="es-ES"/>
        </w:rPr>
      </w:pPr>
    </w:p>
    <w:p w14:paraId="1D6A7C66" w14:textId="77777777" w:rsidR="00D05952" w:rsidRPr="005A5793" w:rsidRDefault="00D05952" w:rsidP="00D05952">
      <w:pPr>
        <w:spacing w:line="360" w:lineRule="auto"/>
        <w:jc w:val="both"/>
        <w:rPr>
          <w:rFonts w:ascii="Palatino Linotype" w:hAnsi="Palatino Linotype" w:cs="Tahoma"/>
          <w:bCs/>
          <w:iCs/>
          <w:color w:val="000000"/>
          <w:sz w:val="22"/>
          <w:szCs w:val="22"/>
        </w:rPr>
      </w:pPr>
      <w:r w:rsidRPr="005A5793">
        <w:rPr>
          <w:rFonts w:ascii="Palatino Linotype" w:hAnsi="Palatino Linotype" w:cs="Tahoma"/>
          <w:bCs/>
          <w:iCs/>
          <w:color w:val="000000"/>
          <w:sz w:val="22"/>
          <w:szCs w:val="22"/>
        </w:rPr>
        <w:t>Conforme a lo anterior, se logra vislumbrar que, en el presente caso, la información solicitada, rinde cuentas de la forma de utilización de los recursos públicos con los que contaba el Sujeto Obligado, así como, las remuneraciones pagadas a los servidores públicos.</w:t>
      </w:r>
    </w:p>
    <w:p w14:paraId="193314BF" w14:textId="77777777" w:rsidR="00D05952" w:rsidRPr="005A5793" w:rsidRDefault="00D05952" w:rsidP="00D05952">
      <w:pPr>
        <w:spacing w:line="360" w:lineRule="auto"/>
        <w:jc w:val="both"/>
        <w:rPr>
          <w:rFonts w:ascii="Palatino Linotype" w:eastAsia="Calibri" w:hAnsi="Palatino Linotype" w:cs="Tahoma"/>
          <w:bCs/>
          <w:iCs/>
          <w:sz w:val="22"/>
          <w:szCs w:val="22"/>
          <w:lang w:val="es-ES" w:eastAsia="en-US"/>
        </w:rPr>
      </w:pPr>
    </w:p>
    <w:p w14:paraId="57AFA5FF" w14:textId="77777777" w:rsidR="00D05952" w:rsidRPr="005A5793" w:rsidRDefault="00D05952" w:rsidP="00D05952">
      <w:pPr>
        <w:widowControl w:val="0"/>
        <w:autoSpaceDE w:val="0"/>
        <w:autoSpaceDN w:val="0"/>
        <w:adjustRightInd w:val="0"/>
        <w:spacing w:line="360" w:lineRule="auto"/>
        <w:jc w:val="both"/>
        <w:rPr>
          <w:rFonts w:ascii="Palatino Linotype" w:eastAsia="Calibri" w:hAnsi="Palatino Linotype"/>
          <w:b/>
          <w:iCs/>
          <w:color w:val="000000" w:themeColor="text1"/>
          <w:sz w:val="22"/>
          <w:szCs w:val="22"/>
          <w:lang w:val="es-ES" w:eastAsia="en-US"/>
        </w:rPr>
      </w:pPr>
      <w:r w:rsidRPr="005A5793">
        <w:rPr>
          <w:rFonts w:ascii="Palatino Linotype" w:eastAsia="Calibri" w:hAnsi="Palatino Linotype"/>
          <w:bCs/>
          <w:iCs/>
          <w:color w:val="000000" w:themeColor="text1"/>
          <w:sz w:val="22"/>
          <w:szCs w:val="22"/>
          <w:lang w:val="es-ES" w:eastAsia="en-US"/>
        </w:rPr>
        <w:t xml:space="preserve">En ese contexto, </w:t>
      </w:r>
      <w:r w:rsidRPr="005A5793">
        <w:rPr>
          <w:rFonts w:ascii="Palatino Linotype" w:eastAsia="Calibri" w:hAnsi="Palatino Linotype" w:cs="Tahoma"/>
          <w:iCs/>
          <w:color w:val="000000" w:themeColor="text1"/>
          <w:sz w:val="22"/>
          <w:szCs w:val="24"/>
          <w:lang w:val="es-ES_tradnl" w:eastAsia="en-US"/>
        </w:rPr>
        <w:t xml:space="preserve">el artículo 148 de la </w:t>
      </w:r>
      <w:r w:rsidRPr="005A5793">
        <w:rPr>
          <w:rFonts w:ascii="Palatino Linotype" w:eastAsia="Calibri" w:hAnsi="Palatino Linotype"/>
          <w:bCs/>
          <w:iCs/>
          <w:color w:val="000000" w:themeColor="text1"/>
          <w:sz w:val="22"/>
          <w:szCs w:val="22"/>
          <w:lang w:val="es-ES" w:eastAsia="en-US"/>
        </w:rPr>
        <w:t xml:space="preserve">Ley de Transparencia y Acceso a la Información Pública del Estado de México y Municipios y el </w:t>
      </w:r>
      <w:r w:rsidRPr="005A5793">
        <w:rPr>
          <w:rFonts w:ascii="Palatino Linotype" w:eastAsia="Calibri" w:hAnsi="Palatino Linotype"/>
          <w:color w:val="000000" w:themeColor="text1"/>
          <w:sz w:val="22"/>
          <w:szCs w:val="22"/>
          <w:lang w:eastAsia="en-US"/>
        </w:rPr>
        <w:t>Quincuagésimo séptimo, fracción I, de los Lineamientos Generales,</w:t>
      </w:r>
      <w:r w:rsidRPr="005A5793">
        <w:rPr>
          <w:rFonts w:ascii="Palatino Linotype" w:eastAsia="Calibri" w:hAnsi="Palatino Linotype"/>
          <w:bCs/>
          <w:iCs/>
          <w:color w:val="000000" w:themeColor="text1"/>
          <w:sz w:val="22"/>
          <w:szCs w:val="22"/>
          <w:lang w:val="es-ES" w:eastAsia="en-US"/>
        </w:rPr>
        <w:t xml:space="preserve"> </w:t>
      </w:r>
      <w:r w:rsidRPr="005A5793">
        <w:rPr>
          <w:rFonts w:ascii="Palatino Linotype" w:eastAsia="Calibri" w:hAnsi="Palatino Linotype"/>
          <w:b/>
          <w:iCs/>
          <w:color w:val="000000" w:themeColor="text1"/>
          <w:sz w:val="22"/>
          <w:szCs w:val="22"/>
          <w:lang w:val="es-ES" w:eastAsia="en-US"/>
        </w:rPr>
        <w:t>precisan que es información pública que no podrá omitirse de las versiones públicas, aquella que sea una obligación de transparencia</w:t>
      </w:r>
      <w:r w:rsidRPr="005A5793">
        <w:rPr>
          <w:rFonts w:ascii="Palatino Linotype" w:eastAsia="Calibri" w:hAnsi="Palatino Linotype"/>
          <w:bCs/>
          <w:iCs/>
          <w:color w:val="000000" w:themeColor="text1"/>
          <w:sz w:val="22"/>
          <w:szCs w:val="22"/>
          <w:lang w:val="es-ES" w:eastAsia="en-US"/>
        </w:rPr>
        <w:t>, como lo son las remuneraciones de los servidores públicos, en términos del artículo 92, fracción VIII, de la Ley referida</w:t>
      </w:r>
      <w:r w:rsidRPr="005A5793">
        <w:rPr>
          <w:rFonts w:ascii="Palatino Linotype" w:eastAsia="Calibri" w:hAnsi="Palatino Linotype"/>
          <w:b/>
          <w:iCs/>
          <w:color w:val="000000" w:themeColor="text1"/>
          <w:sz w:val="22"/>
          <w:szCs w:val="22"/>
          <w:lang w:val="es-ES" w:eastAsia="en-US"/>
        </w:rPr>
        <w:t>.</w:t>
      </w:r>
    </w:p>
    <w:p w14:paraId="088013D6" w14:textId="77777777" w:rsidR="00D05952" w:rsidRPr="005A5793" w:rsidRDefault="00D05952" w:rsidP="00D05952">
      <w:pPr>
        <w:widowControl w:val="0"/>
        <w:autoSpaceDE w:val="0"/>
        <w:autoSpaceDN w:val="0"/>
        <w:adjustRightInd w:val="0"/>
        <w:spacing w:line="360" w:lineRule="auto"/>
        <w:jc w:val="both"/>
        <w:rPr>
          <w:rFonts w:ascii="Palatino Linotype" w:eastAsia="Calibri" w:hAnsi="Palatino Linotype"/>
          <w:bCs/>
          <w:iCs/>
          <w:color w:val="000000" w:themeColor="text1"/>
          <w:sz w:val="22"/>
          <w:szCs w:val="22"/>
          <w:lang w:val="es-ES" w:eastAsia="en-US"/>
        </w:rPr>
      </w:pPr>
    </w:p>
    <w:p w14:paraId="3485B74F" w14:textId="77777777" w:rsidR="00D05952" w:rsidRPr="005A5793" w:rsidRDefault="00D05952" w:rsidP="00D05952">
      <w:pPr>
        <w:spacing w:line="360" w:lineRule="auto"/>
        <w:jc w:val="both"/>
        <w:rPr>
          <w:rFonts w:ascii="Palatino Linotype" w:eastAsia="Palatino Linotype" w:hAnsi="Palatino Linotype" w:cs="Tahoma"/>
          <w:bCs/>
          <w:color w:val="000000"/>
          <w:sz w:val="22"/>
          <w:szCs w:val="22"/>
          <w:lang w:val="es-ES" w:eastAsia="es-MX"/>
        </w:rPr>
      </w:pPr>
      <w:r w:rsidRPr="005A5793">
        <w:rPr>
          <w:rFonts w:ascii="Palatino Linotype" w:eastAsia="Palatino Linotype" w:hAnsi="Palatino Linotype" w:cs="Tahoma"/>
          <w:bCs/>
          <w:color w:val="000000"/>
          <w:sz w:val="22"/>
          <w:szCs w:val="22"/>
          <w:lang w:val="es-ES" w:eastAsia="es-MX"/>
        </w:rPr>
        <w:lastRenderedPageBreak/>
        <w:t xml:space="preserve">En ese contexto, los artículos 3°, fracción XLV, y 137 de la Ley de Transparencia y Acceso a la Información Pública del Estado de México y Municipios y los numerales Segundo, fracción XVIII, y Quincuagésimo sexto de los </w:t>
      </w:r>
      <w:r w:rsidRPr="005A5793">
        <w:rPr>
          <w:rFonts w:ascii="Palatino Linotype" w:eastAsia="Palatino Linotype" w:hAnsi="Palatino Linotype" w:cs="Palatino Linotype"/>
          <w:color w:val="000000"/>
          <w:sz w:val="22"/>
          <w:szCs w:val="22"/>
          <w:lang w:eastAsia="es-MX"/>
        </w:rPr>
        <w:t>Lineamientos Generales</w:t>
      </w:r>
      <w:r w:rsidRPr="005A5793">
        <w:rPr>
          <w:rFonts w:ascii="Palatino Linotype" w:eastAsia="Palatino Linotype" w:hAnsi="Palatino Linotype" w:cs="Tahoma"/>
          <w:bCs/>
          <w:color w:val="000000"/>
          <w:sz w:val="22"/>
          <w:szCs w:val="22"/>
          <w:lang w:val="es-ES" w:eastAsia="es-MX"/>
        </w:rPr>
        <w:t>,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08D61EE1" w14:textId="77777777" w:rsidR="00D05952" w:rsidRPr="005A5793" w:rsidRDefault="00D05952" w:rsidP="00D05952">
      <w:pPr>
        <w:spacing w:line="360" w:lineRule="auto"/>
        <w:ind w:right="-93"/>
        <w:jc w:val="both"/>
        <w:rPr>
          <w:rFonts w:ascii="Palatino Linotype" w:eastAsia="Palatino Linotype" w:hAnsi="Palatino Linotype" w:cs="Palatino Linotype"/>
          <w:color w:val="000000"/>
          <w:sz w:val="22"/>
          <w:szCs w:val="22"/>
          <w:lang w:eastAsia="es-MX"/>
        </w:rPr>
      </w:pPr>
    </w:p>
    <w:p w14:paraId="196B54AA" w14:textId="6089E03A" w:rsidR="00D05952" w:rsidRPr="005A5793" w:rsidRDefault="00D05952" w:rsidP="00D05952">
      <w:pPr>
        <w:spacing w:line="360" w:lineRule="auto"/>
        <w:jc w:val="both"/>
        <w:rPr>
          <w:rFonts w:ascii="Palatino Linotype" w:eastAsia="Palatino Linotype" w:hAnsi="Palatino Linotype" w:cs="Tahoma"/>
          <w:b/>
          <w:color w:val="000000"/>
          <w:sz w:val="22"/>
          <w:szCs w:val="22"/>
          <w:lang w:val="es-ES" w:eastAsia="es-MX"/>
        </w:rPr>
      </w:pPr>
      <w:r w:rsidRPr="005A5793">
        <w:rPr>
          <w:rFonts w:ascii="Palatino Linotype" w:eastAsia="Palatino Linotype" w:hAnsi="Palatino Linotype" w:cs="Tahoma"/>
          <w:bCs/>
          <w:color w:val="000000"/>
          <w:sz w:val="22"/>
          <w:szCs w:val="22"/>
          <w:lang w:val="es-ES" w:eastAsia="es-MX"/>
        </w:rPr>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cuenta de la información solicitada, con lo cual se robustece que no procede la clasificación aludida; por lo que, deberá proporcionar la versión pública de los recibos de nómina</w:t>
      </w:r>
      <w:r w:rsidR="004A2C87" w:rsidRPr="005A5793">
        <w:rPr>
          <w:rFonts w:ascii="Palatino Linotype" w:eastAsia="Palatino Linotype" w:hAnsi="Palatino Linotype" w:cs="Tahoma"/>
          <w:bCs/>
          <w:color w:val="000000"/>
          <w:sz w:val="22"/>
          <w:szCs w:val="22"/>
          <w:lang w:val="es-ES" w:eastAsia="es-MX"/>
        </w:rPr>
        <w:t>, para dar cumplimiento a los artículos 12 y 160 de la Ley de Transparencia y Acceso a la Información Pública del Estado de México y Municipios.</w:t>
      </w:r>
    </w:p>
    <w:p w14:paraId="28B94AA8" w14:textId="18DB6F1D" w:rsidR="00D05952" w:rsidRPr="005A5793" w:rsidRDefault="00D05952" w:rsidP="00903F17">
      <w:pPr>
        <w:spacing w:line="360" w:lineRule="auto"/>
        <w:jc w:val="both"/>
        <w:rPr>
          <w:rFonts w:ascii="Palatino Linotype" w:hAnsi="Palatino Linotype" w:cs="Tahoma"/>
          <w:sz w:val="22"/>
          <w:szCs w:val="22"/>
        </w:rPr>
      </w:pPr>
    </w:p>
    <w:p w14:paraId="15527B3D" w14:textId="4E38D22F" w:rsidR="00756E4B" w:rsidRPr="005A5793" w:rsidRDefault="00756E4B" w:rsidP="00756E4B">
      <w:pPr>
        <w:spacing w:line="360" w:lineRule="auto"/>
        <w:jc w:val="both"/>
        <w:rPr>
          <w:rFonts w:ascii="Palatino Linotype" w:hAnsi="Palatino Linotype" w:cs="Tahoma"/>
          <w:bCs/>
          <w:iCs/>
          <w:sz w:val="22"/>
          <w:szCs w:val="22"/>
        </w:rPr>
      </w:pPr>
      <w:r w:rsidRPr="005A5793">
        <w:rPr>
          <w:rFonts w:ascii="Palatino Linotype" w:hAnsi="Palatino Linotype" w:cs="Tahoma"/>
          <w:bCs/>
          <w:iCs/>
          <w:sz w:val="22"/>
          <w:szCs w:val="22"/>
          <w:lang w:val="es-ES"/>
        </w:rPr>
        <w:t xml:space="preserve">Finalmente, no pasa desapercibido, que el ahora Recurrente, en sus manifestaciones requirió se le diera vista a la Contraloría interna del Sujeto Obligado. </w:t>
      </w:r>
      <w:r w:rsidRPr="005A5793">
        <w:rPr>
          <w:rFonts w:ascii="Palatino Linotype" w:hAnsi="Palatino Linotype" w:cs="Tahoma"/>
          <w:bCs/>
          <w:iCs/>
          <w:sz w:val="22"/>
          <w:szCs w:val="22"/>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184E9600" w14:textId="77777777" w:rsidR="00756E4B" w:rsidRPr="005A5793" w:rsidRDefault="00756E4B" w:rsidP="00756E4B">
      <w:pPr>
        <w:spacing w:line="360" w:lineRule="auto"/>
        <w:jc w:val="both"/>
        <w:rPr>
          <w:rFonts w:ascii="Palatino Linotype" w:hAnsi="Palatino Linotype" w:cs="Tahoma"/>
          <w:bCs/>
          <w:iCs/>
          <w:sz w:val="22"/>
          <w:szCs w:val="22"/>
        </w:rPr>
      </w:pPr>
    </w:p>
    <w:p w14:paraId="19DD3261" w14:textId="77777777" w:rsidR="00756E4B" w:rsidRPr="005A5793" w:rsidRDefault="00756E4B" w:rsidP="00756E4B">
      <w:pPr>
        <w:spacing w:line="360" w:lineRule="auto"/>
        <w:jc w:val="both"/>
        <w:rPr>
          <w:rFonts w:ascii="Palatino Linotype" w:hAnsi="Palatino Linotype" w:cs="Tahoma"/>
          <w:bCs/>
          <w:iCs/>
          <w:sz w:val="22"/>
          <w:szCs w:val="22"/>
        </w:rPr>
      </w:pPr>
      <w:r w:rsidRPr="005A5793">
        <w:rPr>
          <w:rFonts w:ascii="Palatino Linotype" w:hAnsi="Palatino Linotype" w:cs="Tahoma"/>
          <w:bCs/>
          <w:iCs/>
          <w:sz w:val="22"/>
          <w:szCs w:val="22"/>
        </w:rPr>
        <w:t xml:space="preserve">En ese sentido, de conformidad con lo previsto en el artículo 222, fracción III y XIV, de dicho ordenamiento, son causas de sanción por incumplimiento de las obligaciones establecida en </w:t>
      </w:r>
      <w:r w:rsidRPr="005A5793">
        <w:rPr>
          <w:rFonts w:ascii="Palatino Linotype" w:hAnsi="Palatino Linotype" w:cs="Tahoma"/>
          <w:bCs/>
          <w:iCs/>
          <w:sz w:val="22"/>
          <w:szCs w:val="22"/>
        </w:rPr>
        <w:lastRenderedPageBreak/>
        <w:t>la Ley de la materia, entre otras conductas, el actuar con negligencia, dolo o mala fe en la atención de las solicitudes de información o bien, no documentar su actuar.</w:t>
      </w:r>
    </w:p>
    <w:p w14:paraId="55E26570" w14:textId="77777777" w:rsidR="00756E4B" w:rsidRPr="005A5793" w:rsidRDefault="00756E4B" w:rsidP="00756E4B">
      <w:pPr>
        <w:spacing w:line="360" w:lineRule="auto"/>
        <w:jc w:val="both"/>
        <w:rPr>
          <w:rFonts w:ascii="Palatino Linotype" w:hAnsi="Palatino Linotype" w:cs="Tahoma"/>
          <w:bCs/>
          <w:iCs/>
          <w:sz w:val="22"/>
          <w:szCs w:val="22"/>
        </w:rPr>
      </w:pPr>
    </w:p>
    <w:p w14:paraId="695A6E59" w14:textId="77777777" w:rsidR="00756E4B" w:rsidRPr="005A5793" w:rsidRDefault="00756E4B" w:rsidP="00756E4B">
      <w:pPr>
        <w:spacing w:line="360" w:lineRule="auto"/>
        <w:jc w:val="both"/>
        <w:rPr>
          <w:rFonts w:ascii="Palatino Linotype" w:hAnsi="Palatino Linotype" w:cs="Tahoma"/>
          <w:bCs/>
          <w:iCs/>
          <w:sz w:val="22"/>
          <w:szCs w:val="22"/>
        </w:rPr>
      </w:pPr>
      <w:r w:rsidRPr="005A5793">
        <w:rPr>
          <w:rFonts w:ascii="Palatino Linotype" w:hAnsi="Palatino Linotype" w:cs="Tahoma"/>
          <w:bCs/>
          <w:i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D48456A" w14:textId="77777777" w:rsidR="00756E4B" w:rsidRPr="005A5793" w:rsidRDefault="00756E4B" w:rsidP="00756E4B">
      <w:pPr>
        <w:spacing w:line="360" w:lineRule="auto"/>
        <w:jc w:val="both"/>
        <w:rPr>
          <w:rFonts w:ascii="Palatino Linotype" w:hAnsi="Palatino Linotype" w:cs="Tahoma"/>
          <w:bCs/>
          <w:iCs/>
          <w:sz w:val="22"/>
          <w:szCs w:val="22"/>
          <w:lang w:val="es-ES"/>
        </w:rPr>
      </w:pPr>
    </w:p>
    <w:p w14:paraId="689BE1BA" w14:textId="74E446AA" w:rsidR="00756E4B" w:rsidRPr="005A5793" w:rsidRDefault="00756E4B" w:rsidP="00756E4B">
      <w:pPr>
        <w:spacing w:line="360" w:lineRule="auto"/>
        <w:jc w:val="both"/>
        <w:rPr>
          <w:rFonts w:ascii="Palatino Linotype" w:hAnsi="Palatino Linotype" w:cs="Tahoma"/>
          <w:bCs/>
          <w:iCs/>
          <w:sz w:val="22"/>
          <w:szCs w:val="22"/>
          <w:lang w:val="es-ES"/>
        </w:rPr>
      </w:pPr>
      <w:r w:rsidRPr="005A5793">
        <w:rPr>
          <w:rFonts w:ascii="Palatino Linotype" w:hAnsi="Palatino Linotype" w:cs="Tahoma"/>
          <w:bCs/>
          <w:iCs/>
          <w:sz w:val="22"/>
          <w:szCs w:val="22"/>
          <w:lang w:val="es-ES"/>
        </w:rP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w:t>
      </w:r>
      <w:r w:rsidRPr="005A5793">
        <w:rPr>
          <w:rFonts w:ascii="Palatino Linotype" w:hAnsi="Palatino Linotype" w:cs="Tahoma"/>
          <w:iCs/>
          <w:sz w:val="22"/>
          <w:szCs w:val="22"/>
        </w:rPr>
        <w:t xml:space="preserve">Sujeto Obligado. </w:t>
      </w:r>
    </w:p>
    <w:p w14:paraId="35425D37" w14:textId="77777777" w:rsidR="00756E4B" w:rsidRPr="005A5793" w:rsidRDefault="00756E4B" w:rsidP="00903F17">
      <w:pPr>
        <w:spacing w:line="360" w:lineRule="auto"/>
        <w:jc w:val="both"/>
        <w:rPr>
          <w:rFonts w:ascii="Palatino Linotype" w:hAnsi="Palatino Linotype" w:cs="Tahoma"/>
          <w:sz w:val="22"/>
          <w:szCs w:val="22"/>
        </w:rPr>
      </w:pPr>
    </w:p>
    <w:p w14:paraId="7DD4AFB0" w14:textId="77777777" w:rsidR="00525771" w:rsidRPr="005A5793" w:rsidRDefault="00525771" w:rsidP="00525771">
      <w:pPr>
        <w:spacing w:line="360" w:lineRule="auto"/>
        <w:jc w:val="both"/>
        <w:rPr>
          <w:rFonts w:ascii="Palatino Linotype" w:eastAsia="Calibri" w:hAnsi="Palatino Linotype" w:cs="Tahoma"/>
          <w:b/>
          <w:sz w:val="22"/>
          <w:szCs w:val="22"/>
          <w:lang w:eastAsia="es-ES_tradnl"/>
        </w:rPr>
      </w:pPr>
      <w:r w:rsidRPr="005A5793">
        <w:rPr>
          <w:rFonts w:ascii="Palatino Linotype" w:eastAsia="Calibri" w:hAnsi="Palatino Linotype" w:cs="Tahoma"/>
          <w:b/>
          <w:sz w:val="22"/>
          <w:szCs w:val="22"/>
          <w:lang w:eastAsia="es-ES_tradnl"/>
        </w:rPr>
        <w:t>Versión Pública</w:t>
      </w:r>
    </w:p>
    <w:p w14:paraId="6364F29D" w14:textId="77777777" w:rsidR="00525771" w:rsidRPr="005A5793" w:rsidRDefault="00525771" w:rsidP="00525771">
      <w:pPr>
        <w:spacing w:line="360" w:lineRule="auto"/>
        <w:jc w:val="both"/>
        <w:rPr>
          <w:rFonts w:ascii="Palatino Linotype" w:hAnsi="Palatino Linotype"/>
          <w:b/>
          <w:caps/>
          <w:noProof/>
          <w:szCs w:val="22"/>
          <w:lang w:eastAsia="es-MX"/>
        </w:rPr>
      </w:pPr>
    </w:p>
    <w:p w14:paraId="2A7A0C1B" w14:textId="77777777" w:rsidR="004A2C87" w:rsidRPr="005A5793" w:rsidRDefault="004A2C87" w:rsidP="004A2C87">
      <w:pPr>
        <w:spacing w:line="360" w:lineRule="auto"/>
        <w:ind w:right="-30"/>
        <w:contextualSpacing/>
        <w:jc w:val="both"/>
        <w:textAlignment w:val="baseline"/>
        <w:rPr>
          <w:rFonts w:ascii="Palatino Linotype" w:hAnsi="Palatino Linotype" w:cs="Adelle Sans Devanagari"/>
          <w:sz w:val="24"/>
          <w:szCs w:val="24"/>
          <w:lang w:eastAsia="en-US"/>
        </w:rPr>
      </w:pPr>
      <w:r w:rsidRPr="005A5793">
        <w:rPr>
          <w:rFonts w:ascii="Palatino Linotype" w:eastAsia="Calibri" w:hAnsi="Palatino Linotype" w:cs="Adelle Sans Devanagari"/>
          <w:color w:val="000000"/>
          <w:sz w:val="22"/>
          <w:szCs w:val="22"/>
          <w:lang w:val="es-ES" w:eastAsia="es-MX"/>
        </w:rPr>
        <w:t>Ahora bien, no pasa desapercibido que la información solicitada</w:t>
      </w:r>
      <w:r w:rsidRPr="005A5793">
        <w:rPr>
          <w:rFonts w:ascii="Palatino Linotype" w:hAnsi="Palatino Linotype" w:cs="Adelle Sans Devanagari"/>
          <w:sz w:val="22"/>
          <w:szCs w:val="22"/>
          <w:lang w:eastAsia="en-US"/>
        </w:rPr>
        <w:t xml:space="preserve">, </w:t>
      </w:r>
      <w:r w:rsidRPr="005A5793">
        <w:rPr>
          <w:rFonts w:ascii="Palatino Linotype" w:eastAsia="Calibri" w:hAnsi="Palatino Linotype" w:cs="Adelle Sans Devanagari"/>
          <w:bCs/>
          <w:iCs/>
          <w:color w:val="000000"/>
          <w:sz w:val="22"/>
          <w:szCs w:val="22"/>
          <w:lang w:val="es-ES_tradnl" w:eastAsia="en-US"/>
        </w:rPr>
        <w:t>pudieran contener datos o información clasificada</w:t>
      </w:r>
      <w:r w:rsidRPr="005A5793">
        <w:rPr>
          <w:rFonts w:ascii="Palatino Linotype" w:hAnsi="Palatino Linotype" w:cs="Adelle Sans Devanagari"/>
          <w:bCs/>
          <w:iCs/>
          <w:sz w:val="22"/>
          <w:szCs w:val="22"/>
          <w:lang w:val="es-ES_tradnl" w:eastAsia="en-US"/>
        </w:rPr>
        <w:t xml:space="preserve"> </w:t>
      </w:r>
      <w:r w:rsidRPr="005A5793">
        <w:rPr>
          <w:rFonts w:ascii="Palatino Linotype" w:hAnsi="Palatino Linotype" w:cs="Adelle Sans Devanagari"/>
          <w:bCs/>
          <w:iCs/>
          <w:sz w:val="22"/>
          <w:szCs w:val="22"/>
          <w:lang w:eastAsia="en-US"/>
        </w:rPr>
        <w:t>conforme a lo siguiente:</w:t>
      </w:r>
    </w:p>
    <w:p w14:paraId="272F27CD" w14:textId="77777777" w:rsidR="004A2C87" w:rsidRPr="005A5793" w:rsidRDefault="004A2C87" w:rsidP="004A2C87">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57169B98" w14:textId="77777777" w:rsidR="004A2C87" w:rsidRPr="005A5793"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Clave Única de Registro de Población;</w:t>
      </w:r>
    </w:p>
    <w:p w14:paraId="195BF1EF" w14:textId="77777777" w:rsidR="004A2C87" w:rsidRPr="005A5793"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iCs/>
          <w:color w:val="000000"/>
          <w:sz w:val="22"/>
          <w:szCs w:val="24"/>
        </w:rPr>
      </w:pPr>
      <w:r w:rsidRPr="005A5793">
        <w:rPr>
          <w:rFonts w:ascii="Palatino Linotype" w:hAnsi="Palatino Linotype" w:cs="Adelle Sans Devanagari"/>
          <w:bCs/>
          <w:iCs/>
          <w:color w:val="000000"/>
          <w:sz w:val="22"/>
          <w:szCs w:val="24"/>
        </w:rPr>
        <w:t>Registro Federal de Contribuyentes;</w:t>
      </w:r>
    </w:p>
    <w:p w14:paraId="775D1DE3" w14:textId="77777777" w:rsidR="004A2C87" w:rsidRPr="005A5793"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Código bidimensional o QR;</w:t>
      </w:r>
    </w:p>
    <w:p w14:paraId="4A5072EB" w14:textId="77777777" w:rsidR="004A2C87" w:rsidRPr="005A5793"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Número de seguridad social del Instituto de Seguridad Social del Estado de México y Municipios;</w:t>
      </w:r>
    </w:p>
    <w:p w14:paraId="0B5578F7" w14:textId="77777777" w:rsidR="004A2C87" w:rsidRPr="005A5793"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Deducciones personales;</w:t>
      </w:r>
    </w:p>
    <w:p w14:paraId="690E5C2B" w14:textId="77777777" w:rsidR="004A2C87" w:rsidRPr="005A5793" w:rsidRDefault="004A2C87"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lastRenderedPageBreak/>
        <w:t>Sellos digitales del emisor y del Servicio de Administración Tributaria y cadena original del complemento de certificación digital del órgano previamente señalado;</w:t>
      </w:r>
    </w:p>
    <w:p w14:paraId="425A4DEE" w14:textId="371C0AEA" w:rsidR="001102E9" w:rsidRPr="005A5793" w:rsidRDefault="001102E9"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Folio fiscal</w:t>
      </w:r>
      <w:r w:rsidR="00281227" w:rsidRPr="005A5793">
        <w:rPr>
          <w:rFonts w:ascii="Palatino Linotype" w:hAnsi="Palatino Linotype" w:cs="Adelle Sans Devanagari"/>
          <w:bCs/>
          <w:color w:val="000000"/>
          <w:sz w:val="22"/>
          <w:szCs w:val="22"/>
          <w:lang w:val="es-ES" w:eastAsia="en-US"/>
        </w:rPr>
        <w:t>, y</w:t>
      </w:r>
    </w:p>
    <w:p w14:paraId="581E3750" w14:textId="4938E83B" w:rsidR="001102E9" w:rsidRPr="005A5793" w:rsidRDefault="001102E9" w:rsidP="004A2C87">
      <w:pPr>
        <w:numPr>
          <w:ilvl w:val="0"/>
          <w:numId w:val="10"/>
        </w:numPr>
        <w:autoSpaceDE w:val="0"/>
        <w:autoSpaceDN w:val="0"/>
        <w:adjustRightInd w:val="0"/>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 xml:space="preserve">Numero de cuenta bancario </w:t>
      </w:r>
    </w:p>
    <w:p w14:paraId="66F2BF8D" w14:textId="77777777" w:rsidR="004A2C87" w:rsidRPr="005A5793" w:rsidRDefault="004A2C87" w:rsidP="004A2C87">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09AB6D93"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5A5793">
        <w:rPr>
          <w:rFonts w:ascii="Palatino Linotype" w:hAnsi="Palatino Linotype" w:cs="Adelle Sans Devanagari"/>
          <w:bCs/>
          <w:iCs/>
          <w:color w:val="000000"/>
          <w:sz w:val="22"/>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109762B8"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1AB2D6CE"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9E76BE2"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1E22AF25"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En términos de lo expuesto, la documentación y aquellos datos que se consideren confidenciales, serán una limitante del derecho de acceso a la información, siempre y cuando:</w:t>
      </w:r>
    </w:p>
    <w:p w14:paraId="33A5E374"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7E1397C7" w14:textId="77777777" w:rsidR="004A2C87" w:rsidRPr="005A5793" w:rsidRDefault="004A2C87" w:rsidP="004A2C87">
      <w:pPr>
        <w:numPr>
          <w:ilvl w:val="0"/>
          <w:numId w:val="11"/>
        </w:num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50B2A7CD" w14:textId="77777777" w:rsidR="004A2C87" w:rsidRPr="005A5793" w:rsidRDefault="004A2C87" w:rsidP="004A2C87">
      <w:pPr>
        <w:spacing w:line="360" w:lineRule="auto"/>
        <w:ind w:left="720"/>
        <w:contextualSpacing/>
        <w:jc w:val="both"/>
        <w:rPr>
          <w:rFonts w:ascii="Palatino Linotype" w:hAnsi="Palatino Linotype" w:cs="Adelle Sans Devanagari"/>
          <w:bCs/>
          <w:iCs/>
          <w:color w:val="000000"/>
          <w:sz w:val="22"/>
          <w:szCs w:val="22"/>
          <w:lang w:eastAsia="es-MX"/>
        </w:rPr>
      </w:pPr>
    </w:p>
    <w:p w14:paraId="70DC3CB6" w14:textId="77777777" w:rsidR="004A2C87" w:rsidRPr="005A5793" w:rsidRDefault="004A2C87" w:rsidP="004A2C87">
      <w:pPr>
        <w:numPr>
          <w:ilvl w:val="0"/>
          <w:numId w:val="11"/>
        </w:num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Para la difusión de los datos, se requiera el consentimiento del titular. </w:t>
      </w:r>
    </w:p>
    <w:p w14:paraId="4C11F8C5"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6881718F"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48EE6C8A"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7DC6D20E" w14:textId="77777777" w:rsidR="004A2C87" w:rsidRPr="005A5793" w:rsidRDefault="004A2C87" w:rsidP="004A2C87">
      <w:pPr>
        <w:numPr>
          <w:ilvl w:val="0"/>
          <w:numId w:val="12"/>
        </w:numPr>
        <w:spacing w:after="160" w:line="360" w:lineRule="auto"/>
        <w:contextualSpacing/>
        <w:jc w:val="both"/>
        <w:rPr>
          <w:rFonts w:ascii="Palatino Linotype" w:hAnsi="Palatino Linotype" w:cs="Adelle Sans Devanagari"/>
          <w:b/>
          <w:color w:val="000000"/>
          <w:sz w:val="22"/>
          <w:szCs w:val="22"/>
          <w:lang w:val="es-ES" w:eastAsia="en-US"/>
        </w:rPr>
      </w:pPr>
      <w:r w:rsidRPr="005A5793">
        <w:rPr>
          <w:rFonts w:ascii="Palatino Linotype" w:hAnsi="Palatino Linotype" w:cs="Adelle Sans Devanagari"/>
          <w:b/>
          <w:color w:val="000000"/>
          <w:sz w:val="22"/>
          <w:szCs w:val="22"/>
          <w:lang w:val="es-ES" w:eastAsia="en-US"/>
        </w:rPr>
        <w:t>Clave Única de Registro de Población (CURP)</w:t>
      </w:r>
    </w:p>
    <w:p w14:paraId="4F7560D1" w14:textId="77777777" w:rsidR="004A2C87" w:rsidRPr="005A5793"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651003D2" w14:textId="77777777" w:rsidR="004A2C87" w:rsidRPr="005A5793"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26F7D96" w14:textId="77777777" w:rsidR="004A2C87" w:rsidRPr="005A5793"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7A31A55A" w14:textId="77777777" w:rsidR="004A2C87" w:rsidRPr="005A5793"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DA160EF" w14:textId="77777777" w:rsidR="004A2C87" w:rsidRPr="005A5793"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1310989A" w14:textId="77777777" w:rsidR="004A2C87" w:rsidRPr="005A5793"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lastRenderedPageBreak/>
        <w:t>En ese orden de ideas, la Secretaría de Gobernación en las direcciones https://consultas.curp.gob.mx/CurpSP/html/informacionecurpPS.html y https://www.gob.mx/segob/renapo/acciones-y-programas/clave-unica-de-registro-de-</w:t>
      </w:r>
    </w:p>
    <w:p w14:paraId="7EBB155F" w14:textId="11DEFB5F" w:rsidR="004A2C87" w:rsidRPr="005A5793"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 xml:space="preserve">poblacion-curp-142226,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A5793">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5A5793">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6A2FDE03" w14:textId="77777777" w:rsidR="004A2C87" w:rsidRPr="005A5793" w:rsidRDefault="004A2C87" w:rsidP="004A2C87">
      <w:p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p>
    <w:p w14:paraId="496506B6" w14:textId="77777777" w:rsidR="004A2C87" w:rsidRPr="005A5793" w:rsidRDefault="004A2C87" w:rsidP="004A2C87">
      <w:pPr>
        <w:numPr>
          <w:ilvl w:val="0"/>
          <w:numId w:val="13"/>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El primero y segundo apellidos, así como al nombre de pila;</w:t>
      </w:r>
    </w:p>
    <w:p w14:paraId="43BF43FE" w14:textId="77777777" w:rsidR="004A2C87" w:rsidRPr="005A5793" w:rsidRDefault="004A2C87" w:rsidP="004A2C87">
      <w:pPr>
        <w:numPr>
          <w:ilvl w:val="0"/>
          <w:numId w:val="13"/>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La fecha de nacimiento;</w:t>
      </w:r>
    </w:p>
    <w:p w14:paraId="1BA032E1" w14:textId="77777777" w:rsidR="004A2C87" w:rsidRPr="005A5793" w:rsidRDefault="004A2C87" w:rsidP="004A2C87">
      <w:pPr>
        <w:numPr>
          <w:ilvl w:val="0"/>
          <w:numId w:val="13"/>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El sexo, y</w:t>
      </w:r>
    </w:p>
    <w:p w14:paraId="6BCC9FC7" w14:textId="77777777" w:rsidR="004A2C87" w:rsidRPr="005A5793" w:rsidRDefault="004A2C87" w:rsidP="004A2C87">
      <w:pPr>
        <w:numPr>
          <w:ilvl w:val="0"/>
          <w:numId w:val="13"/>
        </w:numPr>
        <w:tabs>
          <w:tab w:val="left" w:pos="4962"/>
        </w:tabs>
        <w:spacing w:after="160"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La entidad federativa de nacimiento.</w:t>
      </w:r>
    </w:p>
    <w:p w14:paraId="241A7E6B" w14:textId="77777777" w:rsidR="004A2C87" w:rsidRPr="005A5793"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770A2B8" w14:textId="77777777" w:rsidR="004A2C87" w:rsidRPr="005A5793"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271F2A23" w14:textId="77777777" w:rsidR="004A2C87" w:rsidRPr="005A5793"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71A04A84" w14:textId="77777777" w:rsidR="004A2C87" w:rsidRPr="005A5793"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5A5793">
        <w:rPr>
          <w:rFonts w:ascii="Palatino Linotype" w:hAnsi="Palatino Linotype" w:cs="Adelle Sans Devanagari"/>
          <w:bCs/>
          <w:color w:val="000000"/>
          <w:sz w:val="22"/>
          <w:szCs w:val="22"/>
          <w:lang w:val="es-ES"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D57A6EF" w14:textId="77777777" w:rsidR="004A2C87" w:rsidRPr="005A5793"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6ABF7C4"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lastRenderedPageBreak/>
        <w:t xml:space="preserve">Situación que se robustece, con el </w:t>
      </w:r>
      <w:r w:rsidRPr="005A5793">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5A5793">
        <w:rPr>
          <w:rFonts w:ascii="Palatino Linotype" w:eastAsia="Calibri" w:hAnsi="Palatino Linotype" w:cs="Adelle Sans Devanagari"/>
          <w:bCs/>
          <w:iCs/>
          <w:color w:val="000000"/>
          <w:sz w:val="22"/>
          <w:szCs w:val="22"/>
          <w:lang w:eastAsia="en-US"/>
        </w:rPr>
        <w:t>SO/018/2017</w:t>
      </w:r>
      <w:r w:rsidRPr="005A5793">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5E4CE4FB"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46F955AA" w14:textId="77777777" w:rsidR="004A2C87" w:rsidRPr="005A5793" w:rsidRDefault="004A2C87" w:rsidP="004A2C87">
      <w:pPr>
        <w:spacing w:line="360" w:lineRule="auto"/>
        <w:ind w:left="567" w:right="567"/>
        <w:contextualSpacing/>
        <w:jc w:val="both"/>
        <w:rPr>
          <w:rFonts w:ascii="Palatino Linotype" w:hAnsi="Palatino Linotype" w:cs="Adelle Sans Devanagari"/>
          <w:bCs/>
          <w:i/>
          <w:iCs/>
          <w:color w:val="000000"/>
          <w:lang w:eastAsia="es-MX"/>
        </w:rPr>
      </w:pPr>
      <w:r w:rsidRPr="005A5793">
        <w:rPr>
          <w:rFonts w:ascii="Palatino Linotype" w:hAnsi="Palatino Linotype" w:cs="Adelle Sans Devanagari"/>
          <w:b/>
          <w:bCs/>
          <w:i/>
          <w:iCs/>
          <w:color w:val="000000"/>
          <w:lang w:eastAsia="es-MX"/>
        </w:rPr>
        <w:t xml:space="preserve">“Clave Única de Registro de Población (CURP). </w:t>
      </w:r>
      <w:r w:rsidRPr="005A5793">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658247C" w14:textId="77777777" w:rsidR="004A2C87" w:rsidRPr="005A5793" w:rsidRDefault="004A2C87" w:rsidP="004A2C87">
      <w:pPr>
        <w:spacing w:after="160" w:line="360" w:lineRule="auto"/>
        <w:contextualSpacing/>
        <w:jc w:val="both"/>
        <w:rPr>
          <w:rFonts w:ascii="Palatino Linotype" w:hAnsi="Palatino Linotype" w:cs="Adelle Sans Devanagari"/>
          <w:bCs/>
          <w:i/>
          <w:iCs/>
          <w:color w:val="000000"/>
          <w:sz w:val="22"/>
          <w:szCs w:val="22"/>
          <w:lang w:eastAsia="es-MX"/>
        </w:rPr>
      </w:pPr>
    </w:p>
    <w:p w14:paraId="5E7C9F0F"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De acuerdo con lo anterior, resulta procedente la clasificación de </w:t>
      </w:r>
      <w:r w:rsidRPr="005A5793">
        <w:rPr>
          <w:rFonts w:ascii="Palatino Linotype" w:hAnsi="Palatino Linotype" w:cs="Adelle Sans Devanagari"/>
          <w:b/>
          <w:bCs/>
          <w:iCs/>
          <w:color w:val="000000"/>
          <w:sz w:val="22"/>
          <w:szCs w:val="22"/>
          <w:lang w:eastAsia="es-MX"/>
        </w:rPr>
        <w:t>la Clave Única de Registro de Población</w:t>
      </w:r>
      <w:r w:rsidRPr="005A5793">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6DEEDF82" w14:textId="77777777" w:rsidR="004A2C87" w:rsidRPr="005A5793" w:rsidRDefault="004A2C87" w:rsidP="004A2C87">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0016EFF" w14:textId="77777777" w:rsidR="004A2C87" w:rsidRPr="005A5793" w:rsidRDefault="004A2C87" w:rsidP="004A2C87">
      <w:pPr>
        <w:numPr>
          <w:ilvl w:val="0"/>
          <w:numId w:val="12"/>
        </w:numPr>
        <w:spacing w:after="160" w:line="360" w:lineRule="auto"/>
        <w:contextualSpacing/>
        <w:jc w:val="both"/>
        <w:rPr>
          <w:rFonts w:ascii="Palatino Linotype" w:hAnsi="Palatino Linotype" w:cs="Adelle Sans Devanagari"/>
          <w:b/>
          <w:bCs/>
          <w:iCs/>
          <w:color w:val="000000"/>
          <w:sz w:val="22"/>
          <w:szCs w:val="22"/>
          <w:lang w:val="es-ES_tradnl" w:eastAsia="es-MX"/>
        </w:rPr>
      </w:pPr>
      <w:r w:rsidRPr="005A5793">
        <w:rPr>
          <w:rFonts w:ascii="Palatino Linotype" w:hAnsi="Palatino Linotype" w:cs="Adelle Sans Devanagari"/>
          <w:b/>
          <w:bCs/>
          <w:iCs/>
          <w:color w:val="000000"/>
          <w:sz w:val="22"/>
          <w:szCs w:val="22"/>
          <w:lang w:val="es-ES_tradnl" w:eastAsia="es-MX"/>
        </w:rPr>
        <w:t>Registro Federal de Contribuyentes (RFC)</w:t>
      </w:r>
    </w:p>
    <w:p w14:paraId="520BEE59"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2EC3B1A3"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48291BC"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401D92C4"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De acuerdo a lo establecido en el artículo en comento, esta clave se compone de trece caracteres alfanuméricos, con datos obtenidos de los apellidos, nombre(s), fecha de nacimiento del </w:t>
      </w:r>
      <w:r w:rsidRPr="005A5793">
        <w:rPr>
          <w:rFonts w:ascii="Palatino Linotype" w:hAnsi="Palatino Linotype" w:cs="Adelle Sans Devanagari"/>
          <w:bCs/>
          <w:iCs/>
          <w:color w:val="000000"/>
          <w:sz w:val="22"/>
          <w:szCs w:val="22"/>
          <w:lang w:eastAsia="es-MX"/>
        </w:rPr>
        <w:lastRenderedPageBreak/>
        <w:t>titular, más una homoclave que establece el sistema automático del Servicio de Administración Tributaria.</w:t>
      </w:r>
    </w:p>
    <w:p w14:paraId="49944F41"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59B15996"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3C6BBB1"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7A1B33DD"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0A198D4"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5270B3F0"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Lo anterior, resulta congruente con el </w:t>
      </w:r>
      <w:r w:rsidRPr="005A5793">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5A5793">
        <w:rPr>
          <w:rFonts w:ascii="Palatino Linotype" w:eastAsia="Calibri" w:hAnsi="Palatino Linotype" w:cs="Adelle Sans Devanagari"/>
          <w:bCs/>
          <w:iCs/>
          <w:color w:val="000000"/>
          <w:sz w:val="22"/>
          <w:szCs w:val="22"/>
          <w:lang w:eastAsia="en-US"/>
        </w:rPr>
        <w:t xml:space="preserve">SO/019/2017, </w:t>
      </w:r>
      <w:r w:rsidRPr="005A5793">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48B3DD7F"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3745383D" w14:textId="77777777" w:rsidR="004A2C87" w:rsidRPr="005A5793" w:rsidRDefault="004A2C87" w:rsidP="004A2C87">
      <w:pPr>
        <w:spacing w:line="360" w:lineRule="auto"/>
        <w:ind w:left="567" w:right="567"/>
        <w:contextualSpacing/>
        <w:jc w:val="both"/>
        <w:rPr>
          <w:rFonts w:ascii="Palatino Linotype" w:hAnsi="Palatino Linotype" w:cs="Adelle Sans Devanagari"/>
          <w:bCs/>
          <w:i/>
          <w:iCs/>
          <w:color w:val="000000"/>
          <w:lang w:eastAsia="es-MX"/>
        </w:rPr>
      </w:pPr>
      <w:r w:rsidRPr="005A5793">
        <w:rPr>
          <w:rFonts w:ascii="Palatino Linotype" w:hAnsi="Palatino Linotype" w:cs="Adelle Sans Devanagari"/>
          <w:b/>
          <w:bCs/>
          <w:i/>
          <w:iCs/>
          <w:color w:val="000000"/>
          <w:lang w:eastAsia="es-MX"/>
        </w:rPr>
        <w:t>“Registro Federal de Contribuyentes (RFC) de personas físicas.</w:t>
      </w:r>
      <w:r w:rsidRPr="005A5793">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758B5399"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7D1313CF"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De tal suerte, el Registro Federal de Contribuyentes de los servidores públicos no guarda relación con la transparencia de los recursos públicos, así como tampoco con el desempeño </w:t>
      </w:r>
      <w:r w:rsidRPr="005A5793">
        <w:rPr>
          <w:rFonts w:ascii="Palatino Linotype" w:hAnsi="Palatino Linotype" w:cs="Adelle Sans Devanagari"/>
          <w:bCs/>
          <w:iCs/>
          <w:color w:val="000000"/>
          <w:sz w:val="22"/>
          <w:szCs w:val="22"/>
          <w:lang w:eastAsia="es-MX"/>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w:t>
      </w:r>
      <w:r w:rsidRPr="005A5793">
        <w:rPr>
          <w:rFonts w:ascii="Palatino Linotype" w:hAnsi="Palatino Linotype" w:cs="Adelle Sans Devanagari"/>
          <w:b/>
          <w:iCs/>
          <w:color w:val="000000"/>
          <w:sz w:val="22"/>
          <w:szCs w:val="22"/>
          <w:lang w:eastAsia="es-MX"/>
        </w:rPr>
        <w:t xml:space="preserve"> </w:t>
      </w:r>
    </w:p>
    <w:p w14:paraId="5FEBD65F"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758BE32F" w14:textId="77777777" w:rsidR="004A2C87" w:rsidRPr="005A5793" w:rsidRDefault="004A2C87" w:rsidP="004A2C87">
      <w:pPr>
        <w:numPr>
          <w:ilvl w:val="0"/>
          <w:numId w:val="9"/>
        </w:numPr>
        <w:spacing w:after="160" w:line="360" w:lineRule="auto"/>
        <w:contextualSpacing/>
        <w:jc w:val="both"/>
        <w:rPr>
          <w:rFonts w:ascii="Palatino Linotype" w:eastAsia="Calibri" w:hAnsi="Palatino Linotype" w:cs="Adelle Sans Devanagari"/>
          <w:b/>
          <w:bCs/>
          <w:iCs/>
          <w:color w:val="000000"/>
          <w:sz w:val="22"/>
          <w:szCs w:val="22"/>
          <w:lang w:eastAsia="en-US"/>
        </w:rPr>
      </w:pPr>
      <w:r w:rsidRPr="005A5793">
        <w:rPr>
          <w:rFonts w:ascii="Palatino Linotype" w:eastAsia="Calibri" w:hAnsi="Palatino Linotype" w:cs="Adelle Sans Devanagari"/>
          <w:b/>
          <w:bCs/>
          <w:iCs/>
          <w:color w:val="000000"/>
          <w:sz w:val="22"/>
          <w:szCs w:val="22"/>
          <w:lang w:eastAsia="en-US"/>
        </w:rPr>
        <w:t>Código bidimensional o Qr</w:t>
      </w:r>
    </w:p>
    <w:p w14:paraId="129778C4" w14:textId="77777777" w:rsidR="004A2C87" w:rsidRPr="005A5793" w:rsidRDefault="004A2C87" w:rsidP="004A2C87">
      <w:pPr>
        <w:spacing w:after="160" w:line="360" w:lineRule="auto"/>
        <w:contextualSpacing/>
        <w:jc w:val="both"/>
        <w:rPr>
          <w:rFonts w:ascii="Palatino Linotype" w:eastAsia="Calibri" w:hAnsi="Palatino Linotype" w:cs="Adelle Sans Devanagari"/>
          <w:b/>
          <w:bCs/>
          <w:iCs/>
          <w:color w:val="000000"/>
          <w:sz w:val="22"/>
          <w:szCs w:val="22"/>
          <w:lang w:eastAsia="en-US"/>
        </w:rPr>
      </w:pPr>
    </w:p>
    <w:p w14:paraId="58009FE3" w14:textId="77777777" w:rsidR="004A2C87" w:rsidRPr="005A5793" w:rsidRDefault="004A2C87" w:rsidP="004A2C87">
      <w:pPr>
        <w:spacing w:after="160" w:line="360" w:lineRule="auto"/>
        <w:contextualSpacing/>
        <w:jc w:val="both"/>
        <w:rPr>
          <w:rFonts w:ascii="Palatino Linotype" w:eastAsia="Calibri" w:hAnsi="Palatino Linotype" w:cs="Adelle Sans Devanagari"/>
          <w:bCs/>
          <w:color w:val="000000"/>
          <w:sz w:val="22"/>
          <w:szCs w:val="22"/>
          <w:lang w:eastAsia="en-US"/>
        </w:rPr>
      </w:pPr>
      <w:r w:rsidRPr="005A5793">
        <w:rPr>
          <w:rFonts w:ascii="Palatino Linotype" w:eastAsia="Calibri" w:hAnsi="Palatino Linotype" w:cs="Adelle Sans Devanagari"/>
          <w:bCs/>
          <w:color w:val="000000"/>
          <w:sz w:val="22"/>
          <w:szCs w:val="22"/>
          <w:lang w:eastAsia="en-US"/>
        </w:rPr>
        <w:t xml:space="preserve">En principio, resulta necesario señalar que los comprobantes fiscales digitales por Internet, deben de incluir un código bidimensional conforme al formato </w:t>
      </w:r>
      <w:r w:rsidRPr="005A5793">
        <w:rPr>
          <w:rFonts w:ascii="Palatino Linotype" w:eastAsia="Calibri" w:hAnsi="Palatino Linotype" w:cs="Adelle Sans Devanagari"/>
          <w:bCs/>
          <w:i/>
          <w:color w:val="000000"/>
          <w:sz w:val="22"/>
          <w:szCs w:val="22"/>
          <w:lang w:eastAsia="en-US"/>
        </w:rPr>
        <w:t>QR Code (Quick Response Code)</w:t>
      </w:r>
      <w:r w:rsidRPr="005A5793">
        <w:rPr>
          <w:rFonts w:ascii="Palatino Linotype" w:eastAsia="Calibri" w:hAnsi="Palatino Linotype" w:cs="Adelle Sans Devanagari"/>
          <w:bCs/>
          <w:color w:val="000000"/>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8" w:history="1">
        <w:r w:rsidRPr="005A5793">
          <w:rPr>
            <w:rFonts w:ascii="Palatino Linotype" w:eastAsia="Calibri" w:hAnsi="Palatino Linotype" w:cs="Adelle Sans Devanagari"/>
            <w:bCs/>
            <w:color w:val="0563C1"/>
            <w:sz w:val="22"/>
            <w:szCs w:val="22"/>
            <w:u w:val="single"/>
            <w:lang w:eastAsia="en-US"/>
          </w:rPr>
          <w:t>http://dof.gob.mx/nota_detalle.php?codigo=5492254&amp;fecha=28/07/2017</w:t>
        </w:r>
      </w:hyperlink>
      <w:r w:rsidRPr="005A5793">
        <w:rPr>
          <w:rFonts w:ascii="Palatino Linotype" w:eastAsia="Calibri" w:hAnsi="Palatino Linotype" w:cs="Adelle Sans Devanagari"/>
          <w:bCs/>
          <w:color w:val="000000"/>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2B02B982" w14:textId="77777777" w:rsidR="004A2C87" w:rsidRPr="005A5793" w:rsidRDefault="004A2C87" w:rsidP="004A2C87">
      <w:pPr>
        <w:spacing w:after="160" w:line="360" w:lineRule="auto"/>
        <w:contextualSpacing/>
        <w:jc w:val="both"/>
        <w:rPr>
          <w:rFonts w:ascii="Palatino Linotype" w:eastAsia="Calibri" w:hAnsi="Palatino Linotype" w:cs="Adelle Sans Devanagari"/>
          <w:bCs/>
          <w:color w:val="000000"/>
          <w:sz w:val="22"/>
          <w:szCs w:val="22"/>
          <w:lang w:eastAsia="en-US"/>
        </w:rPr>
      </w:pPr>
    </w:p>
    <w:p w14:paraId="2293753D" w14:textId="77777777" w:rsidR="004A2C87" w:rsidRPr="005A5793" w:rsidRDefault="004A2C87" w:rsidP="004A2C87">
      <w:pPr>
        <w:spacing w:after="160" w:line="360" w:lineRule="auto"/>
        <w:contextualSpacing/>
        <w:jc w:val="both"/>
        <w:rPr>
          <w:rFonts w:ascii="Palatino Linotype" w:eastAsia="Calibri" w:hAnsi="Palatino Linotype" w:cs="Adelle Sans Devanagari"/>
          <w:bCs/>
          <w:color w:val="000000"/>
          <w:sz w:val="22"/>
          <w:szCs w:val="22"/>
          <w:lang w:eastAsia="en-US"/>
        </w:rPr>
      </w:pPr>
      <w:r w:rsidRPr="005A5793">
        <w:rPr>
          <w:rFonts w:ascii="Palatino Linotype" w:eastAsia="Calibri" w:hAnsi="Palatino Linotype" w:cs="Adelle Sans Devanagari"/>
          <w:bCs/>
          <w:color w:val="000000"/>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E0563CE" w14:textId="77777777" w:rsidR="004A2C87" w:rsidRPr="005A5793" w:rsidRDefault="004A2C87" w:rsidP="004A2C87">
      <w:pPr>
        <w:spacing w:after="160" w:line="360" w:lineRule="auto"/>
        <w:contextualSpacing/>
        <w:jc w:val="both"/>
        <w:rPr>
          <w:rFonts w:ascii="Palatino Linotype" w:eastAsia="Calibri" w:hAnsi="Palatino Linotype" w:cs="Adelle Sans Devanagari"/>
          <w:bCs/>
          <w:color w:val="000000"/>
          <w:sz w:val="22"/>
          <w:szCs w:val="22"/>
          <w:lang w:eastAsia="en-US"/>
        </w:rPr>
      </w:pPr>
    </w:p>
    <w:p w14:paraId="7FD2839D" w14:textId="77777777" w:rsidR="004A2C87" w:rsidRPr="005A5793" w:rsidRDefault="004A2C87" w:rsidP="004A2C87">
      <w:pPr>
        <w:numPr>
          <w:ilvl w:val="0"/>
          <w:numId w:val="9"/>
        </w:numPr>
        <w:spacing w:after="160" w:line="360" w:lineRule="auto"/>
        <w:contextualSpacing/>
        <w:jc w:val="both"/>
        <w:rPr>
          <w:rFonts w:ascii="Palatino Linotype" w:hAnsi="Palatino Linotype" w:cs="Adelle Sans Devanagari"/>
          <w:b/>
          <w:bCs/>
          <w:iCs/>
          <w:color w:val="000000"/>
          <w:sz w:val="22"/>
          <w:szCs w:val="22"/>
          <w:lang w:eastAsia="es-MX"/>
        </w:rPr>
      </w:pPr>
      <w:r w:rsidRPr="005A5793">
        <w:rPr>
          <w:rFonts w:ascii="Palatino Linotype" w:hAnsi="Palatino Linotype" w:cs="Adelle Sans Devanagari"/>
          <w:b/>
          <w:bCs/>
          <w:iCs/>
          <w:color w:val="000000"/>
          <w:sz w:val="22"/>
          <w:szCs w:val="22"/>
          <w:lang w:eastAsia="es-MX"/>
        </w:rPr>
        <w:t>Número de seguridad social del Instituto de Seguridad Social del Estado de México y Municipios.</w:t>
      </w:r>
    </w:p>
    <w:p w14:paraId="4A101D90" w14:textId="77777777" w:rsidR="004A2C87" w:rsidRPr="005A5793" w:rsidRDefault="004A2C87" w:rsidP="004A2C87">
      <w:pPr>
        <w:spacing w:after="160" w:line="360" w:lineRule="auto"/>
        <w:contextualSpacing/>
        <w:jc w:val="both"/>
        <w:rPr>
          <w:rFonts w:ascii="Palatino Linotype" w:hAnsi="Palatino Linotype" w:cs="Adelle Sans Devanagari"/>
          <w:b/>
          <w:bCs/>
          <w:iCs/>
          <w:color w:val="000000"/>
          <w:sz w:val="22"/>
          <w:szCs w:val="22"/>
          <w:lang w:eastAsia="es-MX"/>
        </w:rPr>
      </w:pPr>
    </w:p>
    <w:p w14:paraId="674AFCFE"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El Instituto de Seguridad Social del Estado de México y Municipios (ISSEMYM) es el organismo público encargado de proporcionar los servicios de seguridad social a los </w:t>
      </w:r>
      <w:r w:rsidRPr="005A5793">
        <w:rPr>
          <w:rFonts w:ascii="Palatino Linotype" w:hAnsi="Palatino Linotype" w:cs="Adelle Sans Devanagari"/>
          <w:bCs/>
          <w:iCs/>
          <w:color w:val="000000"/>
          <w:sz w:val="22"/>
          <w:szCs w:val="22"/>
          <w:lang w:eastAsia="es-MX"/>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2D89AC1"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0AB5A8F8"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5A5793">
        <w:rPr>
          <w:rFonts w:ascii="Palatino Linotype" w:hAnsi="Palatino Linotype" w:cs="Adelle Sans Devanagari"/>
          <w:b/>
          <w:bCs/>
          <w:iCs/>
          <w:color w:val="000000"/>
          <w:sz w:val="22"/>
          <w:szCs w:val="22"/>
          <w:lang w:eastAsia="es-MX"/>
        </w:rPr>
        <w:t>y se le asigna una clave para hacer identificable al trabajador con el objetivo de poder proporcionar los servicios que brinda el Instituto de Seguridad Social del Estado de México y Municipios.</w:t>
      </w:r>
    </w:p>
    <w:p w14:paraId="761FF72D"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435A6552"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r w:rsidRPr="005A5793">
        <w:rPr>
          <w:rFonts w:ascii="Palatino Linotype" w:hAnsi="Palatino Linotype" w:cs="Adelle Sans Devanagari"/>
          <w:bCs/>
          <w:iCs/>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DEDCAE2" w14:textId="77777777" w:rsidR="004A2C87" w:rsidRPr="005A5793" w:rsidRDefault="004A2C87" w:rsidP="004A2C87">
      <w:pPr>
        <w:spacing w:after="160" w:line="360" w:lineRule="auto"/>
        <w:contextualSpacing/>
        <w:jc w:val="both"/>
        <w:rPr>
          <w:rFonts w:ascii="Palatino Linotype" w:hAnsi="Palatino Linotype" w:cs="Adelle Sans Devanagari"/>
          <w:bCs/>
          <w:iCs/>
          <w:color w:val="000000"/>
          <w:sz w:val="22"/>
          <w:szCs w:val="22"/>
          <w:lang w:eastAsia="es-MX"/>
        </w:rPr>
      </w:pPr>
    </w:p>
    <w:p w14:paraId="268D46F9" w14:textId="77777777" w:rsidR="004A2C87" w:rsidRPr="005A5793" w:rsidRDefault="004A2C87" w:rsidP="004A2C87">
      <w:pPr>
        <w:spacing w:after="160" w:line="360" w:lineRule="auto"/>
        <w:contextualSpacing/>
        <w:jc w:val="both"/>
        <w:rPr>
          <w:rFonts w:ascii="Palatino Linotype" w:hAnsi="Palatino Linotype" w:cs="Adelle Sans Devanagari"/>
          <w:b/>
          <w:iCs/>
          <w:color w:val="000000"/>
          <w:sz w:val="22"/>
          <w:szCs w:val="22"/>
          <w:lang w:eastAsia="es-MX"/>
        </w:rPr>
      </w:pPr>
      <w:r w:rsidRPr="005A5793">
        <w:rPr>
          <w:rFonts w:ascii="Palatino Linotype" w:hAnsi="Palatino Linotype" w:cs="Adelle Sans Devanagari"/>
          <w:bCs/>
          <w:iCs/>
          <w:color w:val="000000"/>
          <w:sz w:val="22"/>
          <w:szCs w:val="22"/>
          <w:lang w:eastAsia="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w:t>
      </w:r>
      <w:r w:rsidRPr="005A5793">
        <w:rPr>
          <w:rFonts w:ascii="Palatino Linotype" w:hAnsi="Palatino Linotype" w:cs="Adelle Sans Devanagari"/>
          <w:bCs/>
          <w:iCs/>
          <w:color w:val="000000"/>
          <w:sz w:val="22"/>
          <w:szCs w:val="22"/>
          <w:lang w:eastAsia="es-MX"/>
        </w:rPr>
        <w:lastRenderedPageBreak/>
        <w:t>confidencialidad, establecido en el artículo 143, fracción I, de la Ley de Transparencia y Acceso a la Información Pública del Estado de México y Municipios.</w:t>
      </w:r>
    </w:p>
    <w:p w14:paraId="14E89680" w14:textId="77777777" w:rsidR="004A2C87" w:rsidRPr="005A5793" w:rsidRDefault="004A2C87" w:rsidP="004A2C87">
      <w:pPr>
        <w:spacing w:line="360" w:lineRule="auto"/>
        <w:contextualSpacing/>
        <w:jc w:val="both"/>
        <w:rPr>
          <w:rFonts w:ascii="Palatino Linotype" w:eastAsia="Calibri" w:hAnsi="Palatino Linotype" w:cs="Adelle Sans Devanagari"/>
          <w:b/>
          <w:bCs/>
          <w:color w:val="000000"/>
          <w:sz w:val="22"/>
          <w:szCs w:val="22"/>
          <w:lang w:eastAsia="en-US"/>
        </w:rPr>
      </w:pPr>
    </w:p>
    <w:p w14:paraId="39E27063" w14:textId="77777777" w:rsidR="004A2C87" w:rsidRPr="005A5793" w:rsidRDefault="004A2C87" w:rsidP="004A2C87">
      <w:pPr>
        <w:numPr>
          <w:ilvl w:val="0"/>
          <w:numId w:val="14"/>
        </w:numPr>
        <w:spacing w:after="160" w:line="360" w:lineRule="auto"/>
        <w:contextualSpacing/>
        <w:jc w:val="both"/>
        <w:rPr>
          <w:rFonts w:ascii="Palatino Linotype" w:eastAsia="Calibri" w:hAnsi="Palatino Linotype" w:cs="Adelle Sans Devanagari"/>
          <w:b/>
          <w:bCs/>
          <w:color w:val="000000"/>
          <w:sz w:val="22"/>
          <w:szCs w:val="22"/>
          <w:lang w:eastAsia="en-US"/>
        </w:rPr>
      </w:pPr>
      <w:r w:rsidRPr="005A5793">
        <w:rPr>
          <w:rFonts w:ascii="Palatino Linotype" w:eastAsia="Calibri" w:hAnsi="Palatino Linotype" w:cs="Adelle Sans Devanagari"/>
          <w:b/>
          <w:bCs/>
          <w:color w:val="000000"/>
          <w:sz w:val="22"/>
          <w:szCs w:val="22"/>
          <w:lang w:eastAsia="en-US"/>
        </w:rPr>
        <w:t>Descuentos personales</w:t>
      </w:r>
    </w:p>
    <w:p w14:paraId="3EFE4F2C" w14:textId="77777777" w:rsidR="004A2C87" w:rsidRPr="005A5793" w:rsidRDefault="004A2C87" w:rsidP="004A2C87">
      <w:pPr>
        <w:spacing w:line="360" w:lineRule="auto"/>
        <w:contextualSpacing/>
        <w:jc w:val="both"/>
        <w:rPr>
          <w:rFonts w:ascii="Palatino Linotype" w:eastAsia="Calibri" w:hAnsi="Palatino Linotype" w:cs="Adelle Sans Devanagari"/>
          <w:b/>
          <w:bCs/>
          <w:color w:val="000000"/>
          <w:sz w:val="22"/>
          <w:szCs w:val="22"/>
          <w:lang w:eastAsia="en-US"/>
        </w:rPr>
      </w:pPr>
    </w:p>
    <w:p w14:paraId="3D301038" w14:textId="77777777" w:rsidR="004A2C87" w:rsidRPr="005A5793"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r w:rsidRPr="005A5793">
        <w:rPr>
          <w:rFonts w:ascii="Palatino Linotype" w:eastAsia="Calibri" w:hAnsi="Palatino Linotype" w:cs="Adelle Sans Devanagari"/>
          <w:color w:val="000000"/>
          <w:sz w:val="22"/>
          <w:szCs w:val="22"/>
          <w:lang w:eastAsia="en-U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77EB07E3" w14:textId="77777777" w:rsidR="004A2C87" w:rsidRPr="005A5793"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p>
    <w:p w14:paraId="0E9A7D9D" w14:textId="77777777" w:rsidR="004A2C87" w:rsidRPr="005A5793"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r w:rsidRPr="005A5793">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57D1A3F6" w14:textId="77777777" w:rsidR="004A2C87" w:rsidRPr="005A5793"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p>
    <w:p w14:paraId="208BE97D" w14:textId="77777777" w:rsidR="004A2C87" w:rsidRPr="005A5793"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r w:rsidRPr="005A5793">
        <w:rPr>
          <w:rFonts w:ascii="Palatino Linotype" w:eastAsia="Calibri" w:hAnsi="Palatino Linotype" w:cs="Adelle Sans Devanagari"/>
          <w:color w:val="000000"/>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2892113" w14:textId="77777777" w:rsidR="004A2C87" w:rsidRPr="005A5793" w:rsidRDefault="004A2C87" w:rsidP="004A2C87">
      <w:pPr>
        <w:spacing w:line="360" w:lineRule="auto"/>
        <w:contextualSpacing/>
        <w:jc w:val="both"/>
        <w:rPr>
          <w:rFonts w:ascii="Palatino Linotype" w:eastAsia="Calibri" w:hAnsi="Palatino Linotype" w:cs="Adelle Sans Devanagari"/>
          <w:color w:val="000000"/>
          <w:sz w:val="22"/>
          <w:szCs w:val="22"/>
          <w:lang w:eastAsia="en-US"/>
        </w:rPr>
      </w:pPr>
    </w:p>
    <w:p w14:paraId="51C6A660" w14:textId="77777777" w:rsidR="004A2C87" w:rsidRPr="005A5793" w:rsidRDefault="004A2C87" w:rsidP="004A2C87">
      <w:pPr>
        <w:spacing w:line="360" w:lineRule="auto"/>
        <w:contextualSpacing/>
        <w:jc w:val="both"/>
        <w:rPr>
          <w:rFonts w:ascii="Palatino Linotype" w:eastAsia="Calibri" w:hAnsi="Palatino Linotype" w:cs="Adelle Sans Devanagari"/>
          <w:b/>
          <w:bCs/>
          <w:color w:val="000000"/>
          <w:sz w:val="22"/>
          <w:szCs w:val="22"/>
          <w:lang w:eastAsia="en-US"/>
        </w:rPr>
      </w:pPr>
      <w:r w:rsidRPr="005A5793">
        <w:rPr>
          <w:rFonts w:ascii="Palatino Linotype" w:eastAsia="Calibri" w:hAnsi="Palatino Linotype" w:cs="Adelle Sans Devanagari"/>
          <w:color w:val="000000"/>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w:t>
      </w:r>
      <w:r w:rsidRPr="005A5793">
        <w:rPr>
          <w:rFonts w:ascii="Palatino Linotype" w:eastAsia="Calibri" w:hAnsi="Palatino Linotype" w:cs="Adelle Sans Devanagari"/>
          <w:color w:val="000000"/>
          <w:sz w:val="22"/>
          <w:szCs w:val="22"/>
          <w:lang w:eastAsia="en-US"/>
        </w:rPr>
        <w:lastRenderedPageBreak/>
        <w:t>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4CE98DDC" w14:textId="77777777" w:rsidR="004A2C87" w:rsidRPr="005A5793" w:rsidRDefault="004A2C87" w:rsidP="004A2C87">
      <w:pPr>
        <w:spacing w:line="360" w:lineRule="auto"/>
        <w:contextualSpacing/>
        <w:jc w:val="both"/>
        <w:rPr>
          <w:rFonts w:ascii="Palatino Linotype" w:eastAsia="Calibri" w:hAnsi="Palatino Linotype" w:cs="Adelle Sans Devanagari"/>
          <w:b/>
          <w:bCs/>
          <w:color w:val="000000"/>
          <w:sz w:val="22"/>
          <w:szCs w:val="22"/>
          <w:lang w:eastAsia="en-US"/>
        </w:rPr>
      </w:pPr>
    </w:p>
    <w:p w14:paraId="36F41AB9" w14:textId="77777777" w:rsidR="004A2C87" w:rsidRPr="005A5793" w:rsidRDefault="004A2C87" w:rsidP="004A2C87">
      <w:pPr>
        <w:numPr>
          <w:ilvl w:val="0"/>
          <w:numId w:val="9"/>
        </w:numPr>
        <w:spacing w:after="160" w:line="360" w:lineRule="auto"/>
        <w:contextualSpacing/>
        <w:jc w:val="both"/>
        <w:rPr>
          <w:rFonts w:ascii="Palatino Linotype" w:hAnsi="Palatino Linotype" w:cs="Adelle Sans Devanagari"/>
          <w:bCs/>
          <w:color w:val="000000"/>
          <w:sz w:val="22"/>
          <w:szCs w:val="22"/>
        </w:rPr>
      </w:pPr>
      <w:r w:rsidRPr="005A5793">
        <w:rPr>
          <w:rFonts w:ascii="Palatino Linotype" w:hAnsi="Palatino Linotype" w:cs="Adelle Sans Devanagari"/>
          <w:b/>
          <w:bCs/>
          <w:color w:val="000000"/>
          <w:sz w:val="22"/>
          <w:szCs w:val="24"/>
        </w:rPr>
        <w:t>Sellos digitales del emisor y del Servicio de Administración Tributaria y cadena original del complemento de certificación digital del órgano previamente señalado</w:t>
      </w:r>
    </w:p>
    <w:p w14:paraId="4DB1F0F7" w14:textId="77777777" w:rsidR="004A2C87" w:rsidRPr="005A5793" w:rsidRDefault="004A2C87" w:rsidP="004A2C87">
      <w:pPr>
        <w:spacing w:line="360" w:lineRule="auto"/>
        <w:ind w:left="720"/>
        <w:contextualSpacing/>
        <w:jc w:val="both"/>
        <w:rPr>
          <w:rFonts w:ascii="Palatino Linotype" w:hAnsi="Palatino Linotype" w:cs="Adelle Sans Devanagari"/>
          <w:bCs/>
          <w:color w:val="000000"/>
          <w:sz w:val="22"/>
          <w:szCs w:val="22"/>
        </w:rPr>
      </w:pPr>
    </w:p>
    <w:p w14:paraId="3E7611B1" w14:textId="77777777" w:rsidR="004A2C87" w:rsidRPr="005A5793" w:rsidRDefault="004A2C87" w:rsidP="004A2C87">
      <w:pPr>
        <w:spacing w:line="360" w:lineRule="auto"/>
        <w:contextualSpacing/>
        <w:jc w:val="both"/>
        <w:rPr>
          <w:rFonts w:ascii="Palatino Linotype" w:hAnsi="Palatino Linotype" w:cs="Adelle Sans Devanagari"/>
          <w:bCs/>
          <w:color w:val="000000"/>
          <w:sz w:val="22"/>
          <w:szCs w:val="22"/>
          <w:lang w:val="es-ES"/>
        </w:rPr>
      </w:pPr>
      <w:r w:rsidRPr="005A5793">
        <w:rPr>
          <w:rFonts w:ascii="Palatino Linotype" w:hAnsi="Palatino Linotype" w:cs="Adelle Sans Devanagari"/>
          <w:bCs/>
          <w:color w:val="000000"/>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2918499" w14:textId="77777777" w:rsidR="004A2C87" w:rsidRPr="005A5793" w:rsidRDefault="004A2C87" w:rsidP="004A2C87">
      <w:pPr>
        <w:spacing w:line="360" w:lineRule="auto"/>
        <w:contextualSpacing/>
        <w:jc w:val="both"/>
        <w:rPr>
          <w:rFonts w:ascii="Palatino Linotype" w:hAnsi="Palatino Linotype" w:cs="Adelle Sans Devanagari"/>
          <w:bCs/>
          <w:color w:val="000000"/>
          <w:sz w:val="22"/>
          <w:szCs w:val="22"/>
          <w:lang w:val="es-ES"/>
        </w:rPr>
      </w:pPr>
      <w:r w:rsidRPr="005A5793">
        <w:rPr>
          <w:rFonts w:ascii="Palatino Linotype" w:hAnsi="Palatino Linotype" w:cs="Adelle Sans Devanagari"/>
          <w:bCs/>
          <w:color w:val="000000"/>
          <w:sz w:val="22"/>
          <w:szCs w:val="22"/>
          <w:lang w:val="es-ES"/>
        </w:rPr>
        <w:t> </w:t>
      </w:r>
    </w:p>
    <w:p w14:paraId="05D0CA9C" w14:textId="51D9D2D7" w:rsidR="004A2C87" w:rsidRPr="005A5793" w:rsidRDefault="004A2C87" w:rsidP="004A2C87">
      <w:pPr>
        <w:spacing w:line="360" w:lineRule="auto"/>
        <w:contextualSpacing/>
        <w:jc w:val="both"/>
        <w:rPr>
          <w:rFonts w:ascii="Palatino Linotype" w:hAnsi="Palatino Linotype" w:cs="Adelle Sans Devanagari"/>
          <w:bCs/>
          <w:color w:val="000000"/>
          <w:sz w:val="22"/>
          <w:szCs w:val="22"/>
          <w:lang w:val="es-ES"/>
        </w:rPr>
      </w:pPr>
      <w:r w:rsidRPr="005A5793">
        <w:rPr>
          <w:rFonts w:ascii="Palatino Linotype" w:hAnsi="Palatino Linotype" w:cs="Adelle Sans Devanagari"/>
          <w:color w:val="000000"/>
          <w:sz w:val="22"/>
          <w:szCs w:val="22"/>
          <w:lang w:val="es-ES"/>
        </w:rPr>
        <w:t>Las cadenas originales y sellos que se agregan a las facturas</w:t>
      </w:r>
      <w:r w:rsidRPr="005A5793">
        <w:rPr>
          <w:rFonts w:ascii="Palatino Linotype" w:hAnsi="Palatino Linotype" w:cs="Adelle Sans Devanagari"/>
          <w:b/>
          <w:bCs/>
          <w:color w:val="000000"/>
          <w:sz w:val="22"/>
          <w:szCs w:val="22"/>
          <w:lang w:val="es-ES"/>
        </w:rPr>
        <w:t>,</w:t>
      </w:r>
      <w:r w:rsidRPr="005A5793">
        <w:rPr>
          <w:rFonts w:ascii="Palatino Linotype" w:hAnsi="Palatino Linotype" w:cs="Adelle Sans Devanagari"/>
          <w:bCs/>
          <w:color w:val="000000"/>
          <w:sz w:val="22"/>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35F96630"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lastRenderedPageBreak/>
        <w:t>“…</w:t>
      </w:r>
    </w:p>
    <w:p w14:paraId="3BD21D06"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Elementos utilizados en la generación de Sellos Digitales:</w:t>
      </w:r>
    </w:p>
    <w:p w14:paraId="06B04401"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w:t>
      </w:r>
      <w:r w:rsidRPr="005A5793">
        <w:rPr>
          <w:rFonts w:ascii="Palatino Linotype" w:eastAsia="Calibri" w:hAnsi="Palatino Linotype" w:cs="Adelle Sans Devanagari"/>
          <w:bCs/>
          <w:i/>
          <w:color w:val="000000"/>
          <w:lang w:val="es-ES" w:eastAsia="en-US"/>
        </w:rPr>
        <w:tab/>
        <w:t>Cadena Original, el elemento a sellar, en este caso de un comprobante fiscal digital a través de Internet.</w:t>
      </w:r>
    </w:p>
    <w:p w14:paraId="332D7F27"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w:t>
      </w:r>
      <w:r w:rsidRPr="005A5793">
        <w:rPr>
          <w:rFonts w:ascii="Palatino Linotype" w:eastAsia="Calibri" w:hAnsi="Palatino Linotype" w:cs="Adelle Sans Devanagari"/>
          <w:bCs/>
          <w:i/>
          <w:color w:val="000000"/>
          <w:lang w:val="es-ES" w:eastAsia="en-US"/>
        </w:rPr>
        <w:tab/>
        <w:t>Certificado de Sello Digital y su correspondiente clave privada.</w:t>
      </w:r>
    </w:p>
    <w:p w14:paraId="7373DC1F"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w:t>
      </w:r>
      <w:r w:rsidRPr="005A5793">
        <w:rPr>
          <w:rFonts w:ascii="Palatino Linotype" w:eastAsia="Calibri" w:hAnsi="Palatino Linotype" w:cs="Adelle Sans Devanagari"/>
          <w:bCs/>
          <w:i/>
          <w:color w:val="000000"/>
          <w:lang w:val="es-ES" w:eastAsia="en-US"/>
        </w:rPr>
        <w:tab/>
        <w:t>Algoritmos de criptografía de clave pública para firma electrónica avanzada.</w:t>
      </w:r>
    </w:p>
    <w:p w14:paraId="3ED0931D"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w:t>
      </w:r>
      <w:r w:rsidRPr="005A5793">
        <w:rPr>
          <w:rFonts w:ascii="Palatino Linotype" w:eastAsia="Calibri" w:hAnsi="Palatino Linotype" w:cs="Adelle Sans Devanagari"/>
          <w:bCs/>
          <w:i/>
          <w:color w:val="000000"/>
          <w:lang w:val="es-ES" w:eastAsia="en-US"/>
        </w:rPr>
        <w:tab/>
        <w:t>Especificaciones de conversión de la firma electrónica avanzada a Base 64.</w:t>
      </w:r>
    </w:p>
    <w:p w14:paraId="62A89121"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Para la generación de sellos digitales se utiliza criptografía de clave pública aplicada a una cadena original.</w:t>
      </w:r>
    </w:p>
    <w:p w14:paraId="77D497C5"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Criptografía de la Clave Pública</w:t>
      </w:r>
    </w:p>
    <w:p w14:paraId="31CF5947"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 xml:space="preserve">La criptografía de Clave Pública se basa en la generación de una pareja de números muy grandes relacionados íntimamente entre sí, de tal manera que una operación de </w:t>
      </w:r>
      <w:proofErr w:type="spellStart"/>
      <w:r w:rsidRPr="005A5793">
        <w:rPr>
          <w:rFonts w:ascii="Palatino Linotype" w:eastAsia="Calibri" w:hAnsi="Palatino Linotype" w:cs="Adelle Sans Devanagari"/>
          <w:bCs/>
          <w:i/>
          <w:color w:val="000000"/>
          <w:lang w:val="es-ES" w:eastAsia="en-US"/>
        </w:rPr>
        <w:t>encripción</w:t>
      </w:r>
      <w:proofErr w:type="spellEnd"/>
      <w:r w:rsidRPr="005A5793">
        <w:rPr>
          <w:rFonts w:ascii="Palatino Linotype" w:eastAsia="Calibri" w:hAnsi="Palatino Linotype" w:cs="Adelle Sans Devanagari"/>
          <w:bCs/>
          <w:i/>
          <w:color w:val="000000"/>
          <w:lang w:val="es-ES" w:eastAsia="en-US"/>
        </w:rPr>
        <w:t xml:space="preserve"> sobre un mensaje tomando como clave de </w:t>
      </w:r>
      <w:proofErr w:type="spellStart"/>
      <w:r w:rsidRPr="005A5793">
        <w:rPr>
          <w:rFonts w:ascii="Palatino Linotype" w:eastAsia="Calibri" w:hAnsi="Palatino Linotype" w:cs="Adelle Sans Devanagari"/>
          <w:bCs/>
          <w:i/>
          <w:color w:val="000000"/>
          <w:lang w:val="es-ES" w:eastAsia="en-US"/>
        </w:rPr>
        <w:t>encripción</w:t>
      </w:r>
      <w:proofErr w:type="spellEnd"/>
      <w:r w:rsidRPr="005A5793">
        <w:rPr>
          <w:rFonts w:ascii="Palatino Linotype" w:eastAsia="Calibri" w:hAnsi="Palatino Linotype" w:cs="Adelle Sans Devanagari"/>
          <w:bCs/>
          <w:i/>
          <w:color w:val="000000"/>
          <w:lang w:val="es-ES" w:eastAsia="en-US"/>
        </w:rPr>
        <w:t xml:space="preserve"> a uno de los dos números, produce un mensaje alterado en su significado que solo puede ser devuelto a su estado original mediante la operación de </w:t>
      </w:r>
      <w:proofErr w:type="spellStart"/>
      <w:r w:rsidRPr="005A5793">
        <w:rPr>
          <w:rFonts w:ascii="Palatino Linotype" w:eastAsia="Calibri" w:hAnsi="Palatino Linotype" w:cs="Adelle Sans Devanagari"/>
          <w:bCs/>
          <w:i/>
          <w:color w:val="000000"/>
          <w:lang w:val="es-ES" w:eastAsia="en-US"/>
        </w:rPr>
        <w:t>desencripción</w:t>
      </w:r>
      <w:proofErr w:type="spellEnd"/>
      <w:r w:rsidRPr="005A5793">
        <w:rPr>
          <w:rFonts w:ascii="Palatino Linotype" w:eastAsia="Calibri" w:hAnsi="Palatino Linotype" w:cs="Adelle Sans Devanagari"/>
          <w:bCs/>
          <w:i/>
          <w:color w:val="000000"/>
          <w:lang w:val="es-ES" w:eastAsia="en-US"/>
        </w:rPr>
        <w:t xml:space="preserve"> correspondiente tomando como clave de </w:t>
      </w:r>
      <w:proofErr w:type="spellStart"/>
      <w:r w:rsidRPr="005A5793">
        <w:rPr>
          <w:rFonts w:ascii="Palatino Linotype" w:eastAsia="Calibri" w:hAnsi="Palatino Linotype" w:cs="Adelle Sans Devanagari"/>
          <w:bCs/>
          <w:i/>
          <w:color w:val="000000"/>
          <w:lang w:val="es-ES" w:eastAsia="en-US"/>
        </w:rPr>
        <w:t>desencripción</w:t>
      </w:r>
      <w:proofErr w:type="spellEnd"/>
      <w:r w:rsidRPr="005A5793">
        <w:rPr>
          <w:rFonts w:ascii="Palatino Linotype" w:eastAsia="Calibri" w:hAnsi="Palatino Linotype" w:cs="Adelle Sans Devanagari"/>
          <w:bCs/>
          <w:i/>
          <w:color w:val="000000"/>
          <w:lang w:val="es-ES" w:eastAsia="en-US"/>
        </w:rPr>
        <w:t xml:space="preserve"> al otro número de la pareja.</w:t>
      </w:r>
    </w:p>
    <w:p w14:paraId="7AA0C43E" w14:textId="77777777" w:rsidR="004A2C87" w:rsidRPr="005A5793" w:rsidRDefault="004A2C87" w:rsidP="004A2C87">
      <w:pPr>
        <w:spacing w:line="360" w:lineRule="auto"/>
        <w:ind w:left="567" w:right="539"/>
        <w:contextualSpacing/>
        <w:jc w:val="both"/>
        <w:rPr>
          <w:rFonts w:ascii="Palatino Linotype" w:eastAsia="Calibri" w:hAnsi="Palatino Linotype" w:cs="Adelle Sans Devanagari"/>
          <w:bCs/>
          <w:i/>
          <w:color w:val="000000"/>
          <w:lang w:val="es-ES" w:eastAsia="en-US"/>
        </w:rPr>
      </w:pPr>
      <w:r w:rsidRPr="005A5793">
        <w:rPr>
          <w:rFonts w:ascii="Palatino Linotype" w:eastAsia="Calibri" w:hAnsi="Palatino Linotype" w:cs="Adelle Sans Devanagari"/>
          <w:bCs/>
          <w:i/>
          <w:color w:val="000000"/>
          <w:lang w:val="es-ES" w:eastAsia="en-US"/>
        </w:rPr>
        <w:t>…”</w:t>
      </w:r>
    </w:p>
    <w:p w14:paraId="04957B5C" w14:textId="77777777" w:rsidR="004A2C87" w:rsidRPr="005A5793" w:rsidRDefault="004A2C87" w:rsidP="004A2C87">
      <w:pPr>
        <w:spacing w:line="360" w:lineRule="auto"/>
        <w:contextualSpacing/>
        <w:jc w:val="both"/>
        <w:rPr>
          <w:rFonts w:ascii="Palatino Linotype" w:hAnsi="Palatino Linotype" w:cs="Adelle Sans Devanagari"/>
          <w:bCs/>
          <w:color w:val="000000"/>
          <w:sz w:val="22"/>
          <w:szCs w:val="22"/>
          <w:lang w:val="es-ES"/>
        </w:rPr>
      </w:pPr>
      <w:r w:rsidRPr="005A5793">
        <w:rPr>
          <w:rFonts w:ascii="Palatino Linotype" w:hAnsi="Palatino Linotype" w:cs="Adelle Sans Devanagari"/>
          <w:bCs/>
          <w:color w:val="000000"/>
          <w:sz w:val="22"/>
          <w:szCs w:val="22"/>
          <w:lang w:val="es-ES"/>
        </w:rPr>
        <w:t> </w:t>
      </w:r>
    </w:p>
    <w:p w14:paraId="75AA1D0F" w14:textId="77777777" w:rsidR="004A2C87" w:rsidRPr="005A5793" w:rsidRDefault="004A2C87" w:rsidP="004A2C87">
      <w:pPr>
        <w:spacing w:line="360" w:lineRule="auto"/>
        <w:contextualSpacing/>
        <w:jc w:val="both"/>
        <w:rPr>
          <w:rFonts w:ascii="Palatino Linotype" w:hAnsi="Palatino Linotype" w:cs="Adelle Sans Devanagari"/>
          <w:bCs/>
          <w:color w:val="000000"/>
          <w:sz w:val="22"/>
          <w:szCs w:val="22"/>
          <w:lang w:val="es-ES"/>
        </w:rPr>
      </w:pPr>
      <w:r w:rsidRPr="005A5793">
        <w:rPr>
          <w:rFonts w:ascii="Palatino Linotype" w:hAnsi="Palatino Linotype" w:cs="Adelle Sans Devanagari"/>
          <w:bCs/>
          <w:color w:val="000000"/>
          <w:sz w:val="22"/>
          <w:szCs w:val="22"/>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A29C1D6" w14:textId="77777777" w:rsidR="004A2C87" w:rsidRPr="005A5793" w:rsidRDefault="004A2C87" w:rsidP="004A2C87">
      <w:pPr>
        <w:tabs>
          <w:tab w:val="left" w:pos="4962"/>
        </w:tabs>
        <w:spacing w:line="360" w:lineRule="auto"/>
        <w:contextualSpacing/>
        <w:jc w:val="both"/>
        <w:rPr>
          <w:rFonts w:ascii="Palatino Linotype" w:eastAsia="Calibri" w:hAnsi="Palatino Linotype" w:cs="Adelle Sans Devanagari"/>
          <w:bCs/>
          <w:iCs/>
          <w:color w:val="000000"/>
          <w:sz w:val="22"/>
          <w:szCs w:val="22"/>
          <w:lang w:eastAsia="en-US"/>
        </w:rPr>
      </w:pPr>
    </w:p>
    <w:p w14:paraId="4EFDEC1C" w14:textId="77777777" w:rsidR="004A2C87" w:rsidRPr="005A5793" w:rsidRDefault="004A2C87" w:rsidP="004A2C87">
      <w:pPr>
        <w:spacing w:line="360" w:lineRule="auto"/>
        <w:contextualSpacing/>
        <w:jc w:val="both"/>
        <w:rPr>
          <w:rFonts w:ascii="Palatino Linotype" w:hAnsi="Palatino Linotype" w:cs="Adelle Sans Devanagari"/>
          <w:color w:val="000000"/>
          <w:sz w:val="22"/>
          <w:szCs w:val="22"/>
          <w:lang w:val="es-ES"/>
        </w:rPr>
      </w:pPr>
      <w:r w:rsidRPr="005A5793">
        <w:rPr>
          <w:rFonts w:ascii="Palatino Linotype" w:eastAsia="Calibri" w:hAnsi="Palatino Linotype" w:cs="Adelle Sans Devanagari"/>
          <w:bCs/>
          <w:iCs/>
          <w:color w:val="000000"/>
          <w:sz w:val="22"/>
          <w:szCs w:val="22"/>
          <w:lang w:eastAsia="en-US"/>
        </w:rPr>
        <w:t>Cabe señalar que, en algunos casos, las</w:t>
      </w:r>
      <w:r w:rsidRPr="005A5793">
        <w:rPr>
          <w:rFonts w:ascii="Palatino Linotype" w:hAnsi="Palatino Linotype" w:cs="Adelle Sans Devanagari"/>
          <w:color w:val="000000"/>
          <w:sz w:val="22"/>
          <w:szCs w:val="22"/>
          <w:lang w:val="es-ES"/>
        </w:rPr>
        <w:t xml:space="preserve"> cadenas originales y sellos digitales</w:t>
      </w:r>
      <w:r w:rsidRPr="005A5793">
        <w:rPr>
          <w:rFonts w:ascii="Palatino Linotype" w:hAnsi="Palatino Linotype" w:cs="Adelle Sans Devanagari"/>
          <w:bCs/>
          <w:color w:val="000000"/>
          <w:sz w:val="22"/>
          <w:szCs w:val="22"/>
          <w:lang w:val="es-ES"/>
        </w:rPr>
        <w:t xml:space="preserve">, se pueden conformar de datos confidenciales, tales como el Registro Federal de Contribuyentes o la Clave Única de Registro de Población; por lo que, en su caso actualizarían </w:t>
      </w:r>
      <w:r w:rsidRPr="005A5793">
        <w:rPr>
          <w:rFonts w:ascii="Palatino Linotype" w:hAnsi="Palatino Linotype" w:cs="Adelle Sans Devanagari"/>
          <w:color w:val="000000"/>
          <w:sz w:val="22"/>
          <w:szCs w:val="22"/>
          <w:lang w:val="es-ES"/>
        </w:rPr>
        <w:t>actualiza la clasificación, en términos del artículo 143, fracción I, de la Ley de la materia.</w:t>
      </w:r>
    </w:p>
    <w:p w14:paraId="1E238746" w14:textId="77777777" w:rsidR="001102E9" w:rsidRPr="005A5793" w:rsidRDefault="001102E9" w:rsidP="001102E9">
      <w:pPr>
        <w:pStyle w:val="Prrafodelista"/>
        <w:numPr>
          <w:ilvl w:val="0"/>
          <w:numId w:val="14"/>
        </w:numPr>
        <w:spacing w:line="360" w:lineRule="auto"/>
        <w:jc w:val="both"/>
        <w:rPr>
          <w:rFonts w:ascii="Palatino Linotype" w:hAnsi="Palatino Linotype" w:cs="Adelle Sans Devanagari"/>
          <w:b/>
          <w:color w:val="000000"/>
          <w:szCs w:val="22"/>
        </w:rPr>
      </w:pPr>
      <w:r w:rsidRPr="005A5793">
        <w:rPr>
          <w:rFonts w:ascii="Palatino Linotype" w:hAnsi="Palatino Linotype" w:cs="Adelle Sans Devanagari"/>
          <w:b/>
          <w:color w:val="000000"/>
          <w:szCs w:val="22"/>
        </w:rPr>
        <w:lastRenderedPageBreak/>
        <w:t>Folio Fiscal</w:t>
      </w:r>
    </w:p>
    <w:p w14:paraId="0D4A2142" w14:textId="77777777" w:rsidR="001102E9" w:rsidRPr="005A5793" w:rsidRDefault="001102E9" w:rsidP="001102E9">
      <w:pPr>
        <w:spacing w:line="360" w:lineRule="auto"/>
        <w:ind w:left="360"/>
        <w:jc w:val="both"/>
        <w:rPr>
          <w:rFonts w:ascii="Palatino Linotype" w:hAnsi="Palatino Linotype" w:cs="Adelle Sans Devanagari"/>
          <w:b/>
          <w:color w:val="000000"/>
          <w:szCs w:val="22"/>
        </w:rPr>
      </w:pPr>
    </w:p>
    <w:p w14:paraId="54095455" w14:textId="77777777" w:rsidR="001102E9" w:rsidRPr="005A5793" w:rsidRDefault="001102E9" w:rsidP="001102E9">
      <w:pPr>
        <w:spacing w:line="360" w:lineRule="auto"/>
        <w:contextualSpacing/>
        <w:jc w:val="both"/>
        <w:rPr>
          <w:rFonts w:ascii="Palatino Linotype" w:hAnsi="Palatino Linotype" w:cs="Adelle Sans Devanagari"/>
          <w:bCs/>
          <w:color w:val="000000"/>
          <w:sz w:val="22"/>
          <w:szCs w:val="22"/>
        </w:rPr>
      </w:pPr>
      <w:r w:rsidRPr="005A5793">
        <w:rPr>
          <w:rFonts w:ascii="Palatino Linotype" w:hAnsi="Palatino Linotype" w:cs="Adelle Sans Devanagari"/>
          <w:bCs/>
          <w:color w:val="000000"/>
          <w:sz w:val="22"/>
          <w:szCs w:val="22"/>
        </w:rPr>
        <w:t xml:space="preserve">Ahora bien, por lo que hace </w:t>
      </w:r>
      <w:r w:rsidRPr="005A5793">
        <w:rPr>
          <w:rFonts w:ascii="Palatino Linotype" w:hAnsi="Palatino Linotype" w:cs="Adelle Sans Devanagari"/>
          <w:b/>
          <w:bCs/>
          <w:color w:val="000000"/>
          <w:sz w:val="22"/>
          <w:szCs w:val="22"/>
        </w:rPr>
        <w:t>Folio Fiscal,</w:t>
      </w:r>
      <w:r w:rsidRPr="005A5793">
        <w:rPr>
          <w:rFonts w:ascii="Palatino Linotype" w:hAnsi="Palatino Linotype" w:cs="Adelle Sans Devanagari"/>
          <w:bCs/>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4F51ACC" w14:textId="77777777" w:rsidR="001102E9" w:rsidRPr="005A5793" w:rsidRDefault="001102E9" w:rsidP="001102E9">
      <w:pPr>
        <w:spacing w:line="360" w:lineRule="auto"/>
        <w:contextualSpacing/>
        <w:jc w:val="both"/>
        <w:rPr>
          <w:rFonts w:ascii="Palatino Linotype" w:hAnsi="Palatino Linotype" w:cs="Adelle Sans Devanagari"/>
          <w:bCs/>
          <w:color w:val="000000"/>
          <w:sz w:val="22"/>
          <w:szCs w:val="22"/>
        </w:rPr>
      </w:pPr>
      <w:r w:rsidRPr="005A5793">
        <w:rPr>
          <w:rFonts w:ascii="Palatino Linotype" w:hAnsi="Palatino Linotype" w:cs="Adelle Sans Devanagari"/>
          <w:bCs/>
          <w:color w:val="000000"/>
          <w:sz w:val="22"/>
          <w:szCs w:val="22"/>
        </w:rPr>
        <w:t xml:space="preserve"> </w:t>
      </w:r>
    </w:p>
    <w:p w14:paraId="4A11B663" w14:textId="77777777" w:rsidR="001102E9" w:rsidRPr="005A5793" w:rsidRDefault="001102E9" w:rsidP="001102E9">
      <w:pPr>
        <w:spacing w:line="360" w:lineRule="auto"/>
        <w:contextualSpacing/>
        <w:jc w:val="center"/>
        <w:rPr>
          <w:rFonts w:ascii="Palatino Linotype" w:hAnsi="Palatino Linotype" w:cs="Adelle Sans Devanagari"/>
          <w:bCs/>
          <w:color w:val="000000"/>
          <w:sz w:val="22"/>
          <w:szCs w:val="22"/>
        </w:rPr>
      </w:pPr>
      <w:r w:rsidRPr="005A5793">
        <w:rPr>
          <w:rFonts w:ascii="Palatino Linotype" w:hAnsi="Palatino Linotype" w:cs="Adelle Sans Devanagari"/>
          <w:bCs/>
          <w:noProof/>
          <w:color w:val="000000"/>
          <w:sz w:val="22"/>
          <w:szCs w:val="22"/>
          <w:lang w:eastAsia="es-MX"/>
        </w:rPr>
        <w:drawing>
          <wp:inline distT="0" distB="0" distL="0" distR="0" wp14:anchorId="43CFFE49" wp14:editId="1D5B1442">
            <wp:extent cx="4438682" cy="1028708"/>
            <wp:effectExtent l="0" t="0" r="0" b="0"/>
            <wp:docPr id="799047155"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9"/>
                    <a:srcRect/>
                    <a:stretch>
                      <a:fillRect/>
                    </a:stretch>
                  </pic:blipFill>
                  <pic:spPr>
                    <a:xfrm>
                      <a:off x="0" y="0"/>
                      <a:ext cx="4438682" cy="1028708"/>
                    </a:xfrm>
                    <a:prstGeom prst="rect">
                      <a:avLst/>
                    </a:prstGeom>
                    <a:ln/>
                  </pic:spPr>
                </pic:pic>
              </a:graphicData>
            </a:graphic>
          </wp:inline>
        </w:drawing>
      </w:r>
    </w:p>
    <w:p w14:paraId="248EC93C" w14:textId="77777777" w:rsidR="001102E9" w:rsidRPr="005A5793" w:rsidRDefault="001102E9" w:rsidP="001102E9">
      <w:pPr>
        <w:spacing w:line="360" w:lineRule="auto"/>
        <w:contextualSpacing/>
        <w:jc w:val="both"/>
        <w:rPr>
          <w:rFonts w:ascii="Palatino Linotype" w:hAnsi="Palatino Linotype" w:cs="Adelle Sans Devanagari"/>
          <w:bCs/>
          <w:color w:val="000000"/>
          <w:sz w:val="22"/>
          <w:szCs w:val="22"/>
        </w:rPr>
      </w:pPr>
    </w:p>
    <w:p w14:paraId="14CAD166" w14:textId="77777777" w:rsidR="001102E9" w:rsidRPr="005A5793" w:rsidRDefault="001102E9" w:rsidP="001102E9">
      <w:pPr>
        <w:spacing w:line="360" w:lineRule="auto"/>
        <w:contextualSpacing/>
        <w:jc w:val="both"/>
        <w:rPr>
          <w:rFonts w:ascii="Palatino Linotype" w:hAnsi="Palatino Linotype" w:cs="Adelle Sans Devanagari"/>
          <w:bCs/>
          <w:color w:val="000000"/>
          <w:sz w:val="22"/>
          <w:szCs w:val="22"/>
        </w:rPr>
      </w:pPr>
      <w:r w:rsidRPr="005A5793">
        <w:rPr>
          <w:rFonts w:ascii="Palatino Linotype" w:hAnsi="Palatino Linotype" w:cs="Adelle Sans Devanagari"/>
          <w:bCs/>
          <w:color w:val="000000"/>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05E5659" w14:textId="77777777" w:rsidR="001102E9" w:rsidRPr="005A5793" w:rsidRDefault="001102E9" w:rsidP="004A2C87">
      <w:pPr>
        <w:spacing w:line="360" w:lineRule="auto"/>
        <w:contextualSpacing/>
        <w:jc w:val="both"/>
        <w:rPr>
          <w:rFonts w:ascii="Palatino Linotype" w:hAnsi="Palatino Linotype" w:cs="Adelle Sans Devanagari"/>
          <w:bCs/>
          <w:color w:val="000000"/>
          <w:sz w:val="22"/>
          <w:szCs w:val="22"/>
        </w:rPr>
      </w:pPr>
    </w:p>
    <w:p w14:paraId="792B9E2A" w14:textId="4111D969" w:rsidR="001102E9" w:rsidRPr="005A5793" w:rsidRDefault="001102E9" w:rsidP="001102E9">
      <w:pPr>
        <w:pStyle w:val="Prrafodelista"/>
        <w:numPr>
          <w:ilvl w:val="0"/>
          <w:numId w:val="14"/>
        </w:numPr>
        <w:spacing w:line="360" w:lineRule="auto"/>
        <w:ind w:right="-93"/>
        <w:jc w:val="both"/>
        <w:rPr>
          <w:rFonts w:ascii="Palatino Linotype" w:hAnsi="Palatino Linotype" w:cs="Tahoma"/>
          <w:b/>
          <w:szCs w:val="22"/>
        </w:rPr>
      </w:pPr>
      <w:r w:rsidRPr="005A5793">
        <w:rPr>
          <w:rFonts w:ascii="Palatino Linotype" w:hAnsi="Palatino Linotype" w:cs="Tahoma"/>
          <w:b/>
          <w:bCs/>
          <w:iCs/>
          <w:szCs w:val="22"/>
        </w:rPr>
        <w:t>Número de cuenta</w:t>
      </w:r>
      <w:r w:rsidR="00281227" w:rsidRPr="005A5793">
        <w:rPr>
          <w:rFonts w:ascii="Palatino Linotype" w:hAnsi="Palatino Linotype" w:cs="Tahoma"/>
          <w:b/>
          <w:bCs/>
          <w:iCs/>
          <w:szCs w:val="22"/>
        </w:rPr>
        <w:t xml:space="preserve"> o CLABE interbancaria</w:t>
      </w:r>
    </w:p>
    <w:p w14:paraId="195FB223" w14:textId="77777777" w:rsidR="001102E9" w:rsidRPr="005A5793" w:rsidRDefault="001102E9" w:rsidP="001102E9">
      <w:pPr>
        <w:spacing w:line="360" w:lineRule="auto"/>
        <w:ind w:right="-93"/>
        <w:jc w:val="both"/>
        <w:rPr>
          <w:rFonts w:ascii="Palatino Linotype" w:hAnsi="Palatino Linotype" w:cs="Tahoma"/>
          <w:sz w:val="22"/>
          <w:szCs w:val="22"/>
        </w:rPr>
      </w:pPr>
    </w:p>
    <w:p w14:paraId="132C19DB" w14:textId="77777777" w:rsidR="00281227" w:rsidRPr="005A5793" w:rsidRDefault="00281227" w:rsidP="00281227">
      <w:pPr>
        <w:spacing w:line="360" w:lineRule="auto"/>
        <w:jc w:val="both"/>
        <w:rPr>
          <w:rFonts w:ascii="Palatino Linotype" w:eastAsia="Palatino Linotype" w:hAnsi="Palatino Linotype" w:cs="Palatino Linotype"/>
          <w:color w:val="000000"/>
          <w:sz w:val="22"/>
          <w:szCs w:val="22"/>
          <w:lang w:eastAsia="es-MX"/>
        </w:rPr>
      </w:pPr>
      <w:r w:rsidRPr="005A5793">
        <w:rPr>
          <w:rFonts w:ascii="Palatino Linotype" w:eastAsia="Palatino Linotype" w:hAnsi="Palatino Linotype" w:cs="Palatino Linotype"/>
          <w:color w:val="000000"/>
          <w:sz w:val="22"/>
          <w:szCs w:val="22"/>
          <w:lang w:eastAsia="es-MX"/>
        </w:rPr>
        <w:t xml:space="preserve">Al respecto, se estima que dicho dato se relaciona con hechos y actos de carácter económico, pues los mismos darían cuenta, de la relación que tiene una institución financiero con un </w:t>
      </w:r>
      <w:r w:rsidRPr="005A5793">
        <w:rPr>
          <w:rFonts w:ascii="Palatino Linotype" w:eastAsia="Palatino Linotype" w:hAnsi="Palatino Linotype" w:cs="Palatino Linotype"/>
          <w:color w:val="000000"/>
          <w:sz w:val="22"/>
          <w:szCs w:val="22"/>
          <w:lang w:eastAsia="es-MX"/>
        </w:rPr>
        <w:lastRenderedPageBreak/>
        <w:t>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1DE89E62" w14:textId="77777777" w:rsidR="00281227" w:rsidRPr="005A5793" w:rsidRDefault="00281227" w:rsidP="00281227">
      <w:pPr>
        <w:spacing w:line="360" w:lineRule="auto"/>
        <w:jc w:val="both"/>
        <w:rPr>
          <w:rFonts w:ascii="Palatino Linotype" w:eastAsia="Palatino Linotype" w:hAnsi="Palatino Linotype" w:cs="Palatino Linotype"/>
          <w:color w:val="000000"/>
          <w:sz w:val="22"/>
          <w:szCs w:val="22"/>
          <w:lang w:eastAsia="es-MX"/>
        </w:rPr>
      </w:pPr>
      <w:r w:rsidRPr="005A5793">
        <w:rPr>
          <w:rFonts w:ascii="Palatino Linotype" w:eastAsia="Palatino Linotype" w:hAnsi="Palatino Linotype" w:cs="Palatino Linotype"/>
          <w:color w:val="000000"/>
          <w:sz w:val="22"/>
          <w:szCs w:val="22"/>
          <w:lang w:eastAsia="es-MX"/>
        </w:rPr>
        <w:t> </w:t>
      </w:r>
    </w:p>
    <w:p w14:paraId="0010D572" w14:textId="77777777" w:rsidR="00281227" w:rsidRPr="005A5793" w:rsidRDefault="00281227" w:rsidP="00281227">
      <w:pPr>
        <w:spacing w:line="360" w:lineRule="auto"/>
        <w:jc w:val="both"/>
        <w:rPr>
          <w:rFonts w:ascii="Palatino Linotype" w:eastAsia="Palatino Linotype" w:hAnsi="Palatino Linotype" w:cs="Palatino Linotype"/>
          <w:color w:val="000000"/>
          <w:sz w:val="22"/>
          <w:szCs w:val="22"/>
          <w:lang w:eastAsia="es-MX"/>
        </w:rPr>
      </w:pPr>
      <w:r w:rsidRPr="005A5793">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20D9209A" w14:textId="77777777" w:rsidR="00281227" w:rsidRPr="005A5793" w:rsidRDefault="00281227" w:rsidP="00281227">
      <w:pPr>
        <w:spacing w:line="360" w:lineRule="auto"/>
        <w:jc w:val="both"/>
        <w:rPr>
          <w:rFonts w:ascii="Palatino Linotype" w:eastAsia="Palatino Linotype" w:hAnsi="Palatino Linotype" w:cs="Palatino Linotype"/>
          <w:color w:val="000000"/>
          <w:sz w:val="22"/>
          <w:szCs w:val="22"/>
          <w:lang w:eastAsia="es-MX"/>
        </w:rPr>
      </w:pPr>
    </w:p>
    <w:p w14:paraId="44C4718A" w14:textId="77777777" w:rsidR="00281227" w:rsidRPr="005A5793" w:rsidRDefault="00281227" w:rsidP="00281227">
      <w:pPr>
        <w:spacing w:line="360" w:lineRule="auto"/>
        <w:ind w:left="567" w:right="567"/>
        <w:jc w:val="both"/>
        <w:rPr>
          <w:rFonts w:ascii="Palatino Linotype" w:eastAsia="Palatino Linotype" w:hAnsi="Palatino Linotype" w:cs="Palatino Linotype"/>
          <w:i/>
          <w:color w:val="000000"/>
          <w:lang w:eastAsia="es-MX"/>
        </w:rPr>
      </w:pPr>
      <w:r w:rsidRPr="005A5793">
        <w:rPr>
          <w:rFonts w:ascii="Palatino Linotype" w:eastAsia="Palatino Linotype" w:hAnsi="Palatino Linotype" w:cs="Palatino Linotype"/>
          <w:i/>
          <w:color w:val="000000"/>
          <w:lang w:eastAsia="es-MX"/>
        </w:rPr>
        <w:t>“</w:t>
      </w:r>
      <w:r w:rsidRPr="005A5793">
        <w:rPr>
          <w:rFonts w:ascii="Palatino Linotype" w:eastAsia="Palatino Linotype" w:hAnsi="Palatino Linotype" w:cs="Palatino Linotype"/>
          <w:b/>
          <w:i/>
          <w:color w:val="000000"/>
          <w:lang w:eastAsia="es-MX"/>
        </w:rPr>
        <w:t>Cuentas bancarias y/o CLABE interbancaria de personas físicas y morales privadas.</w:t>
      </w:r>
      <w:r w:rsidRPr="005A5793">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F448816" w14:textId="77777777" w:rsidR="00281227" w:rsidRPr="005A5793" w:rsidRDefault="00281227" w:rsidP="00281227">
      <w:pPr>
        <w:spacing w:line="360" w:lineRule="auto"/>
        <w:jc w:val="both"/>
        <w:rPr>
          <w:rFonts w:ascii="Palatino Linotype" w:eastAsia="Palatino Linotype" w:hAnsi="Palatino Linotype" w:cs="Palatino Linotype"/>
          <w:color w:val="000000"/>
          <w:sz w:val="22"/>
          <w:szCs w:val="22"/>
          <w:lang w:eastAsia="es-MX"/>
        </w:rPr>
      </w:pPr>
    </w:p>
    <w:p w14:paraId="43257C60" w14:textId="77777777" w:rsidR="00281227" w:rsidRPr="005A5793" w:rsidRDefault="00281227" w:rsidP="00281227">
      <w:pPr>
        <w:spacing w:line="360" w:lineRule="auto"/>
        <w:jc w:val="both"/>
        <w:rPr>
          <w:rFonts w:ascii="Palatino Linotype" w:eastAsia="Palatino Linotype" w:hAnsi="Palatino Linotype" w:cs="Palatino Linotype"/>
          <w:color w:val="000000"/>
          <w:sz w:val="22"/>
          <w:szCs w:val="22"/>
          <w:lang w:eastAsia="es-MX"/>
        </w:rPr>
      </w:pPr>
      <w:r w:rsidRPr="005A5793">
        <w:rPr>
          <w:rFonts w:ascii="Palatino Linotype" w:eastAsia="Palatino Linotype" w:hAnsi="Palatino Linotype" w:cs="Palatino Linotype"/>
          <w:color w:val="000000"/>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07451C6A" w14:textId="77777777" w:rsidR="004A2C87" w:rsidRPr="005A5793" w:rsidRDefault="004A2C87" w:rsidP="004A2C87">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5A5793">
        <w:rPr>
          <w:rFonts w:ascii="Palatino Linotype" w:hAnsi="Palatino Linotype" w:cs="Adelle Sans Devanagari"/>
          <w:bCs/>
          <w:color w:val="000000"/>
          <w:sz w:val="22"/>
          <w:szCs w:val="22"/>
        </w:rPr>
        <w:lastRenderedPageBreak/>
        <w:t>Así, este Instituto considera que el Sujeto Obligado deberá proporcionar los documentos solicitados en versión pública; sobre dicha circunstancia, el a</w:t>
      </w:r>
      <w:proofErr w:type="spellStart"/>
      <w:r w:rsidRPr="005A5793">
        <w:rPr>
          <w:rFonts w:ascii="Palatino Linotype" w:eastAsia="Calibri" w:hAnsi="Palatino Linotype" w:cs="Adelle Sans Devanagari"/>
          <w:bCs/>
          <w:iCs/>
          <w:color w:val="000000"/>
          <w:sz w:val="22"/>
          <w:szCs w:val="22"/>
          <w:lang w:val="es-ES" w:eastAsia="en-US"/>
        </w:rPr>
        <w:t>rtículo</w:t>
      </w:r>
      <w:proofErr w:type="spellEnd"/>
      <w:r w:rsidRPr="005A5793">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15FC18A" w14:textId="77777777" w:rsidR="004A2C87" w:rsidRPr="005A5793" w:rsidRDefault="004A2C87" w:rsidP="004A2C87">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519072FE" w14:textId="77777777" w:rsidR="004A2C87" w:rsidRPr="005A5793" w:rsidRDefault="004A2C87" w:rsidP="004A2C87">
      <w:pPr>
        <w:spacing w:line="360" w:lineRule="auto"/>
        <w:contextualSpacing/>
        <w:jc w:val="both"/>
        <w:rPr>
          <w:rFonts w:ascii="Palatino Linotype" w:eastAsia="Calibri" w:hAnsi="Palatino Linotype" w:cs="Adelle Sans Devanagari"/>
          <w:bCs/>
          <w:iCs/>
          <w:color w:val="000000"/>
          <w:sz w:val="22"/>
          <w:szCs w:val="22"/>
          <w:lang w:val="es-ES" w:eastAsia="en-US"/>
        </w:rPr>
      </w:pPr>
      <w:r w:rsidRPr="005A5793">
        <w:rPr>
          <w:rFonts w:ascii="Palatino Linotype" w:eastAsia="Calibri" w:hAnsi="Palatino Linotype" w:cs="Adelle Sans Devanagari"/>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54DA3BA" w14:textId="5E8EC134" w:rsidR="00D05952" w:rsidRPr="005A5793" w:rsidRDefault="00D05952" w:rsidP="00903F17">
      <w:pPr>
        <w:spacing w:line="360" w:lineRule="auto"/>
        <w:jc w:val="both"/>
        <w:rPr>
          <w:rFonts w:ascii="Palatino Linotype" w:hAnsi="Palatino Linotype" w:cs="Tahoma"/>
          <w:sz w:val="22"/>
          <w:szCs w:val="22"/>
          <w:lang w:val="es-ES"/>
        </w:rPr>
      </w:pPr>
    </w:p>
    <w:p w14:paraId="37A94871" w14:textId="77777777" w:rsidR="00F23D44" w:rsidRPr="005A5793" w:rsidRDefault="00F23D44" w:rsidP="00903F17">
      <w:pPr>
        <w:pStyle w:val="Ttulo2"/>
        <w:spacing w:before="0" w:line="360" w:lineRule="auto"/>
        <w:rPr>
          <w:rFonts w:ascii="Palatino Linotype" w:hAnsi="Palatino Linotype"/>
          <w:b/>
          <w:color w:val="auto"/>
          <w:sz w:val="22"/>
          <w:szCs w:val="22"/>
        </w:rPr>
      </w:pPr>
      <w:bookmarkStart w:id="20" w:name="_Toc190857068"/>
      <w:bookmarkStart w:id="21" w:name="_Toc209708729"/>
      <w:r w:rsidRPr="005A5793">
        <w:rPr>
          <w:rFonts w:ascii="Palatino Linotype" w:hAnsi="Palatino Linotype"/>
          <w:b/>
          <w:color w:val="auto"/>
          <w:sz w:val="22"/>
          <w:szCs w:val="22"/>
        </w:rPr>
        <w:t>SEXTO. Decisión</w:t>
      </w:r>
      <w:bookmarkEnd w:id="20"/>
      <w:bookmarkEnd w:id="21"/>
    </w:p>
    <w:p w14:paraId="744CE7D2" w14:textId="77777777" w:rsidR="00F23D44" w:rsidRPr="005A5793" w:rsidRDefault="00F23D44" w:rsidP="00903F17">
      <w:pPr>
        <w:spacing w:line="360" w:lineRule="auto"/>
        <w:ind w:right="-93"/>
        <w:jc w:val="both"/>
        <w:rPr>
          <w:rFonts w:ascii="Palatino Linotype" w:hAnsi="Palatino Linotype" w:cs="Tahoma"/>
          <w:b/>
          <w:sz w:val="22"/>
          <w:szCs w:val="22"/>
        </w:rPr>
      </w:pPr>
    </w:p>
    <w:p w14:paraId="45665C26" w14:textId="77E8C7C4" w:rsidR="00F23D44" w:rsidRPr="005A5793" w:rsidRDefault="00F23D44" w:rsidP="00903F17">
      <w:pPr>
        <w:spacing w:line="360" w:lineRule="auto"/>
        <w:ind w:right="-93"/>
        <w:jc w:val="both"/>
        <w:rPr>
          <w:rFonts w:ascii="Palatino Linotype" w:hAnsi="Palatino Linotype" w:cs="Tahoma"/>
          <w:sz w:val="22"/>
          <w:szCs w:val="22"/>
        </w:rPr>
      </w:pPr>
      <w:r w:rsidRPr="005A5793">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525771" w:rsidRPr="005A5793">
        <w:rPr>
          <w:rFonts w:ascii="Palatino Linotype" w:hAnsi="Palatino Linotype" w:cs="Tahoma"/>
          <w:b/>
          <w:sz w:val="22"/>
          <w:szCs w:val="22"/>
        </w:rPr>
        <w:t>REVOCAR</w:t>
      </w:r>
      <w:r w:rsidRPr="005A5793">
        <w:rPr>
          <w:rFonts w:ascii="Palatino Linotype" w:hAnsi="Palatino Linotype" w:cs="Tahoma"/>
          <w:b/>
          <w:sz w:val="22"/>
          <w:szCs w:val="22"/>
        </w:rPr>
        <w:t xml:space="preserve"> </w:t>
      </w:r>
      <w:r w:rsidRPr="005A5793">
        <w:rPr>
          <w:rFonts w:ascii="Palatino Linotype" w:hAnsi="Palatino Linotype" w:cs="Tahoma"/>
          <w:sz w:val="22"/>
          <w:szCs w:val="22"/>
        </w:rPr>
        <w:t xml:space="preserve">la respuesta otorgada por el Sujeto Obligado a la solicitud de información </w:t>
      </w:r>
      <w:r w:rsidR="00525771" w:rsidRPr="005A5793">
        <w:rPr>
          <w:rFonts w:ascii="Palatino Linotype" w:hAnsi="Palatino Linotype" w:cs="Tahoma"/>
          <w:sz w:val="22"/>
          <w:szCs w:val="22"/>
        </w:rPr>
        <w:t>00007/IMCUFIDETENAVA/IP/2025</w:t>
      </w:r>
      <w:r w:rsidRPr="005A5793">
        <w:rPr>
          <w:rFonts w:ascii="Palatino Linotype" w:hAnsi="Palatino Linotype" w:cs="Tahoma"/>
          <w:sz w:val="22"/>
          <w:szCs w:val="22"/>
        </w:rPr>
        <w:t xml:space="preserve">, </w:t>
      </w:r>
      <w:r w:rsidR="00903F17" w:rsidRPr="005A5793">
        <w:rPr>
          <w:rFonts w:ascii="Palatino Linotype" w:hAnsi="Palatino Linotype" w:cs="Tahoma"/>
          <w:sz w:val="22"/>
          <w:szCs w:val="22"/>
        </w:rPr>
        <w:t xml:space="preserve">a efecto de que proporcione la información </w:t>
      </w:r>
      <w:r w:rsidR="00525771" w:rsidRPr="005A5793">
        <w:rPr>
          <w:rFonts w:ascii="Palatino Linotype" w:hAnsi="Palatino Linotype" w:cs="Tahoma"/>
          <w:sz w:val="22"/>
          <w:szCs w:val="22"/>
        </w:rPr>
        <w:t>solicitada</w:t>
      </w:r>
      <w:r w:rsidR="00903F17" w:rsidRPr="005A5793">
        <w:rPr>
          <w:rFonts w:ascii="Palatino Linotype" w:hAnsi="Palatino Linotype" w:cs="Tahoma"/>
          <w:sz w:val="22"/>
          <w:szCs w:val="22"/>
        </w:rPr>
        <w:t>.</w:t>
      </w:r>
    </w:p>
    <w:p w14:paraId="71C9EF6E" w14:textId="77777777" w:rsidR="00525771" w:rsidRPr="005A5793" w:rsidRDefault="00525771" w:rsidP="00903F17">
      <w:pPr>
        <w:spacing w:line="360" w:lineRule="auto"/>
        <w:ind w:right="-93"/>
        <w:jc w:val="both"/>
        <w:rPr>
          <w:rFonts w:ascii="Palatino Linotype" w:eastAsia="Palatino Linotype" w:hAnsi="Palatino Linotype" w:cs="Palatino Linotype"/>
          <w:sz w:val="22"/>
          <w:szCs w:val="22"/>
        </w:rPr>
      </w:pPr>
    </w:p>
    <w:p w14:paraId="02E9F733" w14:textId="77777777" w:rsidR="00F23D44" w:rsidRPr="005A5793" w:rsidRDefault="00F23D44" w:rsidP="00903F17">
      <w:pPr>
        <w:spacing w:line="360" w:lineRule="auto"/>
        <w:contextualSpacing/>
        <w:jc w:val="both"/>
        <w:rPr>
          <w:rFonts w:ascii="Palatino Linotype" w:eastAsia="Calibri" w:hAnsi="Palatino Linotype" w:cs="Tahoma"/>
          <w:b/>
          <w:bCs/>
          <w:iCs/>
          <w:sz w:val="22"/>
          <w:szCs w:val="22"/>
          <w:lang w:val="es-ES" w:eastAsia="es-ES_tradnl"/>
        </w:rPr>
      </w:pPr>
      <w:r w:rsidRPr="005A5793">
        <w:rPr>
          <w:rFonts w:ascii="Palatino Linotype" w:eastAsia="Calibri" w:hAnsi="Palatino Linotype" w:cs="Tahoma"/>
          <w:b/>
          <w:bCs/>
          <w:iCs/>
          <w:sz w:val="22"/>
          <w:szCs w:val="22"/>
          <w:lang w:val="es-ES" w:eastAsia="es-ES_tradnl"/>
        </w:rPr>
        <w:t>Términos de la Resolución para el Recurrente</w:t>
      </w:r>
    </w:p>
    <w:p w14:paraId="64BD0763" w14:textId="77777777" w:rsidR="00F23D44" w:rsidRPr="005A5793" w:rsidRDefault="00F23D44" w:rsidP="00903F17">
      <w:pPr>
        <w:spacing w:line="360" w:lineRule="auto"/>
        <w:jc w:val="both"/>
        <w:rPr>
          <w:rFonts w:ascii="Palatino Linotype" w:eastAsia="Calibri" w:hAnsi="Palatino Linotype" w:cs="Tahoma"/>
          <w:iCs/>
          <w:sz w:val="22"/>
          <w:szCs w:val="22"/>
          <w:lang w:eastAsia="es-ES_tradnl"/>
        </w:rPr>
      </w:pPr>
    </w:p>
    <w:p w14:paraId="42D15315" w14:textId="36B447AD" w:rsidR="00F23D44" w:rsidRPr="005A5793" w:rsidRDefault="00F23D44" w:rsidP="00903F17">
      <w:pPr>
        <w:spacing w:line="360" w:lineRule="auto"/>
        <w:jc w:val="both"/>
        <w:rPr>
          <w:rFonts w:ascii="Palatino Linotype" w:hAnsi="Palatino Linotype" w:cs="Tahoma"/>
          <w:bCs/>
          <w:sz w:val="22"/>
          <w:szCs w:val="22"/>
          <w:u w:val="single"/>
        </w:rPr>
      </w:pPr>
      <w:r w:rsidRPr="005A5793">
        <w:rPr>
          <w:rFonts w:ascii="Palatino Linotype" w:hAnsi="Palatino Linotype" w:cs="Tahoma"/>
          <w:bCs/>
          <w:sz w:val="22"/>
          <w:szCs w:val="22"/>
          <w:u w:val="single"/>
        </w:rPr>
        <w:t xml:space="preserve">Este Instituto, determinó </w:t>
      </w:r>
      <w:r w:rsidR="00525771" w:rsidRPr="005A5793">
        <w:rPr>
          <w:rFonts w:ascii="Palatino Linotype" w:hAnsi="Palatino Linotype" w:cs="Tahoma"/>
          <w:bCs/>
          <w:sz w:val="22"/>
          <w:szCs w:val="22"/>
          <w:u w:val="single"/>
        </w:rPr>
        <w:t>revocar</w:t>
      </w:r>
      <w:r w:rsidRPr="005A5793">
        <w:rPr>
          <w:rFonts w:ascii="Palatino Linotype" w:hAnsi="Palatino Linotype" w:cs="Tahoma"/>
          <w:bCs/>
          <w:sz w:val="22"/>
          <w:szCs w:val="22"/>
          <w:u w:val="single"/>
        </w:rPr>
        <w:t xml:space="preserve"> la respuesta que le entregó el Sujeto Obligado a su solicitud de acceso, toda vez que no entregó</w:t>
      </w:r>
      <w:r w:rsidR="00ED442E" w:rsidRPr="005A5793">
        <w:rPr>
          <w:rFonts w:ascii="Palatino Linotype" w:hAnsi="Palatino Linotype" w:cs="Tahoma"/>
          <w:bCs/>
          <w:sz w:val="22"/>
          <w:szCs w:val="22"/>
          <w:u w:val="single"/>
        </w:rPr>
        <w:t xml:space="preserve"> todos</w:t>
      </w:r>
      <w:r w:rsidRPr="005A5793">
        <w:rPr>
          <w:rFonts w:ascii="Palatino Linotype" w:hAnsi="Palatino Linotype" w:cs="Tahoma"/>
          <w:bCs/>
          <w:sz w:val="22"/>
          <w:szCs w:val="22"/>
          <w:u w:val="single"/>
        </w:rPr>
        <w:t xml:space="preserve"> los documentos en que s</w:t>
      </w:r>
      <w:r w:rsidR="00ED442E" w:rsidRPr="005A5793">
        <w:rPr>
          <w:rFonts w:ascii="Palatino Linotype" w:hAnsi="Palatino Linotype" w:cs="Tahoma"/>
          <w:bCs/>
          <w:sz w:val="22"/>
          <w:szCs w:val="22"/>
          <w:u w:val="single"/>
        </w:rPr>
        <w:t>on</w:t>
      </w:r>
      <w:r w:rsidRPr="005A5793">
        <w:rPr>
          <w:rFonts w:ascii="Palatino Linotype" w:hAnsi="Palatino Linotype" w:cs="Tahoma"/>
          <w:bCs/>
          <w:sz w:val="22"/>
          <w:szCs w:val="22"/>
          <w:u w:val="single"/>
        </w:rPr>
        <w:t xml:space="preserve"> de su interés</w:t>
      </w:r>
      <w:r w:rsidR="00525771" w:rsidRPr="005A5793">
        <w:rPr>
          <w:rFonts w:ascii="Palatino Linotype" w:hAnsi="Palatino Linotype" w:cs="Tahoma"/>
          <w:bCs/>
          <w:sz w:val="22"/>
          <w:szCs w:val="22"/>
          <w:u w:val="single"/>
        </w:rPr>
        <w:t xml:space="preserve"> y es </w:t>
      </w:r>
      <w:r w:rsidR="00525771" w:rsidRPr="005A5793">
        <w:rPr>
          <w:rFonts w:ascii="Palatino Linotype" w:hAnsi="Palatino Linotype" w:cs="Tahoma"/>
          <w:bCs/>
          <w:sz w:val="22"/>
          <w:szCs w:val="22"/>
          <w:u w:val="single"/>
        </w:rPr>
        <w:lastRenderedPageBreak/>
        <w:t>información pública</w:t>
      </w:r>
      <w:r w:rsidR="006379D0" w:rsidRPr="005A5793">
        <w:rPr>
          <w:rFonts w:ascii="Palatino Linotype" w:hAnsi="Palatino Linotype" w:cs="Tahoma"/>
          <w:bCs/>
          <w:sz w:val="22"/>
          <w:szCs w:val="22"/>
          <w:u w:val="single"/>
        </w:rPr>
        <w:t>.</w:t>
      </w:r>
      <w:r w:rsidRPr="005A5793">
        <w:rPr>
          <w:rFonts w:ascii="Palatino Linotype" w:hAnsi="Palatino Linotype" w:cs="Tahoma"/>
          <w:bCs/>
          <w:sz w:val="22"/>
          <w:szCs w:val="22"/>
          <w:u w:val="single"/>
        </w:rPr>
        <w:t xml:space="preserve"> La labor del INFOEM, es apoyar a la población para acceder a la información pública y garantizar la protección de sus datos personales.</w:t>
      </w:r>
    </w:p>
    <w:p w14:paraId="736D2F9B" w14:textId="77777777" w:rsidR="00F23D44" w:rsidRPr="005A5793" w:rsidRDefault="00F23D44" w:rsidP="00903F17">
      <w:pPr>
        <w:spacing w:line="360" w:lineRule="auto"/>
        <w:ind w:right="-93"/>
        <w:jc w:val="both"/>
        <w:rPr>
          <w:rFonts w:ascii="Palatino Linotype" w:hAnsi="Palatino Linotype" w:cs="Tahoma"/>
          <w:bCs/>
          <w:sz w:val="22"/>
          <w:szCs w:val="22"/>
          <w:u w:val="single"/>
        </w:rPr>
      </w:pPr>
    </w:p>
    <w:p w14:paraId="3EC84B7D" w14:textId="77777777" w:rsidR="00F23D44" w:rsidRPr="005A5793" w:rsidRDefault="00F23D44" w:rsidP="00903F17">
      <w:pPr>
        <w:pStyle w:val="Ttulo1"/>
        <w:spacing w:before="0" w:line="360" w:lineRule="auto"/>
        <w:jc w:val="center"/>
        <w:rPr>
          <w:rFonts w:ascii="Palatino Linotype" w:eastAsia="Calibri" w:hAnsi="Palatino Linotype"/>
          <w:b/>
          <w:color w:val="auto"/>
          <w:sz w:val="22"/>
          <w:szCs w:val="22"/>
          <w:lang w:eastAsia="en-US"/>
        </w:rPr>
      </w:pPr>
      <w:bookmarkStart w:id="22" w:name="_Toc190857069"/>
      <w:bookmarkStart w:id="23" w:name="_Toc209708730"/>
      <w:r w:rsidRPr="005A5793">
        <w:rPr>
          <w:rFonts w:ascii="Palatino Linotype" w:eastAsia="Calibri" w:hAnsi="Palatino Linotype"/>
          <w:b/>
          <w:color w:val="auto"/>
          <w:sz w:val="22"/>
          <w:szCs w:val="22"/>
          <w:lang w:eastAsia="en-US"/>
        </w:rPr>
        <w:t>R E S U E L V E</w:t>
      </w:r>
      <w:bookmarkEnd w:id="22"/>
      <w:bookmarkEnd w:id="23"/>
    </w:p>
    <w:p w14:paraId="2504CFC1" w14:textId="77777777" w:rsidR="00F23D44" w:rsidRPr="005A5793" w:rsidRDefault="00F23D44" w:rsidP="00903F17">
      <w:pPr>
        <w:spacing w:line="360" w:lineRule="auto"/>
        <w:jc w:val="both"/>
        <w:rPr>
          <w:rFonts w:ascii="Palatino Linotype" w:hAnsi="Palatino Linotype" w:cs="Tahoma"/>
          <w:b/>
          <w:bCs/>
          <w:sz w:val="22"/>
          <w:szCs w:val="22"/>
        </w:rPr>
      </w:pPr>
    </w:p>
    <w:p w14:paraId="44A2F4AE" w14:textId="3BEA4BFA" w:rsidR="00F23D44" w:rsidRPr="005A5793" w:rsidRDefault="00F23D44" w:rsidP="00903F17">
      <w:pPr>
        <w:spacing w:line="360" w:lineRule="auto"/>
        <w:contextualSpacing/>
        <w:jc w:val="both"/>
        <w:rPr>
          <w:rFonts w:ascii="Palatino Linotype" w:eastAsia="Calibri" w:hAnsi="Palatino Linotype" w:cs="Tahoma"/>
          <w:bCs/>
          <w:sz w:val="22"/>
          <w:szCs w:val="22"/>
          <w:lang w:eastAsia="en-US"/>
        </w:rPr>
      </w:pPr>
      <w:r w:rsidRPr="005A5793">
        <w:rPr>
          <w:rFonts w:ascii="Palatino Linotype" w:hAnsi="Palatino Linotype" w:cs="Tahoma"/>
          <w:b/>
          <w:bCs/>
          <w:sz w:val="22"/>
          <w:szCs w:val="22"/>
        </w:rPr>
        <w:t xml:space="preserve">PRIMERO. </w:t>
      </w:r>
      <w:r w:rsidRPr="005A5793">
        <w:rPr>
          <w:rFonts w:ascii="Palatino Linotype" w:hAnsi="Palatino Linotype" w:cs="Tahoma"/>
          <w:bCs/>
          <w:sz w:val="22"/>
          <w:szCs w:val="22"/>
        </w:rPr>
        <w:t xml:space="preserve">Se </w:t>
      </w:r>
      <w:r w:rsidR="00525771" w:rsidRPr="005A5793">
        <w:rPr>
          <w:rFonts w:ascii="Palatino Linotype" w:hAnsi="Palatino Linotype" w:cs="Tahoma"/>
          <w:b/>
          <w:bCs/>
          <w:sz w:val="22"/>
          <w:szCs w:val="22"/>
        </w:rPr>
        <w:t>REVOCA</w:t>
      </w:r>
      <w:r w:rsidRPr="005A5793">
        <w:rPr>
          <w:rFonts w:ascii="Palatino Linotype" w:hAnsi="Palatino Linotype" w:cs="Tahoma"/>
          <w:bCs/>
          <w:sz w:val="22"/>
          <w:szCs w:val="22"/>
        </w:rPr>
        <w:t xml:space="preserve"> la respuesta entregada por el </w:t>
      </w:r>
      <w:r w:rsidR="007931E7" w:rsidRPr="005A5793">
        <w:rPr>
          <w:rFonts w:ascii="Palatino Linotype" w:hAnsi="Palatino Linotype" w:cs="Tahoma"/>
          <w:sz w:val="22"/>
          <w:szCs w:val="22"/>
        </w:rPr>
        <w:t>Sujeto Obligado</w:t>
      </w:r>
      <w:r w:rsidR="006379D0" w:rsidRPr="005A5793">
        <w:rPr>
          <w:rFonts w:ascii="Palatino Linotype" w:hAnsi="Palatino Linotype" w:cs="Tahoma"/>
          <w:sz w:val="22"/>
          <w:szCs w:val="22"/>
        </w:rPr>
        <w:t xml:space="preserve"> </w:t>
      </w:r>
      <w:r w:rsidRPr="005A5793">
        <w:rPr>
          <w:rFonts w:ascii="Palatino Linotype" w:eastAsia="Calibri" w:hAnsi="Palatino Linotype" w:cs="Tahoma"/>
          <w:sz w:val="22"/>
          <w:szCs w:val="22"/>
          <w:lang w:eastAsia="en-US"/>
        </w:rPr>
        <w:t>a</w:t>
      </w:r>
      <w:r w:rsidRPr="005A5793">
        <w:rPr>
          <w:rFonts w:ascii="Palatino Linotype" w:hAnsi="Palatino Linotype" w:cs="Tahoma"/>
          <w:sz w:val="22"/>
          <w:szCs w:val="22"/>
        </w:rPr>
        <w:t xml:space="preserve"> la solicitud de información </w:t>
      </w:r>
      <w:r w:rsidR="00525771" w:rsidRPr="005A5793">
        <w:rPr>
          <w:rFonts w:ascii="Palatino Linotype" w:hAnsi="Palatino Linotype"/>
          <w:sz w:val="22"/>
          <w:szCs w:val="22"/>
        </w:rPr>
        <w:t xml:space="preserve">00007/IMCUFIDETENAVA/IP/2025 </w:t>
      </w:r>
      <w:r w:rsidRPr="005A5793">
        <w:rPr>
          <w:rFonts w:ascii="Palatino Linotype" w:hAnsi="Palatino Linotype"/>
          <w:sz w:val="22"/>
          <w:szCs w:val="22"/>
        </w:rPr>
        <w:t xml:space="preserve">por resultar </w:t>
      </w:r>
      <w:r w:rsidR="00903F17" w:rsidRPr="005A5793">
        <w:rPr>
          <w:rFonts w:ascii="Palatino Linotype" w:hAnsi="Palatino Linotype"/>
          <w:b/>
          <w:bCs/>
          <w:sz w:val="22"/>
          <w:szCs w:val="22"/>
        </w:rPr>
        <w:t>FUNDADAS</w:t>
      </w:r>
      <w:r w:rsidRPr="005A5793">
        <w:rPr>
          <w:rFonts w:ascii="Palatino Linotype" w:hAnsi="Palatino Linotype" w:cs="Tahoma"/>
          <w:sz w:val="22"/>
          <w:szCs w:val="22"/>
        </w:rPr>
        <w:t xml:space="preserve"> </w:t>
      </w:r>
      <w:r w:rsidRPr="005A5793">
        <w:rPr>
          <w:rFonts w:ascii="Palatino Linotype" w:eastAsia="Calibri" w:hAnsi="Palatino Linotype" w:cs="Tahoma"/>
          <w:sz w:val="22"/>
          <w:szCs w:val="22"/>
          <w:lang w:eastAsia="en-US"/>
        </w:rPr>
        <w:t xml:space="preserve">las razones o motivos de inconformidad hechos valer por el Recurrente en el Recurso de Revisión </w:t>
      </w:r>
      <w:r w:rsidR="00525771" w:rsidRPr="005A5793">
        <w:rPr>
          <w:rFonts w:ascii="Palatino Linotype" w:hAnsi="Palatino Linotype" w:cs="Tahoma"/>
          <w:color w:val="0D0D0D" w:themeColor="text1" w:themeTint="F2"/>
          <w:sz w:val="22"/>
          <w:szCs w:val="22"/>
        </w:rPr>
        <w:t>10021</w:t>
      </w:r>
      <w:r w:rsidRPr="005A5793">
        <w:rPr>
          <w:rFonts w:ascii="Palatino Linotype" w:hAnsi="Palatino Linotype" w:cs="Tahoma"/>
          <w:color w:val="0D0D0D" w:themeColor="text1" w:themeTint="F2"/>
          <w:sz w:val="22"/>
          <w:szCs w:val="22"/>
        </w:rPr>
        <w:t>/INFOEM/IP/RR/2025</w:t>
      </w:r>
      <w:r w:rsidRPr="005A5793">
        <w:rPr>
          <w:rFonts w:ascii="Palatino Linotype" w:eastAsia="Calibri" w:hAnsi="Palatino Linotype" w:cs="Tahoma"/>
          <w:sz w:val="22"/>
          <w:szCs w:val="22"/>
          <w:lang w:eastAsia="en-US"/>
        </w:rPr>
        <w:t xml:space="preserve">, </w:t>
      </w:r>
      <w:r w:rsidRPr="005A5793">
        <w:rPr>
          <w:rFonts w:ascii="Palatino Linotype" w:eastAsia="Calibri" w:hAnsi="Palatino Linotype" w:cs="Tahoma"/>
          <w:bCs/>
          <w:sz w:val="22"/>
          <w:szCs w:val="22"/>
          <w:lang w:eastAsia="en-US"/>
        </w:rPr>
        <w:t>en términos de los considerandos QUINTO y SEXTO de la presente Resolución.</w:t>
      </w:r>
    </w:p>
    <w:p w14:paraId="3A91A1AF" w14:textId="77777777" w:rsidR="00F23D44" w:rsidRPr="005A5793" w:rsidRDefault="00F23D44" w:rsidP="00903F17">
      <w:pPr>
        <w:spacing w:line="360" w:lineRule="auto"/>
        <w:contextualSpacing/>
        <w:jc w:val="both"/>
        <w:rPr>
          <w:rFonts w:ascii="Palatino Linotype" w:hAnsi="Palatino Linotype" w:cs="Tahoma"/>
          <w:bCs/>
          <w:sz w:val="22"/>
          <w:szCs w:val="22"/>
        </w:rPr>
      </w:pPr>
    </w:p>
    <w:p w14:paraId="10C26F65" w14:textId="7E29ADD0" w:rsidR="00525771" w:rsidRPr="005A5793" w:rsidRDefault="00F23D44" w:rsidP="00903F17">
      <w:pPr>
        <w:spacing w:line="360" w:lineRule="auto"/>
        <w:ind w:right="-93"/>
        <w:jc w:val="both"/>
        <w:rPr>
          <w:rFonts w:ascii="Palatino Linotype" w:hAnsi="Palatino Linotype" w:cs="Arial"/>
          <w:sz w:val="22"/>
          <w:szCs w:val="22"/>
          <w:lang w:val="es-ES"/>
        </w:rPr>
      </w:pPr>
      <w:r w:rsidRPr="005A5793">
        <w:rPr>
          <w:rFonts w:ascii="Palatino Linotype" w:hAnsi="Palatino Linotype" w:cs="Tahoma"/>
          <w:b/>
          <w:bCs/>
          <w:sz w:val="22"/>
          <w:szCs w:val="22"/>
        </w:rPr>
        <w:t xml:space="preserve">SEGUNDO. </w:t>
      </w:r>
      <w:r w:rsidRPr="005A5793">
        <w:rPr>
          <w:rFonts w:ascii="Palatino Linotype" w:hAnsi="Palatino Linotype" w:cs="Tahoma"/>
          <w:sz w:val="22"/>
          <w:szCs w:val="22"/>
        </w:rPr>
        <w:t xml:space="preserve">Se </w:t>
      </w:r>
      <w:r w:rsidRPr="005A5793">
        <w:rPr>
          <w:rFonts w:ascii="Palatino Linotype" w:hAnsi="Palatino Linotype" w:cs="Tahoma"/>
          <w:b/>
          <w:sz w:val="22"/>
          <w:szCs w:val="22"/>
        </w:rPr>
        <w:t xml:space="preserve">ORDENA </w:t>
      </w:r>
      <w:r w:rsidRPr="005A5793">
        <w:rPr>
          <w:rFonts w:ascii="Palatino Linotype" w:hAnsi="Palatino Linotype" w:cs="Tahoma"/>
          <w:sz w:val="22"/>
          <w:szCs w:val="22"/>
        </w:rPr>
        <w:t xml:space="preserve">al </w:t>
      </w:r>
      <w:r w:rsidR="00A3770E" w:rsidRPr="005A5793">
        <w:rPr>
          <w:rFonts w:ascii="Palatino Linotype" w:eastAsia="Calibri" w:hAnsi="Palatino Linotype" w:cs="Tahoma"/>
          <w:sz w:val="22"/>
          <w:szCs w:val="22"/>
          <w:lang w:eastAsia="en-US"/>
        </w:rPr>
        <w:t>Instituto Municipal de Cultura Física y Deporte de Tenango del Valle</w:t>
      </w:r>
      <w:r w:rsidRPr="005A5793">
        <w:rPr>
          <w:rFonts w:ascii="Palatino Linotype" w:hAnsi="Palatino Linotype" w:cs="Tahoma"/>
          <w:sz w:val="22"/>
          <w:szCs w:val="22"/>
        </w:rPr>
        <w:t>, a efecto de que</w:t>
      </w:r>
      <w:r w:rsidR="00903F17" w:rsidRPr="005A5793">
        <w:rPr>
          <w:rFonts w:ascii="Palatino Linotype" w:hAnsi="Palatino Linotype" w:cs="Tahoma"/>
          <w:sz w:val="22"/>
          <w:szCs w:val="22"/>
        </w:rPr>
        <w:t xml:space="preserve"> previa búsqueda exhaustiva y razonable en los archivos de las unidades administrativas competentes</w:t>
      </w:r>
      <w:r w:rsidRPr="005A5793">
        <w:rPr>
          <w:rFonts w:ascii="Palatino Linotype" w:hAnsi="Palatino Linotype" w:cs="Tahoma"/>
          <w:sz w:val="22"/>
          <w:szCs w:val="22"/>
        </w:rPr>
        <w:t>, remita</w:t>
      </w:r>
      <w:r w:rsidRPr="005A5793">
        <w:rPr>
          <w:rFonts w:ascii="Palatino Linotype" w:hAnsi="Palatino Linotype" w:cs="Tahoma"/>
          <w:bCs/>
          <w:iCs/>
          <w:sz w:val="22"/>
          <w:szCs w:val="22"/>
          <w:lang w:val="es-ES_tradnl"/>
        </w:rPr>
        <w:t xml:space="preserve"> </w:t>
      </w:r>
      <w:r w:rsidRPr="005A5793">
        <w:rPr>
          <w:rFonts w:ascii="Palatino Linotype" w:hAnsi="Palatino Linotype" w:cs="Tahoma"/>
          <w:bCs/>
          <w:iCs/>
          <w:sz w:val="22"/>
          <w:szCs w:val="22"/>
        </w:rPr>
        <w:t xml:space="preserve">a través </w:t>
      </w:r>
      <w:r w:rsidRPr="005A5793">
        <w:rPr>
          <w:rFonts w:ascii="Palatino Linotype" w:hAnsi="Palatino Linotype" w:cs="Tahoma"/>
          <w:bCs/>
          <w:iCs/>
          <w:sz w:val="22"/>
          <w:szCs w:val="22"/>
          <w:lang w:val="es-ES_tradnl"/>
        </w:rPr>
        <w:t>del SAIMEX</w:t>
      </w:r>
      <w:r w:rsidRPr="005A5793">
        <w:rPr>
          <w:rFonts w:ascii="Palatino Linotype" w:hAnsi="Palatino Linotype" w:cs="Arial"/>
          <w:sz w:val="22"/>
          <w:szCs w:val="22"/>
          <w:lang w:val="es-ES"/>
        </w:rPr>
        <w:t xml:space="preserve">, en versión pública, </w:t>
      </w:r>
      <w:r w:rsidR="00525771" w:rsidRPr="005A5793">
        <w:rPr>
          <w:rFonts w:ascii="Palatino Linotype" w:hAnsi="Palatino Linotype" w:cs="Arial"/>
          <w:sz w:val="22"/>
          <w:szCs w:val="22"/>
          <w:lang w:val="es-ES"/>
        </w:rPr>
        <w:t>los recibos de nómina</w:t>
      </w:r>
      <w:r w:rsidR="007931E7" w:rsidRPr="005A5793">
        <w:rPr>
          <w:rFonts w:ascii="Palatino Linotype" w:hAnsi="Palatino Linotype" w:cs="Arial"/>
          <w:sz w:val="22"/>
          <w:szCs w:val="22"/>
          <w:lang w:val="es-ES"/>
        </w:rPr>
        <w:t xml:space="preserve"> de</w:t>
      </w:r>
      <w:r w:rsidR="00525771" w:rsidRPr="005A5793">
        <w:rPr>
          <w:rFonts w:ascii="Palatino Linotype" w:hAnsi="Palatino Linotype" w:cs="Arial"/>
          <w:sz w:val="22"/>
          <w:szCs w:val="22"/>
          <w:lang w:val="es-ES"/>
        </w:rPr>
        <w:t xml:space="preserve"> </w:t>
      </w:r>
      <w:r w:rsidR="007931E7" w:rsidRPr="005A5793">
        <w:rPr>
          <w:rFonts w:ascii="Palatino Linotype" w:hAnsi="Palatino Linotype" w:cs="Arial"/>
          <w:sz w:val="22"/>
          <w:szCs w:val="22"/>
          <w:lang w:val="es-ES"/>
        </w:rPr>
        <w:t xml:space="preserve">la segunda quincena de julio dos mil veinticinco, de </w:t>
      </w:r>
      <w:r w:rsidR="00525771" w:rsidRPr="005A5793">
        <w:rPr>
          <w:rFonts w:ascii="Palatino Linotype" w:hAnsi="Palatino Linotype" w:cs="Arial"/>
          <w:sz w:val="22"/>
          <w:szCs w:val="22"/>
          <w:lang w:val="es-ES"/>
        </w:rPr>
        <w:t xml:space="preserve">todos los servidores públicos </w:t>
      </w:r>
      <w:r w:rsidR="007931E7" w:rsidRPr="005A5793">
        <w:rPr>
          <w:rFonts w:ascii="Palatino Linotype" w:hAnsi="Palatino Linotype" w:cs="Arial"/>
          <w:sz w:val="22"/>
          <w:szCs w:val="22"/>
          <w:lang w:val="es-ES"/>
        </w:rPr>
        <w:t>adscritos al Sujeto Obligado.</w:t>
      </w:r>
    </w:p>
    <w:p w14:paraId="1F673C11" w14:textId="77777777" w:rsidR="00525771" w:rsidRPr="005A5793" w:rsidRDefault="00525771" w:rsidP="00903F17">
      <w:pPr>
        <w:spacing w:line="360" w:lineRule="auto"/>
        <w:ind w:right="-93"/>
        <w:jc w:val="both"/>
        <w:rPr>
          <w:rFonts w:ascii="Palatino Linotype" w:hAnsi="Palatino Linotype" w:cs="Arial"/>
          <w:sz w:val="22"/>
          <w:szCs w:val="22"/>
          <w:lang w:val="es-ES"/>
        </w:rPr>
      </w:pPr>
    </w:p>
    <w:p w14:paraId="176F392A" w14:textId="1E309175" w:rsidR="00F23D44" w:rsidRPr="005A5793" w:rsidRDefault="007931E7" w:rsidP="00903F17">
      <w:pPr>
        <w:spacing w:line="360" w:lineRule="auto"/>
        <w:ind w:right="-93"/>
        <w:jc w:val="both"/>
        <w:rPr>
          <w:rFonts w:ascii="Palatino Linotype" w:eastAsia="Calibri" w:hAnsi="Palatino Linotype" w:cs="Tahoma"/>
          <w:bCs/>
          <w:sz w:val="22"/>
          <w:szCs w:val="22"/>
          <w:lang w:eastAsia="en-US"/>
        </w:rPr>
      </w:pPr>
      <w:r w:rsidRPr="005A5793">
        <w:rPr>
          <w:rFonts w:ascii="Palatino Linotype" w:eastAsia="Calibri" w:hAnsi="Palatino Linotype" w:cs="Tahoma"/>
          <w:bCs/>
          <w:sz w:val="22"/>
          <w:szCs w:val="22"/>
          <w:lang w:eastAsia="en-US"/>
        </w:rPr>
        <w:t xml:space="preserve">Además, </w:t>
      </w:r>
      <w:r w:rsidR="00F23D44" w:rsidRPr="005A5793">
        <w:rPr>
          <w:rFonts w:ascii="Palatino Linotype" w:eastAsia="Calibri" w:hAnsi="Palatino Linotype" w:cs="Tahoma"/>
          <w:bCs/>
          <w:sz w:val="22"/>
          <w:szCs w:val="22"/>
          <w:lang w:eastAsia="en-US"/>
        </w:rPr>
        <w:t>deberá proporcionar el Acuerdo donde el Comité de Transparencia, confirme la eliminación de los datos</w:t>
      </w:r>
      <w:r w:rsidRPr="005A5793">
        <w:rPr>
          <w:rFonts w:ascii="Palatino Linotype" w:eastAsia="Calibri" w:hAnsi="Palatino Linotype" w:cs="Tahoma"/>
          <w:bCs/>
          <w:sz w:val="22"/>
          <w:szCs w:val="22"/>
          <w:lang w:eastAsia="en-US"/>
        </w:rPr>
        <w:t xml:space="preserve"> o información, en términos del Considerando QUINTO</w:t>
      </w:r>
      <w:r w:rsidR="00F23D44" w:rsidRPr="005A5793">
        <w:rPr>
          <w:rFonts w:ascii="Palatino Linotype" w:eastAsia="Calibri" w:hAnsi="Palatino Linotype" w:cs="Tahoma"/>
          <w:bCs/>
          <w:sz w:val="22"/>
          <w:szCs w:val="22"/>
          <w:lang w:eastAsia="en-US"/>
        </w:rPr>
        <w:t>, de conformidad con los artículos 49, fracciones II y VIII, 132, fracción III, de la Ley de Transparencia y Acceso a la Información Pública del Estado de México y Municipios.</w:t>
      </w:r>
    </w:p>
    <w:p w14:paraId="3D0290D8" w14:textId="77777777" w:rsidR="007931E7" w:rsidRPr="005A5793" w:rsidRDefault="007931E7" w:rsidP="00903F17">
      <w:pPr>
        <w:spacing w:line="360" w:lineRule="auto"/>
        <w:ind w:right="-93"/>
        <w:jc w:val="both"/>
        <w:rPr>
          <w:rFonts w:ascii="Palatino Linotype" w:eastAsia="Calibri" w:hAnsi="Palatino Linotype" w:cs="Tahoma"/>
          <w:bCs/>
          <w:sz w:val="22"/>
          <w:szCs w:val="22"/>
          <w:lang w:eastAsia="en-US"/>
        </w:rPr>
      </w:pPr>
    </w:p>
    <w:p w14:paraId="312A0AD4" w14:textId="77777777" w:rsidR="007931E7" w:rsidRPr="005A5793" w:rsidRDefault="00F23D44" w:rsidP="00903F17">
      <w:pPr>
        <w:spacing w:line="360" w:lineRule="auto"/>
        <w:contextualSpacing/>
        <w:jc w:val="both"/>
        <w:rPr>
          <w:rFonts w:ascii="Palatino Linotype" w:eastAsia="Calibri" w:hAnsi="Palatino Linotype" w:cs="Tahoma"/>
          <w:bCs/>
          <w:sz w:val="22"/>
          <w:szCs w:val="22"/>
          <w:lang w:eastAsia="en-US"/>
        </w:rPr>
      </w:pPr>
      <w:r w:rsidRPr="005A5793">
        <w:rPr>
          <w:rFonts w:ascii="Palatino Linotype" w:eastAsia="Calibri" w:hAnsi="Palatino Linotype" w:cs="Tahoma"/>
          <w:b/>
          <w:bCs/>
          <w:sz w:val="22"/>
          <w:szCs w:val="22"/>
          <w:lang w:eastAsia="en-US"/>
        </w:rPr>
        <w:t xml:space="preserve">TERCERO. NOTIFÍQUESE POR SAIMEX </w:t>
      </w:r>
      <w:r w:rsidRPr="005A5793">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w:t>
      </w:r>
      <w:r w:rsidRPr="005A5793">
        <w:rPr>
          <w:rFonts w:ascii="Palatino Linotype" w:eastAsia="Calibri" w:hAnsi="Palatino Linotype" w:cs="Tahoma"/>
          <w:bCs/>
          <w:sz w:val="22"/>
          <w:szCs w:val="22"/>
          <w:lang w:eastAsia="en-US"/>
        </w:rPr>
        <w:lastRenderedPageBreak/>
        <w:t>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903F17" w:rsidRPr="005A5793">
        <w:rPr>
          <w:rFonts w:ascii="Palatino Linotype" w:eastAsia="Calibri" w:hAnsi="Palatino Linotype" w:cs="Tahoma"/>
          <w:bCs/>
          <w:sz w:val="22"/>
          <w:szCs w:val="22"/>
          <w:lang w:eastAsia="en-US"/>
        </w:rPr>
        <w:t xml:space="preserve"> </w:t>
      </w:r>
    </w:p>
    <w:p w14:paraId="3338035C" w14:textId="77777777" w:rsidR="007931E7" w:rsidRPr="005A5793" w:rsidRDefault="007931E7" w:rsidP="00903F17">
      <w:pPr>
        <w:spacing w:line="360" w:lineRule="auto"/>
        <w:contextualSpacing/>
        <w:jc w:val="both"/>
        <w:rPr>
          <w:rFonts w:ascii="Palatino Linotype" w:eastAsia="Calibri" w:hAnsi="Palatino Linotype" w:cs="Tahoma"/>
          <w:bCs/>
          <w:sz w:val="22"/>
          <w:szCs w:val="22"/>
          <w:lang w:eastAsia="en-US"/>
        </w:rPr>
      </w:pPr>
    </w:p>
    <w:p w14:paraId="4D5CE2C5" w14:textId="34EE40C8" w:rsidR="00F23D44" w:rsidRPr="005A5793" w:rsidRDefault="00F23D44" w:rsidP="00903F17">
      <w:pPr>
        <w:spacing w:line="360" w:lineRule="auto"/>
        <w:contextualSpacing/>
        <w:jc w:val="both"/>
        <w:rPr>
          <w:rFonts w:ascii="Palatino Linotype" w:hAnsi="Palatino Linotype" w:cs="Tahoma"/>
          <w:iCs/>
          <w:sz w:val="22"/>
          <w:szCs w:val="22"/>
        </w:rPr>
      </w:pPr>
      <w:r w:rsidRPr="005A5793">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F747F9F" w14:textId="77777777" w:rsidR="00F23D44" w:rsidRPr="005A5793" w:rsidRDefault="00F23D44" w:rsidP="00903F17">
      <w:pPr>
        <w:spacing w:line="360" w:lineRule="auto"/>
        <w:contextualSpacing/>
        <w:jc w:val="both"/>
        <w:rPr>
          <w:rFonts w:ascii="Palatino Linotype" w:eastAsia="Calibri" w:hAnsi="Palatino Linotype" w:cs="Tahoma"/>
          <w:color w:val="000000"/>
          <w:sz w:val="22"/>
          <w:szCs w:val="22"/>
          <w:lang w:val="es-ES" w:eastAsia="es-MX"/>
        </w:rPr>
      </w:pPr>
    </w:p>
    <w:p w14:paraId="3350F1B8" w14:textId="77777777" w:rsidR="00F23D44" w:rsidRPr="005A5793" w:rsidRDefault="00F23D44" w:rsidP="00903F17">
      <w:pPr>
        <w:spacing w:line="360" w:lineRule="auto"/>
        <w:jc w:val="both"/>
        <w:rPr>
          <w:rFonts w:ascii="Palatino Linotype" w:hAnsi="Palatino Linotype" w:cs="Tahoma"/>
          <w:color w:val="000000" w:themeColor="text1"/>
          <w:sz w:val="22"/>
          <w:szCs w:val="22"/>
        </w:rPr>
      </w:pPr>
      <w:r w:rsidRPr="005A5793">
        <w:rPr>
          <w:rFonts w:ascii="Palatino Linotype" w:eastAsia="Calibri" w:hAnsi="Palatino Linotype" w:cs="Tahoma"/>
          <w:b/>
          <w:color w:val="000000" w:themeColor="text1"/>
          <w:sz w:val="22"/>
          <w:szCs w:val="22"/>
          <w:lang w:eastAsia="es-MX"/>
        </w:rPr>
        <w:t>CUARTO</w:t>
      </w:r>
      <w:r w:rsidRPr="005A5793">
        <w:rPr>
          <w:rFonts w:ascii="Palatino Linotype" w:eastAsia="Calibri" w:hAnsi="Palatino Linotype" w:cs="Tahoma"/>
          <w:b/>
          <w:bCs/>
          <w:color w:val="000000" w:themeColor="text1"/>
          <w:sz w:val="22"/>
          <w:szCs w:val="22"/>
          <w:lang w:eastAsia="en-US"/>
        </w:rPr>
        <w:t xml:space="preserve">. </w:t>
      </w:r>
      <w:r w:rsidRPr="005A5793">
        <w:rPr>
          <w:rFonts w:ascii="Palatino Linotype" w:hAnsi="Palatino Linotype" w:cs="Tahoma"/>
          <w:b/>
          <w:color w:val="000000" w:themeColor="text1"/>
          <w:sz w:val="22"/>
          <w:szCs w:val="22"/>
        </w:rPr>
        <w:t>NOTIFÍQUESE</w:t>
      </w:r>
      <w:r w:rsidRPr="005A5793">
        <w:rPr>
          <w:rFonts w:ascii="Palatino Linotype" w:hAnsi="Palatino Linotype" w:cs="Tahoma"/>
          <w:color w:val="000000" w:themeColor="text1"/>
          <w:sz w:val="22"/>
          <w:szCs w:val="22"/>
        </w:rPr>
        <w:t xml:space="preserve"> </w:t>
      </w:r>
      <w:r w:rsidRPr="005A5793">
        <w:rPr>
          <w:rFonts w:ascii="Palatino Linotype" w:eastAsia="Calibri" w:hAnsi="Palatino Linotype" w:cs="Tahoma"/>
          <w:b/>
          <w:bCs/>
          <w:sz w:val="22"/>
          <w:szCs w:val="22"/>
          <w:lang w:eastAsia="en-US"/>
        </w:rPr>
        <w:t xml:space="preserve">POR SAIMEX </w:t>
      </w:r>
      <w:r w:rsidRPr="005A5793">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5A5793">
        <w:rPr>
          <w:rFonts w:ascii="Palatino Linotype" w:hAnsi="Palatino Linotype" w:cs="Tahoma"/>
          <w:sz w:val="22"/>
          <w:szCs w:val="22"/>
        </w:rPr>
        <w:t>.</w:t>
      </w:r>
    </w:p>
    <w:p w14:paraId="4355FC88" w14:textId="77777777" w:rsidR="006E68D3" w:rsidRPr="005A5793" w:rsidRDefault="006E68D3" w:rsidP="00903F17">
      <w:pPr>
        <w:spacing w:line="360" w:lineRule="auto"/>
        <w:jc w:val="both"/>
        <w:rPr>
          <w:rFonts w:ascii="Palatino Linotype" w:eastAsia="Calibri" w:hAnsi="Palatino Linotype" w:cs="Tahoma"/>
          <w:iCs/>
          <w:sz w:val="22"/>
          <w:szCs w:val="22"/>
          <w:lang w:val="es-ES" w:eastAsia="es-ES_tradnl"/>
        </w:rPr>
      </w:pPr>
    </w:p>
    <w:p w14:paraId="54C5BB55" w14:textId="25F155B7" w:rsidR="00803E3D" w:rsidRDefault="00803E3D" w:rsidP="00903F17">
      <w:pPr>
        <w:spacing w:line="360" w:lineRule="auto"/>
        <w:contextualSpacing/>
        <w:jc w:val="both"/>
        <w:rPr>
          <w:rFonts w:ascii="Palatino Linotype" w:hAnsi="Palatino Linotype" w:cs="Tahoma"/>
          <w:sz w:val="22"/>
          <w:szCs w:val="22"/>
        </w:rPr>
      </w:pPr>
      <w:r w:rsidRPr="005A5793">
        <w:rPr>
          <w:rFonts w:ascii="Palatino Linotype" w:hAnsi="Palatino Linotype" w:cs="Tahoma"/>
          <w:sz w:val="22"/>
          <w:szCs w:val="22"/>
          <w:lang w:eastAsia="es-MX"/>
        </w:rPr>
        <w:t xml:space="preserve">ASÍ LO RESUELVE, POR </w:t>
      </w:r>
      <w:r w:rsidRPr="005A5793">
        <w:rPr>
          <w:rFonts w:ascii="Palatino Linotype" w:hAnsi="Palatino Linotype" w:cs="Tahoma"/>
          <w:b/>
          <w:sz w:val="22"/>
          <w:szCs w:val="22"/>
          <w:lang w:eastAsia="es-MX"/>
        </w:rPr>
        <w:t>UNANIMIDAD</w:t>
      </w:r>
      <w:r w:rsidRPr="005A5793">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5A5793">
        <w:rPr>
          <w:rFonts w:ascii="Palatino Linotype" w:hAnsi="Palatino Linotype" w:cs="Tahoma"/>
          <w:sz w:val="22"/>
          <w:szCs w:val="22"/>
          <w:lang w:eastAsia="es-MX"/>
        </w:rPr>
        <w:t xml:space="preserve"> </w:t>
      </w:r>
      <w:r w:rsidR="005C0E48" w:rsidRPr="005A5793">
        <w:rPr>
          <w:rFonts w:ascii="Palatino Linotype" w:hAnsi="Palatino Linotype" w:cs="Tahoma"/>
          <w:sz w:val="22"/>
          <w:szCs w:val="22"/>
          <w:lang w:eastAsia="es-MX"/>
        </w:rPr>
        <w:t xml:space="preserve"> </w:t>
      </w:r>
      <w:r w:rsidRPr="005A5793">
        <w:rPr>
          <w:rFonts w:ascii="Palatino Linotype" w:hAnsi="Palatino Linotype" w:cs="Tahoma"/>
          <w:sz w:val="22"/>
          <w:szCs w:val="22"/>
          <w:lang w:eastAsia="es-MX"/>
        </w:rPr>
        <w:t xml:space="preserve">Y GUADALUPE RAMÍREZ PEÑA, EN LA </w:t>
      </w:r>
      <w:r w:rsidR="00CA20E6" w:rsidRPr="005A5793">
        <w:rPr>
          <w:rFonts w:ascii="Palatino Linotype" w:hAnsi="Palatino Linotype" w:cs="Tahoma"/>
          <w:sz w:val="22"/>
          <w:szCs w:val="22"/>
          <w:lang w:eastAsia="es-MX"/>
        </w:rPr>
        <w:t>TRIGÉSIMA</w:t>
      </w:r>
      <w:r w:rsidR="00525771" w:rsidRPr="005A5793">
        <w:rPr>
          <w:rFonts w:ascii="Palatino Linotype" w:hAnsi="Palatino Linotype" w:cs="Tahoma"/>
          <w:sz w:val="22"/>
          <w:szCs w:val="22"/>
          <w:lang w:eastAsia="es-MX"/>
        </w:rPr>
        <w:t xml:space="preserve"> </w:t>
      </w:r>
      <w:r w:rsidR="00DE6FE5" w:rsidRPr="005A5793">
        <w:rPr>
          <w:rFonts w:ascii="Palatino Linotype" w:hAnsi="Palatino Linotype" w:cs="Tahoma"/>
          <w:sz w:val="22"/>
          <w:szCs w:val="22"/>
          <w:lang w:eastAsia="es-MX"/>
        </w:rPr>
        <w:t>CUARTA</w:t>
      </w:r>
      <w:r w:rsidR="00CA20E6" w:rsidRPr="005A5793">
        <w:rPr>
          <w:rFonts w:ascii="Palatino Linotype" w:hAnsi="Palatino Linotype" w:cs="Tahoma"/>
          <w:sz w:val="22"/>
          <w:szCs w:val="22"/>
          <w:lang w:eastAsia="es-MX"/>
        </w:rPr>
        <w:t xml:space="preserve"> </w:t>
      </w:r>
      <w:r w:rsidRPr="005A5793">
        <w:rPr>
          <w:rFonts w:ascii="Palatino Linotype" w:hAnsi="Palatino Linotype" w:cs="Tahoma"/>
          <w:sz w:val="22"/>
          <w:szCs w:val="22"/>
          <w:lang w:eastAsia="es-MX"/>
        </w:rPr>
        <w:t xml:space="preserve">SESIÓN ORDINARIA, CELEBRADA EL </w:t>
      </w:r>
      <w:r w:rsidR="00DE6FE5" w:rsidRPr="005A5793">
        <w:rPr>
          <w:rFonts w:ascii="Palatino Linotype" w:hAnsi="Palatino Linotype" w:cs="Tahoma"/>
          <w:sz w:val="22"/>
          <w:szCs w:val="22"/>
          <w:lang w:eastAsia="es-MX"/>
        </w:rPr>
        <w:t>VEINTICUATRO</w:t>
      </w:r>
      <w:r w:rsidR="00525771" w:rsidRPr="005A5793">
        <w:rPr>
          <w:rFonts w:ascii="Palatino Linotype" w:hAnsi="Palatino Linotype" w:cs="Tahoma"/>
          <w:sz w:val="22"/>
          <w:szCs w:val="22"/>
          <w:lang w:eastAsia="es-MX"/>
        </w:rPr>
        <w:t xml:space="preserve"> DE SEPTIEMBRE </w:t>
      </w:r>
      <w:r w:rsidR="00B73D51" w:rsidRPr="005A5793">
        <w:rPr>
          <w:rFonts w:ascii="Palatino Linotype" w:hAnsi="Palatino Linotype" w:cs="Tahoma"/>
          <w:sz w:val="22"/>
          <w:szCs w:val="22"/>
          <w:lang w:eastAsia="es-MX"/>
        </w:rPr>
        <w:t>DE DOS MIL VEINTI</w:t>
      </w:r>
      <w:r w:rsidR="004E622C" w:rsidRPr="005A5793">
        <w:rPr>
          <w:rFonts w:ascii="Palatino Linotype" w:hAnsi="Palatino Linotype" w:cs="Tahoma"/>
          <w:sz w:val="22"/>
          <w:szCs w:val="22"/>
          <w:lang w:eastAsia="es-MX"/>
        </w:rPr>
        <w:t>C</w:t>
      </w:r>
      <w:r w:rsidR="006059A8" w:rsidRPr="005A5793">
        <w:rPr>
          <w:rFonts w:ascii="Palatino Linotype" w:hAnsi="Palatino Linotype" w:cs="Tahoma"/>
          <w:sz w:val="22"/>
          <w:szCs w:val="22"/>
          <w:lang w:eastAsia="es-MX"/>
        </w:rPr>
        <w:t>INCO</w:t>
      </w:r>
      <w:r w:rsidRPr="005A5793">
        <w:rPr>
          <w:rFonts w:ascii="Palatino Linotype" w:hAnsi="Palatino Linotype" w:cs="Tahoma"/>
          <w:sz w:val="22"/>
          <w:szCs w:val="22"/>
          <w:lang w:eastAsia="es-MX"/>
        </w:rPr>
        <w:t>, ANTE EL SECRETARIO TÉCNICO DEL PLENO, ALEXIS TAPIA RAMÍREZ.</w:t>
      </w:r>
    </w:p>
    <w:p w14:paraId="40B0821F" w14:textId="77777777" w:rsidR="00163BAA" w:rsidRDefault="00163BAA" w:rsidP="00903F17">
      <w:pPr>
        <w:spacing w:line="360" w:lineRule="auto"/>
        <w:contextualSpacing/>
        <w:jc w:val="both"/>
        <w:rPr>
          <w:rFonts w:ascii="Palatino Linotype" w:hAnsi="Palatino Linotype" w:cs="Tahoma"/>
          <w:sz w:val="22"/>
          <w:szCs w:val="22"/>
        </w:rPr>
      </w:pPr>
    </w:p>
    <w:p w14:paraId="4E7CBBB9" w14:textId="77777777" w:rsidR="00163BAA" w:rsidRDefault="00163BAA" w:rsidP="00903F17">
      <w:pPr>
        <w:spacing w:line="360" w:lineRule="auto"/>
        <w:contextualSpacing/>
        <w:jc w:val="both"/>
        <w:rPr>
          <w:rFonts w:ascii="Palatino Linotype" w:hAnsi="Palatino Linotype" w:cs="Tahoma"/>
          <w:sz w:val="22"/>
          <w:szCs w:val="22"/>
        </w:rPr>
      </w:pPr>
    </w:p>
    <w:p w14:paraId="223A8798" w14:textId="77777777" w:rsidR="0089175F" w:rsidRDefault="0089175F" w:rsidP="00903F17">
      <w:pPr>
        <w:spacing w:line="360" w:lineRule="auto"/>
        <w:contextualSpacing/>
        <w:jc w:val="both"/>
        <w:rPr>
          <w:rFonts w:ascii="Palatino Linotype" w:hAnsi="Palatino Linotype" w:cs="Tahoma"/>
          <w:sz w:val="22"/>
          <w:szCs w:val="22"/>
        </w:rPr>
      </w:pPr>
    </w:p>
    <w:p w14:paraId="3A708E76" w14:textId="77777777" w:rsidR="0089175F" w:rsidRDefault="0089175F" w:rsidP="00903F17">
      <w:pPr>
        <w:spacing w:line="360" w:lineRule="auto"/>
        <w:contextualSpacing/>
        <w:jc w:val="both"/>
        <w:rPr>
          <w:rFonts w:ascii="Palatino Linotype" w:hAnsi="Palatino Linotype" w:cs="Tahoma"/>
          <w:sz w:val="22"/>
          <w:szCs w:val="22"/>
        </w:rPr>
      </w:pPr>
    </w:p>
    <w:p w14:paraId="0B162035" w14:textId="77777777" w:rsidR="0089175F" w:rsidRDefault="0089175F" w:rsidP="00903F17">
      <w:pPr>
        <w:spacing w:line="360" w:lineRule="auto"/>
        <w:contextualSpacing/>
        <w:jc w:val="both"/>
        <w:rPr>
          <w:rFonts w:ascii="Palatino Linotype" w:hAnsi="Palatino Linotype" w:cs="Tahoma"/>
          <w:sz w:val="22"/>
          <w:szCs w:val="22"/>
        </w:rPr>
      </w:pPr>
    </w:p>
    <w:p w14:paraId="6ADE54D6" w14:textId="77777777" w:rsidR="0089175F" w:rsidRDefault="0089175F" w:rsidP="00903F17">
      <w:pPr>
        <w:spacing w:line="360" w:lineRule="auto"/>
        <w:contextualSpacing/>
        <w:jc w:val="both"/>
        <w:rPr>
          <w:rFonts w:ascii="Palatino Linotype" w:hAnsi="Palatino Linotype" w:cs="Tahoma"/>
          <w:sz w:val="22"/>
          <w:szCs w:val="22"/>
        </w:rPr>
      </w:pPr>
    </w:p>
    <w:p w14:paraId="6E698FCC" w14:textId="77777777" w:rsidR="001F1A77" w:rsidRDefault="001F1A77" w:rsidP="00903F17">
      <w:pPr>
        <w:spacing w:line="360" w:lineRule="auto"/>
        <w:contextualSpacing/>
        <w:jc w:val="both"/>
        <w:rPr>
          <w:rFonts w:ascii="Palatino Linotype" w:hAnsi="Palatino Linotype" w:cs="Tahoma"/>
          <w:sz w:val="22"/>
          <w:szCs w:val="22"/>
        </w:rPr>
      </w:pPr>
    </w:p>
    <w:p w14:paraId="62BE8144" w14:textId="77777777" w:rsidR="001F1A77" w:rsidRDefault="001F1A77" w:rsidP="00903F17">
      <w:pPr>
        <w:spacing w:line="360" w:lineRule="auto"/>
        <w:contextualSpacing/>
        <w:jc w:val="both"/>
        <w:rPr>
          <w:rFonts w:ascii="Palatino Linotype" w:hAnsi="Palatino Linotype" w:cs="Tahoma"/>
          <w:sz w:val="22"/>
          <w:szCs w:val="22"/>
        </w:rPr>
      </w:pPr>
    </w:p>
    <w:p w14:paraId="4171E6CB" w14:textId="77777777" w:rsidR="000B1059" w:rsidRDefault="000B1059" w:rsidP="00903F17">
      <w:pPr>
        <w:spacing w:line="360" w:lineRule="auto"/>
        <w:contextualSpacing/>
        <w:jc w:val="both"/>
        <w:rPr>
          <w:rFonts w:ascii="Palatino Linotype" w:hAnsi="Palatino Linotype" w:cs="Tahoma"/>
          <w:sz w:val="22"/>
          <w:szCs w:val="22"/>
        </w:rPr>
      </w:pPr>
    </w:p>
    <w:p w14:paraId="49AFD276" w14:textId="77777777" w:rsidR="000B1059" w:rsidRDefault="000B1059" w:rsidP="00903F17">
      <w:pPr>
        <w:spacing w:line="360" w:lineRule="auto"/>
        <w:contextualSpacing/>
        <w:jc w:val="both"/>
        <w:rPr>
          <w:rFonts w:ascii="Palatino Linotype" w:hAnsi="Palatino Linotype" w:cs="Tahoma"/>
          <w:sz w:val="22"/>
          <w:szCs w:val="22"/>
        </w:rPr>
      </w:pPr>
    </w:p>
    <w:p w14:paraId="7929D51A" w14:textId="77777777" w:rsidR="000B1059" w:rsidRDefault="000B1059" w:rsidP="00903F17">
      <w:pPr>
        <w:spacing w:line="360" w:lineRule="auto"/>
        <w:contextualSpacing/>
        <w:jc w:val="both"/>
        <w:rPr>
          <w:rFonts w:ascii="Palatino Linotype" w:hAnsi="Palatino Linotype" w:cs="Tahoma"/>
          <w:sz w:val="22"/>
          <w:szCs w:val="22"/>
        </w:rPr>
      </w:pPr>
    </w:p>
    <w:p w14:paraId="54E13749" w14:textId="77777777" w:rsidR="001F1A77" w:rsidRDefault="001F1A77" w:rsidP="00903F17">
      <w:pPr>
        <w:spacing w:line="360" w:lineRule="auto"/>
        <w:contextualSpacing/>
        <w:jc w:val="both"/>
        <w:rPr>
          <w:rFonts w:ascii="Palatino Linotype" w:hAnsi="Palatino Linotype" w:cs="Tahoma"/>
          <w:sz w:val="22"/>
          <w:szCs w:val="22"/>
        </w:rPr>
      </w:pPr>
    </w:p>
    <w:p w14:paraId="5F12DAA3" w14:textId="77777777" w:rsidR="001F1A77" w:rsidRDefault="001F1A77" w:rsidP="00903F17">
      <w:pPr>
        <w:spacing w:line="360" w:lineRule="auto"/>
        <w:contextualSpacing/>
        <w:jc w:val="both"/>
        <w:rPr>
          <w:rFonts w:ascii="Palatino Linotype" w:hAnsi="Palatino Linotype" w:cs="Tahoma"/>
          <w:sz w:val="22"/>
          <w:szCs w:val="22"/>
        </w:rPr>
      </w:pPr>
    </w:p>
    <w:p w14:paraId="715A875D" w14:textId="77777777" w:rsidR="001F1A77" w:rsidRDefault="001F1A77" w:rsidP="00903F17">
      <w:pPr>
        <w:spacing w:line="360" w:lineRule="auto"/>
        <w:contextualSpacing/>
        <w:jc w:val="both"/>
        <w:rPr>
          <w:rFonts w:ascii="Palatino Linotype" w:hAnsi="Palatino Linotype" w:cs="Tahoma"/>
          <w:sz w:val="22"/>
          <w:szCs w:val="22"/>
        </w:rPr>
      </w:pPr>
    </w:p>
    <w:p w14:paraId="3907E70F" w14:textId="77777777" w:rsidR="001F1A77" w:rsidRDefault="001F1A77" w:rsidP="00903F17">
      <w:pPr>
        <w:spacing w:line="360" w:lineRule="auto"/>
        <w:contextualSpacing/>
        <w:jc w:val="both"/>
        <w:rPr>
          <w:rFonts w:ascii="Palatino Linotype" w:hAnsi="Palatino Linotype" w:cs="Tahoma"/>
          <w:sz w:val="22"/>
          <w:szCs w:val="22"/>
        </w:rPr>
      </w:pPr>
    </w:p>
    <w:p w14:paraId="7F37F00E" w14:textId="77777777" w:rsidR="001F1A77" w:rsidRDefault="001F1A77" w:rsidP="00903F17">
      <w:pPr>
        <w:spacing w:line="360" w:lineRule="auto"/>
        <w:contextualSpacing/>
        <w:jc w:val="both"/>
        <w:rPr>
          <w:rFonts w:ascii="Palatino Linotype" w:hAnsi="Palatino Linotype" w:cs="Tahoma"/>
          <w:sz w:val="22"/>
          <w:szCs w:val="22"/>
        </w:rPr>
      </w:pPr>
    </w:p>
    <w:p w14:paraId="20013F7A" w14:textId="77777777" w:rsidR="001F1A77" w:rsidRDefault="001F1A77" w:rsidP="00903F17">
      <w:pPr>
        <w:spacing w:line="360" w:lineRule="auto"/>
        <w:contextualSpacing/>
        <w:jc w:val="both"/>
        <w:rPr>
          <w:rFonts w:ascii="Palatino Linotype" w:hAnsi="Palatino Linotype" w:cs="Tahoma"/>
          <w:sz w:val="22"/>
          <w:szCs w:val="22"/>
        </w:rPr>
      </w:pPr>
    </w:p>
    <w:p w14:paraId="6AECDE7E" w14:textId="77777777" w:rsidR="001F1A77" w:rsidRDefault="001F1A77" w:rsidP="00903F17">
      <w:pPr>
        <w:spacing w:line="360" w:lineRule="auto"/>
        <w:contextualSpacing/>
        <w:jc w:val="both"/>
        <w:rPr>
          <w:rFonts w:ascii="Palatino Linotype" w:hAnsi="Palatino Linotype" w:cs="Tahoma"/>
          <w:sz w:val="22"/>
          <w:szCs w:val="22"/>
        </w:rPr>
      </w:pPr>
    </w:p>
    <w:p w14:paraId="1C208A4D" w14:textId="77777777" w:rsidR="001F1A77" w:rsidRPr="003A1DF0" w:rsidRDefault="001F1A77" w:rsidP="00903F17">
      <w:pPr>
        <w:spacing w:line="360" w:lineRule="auto"/>
        <w:contextualSpacing/>
        <w:jc w:val="both"/>
        <w:rPr>
          <w:rFonts w:ascii="Palatino Linotype" w:hAnsi="Palatino Linotype" w:cs="Tahoma"/>
          <w:sz w:val="22"/>
          <w:szCs w:val="22"/>
        </w:rPr>
      </w:pPr>
    </w:p>
    <w:p w14:paraId="27666FA2" w14:textId="77777777" w:rsidR="003A1DF0" w:rsidRPr="003A1DF0" w:rsidRDefault="003A1DF0" w:rsidP="00903F17">
      <w:pPr>
        <w:spacing w:line="360" w:lineRule="auto"/>
        <w:contextualSpacing/>
        <w:jc w:val="both"/>
        <w:rPr>
          <w:rFonts w:ascii="Palatino Linotype" w:hAnsi="Palatino Linotype" w:cs="Tahoma"/>
          <w:sz w:val="22"/>
          <w:szCs w:val="22"/>
        </w:rPr>
      </w:pPr>
    </w:p>
    <w:sectPr w:rsidR="003A1DF0" w:rsidRPr="003A1DF0" w:rsidSect="008C2B4B">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CFEE1" w14:textId="77777777" w:rsidR="00AA7199" w:rsidRDefault="00AA7199" w:rsidP="00B31222">
      <w:r>
        <w:separator/>
      </w:r>
    </w:p>
  </w:endnote>
  <w:endnote w:type="continuationSeparator" w:id="0">
    <w:p w14:paraId="653D09E2" w14:textId="77777777" w:rsidR="00AA7199" w:rsidRDefault="00AA7199" w:rsidP="00B31222">
      <w:r>
        <w:continuationSeparator/>
      </w:r>
    </w:p>
  </w:endnote>
  <w:endnote w:type="continuationNotice" w:id="1">
    <w:p w14:paraId="2F432B72" w14:textId="77777777" w:rsidR="00AA7199" w:rsidRDefault="00AA7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2287726"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34AC">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34AC">
              <w:rPr>
                <w:b/>
                <w:bCs/>
                <w:noProof/>
              </w:rPr>
              <w:t>36</w:t>
            </w:r>
            <w:r>
              <w:rPr>
                <w:b/>
                <w:bCs/>
                <w:sz w:val="24"/>
                <w:szCs w:val="24"/>
              </w:rPr>
              <w:fldChar w:fldCharType="end"/>
            </w:r>
          </w:p>
        </w:sdtContent>
      </w:sdt>
    </w:sdtContent>
  </w:sdt>
  <w:p w14:paraId="356F974A" w14:textId="77777777" w:rsidR="006379D0" w:rsidRDefault="006379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37946692"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34A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34AC">
              <w:rPr>
                <w:b/>
                <w:bCs/>
                <w:noProof/>
              </w:rPr>
              <w:t>36</w:t>
            </w:r>
            <w:r>
              <w:rPr>
                <w:b/>
                <w:bCs/>
                <w:sz w:val="24"/>
                <w:szCs w:val="24"/>
              </w:rPr>
              <w:fldChar w:fldCharType="end"/>
            </w:r>
          </w:p>
        </w:sdtContent>
      </w:sdt>
    </w:sdtContent>
  </w:sdt>
  <w:p w14:paraId="532FBD43" w14:textId="77777777" w:rsidR="006379D0" w:rsidRDefault="006379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4AC6C" w14:textId="77777777" w:rsidR="00AA7199" w:rsidRDefault="00AA7199" w:rsidP="00B31222">
      <w:r>
        <w:separator/>
      </w:r>
    </w:p>
  </w:footnote>
  <w:footnote w:type="continuationSeparator" w:id="0">
    <w:p w14:paraId="5140CDF0" w14:textId="77777777" w:rsidR="00AA7199" w:rsidRDefault="00AA7199" w:rsidP="00B31222">
      <w:r>
        <w:continuationSeparator/>
      </w:r>
    </w:p>
  </w:footnote>
  <w:footnote w:type="continuationNotice" w:id="1">
    <w:p w14:paraId="526E302D" w14:textId="77777777" w:rsidR="00AA7199" w:rsidRDefault="00AA71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BF089" w14:textId="77777777" w:rsidR="006379D0" w:rsidRDefault="00AA7199">
    <w:pPr>
      <w:pStyle w:val="Encabezado"/>
    </w:pPr>
    <w:r>
      <w:rPr>
        <w:noProof/>
        <w:lang w:eastAsia="es-MX"/>
      </w:rPr>
      <w:pict w14:anchorId="694A6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49"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6379D0" w:rsidRPr="005C106F" w14:paraId="6750D671" w14:textId="77777777" w:rsidTr="00903F17">
      <w:trPr>
        <w:trHeight w:val="1435"/>
      </w:trPr>
      <w:tc>
        <w:tcPr>
          <w:tcW w:w="3261" w:type="dxa"/>
          <w:shd w:val="clear" w:color="auto" w:fill="auto"/>
        </w:tcPr>
        <w:p w14:paraId="1BC74A31"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5676F45" wp14:editId="367BAABA">
                <wp:simplePos x="0" y="0"/>
                <wp:positionH relativeFrom="page">
                  <wp:posOffset>-920145</wp:posOffset>
                </wp:positionH>
                <wp:positionV relativeFrom="margin">
                  <wp:posOffset>-290623</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sidR="00903F17">
            <w:rPr>
              <w:rFonts w:ascii="Garamond" w:eastAsia="Calibri" w:hAnsi="Garamond"/>
              <w:sz w:val="16"/>
              <w:szCs w:val="16"/>
              <w:lang w:eastAsia="en-US"/>
            </w:rPr>
            <w:t>&lt;</w:t>
          </w:r>
        </w:p>
      </w:tc>
      <w:tc>
        <w:tcPr>
          <w:tcW w:w="6733" w:type="dxa"/>
          <w:shd w:val="clear" w:color="auto" w:fill="auto"/>
        </w:tcPr>
        <w:p w14:paraId="47760D6C"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4941BCF9" w14:textId="77777777" w:rsidTr="00DF3BE8">
            <w:trPr>
              <w:trHeight w:val="144"/>
            </w:trPr>
            <w:tc>
              <w:tcPr>
                <w:tcW w:w="2589" w:type="dxa"/>
              </w:tcPr>
              <w:p w14:paraId="16EDB6FD"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891B7B7" w14:textId="3B3BA2DC" w:rsidR="006379D0" w:rsidRPr="00903F17" w:rsidRDefault="00A3770E"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10021</w:t>
                </w:r>
                <w:r w:rsidR="006379D0" w:rsidRPr="00903F17">
                  <w:rPr>
                    <w:rFonts w:ascii="Palatino Linotype" w:eastAsia="Calibri" w:hAnsi="Palatino Linotype" w:cs="Tahoma"/>
                    <w:sz w:val="22"/>
                    <w:szCs w:val="22"/>
                    <w:lang w:val="es-MX" w:eastAsia="en-US"/>
                  </w:rPr>
                  <w:t>/INFOEM/IP/RR/2025</w:t>
                </w:r>
              </w:p>
            </w:tc>
          </w:tr>
          <w:tr w:rsidR="006379D0" w14:paraId="12C9E685" w14:textId="77777777" w:rsidTr="00DF3BE8">
            <w:trPr>
              <w:trHeight w:val="283"/>
            </w:trPr>
            <w:tc>
              <w:tcPr>
                <w:tcW w:w="2589" w:type="dxa"/>
              </w:tcPr>
              <w:p w14:paraId="79FB7FF5"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068E299" w14:textId="33A236BC" w:rsidR="006379D0" w:rsidRPr="005F13CF" w:rsidRDefault="00A3770E"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Instituto Municipal de Cultura Física y Deporte de Tenango del Valle</w:t>
                </w:r>
              </w:p>
            </w:tc>
          </w:tr>
          <w:tr w:rsidR="006379D0" w14:paraId="771100F5" w14:textId="77777777" w:rsidTr="00DF3BE8">
            <w:trPr>
              <w:trHeight w:val="283"/>
            </w:trPr>
            <w:tc>
              <w:tcPr>
                <w:tcW w:w="2589" w:type="dxa"/>
              </w:tcPr>
              <w:p w14:paraId="669D351C"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80B673D"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28845080"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625EBBA0"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233FADC8"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6379D0" w:rsidRPr="00330DA7" w14:paraId="01CAE0FE" w14:textId="77777777" w:rsidTr="003B165A">
      <w:trPr>
        <w:trHeight w:val="1435"/>
      </w:trPr>
      <w:tc>
        <w:tcPr>
          <w:tcW w:w="2835" w:type="dxa"/>
          <w:shd w:val="clear" w:color="auto" w:fill="auto"/>
        </w:tcPr>
        <w:p w14:paraId="0084EA88"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304F882B" wp14:editId="7627B3F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1868E663" w14:textId="77777777" w:rsidTr="00DF3BE8">
            <w:trPr>
              <w:trHeight w:val="144"/>
            </w:trPr>
            <w:tc>
              <w:tcPr>
                <w:tcW w:w="2589" w:type="dxa"/>
              </w:tcPr>
              <w:p w14:paraId="062604AE"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B8E2D33" w14:textId="03EBD26D" w:rsidR="006379D0" w:rsidRPr="00281227" w:rsidRDefault="00A3770E" w:rsidP="004B553D">
                <w:pPr>
                  <w:tabs>
                    <w:tab w:val="right" w:pos="8838"/>
                  </w:tabs>
                  <w:ind w:left="-106" w:right="-105"/>
                  <w:jc w:val="both"/>
                  <w:rPr>
                    <w:rFonts w:ascii="Palatino Linotype" w:eastAsia="Calibri" w:hAnsi="Palatino Linotype" w:cs="Tahoma"/>
                    <w:sz w:val="22"/>
                    <w:szCs w:val="22"/>
                    <w:lang w:eastAsia="en-US"/>
                  </w:rPr>
                </w:pPr>
                <w:r w:rsidRPr="00281227">
                  <w:rPr>
                    <w:rFonts w:ascii="Palatino Linotype" w:eastAsia="Calibri" w:hAnsi="Palatino Linotype" w:cs="Tahoma"/>
                    <w:sz w:val="22"/>
                    <w:szCs w:val="22"/>
                    <w:lang w:val="es-MX" w:eastAsia="en-US"/>
                  </w:rPr>
                  <w:t>10021</w:t>
                </w:r>
                <w:r w:rsidR="006379D0" w:rsidRPr="00281227">
                  <w:rPr>
                    <w:rFonts w:ascii="Palatino Linotype" w:eastAsia="Calibri" w:hAnsi="Palatino Linotype" w:cs="Tahoma"/>
                    <w:sz w:val="22"/>
                    <w:szCs w:val="22"/>
                    <w:lang w:val="es-MX" w:eastAsia="en-US"/>
                  </w:rPr>
                  <w:t>/INFOEM/IP/RR/2025</w:t>
                </w:r>
              </w:p>
            </w:tc>
          </w:tr>
          <w:tr w:rsidR="006379D0" w:rsidRPr="00286D0C" w14:paraId="327AED2C" w14:textId="77777777" w:rsidTr="00DF3BE8">
            <w:trPr>
              <w:trHeight w:val="144"/>
            </w:trPr>
            <w:tc>
              <w:tcPr>
                <w:tcW w:w="2589" w:type="dxa"/>
              </w:tcPr>
              <w:p w14:paraId="0B5B2AED"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438A7A19" w14:textId="77777777" w:rsidR="006379D0" w:rsidRPr="00286D0C" w:rsidRDefault="006379D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6379D0" w:rsidRPr="00431A70" w14:paraId="6D91984A" w14:textId="77777777" w:rsidTr="00DF3BE8">
            <w:trPr>
              <w:trHeight w:val="283"/>
            </w:trPr>
            <w:tc>
              <w:tcPr>
                <w:tcW w:w="2589" w:type="dxa"/>
              </w:tcPr>
              <w:p w14:paraId="30E96D87"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61BA4E5" w14:textId="26D27BFB" w:rsidR="006379D0" w:rsidRPr="005F13CF" w:rsidRDefault="00A3770E"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Instituto Municipal de Cultura Física y Deporte de Tenango del Valle</w:t>
                </w:r>
                <w:r w:rsidR="006379D0">
                  <w:rPr>
                    <w:rFonts w:ascii="Palatino Linotype" w:eastAsia="Calibri" w:hAnsi="Palatino Linotype" w:cs="Tahoma"/>
                    <w:bCs/>
                    <w:sz w:val="22"/>
                    <w:szCs w:val="22"/>
                    <w:lang w:val="es-MX" w:eastAsia="en-US"/>
                  </w:rPr>
                  <w:t xml:space="preserve"> </w:t>
                </w:r>
              </w:p>
            </w:tc>
          </w:tr>
          <w:tr w:rsidR="006379D0" w:rsidRPr="00431A70" w14:paraId="01C11DCD" w14:textId="77777777" w:rsidTr="00DF3BE8">
            <w:trPr>
              <w:trHeight w:val="283"/>
            </w:trPr>
            <w:tc>
              <w:tcPr>
                <w:tcW w:w="2589" w:type="dxa"/>
              </w:tcPr>
              <w:p w14:paraId="058C4A72"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21098C1"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8A0F459"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5F260E8B"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10"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C0D1D37"/>
    <w:multiLevelType w:val="hybridMultilevel"/>
    <w:tmpl w:val="88E41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4"/>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5"/>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12"/>
  </w:num>
  <w:num w:numId="15">
    <w:abstractNumId w:val="6"/>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6919"/>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572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2E9"/>
    <w:rsid w:val="00110E1B"/>
    <w:rsid w:val="00111385"/>
    <w:rsid w:val="00111825"/>
    <w:rsid w:val="00111AE8"/>
    <w:rsid w:val="00111EFD"/>
    <w:rsid w:val="001133D5"/>
    <w:rsid w:val="00113E94"/>
    <w:rsid w:val="00113F60"/>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600"/>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3D0"/>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92"/>
    <w:rsid w:val="00260BF5"/>
    <w:rsid w:val="00260FEC"/>
    <w:rsid w:val="0026108A"/>
    <w:rsid w:val="00261DD6"/>
    <w:rsid w:val="0026209A"/>
    <w:rsid w:val="00262408"/>
    <w:rsid w:val="00263DDD"/>
    <w:rsid w:val="00263EC1"/>
    <w:rsid w:val="00263FE3"/>
    <w:rsid w:val="002641BA"/>
    <w:rsid w:val="00264472"/>
    <w:rsid w:val="002649C4"/>
    <w:rsid w:val="002657E2"/>
    <w:rsid w:val="002661B2"/>
    <w:rsid w:val="002662BA"/>
    <w:rsid w:val="002669E5"/>
    <w:rsid w:val="002671C8"/>
    <w:rsid w:val="002672CF"/>
    <w:rsid w:val="002708AC"/>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227"/>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5B9"/>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4AC"/>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5D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276F8"/>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38D"/>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87"/>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5771"/>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40EB"/>
    <w:rsid w:val="005A52AC"/>
    <w:rsid w:val="005A5793"/>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CBC"/>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614"/>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36D0"/>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2D27"/>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0F18"/>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2C0"/>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6E4B"/>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1E7"/>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3F1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97C"/>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70E"/>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169"/>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199"/>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0EC2"/>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952"/>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14A"/>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36E"/>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6FE5"/>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12D"/>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42E"/>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2B3"/>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6F3B"/>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761"/>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846"/>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44"/>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7577D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table" w:customStyle="1" w:styleId="Tablaconcuadrcula3">
    <w:name w:val="Tabla con cuadrícula3"/>
    <w:basedOn w:val="Tablanormal"/>
    <w:uiPriority w:val="59"/>
    <w:rsid w:val="00903F17"/>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3366987">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157639">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217135">
      <w:bodyDiv w:val="1"/>
      <w:marLeft w:val="0"/>
      <w:marRight w:val="0"/>
      <w:marTop w:val="0"/>
      <w:marBottom w:val="0"/>
      <w:divBdr>
        <w:top w:val="none" w:sz="0" w:space="0" w:color="auto"/>
        <w:left w:val="none" w:sz="0" w:space="0" w:color="auto"/>
        <w:bottom w:val="none" w:sz="0" w:space="0" w:color="auto"/>
        <w:right w:val="none" w:sz="0" w:space="0" w:color="auto"/>
      </w:divBdr>
    </w:div>
    <w:div w:id="74529697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0340371">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273727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057158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2670390">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492254&amp;fecha=28/07/201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6F151-6A38-40C3-AEC0-AC0EBFE6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9107</Words>
  <Characters>50094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3</cp:revision>
  <cp:lastPrinted>2025-09-25T22:49:00Z</cp:lastPrinted>
  <dcterms:created xsi:type="dcterms:W3CDTF">2025-09-25T22:49:00Z</dcterms:created>
  <dcterms:modified xsi:type="dcterms:W3CDTF">2025-09-25T22:49:00Z</dcterms:modified>
</cp:coreProperties>
</file>