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AA" w:rsidRPr="002A347F" w:rsidRDefault="002670AA" w:rsidP="00A81C74">
      <w:pPr>
        <w:widowControl w:val="0"/>
        <w:pBdr>
          <w:top w:val="nil"/>
          <w:left w:val="nil"/>
          <w:bottom w:val="nil"/>
          <w:right w:val="nil"/>
          <w:between w:val="nil"/>
        </w:pBdr>
        <w:spacing w:line="276" w:lineRule="auto"/>
        <w:rPr>
          <w:rFonts w:ascii="Palatino Linotype" w:hAnsi="Palatino Linotype"/>
        </w:rPr>
      </w:pPr>
    </w:p>
    <w:p w:rsidR="002670AA" w:rsidRPr="00BB6E75" w:rsidRDefault="002670AA"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catorce de mayo de dos mil veinticinco. </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t>VISTO</w:t>
      </w:r>
      <w:r w:rsidRPr="00BB6E75">
        <w:rPr>
          <w:rFonts w:ascii="Palatino Linotype" w:eastAsia="Palatino Linotype" w:hAnsi="Palatino Linotype" w:cs="Palatino Linotype"/>
        </w:rPr>
        <w:t xml:space="preserve"> el expediente electrónico formado con motivo del recurso de revisión </w:t>
      </w:r>
      <w:r w:rsidRPr="00BB6E75">
        <w:rPr>
          <w:rFonts w:ascii="Palatino Linotype" w:eastAsia="Palatino Linotype" w:hAnsi="Palatino Linotype" w:cs="Palatino Linotype"/>
          <w:b/>
        </w:rPr>
        <w:t xml:space="preserve">04553/INFOEM/IP/RR/2025, </w:t>
      </w:r>
      <w:r w:rsidRPr="00BB6E75">
        <w:rPr>
          <w:rFonts w:ascii="Palatino Linotype" w:eastAsia="Palatino Linotype" w:hAnsi="Palatino Linotype" w:cs="Palatino Linotype"/>
        </w:rPr>
        <w:t xml:space="preserve">promovido por </w:t>
      </w:r>
      <w:r w:rsidR="002637FD" w:rsidRPr="00BB6E75">
        <w:rPr>
          <w:rFonts w:ascii="Palatino Linotype" w:eastAsia="Palatino Linotype" w:hAnsi="Palatino Linotype" w:cs="Palatino Linotype"/>
          <w:b/>
          <w:bCs/>
        </w:rPr>
        <w:t> un usuario que no proporcionó nombre</w:t>
      </w:r>
      <w:r w:rsidRPr="00BB6E75">
        <w:rPr>
          <w:rFonts w:ascii="Palatino Linotype" w:eastAsia="Palatino Linotype" w:hAnsi="Palatino Linotype" w:cs="Palatino Linotype"/>
          <w:b/>
        </w:rPr>
        <w:t>,</w:t>
      </w:r>
      <w:r w:rsidRPr="00BB6E75">
        <w:rPr>
          <w:rFonts w:ascii="Palatino Linotype" w:eastAsia="Palatino Linotype" w:hAnsi="Palatino Linotype" w:cs="Palatino Linotype"/>
        </w:rPr>
        <w:t xml:space="preserve"> quien en lo sucesivo se identificará como </w:t>
      </w:r>
      <w:r w:rsidRPr="00BB6E75">
        <w:rPr>
          <w:rFonts w:ascii="Palatino Linotype" w:eastAsia="Palatino Linotype" w:hAnsi="Palatino Linotype" w:cs="Palatino Linotype"/>
          <w:b/>
        </w:rPr>
        <w:t>EL RECURRENTE</w:t>
      </w:r>
      <w:r w:rsidRPr="00BB6E75">
        <w:rPr>
          <w:rFonts w:ascii="Palatino Linotype" w:eastAsia="Palatino Linotype" w:hAnsi="Palatino Linotype" w:cs="Palatino Linotype"/>
        </w:rPr>
        <w:t xml:space="preserve">, en contra de la respuesta del </w:t>
      </w:r>
      <w:r w:rsidRPr="00BB6E75">
        <w:rPr>
          <w:rFonts w:ascii="Palatino Linotype" w:eastAsia="Palatino Linotype" w:hAnsi="Palatino Linotype" w:cs="Palatino Linotype"/>
          <w:b/>
          <w:bCs/>
        </w:rPr>
        <w:t>Ayuntam</w:t>
      </w:r>
      <w:r w:rsidR="002637FD" w:rsidRPr="00BB6E75">
        <w:rPr>
          <w:rFonts w:ascii="Palatino Linotype" w:eastAsia="Palatino Linotype" w:hAnsi="Palatino Linotype" w:cs="Palatino Linotype"/>
          <w:b/>
          <w:bCs/>
        </w:rPr>
        <w:t>iento de Almoloya del Río</w:t>
      </w:r>
      <w:r w:rsidRPr="00BB6E75">
        <w:rPr>
          <w:rFonts w:ascii="Palatino Linotype" w:eastAsia="Palatino Linotype" w:hAnsi="Palatino Linotype" w:cs="Palatino Linotype"/>
          <w:b/>
        </w:rPr>
        <w:t xml:space="preserve">, </w:t>
      </w:r>
      <w:r w:rsidRPr="00BB6E75">
        <w:rPr>
          <w:rFonts w:ascii="Palatino Linotype" w:eastAsia="Palatino Linotype" w:hAnsi="Palatino Linotype" w:cs="Palatino Linotype"/>
        </w:rPr>
        <w:t>en lo sucesivo el</w:t>
      </w:r>
      <w:r w:rsidRPr="00BB6E75">
        <w:rPr>
          <w:rFonts w:ascii="Palatino Linotype" w:eastAsia="Palatino Linotype" w:hAnsi="Palatino Linotype" w:cs="Palatino Linotype"/>
          <w:b/>
        </w:rPr>
        <w:t xml:space="preserve"> SUJETO OBLIGADO</w:t>
      </w:r>
      <w:r w:rsidRPr="00BB6E75">
        <w:rPr>
          <w:rFonts w:ascii="Palatino Linotype" w:eastAsia="Palatino Linotype" w:hAnsi="Palatino Linotype" w:cs="Palatino Linotype"/>
        </w:rPr>
        <w:t>, por lo que se procede a dictar la presente resolución, con base en los siguientes:</w:t>
      </w:r>
    </w:p>
    <w:p w:rsidR="002670AA" w:rsidRPr="00BB6E75" w:rsidRDefault="002670AA" w:rsidP="00A81C74">
      <w:pPr>
        <w:spacing w:line="360" w:lineRule="auto"/>
        <w:jc w:val="both"/>
        <w:rPr>
          <w:rFonts w:ascii="Palatino Linotype" w:eastAsia="Palatino Linotype" w:hAnsi="Palatino Linotype" w:cs="Palatino Linotype"/>
          <w:b/>
        </w:rPr>
      </w:pPr>
    </w:p>
    <w:p w:rsidR="002670AA" w:rsidRPr="00BB6E75" w:rsidRDefault="002670AA" w:rsidP="00A81C74">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BB6E75">
        <w:rPr>
          <w:rFonts w:ascii="Palatino Linotype" w:eastAsia="Palatino Linotype" w:hAnsi="Palatino Linotype" w:cs="Palatino Linotype"/>
          <w:b/>
        </w:rPr>
        <w:t>ANTECEDENTES</w:t>
      </w:r>
    </w:p>
    <w:p w:rsidR="002670AA" w:rsidRPr="00BB6E75" w:rsidRDefault="002670AA" w:rsidP="00A81C74">
      <w:pPr>
        <w:spacing w:line="360" w:lineRule="auto"/>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w:t>
      </w:r>
      <w:r w:rsidR="002637FD" w:rsidRPr="00BB6E75">
        <w:rPr>
          <w:rFonts w:ascii="Palatino Linotype" w:eastAsia="Palatino Linotype" w:hAnsi="Palatino Linotype" w:cs="Palatino Linotype"/>
          <w:b/>
        </w:rPr>
        <w:t>once de marzo</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w:t>
      </w:r>
      <w:r w:rsidRPr="00BB6E75">
        <w:rPr>
          <w:rFonts w:ascii="Palatino Linotype" w:eastAsia="Palatino Linotype" w:hAnsi="Palatino Linotype" w:cs="Palatino Linotype"/>
          <w:b/>
        </w:rPr>
        <w:t>EL RECURRENTE,</w:t>
      </w:r>
      <w:r w:rsidRPr="00BB6E75">
        <w:rPr>
          <w:rFonts w:ascii="Palatino Linotype" w:eastAsia="Palatino Linotype" w:hAnsi="Palatino Linotype" w:cs="Palatino Linotype"/>
        </w:rPr>
        <w:t xml:space="preserve"> ante el </w:t>
      </w:r>
      <w:r w:rsidRPr="00BB6E75">
        <w:rPr>
          <w:rFonts w:ascii="Palatino Linotype" w:eastAsia="Palatino Linotype" w:hAnsi="Palatino Linotype" w:cs="Palatino Linotype"/>
          <w:b/>
        </w:rPr>
        <w:t>SUJETO OBLIGADO</w:t>
      </w:r>
      <w:r w:rsidRPr="00BB6E75">
        <w:rPr>
          <w:rFonts w:ascii="Palatino Linotype" w:eastAsia="Palatino Linotype" w:hAnsi="Palatino Linotype" w:cs="Palatino Linotype"/>
        </w:rPr>
        <w:t xml:space="preserve"> vía Sistema de Acceso a la Información Mexiquense (</w:t>
      </w:r>
      <w:r w:rsidRPr="00BB6E75">
        <w:rPr>
          <w:rFonts w:ascii="Palatino Linotype" w:eastAsia="Palatino Linotype" w:hAnsi="Palatino Linotype" w:cs="Palatino Linotype"/>
          <w:b/>
        </w:rPr>
        <w:t>SAIMEX)</w:t>
      </w:r>
      <w:r w:rsidRPr="00BB6E75">
        <w:rPr>
          <w:rFonts w:ascii="Palatino Linotype" w:eastAsia="Palatino Linotype" w:hAnsi="Palatino Linotype" w:cs="Palatino Linotype"/>
        </w:rPr>
        <w:t xml:space="preserve">, presentó la solicitud de información registrada con el número </w:t>
      </w:r>
      <w:r w:rsidR="002637FD" w:rsidRPr="00BB6E75">
        <w:rPr>
          <w:rFonts w:ascii="Palatino Linotype" w:eastAsia="Palatino Linotype" w:hAnsi="Palatino Linotype" w:cs="Palatino Linotype"/>
          <w:b/>
          <w:bCs/>
        </w:rPr>
        <w:t>00030/ALMORI/IP/2025</w:t>
      </w:r>
      <w:r w:rsidRPr="00BB6E75">
        <w:rPr>
          <w:rFonts w:ascii="Palatino Linotype" w:eastAsia="Palatino Linotype" w:hAnsi="Palatino Linotype" w:cs="Palatino Linotype"/>
          <w:b/>
        </w:rPr>
        <w:t xml:space="preserve">, </w:t>
      </w:r>
      <w:r w:rsidRPr="00BB6E75">
        <w:rPr>
          <w:rFonts w:ascii="Palatino Linotype" w:eastAsia="Palatino Linotype" w:hAnsi="Palatino Linotype" w:cs="Palatino Linotype"/>
        </w:rPr>
        <w:t>mediante las cuales solicitó lo siguiente:</w:t>
      </w: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i/>
        </w:rPr>
      </w:pPr>
      <w:r w:rsidRPr="00BB6E75">
        <w:rPr>
          <w:rFonts w:ascii="Palatino Linotype" w:eastAsia="Palatino Linotype" w:hAnsi="Palatino Linotype" w:cs="Palatino Linotype"/>
          <w:i/>
        </w:rPr>
        <w:t xml:space="preserve"> “</w:t>
      </w:r>
      <w:r w:rsidR="002637FD" w:rsidRPr="00BB6E75">
        <w:rPr>
          <w:rFonts w:ascii="Palatino Linotype" w:eastAsia="Palatino Linotype" w:hAnsi="Palatino Linotype" w:cs="Palatino Linotype"/>
          <w:i/>
        </w:rPr>
        <w:t>RECIBOS DE NOMINA CFDI CORRRSPONDIENTES A LA PRIMERA Y SEGUNDA QUINCENA DE FEBRERO 2025</w:t>
      </w:r>
      <w:r w:rsidRPr="00BB6E75">
        <w:rPr>
          <w:rFonts w:ascii="Palatino Linotype" w:eastAsia="Palatino Linotype" w:hAnsi="Palatino Linotype" w:cs="Palatino Linotype"/>
          <w:i/>
        </w:rPr>
        <w:t xml:space="preserve">” (Sic) </w:t>
      </w: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Se señaló como modalidad de entrega a través de SAIMEX.</w:t>
      </w:r>
    </w:p>
    <w:p w:rsidR="002670AA" w:rsidRPr="00BB6E75" w:rsidRDefault="002670AA" w:rsidP="00A81C74">
      <w:pPr>
        <w:rPr>
          <w:rFonts w:ascii="Palatino Linotype" w:eastAsia="Palatino Linotype" w:hAnsi="Palatino Linotype" w:cs="Palatino Linotype"/>
        </w:rPr>
      </w:pPr>
    </w:p>
    <w:p w:rsidR="002670AA" w:rsidRPr="00BB6E75" w:rsidRDefault="002670AA" w:rsidP="00A81C74">
      <w:pPr>
        <w:pStyle w:val="Prrafodelista"/>
        <w:ind w:left="0"/>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lastRenderedPageBreak/>
        <w:t xml:space="preserve">El diez de marzo de dos mil veinticinco, se  realizó un requerimiento al servidor público habilitado. </w:t>
      </w:r>
    </w:p>
    <w:p w:rsidR="002637FD" w:rsidRPr="00BB6E75" w:rsidRDefault="002637FD"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El dieciocho de marzo de dos mil veinticinco, se realizó un solicitud de aclaración en el siguiente sentido:</w:t>
      </w: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tbl>
      <w:tblPr>
        <w:tblW w:w="7649" w:type="dxa"/>
        <w:jc w:val="center"/>
        <w:tblCellSpacing w:w="0" w:type="dxa"/>
        <w:tblCellMar>
          <w:left w:w="0" w:type="dxa"/>
          <w:right w:w="0" w:type="dxa"/>
        </w:tblCellMar>
        <w:tblLook w:val="04A0" w:firstRow="1" w:lastRow="0" w:firstColumn="1" w:lastColumn="0" w:noHBand="0" w:noVBand="1"/>
      </w:tblPr>
      <w:tblGrid>
        <w:gridCol w:w="7649"/>
      </w:tblGrid>
      <w:tr w:rsidR="002637FD" w:rsidRPr="00BB6E75" w:rsidTr="002637FD">
        <w:trPr>
          <w:trHeight w:val="296"/>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r w:rsidRPr="00BB6E75">
              <w:rPr>
                <w:rFonts w:ascii="Palatino Linotype" w:hAnsi="Palatino Linotype"/>
                <w:i/>
              </w:rPr>
              <w:t>“Almoloya del Río, México a 18 de Marzo de 2025</w:t>
            </w:r>
          </w:p>
        </w:tc>
      </w:tr>
      <w:tr w:rsidR="002637FD" w:rsidRPr="00BB6E75" w:rsidTr="002637FD">
        <w:trPr>
          <w:trHeight w:val="296"/>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r w:rsidRPr="00BB6E75">
              <w:rPr>
                <w:rFonts w:ascii="Palatino Linotype" w:hAnsi="Palatino Linotype"/>
                <w:i/>
              </w:rPr>
              <w:t>Nombre del solicitante: C. Solicitante</w:t>
            </w:r>
          </w:p>
        </w:tc>
      </w:tr>
      <w:tr w:rsidR="002637FD" w:rsidRPr="00BB6E75" w:rsidTr="002637FD">
        <w:trPr>
          <w:trHeight w:val="296"/>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r w:rsidRPr="00BB6E75">
              <w:rPr>
                <w:rFonts w:ascii="Palatino Linotype" w:hAnsi="Palatino Linotype"/>
                <w:i/>
              </w:rPr>
              <w:t>Folio de la solicitud: 00030/ALMORI/IP/2025</w:t>
            </w:r>
          </w:p>
        </w:tc>
      </w:tr>
      <w:tr w:rsidR="002637FD" w:rsidRPr="00BB6E75" w:rsidTr="002637FD">
        <w:trPr>
          <w:trHeight w:val="445"/>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p>
        </w:tc>
      </w:tr>
      <w:tr w:rsidR="002637FD" w:rsidRPr="00BB6E75" w:rsidTr="002637FD">
        <w:trPr>
          <w:trHeight w:val="148"/>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r w:rsidRPr="00BB6E75">
              <w:rPr>
                <w:rFonts w:ascii="Palatino Linotype" w:hAnsi="Palatino Linotype"/>
                <w:i/>
              </w:rPr>
              <w:t>Con fundamento en el articulo 159 de la Ley de Transparencia y Acceso a la Información Pública del Estado de México y Municipios, se le requiere para que dentro del plazo de diez días hábiles realice lo siguiente:</w:t>
            </w:r>
          </w:p>
        </w:tc>
      </w:tr>
      <w:tr w:rsidR="002637FD" w:rsidRPr="00BB6E75" w:rsidTr="002637FD">
        <w:trPr>
          <w:trHeight w:val="371"/>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p>
        </w:tc>
      </w:tr>
      <w:tr w:rsidR="002637FD" w:rsidRPr="00BB6E75" w:rsidTr="002637FD">
        <w:trPr>
          <w:trHeight w:val="148"/>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r w:rsidRPr="00BB6E75">
              <w:rPr>
                <w:rFonts w:ascii="Palatino Linotype" w:hAnsi="Palatino Linotype"/>
                <w:i/>
              </w:rPr>
              <w:t>Estimado Solicitante, Se solicita a usted la complementación a la información que requirió. Toda vez que no especifica a los sujetos y/o áreas de las cuales requiere información. Esto con base en el Artículo 159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Sin otro particular, en espera de su amable respuesta.</w:t>
            </w:r>
          </w:p>
        </w:tc>
      </w:tr>
      <w:tr w:rsidR="002637FD" w:rsidRPr="00BB6E75" w:rsidTr="002637FD">
        <w:trPr>
          <w:trHeight w:val="371"/>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p>
        </w:tc>
      </w:tr>
      <w:tr w:rsidR="002637FD" w:rsidRPr="00BB6E75" w:rsidTr="002637FD">
        <w:trPr>
          <w:trHeight w:val="148"/>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r w:rsidRPr="00BB6E75">
              <w:rPr>
                <w:rFonts w:ascii="Palatino Linotype" w:hAnsi="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2637FD" w:rsidRPr="00BB6E75" w:rsidTr="002637FD">
        <w:trPr>
          <w:trHeight w:val="148"/>
          <w:tblCellSpacing w:w="0" w:type="dxa"/>
          <w:jc w:val="center"/>
        </w:trPr>
        <w:tc>
          <w:tcPr>
            <w:tcW w:w="0" w:type="auto"/>
            <w:vAlign w:val="center"/>
            <w:hideMark/>
          </w:tcPr>
          <w:p w:rsidR="002637FD" w:rsidRPr="00BB6E75" w:rsidRDefault="002637FD" w:rsidP="00A81C74">
            <w:pPr>
              <w:rPr>
                <w:rFonts w:ascii="Palatino Linotype" w:hAnsi="Palatino Linotype"/>
                <w:i/>
              </w:rPr>
            </w:pPr>
          </w:p>
        </w:tc>
      </w:tr>
      <w:tr w:rsidR="002637FD" w:rsidRPr="00BB6E75" w:rsidTr="002637FD">
        <w:trPr>
          <w:trHeight w:val="148"/>
          <w:tblCellSpacing w:w="0" w:type="dxa"/>
          <w:jc w:val="center"/>
        </w:trPr>
        <w:tc>
          <w:tcPr>
            <w:tcW w:w="0" w:type="auto"/>
            <w:vAlign w:val="center"/>
            <w:hideMark/>
          </w:tcPr>
          <w:p w:rsidR="002637FD" w:rsidRPr="00BB6E75" w:rsidRDefault="002637FD" w:rsidP="00A81C74">
            <w:pPr>
              <w:rPr>
                <w:rFonts w:ascii="Palatino Linotype" w:hAnsi="Palatino Linotype"/>
                <w:i/>
              </w:rPr>
            </w:pPr>
            <w:r w:rsidRPr="00BB6E75">
              <w:rPr>
                <w:rFonts w:ascii="Palatino Linotype" w:hAnsi="Palatino Linotype"/>
                <w:i/>
              </w:rPr>
              <w:t>ATENTAMENTE</w:t>
            </w:r>
          </w:p>
        </w:tc>
      </w:tr>
      <w:tr w:rsidR="002637FD" w:rsidRPr="00BB6E75" w:rsidTr="002637FD">
        <w:trPr>
          <w:trHeight w:val="222"/>
          <w:tblCellSpacing w:w="0" w:type="dxa"/>
          <w:jc w:val="center"/>
        </w:trPr>
        <w:tc>
          <w:tcPr>
            <w:tcW w:w="0" w:type="auto"/>
            <w:vAlign w:val="center"/>
            <w:hideMark/>
          </w:tcPr>
          <w:p w:rsidR="002637FD" w:rsidRPr="00BB6E75" w:rsidRDefault="002637FD" w:rsidP="00A81C74">
            <w:pPr>
              <w:rPr>
                <w:rFonts w:ascii="Palatino Linotype" w:hAnsi="Palatino Linotype"/>
                <w:i/>
              </w:rPr>
            </w:pPr>
          </w:p>
        </w:tc>
      </w:tr>
      <w:tr w:rsidR="002637FD" w:rsidRPr="00BB6E75" w:rsidTr="002637FD">
        <w:trPr>
          <w:trHeight w:val="148"/>
          <w:tblCellSpacing w:w="0" w:type="dxa"/>
          <w:jc w:val="center"/>
        </w:trPr>
        <w:tc>
          <w:tcPr>
            <w:tcW w:w="0" w:type="auto"/>
            <w:vAlign w:val="center"/>
            <w:hideMark/>
          </w:tcPr>
          <w:p w:rsidR="002637FD" w:rsidRPr="00BB6E75" w:rsidRDefault="002637FD" w:rsidP="00A81C74">
            <w:pPr>
              <w:rPr>
                <w:rFonts w:ascii="Palatino Linotype" w:hAnsi="Palatino Linotype"/>
                <w:i/>
              </w:rPr>
            </w:pPr>
            <w:r w:rsidRPr="00BB6E75">
              <w:rPr>
                <w:rFonts w:ascii="Palatino Linotype" w:hAnsi="Palatino Linotype"/>
                <w:i/>
              </w:rPr>
              <w:lastRenderedPageBreak/>
              <w:t>C. Sergio Vega Bolaños”</w:t>
            </w:r>
          </w:p>
        </w:tc>
      </w:tr>
    </w:tbl>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37FD" w:rsidRPr="00BB6E75" w:rsidRDefault="002637FD"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w:t>
      </w:r>
      <w:r w:rsidRPr="00BB6E75">
        <w:rPr>
          <w:rFonts w:ascii="Palatino Linotype" w:eastAsia="Palatino Linotype" w:hAnsi="Palatino Linotype" w:cs="Palatino Linotype"/>
          <w:b/>
        </w:rPr>
        <w:t>veinte de marzo de dos mil veinticinco,</w:t>
      </w:r>
      <w:r w:rsidRPr="00BB6E75">
        <w:rPr>
          <w:rFonts w:ascii="Palatino Linotype" w:eastAsia="Palatino Linotype" w:hAnsi="Palatino Linotype" w:cs="Palatino Linotype"/>
        </w:rPr>
        <w:t xml:space="preserve"> el Recurrente realizó la aclaración en el siguiente sentido:</w:t>
      </w: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i/>
        </w:rPr>
      </w:pPr>
      <w:r w:rsidRPr="00BB6E75">
        <w:rPr>
          <w:rFonts w:ascii="Palatino Linotype" w:eastAsia="Palatino Linotype" w:hAnsi="Palatino Linotype" w:cs="Palatino Linotype"/>
          <w:i/>
        </w:rPr>
        <w:t>“es clara la incompetencia del sujeto obligado, para serle franco se requiere de todo el personal que labora en el ayuntamiento” (Sic)</w:t>
      </w: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i/>
        </w:rPr>
      </w:pPr>
    </w:p>
    <w:p w:rsidR="002637FD" w:rsidRPr="00BB6E75" w:rsidRDefault="002637FD"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w:t>
      </w:r>
      <w:r w:rsidRPr="00BB6E75">
        <w:rPr>
          <w:rFonts w:ascii="Palatino Linotype" w:eastAsia="Palatino Linotype" w:hAnsi="Palatino Linotype" w:cs="Palatino Linotype"/>
          <w:b/>
        </w:rPr>
        <w:t>veinticuatro de marzo de dos mil veinticinco,</w:t>
      </w:r>
      <w:r w:rsidRPr="00BB6E75">
        <w:rPr>
          <w:rFonts w:ascii="Palatino Linotype" w:eastAsia="Palatino Linotype" w:hAnsi="Palatino Linotype" w:cs="Palatino Linotype"/>
        </w:rPr>
        <w:t xml:space="preserve"> se realizó un requerimiento de información al servidor público habilitado. </w:t>
      </w: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w:t>
      </w:r>
      <w:r w:rsidR="002637FD" w:rsidRPr="00BB6E75">
        <w:rPr>
          <w:rFonts w:ascii="Palatino Linotype" w:eastAsia="Palatino Linotype" w:hAnsi="Palatino Linotype" w:cs="Palatino Linotype"/>
          <w:b/>
        </w:rPr>
        <w:t>once de abril</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el </w:t>
      </w:r>
      <w:r w:rsidRPr="00BB6E75">
        <w:rPr>
          <w:rFonts w:ascii="Palatino Linotype" w:eastAsia="Palatino Linotype" w:hAnsi="Palatino Linotype" w:cs="Palatino Linotype"/>
          <w:b/>
        </w:rPr>
        <w:t>SUJETO OBLIGADO</w:t>
      </w:r>
      <w:r w:rsidRPr="00BB6E75">
        <w:rPr>
          <w:rFonts w:ascii="Palatino Linotype" w:eastAsia="Palatino Linotype" w:hAnsi="Palatino Linotype" w:cs="Palatino Linotype"/>
          <w:b/>
          <w:i/>
        </w:rPr>
        <w:t xml:space="preserve"> </w:t>
      </w:r>
      <w:r w:rsidRPr="00BB6E75">
        <w:rPr>
          <w:rFonts w:ascii="Palatino Linotype" w:eastAsia="Palatino Linotype" w:hAnsi="Palatino Linotype" w:cs="Palatino Linotype"/>
        </w:rPr>
        <w:t>dio respuesta a las solicitud de información en el siguiente sentido:</w:t>
      </w:r>
    </w:p>
    <w:p w:rsidR="002670AA" w:rsidRPr="00BB6E75" w:rsidRDefault="002670AA" w:rsidP="00A81C74">
      <w:pPr>
        <w:spacing w:line="360" w:lineRule="auto"/>
        <w:jc w:val="both"/>
        <w:rPr>
          <w:rFonts w:ascii="Palatino Linotype" w:eastAsia="Palatino Linotype" w:hAnsi="Palatino Linotype" w:cs="Palatino Linotype"/>
        </w:rPr>
      </w:pPr>
    </w:p>
    <w:tbl>
      <w:tblPr>
        <w:tblW w:w="7968" w:type="dxa"/>
        <w:jc w:val="center"/>
        <w:tblCellSpacing w:w="0" w:type="dxa"/>
        <w:tblCellMar>
          <w:left w:w="0" w:type="dxa"/>
          <w:right w:w="0" w:type="dxa"/>
        </w:tblCellMar>
        <w:tblLook w:val="04A0" w:firstRow="1" w:lastRow="0" w:firstColumn="1" w:lastColumn="0" w:noHBand="0" w:noVBand="1"/>
      </w:tblPr>
      <w:tblGrid>
        <w:gridCol w:w="7968"/>
      </w:tblGrid>
      <w:tr w:rsidR="002637FD" w:rsidRPr="00BB6E75" w:rsidTr="002637FD">
        <w:trPr>
          <w:trHeight w:val="314"/>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r w:rsidRPr="00BB6E75">
              <w:rPr>
                <w:rFonts w:ascii="Palatino Linotype" w:hAnsi="Palatino Linotype"/>
                <w:i/>
              </w:rPr>
              <w:t>“Almoloya del Río, México a 11 de Abril de 2025</w:t>
            </w:r>
          </w:p>
        </w:tc>
      </w:tr>
      <w:tr w:rsidR="002637FD" w:rsidRPr="00BB6E75" w:rsidTr="002637FD">
        <w:trPr>
          <w:trHeight w:val="314"/>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r w:rsidRPr="00BB6E75">
              <w:rPr>
                <w:rFonts w:ascii="Palatino Linotype" w:hAnsi="Palatino Linotype"/>
                <w:i/>
              </w:rPr>
              <w:t>Nombre del solicitante: C. Solicitante</w:t>
            </w:r>
          </w:p>
        </w:tc>
      </w:tr>
      <w:tr w:rsidR="002637FD" w:rsidRPr="00BB6E75" w:rsidTr="002637FD">
        <w:trPr>
          <w:trHeight w:val="314"/>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r w:rsidRPr="00BB6E75">
              <w:rPr>
                <w:rFonts w:ascii="Palatino Linotype" w:hAnsi="Palatino Linotype"/>
                <w:i/>
              </w:rPr>
              <w:t>Folio de la solicitud: 00030/ALMORI/IP/2025</w:t>
            </w:r>
          </w:p>
        </w:tc>
      </w:tr>
      <w:tr w:rsidR="002637FD" w:rsidRPr="00BB6E75" w:rsidTr="002637FD">
        <w:trPr>
          <w:trHeight w:val="471"/>
          <w:tblCellSpacing w:w="0" w:type="dxa"/>
          <w:jc w:val="center"/>
        </w:trPr>
        <w:tc>
          <w:tcPr>
            <w:tcW w:w="0" w:type="auto"/>
            <w:vAlign w:val="center"/>
            <w:hideMark/>
          </w:tcPr>
          <w:p w:rsidR="002637FD" w:rsidRPr="00BB6E75" w:rsidRDefault="002637FD" w:rsidP="00A81C74">
            <w:pPr>
              <w:jc w:val="right"/>
              <w:rPr>
                <w:rFonts w:ascii="Palatino Linotype" w:hAnsi="Palatino Linotype"/>
                <w:i/>
              </w:rPr>
            </w:pPr>
          </w:p>
        </w:tc>
      </w:tr>
      <w:tr w:rsidR="002637FD" w:rsidRPr="00BB6E75" w:rsidTr="002637FD">
        <w:trPr>
          <w:trHeight w:val="157"/>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r w:rsidRPr="00BB6E7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637FD" w:rsidRPr="00BB6E75" w:rsidTr="002637FD">
        <w:trPr>
          <w:trHeight w:val="392"/>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p>
        </w:tc>
      </w:tr>
      <w:tr w:rsidR="002637FD" w:rsidRPr="00BB6E75" w:rsidTr="002637FD">
        <w:trPr>
          <w:trHeight w:val="157"/>
          <w:tblCellSpacing w:w="0" w:type="dxa"/>
          <w:jc w:val="center"/>
        </w:trPr>
        <w:tc>
          <w:tcPr>
            <w:tcW w:w="0" w:type="auto"/>
            <w:vAlign w:val="center"/>
            <w:hideMark/>
          </w:tcPr>
          <w:p w:rsidR="002637FD" w:rsidRPr="00BB6E75" w:rsidRDefault="002637FD" w:rsidP="00A81C74">
            <w:pPr>
              <w:jc w:val="both"/>
              <w:rPr>
                <w:rFonts w:ascii="Palatino Linotype" w:hAnsi="Palatino Linotype"/>
                <w:i/>
              </w:rPr>
            </w:pPr>
            <w:r w:rsidRPr="00BB6E75">
              <w:rPr>
                <w:rFonts w:ascii="Palatino Linotype" w:hAnsi="Palatino Linotype"/>
                <w:i/>
              </w:rPr>
              <w:t>Estimado Solicitante, a través de este medio reciba la respuesta a sus solicitud de información.</w:t>
            </w:r>
          </w:p>
        </w:tc>
      </w:tr>
      <w:tr w:rsidR="002637FD" w:rsidRPr="00BB6E75" w:rsidTr="002637FD">
        <w:trPr>
          <w:trHeight w:val="392"/>
          <w:tblCellSpacing w:w="0" w:type="dxa"/>
          <w:jc w:val="center"/>
        </w:trPr>
        <w:tc>
          <w:tcPr>
            <w:tcW w:w="0" w:type="auto"/>
            <w:vAlign w:val="center"/>
            <w:hideMark/>
          </w:tcPr>
          <w:p w:rsidR="002637FD" w:rsidRPr="00BB6E75" w:rsidRDefault="002637FD" w:rsidP="00A81C74">
            <w:pPr>
              <w:rPr>
                <w:rFonts w:ascii="Palatino Linotype" w:hAnsi="Palatino Linotype"/>
                <w:i/>
              </w:rPr>
            </w:pPr>
          </w:p>
        </w:tc>
      </w:tr>
      <w:tr w:rsidR="002637FD" w:rsidRPr="00BB6E75" w:rsidTr="002637FD">
        <w:trPr>
          <w:trHeight w:val="157"/>
          <w:tblCellSpacing w:w="0" w:type="dxa"/>
          <w:jc w:val="center"/>
        </w:trPr>
        <w:tc>
          <w:tcPr>
            <w:tcW w:w="0" w:type="auto"/>
            <w:vAlign w:val="center"/>
            <w:hideMark/>
          </w:tcPr>
          <w:p w:rsidR="002637FD" w:rsidRPr="00BB6E75" w:rsidRDefault="002637FD" w:rsidP="00A81C74">
            <w:pPr>
              <w:jc w:val="center"/>
              <w:rPr>
                <w:rFonts w:ascii="Palatino Linotype" w:hAnsi="Palatino Linotype"/>
                <w:i/>
              </w:rPr>
            </w:pPr>
          </w:p>
        </w:tc>
      </w:tr>
      <w:tr w:rsidR="002637FD" w:rsidRPr="00BB6E75" w:rsidTr="002637FD">
        <w:trPr>
          <w:trHeight w:val="157"/>
          <w:tblCellSpacing w:w="0" w:type="dxa"/>
          <w:jc w:val="center"/>
        </w:trPr>
        <w:tc>
          <w:tcPr>
            <w:tcW w:w="0" w:type="auto"/>
            <w:vAlign w:val="center"/>
            <w:hideMark/>
          </w:tcPr>
          <w:p w:rsidR="002637FD" w:rsidRPr="00BB6E75" w:rsidRDefault="002637FD" w:rsidP="00A81C74">
            <w:pPr>
              <w:rPr>
                <w:rFonts w:ascii="Palatino Linotype" w:hAnsi="Palatino Linotype"/>
                <w:i/>
              </w:rPr>
            </w:pPr>
          </w:p>
        </w:tc>
      </w:tr>
      <w:tr w:rsidR="002637FD" w:rsidRPr="00BB6E75" w:rsidTr="002637FD">
        <w:trPr>
          <w:trHeight w:val="157"/>
          <w:tblCellSpacing w:w="0" w:type="dxa"/>
          <w:jc w:val="center"/>
        </w:trPr>
        <w:tc>
          <w:tcPr>
            <w:tcW w:w="0" w:type="auto"/>
            <w:vAlign w:val="center"/>
            <w:hideMark/>
          </w:tcPr>
          <w:p w:rsidR="002637FD" w:rsidRPr="00BB6E75" w:rsidRDefault="002637FD" w:rsidP="00A81C74">
            <w:pPr>
              <w:rPr>
                <w:rFonts w:ascii="Palatino Linotype" w:hAnsi="Palatino Linotype"/>
                <w:i/>
              </w:rPr>
            </w:pPr>
            <w:r w:rsidRPr="00BB6E75">
              <w:rPr>
                <w:rFonts w:ascii="Palatino Linotype" w:hAnsi="Palatino Linotype"/>
                <w:i/>
              </w:rPr>
              <w:lastRenderedPageBreak/>
              <w:t>ATENTAMENTE</w:t>
            </w:r>
          </w:p>
        </w:tc>
      </w:tr>
      <w:tr w:rsidR="002637FD" w:rsidRPr="00BB6E75" w:rsidTr="002637FD">
        <w:trPr>
          <w:trHeight w:val="235"/>
          <w:tblCellSpacing w:w="0" w:type="dxa"/>
          <w:jc w:val="center"/>
        </w:trPr>
        <w:tc>
          <w:tcPr>
            <w:tcW w:w="0" w:type="auto"/>
            <w:vAlign w:val="center"/>
            <w:hideMark/>
          </w:tcPr>
          <w:p w:rsidR="002637FD" w:rsidRPr="00BB6E75" w:rsidRDefault="002637FD" w:rsidP="00A81C74">
            <w:pPr>
              <w:rPr>
                <w:rFonts w:ascii="Palatino Linotype" w:hAnsi="Palatino Linotype"/>
                <w:i/>
              </w:rPr>
            </w:pPr>
          </w:p>
        </w:tc>
      </w:tr>
      <w:tr w:rsidR="002637FD" w:rsidRPr="00BB6E75" w:rsidTr="002637FD">
        <w:trPr>
          <w:trHeight w:val="157"/>
          <w:tblCellSpacing w:w="0" w:type="dxa"/>
          <w:jc w:val="center"/>
        </w:trPr>
        <w:tc>
          <w:tcPr>
            <w:tcW w:w="0" w:type="auto"/>
            <w:vAlign w:val="center"/>
            <w:hideMark/>
          </w:tcPr>
          <w:p w:rsidR="002637FD" w:rsidRPr="00BB6E75" w:rsidRDefault="002637FD" w:rsidP="00A81C74">
            <w:pPr>
              <w:rPr>
                <w:rFonts w:ascii="Palatino Linotype" w:hAnsi="Palatino Linotype"/>
                <w:i/>
              </w:rPr>
            </w:pPr>
            <w:r w:rsidRPr="00BB6E75">
              <w:rPr>
                <w:rFonts w:ascii="Palatino Linotype" w:hAnsi="Palatino Linotype"/>
                <w:i/>
              </w:rPr>
              <w:t>C. Sergio Vega Bolaños”</w:t>
            </w:r>
          </w:p>
        </w:tc>
      </w:tr>
    </w:tbl>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rPr>
        <w:t>A la respuesta se adjuntaron los archivos que se describen enseguida:</w:t>
      </w: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37FD" w:rsidRPr="00BB6E75" w:rsidRDefault="006674E5" w:rsidP="00A81C74">
      <w:pPr>
        <w:pStyle w:val="Prrafodelista"/>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7" w:tgtFrame="_blank" w:history="1">
        <w:r w:rsidR="002637FD" w:rsidRPr="00BB6E75">
          <w:rPr>
            <w:rStyle w:val="Hipervnculo"/>
            <w:rFonts w:ascii="Palatino Linotype" w:eastAsiaTheme="majorEastAsia" w:hAnsi="Palatino Linotype" w:cs="Arial"/>
            <w:b/>
            <w:bCs/>
            <w:color w:val="auto"/>
          </w:rPr>
          <w:t>Respuesta Tesoreria 00030 ALMORI 2025.pdf</w:t>
        </w:r>
      </w:hyperlink>
      <w:r w:rsidR="002637FD" w:rsidRPr="00BB6E75">
        <w:rPr>
          <w:rFonts w:ascii="Palatino Linotype" w:hAnsi="Palatino Linotype"/>
        </w:rPr>
        <w:t xml:space="preserve">: oficio número ADR/TM/92/2025 de fecha once de abril de dos mil veinticinco, suscrito por el Tesorero Municipal, en el que, de forma medular, se pretende realizar el cobro de la información y que el particular acceda a la información de forma directa en las oficinas del Ayuntamiento. </w:t>
      </w:r>
    </w:p>
    <w:p w:rsidR="002637FD" w:rsidRPr="00BB6E75" w:rsidRDefault="002637FD" w:rsidP="00A81C7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2637FD" w:rsidRPr="00BB6E75" w:rsidRDefault="006674E5" w:rsidP="00A81C74">
      <w:pPr>
        <w:pStyle w:val="Prrafodelista"/>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8" w:tgtFrame="_blank" w:history="1">
        <w:r w:rsidR="002637FD" w:rsidRPr="00BB6E75">
          <w:rPr>
            <w:rStyle w:val="Hipervnculo"/>
            <w:rFonts w:ascii="Palatino Linotype" w:eastAsiaTheme="majorEastAsia" w:hAnsi="Palatino Linotype" w:cs="Arial"/>
            <w:b/>
            <w:bCs/>
            <w:color w:val="auto"/>
          </w:rPr>
          <w:t>Respuesta 00030 ALMORI IP 2025.pdf</w:t>
        </w:r>
      </w:hyperlink>
      <w:r w:rsidR="002637FD" w:rsidRPr="00BB6E75">
        <w:rPr>
          <w:rFonts w:ascii="Palatino Linotype" w:hAnsi="Palatino Linotype"/>
        </w:rPr>
        <w:t>: oficio núm</w:t>
      </w:r>
      <w:r w:rsidR="003625FF" w:rsidRPr="00BB6E75">
        <w:rPr>
          <w:rFonts w:ascii="Palatino Linotype" w:hAnsi="Palatino Linotype"/>
        </w:rPr>
        <w:t xml:space="preserve">ero ADR/PM/UT/110/2025, suscrito por el Titular de la Unidad de Transparencia, en el que señaló que se anexa la respuesta del Tesorero Municipal. </w:t>
      </w:r>
    </w:p>
    <w:p w:rsidR="002637FD" w:rsidRPr="00BB6E75" w:rsidRDefault="002637FD"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w:t>
      </w:r>
      <w:r w:rsidR="003625FF" w:rsidRPr="00BB6E75">
        <w:rPr>
          <w:rFonts w:ascii="Palatino Linotype" w:eastAsia="Palatino Linotype" w:hAnsi="Palatino Linotype" w:cs="Palatino Linotype"/>
          <w:b/>
        </w:rPr>
        <w:t>veintidós de abril</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w:t>
      </w:r>
      <w:r w:rsidRPr="00BB6E75">
        <w:rPr>
          <w:rFonts w:ascii="Palatino Linotype" w:eastAsia="Palatino Linotype" w:hAnsi="Palatino Linotype" w:cs="Palatino Linotype"/>
          <w:b/>
        </w:rPr>
        <w:t>EL RECURRENTE</w:t>
      </w:r>
      <w:r w:rsidRPr="00BB6E75">
        <w:rPr>
          <w:rFonts w:ascii="Palatino Linotype" w:eastAsia="Palatino Linotype" w:hAnsi="Palatino Linotype" w:cs="Palatino Linotype"/>
        </w:rPr>
        <w:t xml:space="preserve"> interpuso el recurso de revisión, en contra de la respuesta, señalando como:</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i/>
        </w:rPr>
      </w:pPr>
      <w:r w:rsidRPr="00BB6E75">
        <w:rPr>
          <w:rFonts w:ascii="Palatino Linotype" w:eastAsia="Palatino Linotype" w:hAnsi="Palatino Linotype" w:cs="Palatino Linotype"/>
          <w:b/>
        </w:rPr>
        <w:t>Acto impugnado</w:t>
      </w:r>
      <w:r w:rsidRPr="00BB6E75">
        <w:rPr>
          <w:rFonts w:ascii="Palatino Linotype" w:eastAsia="Palatino Linotype" w:hAnsi="Palatino Linotype" w:cs="Palatino Linotype"/>
          <w:b/>
          <w:i/>
        </w:rPr>
        <w:t>:</w:t>
      </w:r>
      <w:r w:rsidRPr="00BB6E75">
        <w:rPr>
          <w:rFonts w:ascii="Palatino Linotype" w:eastAsia="Palatino Linotype" w:hAnsi="Palatino Linotype" w:cs="Palatino Linotype"/>
          <w:i/>
        </w:rPr>
        <w:t xml:space="preserve"> "</w:t>
      </w:r>
      <w:r w:rsidR="003625FF" w:rsidRPr="00BB6E75">
        <w:rPr>
          <w:rFonts w:ascii="Palatino Linotype" w:hAnsi="Palatino Linotype"/>
          <w:color w:val="000000"/>
        </w:rPr>
        <w:t xml:space="preserve"> </w:t>
      </w:r>
      <w:r w:rsidR="003625FF" w:rsidRPr="00BB6E75">
        <w:rPr>
          <w:rFonts w:ascii="Palatino Linotype" w:eastAsia="Palatino Linotype" w:hAnsi="Palatino Linotype" w:cs="Palatino Linotype"/>
          <w:i/>
        </w:rPr>
        <w:t>pretende realizar el cobro de una información que es gratuita, sin eximir que su portal de informacion carece de actualizaciones,</w:t>
      </w:r>
      <w:r w:rsidRPr="00BB6E75">
        <w:rPr>
          <w:rFonts w:ascii="Palatino Linotype" w:eastAsia="Palatino Linotype" w:hAnsi="Palatino Linotype" w:cs="Palatino Linotype"/>
          <w:i/>
        </w:rPr>
        <w:t>" (Sic)</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t>Razones o Motivos de inconformidad: “</w:t>
      </w:r>
      <w:r w:rsidR="003625FF" w:rsidRPr="00BB6E75">
        <w:rPr>
          <w:rFonts w:ascii="Palatino Linotype" w:eastAsia="Palatino Linotype" w:hAnsi="Palatino Linotype" w:cs="Palatino Linotype"/>
          <w:i/>
        </w:rPr>
        <w:t>pretende realizar el cobro de una información que es gratuita, sin eximir que su portal de informacion carece de actualizaciones,</w:t>
      </w:r>
      <w:r w:rsidRPr="00BB6E75">
        <w:rPr>
          <w:rFonts w:ascii="Palatino Linotype" w:eastAsia="Palatino Linotype" w:hAnsi="Palatino Linotype" w:cs="Palatino Linotype"/>
          <w:i/>
        </w:rPr>
        <w:t>” (Sic)</w:t>
      </w:r>
      <w:r w:rsidRPr="00BB6E75">
        <w:rPr>
          <w:rFonts w:ascii="Palatino Linotype" w:eastAsia="Palatino Linotype" w:hAnsi="Palatino Linotype" w:cs="Palatino Linotype"/>
        </w:rPr>
        <w:t xml:space="preserve">. </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w:t>
      </w:r>
      <w:r w:rsidRPr="00BB6E75">
        <w:rPr>
          <w:rFonts w:ascii="Palatino Linotype" w:eastAsia="Palatino Linotype" w:hAnsi="Palatino Linotype" w:cs="Palatino Linotype"/>
          <w:b/>
        </w:rPr>
        <w:t xml:space="preserve">Ley de Transparencia y Acceso a la Información Pública del Estado de México y Municipios </w:t>
      </w:r>
      <w:r w:rsidRPr="00BB6E75">
        <w:rPr>
          <w:rFonts w:ascii="Palatino Linotype" w:eastAsia="Palatino Linotype" w:hAnsi="Palatino Linotype" w:cs="Palatino Linotype"/>
        </w:rPr>
        <w:t xml:space="preserve">se turnó a la </w:t>
      </w:r>
      <w:r w:rsidRPr="00BB6E75">
        <w:rPr>
          <w:rFonts w:ascii="Palatino Linotype" w:eastAsia="Palatino Linotype" w:hAnsi="Palatino Linotype" w:cs="Palatino Linotype"/>
          <w:b/>
        </w:rPr>
        <w:t xml:space="preserve">Comisionada María del Rosario Mejía Ayala, </w:t>
      </w:r>
      <w:r w:rsidRPr="00BB6E75">
        <w:rPr>
          <w:rFonts w:ascii="Palatino Linotype" w:eastAsia="Palatino Linotype" w:hAnsi="Palatino Linotype" w:cs="Palatino Linotype"/>
        </w:rPr>
        <w:t xml:space="preserve">con el objeto de su análisis. </w:t>
      </w: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3625FF" w:rsidRPr="00BB6E75">
        <w:rPr>
          <w:rFonts w:ascii="Palatino Linotype" w:eastAsia="Palatino Linotype" w:hAnsi="Palatino Linotype" w:cs="Palatino Linotype"/>
          <w:b/>
        </w:rPr>
        <w:t>veintitrés de abril</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puso a disposición de las partes el expediente electrónico vía </w:t>
      </w:r>
      <w:r w:rsidRPr="00BB6E75">
        <w:rPr>
          <w:rFonts w:ascii="Palatino Linotype" w:eastAsia="Palatino Linotype" w:hAnsi="Palatino Linotype" w:cs="Palatino Linotype"/>
          <w:b/>
        </w:rPr>
        <w:t xml:space="preserve">SAIMEX </w:t>
      </w:r>
      <w:r w:rsidRPr="00BB6E75">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BB6E75">
        <w:rPr>
          <w:rFonts w:ascii="Palatino Linotype" w:eastAsia="Palatino Linotype" w:hAnsi="Palatino Linotype" w:cs="Palatino Linotype"/>
          <w:b/>
        </w:rPr>
        <w:t>SUJETO OBLIGADO</w:t>
      </w:r>
      <w:r w:rsidRPr="00BB6E75">
        <w:rPr>
          <w:rFonts w:ascii="Palatino Linotype" w:eastAsia="Palatino Linotype" w:hAnsi="Palatino Linotype" w:cs="Palatino Linotype"/>
        </w:rPr>
        <w:t xml:space="preserve"> presentara el informe justificado procedente. </w:t>
      </w:r>
    </w:p>
    <w:p w:rsidR="002670AA" w:rsidRPr="00BB6E75" w:rsidRDefault="002670AA" w:rsidP="00A81C74">
      <w:pPr>
        <w:pBdr>
          <w:top w:val="nil"/>
          <w:left w:val="nil"/>
          <w:bottom w:val="nil"/>
          <w:right w:val="nil"/>
          <w:between w:val="nil"/>
        </w:pBdr>
        <w:spacing w:line="360" w:lineRule="auto"/>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color w:val="auto"/>
          <w:u w:val="none"/>
        </w:rPr>
      </w:pPr>
      <w:r w:rsidRPr="00BB6E75">
        <w:rPr>
          <w:rFonts w:ascii="Palatino Linotype" w:eastAsia="Palatino Linotype" w:hAnsi="Palatino Linotype" w:cs="Palatino Linotype"/>
        </w:rPr>
        <w:t xml:space="preserve">De las constancias que obran en el expediente electrónico SAIMEX, se advierte que el Recurrente no realizó manifestaciones, alegatos o pruebas que a su derecho conviniera; por </w:t>
      </w:r>
      <w:r w:rsidR="003625FF" w:rsidRPr="00BB6E75">
        <w:rPr>
          <w:rFonts w:ascii="Palatino Linotype" w:eastAsia="Palatino Linotype" w:hAnsi="Palatino Linotype" w:cs="Palatino Linotype"/>
        </w:rPr>
        <w:t xml:space="preserve">su parte, el Sujeto Obligado entregó informe justificado el veintiocho de abril de dos mil veinticinco y se puso a la vista del particular el siete de mayo del mismo año, a través del archivo denominado </w:t>
      </w:r>
      <w:hyperlink r:id="rId9" w:history="1">
        <w:r w:rsidR="003625FF" w:rsidRPr="00BB6E75">
          <w:rPr>
            <w:rStyle w:val="Hipervnculo"/>
            <w:rFonts w:ascii="Palatino Linotype" w:eastAsia="Palatino Linotype" w:hAnsi="Palatino Linotype" w:cs="Palatino Linotype"/>
            <w:b/>
            <w:bCs/>
          </w:rPr>
          <w:t>manifestaciones 04553 INFOEM IP RR 2025.pdf</w:t>
        </w:r>
      </w:hyperlink>
      <w:r w:rsidR="003625FF" w:rsidRPr="00BB6E75">
        <w:rPr>
          <w:rFonts w:ascii="Palatino Linotype" w:eastAsia="Palatino Linotype" w:hAnsi="Palatino Linotype" w:cs="Palatino Linotype"/>
        </w:rPr>
        <w:t xml:space="preserve">, en el que de forma medular, se ratificó la respuesta. </w:t>
      </w: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BB6E75">
        <w:rPr>
          <w:rFonts w:ascii="Palatino Linotype" w:eastAsia="Palatino Linotype" w:hAnsi="Palatino Linotype" w:cs="Palatino Linotype"/>
        </w:rPr>
        <w:t xml:space="preserve">El Comisionado Ponente decretó el cierre de instrucción mediante el acuerdo del </w:t>
      </w:r>
      <w:r w:rsidR="003625FF" w:rsidRPr="00BB6E75">
        <w:rPr>
          <w:rFonts w:ascii="Palatino Linotype" w:eastAsia="Palatino Linotype" w:hAnsi="Palatino Linotype" w:cs="Palatino Linotype"/>
          <w:b/>
        </w:rPr>
        <w:t>trece de mayo</w:t>
      </w:r>
      <w:r w:rsidRPr="00BB6E75">
        <w:rPr>
          <w:rFonts w:ascii="Palatino Linotype" w:eastAsia="Palatino Linotype" w:hAnsi="Palatino Linotype" w:cs="Palatino Linotype"/>
          <w:b/>
        </w:rPr>
        <w:t xml:space="preserve"> de dos mil veinticinco.</w:t>
      </w:r>
    </w:p>
    <w:p w:rsidR="002670AA" w:rsidRPr="00BB6E75" w:rsidRDefault="002670AA" w:rsidP="00A81C74">
      <w:pPr>
        <w:spacing w:line="360" w:lineRule="auto"/>
        <w:rPr>
          <w:rFonts w:ascii="Palatino Linotype" w:eastAsia="Palatino Linotype" w:hAnsi="Palatino Linotype" w:cs="Palatino Linotype"/>
        </w:rPr>
      </w:pPr>
    </w:p>
    <w:p w:rsidR="000A671F" w:rsidRPr="00BB6E75" w:rsidRDefault="000A671F" w:rsidP="00A81C74">
      <w:pPr>
        <w:spacing w:line="360" w:lineRule="auto"/>
        <w:rPr>
          <w:rFonts w:ascii="Palatino Linotype" w:eastAsia="Palatino Linotype" w:hAnsi="Palatino Linotype" w:cs="Palatino Linotype"/>
        </w:rPr>
      </w:pPr>
    </w:p>
    <w:p w:rsidR="000A671F" w:rsidRPr="00BB6E75" w:rsidRDefault="000A671F" w:rsidP="00A81C74">
      <w:pPr>
        <w:spacing w:line="360" w:lineRule="auto"/>
        <w:rPr>
          <w:rFonts w:ascii="Palatino Linotype" w:eastAsia="Palatino Linotype" w:hAnsi="Palatino Linotype" w:cs="Palatino Linotype"/>
        </w:rPr>
      </w:pPr>
    </w:p>
    <w:p w:rsidR="000A671F" w:rsidRPr="00BB6E75" w:rsidRDefault="000A671F" w:rsidP="00A81C74">
      <w:pPr>
        <w:spacing w:line="360" w:lineRule="auto"/>
        <w:rPr>
          <w:rFonts w:ascii="Palatino Linotype" w:eastAsia="Palatino Linotype" w:hAnsi="Palatino Linotype" w:cs="Palatino Linotype"/>
        </w:rPr>
      </w:pPr>
    </w:p>
    <w:p w:rsidR="000A671F" w:rsidRPr="00BB6E75" w:rsidRDefault="000A671F" w:rsidP="00A81C74">
      <w:pPr>
        <w:spacing w:line="360" w:lineRule="auto"/>
        <w:rPr>
          <w:rFonts w:ascii="Palatino Linotype" w:eastAsia="Palatino Linotype" w:hAnsi="Palatino Linotype" w:cs="Palatino Linotype"/>
        </w:rPr>
      </w:pPr>
    </w:p>
    <w:p w:rsidR="000A671F" w:rsidRPr="00BB6E75" w:rsidRDefault="000A671F" w:rsidP="00A81C74">
      <w:pPr>
        <w:spacing w:line="360" w:lineRule="auto"/>
        <w:rPr>
          <w:rFonts w:ascii="Palatino Linotype" w:eastAsia="Palatino Linotype" w:hAnsi="Palatino Linotype" w:cs="Palatino Linotype"/>
        </w:rPr>
      </w:pPr>
    </w:p>
    <w:p w:rsidR="002670AA" w:rsidRPr="00BB6E75" w:rsidRDefault="002670AA" w:rsidP="00A81C74">
      <w:pPr>
        <w:spacing w:line="360" w:lineRule="auto"/>
        <w:jc w:val="center"/>
        <w:rPr>
          <w:rFonts w:ascii="Palatino Linotype" w:eastAsia="Palatino Linotype" w:hAnsi="Palatino Linotype" w:cs="Palatino Linotype"/>
        </w:rPr>
      </w:pPr>
      <w:bookmarkStart w:id="1" w:name="_heading=h.30j0zll" w:colFirst="0" w:colLast="0"/>
      <w:bookmarkEnd w:id="1"/>
      <w:r w:rsidRPr="00BB6E75">
        <w:rPr>
          <w:rFonts w:ascii="Palatino Linotype" w:eastAsia="Palatino Linotype" w:hAnsi="Palatino Linotype" w:cs="Palatino Linotype"/>
          <w:b/>
        </w:rPr>
        <w:t>CONSIDERANDO</w:t>
      </w:r>
    </w:p>
    <w:p w:rsidR="002670AA" w:rsidRPr="00BB6E75" w:rsidRDefault="002670AA" w:rsidP="00A81C74">
      <w:pPr>
        <w:spacing w:line="360" w:lineRule="auto"/>
        <w:jc w:val="center"/>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b/>
        </w:rPr>
      </w:pPr>
      <w:bookmarkStart w:id="2" w:name="_heading=h.1fob9te" w:colFirst="0" w:colLast="0"/>
      <w:bookmarkEnd w:id="2"/>
      <w:r w:rsidRPr="00BB6E75">
        <w:rPr>
          <w:rFonts w:ascii="Palatino Linotype" w:eastAsia="Palatino Linotype" w:hAnsi="Palatino Linotype" w:cs="Palatino Linotype"/>
          <w:b/>
        </w:rPr>
        <w:t>PRIMERO. De la competencia</w:t>
      </w:r>
    </w:p>
    <w:p w:rsidR="002670AA" w:rsidRPr="00BB6E75" w:rsidRDefault="002670AA" w:rsidP="00A81C74">
      <w:pPr>
        <w:spacing w:line="360" w:lineRule="auto"/>
        <w:jc w:val="both"/>
        <w:rPr>
          <w:rFonts w:ascii="Palatino Linotype" w:eastAsia="Palatino Linotype" w:hAnsi="Palatino Linotype" w:cs="Palatino Linotype"/>
          <w:b/>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keepNext/>
        <w:keepLines/>
        <w:spacing w:line="360" w:lineRule="auto"/>
        <w:rPr>
          <w:rFonts w:ascii="Palatino Linotype" w:eastAsia="Palatino Linotype" w:hAnsi="Palatino Linotype" w:cs="Palatino Linotype"/>
          <w:b/>
        </w:rPr>
      </w:pPr>
      <w:bookmarkStart w:id="3" w:name="_heading=h.3znysh7" w:colFirst="0" w:colLast="0"/>
      <w:bookmarkEnd w:id="3"/>
      <w:r w:rsidRPr="00BB6E75">
        <w:rPr>
          <w:rFonts w:ascii="Palatino Linotype" w:eastAsia="Palatino Linotype" w:hAnsi="Palatino Linotype" w:cs="Palatino Linotype"/>
          <w:b/>
        </w:rPr>
        <w:t>SEGUNDO. De la oportunidad y procedencia.</w:t>
      </w:r>
    </w:p>
    <w:p w:rsidR="002670AA" w:rsidRPr="00BB6E75" w:rsidRDefault="002670AA"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medio de impugnación fue presentado a través del </w:t>
      </w:r>
      <w:r w:rsidRPr="00BB6E75">
        <w:rPr>
          <w:rFonts w:ascii="Palatino Linotype" w:eastAsia="Palatino Linotype" w:hAnsi="Palatino Linotype" w:cs="Palatino Linotype"/>
          <w:b/>
        </w:rPr>
        <w:t>SAIMEX,</w:t>
      </w:r>
      <w:r w:rsidRPr="00BB6E75">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B6E75">
        <w:rPr>
          <w:rFonts w:ascii="Palatino Linotype" w:eastAsia="Palatino Linotype" w:hAnsi="Palatino Linotype" w:cs="Palatino Linotype"/>
          <w:b/>
        </w:rPr>
        <w:t>SUJETO OBLIGADO</w:t>
      </w:r>
      <w:r w:rsidRPr="00BB6E75">
        <w:rPr>
          <w:rFonts w:ascii="Palatino Linotype" w:eastAsia="Palatino Linotype" w:hAnsi="Palatino Linotype" w:cs="Palatino Linotype"/>
        </w:rPr>
        <w:t xml:space="preserve"> entregó respuesta a la solicitud el </w:t>
      </w:r>
      <w:r w:rsidR="003625FF" w:rsidRPr="00BB6E75">
        <w:rPr>
          <w:rFonts w:ascii="Palatino Linotype" w:eastAsia="Palatino Linotype" w:hAnsi="Palatino Linotype" w:cs="Palatino Linotype"/>
          <w:b/>
        </w:rPr>
        <w:t>once de abril</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de tal forma que el plazo para interponer el recurso de </w:t>
      </w:r>
      <w:r w:rsidRPr="00BB6E75">
        <w:rPr>
          <w:rFonts w:ascii="Palatino Linotype" w:eastAsia="Palatino Linotype" w:hAnsi="Palatino Linotype" w:cs="Palatino Linotype"/>
        </w:rPr>
        <w:lastRenderedPageBreak/>
        <w:t xml:space="preserve">revisión transcurrió del </w:t>
      </w:r>
      <w:r w:rsidR="003625FF" w:rsidRPr="00BB6E75">
        <w:rPr>
          <w:rFonts w:ascii="Palatino Linotype" w:eastAsia="Palatino Linotype" w:hAnsi="Palatino Linotype" w:cs="Palatino Linotype"/>
          <w:b/>
        </w:rPr>
        <w:t>veintiuno de abril al trece de mayo</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en consecuencia, presentó su inconformidad el día </w:t>
      </w:r>
      <w:r w:rsidR="003625FF" w:rsidRPr="00BB6E75">
        <w:rPr>
          <w:rFonts w:ascii="Palatino Linotype" w:eastAsia="Palatino Linotype" w:hAnsi="Palatino Linotype" w:cs="Palatino Linotype"/>
          <w:b/>
        </w:rPr>
        <w:t>veintidós de abril</w:t>
      </w:r>
      <w:r w:rsidRPr="00BB6E75">
        <w:rPr>
          <w:rFonts w:ascii="Palatino Linotype" w:eastAsia="Palatino Linotype" w:hAnsi="Palatino Linotype" w:cs="Palatino Linotype"/>
          <w:b/>
        </w:rPr>
        <w:t xml:space="preserve"> de dos mil veinticinco</w:t>
      </w:r>
      <w:r w:rsidRPr="00BB6E75">
        <w:rPr>
          <w:rFonts w:ascii="Palatino Linotype" w:eastAsia="Palatino Linotype" w:hAnsi="Palatino Linotype" w:cs="Palatino Linotype"/>
        </w:rPr>
        <w:t xml:space="preserve">, por lo que se encuentra dentro de los márgenes temporales previstos en el artículo 178 de la </w:t>
      </w:r>
      <w:r w:rsidRPr="00BB6E75">
        <w:rPr>
          <w:rFonts w:ascii="Palatino Linotype" w:eastAsia="Palatino Linotype" w:hAnsi="Palatino Linotype" w:cs="Palatino Linotype"/>
          <w:b/>
        </w:rPr>
        <w:t xml:space="preserve">Ley de Transparencia y Acceso a la Información Pública del Estado de México y Municipios </w:t>
      </w:r>
      <w:r w:rsidRPr="00BB6E75">
        <w:rPr>
          <w:rFonts w:ascii="Palatino Linotype" w:eastAsia="Palatino Linotype" w:hAnsi="Palatino Linotype" w:cs="Palatino Linotype"/>
        </w:rPr>
        <w:t>vigente.</w:t>
      </w:r>
    </w:p>
    <w:p w:rsidR="003625FF" w:rsidRPr="00BB6E75" w:rsidRDefault="003625FF" w:rsidP="00A81C74">
      <w:pPr>
        <w:pBdr>
          <w:top w:val="nil"/>
          <w:left w:val="nil"/>
          <w:bottom w:val="nil"/>
          <w:right w:val="nil"/>
          <w:between w:val="nil"/>
        </w:pBdr>
        <w:spacing w:line="360" w:lineRule="auto"/>
        <w:jc w:val="both"/>
        <w:rPr>
          <w:rFonts w:ascii="Palatino Linotype" w:eastAsia="Palatino Linotype" w:hAnsi="Palatino Linotype" w:cs="Palatino Linotype"/>
        </w:rPr>
      </w:pPr>
    </w:p>
    <w:p w:rsidR="003625FF" w:rsidRPr="00BB6E75" w:rsidRDefault="003625FF" w:rsidP="00A81C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B6E75">
        <w:rPr>
          <w:rFonts w:ascii="Palatino Linotype" w:eastAsia="Calibri" w:hAnsi="Palatino Linotype" w:cs="Arial"/>
          <w:lang w:val="es-ES_tradnl" w:eastAsia="es-ES"/>
        </w:rPr>
        <w:t xml:space="preserve">Por otra parte, de la revisión al expediente electrónico del </w:t>
      </w:r>
      <w:r w:rsidRPr="00BB6E75">
        <w:rPr>
          <w:rFonts w:ascii="Palatino Linotype" w:eastAsia="Calibri" w:hAnsi="Palatino Linotype" w:cs="Arial"/>
          <w:b/>
          <w:lang w:val="es-ES_tradnl" w:eastAsia="es-ES"/>
        </w:rPr>
        <w:t>SAIMEX</w:t>
      </w:r>
      <w:r w:rsidRPr="00BB6E75">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625FF" w:rsidRPr="00BB6E75" w:rsidRDefault="003625FF" w:rsidP="00A81C74">
      <w:pPr>
        <w:pStyle w:val="Prrafodelista"/>
        <w:ind w:left="0"/>
        <w:rPr>
          <w:rFonts w:ascii="Palatino Linotype" w:eastAsia="Calibri" w:hAnsi="Palatino Linotype" w:cs="Arial"/>
          <w:lang w:val="es-ES_tradnl" w:eastAsia="es-ES"/>
        </w:rPr>
      </w:pPr>
    </w:p>
    <w:p w:rsidR="003625FF" w:rsidRPr="00BB6E75" w:rsidRDefault="003625FF" w:rsidP="00A81C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B6E75">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BB6E75">
        <w:rPr>
          <w:rFonts w:ascii="Palatino Linotype" w:eastAsia="Calibri" w:hAnsi="Palatino Linotype" w:cs="Arial"/>
          <w:bCs/>
          <w:lang w:val="es-ES" w:eastAsia="es-ES"/>
        </w:rPr>
        <w:t xml:space="preserve">5, párrafos vigésimo, vigésimo primero y vigésimo </w:t>
      </w:r>
      <w:r w:rsidR="00514352" w:rsidRPr="00BB6E75">
        <w:rPr>
          <w:rFonts w:ascii="Palatino Linotype" w:eastAsia="Calibri" w:hAnsi="Palatino Linotype" w:cs="Arial"/>
          <w:bCs/>
          <w:lang w:val="es-ES" w:eastAsia="es-ES"/>
        </w:rPr>
        <w:t>segundo</w:t>
      </w:r>
      <w:r w:rsidRPr="00BB6E75">
        <w:rPr>
          <w:rFonts w:ascii="Palatino Linotype" w:eastAsia="Calibri" w:hAnsi="Palatino Linotype" w:cs="Arial"/>
          <w:bCs/>
          <w:lang w:val="es-ES" w:eastAsia="es-ES"/>
        </w:rPr>
        <w:t> fracciones IV y V </w:t>
      </w:r>
      <w:r w:rsidRPr="00BB6E75">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w:t>
      </w:r>
      <w:r w:rsidRPr="00BB6E75">
        <w:rPr>
          <w:rFonts w:ascii="Palatino Linotype" w:eastAsia="Calibri" w:hAnsi="Palatino Linotype" w:cs="Arial"/>
          <w:lang w:val="es-ES_tradnl" w:eastAsia="es-ES"/>
        </w:rPr>
        <w:lastRenderedPageBreak/>
        <w:t>sustanciarán ante los organismos autónomos especializados e imparciales que establece la Constitución Federal y local.</w:t>
      </w:r>
    </w:p>
    <w:p w:rsidR="003625FF" w:rsidRPr="00BB6E75" w:rsidRDefault="003625FF" w:rsidP="00A81C74">
      <w:pPr>
        <w:pStyle w:val="Prrafodelista"/>
        <w:ind w:left="0"/>
        <w:rPr>
          <w:rFonts w:ascii="Palatino Linotype" w:eastAsia="Calibri" w:hAnsi="Palatino Linotype" w:cs="Arial"/>
          <w:lang w:val="es-ES_tradnl" w:eastAsia="es-ES"/>
        </w:rPr>
      </w:pPr>
    </w:p>
    <w:p w:rsidR="003625FF" w:rsidRPr="00BB6E75" w:rsidRDefault="003625FF" w:rsidP="00A81C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B6E75">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625FF" w:rsidRPr="00BB6E75" w:rsidRDefault="003625FF" w:rsidP="00A81C74">
      <w:pPr>
        <w:pStyle w:val="Prrafodelista"/>
        <w:ind w:left="0"/>
        <w:rPr>
          <w:rFonts w:ascii="Palatino Linotype" w:eastAsia="Calibri" w:hAnsi="Palatino Linotype" w:cs="Arial"/>
          <w:lang w:val="es-ES_tradnl" w:eastAsia="es-ES"/>
        </w:rPr>
      </w:pPr>
    </w:p>
    <w:p w:rsidR="003625FF" w:rsidRPr="00BB6E75" w:rsidRDefault="003625FF" w:rsidP="00A81C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B6E75">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625FF" w:rsidRPr="00BB6E75" w:rsidRDefault="003625FF" w:rsidP="00A81C74">
      <w:pPr>
        <w:pStyle w:val="Prrafodelista"/>
        <w:ind w:left="0"/>
        <w:rPr>
          <w:rFonts w:ascii="Palatino Linotype" w:eastAsia="Calibri" w:hAnsi="Palatino Linotype" w:cs="Arial"/>
          <w:lang w:val="es-ES_tradnl" w:eastAsia="es-ES"/>
        </w:rPr>
      </w:pPr>
    </w:p>
    <w:p w:rsidR="003625FF" w:rsidRPr="00BB6E75" w:rsidRDefault="003625FF" w:rsidP="00A81C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B6E75">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670AA" w:rsidRPr="00BB6E75" w:rsidRDefault="002670AA" w:rsidP="00A81C74">
      <w:pPr>
        <w:spacing w:line="360" w:lineRule="auto"/>
        <w:contextualSpacing/>
        <w:jc w:val="both"/>
        <w:rPr>
          <w:rFonts w:ascii="Palatino Linotype" w:eastAsia="Calibri" w:hAnsi="Palatino Linotype" w:cs="Arial"/>
          <w:lang w:val="es-ES_tradnl" w:eastAsia="es-ES"/>
        </w:rPr>
      </w:pPr>
    </w:p>
    <w:p w:rsidR="002670AA" w:rsidRPr="00BB6E75" w:rsidRDefault="002670AA" w:rsidP="00A81C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A671F" w:rsidRPr="00BB6E75" w:rsidRDefault="000A671F" w:rsidP="000A671F">
      <w:pPr>
        <w:pBdr>
          <w:top w:val="nil"/>
          <w:left w:val="nil"/>
          <w:bottom w:val="nil"/>
          <w:right w:val="nil"/>
          <w:between w:val="nil"/>
        </w:pBdr>
        <w:spacing w:line="360" w:lineRule="auto"/>
        <w:jc w:val="both"/>
        <w:rPr>
          <w:rFonts w:ascii="Palatino Linotype" w:eastAsia="Palatino Linotype" w:hAnsi="Palatino Linotype" w:cs="Palatino Linotype"/>
        </w:rPr>
      </w:pPr>
    </w:p>
    <w:p w:rsidR="000A671F" w:rsidRPr="00BB6E75" w:rsidRDefault="000A671F" w:rsidP="000A671F">
      <w:pPr>
        <w:pBdr>
          <w:top w:val="nil"/>
          <w:left w:val="nil"/>
          <w:bottom w:val="nil"/>
          <w:right w:val="nil"/>
          <w:between w:val="nil"/>
        </w:pBdr>
        <w:spacing w:line="360" w:lineRule="auto"/>
        <w:jc w:val="both"/>
        <w:rPr>
          <w:rFonts w:ascii="Palatino Linotype" w:eastAsia="Palatino Linotype" w:hAnsi="Palatino Linotype" w:cs="Palatino Linotype"/>
        </w:rPr>
      </w:pPr>
    </w:p>
    <w:p w:rsidR="000A671F" w:rsidRPr="00BB6E75" w:rsidRDefault="000A671F" w:rsidP="000A671F">
      <w:pPr>
        <w:pBdr>
          <w:top w:val="nil"/>
          <w:left w:val="nil"/>
          <w:bottom w:val="nil"/>
          <w:right w:val="nil"/>
          <w:between w:val="nil"/>
        </w:pBdr>
        <w:spacing w:line="360" w:lineRule="auto"/>
        <w:jc w:val="both"/>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b/>
        </w:rPr>
      </w:pPr>
      <w:bookmarkStart w:id="4" w:name="_heading=h.2et92p0" w:colFirst="0" w:colLast="0"/>
      <w:bookmarkEnd w:id="4"/>
      <w:r w:rsidRPr="00BB6E75">
        <w:rPr>
          <w:rFonts w:ascii="Palatino Linotype" w:eastAsia="Palatino Linotype" w:hAnsi="Palatino Linotype" w:cs="Palatino Linotype"/>
          <w:b/>
        </w:rPr>
        <w:t>TERCERO. Planteamiento de la Litis.</w:t>
      </w:r>
    </w:p>
    <w:p w:rsidR="002670AA" w:rsidRPr="00BB6E75" w:rsidRDefault="002670AA" w:rsidP="00A81C74">
      <w:pPr>
        <w:spacing w:line="360" w:lineRule="auto"/>
        <w:jc w:val="both"/>
        <w:rPr>
          <w:rFonts w:ascii="Palatino Linotype" w:eastAsia="Palatino Linotype" w:hAnsi="Palatino Linotype" w:cs="Palatino Linotype"/>
          <w:b/>
        </w:rPr>
      </w:pPr>
    </w:p>
    <w:p w:rsidR="002670AA" w:rsidRPr="00BB6E75" w:rsidRDefault="002670AA" w:rsidP="00A81C74">
      <w:pPr>
        <w:numPr>
          <w:ilvl w:val="0"/>
          <w:numId w:val="1"/>
        </w:numP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El particular solicitó </w:t>
      </w:r>
      <w:r w:rsidR="008A4CAE" w:rsidRPr="00BB6E75">
        <w:rPr>
          <w:rFonts w:ascii="Palatino Linotype" w:eastAsia="Palatino Linotype" w:hAnsi="Palatino Linotype" w:cs="Palatino Linotype"/>
        </w:rPr>
        <w:t xml:space="preserve">los recibos de nómina correspondientes a la primera y segunda quincena de febrero de dos mil veinticinco. En respuesta, el Sujeto Obligado pretendió el cobro de la información o la entrega de la información en sus oficinas. Posteriormente, el Recurrente se inconformó por que se pretende el cobro de la información. </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En consecuencia, la Litis a resolver en este recurso, se circunscribe a determinar si la respuesta colma con lo solicitado o si se actualizan las causales de procedencia prevista</w:t>
      </w:r>
      <w:r w:rsidR="008A4CAE" w:rsidRPr="00BB6E75">
        <w:rPr>
          <w:rFonts w:ascii="Palatino Linotype" w:eastAsia="Palatino Linotype" w:hAnsi="Palatino Linotype" w:cs="Palatino Linotype"/>
        </w:rPr>
        <w:t>s en el artículo 179, fracción X</w:t>
      </w:r>
      <w:r w:rsidRPr="00BB6E75">
        <w:rPr>
          <w:rFonts w:ascii="Palatino Linotype" w:eastAsia="Palatino Linotype" w:hAnsi="Palatino Linotype" w:cs="Palatino Linotype"/>
        </w:rPr>
        <w:t xml:space="preserve"> de la Ley de Transparencia y Acceso a la Información Pública del Estado de México y Municipios; que establece </w:t>
      </w:r>
      <w:r w:rsidR="008A4CAE" w:rsidRPr="00BB6E75">
        <w:rPr>
          <w:rFonts w:ascii="Palatino Linotype" w:eastAsia="Palatino Linotype" w:hAnsi="Palatino Linotype" w:cs="Palatino Linotype"/>
        </w:rPr>
        <w:t>los costos o tiempo de entrega de la información</w:t>
      </w:r>
      <w:r w:rsidRPr="00BB6E75">
        <w:rPr>
          <w:rFonts w:ascii="Palatino Linotype" w:eastAsia="Palatino Linotype" w:hAnsi="Palatino Linotype" w:cs="Palatino Linotype"/>
        </w:rPr>
        <w:t xml:space="preserve">. </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keepNext/>
        <w:keepLines/>
        <w:spacing w:line="360" w:lineRule="auto"/>
        <w:rPr>
          <w:rFonts w:ascii="Palatino Linotype" w:eastAsia="Palatino Linotype" w:hAnsi="Palatino Linotype" w:cs="Palatino Linotype"/>
          <w:b/>
        </w:rPr>
      </w:pPr>
      <w:bookmarkStart w:id="5" w:name="_heading=h.tyjcwt" w:colFirst="0" w:colLast="0"/>
      <w:bookmarkEnd w:id="5"/>
      <w:r w:rsidRPr="00BB6E75">
        <w:rPr>
          <w:rFonts w:ascii="Palatino Linotype" w:eastAsia="Palatino Linotype" w:hAnsi="Palatino Linotype" w:cs="Palatino Linotype"/>
          <w:b/>
        </w:rPr>
        <w:t>CUARTO. Del estudio y resolución del recurso de revisión.</w:t>
      </w:r>
    </w:p>
    <w:p w:rsidR="002670AA" w:rsidRPr="00BB6E75" w:rsidRDefault="002670AA" w:rsidP="00A81C74">
      <w:pPr>
        <w:keepNext/>
        <w:keepLines/>
        <w:spacing w:line="360" w:lineRule="auto"/>
        <w:rPr>
          <w:rFonts w:ascii="Palatino Linotype" w:eastAsia="Palatino Linotype" w:hAnsi="Palatino Linotype" w:cs="Palatino Linotype"/>
          <w:b/>
        </w:rPr>
      </w:pPr>
    </w:p>
    <w:p w:rsidR="002670AA" w:rsidRPr="00BB6E75" w:rsidRDefault="002670AA" w:rsidP="00A81C74">
      <w:pPr>
        <w:pStyle w:val="Ttulo1"/>
        <w:spacing w:before="0" w:line="360" w:lineRule="auto"/>
        <w:rPr>
          <w:rFonts w:ascii="Palatino Linotype" w:eastAsia="Palatino Linotype" w:hAnsi="Palatino Linotype" w:cs="Palatino Linotype"/>
          <w:b/>
          <w:color w:val="auto"/>
          <w:sz w:val="24"/>
          <w:szCs w:val="24"/>
        </w:rPr>
      </w:pPr>
      <w:bookmarkStart w:id="6" w:name="_heading=h.3dy6vkm" w:colFirst="0" w:colLast="0"/>
      <w:bookmarkEnd w:id="6"/>
      <w:r w:rsidRPr="00BB6E75">
        <w:rPr>
          <w:rFonts w:ascii="Palatino Linotype" w:eastAsia="Palatino Linotype" w:hAnsi="Palatino Linotype" w:cs="Palatino Linotype"/>
          <w:b/>
          <w:color w:val="auto"/>
          <w:sz w:val="24"/>
          <w:szCs w:val="24"/>
        </w:rPr>
        <w:t>De la información solicitada y la respuesta del Sujeto Obligado.</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BB6E75">
        <w:rPr>
          <w:rFonts w:ascii="Palatino Linotype" w:eastAsia="Palatino Linotype" w:hAnsi="Palatino Linotype" w:cs="Palatino Linotype"/>
        </w:rPr>
        <w:lastRenderedPageBreak/>
        <w:t>establecido en el artículo 8 de la Ley de Transparencia y Acceso a la Información Pública del Estado de México y Municipios.</w:t>
      </w:r>
      <w:bookmarkStart w:id="7" w:name="_heading=h.1t3h5sf" w:colFirst="0" w:colLast="0"/>
      <w:bookmarkEnd w:id="7"/>
    </w:p>
    <w:p w:rsidR="008A4CAE" w:rsidRPr="00BB6E75" w:rsidRDefault="008A4CAE" w:rsidP="00A81C74">
      <w:pPr>
        <w:spacing w:line="360" w:lineRule="auto"/>
        <w:jc w:val="both"/>
        <w:rPr>
          <w:rFonts w:ascii="Palatino Linotype" w:eastAsia="Palatino Linotype" w:hAnsi="Palatino Linotype" w:cs="Palatino Linotype"/>
        </w:rPr>
      </w:pPr>
    </w:p>
    <w:p w:rsidR="008A4CAE" w:rsidRPr="00BB6E75" w:rsidRDefault="008A4CAE" w:rsidP="00A81C7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En el presente caso, el Recurrente solicitó los recibos de nómina correspondientes a la primera y segunda quincena de febrero de dos mil veinticinco. En respuesta, el Sujeto Obligado pretendió el cobro de la información o la entrega de la información en sus oficinas.</w:t>
      </w:r>
    </w:p>
    <w:p w:rsidR="008A4CAE" w:rsidRPr="00BB6E75" w:rsidRDefault="008A4CAE" w:rsidP="00A81C74">
      <w:pPr>
        <w:pStyle w:val="Prrafodelista"/>
        <w:numPr>
          <w:ilvl w:val="0"/>
          <w:numId w:val="1"/>
        </w:numPr>
        <w:spacing w:line="360" w:lineRule="auto"/>
        <w:ind w:left="0" w:firstLine="0"/>
        <w:jc w:val="both"/>
        <w:rPr>
          <w:rFonts w:ascii="Palatino Linotype" w:hAnsi="Palatino Linotype"/>
        </w:rPr>
      </w:pPr>
      <w:r w:rsidRPr="00BB6E75">
        <w:rPr>
          <w:rFonts w:ascii="Palatino Linotype" w:hAnsi="Palatino Linotype"/>
        </w:rPr>
        <w:t xml:space="preserve">Primeramente, se precisa que se obvia el análisis de la competencia por parte del </w:t>
      </w:r>
      <w:r w:rsidR="003718D0" w:rsidRPr="00BB6E75">
        <w:rPr>
          <w:rFonts w:ascii="Palatino Linotype" w:hAnsi="Palatino Linotype"/>
          <w:bCs/>
        </w:rPr>
        <w:t>Sujeto Obligado</w:t>
      </w:r>
      <w:r w:rsidRPr="00BB6E75">
        <w:rPr>
          <w:rFonts w:ascii="Palatino Linotype" w:hAnsi="Palatino Linotype"/>
        </w:rPr>
        <w:t>, para generar, administrar o poseer la información solicitada, dado que éste ha asumido la misma, en razón de que en su respuesta admitió contar con dicha información.</w:t>
      </w:r>
    </w:p>
    <w:p w:rsidR="008A4CAE" w:rsidRPr="00BB6E75" w:rsidRDefault="008A4CAE" w:rsidP="00A81C74">
      <w:pPr>
        <w:pStyle w:val="Prrafodelista"/>
        <w:spacing w:line="360" w:lineRule="auto"/>
        <w:ind w:left="0"/>
        <w:jc w:val="both"/>
        <w:rPr>
          <w:rFonts w:ascii="Palatino Linotype" w:hAnsi="Palatino Linotype"/>
        </w:rPr>
      </w:pPr>
    </w:p>
    <w:p w:rsidR="008A4CAE" w:rsidRPr="00BB6E75" w:rsidRDefault="008A4CAE" w:rsidP="00A81C74">
      <w:pPr>
        <w:pStyle w:val="Prrafodelista"/>
        <w:numPr>
          <w:ilvl w:val="0"/>
          <w:numId w:val="1"/>
        </w:numPr>
        <w:spacing w:line="360" w:lineRule="auto"/>
        <w:ind w:left="0" w:firstLine="0"/>
        <w:jc w:val="both"/>
        <w:rPr>
          <w:rFonts w:ascii="Palatino Linotype" w:hAnsi="Palatino Linotype"/>
        </w:rPr>
      </w:pPr>
      <w:r w:rsidRPr="00BB6E75">
        <w:rPr>
          <w:rFonts w:ascii="Palatino Linotype" w:hAnsi="Palatino Linotype"/>
        </w:rPr>
        <w:t xml:space="preserve">En efecto, el hecho de que </w:t>
      </w:r>
      <w:r w:rsidR="003718D0" w:rsidRPr="00BB6E75">
        <w:rPr>
          <w:rFonts w:ascii="Palatino Linotype" w:hAnsi="Palatino Linotype"/>
          <w:bCs/>
        </w:rPr>
        <w:t>El Sujeto Obligado</w:t>
      </w:r>
      <w:r w:rsidR="003718D0" w:rsidRPr="00BB6E75">
        <w:rPr>
          <w:rFonts w:ascii="Palatino Linotype" w:hAnsi="Palatino Linotype"/>
        </w:rPr>
        <w:t xml:space="preserve"> </w:t>
      </w:r>
      <w:r w:rsidRPr="00BB6E75">
        <w:rPr>
          <w:rFonts w:ascii="Palatino Linotype" w:hAnsi="Palatino Linotype"/>
        </w:rPr>
        <w:t>haya admitido contar con la información pública solicitada, acepta que l</w:t>
      </w:r>
      <w:bookmarkStart w:id="8" w:name="_Hlk94787977"/>
      <w:r w:rsidRPr="00BB6E75">
        <w:rPr>
          <w:rFonts w:ascii="Palatino Linotype" w:hAnsi="Palatino Linotype"/>
        </w:rPr>
        <w:t>a genera, posee y administra, en ejercicio de sus funciones</w:t>
      </w:r>
      <w:bookmarkEnd w:id="8"/>
      <w:r w:rsidRPr="00BB6E75">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rsidR="003718D0" w:rsidRPr="00BB6E75" w:rsidRDefault="003718D0" w:rsidP="00A81C74">
      <w:pPr>
        <w:pStyle w:val="Prrafodelista"/>
        <w:spacing w:line="360" w:lineRule="auto"/>
        <w:ind w:left="0"/>
        <w:jc w:val="both"/>
        <w:rPr>
          <w:rFonts w:ascii="Palatino Linotype" w:hAnsi="Palatino Linotype"/>
        </w:rPr>
      </w:pPr>
    </w:p>
    <w:p w:rsidR="008A4CAE" w:rsidRPr="00BB6E75" w:rsidRDefault="008A4CAE" w:rsidP="00A81C74">
      <w:pPr>
        <w:pStyle w:val="Prrafodelista"/>
        <w:spacing w:line="360" w:lineRule="auto"/>
        <w:ind w:left="0"/>
        <w:jc w:val="both"/>
        <w:rPr>
          <w:rFonts w:ascii="Palatino Linotype" w:hAnsi="Palatino Linotype"/>
          <w:i/>
          <w:iCs/>
        </w:rPr>
      </w:pPr>
      <w:r w:rsidRPr="00BB6E75">
        <w:rPr>
          <w:rFonts w:ascii="Palatino Linotype" w:hAnsi="Palatino Linotype"/>
          <w:i/>
          <w:iCs/>
        </w:rPr>
        <w:t>“</w:t>
      </w:r>
      <w:r w:rsidRPr="00BB6E75">
        <w:rPr>
          <w:rFonts w:ascii="Palatino Linotype" w:hAnsi="Palatino Linotype"/>
          <w:b/>
          <w:bCs/>
          <w:i/>
          <w:iCs/>
        </w:rPr>
        <w:t>Artículo 12.</w:t>
      </w:r>
      <w:r w:rsidRPr="00BB6E75">
        <w:rPr>
          <w:rFonts w:ascii="Palatino Linotype" w:hAnsi="Palatino Linotype"/>
          <w:i/>
          <w:iCs/>
        </w:rPr>
        <w:t> Quienes generen, recopilen, administren, manejen, procesen, archiven o conserven información pública serán responsables de la misma en los términos de las disposiciones jurídicas aplicables.</w:t>
      </w:r>
    </w:p>
    <w:p w:rsidR="008A4CAE" w:rsidRPr="00BB6E75" w:rsidRDefault="008A4CAE" w:rsidP="00A81C74">
      <w:pPr>
        <w:pStyle w:val="Prrafodelista"/>
        <w:spacing w:line="360" w:lineRule="auto"/>
        <w:ind w:left="0"/>
        <w:jc w:val="both"/>
        <w:rPr>
          <w:rFonts w:ascii="Palatino Linotype" w:hAnsi="Palatino Linotype"/>
          <w:i/>
          <w:iCs/>
        </w:rPr>
      </w:pPr>
    </w:p>
    <w:p w:rsidR="008A4CAE" w:rsidRPr="00BB6E75" w:rsidRDefault="008A4CAE" w:rsidP="00A81C74">
      <w:pPr>
        <w:pStyle w:val="Prrafodelista"/>
        <w:spacing w:line="360" w:lineRule="auto"/>
        <w:ind w:left="0"/>
        <w:jc w:val="both"/>
        <w:rPr>
          <w:rFonts w:ascii="Palatino Linotype" w:hAnsi="Palatino Linotype"/>
          <w:i/>
          <w:iCs/>
        </w:rPr>
      </w:pPr>
      <w:r w:rsidRPr="00BB6E75">
        <w:rPr>
          <w:rFonts w:ascii="Palatino Linotype" w:hAnsi="Palatino Linotype"/>
          <w:i/>
          <w:iCs/>
        </w:rPr>
        <w:t xml:space="preserve">Los sujetos obligados sólo proporcionarán la información pública que se les requiera y que obre en sus archivos y en el estado en que ésta se encuentre. La obligación de proporcionar información no </w:t>
      </w:r>
      <w:r w:rsidRPr="00BB6E75">
        <w:rPr>
          <w:rFonts w:ascii="Palatino Linotype" w:hAnsi="Palatino Linotype"/>
          <w:i/>
          <w:iCs/>
        </w:rPr>
        <w:lastRenderedPageBreak/>
        <w:t>comprende el procesamiento de la misma, ni el presentarla conforme al interés del solicitante; no estarán obligados a generarla, resumirla, efectuar cálculos o practicar investigaciones.”</w:t>
      </w:r>
    </w:p>
    <w:p w:rsidR="008A4CAE" w:rsidRPr="00BB6E75" w:rsidRDefault="008A4CAE" w:rsidP="00A81C74">
      <w:pPr>
        <w:pStyle w:val="Prrafodelista"/>
        <w:ind w:left="0"/>
        <w:jc w:val="both"/>
        <w:rPr>
          <w:rFonts w:ascii="Palatino Linotype" w:hAnsi="Palatino Linotype"/>
        </w:rPr>
      </w:pPr>
    </w:p>
    <w:p w:rsidR="008A4CAE" w:rsidRPr="00BB6E75" w:rsidRDefault="008A4CAE" w:rsidP="00A81C74">
      <w:pPr>
        <w:pStyle w:val="Prrafodelista"/>
        <w:numPr>
          <w:ilvl w:val="0"/>
          <w:numId w:val="1"/>
        </w:numPr>
        <w:spacing w:line="360" w:lineRule="auto"/>
        <w:ind w:left="0" w:firstLine="0"/>
        <w:jc w:val="both"/>
        <w:rPr>
          <w:rFonts w:ascii="Palatino Linotype" w:hAnsi="Palatino Linotype"/>
        </w:rPr>
      </w:pPr>
      <w:r w:rsidRPr="00BB6E75">
        <w:rPr>
          <w:rFonts w:ascii="Palatino Linotype" w:hAnsi="Palatino Linotype"/>
        </w:rPr>
        <w:t>Así, el estudio de la naturaleza jurídica de la información pública solicitada, tiene por objeto determinar si ésta la genera, posee o administra </w:t>
      </w:r>
      <w:r w:rsidR="003718D0" w:rsidRPr="00BB6E75">
        <w:rPr>
          <w:rFonts w:ascii="Palatino Linotype" w:hAnsi="Palatino Linotype"/>
          <w:bCs/>
        </w:rPr>
        <w:t>El Sujeto Obligado</w:t>
      </w:r>
      <w:r w:rsidRPr="00BB6E75">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A671F" w:rsidRPr="00BB6E75" w:rsidRDefault="000A671F" w:rsidP="000A671F">
      <w:pPr>
        <w:pStyle w:val="Prrafodelista"/>
        <w:spacing w:line="360" w:lineRule="auto"/>
        <w:ind w:left="0"/>
        <w:jc w:val="both"/>
        <w:rPr>
          <w:rFonts w:ascii="Palatino Linotype" w:hAnsi="Palatino Linotype"/>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hAnsi="Palatino Linotype"/>
        </w:rPr>
      </w:pPr>
      <w:r w:rsidRPr="00BB6E75">
        <w:rPr>
          <w:rFonts w:ascii="Palatino Linotype" w:hAnsi="Palatino Linotype"/>
        </w:rPr>
        <w:t>Ahora bien, de acuerdo a la fracción II, artículo 2 de la Ley de Transparencia Local, uno sus objetivos, es proveer lo necesario para garantizar a toda persona el derecho de acceso a la información pública, a través de procedimientos sencillos, expeditos, oportunos y</w:t>
      </w:r>
      <w:r w:rsidRPr="00BB6E75">
        <w:rPr>
          <w:rFonts w:ascii="Palatino Linotype" w:hAnsi="Palatino Linotype"/>
          <w:b/>
        </w:rPr>
        <w:t xml:space="preserve"> gratuitos</w:t>
      </w:r>
      <w:r w:rsidRPr="00BB6E75">
        <w:rPr>
          <w:rFonts w:ascii="Palatino Linotype" w:hAnsi="Palatino Linotype"/>
        </w:rPr>
        <w:t>, determinando las bases mínimas sobre las cuales se regirán los mismos; así,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w:t>
      </w:r>
    </w:p>
    <w:p w:rsidR="003718D0" w:rsidRPr="00BB6E75" w:rsidRDefault="003718D0" w:rsidP="00A81C74">
      <w:pPr>
        <w:pStyle w:val="Prrafodelista"/>
        <w:tabs>
          <w:tab w:val="left" w:pos="0"/>
        </w:tabs>
        <w:spacing w:line="360" w:lineRule="auto"/>
        <w:ind w:left="0"/>
        <w:jc w:val="both"/>
        <w:rPr>
          <w:rFonts w:ascii="Palatino Linotype" w:hAnsi="Palatino Linotype"/>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hAnsi="Palatino Linotype"/>
        </w:rPr>
      </w:pPr>
      <w:r w:rsidRPr="00BB6E75">
        <w:rPr>
          <w:rFonts w:ascii="Palatino Linotype" w:hAnsi="Palatino Linotype"/>
        </w:rPr>
        <w:t>Así, es importante analizar si el contenido de la información remitida en respuesta, para determinar si garantiza que la entrega de la información garantiza que sea oportuna, como lo establece el artículo 11 de la Ley de Transparencia Local:</w:t>
      </w:r>
    </w:p>
    <w:p w:rsidR="003718D0" w:rsidRPr="00BB6E75" w:rsidRDefault="003718D0" w:rsidP="00A81C74">
      <w:pPr>
        <w:pStyle w:val="Prrafodelista"/>
        <w:ind w:left="0"/>
        <w:rPr>
          <w:rFonts w:ascii="Palatino Linotype" w:hAnsi="Palatino Linotype"/>
        </w:rPr>
      </w:pP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w:t>
      </w:r>
      <w:r w:rsidRPr="00BB6E75">
        <w:rPr>
          <w:rFonts w:ascii="Palatino Linotype" w:hAnsi="Palatino Linotype"/>
          <w:b/>
          <w:i/>
        </w:rPr>
        <w:t>Artículo 11.</w:t>
      </w:r>
      <w:r w:rsidRPr="00BB6E75">
        <w:rPr>
          <w:rFonts w:ascii="Palatino Linotype" w:hAnsi="Palatino Linotype"/>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 (Sic)</w:t>
      </w:r>
    </w:p>
    <w:p w:rsidR="003718D0" w:rsidRPr="00BB6E75" w:rsidRDefault="003718D0" w:rsidP="00A81C74">
      <w:pPr>
        <w:pStyle w:val="Prrafodelista"/>
        <w:tabs>
          <w:tab w:val="left" w:pos="0"/>
        </w:tabs>
        <w:spacing w:line="360" w:lineRule="auto"/>
        <w:ind w:left="0"/>
        <w:jc w:val="both"/>
        <w:rPr>
          <w:rFonts w:ascii="Palatino Linotype" w:hAnsi="Palatino Linotype"/>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hAnsi="Palatino Linotype"/>
        </w:rPr>
      </w:pPr>
      <w:r w:rsidRPr="00BB6E75">
        <w:rPr>
          <w:rFonts w:ascii="Palatino Linotype" w:hAnsi="Palatino Linotype"/>
        </w:rPr>
        <w:t>Ley de Transparencia y Acceso a la Información Pública del Estado de México y Municipios, establece que uno de los principios por lo que se rige el acceso a la información pública consiste en la gratuidad del procedimiento:</w:t>
      </w:r>
    </w:p>
    <w:p w:rsidR="003718D0" w:rsidRPr="00BB6E75" w:rsidRDefault="003718D0" w:rsidP="00A81C74">
      <w:pPr>
        <w:pStyle w:val="Prrafodelista"/>
        <w:tabs>
          <w:tab w:val="left" w:pos="851"/>
        </w:tabs>
        <w:spacing w:line="360" w:lineRule="auto"/>
        <w:ind w:left="0"/>
        <w:jc w:val="both"/>
        <w:rPr>
          <w:rFonts w:ascii="Palatino Linotype" w:hAnsi="Palatino Linotype"/>
          <w:i/>
        </w:rPr>
      </w:pP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w:t>
      </w:r>
      <w:r w:rsidRPr="00BB6E75">
        <w:rPr>
          <w:rFonts w:ascii="Palatino Linotype" w:hAnsi="Palatino Linotype"/>
          <w:b/>
          <w:i/>
        </w:rPr>
        <w:t>Artículo 173.</w:t>
      </w:r>
      <w:r w:rsidRPr="00BB6E75">
        <w:rPr>
          <w:rFonts w:ascii="Palatino Linotype" w:hAnsi="Palatino Linotype"/>
          <w:i/>
        </w:rPr>
        <w:t xml:space="preserve"> Sin perjuicio de lo anteriormente establecido, el procedimiento de acceso a la información se rige por los siguientes principios: </w:t>
      </w: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 xml:space="preserve">I. Simplicidad y rapidez; </w:t>
      </w:r>
    </w:p>
    <w:p w:rsidR="003718D0" w:rsidRPr="00BB6E75" w:rsidRDefault="003718D0" w:rsidP="00A81C74">
      <w:pPr>
        <w:pStyle w:val="Prrafodelista"/>
        <w:tabs>
          <w:tab w:val="left" w:pos="851"/>
        </w:tabs>
        <w:spacing w:line="360" w:lineRule="auto"/>
        <w:ind w:left="0"/>
        <w:jc w:val="both"/>
        <w:rPr>
          <w:rFonts w:ascii="Palatino Linotype" w:hAnsi="Palatino Linotype"/>
          <w:b/>
          <w:i/>
        </w:rPr>
      </w:pPr>
      <w:r w:rsidRPr="00BB6E75">
        <w:rPr>
          <w:rFonts w:ascii="Palatino Linotype" w:hAnsi="Palatino Linotype"/>
          <w:b/>
          <w:i/>
        </w:rPr>
        <w:t xml:space="preserve">II. Gratuidad del procedimiento; y </w:t>
      </w: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III. Auxilio y orientación a los particulares.”</w:t>
      </w: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Énfasis añadido</w:t>
      </w:r>
    </w:p>
    <w:p w:rsidR="003718D0" w:rsidRPr="00BB6E75" w:rsidRDefault="003718D0" w:rsidP="00A81C74">
      <w:pPr>
        <w:pStyle w:val="Prrafodelista"/>
        <w:tabs>
          <w:tab w:val="left" w:pos="851"/>
        </w:tabs>
        <w:spacing w:line="360" w:lineRule="auto"/>
        <w:ind w:left="0"/>
        <w:jc w:val="both"/>
        <w:rPr>
          <w:rFonts w:ascii="Palatino Linotype" w:hAnsi="Palatino Linotype"/>
          <w:i/>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hAnsi="Palatino Linotype"/>
        </w:rPr>
      </w:pPr>
      <w:r w:rsidRPr="00BB6E75">
        <w:rPr>
          <w:rFonts w:ascii="Palatino Linotype" w:hAnsi="Palatino Linotype"/>
        </w:rPr>
        <w:t>Asimismo, el artículo 17 y 150  de  la Ley de Transparencia Local establece que la búsqueda y el acceso a la información pública deberá ser gratuita:</w:t>
      </w:r>
    </w:p>
    <w:p w:rsidR="003718D0" w:rsidRPr="00BB6E75" w:rsidRDefault="003718D0" w:rsidP="00A81C74">
      <w:pPr>
        <w:pStyle w:val="Prrafodelista"/>
        <w:tabs>
          <w:tab w:val="left" w:pos="0"/>
        </w:tabs>
        <w:spacing w:line="360" w:lineRule="auto"/>
        <w:ind w:left="0"/>
        <w:jc w:val="both"/>
        <w:rPr>
          <w:rFonts w:ascii="Palatino Linotype" w:hAnsi="Palatino Linotype"/>
        </w:rPr>
      </w:pP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i/>
        </w:rPr>
        <w:t>“</w:t>
      </w:r>
      <w:r w:rsidRPr="00BB6E75">
        <w:rPr>
          <w:rFonts w:ascii="Palatino Linotype" w:hAnsi="Palatino Linotype"/>
          <w:b/>
          <w:i/>
        </w:rPr>
        <w:t>Artículo 17</w:t>
      </w:r>
      <w:r w:rsidRPr="00BB6E75">
        <w:rPr>
          <w:rFonts w:ascii="Palatino Linotype" w:hAnsi="Palatino Linotype"/>
          <w:i/>
        </w:rPr>
        <w:t xml:space="preserve">. La búsqueda y acceso a la información es gratuita y solo se cubrirán los gastos de reproducción, o por la modalidad de entrega solicitada, así como por el envío, que en su caso se </w:t>
      </w:r>
      <w:r w:rsidRPr="00BB6E75">
        <w:rPr>
          <w:rFonts w:ascii="Palatino Linotype" w:hAnsi="Palatino Linotype"/>
          <w:i/>
        </w:rPr>
        <w:lastRenderedPageBreak/>
        <w:t>genere, de conformidad con los derechos, productos y aprovechamientos establecidos en la legislación aplicable, sin que exceda de los límites establecidos en la presente Ley.”</w:t>
      </w:r>
    </w:p>
    <w:p w:rsidR="003718D0" w:rsidRPr="00BB6E75" w:rsidRDefault="003718D0" w:rsidP="00A81C74">
      <w:pPr>
        <w:pStyle w:val="Prrafodelista"/>
        <w:tabs>
          <w:tab w:val="left" w:pos="851"/>
        </w:tabs>
        <w:spacing w:line="360" w:lineRule="auto"/>
        <w:ind w:left="0"/>
        <w:jc w:val="both"/>
        <w:rPr>
          <w:rFonts w:ascii="Palatino Linotype" w:hAnsi="Palatino Linotype"/>
          <w:i/>
        </w:rPr>
      </w:pPr>
    </w:p>
    <w:p w:rsidR="003718D0" w:rsidRPr="00BB6E75" w:rsidRDefault="003718D0" w:rsidP="00A81C74">
      <w:pPr>
        <w:pStyle w:val="Prrafodelista"/>
        <w:tabs>
          <w:tab w:val="left" w:pos="851"/>
        </w:tabs>
        <w:spacing w:line="360" w:lineRule="auto"/>
        <w:ind w:left="0"/>
        <w:jc w:val="both"/>
        <w:rPr>
          <w:rFonts w:ascii="Palatino Linotype" w:hAnsi="Palatino Linotype"/>
          <w:i/>
        </w:rPr>
      </w:pPr>
      <w:r w:rsidRPr="00BB6E75">
        <w:rPr>
          <w:rFonts w:ascii="Palatino Linotype" w:hAnsi="Palatino Linotype"/>
          <w:b/>
          <w:i/>
        </w:rPr>
        <w:t>“Artículo 150</w:t>
      </w:r>
      <w:r w:rsidRPr="00BB6E75">
        <w:rPr>
          <w:rFonts w:ascii="Palatino Linotype" w:hAnsi="Palatino Linotype"/>
          <w:i/>
        </w:rPr>
        <w:t xml:space="preserve"> (LTAIPEMyM):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718D0" w:rsidRPr="00BB6E75" w:rsidRDefault="003718D0" w:rsidP="00A81C74">
      <w:pPr>
        <w:pStyle w:val="Prrafodelista"/>
        <w:tabs>
          <w:tab w:val="left" w:pos="851"/>
        </w:tabs>
        <w:spacing w:line="360" w:lineRule="auto"/>
        <w:ind w:left="0"/>
        <w:jc w:val="both"/>
        <w:rPr>
          <w:rFonts w:ascii="Palatino Linotype" w:hAnsi="Palatino Linotype"/>
          <w:i/>
        </w:rPr>
      </w:pPr>
    </w:p>
    <w:p w:rsidR="003718D0" w:rsidRPr="00BB6E75" w:rsidRDefault="003718D0" w:rsidP="00A81C74">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BB6E75">
        <w:rPr>
          <w:rFonts w:ascii="Palatino Linotype" w:eastAsia="MS Mincho" w:hAnsi="Palatino Linotype" w:cs="Arial"/>
        </w:rPr>
        <w:t xml:space="preserve">En este caso, el particular solicitó </w:t>
      </w:r>
      <w:r w:rsidRPr="00BB6E75">
        <w:rPr>
          <w:rFonts w:ascii="Palatino Linotype" w:eastAsia="MS Gothic" w:hAnsi="Palatino Linotype"/>
        </w:rPr>
        <w:t xml:space="preserve">los recibos de nómina de la primera y segunda quince de febrero de dos mil veinticinco; el SUJETO OBLIGADO, pretendió realizar el cobro de la información. </w:t>
      </w:r>
    </w:p>
    <w:p w:rsidR="003718D0" w:rsidRPr="00BB6E75" w:rsidRDefault="003718D0" w:rsidP="00A81C74">
      <w:pPr>
        <w:pStyle w:val="Prrafodelista"/>
        <w:ind w:left="0"/>
        <w:rPr>
          <w:rFonts w:ascii="Palatino Linotype" w:hAnsi="Palatino Linotype"/>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hAnsi="Palatino Linotype"/>
        </w:rPr>
      </w:pPr>
      <w:r w:rsidRPr="00BB6E75">
        <w:rPr>
          <w:rFonts w:ascii="Palatino Linotype" w:hAnsi="Palatino Linotype"/>
        </w:rPr>
        <w:t>Con fundamento en los preceptos legales señalados, la gratuidad es un principio bajo el cual se rige el derecho de acceso a la información, razón por la cual, la información solicitada por el particular, debe ser entregada vía SAIMEX, sin que esto le genere algún costo.</w:t>
      </w:r>
    </w:p>
    <w:p w:rsidR="003718D0" w:rsidRPr="00BB6E75" w:rsidRDefault="003718D0" w:rsidP="00A81C74">
      <w:pPr>
        <w:pStyle w:val="Prrafodelista"/>
        <w:ind w:left="0"/>
        <w:rPr>
          <w:rFonts w:ascii="Palatino Linotype" w:hAnsi="Palatino Linotype"/>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eastAsiaTheme="minorEastAsia" w:hAnsi="Palatino Linotype"/>
          <w:lang w:val="es-ES_tradnl"/>
        </w:rPr>
      </w:pPr>
      <w:r w:rsidRPr="00BB6E75">
        <w:rPr>
          <w:rFonts w:ascii="Palatino Linotype" w:hAnsi="Palatino Linotype"/>
        </w:rPr>
        <w:t xml:space="preserve">Es importante destacar, que el artículo 174 y 175 establecen </w:t>
      </w:r>
      <w:r w:rsidRPr="00BB6E75">
        <w:rPr>
          <w:rFonts w:ascii="Palatino Linotype" w:eastAsiaTheme="minorEastAsia" w:hAnsi="Palatino Linotype"/>
          <w:lang w:val="es-ES_tradnl"/>
        </w:rPr>
        <w:t xml:space="preserve">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w:t>
      </w:r>
      <w:r w:rsidRPr="00BB6E75">
        <w:rPr>
          <w:rFonts w:ascii="Palatino Linotype" w:eastAsiaTheme="minorEastAsia" w:hAnsi="Palatino Linotype"/>
          <w:lang w:val="es-ES_tradnl"/>
        </w:rPr>
        <w:lastRenderedPageBreak/>
        <w:t>digitalización o escaneo de la información a entregar, lo cual no conlleva la utilización de materiales que generen un costo para el Sujeto Obligado,</w:t>
      </w:r>
      <w:r w:rsidRPr="00BB6E75">
        <w:rPr>
          <w:rFonts w:ascii="Palatino Linotype" w:eastAsiaTheme="minorEastAsia" w:hAnsi="Palatino Linotype"/>
          <w:b/>
          <w:lang w:val="es-ES_tradnl"/>
        </w:rPr>
        <w:t xml:space="preserve"> </w:t>
      </w:r>
      <w:r w:rsidRPr="00BB6E75">
        <w:rPr>
          <w:rFonts w:ascii="Palatino Linotype" w:eastAsiaTheme="minorEastAsia" w:hAnsi="Palatino Linotype"/>
          <w:lang w:val="es-ES_tradnl"/>
        </w:rPr>
        <w:t>como es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rsidR="003718D0" w:rsidRPr="00BB6E75" w:rsidRDefault="003718D0" w:rsidP="00A81C74">
      <w:pPr>
        <w:pStyle w:val="Prrafodelista"/>
        <w:tabs>
          <w:tab w:val="left" w:pos="0"/>
        </w:tabs>
        <w:spacing w:line="360" w:lineRule="auto"/>
        <w:ind w:left="0"/>
        <w:jc w:val="both"/>
        <w:rPr>
          <w:rFonts w:ascii="Palatino Linotype" w:eastAsiaTheme="minorEastAsia" w:hAnsi="Palatino Linotype"/>
          <w:lang w:val="es-ES_tradnl"/>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eastAsiaTheme="minorEastAsia" w:hAnsi="Palatino Linotype"/>
          <w:lang w:val="es-ES_tradnl"/>
        </w:rPr>
      </w:pPr>
      <w:r w:rsidRPr="00BB6E75">
        <w:rPr>
          <w:rFonts w:ascii="Palatino Linotype" w:eastAsiaTheme="minorEastAsia" w:hAnsi="Palatino Linotype"/>
          <w:lang w:val="es-ES_tradnl"/>
        </w:rPr>
        <w:t xml:space="preserve">Por lo anteriormente expuesto, este Órgano Garante determina que la entrega de la información no generará costo alguno por lo que resulta procedente ordenar la entrega de la información en versión publica, en la modalidad elegida por el solicitante vía SAIMEX, prevaleciendo el principio de gratuidad. </w:t>
      </w:r>
    </w:p>
    <w:p w:rsidR="003718D0" w:rsidRPr="00BB6E75" w:rsidRDefault="003718D0" w:rsidP="00A81C74">
      <w:pPr>
        <w:pStyle w:val="Prrafodelista"/>
        <w:ind w:left="0"/>
        <w:rPr>
          <w:rFonts w:ascii="Palatino Linotype" w:eastAsiaTheme="minorEastAsia" w:hAnsi="Palatino Linotype"/>
          <w:lang w:val="es-ES_tradnl"/>
        </w:rPr>
      </w:pPr>
    </w:p>
    <w:p w:rsidR="003718D0" w:rsidRPr="00BB6E75" w:rsidRDefault="003718D0" w:rsidP="00A81C74">
      <w:pPr>
        <w:pStyle w:val="Prrafodelista"/>
        <w:numPr>
          <w:ilvl w:val="0"/>
          <w:numId w:val="1"/>
        </w:numPr>
        <w:tabs>
          <w:tab w:val="left" w:pos="0"/>
        </w:tabs>
        <w:spacing w:line="360" w:lineRule="auto"/>
        <w:ind w:left="0" w:firstLine="0"/>
        <w:jc w:val="both"/>
        <w:rPr>
          <w:rFonts w:ascii="Palatino Linotype" w:eastAsiaTheme="minorEastAsia" w:hAnsi="Palatino Linotype"/>
          <w:lang w:val="es-ES_tradnl"/>
        </w:rPr>
      </w:pPr>
      <w:r w:rsidRPr="00BB6E75">
        <w:rPr>
          <w:rFonts w:ascii="Palatino Linotype" w:eastAsiaTheme="minorEastAsia" w:hAnsi="Palatino Linotype"/>
          <w:lang w:val="es-ES_tradnl"/>
        </w:rPr>
        <w:t>Por otro lado, recordemos que el Sujeto Obligado también señaló en respuesta</w:t>
      </w:r>
      <w:r w:rsidR="00C444B5" w:rsidRPr="00BB6E75">
        <w:rPr>
          <w:rFonts w:ascii="Palatino Linotype" w:eastAsiaTheme="minorEastAsia" w:hAnsi="Palatino Linotype"/>
          <w:lang w:val="es-ES_tradnl"/>
        </w:rPr>
        <w:t xml:space="preserve"> como en informe justificado que el </w:t>
      </w:r>
      <w:r w:rsidR="005808FF" w:rsidRPr="00BB6E75">
        <w:rPr>
          <w:rFonts w:ascii="Palatino Linotype" w:eastAsiaTheme="minorEastAsia" w:hAnsi="Palatino Linotype"/>
          <w:lang w:val="es-ES_tradnl"/>
        </w:rPr>
        <w:t xml:space="preserve">solicitante podía acudir a consultar la información de forma directa a las oficinas de Tesorería, sin que esto implicara un cambio de modalidad de la misma, solo a tomarse en consideración al interés del solicitante. </w:t>
      </w:r>
    </w:p>
    <w:p w:rsidR="005808FF" w:rsidRPr="00BB6E75" w:rsidRDefault="005808FF" w:rsidP="00A81C74">
      <w:pPr>
        <w:pStyle w:val="Prrafodelista"/>
        <w:tabs>
          <w:tab w:val="left" w:pos="0"/>
        </w:tabs>
        <w:spacing w:line="360" w:lineRule="auto"/>
        <w:ind w:left="0"/>
        <w:jc w:val="both"/>
        <w:rPr>
          <w:rFonts w:ascii="Palatino Linotype" w:eastAsiaTheme="minorEastAsia" w:hAnsi="Palatino Linotype"/>
          <w:lang w:val="es-ES_tradnl"/>
        </w:rPr>
      </w:pPr>
    </w:p>
    <w:p w:rsidR="005808FF" w:rsidRPr="00BB6E75" w:rsidRDefault="005808FF" w:rsidP="00A81C7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BB6E75">
        <w:rPr>
          <w:rFonts w:ascii="Palatino Linotype" w:eastAsiaTheme="minorEastAsia" w:hAnsi="Palatino Linotype" w:cs="Arial"/>
          <w:lang w:val="es-ES_tradnl"/>
        </w:rPr>
        <w:t>Por ello, e</w:t>
      </w:r>
      <w:r w:rsidRPr="00BB6E75">
        <w:rPr>
          <w:rFonts w:ascii="Palatino Linotype" w:eastAsia="MS Mincho" w:hAnsi="Palatino Linotype" w:cs="Arial"/>
        </w:rPr>
        <w:t xml:space="preserve">s indispensable traer a colación lo contenido en los artículos 158 y 164 de la Ley de Transparencia y Acceso a la Información Pública del Estado de México y Municipios, los cuales señalan que: </w:t>
      </w:r>
    </w:p>
    <w:p w:rsidR="005808FF" w:rsidRPr="00BB6E75" w:rsidRDefault="005808FF" w:rsidP="00A81C74">
      <w:pPr>
        <w:pStyle w:val="Prrafodelista"/>
        <w:spacing w:line="360" w:lineRule="auto"/>
        <w:ind w:left="0"/>
        <w:jc w:val="both"/>
        <w:rPr>
          <w:rFonts w:ascii="Palatino Linotype" w:eastAsia="MS Mincho" w:hAnsi="Palatino Linotype" w:cs="Arial"/>
        </w:rPr>
      </w:pP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lastRenderedPageBreak/>
        <w:t>“</w:t>
      </w:r>
      <w:r w:rsidRPr="00BB6E75">
        <w:rPr>
          <w:rFonts w:ascii="Palatino Linotype" w:hAnsi="Palatino Linotype"/>
          <w:b/>
          <w:bCs/>
          <w:i/>
        </w:rPr>
        <w:t>Artículo 158.</w:t>
      </w:r>
      <w:r w:rsidRPr="00BB6E75">
        <w:rPr>
          <w:rFonts w:ascii="Palatino Linotype" w:hAnsi="Palatino Linotype"/>
          <w:i/>
        </w:rPr>
        <w:t xml:space="preserve"> </w:t>
      </w:r>
      <w:r w:rsidRPr="00BB6E75">
        <w:rPr>
          <w:rFonts w:ascii="Palatino Linotype" w:hAnsi="Palatino Linotype"/>
          <w:bCs/>
          <w:i/>
        </w:rPr>
        <w:t>De manera excepcional, cuando de forma fundada y motivada así lo determine el sujeto obligado</w:t>
      </w:r>
      <w:r w:rsidRPr="00BB6E75">
        <w:rPr>
          <w:rFonts w:ascii="Palatino Linotype" w:hAnsi="Palatino Linotype"/>
          <w:i/>
        </w:rPr>
        <w:t xml:space="preserve">, en aquellos casos en que la información solicitada que ya se encuentre en su posesión implique análisis, estudio o procesamiento de documentos </w:t>
      </w:r>
      <w:r w:rsidRPr="00BB6E75">
        <w:rPr>
          <w:rFonts w:ascii="Palatino Linotype" w:hAnsi="Palatino Linotype"/>
          <w:bCs/>
          <w:i/>
        </w:rPr>
        <w:t>cuya entrega o reproducción sobrepase las capacidades técnicas administrativas y humanas del sujeto obligado</w:t>
      </w:r>
      <w:r w:rsidRPr="00BB6E75">
        <w:rPr>
          <w:rFonts w:ascii="Palatino Linotype" w:hAnsi="Palatino Linotype"/>
          <w:i/>
        </w:rPr>
        <w:t xml:space="preserve"> para cumplir con la solicitud, en los plazos establecidos para dichos efectos,</w:t>
      </w:r>
      <w:r w:rsidRPr="00BB6E75">
        <w:rPr>
          <w:rFonts w:ascii="Palatino Linotype" w:hAnsi="Palatino Linotype"/>
          <w:bCs/>
          <w:i/>
        </w:rPr>
        <w:t xml:space="preserve"> se podrá poner a disposición del solicitante los documentos en consulta directa</w:t>
      </w:r>
      <w:r w:rsidRPr="00BB6E75">
        <w:rPr>
          <w:rFonts w:ascii="Palatino Linotype" w:hAnsi="Palatino Linotype"/>
          <w:i/>
        </w:rPr>
        <w:t>, salvo la información clasificada”.</w:t>
      </w:r>
    </w:p>
    <w:p w:rsidR="005808FF" w:rsidRPr="00BB6E75" w:rsidRDefault="005808FF" w:rsidP="00A81C74">
      <w:pPr>
        <w:pStyle w:val="Prrafodelista"/>
        <w:spacing w:line="360" w:lineRule="auto"/>
        <w:ind w:left="0"/>
        <w:jc w:val="both"/>
        <w:rPr>
          <w:rFonts w:ascii="Palatino Linotype" w:hAnsi="Palatino Linotype"/>
          <w:bCs/>
          <w:i/>
        </w:rPr>
      </w:pPr>
      <w:r w:rsidRPr="00BB6E75">
        <w:rPr>
          <w:rFonts w:ascii="Palatino Linotype" w:hAnsi="Palatino Linotype"/>
          <w:i/>
        </w:rPr>
        <w:t>“</w:t>
      </w:r>
      <w:r w:rsidRPr="00BB6E75">
        <w:rPr>
          <w:rFonts w:ascii="Palatino Linotype" w:hAnsi="Palatino Linotype"/>
          <w:bCs/>
          <w:i/>
        </w:rPr>
        <w:t>Artículo 164.</w:t>
      </w:r>
      <w:r w:rsidRPr="00BB6E75">
        <w:rPr>
          <w:rFonts w:ascii="Palatino Linotype" w:hAnsi="Palatino Linotype"/>
          <w:i/>
        </w:rPr>
        <w:t xml:space="preserve"> </w:t>
      </w:r>
      <w:r w:rsidRPr="00BB6E75">
        <w:rPr>
          <w:rFonts w:ascii="Palatino Linotype" w:hAnsi="Palatino Linotype"/>
          <w:bCs/>
          <w:i/>
        </w:rPr>
        <w:t>El acceso se dará en la modalidad de entrega</w:t>
      </w:r>
      <w:r w:rsidRPr="00BB6E75">
        <w:rPr>
          <w:rFonts w:ascii="Palatino Linotype" w:hAnsi="Palatino Linotype"/>
          <w:i/>
        </w:rPr>
        <w:t xml:space="preserve"> y, en su caso, de envío elegidos por el solicitante</w:t>
      </w:r>
      <w:r w:rsidRPr="00BB6E75">
        <w:rPr>
          <w:rFonts w:ascii="Palatino Linotype" w:hAnsi="Palatino Linotype"/>
          <w:bCs/>
          <w:i/>
        </w:rPr>
        <w:t>. Cuando la información no pueda entregarse o enviarse en la modalidad solicitada, el sujeto obligado deberá ofrecer otra u otras modalidades de entrega.</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bCs/>
          <w:i/>
        </w:rPr>
        <w:t>En cualquier caso, se deberá fundar y motivar la necesidad de ofrecer otras modalidades</w:t>
      </w:r>
      <w:r w:rsidRPr="00BB6E75">
        <w:rPr>
          <w:rFonts w:ascii="Palatino Linotype" w:hAnsi="Palatino Linotype"/>
          <w:i/>
        </w:rPr>
        <w:t>”.</w:t>
      </w:r>
    </w:p>
    <w:p w:rsidR="005808FF" w:rsidRPr="00BB6E75" w:rsidRDefault="005808FF" w:rsidP="00A81C74">
      <w:pPr>
        <w:pStyle w:val="Prrafodelista"/>
        <w:spacing w:line="360" w:lineRule="auto"/>
        <w:ind w:left="0"/>
        <w:jc w:val="both"/>
        <w:rPr>
          <w:rFonts w:ascii="Palatino Linotype" w:eastAsia="MS Mincho" w:hAnsi="Palatino Linotype" w:cs="Arial"/>
          <w:i/>
        </w:rPr>
      </w:pPr>
    </w:p>
    <w:p w:rsidR="005808FF" w:rsidRPr="00BB6E75" w:rsidRDefault="005808FF" w:rsidP="00A81C74">
      <w:pPr>
        <w:pStyle w:val="Prrafodelista"/>
        <w:numPr>
          <w:ilvl w:val="0"/>
          <w:numId w:val="1"/>
        </w:numPr>
        <w:spacing w:line="360" w:lineRule="auto"/>
        <w:ind w:left="0" w:firstLine="0"/>
        <w:jc w:val="both"/>
        <w:rPr>
          <w:rFonts w:ascii="Palatino Linotype" w:eastAsia="MS Mincho" w:hAnsi="Palatino Linotype" w:cs="Arial"/>
        </w:rPr>
      </w:pPr>
      <w:r w:rsidRPr="00BB6E75">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rsidR="005808FF" w:rsidRPr="00BB6E75" w:rsidRDefault="005808FF" w:rsidP="00A81C74">
      <w:pPr>
        <w:pStyle w:val="Prrafodelista"/>
        <w:spacing w:line="360" w:lineRule="auto"/>
        <w:ind w:left="0"/>
        <w:jc w:val="both"/>
        <w:rPr>
          <w:rFonts w:ascii="Palatino Linotype" w:eastAsia="MS Mincho" w:hAnsi="Palatino Linotype" w:cs="Arial"/>
        </w:rPr>
      </w:pPr>
    </w:p>
    <w:p w:rsidR="005808FF" w:rsidRPr="00BB6E75" w:rsidRDefault="005808FF" w:rsidP="00A81C74">
      <w:pPr>
        <w:pStyle w:val="Prrafodelista"/>
        <w:numPr>
          <w:ilvl w:val="0"/>
          <w:numId w:val="1"/>
        </w:numPr>
        <w:spacing w:line="360" w:lineRule="auto"/>
        <w:ind w:left="0" w:firstLine="0"/>
        <w:jc w:val="both"/>
        <w:rPr>
          <w:rFonts w:ascii="Palatino Linotype" w:eastAsia="MS Mincho" w:hAnsi="Palatino Linotype" w:cs="Arial"/>
        </w:rPr>
      </w:pPr>
      <w:r w:rsidRPr="00BB6E75">
        <w:rPr>
          <w:rFonts w:ascii="Palatino Linotype" w:eastAsia="MS Mincho" w:hAnsi="Palatino Linotype" w:cs="Arial"/>
        </w:rPr>
        <w:t xml:space="preserve">Asimismo, se derivan tres hipótesis que en conjunto y de manera fundada y motivada, validan el cambio de modalidad de entrega de la información, las cuales son que las documentales a proporcionar </w:t>
      </w:r>
      <w:r w:rsidRPr="00BB6E75">
        <w:rPr>
          <w:rFonts w:ascii="Palatino Linotype" w:eastAsia="MS Mincho" w:hAnsi="Palatino Linotype" w:cs="Arial"/>
          <w:b/>
        </w:rPr>
        <w:t xml:space="preserve">sobrepasen las capacidades técnicas administrativas y humanas del sujeto obligado. </w:t>
      </w:r>
    </w:p>
    <w:p w:rsidR="005808FF" w:rsidRPr="00BB6E75" w:rsidRDefault="005808FF" w:rsidP="00A81C74">
      <w:pPr>
        <w:pStyle w:val="Prrafodelista"/>
        <w:ind w:left="0"/>
        <w:rPr>
          <w:rFonts w:ascii="Palatino Linotype" w:eastAsia="MS Mincho" w:hAnsi="Palatino Linotype" w:cs="Arial"/>
        </w:rPr>
      </w:pPr>
    </w:p>
    <w:p w:rsidR="005808FF" w:rsidRPr="00BB6E75" w:rsidRDefault="005808FF" w:rsidP="00A81C74">
      <w:pPr>
        <w:pStyle w:val="Prrafodelista"/>
        <w:numPr>
          <w:ilvl w:val="0"/>
          <w:numId w:val="1"/>
        </w:numPr>
        <w:spacing w:line="360" w:lineRule="auto"/>
        <w:ind w:left="0" w:firstLine="0"/>
        <w:jc w:val="both"/>
        <w:rPr>
          <w:rFonts w:ascii="Palatino Linotype" w:eastAsia="MS Mincho" w:hAnsi="Palatino Linotype" w:cs="Arial"/>
        </w:rPr>
      </w:pPr>
      <w:r w:rsidRPr="00BB6E75">
        <w:rPr>
          <w:rFonts w:ascii="Palatino Linotype" w:eastAsia="MS Mincho" w:hAnsi="Palatino Linotype" w:cs="Arial"/>
        </w:rPr>
        <w:t xml:space="preserve">En ese caso, el </w:t>
      </w:r>
      <w:r w:rsidRPr="00BB6E75">
        <w:rPr>
          <w:rFonts w:ascii="Palatino Linotype" w:eastAsia="MS Mincho" w:hAnsi="Palatino Linotype" w:cs="Arial"/>
          <w:b/>
        </w:rPr>
        <w:t>SUJETO OBLIGADO</w:t>
      </w:r>
      <w:r w:rsidRPr="00BB6E75">
        <w:rPr>
          <w:rFonts w:ascii="Palatino Linotype" w:eastAsia="MS Mincho" w:hAnsi="Palatino Linotype" w:cs="Arial"/>
        </w:rPr>
        <w:t xml:space="preserve">, pidió al particular visitar las oficinas de la presidencia municipal para ver la información solicitada como una opción a consideración </w:t>
      </w:r>
      <w:r w:rsidRPr="00BB6E75">
        <w:rPr>
          <w:rFonts w:ascii="Palatino Linotype" w:eastAsia="MS Mincho" w:hAnsi="Palatino Linotype" w:cs="Arial"/>
        </w:rPr>
        <w:lastRenderedPageBreak/>
        <w:t>del solicitante; s</w:t>
      </w:r>
      <w:r w:rsidRPr="00BB6E75">
        <w:rPr>
          <w:rFonts w:ascii="Palatino Linotype" w:eastAsiaTheme="minorEastAsia" w:hAnsi="Palatino Linotype" w:cs="Arial"/>
          <w:lang w:val="es-ES_tradnl"/>
        </w:rPr>
        <w:t>in embargo, no se debe perder de vista que la modalidad elegida por el particular fue SAIMEX desde un primer momento.</w:t>
      </w:r>
    </w:p>
    <w:p w:rsidR="005808FF" w:rsidRPr="00BB6E75" w:rsidRDefault="005808FF" w:rsidP="00A81C74">
      <w:pPr>
        <w:pStyle w:val="Prrafodelista"/>
        <w:ind w:left="0"/>
        <w:rPr>
          <w:rFonts w:ascii="Palatino Linotype" w:eastAsiaTheme="minorEastAsia" w:hAnsi="Palatino Linotype" w:cs="Arial"/>
          <w:lang w:val="es-ES_tradnl"/>
        </w:rPr>
      </w:pPr>
    </w:p>
    <w:p w:rsidR="005808FF" w:rsidRPr="00BB6E75" w:rsidRDefault="005808FF" w:rsidP="00A81C74">
      <w:pPr>
        <w:pStyle w:val="Prrafodelista"/>
        <w:numPr>
          <w:ilvl w:val="0"/>
          <w:numId w:val="1"/>
        </w:numPr>
        <w:spacing w:line="360" w:lineRule="auto"/>
        <w:ind w:left="0" w:firstLine="0"/>
        <w:jc w:val="both"/>
        <w:rPr>
          <w:rFonts w:ascii="Palatino Linotype" w:eastAsiaTheme="minorEastAsia" w:hAnsi="Palatino Linotype" w:cs="Arial"/>
          <w:lang w:val="es-ES_tradnl"/>
        </w:rPr>
      </w:pPr>
      <w:r w:rsidRPr="00BB6E75">
        <w:rPr>
          <w:rFonts w:ascii="Palatino Linotype" w:eastAsiaTheme="minorEastAsia" w:hAnsi="Palatino Linotype" w:cs="Arial"/>
          <w:lang w:val="es-ES_tradnl"/>
        </w:rPr>
        <w:t xml:space="preserve">Por lo anteriormente expuesto, resulta improcedente solicitar al particular que acceda a la información de forma directa en las oficinas del Ayuntamiento, pues no se encuentra fundada y motivada la consulta directa. </w:t>
      </w:r>
    </w:p>
    <w:p w:rsidR="008A4CAE" w:rsidRPr="00BB6E75" w:rsidRDefault="008A4CAE" w:rsidP="00A81C7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BB6E75">
        <w:rPr>
          <w:rFonts w:ascii="Palatino Linotype" w:eastAsia="Palatino Linotype" w:hAnsi="Palatino Linotype" w:cs="Palatino Linotype"/>
          <w:b/>
        </w:rPr>
        <w:t>RECURRENTE</w:t>
      </w:r>
      <w:r w:rsidRPr="00BB6E75">
        <w:rPr>
          <w:rFonts w:ascii="Palatino Linotype" w:eastAsia="Palatino Linotype" w:hAnsi="Palatino Linotype" w:cs="Palatino Linotype"/>
        </w:rPr>
        <w:t xml:space="preserve"> dentro del recurso de revisión </w:t>
      </w:r>
      <w:r w:rsidR="005808FF" w:rsidRPr="00BB6E75">
        <w:rPr>
          <w:rFonts w:ascii="Palatino Linotype" w:eastAsia="Palatino Linotype" w:hAnsi="Palatino Linotype" w:cs="Palatino Linotype"/>
          <w:b/>
        </w:rPr>
        <w:t>04553</w:t>
      </w:r>
      <w:r w:rsidRPr="00BB6E75">
        <w:rPr>
          <w:rFonts w:ascii="Palatino Linotype" w:eastAsia="Palatino Linotype" w:hAnsi="Palatino Linotype" w:cs="Palatino Linotype"/>
          <w:b/>
        </w:rPr>
        <w:t>/INFOEM/IP/RR/2025</w:t>
      </w:r>
      <w:r w:rsidRPr="00BB6E75">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BB6E75">
        <w:rPr>
          <w:rFonts w:ascii="Palatino Linotype" w:eastAsia="Palatino Linotype" w:hAnsi="Palatino Linotype" w:cs="Palatino Linotype"/>
          <w:b/>
        </w:rPr>
        <w:t>REVOCA</w:t>
      </w:r>
      <w:r w:rsidRPr="00BB6E75">
        <w:rPr>
          <w:rFonts w:ascii="Palatino Linotype" w:eastAsia="Palatino Linotype" w:hAnsi="Palatino Linotype" w:cs="Palatino Linotype"/>
        </w:rPr>
        <w:t xml:space="preserve"> la respuesta a la solicitud de información número </w:t>
      </w:r>
      <w:bookmarkStart w:id="9" w:name="_heading=h.2s8eyo1" w:colFirst="0" w:colLast="0"/>
      <w:bookmarkEnd w:id="9"/>
      <w:r w:rsidR="005808FF" w:rsidRPr="00BB6E75">
        <w:rPr>
          <w:rFonts w:ascii="Palatino Linotype" w:eastAsia="Palatino Linotype" w:hAnsi="Palatino Linotype" w:cs="Palatino Linotype"/>
          <w:b/>
          <w:bCs/>
        </w:rPr>
        <w:t>00030/ALMORI/IP/2025</w:t>
      </w:r>
      <w:r w:rsidRPr="00BB6E75">
        <w:rPr>
          <w:rFonts w:ascii="Palatino Linotype" w:eastAsia="Palatino Linotype" w:hAnsi="Palatino Linotype" w:cs="Palatino Linotype"/>
        </w:rPr>
        <w:t xml:space="preserve"> y se </w:t>
      </w:r>
      <w:r w:rsidRPr="00BB6E75">
        <w:rPr>
          <w:rFonts w:ascii="Palatino Linotype" w:eastAsia="Palatino Linotype" w:hAnsi="Palatino Linotype" w:cs="Palatino Linotype"/>
          <w:b/>
        </w:rPr>
        <w:t>ORDENA</w:t>
      </w:r>
      <w:r w:rsidRPr="00BB6E75">
        <w:rPr>
          <w:rFonts w:ascii="Palatino Linotype" w:eastAsia="Palatino Linotype" w:hAnsi="Palatino Linotype" w:cs="Palatino Linotype"/>
        </w:rPr>
        <w:t xml:space="preserve"> la entrega, </w:t>
      </w:r>
      <w:r w:rsidR="005808FF" w:rsidRPr="00BB6E75">
        <w:rPr>
          <w:rFonts w:ascii="Palatino Linotype" w:eastAsia="Palatino Linotype" w:hAnsi="Palatino Linotype" w:cs="Palatino Linotype"/>
        </w:rPr>
        <w:t xml:space="preserve">de los recibos de nómina correspondientes a la primera y segunda quincena de febrero de dos mil veinticinco. </w:t>
      </w:r>
      <w:r w:rsidRPr="00BB6E75">
        <w:rPr>
          <w:rFonts w:ascii="Palatino Linotype" w:eastAsia="Palatino Linotype" w:hAnsi="Palatino Linotype" w:cs="Palatino Linotype"/>
        </w:rPr>
        <w:t xml:space="preserve"> </w:t>
      </w:r>
    </w:p>
    <w:p w:rsidR="002670AA" w:rsidRPr="00BB6E75" w:rsidRDefault="002670AA" w:rsidP="00A81C74">
      <w:pPr>
        <w:spacing w:line="360" w:lineRule="auto"/>
        <w:jc w:val="both"/>
        <w:rPr>
          <w:rFonts w:ascii="Palatino Linotype" w:eastAsia="Palatino Linotype" w:hAnsi="Palatino Linotype" w:cs="Palatino Linotype"/>
        </w:rPr>
      </w:pPr>
    </w:p>
    <w:p w:rsidR="005808FF" w:rsidRPr="00BB6E75" w:rsidRDefault="005808FF" w:rsidP="00A81C74">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9350464"/>
      <w:bookmarkStart w:id="11" w:name="_Toc94119619"/>
      <w:r w:rsidRPr="00BB6E75">
        <w:rPr>
          <w:rFonts w:ascii="Palatino Linotype" w:hAnsi="Palatino Linotype"/>
          <w:b/>
          <w:bCs/>
          <w:color w:val="000000" w:themeColor="text1"/>
        </w:rPr>
        <w:t>QUINTO. De la versión pública.</w:t>
      </w:r>
      <w:bookmarkEnd w:id="10"/>
      <w:bookmarkEnd w:id="11"/>
    </w:p>
    <w:p w:rsidR="005808FF" w:rsidRPr="00BB6E75" w:rsidRDefault="005808FF" w:rsidP="00A81C74">
      <w:pPr>
        <w:pStyle w:val="Prrafodelista"/>
        <w:tabs>
          <w:tab w:val="left" w:pos="426"/>
        </w:tabs>
        <w:spacing w:line="360" w:lineRule="auto"/>
        <w:ind w:left="0"/>
        <w:jc w:val="both"/>
        <w:rPr>
          <w:rFonts w:ascii="Palatino Linotype" w:hAnsi="Palatino Linotype"/>
          <w:color w:val="000000" w:themeColor="text1"/>
        </w:rPr>
      </w:pPr>
    </w:p>
    <w:p w:rsidR="005808FF" w:rsidRPr="00BB6E75" w:rsidRDefault="005808FF" w:rsidP="00A81C74">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B6E75">
        <w:rPr>
          <w:rFonts w:ascii="Palatino Linotype" w:hAnsi="Palatino Linotype"/>
          <w:color w:val="000000" w:themeColor="text1"/>
        </w:rPr>
        <w:t>Debe destacarse que, debido a la naturaleza de la información solicitada</w:t>
      </w:r>
      <w:r w:rsidRPr="00BB6E75">
        <w:rPr>
          <w:rFonts w:ascii="Palatino Linotype" w:hAnsi="Palatino Linotype"/>
          <w:b/>
          <w:color w:val="000000" w:themeColor="text1"/>
        </w:rPr>
        <w:t xml:space="preserve"> </w:t>
      </w:r>
      <w:r w:rsidRPr="00BB6E75">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5808FF" w:rsidRPr="00BB6E75" w:rsidRDefault="005808FF" w:rsidP="00A81C74">
      <w:pPr>
        <w:pStyle w:val="Prrafodelista"/>
        <w:tabs>
          <w:tab w:val="left" w:pos="426"/>
        </w:tabs>
        <w:spacing w:line="360" w:lineRule="auto"/>
        <w:ind w:left="0"/>
        <w:jc w:val="both"/>
        <w:rPr>
          <w:rFonts w:ascii="Palatino Linotype" w:hAnsi="Palatino Linotype"/>
          <w:color w:val="000000" w:themeColor="text1"/>
        </w:rPr>
      </w:pPr>
    </w:p>
    <w:p w:rsidR="005808FF" w:rsidRPr="00BB6E75" w:rsidRDefault="005808FF" w:rsidP="00A81C74">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B6E75">
        <w:rPr>
          <w:rFonts w:ascii="Palatino Linotype" w:hAnsi="Palatino Linotype"/>
          <w:color w:val="000000" w:themeColor="text1"/>
        </w:rPr>
        <w:t xml:space="preserve">La </w:t>
      </w:r>
      <w:r w:rsidRPr="00BB6E75">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BB6E75">
        <w:rPr>
          <w:rFonts w:ascii="Palatino Linotype" w:hAnsi="Palatino Linotype" w:cs="Arial"/>
          <w:color w:val="000000"/>
        </w:rPr>
        <w:t>, por lo que es menester reiterar los mismos:</w:t>
      </w:r>
    </w:p>
    <w:p w:rsidR="005808FF" w:rsidRPr="00BB6E75" w:rsidRDefault="005808FF" w:rsidP="00A81C74">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5808FF" w:rsidRPr="00BB6E75" w:rsidTr="0058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808FF" w:rsidRPr="00BB6E75" w:rsidRDefault="005808FF" w:rsidP="00A81C74">
            <w:pPr>
              <w:spacing w:line="276" w:lineRule="auto"/>
              <w:rPr>
                <w:rFonts w:ascii="Palatino Linotype" w:hAnsi="Palatino Linotype"/>
              </w:rPr>
            </w:pPr>
            <w:r w:rsidRPr="00BB6E75">
              <w:rPr>
                <w:rFonts w:ascii="Palatino Linotype" w:hAnsi="Palatino Linotype" w:cstheme="majorBidi"/>
                <w:b w:val="0"/>
              </w:rPr>
              <w:t>a) Requisitos previos.</w:t>
            </w:r>
          </w:p>
        </w:tc>
        <w:tc>
          <w:tcPr>
            <w:tcW w:w="6990" w:type="dxa"/>
          </w:tcPr>
          <w:p w:rsidR="005808FF" w:rsidRPr="00BB6E75" w:rsidRDefault="005808FF" w:rsidP="00A81C74">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Los artículos 100 y 122 de la Ley Estatal y de la Ley General, respectivamente, señalan que si los </w:t>
            </w:r>
            <w:r w:rsidRPr="00BB6E75">
              <w:rPr>
                <w:rFonts w:ascii="Palatino Linotype" w:hAnsi="Palatino Linotype" w:cs="Arial"/>
                <w:b w:val="0"/>
                <w:color w:val="000000"/>
              </w:rPr>
              <w:t>Sujetos Obligados</w:t>
            </w:r>
            <w:r w:rsidRPr="00BB6E75">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5808FF" w:rsidRPr="00BB6E75" w:rsidRDefault="005808FF" w:rsidP="00A81C74">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Al hacerlo tienen que precisar de qué información se trata, señalando el supuesto de clasificación (confidencialidad o reserva).</w:t>
            </w:r>
          </w:p>
          <w:p w:rsidR="005808FF" w:rsidRPr="00BB6E75" w:rsidRDefault="005808FF" w:rsidP="00A81C74">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Además, se debe señalar el procedimiento, de los tres que establecen los artículos 132 y 106 de la Ley Estatal y General, respectivamente.</w:t>
            </w:r>
          </w:p>
          <w:p w:rsidR="005808FF" w:rsidRPr="00BB6E75" w:rsidRDefault="005808FF" w:rsidP="00A81C7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B6E75">
              <w:rPr>
                <w:rFonts w:ascii="Palatino Linotype" w:hAnsi="Palatino Linotype" w:cs="Arial"/>
                <w:color w:val="000000"/>
              </w:rPr>
              <w:t xml:space="preserve">El último de estos requisitos previos consiste en que no se pueden emitir acuerdos de carácter general ni particular, esto es, </w:t>
            </w:r>
            <w:r w:rsidRPr="00BB6E75">
              <w:rPr>
                <w:rFonts w:ascii="Palatino Linotype" w:hAnsi="Palatino Linotype" w:cs="Arial"/>
                <w:b w:val="0"/>
                <w:color w:val="000000"/>
                <w:u w:val="single"/>
              </w:rPr>
              <w:t xml:space="preserve">no se puede hacer un acuerdo para clasificar de manera general todos los documentos de un expediente o área,  </w:t>
            </w:r>
            <w:r w:rsidRPr="00BB6E75">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r w:rsidR="005808FF" w:rsidRPr="00BB6E75" w:rsidTr="00580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808FF" w:rsidRPr="00BB6E75" w:rsidRDefault="005808FF" w:rsidP="00A81C74">
            <w:pPr>
              <w:spacing w:line="276" w:lineRule="auto"/>
              <w:rPr>
                <w:rFonts w:ascii="Palatino Linotype" w:hAnsi="Palatino Linotype"/>
              </w:rPr>
            </w:pPr>
            <w:r w:rsidRPr="00BB6E75">
              <w:rPr>
                <w:rFonts w:ascii="Palatino Linotype" w:hAnsi="Palatino Linotype" w:cstheme="majorBidi"/>
                <w:b w:val="0"/>
              </w:rPr>
              <w:t>b) Supuestos de clasificación.</w:t>
            </w:r>
          </w:p>
        </w:tc>
        <w:tc>
          <w:tcPr>
            <w:tcW w:w="6990" w:type="dxa"/>
          </w:tcPr>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Los artículos 116 y 143 de la Ley Estatal y de la Ley General, respectivamente, señalan los supuestos para que la información </w:t>
            </w:r>
            <w:r w:rsidRPr="00BB6E75">
              <w:rPr>
                <w:rFonts w:ascii="Palatino Linotype"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808FF" w:rsidRPr="00BB6E75" w:rsidRDefault="005808FF" w:rsidP="00A81C7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B6E75">
              <w:rPr>
                <w:rFonts w:ascii="Palatino Linotype" w:hAnsi="Palatino Linotype" w:cs="Arial"/>
                <w:color w:val="000000"/>
              </w:rPr>
              <w:t xml:space="preserve">El </w:t>
            </w:r>
            <w:r w:rsidRPr="00BB6E75">
              <w:rPr>
                <w:rFonts w:ascii="Palatino Linotype" w:hAnsi="Palatino Linotype" w:cs="Arial"/>
                <w:b/>
                <w:color w:val="000000"/>
              </w:rPr>
              <w:t>SUJETO OBLIGADO</w:t>
            </w:r>
            <w:r w:rsidRPr="00BB6E75">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808FF" w:rsidRPr="00BB6E75" w:rsidTr="005808FF">
        <w:tc>
          <w:tcPr>
            <w:cnfStyle w:val="001000000000" w:firstRow="0" w:lastRow="0" w:firstColumn="1" w:lastColumn="0" w:oddVBand="0" w:evenVBand="0" w:oddHBand="0" w:evenHBand="0" w:firstRowFirstColumn="0" w:firstRowLastColumn="0" w:lastRowFirstColumn="0" w:lastRowLastColumn="0"/>
            <w:tcW w:w="1838" w:type="dxa"/>
          </w:tcPr>
          <w:p w:rsidR="005808FF" w:rsidRPr="00BB6E75" w:rsidRDefault="005808FF" w:rsidP="00A81C74">
            <w:pPr>
              <w:spacing w:line="276" w:lineRule="auto"/>
              <w:rPr>
                <w:rFonts w:ascii="Palatino Linotype" w:hAnsi="Palatino Linotype"/>
              </w:rPr>
            </w:pPr>
            <w:r w:rsidRPr="00BB6E75">
              <w:rPr>
                <w:rFonts w:ascii="Palatino Linotype" w:hAnsi="Palatino Linotype" w:cstheme="majorBidi"/>
                <w:b w:val="0"/>
              </w:rPr>
              <w:lastRenderedPageBreak/>
              <w:t>c) Formalidades para emitir el acuerdo de clasificación.</w:t>
            </w:r>
          </w:p>
        </w:tc>
        <w:tc>
          <w:tcPr>
            <w:tcW w:w="6990" w:type="dxa"/>
          </w:tcPr>
          <w:p w:rsidR="005808FF" w:rsidRPr="00BB6E75" w:rsidRDefault="005808FF" w:rsidP="00A81C7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5808FF" w:rsidRPr="00BB6E75" w:rsidRDefault="005808FF" w:rsidP="00A81C7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Es necesario que </w:t>
            </w:r>
            <w:r w:rsidRPr="00BB6E75">
              <w:rPr>
                <w:rFonts w:ascii="Palatino Linotype" w:hAnsi="Palatino Linotype" w:cs="Arial"/>
                <w:b/>
                <w:color w:val="000000"/>
                <w:u w:val="single"/>
              </w:rPr>
              <w:t>el acto reúna con los requisitos elementales</w:t>
            </w:r>
            <w:r w:rsidRPr="00BB6E75">
              <w:rPr>
                <w:rFonts w:ascii="Palatino Linotype" w:hAnsi="Palatino Linotype" w:cs="Arial"/>
                <w:color w:val="000000"/>
              </w:rPr>
              <w:t>, entre ellos, que la autoridad que va a emitir el acto de autoridad sea la legalmente facultada para ello.</w:t>
            </w:r>
          </w:p>
          <w:p w:rsidR="005808FF" w:rsidRPr="00BB6E75" w:rsidRDefault="005808FF" w:rsidP="00A81C7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B6E75">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08FF" w:rsidRPr="00BB6E75" w:rsidTr="00580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808FF" w:rsidRPr="00BB6E75" w:rsidRDefault="005808FF" w:rsidP="00A81C74">
            <w:pPr>
              <w:spacing w:line="276" w:lineRule="auto"/>
              <w:rPr>
                <w:rFonts w:ascii="Palatino Linotype" w:hAnsi="Palatino Linotype"/>
                <w:b w:val="0"/>
              </w:rPr>
            </w:pPr>
          </w:p>
          <w:p w:rsidR="005808FF" w:rsidRPr="00BB6E75" w:rsidRDefault="005808FF" w:rsidP="00A81C74">
            <w:pPr>
              <w:spacing w:line="276" w:lineRule="auto"/>
              <w:jc w:val="both"/>
              <w:rPr>
                <w:rFonts w:ascii="Palatino Linotype" w:hAnsi="Palatino Linotype"/>
                <w:b w:val="0"/>
              </w:rPr>
            </w:pPr>
            <w:r w:rsidRPr="00BB6E75">
              <w:rPr>
                <w:rFonts w:ascii="Palatino Linotype" w:hAnsi="Palatino Linotype" w:cs="Arial"/>
                <w:b w:val="0"/>
                <w:color w:val="000000"/>
              </w:rPr>
              <w:lastRenderedPageBreak/>
              <w:t xml:space="preserve">d) Requisitos de fondo del acuerdo de clasificación. </w:t>
            </w:r>
          </w:p>
        </w:tc>
        <w:tc>
          <w:tcPr>
            <w:tcW w:w="6990" w:type="dxa"/>
          </w:tcPr>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lastRenderedPageBreak/>
              <w:t xml:space="preserve">Como se ha señalado antes, al hacer el juicio de subsunción o encaje entre el supuesto de hecho y la hipótesis jurídica, se debe </w:t>
            </w:r>
            <w:r w:rsidRPr="00BB6E75">
              <w:rPr>
                <w:rFonts w:ascii="Palatino Linotype" w:hAnsi="Palatino Linotype" w:cs="Arial"/>
                <w:color w:val="000000"/>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BB6E75">
              <w:rPr>
                <w:rFonts w:ascii="Palatino Linotype" w:hAnsi="Palatino Linotype" w:cs="Arial"/>
                <w:b/>
                <w:color w:val="000000"/>
              </w:rPr>
              <w:t>Sujetos Obligados</w:t>
            </w:r>
            <w:r w:rsidRPr="00BB6E75">
              <w:rPr>
                <w:rFonts w:ascii="Palatino Linotype" w:hAnsi="Palatino Linotype" w:cs="Arial"/>
                <w:color w:val="000000"/>
              </w:rPr>
              <w:t xml:space="preserve">, por lo que deberán fundar y motivar debidamente la clasificación. </w:t>
            </w:r>
          </w:p>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De lo anterior, se desprende que para una correcta </w:t>
            </w:r>
            <w:r w:rsidRPr="00BB6E75">
              <w:rPr>
                <w:rFonts w:ascii="Palatino Linotype" w:hAnsi="Palatino Linotype" w:cs="Arial"/>
                <w:b/>
                <w:color w:val="000000"/>
              </w:rPr>
              <w:t>clasificación total o parcial</w:t>
            </w:r>
            <w:r w:rsidRPr="00BB6E75">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5808FF" w:rsidRPr="00BB6E75" w:rsidRDefault="005808FF" w:rsidP="00A81C7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Ahora bien, </w:t>
            </w:r>
            <w:r w:rsidRPr="00BB6E75">
              <w:rPr>
                <w:rFonts w:ascii="Palatino Linotype" w:hAnsi="Palatino Linotype" w:cs="Arial"/>
                <w:b/>
                <w:color w:val="000000"/>
                <w:u w:val="single"/>
              </w:rPr>
              <w:t>para cada caso además de fundar y motivar</w:t>
            </w:r>
            <w:r w:rsidRPr="00BB6E75">
              <w:rPr>
                <w:rFonts w:ascii="Palatino Linotype" w:hAnsi="Palatino Linotype" w:cs="Arial"/>
                <w:color w:val="000000"/>
              </w:rPr>
              <w:t xml:space="preserve">, se debe identificar con claridad que datos contenidos en las documentales que son susceptibles de suprimirse, por ejemplo; </w:t>
            </w:r>
            <w:r w:rsidRPr="00BB6E75">
              <w:rPr>
                <w:rFonts w:ascii="Palatino Linotype" w:hAnsi="Palatino Linotype" w:cs="Arial"/>
                <w:color w:val="000000"/>
                <w:lang w:val="es-ES"/>
              </w:rPr>
              <w:t xml:space="preserve">Clave Única de Registro de Población (CURP), Registro Federal de Contribuyentes (R.F.C.), claves de seguros, préstamos o descuentos personales, secretos bancario, fiduciario, industrial, </w:t>
            </w:r>
            <w:r w:rsidRPr="00BB6E75">
              <w:rPr>
                <w:rFonts w:ascii="Palatino Linotype" w:hAnsi="Palatino Linotype" w:cs="Arial"/>
                <w:color w:val="000000"/>
                <w:lang w:val="es-ES"/>
              </w:rPr>
              <w:lastRenderedPageBreak/>
              <w:t>comercial, fiscal, bursátil y postal, cuya titularidad corresponda a particulares, entre otros.</w:t>
            </w:r>
          </w:p>
        </w:tc>
      </w:tr>
      <w:tr w:rsidR="005808FF" w:rsidRPr="00BB6E75" w:rsidTr="005808FF">
        <w:tc>
          <w:tcPr>
            <w:cnfStyle w:val="001000000000" w:firstRow="0" w:lastRow="0" w:firstColumn="1" w:lastColumn="0" w:oddVBand="0" w:evenVBand="0" w:oddHBand="0" w:evenHBand="0" w:firstRowFirstColumn="0" w:firstRowLastColumn="0" w:lastRowFirstColumn="0" w:lastRowLastColumn="0"/>
            <w:tcW w:w="1838" w:type="dxa"/>
          </w:tcPr>
          <w:p w:rsidR="005808FF" w:rsidRPr="00BB6E75" w:rsidRDefault="005808FF" w:rsidP="00A81C74">
            <w:pPr>
              <w:spacing w:line="276" w:lineRule="auto"/>
              <w:jc w:val="both"/>
              <w:rPr>
                <w:rFonts w:ascii="Palatino Linotype" w:hAnsi="Palatino Linotype" w:cs="Arial"/>
                <w:color w:val="000000"/>
              </w:rPr>
            </w:pPr>
            <w:r w:rsidRPr="00BB6E75">
              <w:rPr>
                <w:rFonts w:ascii="Palatino Linotype" w:eastAsia="MS Gothic" w:hAnsi="Palatino Linotype"/>
                <w:b w:val="0"/>
              </w:rPr>
              <w:lastRenderedPageBreak/>
              <w:t xml:space="preserve">e) Condiciones especiales de la clasificación de la información como confidencial. </w:t>
            </w:r>
          </w:p>
          <w:p w:rsidR="005808FF" w:rsidRPr="00BB6E75" w:rsidRDefault="005808FF" w:rsidP="00A81C74">
            <w:pPr>
              <w:spacing w:line="276" w:lineRule="auto"/>
              <w:rPr>
                <w:rFonts w:ascii="Palatino Linotype" w:hAnsi="Palatino Linotype"/>
              </w:rPr>
            </w:pPr>
          </w:p>
        </w:tc>
        <w:tc>
          <w:tcPr>
            <w:tcW w:w="6990" w:type="dxa"/>
          </w:tcPr>
          <w:p w:rsidR="005808FF" w:rsidRPr="00BB6E75" w:rsidRDefault="005808FF" w:rsidP="00A81C7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5808FF" w:rsidRPr="00BB6E75" w:rsidRDefault="005808FF" w:rsidP="00A81C7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6E75">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808FF" w:rsidRPr="00BB6E75" w:rsidRDefault="005808FF" w:rsidP="00A81C74">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B6E75">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808FF" w:rsidRPr="00BB6E75" w:rsidRDefault="005808FF" w:rsidP="00A81C74">
      <w:pPr>
        <w:spacing w:line="360" w:lineRule="auto"/>
        <w:jc w:val="both"/>
        <w:rPr>
          <w:rFonts w:ascii="Palatino Linotype" w:eastAsia="Palatino Linotype" w:hAnsi="Palatino Linotype" w:cs="Palatino Linotype"/>
        </w:rPr>
      </w:pPr>
    </w:p>
    <w:p w:rsidR="005808FF" w:rsidRPr="00BB6E75" w:rsidRDefault="005808FF" w:rsidP="00A81C74">
      <w:pPr>
        <w:pStyle w:val="Prrafodelista"/>
        <w:ind w:left="0"/>
        <w:rPr>
          <w:rFonts w:ascii="Palatino Linotype" w:eastAsia="Palatino Linotype" w:hAnsi="Palatino Linotype" w:cs="Palatino Linotype"/>
        </w:rPr>
      </w:pPr>
    </w:p>
    <w:p w:rsidR="005808FF" w:rsidRPr="00BB6E75" w:rsidRDefault="005808FF" w:rsidP="00A81C74">
      <w:pPr>
        <w:pStyle w:val="Prrafodelista"/>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hAnsi="Palatino Linotype"/>
          <w:color w:val="222222"/>
        </w:rPr>
        <w:t>Por otro lado, de manera enunciativa mas no limitativas, dentro de los elementos que integran los recibos de nómina se pueden encontrar los siguientes:</w:t>
      </w:r>
    </w:p>
    <w:p w:rsidR="005808FF" w:rsidRPr="00BB6E75" w:rsidRDefault="005808FF" w:rsidP="00A81C74">
      <w:pPr>
        <w:pStyle w:val="Prrafodelista"/>
        <w:shd w:val="clear" w:color="auto" w:fill="FFFFFF"/>
        <w:spacing w:before="240" w:after="240" w:line="360" w:lineRule="auto"/>
        <w:ind w:left="0"/>
        <w:jc w:val="both"/>
        <w:rPr>
          <w:rFonts w:ascii="Palatino Linotype" w:hAnsi="Palatino Linotype"/>
          <w:color w:val="222222"/>
        </w:rPr>
      </w:pP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Clave Única de Registro de Población (CURP);</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Número de ISSEMyM;</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Número de empleado;</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Registro Federal de Contribuyentes (RFC);</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Número de Serie del CSD del SAT;</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Número de Serie del CDS del emisor;</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Serie y folio;</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lastRenderedPageBreak/>
        <w:t>Firma;</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Código QR;</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Sello Digital del Contribuyente; y</w:t>
      </w:r>
    </w:p>
    <w:p w:rsidR="005808FF" w:rsidRPr="00BB6E75" w:rsidRDefault="005808FF" w:rsidP="00A81C74">
      <w:pPr>
        <w:pStyle w:val="Prrafodelista"/>
        <w:numPr>
          <w:ilvl w:val="0"/>
          <w:numId w:val="6"/>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Sello Digital del SAT.</w:t>
      </w:r>
    </w:p>
    <w:p w:rsidR="005808FF" w:rsidRPr="00BB6E75" w:rsidRDefault="005808FF" w:rsidP="00A81C74">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p>
    <w:p w:rsidR="005808FF" w:rsidRPr="00BB6E75" w:rsidRDefault="005808FF" w:rsidP="00A81C74">
      <w:pPr>
        <w:pStyle w:val="Ttulo3"/>
        <w:numPr>
          <w:ilvl w:val="0"/>
          <w:numId w:val="6"/>
        </w:numPr>
        <w:ind w:left="0"/>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Clave Única de Registro de Población (CURP).</w:t>
      </w:r>
    </w:p>
    <w:p w:rsidR="005808FF" w:rsidRPr="00BB6E75" w:rsidRDefault="005808FF" w:rsidP="00A81C74">
      <w:pPr>
        <w:rPr>
          <w:rFonts w:ascii="Palatino Linotype" w:hAnsi="Palatino Linotype"/>
          <w:lang w:val="es-ES_tradnl" w:eastAsia="es-ES"/>
        </w:rPr>
      </w:pPr>
    </w:p>
    <w:p w:rsidR="005808FF" w:rsidRPr="00BB6E75" w:rsidRDefault="000A671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noProof/>
          <w:color w:val="000000"/>
        </w:rPr>
        <mc:AlternateContent>
          <mc:Choice Requires="wps">
            <w:drawing>
              <wp:anchor distT="0" distB="0" distL="114300" distR="114300" simplePos="0" relativeHeight="251659264" behindDoc="0" locked="0" layoutInCell="1" allowOverlap="1">
                <wp:simplePos x="0" y="0"/>
                <wp:positionH relativeFrom="column">
                  <wp:posOffset>55310</wp:posOffset>
                </wp:positionH>
                <wp:positionV relativeFrom="paragraph">
                  <wp:posOffset>1674832</wp:posOffset>
                </wp:positionV>
                <wp:extent cx="6036906" cy="3694922"/>
                <wp:effectExtent l="0" t="0" r="21590" b="20320"/>
                <wp:wrapNone/>
                <wp:docPr id="1" name="Conector recto 1"/>
                <wp:cNvGraphicFramePr/>
                <a:graphic xmlns:a="http://schemas.openxmlformats.org/drawingml/2006/main">
                  <a:graphicData uri="http://schemas.microsoft.com/office/word/2010/wordprocessingShape">
                    <wps:wsp>
                      <wps:cNvCnPr/>
                      <wps:spPr>
                        <a:xfrm>
                          <a:off x="0" y="0"/>
                          <a:ext cx="6036906" cy="36949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A8AC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31.9pt" to="479.7pt,4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" strokecolor="black [3200]" strokeweight=".5pt">
                <v:stroke joinstyle="miter"/>
              </v:line>
            </w:pict>
          </mc:Fallback>
        </mc:AlternateContent>
      </w:r>
      <w:r w:rsidR="005808FF" w:rsidRPr="00BB6E75">
        <w:rPr>
          <w:rFonts w:ascii="Palatino Linotype" w:eastAsia="Palatino Linotype" w:hAnsi="Palatino Linotype" w:cs="Palatino Linotype"/>
          <w:color w:val="000000"/>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5808FF" w:rsidRPr="00BB6E75" w:rsidRDefault="005808FF" w:rsidP="00A81C74">
      <w:pPr>
        <w:shd w:val="clear" w:color="auto" w:fill="FFFFFF"/>
        <w:spacing w:before="240" w:after="240" w:line="360" w:lineRule="auto"/>
        <w:jc w:val="center"/>
        <w:rPr>
          <w:rFonts w:ascii="Palatino Linotype" w:hAnsi="Palatino Linotype"/>
          <w:color w:val="222222"/>
        </w:rPr>
      </w:pPr>
      <w:r w:rsidRPr="00BB6E75">
        <w:rPr>
          <w:rFonts w:ascii="Palatino Linotype" w:hAnsi="Palatino Linotype"/>
          <w:noProof/>
        </w:rPr>
        <w:lastRenderedPageBreak/>
        <w:drawing>
          <wp:inline distT="0" distB="0" distL="0" distR="0" wp14:anchorId="5962DDA1" wp14:editId="40DD5CBA">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5748" t="8269" r="41254" b="18081"/>
                    <a:stretch>
                      <a:fillRect/>
                    </a:stretch>
                  </pic:blipFill>
                  <pic:spPr>
                    <a:xfrm>
                      <a:off x="0" y="0"/>
                      <a:ext cx="5305425" cy="4676775"/>
                    </a:xfrm>
                    <a:prstGeom prst="rect">
                      <a:avLst/>
                    </a:prstGeom>
                    <a:ln/>
                  </pic:spPr>
                </pic:pic>
              </a:graphicData>
            </a:graphic>
          </wp:inline>
        </w:drawing>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Entre las características de la CURP, se encuentra: </w:t>
      </w:r>
    </w:p>
    <w:p w:rsidR="005808FF" w:rsidRPr="00BB6E75" w:rsidRDefault="005808FF" w:rsidP="00A81C74">
      <w:pPr>
        <w:pStyle w:val="Prrafodelista"/>
        <w:tabs>
          <w:tab w:val="left" w:pos="426"/>
          <w:tab w:val="left" w:pos="567"/>
        </w:tabs>
        <w:spacing w:line="360" w:lineRule="auto"/>
        <w:ind w:left="0"/>
        <w:jc w:val="both"/>
        <w:rPr>
          <w:rFonts w:ascii="Palatino Linotype" w:eastAsia="Palatino Linotype" w:hAnsi="Palatino Linotype" w:cs="Palatino Linotype"/>
        </w:rPr>
      </w:pPr>
      <w:r w:rsidRPr="00BB6E75">
        <w:rPr>
          <w:rFonts w:ascii="Palatino Linotype" w:eastAsia="Palatino Linotype" w:hAnsi="Palatino Linotype" w:cs="Palatino Linotype"/>
          <w:b/>
        </w:rPr>
        <w:t xml:space="preserve">Composición. </w:t>
      </w:r>
      <w:r w:rsidRPr="00BB6E75">
        <w:rPr>
          <w:rFonts w:ascii="Palatino Linotype" w:eastAsia="Palatino Linotype" w:hAnsi="Palatino Linotype" w:cs="Palatino Linotype"/>
        </w:rPr>
        <w:t>Alfanumérica.</w:t>
      </w:r>
    </w:p>
    <w:p w:rsidR="005808FF" w:rsidRPr="00BB6E75" w:rsidRDefault="005808FF" w:rsidP="00A81C74">
      <w:pPr>
        <w:pStyle w:val="Prrafodelista"/>
        <w:tabs>
          <w:tab w:val="left" w:pos="426"/>
          <w:tab w:val="left" w:pos="567"/>
        </w:tabs>
        <w:spacing w:line="360" w:lineRule="auto"/>
        <w:ind w:left="0"/>
        <w:jc w:val="both"/>
        <w:rPr>
          <w:rFonts w:ascii="Palatino Linotype" w:eastAsia="Palatino Linotype" w:hAnsi="Palatino Linotype" w:cs="Palatino Linotype"/>
        </w:rPr>
      </w:pPr>
      <w:r w:rsidRPr="00BB6E75">
        <w:rPr>
          <w:rFonts w:ascii="Palatino Linotype" w:eastAsia="Palatino Linotype" w:hAnsi="Palatino Linotype" w:cs="Palatino Linotype"/>
          <w:b/>
        </w:rPr>
        <w:t xml:space="preserve">Longitud. </w:t>
      </w:r>
      <w:r w:rsidRPr="00BB6E75">
        <w:rPr>
          <w:rFonts w:ascii="Palatino Linotype" w:eastAsia="Palatino Linotype" w:hAnsi="Palatino Linotype" w:cs="Palatino Linotype"/>
        </w:rPr>
        <w:t xml:space="preserve"> 18 caracteres.</w:t>
      </w:r>
    </w:p>
    <w:p w:rsidR="005808FF" w:rsidRPr="00BB6E75" w:rsidRDefault="005808FF" w:rsidP="00A81C74">
      <w:pPr>
        <w:pStyle w:val="Prrafodelista"/>
        <w:tabs>
          <w:tab w:val="left" w:pos="426"/>
          <w:tab w:val="left" w:pos="567"/>
        </w:tabs>
        <w:spacing w:line="360" w:lineRule="auto"/>
        <w:ind w:left="0"/>
        <w:jc w:val="both"/>
        <w:rPr>
          <w:rFonts w:ascii="Palatino Linotype" w:eastAsia="Palatino Linotype" w:hAnsi="Palatino Linotype" w:cs="Palatino Linotype"/>
        </w:rPr>
      </w:pPr>
      <w:r w:rsidRPr="00BB6E75">
        <w:rPr>
          <w:rFonts w:ascii="Palatino Linotype" w:eastAsia="Palatino Linotype" w:hAnsi="Palatino Linotype" w:cs="Palatino Linotype"/>
          <w:b/>
        </w:rPr>
        <w:lastRenderedPageBreak/>
        <w:t xml:space="preserve">Naturaleza. </w:t>
      </w:r>
      <w:r w:rsidRPr="00BB6E75">
        <w:rPr>
          <w:rFonts w:ascii="Palatino Linotype" w:eastAsia="Palatino Linotype" w:hAnsi="Palatino Linotype" w:cs="Palatino Linotype"/>
        </w:rPr>
        <w:t>Biunívoca.</w:t>
      </w:r>
    </w:p>
    <w:p w:rsidR="005808FF" w:rsidRPr="00BB6E75" w:rsidRDefault="005808FF" w:rsidP="00A81C74">
      <w:pPr>
        <w:pStyle w:val="Prrafodelista"/>
        <w:tabs>
          <w:tab w:val="left" w:pos="426"/>
          <w:tab w:val="left" w:pos="567"/>
        </w:tabs>
        <w:spacing w:line="360" w:lineRule="auto"/>
        <w:ind w:left="0"/>
        <w:jc w:val="both"/>
        <w:rPr>
          <w:rFonts w:ascii="Palatino Linotype" w:eastAsia="Palatino Linotype" w:hAnsi="Palatino Linotype" w:cs="Palatino Linotype"/>
        </w:rPr>
      </w:pPr>
      <w:r w:rsidRPr="00BB6E75">
        <w:rPr>
          <w:rFonts w:ascii="Palatino Linotype" w:eastAsia="Palatino Linotype" w:hAnsi="Palatino Linotype" w:cs="Palatino Linotype"/>
          <w:b/>
        </w:rPr>
        <w:t xml:space="preserve">Universalidad. </w:t>
      </w:r>
      <w:r w:rsidRPr="00BB6E75">
        <w:rPr>
          <w:rFonts w:ascii="Palatino Linotype" w:eastAsia="Palatino Linotype" w:hAnsi="Palatino Linotype" w:cs="Palatino Linotype"/>
        </w:rPr>
        <w:t>Se asigna a todas las personas que conforman la población.</w:t>
      </w:r>
    </w:p>
    <w:p w:rsidR="005808FF" w:rsidRPr="00BB6E75" w:rsidRDefault="005808FF" w:rsidP="00A81C74">
      <w:pPr>
        <w:pStyle w:val="Prrafodelista"/>
        <w:tabs>
          <w:tab w:val="left" w:pos="426"/>
          <w:tab w:val="left" w:pos="567"/>
        </w:tabs>
        <w:spacing w:line="360" w:lineRule="auto"/>
        <w:ind w:left="0"/>
        <w:jc w:val="both"/>
        <w:rPr>
          <w:rFonts w:ascii="Palatino Linotype" w:eastAsia="Palatino Linotype" w:hAnsi="Palatino Linotype" w:cs="Palatino Linotype"/>
          <w:b/>
        </w:rPr>
      </w:pPr>
      <w:r w:rsidRPr="00BB6E75">
        <w:rPr>
          <w:rFonts w:ascii="Palatino Linotype" w:eastAsia="Palatino Linotype" w:hAnsi="Palatino Linotype" w:cs="Palatino Linotype"/>
          <w:b/>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rsidR="005808FF" w:rsidRPr="00BB6E75" w:rsidRDefault="005808FF" w:rsidP="00A81C74">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i/>
          <w:color w:val="000000"/>
        </w:rPr>
        <w:lastRenderedPageBreak/>
        <w:t>“</w:t>
      </w:r>
      <w:r w:rsidRPr="00BB6E75">
        <w:rPr>
          <w:rFonts w:ascii="Palatino Linotype" w:eastAsia="Palatino Linotype" w:hAnsi="Palatino Linotype" w:cs="Palatino Linotype"/>
          <w:b/>
          <w:i/>
          <w:color w:val="000000"/>
        </w:rPr>
        <w:t xml:space="preserve">Clave Única de Registro de Población (CURP). </w:t>
      </w:r>
      <w:r w:rsidRPr="00BB6E75">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5808FF" w:rsidRPr="00BB6E75" w:rsidRDefault="005808FF" w:rsidP="00A81C74">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p>
    <w:p w:rsidR="005808FF" w:rsidRPr="00BB6E75" w:rsidRDefault="005808FF" w:rsidP="00A81C74">
      <w:pPr>
        <w:pStyle w:val="Ttulo3"/>
        <w:numPr>
          <w:ilvl w:val="0"/>
          <w:numId w:val="8"/>
        </w:numPr>
        <w:ind w:left="0"/>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Clave ISSEMyM</w:t>
      </w:r>
    </w:p>
    <w:p w:rsidR="005808FF" w:rsidRPr="00BB6E75" w:rsidRDefault="005808FF" w:rsidP="00A81C74">
      <w:pPr>
        <w:rPr>
          <w:rFonts w:ascii="Palatino Linotype" w:hAnsi="Palatino Linotype"/>
          <w:lang w:val="es-ES_tradnl" w:eastAsia="es-ES"/>
        </w:rPr>
      </w:pP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5808FF" w:rsidRPr="00BB6E75" w:rsidRDefault="005808FF" w:rsidP="00A81C74">
      <w:pPr>
        <w:pStyle w:val="Ttulo3"/>
        <w:numPr>
          <w:ilvl w:val="0"/>
          <w:numId w:val="8"/>
        </w:numPr>
        <w:ind w:left="0"/>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Número de empleado.</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5808FF" w:rsidRPr="00BB6E75" w:rsidRDefault="005808FF" w:rsidP="00A81C7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BB6E75">
        <w:rPr>
          <w:rFonts w:ascii="Palatino Linotype" w:eastAsia="Palatino Linotype" w:hAnsi="Palatino Linotype" w:cs="Palatino Linotype"/>
          <w:b/>
          <w:i/>
          <w:color w:val="000000"/>
        </w:rPr>
        <w:t>Número de empleado.</w:t>
      </w:r>
      <w:r w:rsidRPr="00BB6E75">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lastRenderedPageBreak/>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5808FF" w:rsidRPr="00BB6E75" w:rsidRDefault="005808FF" w:rsidP="00A81C74">
      <w:pPr>
        <w:pStyle w:val="Prrafodelista"/>
        <w:numPr>
          <w:ilvl w:val="0"/>
          <w:numId w:val="8"/>
        </w:numPr>
        <w:shd w:val="clear" w:color="auto" w:fill="FFFFFF"/>
        <w:spacing w:before="240" w:after="240" w:line="360" w:lineRule="auto"/>
        <w:ind w:left="0"/>
        <w:jc w:val="both"/>
        <w:rPr>
          <w:rFonts w:ascii="Palatino Linotype" w:hAnsi="Palatino Linotype"/>
          <w:color w:val="222222"/>
        </w:rPr>
      </w:pPr>
      <w:r w:rsidRPr="00BB6E75">
        <w:rPr>
          <w:rFonts w:ascii="Palatino Linotype" w:eastAsia="Palatino Linotype" w:hAnsi="Palatino Linotype" w:cs="Palatino Linotype"/>
          <w:b/>
          <w:color w:val="000000"/>
        </w:rPr>
        <w:t>Registro Federal de Contribuyentes (RFC)</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Conforme a lo expuesto, el Registro Federal de Contribuyentes, es un dato personal, ya que hace a las personas físicas identificas e identificables, además de que las relaciona </w:t>
      </w:r>
      <w:r w:rsidRPr="00BB6E75">
        <w:rPr>
          <w:rFonts w:ascii="Palatino Linotype" w:eastAsia="Palatino Linotype" w:hAnsi="Palatino Linotype" w:cs="Palatino Linotype"/>
          <w:color w:val="000000"/>
        </w:rPr>
        <w:lastRenderedPageBreak/>
        <w:t>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rsidR="005808FF" w:rsidRPr="00BB6E75" w:rsidRDefault="005808FF" w:rsidP="00A81C74">
      <w:pPr>
        <w:pStyle w:val="Prrafodelista"/>
        <w:spacing w:line="360" w:lineRule="auto"/>
        <w:ind w:left="0"/>
        <w:jc w:val="both"/>
        <w:rPr>
          <w:rFonts w:ascii="Palatino Linotype" w:eastAsia="Palatino Linotype" w:hAnsi="Palatino Linotype" w:cs="Palatino Linotype"/>
          <w:b/>
          <w:i/>
        </w:rPr>
      </w:pPr>
      <w:r w:rsidRPr="00BB6E75">
        <w:rPr>
          <w:rFonts w:ascii="Palatino Linotype" w:eastAsia="Palatino Linotype" w:hAnsi="Palatino Linotype" w:cs="Palatino Linotype"/>
          <w:b/>
          <w:i/>
        </w:rPr>
        <w:t xml:space="preserve">Registro Federal de Contribuyentes (RFC) de personas físicas. </w:t>
      </w:r>
    </w:p>
    <w:p w:rsidR="005808FF" w:rsidRPr="00BB6E75" w:rsidRDefault="005808FF" w:rsidP="00A81C7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BB6E75">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rsidR="005808FF" w:rsidRPr="00BB6E75" w:rsidRDefault="005808FF" w:rsidP="00A81C74">
      <w:pPr>
        <w:shd w:val="clear" w:color="auto" w:fill="FFFFFF"/>
        <w:spacing w:before="240" w:after="240" w:line="360" w:lineRule="auto"/>
        <w:jc w:val="both"/>
        <w:rPr>
          <w:rFonts w:ascii="Palatino Linotype" w:hAnsi="Palatino Linotype"/>
          <w:color w:val="222222"/>
        </w:rPr>
      </w:pP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BB6E75">
        <w:rPr>
          <w:rFonts w:ascii="Palatino Linotype" w:eastAsia="Palatino Linotype" w:hAnsi="Palatino Linotype" w:cs="Palatino Linotype"/>
          <w:color w:val="000000"/>
        </w:rPr>
        <w:t>, así como tampoco con el desempeño laboral que pueda tener una persona.</w:t>
      </w:r>
      <w:bookmarkStart w:id="12" w:name="_heading=h.35nkun2" w:colFirst="0" w:colLast="0"/>
      <w:bookmarkEnd w:id="12"/>
    </w:p>
    <w:p w:rsidR="005808FF" w:rsidRPr="00BB6E75" w:rsidRDefault="005808FF" w:rsidP="00A81C74">
      <w:pPr>
        <w:pStyle w:val="Ttulo3"/>
        <w:numPr>
          <w:ilvl w:val="0"/>
          <w:numId w:val="8"/>
        </w:numPr>
        <w:ind w:left="0"/>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Deducciones personales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BB6E75">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BB6E75">
        <w:rPr>
          <w:rFonts w:ascii="Palatino Linotype" w:eastAsia="Palatino Linotype" w:hAnsi="Palatino Linotype" w:cs="Palatino Linotype"/>
          <w:color w:val="000000"/>
        </w:rPr>
        <w:t>, seguro de vida, accidentes y enfermedades.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lastRenderedPageBreak/>
        <w:t xml:space="preserve">Asimismo, hay otras que se generan con motivo de una sentencia judicial, como es la pensión alimenticia que periódicamente se retira de la cuenta de un empleado, a efecto de que sea entregado a un tercero.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bookmarkStart w:id="13" w:name="_heading=h.1ksv4uv" w:colFirst="0" w:colLast="0"/>
      <w:bookmarkEnd w:id="13"/>
    </w:p>
    <w:p w:rsidR="005808FF" w:rsidRPr="00BB6E75" w:rsidRDefault="005808FF" w:rsidP="00A81C74">
      <w:pPr>
        <w:pStyle w:val="Ttulo3"/>
        <w:numPr>
          <w:ilvl w:val="0"/>
          <w:numId w:val="8"/>
        </w:numPr>
        <w:ind w:left="0"/>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CÓDIGO QR</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BB6E75">
        <w:rPr>
          <w:rFonts w:ascii="Palatino Linotype" w:eastAsia="Palatino Linotype" w:hAnsi="Palatino Linotype" w:cs="Palatino Linotype"/>
          <w:i/>
          <w:color w:val="000000"/>
        </w:rPr>
        <w:t>QR Code (Quick Response Code)</w:t>
      </w:r>
      <w:r w:rsidRPr="00BB6E75">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BB6E75">
          <w:rPr>
            <w:rFonts w:ascii="Palatino Linotype" w:eastAsia="Palatino Linotype" w:hAnsi="Palatino Linotype" w:cs="Palatino Linotype"/>
            <w:color w:val="0563C1"/>
            <w:u w:val="single"/>
          </w:rPr>
          <w:t>http://dof.gob.mx/nota_detalle.php?codigo=5492254&amp;fecha=28/07/2017</w:t>
        </w:r>
      </w:hyperlink>
      <w:r w:rsidRPr="00BB6E75">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Hasta este punto, se considera que la información relacionada con los siguientes puntos actualiza una causal de confidencialidad, toda vez que identifica o hace identificable a su titular.</w:t>
      </w:r>
    </w:p>
    <w:p w:rsidR="005808FF" w:rsidRPr="00BB6E75" w:rsidRDefault="005808FF" w:rsidP="00A81C74">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Clave Única de Registro de Población (CURP)</w:t>
      </w:r>
    </w:p>
    <w:p w:rsidR="005808FF" w:rsidRPr="00BB6E75" w:rsidRDefault="005808FF" w:rsidP="00A81C74">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Clave ISSEMyM</w:t>
      </w:r>
    </w:p>
    <w:p w:rsidR="005808FF" w:rsidRPr="00BB6E75" w:rsidRDefault="005808FF" w:rsidP="00A81C74">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 xml:space="preserve">Número de empleado </w:t>
      </w:r>
      <w:r w:rsidRPr="00BB6E75">
        <w:rPr>
          <w:rFonts w:ascii="Palatino Linotype" w:eastAsia="Palatino Linotype" w:hAnsi="Palatino Linotype" w:cs="Palatino Linotype"/>
          <w:b/>
          <w:color w:val="000000"/>
        </w:rPr>
        <w:t>(sólo en el caso de que contenga datos personales o se relacione con los mismos, de lo contrario es información pública)</w:t>
      </w:r>
    </w:p>
    <w:p w:rsidR="005808FF" w:rsidRPr="00BB6E75" w:rsidRDefault="005808FF" w:rsidP="00A81C74">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Registro Federal de Contribuyentes (RFC)</w:t>
      </w:r>
    </w:p>
    <w:p w:rsidR="005808FF" w:rsidRPr="00BB6E75" w:rsidRDefault="005808FF" w:rsidP="00A81C74">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B6E75">
        <w:rPr>
          <w:rFonts w:ascii="Palatino Linotype" w:eastAsia="Palatino Linotype" w:hAnsi="Palatino Linotype" w:cs="Palatino Linotype"/>
          <w:color w:val="000000"/>
        </w:rPr>
        <w:t>Deducciones personales</w:t>
      </w:r>
    </w:p>
    <w:p w:rsidR="005808FF" w:rsidRPr="00BB6E75" w:rsidRDefault="005808FF" w:rsidP="00A81C74">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Código QR</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lastRenderedPageBreak/>
        <w:t>Ahora bien, siguiendo con el análisis de los datos que contienen los recibos remitidos, siguen los siguientes:</w:t>
      </w:r>
      <w:bookmarkStart w:id="14" w:name="_heading=h.44sinio" w:colFirst="0" w:colLast="0"/>
      <w:bookmarkEnd w:id="14"/>
    </w:p>
    <w:p w:rsidR="005808FF" w:rsidRPr="00BB6E75" w:rsidRDefault="005808FF" w:rsidP="00A81C74">
      <w:pPr>
        <w:pStyle w:val="Ttulo3"/>
        <w:numPr>
          <w:ilvl w:val="0"/>
          <w:numId w:val="9"/>
        </w:numPr>
        <w:spacing w:line="360" w:lineRule="auto"/>
        <w:ind w:left="0"/>
        <w:jc w:val="both"/>
        <w:rPr>
          <w:rFonts w:ascii="Palatino Linotype" w:eastAsia="Palatino Linotype" w:hAnsi="Palatino Linotype" w:cs="Palatino Linotype"/>
          <w:b/>
          <w:color w:val="000000"/>
        </w:rPr>
      </w:pPr>
      <w:r w:rsidRPr="00BB6E75">
        <w:rPr>
          <w:rFonts w:ascii="Palatino Linotype" w:eastAsia="Palatino Linotype" w:hAnsi="Palatino Linotype" w:cs="Palatino Linotype"/>
          <w:b/>
          <w:color w:val="000000"/>
        </w:rPr>
        <w:t>Sellos digitales del emisor y del Servicio de Administración Tributaria y cadena original del complemento de certificación digital del órgano previamente señalado; así como folio fiscal. (PUBLICOS)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Las cadenas originales y sellos que se agregan a las facturas</w:t>
      </w:r>
      <w:r w:rsidRPr="00BB6E75">
        <w:rPr>
          <w:rFonts w:ascii="Palatino Linotype" w:eastAsia="Palatino Linotype" w:hAnsi="Palatino Linotype" w:cs="Palatino Linotype"/>
          <w:b/>
          <w:color w:val="000000"/>
        </w:rPr>
        <w:t>,</w:t>
      </w:r>
      <w:r w:rsidRPr="00BB6E75">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lastRenderedPageBreak/>
        <w:t>“Elementos utilizados en la generación de Sellos Digitales:</w:t>
      </w: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t>•Cadena Original, el elemento a sellar, en este caso de un comprobante fiscal digital a través de Internet.</w:t>
      </w: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t>•Certificado de Sello Digital y su correspondiente clave privada.</w:t>
      </w: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t>•Algoritmos de criptografía de clave pública para firma electrónica avanzada.</w:t>
      </w: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t>•Especificaciones de conversión de la firma electrónica avanzada a Base 64.</w:t>
      </w:r>
    </w:p>
    <w:p w:rsidR="005808FF" w:rsidRPr="00BB6E75" w:rsidRDefault="005808FF" w:rsidP="00A81C74">
      <w:pPr>
        <w:spacing w:line="360" w:lineRule="auto"/>
        <w:jc w:val="both"/>
        <w:rPr>
          <w:rFonts w:ascii="Palatino Linotype" w:eastAsia="Palatino Linotype" w:hAnsi="Palatino Linotype" w:cs="Palatino Linotype"/>
          <w:i/>
        </w:rPr>
      </w:pPr>
      <w:r w:rsidRPr="00BB6E75">
        <w:rPr>
          <w:rFonts w:ascii="Palatino Linotype" w:eastAsia="Palatino Linotype" w:hAnsi="Palatino Linotype" w:cs="Palatino Linotype"/>
          <w:i/>
        </w:rPr>
        <w:t>Para la generación de sellos digitales se utiliza criptografía de clave pública aplicada a una cadena original.</w:t>
      </w:r>
    </w:p>
    <w:p w:rsidR="005808FF" w:rsidRPr="00BB6E75" w:rsidRDefault="005808FF" w:rsidP="00A81C74">
      <w:pPr>
        <w:spacing w:line="360" w:lineRule="auto"/>
        <w:jc w:val="both"/>
        <w:rPr>
          <w:rFonts w:ascii="Palatino Linotype" w:eastAsia="Palatino Linotype" w:hAnsi="Palatino Linotype" w:cs="Palatino Linotype"/>
          <w:i/>
        </w:rPr>
      </w:pP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t>Criptografía de la Clave Pública</w:t>
      </w:r>
    </w:p>
    <w:p w:rsidR="005808FF" w:rsidRPr="00BB6E75" w:rsidRDefault="005808FF" w:rsidP="00A81C74">
      <w:pPr>
        <w:pStyle w:val="Prrafodelista"/>
        <w:spacing w:line="360" w:lineRule="auto"/>
        <w:ind w:left="0"/>
        <w:jc w:val="both"/>
        <w:rPr>
          <w:rFonts w:ascii="Palatino Linotype" w:eastAsia="Palatino Linotype" w:hAnsi="Palatino Linotype" w:cs="Palatino Linotype"/>
          <w:i/>
        </w:rPr>
      </w:pPr>
      <w:r w:rsidRPr="00BB6E75">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 xml:space="preserve">Por otra parte, por lo que hace Folio Fiscal, cabe precisar que conforme al ANEXO 20 de la Segunda Resolución de modificaciones a la Resolución Miscelánea Fiscal para dos </w:t>
      </w:r>
      <w:r w:rsidRPr="00BB6E75">
        <w:rPr>
          <w:rFonts w:ascii="Palatino Linotype" w:eastAsia="Palatino Linotype" w:hAnsi="Palatino Linotype" w:cs="Palatino Linotype"/>
          <w:color w:val="000000"/>
        </w:rPr>
        <w:lastRenderedPageBreak/>
        <w:t>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5808FF" w:rsidRPr="00BB6E75" w:rsidRDefault="005808FF" w:rsidP="00A81C74">
      <w:pPr>
        <w:shd w:val="clear" w:color="auto" w:fill="FFFFFF"/>
        <w:spacing w:before="240" w:after="240" w:line="360" w:lineRule="auto"/>
        <w:jc w:val="both"/>
        <w:rPr>
          <w:rFonts w:ascii="Palatino Linotype" w:hAnsi="Palatino Linotype"/>
          <w:color w:val="222222"/>
        </w:rPr>
      </w:pPr>
      <w:r w:rsidRPr="00BB6E75">
        <w:rPr>
          <w:rFonts w:ascii="Palatino Linotype" w:eastAsia="Palatino Linotype" w:hAnsi="Palatino Linotype" w:cs="Palatino Linotype"/>
          <w:noProof/>
        </w:rPr>
        <w:drawing>
          <wp:inline distT="0" distB="0" distL="0" distR="0" wp14:anchorId="073B335A" wp14:editId="052DA6C4">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40505" r="32588" b="47482"/>
                    <a:stretch>
                      <a:fillRect/>
                    </a:stretch>
                  </pic:blipFill>
                  <pic:spPr>
                    <a:xfrm>
                      <a:off x="0" y="0"/>
                      <a:ext cx="5612130" cy="424735"/>
                    </a:xfrm>
                    <a:prstGeom prst="rect">
                      <a:avLst/>
                    </a:prstGeom>
                    <a:ln/>
                  </pic:spPr>
                </pic:pic>
              </a:graphicData>
            </a:graphic>
          </wp:inline>
        </w:drawing>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eastAsia="Palatino Linotype" w:hAnsi="Palatino Linotype" w:cs="Palatino Linotype"/>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5808FF" w:rsidRPr="00BB6E75" w:rsidRDefault="005808FF" w:rsidP="00A81C74">
      <w:pPr>
        <w:pStyle w:val="Prrafodelista"/>
        <w:numPr>
          <w:ilvl w:val="0"/>
          <w:numId w:val="9"/>
        </w:numPr>
        <w:spacing w:line="360" w:lineRule="auto"/>
        <w:ind w:left="0"/>
        <w:jc w:val="both"/>
        <w:rPr>
          <w:rFonts w:ascii="Palatino Linotype" w:hAnsi="Palatino Linotype" w:cs="Arial"/>
          <w:b/>
        </w:rPr>
      </w:pPr>
      <w:r w:rsidRPr="00BB6E75">
        <w:rPr>
          <w:rFonts w:ascii="Palatino Linotype" w:hAnsi="Palatino Linotype" w:cs="Arial"/>
          <w:b/>
        </w:rPr>
        <w:t>Deducciones que no son personales.</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hAnsi="Palatino Linotype" w:cs="Arial"/>
        </w:rPr>
        <w:t>La Ley del Trabajo de los Servidores Públicos del Estado y Municipios</w:t>
      </w:r>
      <w:r w:rsidRPr="00BB6E75">
        <w:rPr>
          <w:rStyle w:val="Refdenotaalpie"/>
          <w:rFonts w:ascii="Palatino Linotype" w:hAnsi="Palatino Linotype" w:cs="Arial"/>
        </w:rPr>
        <w:footnoteReference w:id="1"/>
      </w:r>
      <w:r w:rsidRPr="00BB6E75">
        <w:rPr>
          <w:rFonts w:ascii="Palatino Linotype" w:hAnsi="Palatino Linotype" w:cs="Arial"/>
        </w:rPr>
        <w:t xml:space="preserve"> en el artículo 84 establece lo siguiente:</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 xml:space="preserve">ARTÍCULO 84. Sólo podrán hacerse retenciones, descuentos o deducciones al sueldo de los servidores públicos por concepto de: </w:t>
      </w:r>
    </w:p>
    <w:p w:rsidR="005808FF" w:rsidRPr="00BB6E75" w:rsidRDefault="005808FF" w:rsidP="00A81C74">
      <w:pPr>
        <w:pStyle w:val="Prrafodelista"/>
        <w:spacing w:line="360" w:lineRule="auto"/>
        <w:ind w:left="0"/>
        <w:jc w:val="both"/>
        <w:rPr>
          <w:rFonts w:ascii="Palatino Linotype" w:hAnsi="Palatino Linotype"/>
          <w:b/>
          <w:i/>
        </w:rPr>
      </w:pPr>
      <w:r w:rsidRPr="00BB6E75">
        <w:rPr>
          <w:rFonts w:ascii="Palatino Linotype" w:hAnsi="Palatino Linotype"/>
          <w:b/>
          <w:i/>
        </w:rPr>
        <w:lastRenderedPageBreak/>
        <w:t>I. Gravámenes fiscales relacionados con el sueldo;</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 xml:space="preserve">II. Deudas contraídas con las instituciones públicas o dependencias por concepto de anticipos de sueldo, pagos hechos con exceso, errores o pérdidas debidamente comprobados; </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 xml:space="preserve">III. Cuotas sindicales; </w:t>
      </w:r>
    </w:p>
    <w:p w:rsidR="005808FF" w:rsidRPr="00BB6E75" w:rsidRDefault="005808FF" w:rsidP="00A81C74">
      <w:pPr>
        <w:pStyle w:val="Prrafodelista"/>
        <w:spacing w:line="360" w:lineRule="auto"/>
        <w:ind w:left="0"/>
        <w:jc w:val="both"/>
        <w:rPr>
          <w:rFonts w:ascii="Palatino Linotype" w:hAnsi="Palatino Linotype"/>
          <w:b/>
          <w:i/>
        </w:rPr>
      </w:pPr>
      <w:r w:rsidRPr="00BB6E75">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rsidR="005808FF" w:rsidRPr="00BB6E75" w:rsidRDefault="005808FF" w:rsidP="00A81C74">
      <w:pPr>
        <w:pStyle w:val="Prrafodelista"/>
        <w:spacing w:line="360" w:lineRule="auto"/>
        <w:ind w:left="0"/>
        <w:jc w:val="both"/>
        <w:rPr>
          <w:rFonts w:ascii="Palatino Linotype" w:hAnsi="Palatino Linotype"/>
          <w:b/>
          <w:i/>
        </w:rPr>
      </w:pPr>
      <w:r w:rsidRPr="00BB6E75">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 xml:space="preserve">VI. Obligaciones a cargo del servidor público con las que haya consentido, derivadas de la adquisición o del uso de habitaciones consideradas como de interés social; </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 xml:space="preserve">VII. Faltas de puntualidad o de asistencia injustificadas; </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 xml:space="preserve">VIII. Pensiones alimenticias ordenadas por la autoridad judicial; o </w:t>
      </w:r>
    </w:p>
    <w:p w:rsidR="005808FF" w:rsidRPr="00BB6E75" w:rsidRDefault="005808FF" w:rsidP="00A81C74">
      <w:pPr>
        <w:pStyle w:val="Prrafodelista"/>
        <w:spacing w:line="360" w:lineRule="auto"/>
        <w:ind w:left="0"/>
        <w:jc w:val="both"/>
        <w:rPr>
          <w:rFonts w:ascii="Palatino Linotype" w:hAnsi="Palatino Linotype"/>
          <w:i/>
        </w:rPr>
      </w:pPr>
      <w:r w:rsidRPr="00BB6E75">
        <w:rPr>
          <w:rFonts w:ascii="Palatino Linotype" w:hAnsi="Palatino Linotype"/>
          <w:i/>
        </w:rPr>
        <w:t>IX. Cualquier otro convenido con instituciones de servicios y aceptado por el servidor público.</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hAnsi="Palatino Linotype" w:cs="Arial"/>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0A671F" w:rsidRPr="00BB6E75" w:rsidRDefault="000A671F" w:rsidP="000A671F">
      <w:pPr>
        <w:shd w:val="clear" w:color="auto" w:fill="FFFFFF"/>
        <w:spacing w:before="240" w:after="240" w:line="360" w:lineRule="auto"/>
        <w:jc w:val="both"/>
        <w:rPr>
          <w:rFonts w:ascii="Palatino Linotype" w:hAnsi="Palatino Linotype" w:cs="Arial"/>
        </w:rPr>
      </w:pPr>
    </w:p>
    <w:p w:rsidR="000A671F" w:rsidRPr="00BB6E75" w:rsidRDefault="000A671F" w:rsidP="000A671F">
      <w:pPr>
        <w:shd w:val="clear" w:color="auto" w:fill="FFFFFF"/>
        <w:spacing w:before="240" w:after="240" w:line="360" w:lineRule="auto"/>
        <w:jc w:val="both"/>
        <w:rPr>
          <w:rFonts w:ascii="Palatino Linotype" w:hAnsi="Palatino Linotype"/>
          <w:color w:val="222222"/>
        </w:rPr>
      </w:pPr>
    </w:p>
    <w:p w:rsidR="005808FF" w:rsidRPr="00BB6E75" w:rsidRDefault="005808FF" w:rsidP="00A81C74">
      <w:pPr>
        <w:pStyle w:val="Prrafodelista"/>
        <w:numPr>
          <w:ilvl w:val="0"/>
          <w:numId w:val="9"/>
        </w:numPr>
        <w:spacing w:line="360" w:lineRule="auto"/>
        <w:ind w:left="0"/>
        <w:jc w:val="both"/>
        <w:rPr>
          <w:rFonts w:ascii="Palatino Linotype" w:hAnsi="Palatino Linotype" w:cs="Arial"/>
        </w:rPr>
      </w:pPr>
      <w:r w:rsidRPr="00BB6E75">
        <w:rPr>
          <w:rFonts w:ascii="Palatino Linotype" w:hAnsi="Palatino Linotype" w:cs="Arial"/>
          <w:b/>
        </w:rPr>
        <w:t>Seguro de Capitalización Individualizado.</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hAnsi="Palatino Linotype" w:cs="Arial"/>
        </w:rPr>
        <w:t>El Sistema de Capitalización Individualizado es el mecanismo mediante el cual, un servidor público y la Institución en la que labora, acumulan recursos, adicionales a su pensión; mismo que se integra hasta por tres rubros, los cuales son los siguientes:</w:t>
      </w:r>
    </w:p>
    <w:p w:rsidR="005808FF" w:rsidRPr="00BB6E75" w:rsidRDefault="005808FF" w:rsidP="00A81C74">
      <w:pPr>
        <w:pStyle w:val="Prrafodelista"/>
        <w:spacing w:line="360" w:lineRule="auto"/>
        <w:ind w:left="0"/>
        <w:jc w:val="both"/>
        <w:rPr>
          <w:rFonts w:ascii="Palatino Linotype" w:hAnsi="Palatino Linotype" w:cs="Arial"/>
        </w:rPr>
      </w:pPr>
      <w:r w:rsidRPr="00BB6E75">
        <w:rPr>
          <w:rFonts w:ascii="Palatino Linotype" w:hAnsi="Palatino Linotype" w:cs="Arial"/>
        </w:rPr>
        <w:t>•</w:t>
      </w:r>
      <w:r w:rsidRPr="00BB6E75">
        <w:rPr>
          <w:rFonts w:ascii="Palatino Linotype" w:hAnsi="Palatino Linotype" w:cs="Arial"/>
        </w:rPr>
        <w:tab/>
        <w:t>Subcuenta de cuota obligatoria; que corresponde a un porcentaje del sueldo sujeto a cotización, que se descuenta al servir público de manera automática.</w:t>
      </w:r>
    </w:p>
    <w:p w:rsidR="005808FF" w:rsidRPr="00BB6E75" w:rsidRDefault="005808FF" w:rsidP="00A81C74">
      <w:pPr>
        <w:pStyle w:val="Prrafodelista"/>
        <w:spacing w:line="360" w:lineRule="auto"/>
        <w:ind w:left="0"/>
        <w:jc w:val="both"/>
        <w:rPr>
          <w:rFonts w:ascii="Palatino Linotype" w:hAnsi="Palatino Linotype" w:cs="Arial"/>
        </w:rPr>
      </w:pPr>
      <w:r w:rsidRPr="00BB6E75">
        <w:rPr>
          <w:rFonts w:ascii="Palatino Linotype" w:hAnsi="Palatino Linotype" w:cs="Arial"/>
        </w:rPr>
        <w:t>•</w:t>
      </w:r>
      <w:r w:rsidRPr="00BB6E75">
        <w:rPr>
          <w:rFonts w:ascii="Palatino Linotype" w:hAnsi="Palatino Linotype" w:cs="Arial"/>
        </w:rPr>
        <w:tab/>
        <w:t>Subcuenta de aportación obligatoria: que es la aportación que realiza la Institución a favor del servidor público, el cual equivale a un porcentaje del sueldo sujeto a cotización.</w:t>
      </w:r>
    </w:p>
    <w:p w:rsidR="005808FF" w:rsidRPr="00BB6E75" w:rsidRDefault="005808FF" w:rsidP="00A81C74">
      <w:pPr>
        <w:pStyle w:val="Prrafodelista"/>
        <w:spacing w:line="360" w:lineRule="auto"/>
        <w:ind w:left="0"/>
        <w:jc w:val="both"/>
        <w:rPr>
          <w:rFonts w:ascii="Palatino Linotype" w:hAnsi="Palatino Linotype" w:cs="Arial"/>
        </w:rPr>
      </w:pPr>
      <w:r w:rsidRPr="00BB6E75">
        <w:rPr>
          <w:rFonts w:ascii="Palatino Linotype" w:hAnsi="Palatino Linotype" w:cs="Arial"/>
        </w:rPr>
        <w:t>•</w:t>
      </w:r>
      <w:r w:rsidRPr="00BB6E75">
        <w:rPr>
          <w:rFonts w:ascii="Palatino Linotype" w:hAnsi="Palatino Linotype" w:cs="Arial"/>
        </w:rPr>
        <w:tab/>
        <w:t xml:space="preserve">Subcuenta voluntaria: que es la cantidad que cada servidor público decide ahorrar de acuerdo con sus aportaciones, permitiendo acumular mayores ingresos para su retiro.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hAnsi="Palatino Linotype" w:cs="Arial"/>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5808FF" w:rsidRPr="00BB6E75" w:rsidRDefault="005808FF" w:rsidP="00A81C74">
      <w:pPr>
        <w:pStyle w:val="Prrafodelista"/>
        <w:spacing w:line="360" w:lineRule="auto"/>
        <w:ind w:left="0"/>
        <w:jc w:val="both"/>
        <w:rPr>
          <w:rFonts w:ascii="Palatino Linotype" w:hAnsi="Palatino Linotype" w:cs="Arial"/>
          <w:i/>
        </w:rPr>
      </w:pPr>
      <w:r w:rsidRPr="00BB6E75">
        <w:rPr>
          <w:rFonts w:ascii="Palatino Linotype" w:hAnsi="Palatino Linotype" w:cs="Arial"/>
          <w:i/>
        </w:rPr>
        <w:lastRenderedPageBreak/>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w:t>
      </w:r>
      <w:r w:rsidRPr="00BB6E75">
        <w:rPr>
          <w:rFonts w:ascii="Palatino Linotype" w:hAnsi="Palatino Linotype" w:cs="Arial"/>
          <w:i/>
        </w:rPr>
        <w:lastRenderedPageBreak/>
        <w:t>II y 18, fracción II de la Ley Federal de Transparencia y Acceso a la Información Pública Gubernamental, debe clasificarse como confidencial.”</w:t>
      </w:r>
      <w:r w:rsidRPr="00BB6E75">
        <w:rPr>
          <w:rFonts w:ascii="Palatino Linotype" w:hAnsi="Palatino Linotype" w:cs="Arial"/>
        </w:rPr>
        <w:t xml:space="preserve"> </w:t>
      </w:r>
    </w:p>
    <w:p w:rsidR="005808FF" w:rsidRPr="00BB6E75" w:rsidRDefault="005808FF" w:rsidP="00A81C74">
      <w:pPr>
        <w:numPr>
          <w:ilvl w:val="0"/>
          <w:numId w:val="1"/>
        </w:numPr>
        <w:shd w:val="clear" w:color="auto" w:fill="FFFFFF"/>
        <w:spacing w:before="240" w:after="240" w:line="360" w:lineRule="auto"/>
        <w:ind w:left="0" w:firstLine="0"/>
        <w:jc w:val="both"/>
        <w:rPr>
          <w:rFonts w:ascii="Palatino Linotype" w:hAnsi="Palatino Linotype"/>
          <w:color w:val="222222"/>
        </w:rPr>
      </w:pPr>
      <w:r w:rsidRPr="00BB6E75">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262F40" w:rsidRPr="00BB6E75" w:rsidRDefault="00262F40" w:rsidP="00A81C74">
      <w:pPr>
        <w:keepNext/>
        <w:keepLines/>
        <w:spacing w:before="240" w:line="259" w:lineRule="auto"/>
        <w:outlineLvl w:val="0"/>
        <w:rPr>
          <w:rFonts w:ascii="Palatino Linotype" w:eastAsia="MS Gothic" w:hAnsi="Palatino Linotype"/>
          <w:b/>
          <w:color w:val="000000"/>
        </w:rPr>
      </w:pPr>
      <w:bookmarkStart w:id="15" w:name="_Toc96007420"/>
      <w:bookmarkStart w:id="16" w:name="_Toc98429042"/>
      <w:bookmarkStart w:id="17" w:name="_Toc98978657"/>
      <w:bookmarkStart w:id="18" w:name="_Toc102644153"/>
      <w:r w:rsidRPr="00BB6E75">
        <w:rPr>
          <w:rFonts w:ascii="Palatino Linotype" w:eastAsia="MS Gothic" w:hAnsi="Palatino Linotype"/>
          <w:b/>
          <w:color w:val="000000"/>
        </w:rPr>
        <w:t>a) Del nombre de policías.</w:t>
      </w:r>
      <w:bookmarkEnd w:id="15"/>
      <w:bookmarkEnd w:id="16"/>
      <w:bookmarkEnd w:id="17"/>
      <w:bookmarkEnd w:id="18"/>
      <w:r w:rsidRPr="00BB6E75">
        <w:rPr>
          <w:rFonts w:ascii="Palatino Linotype" w:eastAsia="MS Gothic" w:hAnsi="Palatino Linotype"/>
          <w:b/>
          <w:color w:val="000000"/>
        </w:rPr>
        <w:t xml:space="preserve"> </w:t>
      </w:r>
    </w:p>
    <w:p w:rsidR="00262F40" w:rsidRPr="00BB6E75" w:rsidRDefault="00262F40" w:rsidP="00A81C74">
      <w:pPr>
        <w:spacing w:after="160" w:line="259" w:lineRule="auto"/>
        <w:rPr>
          <w:rFonts w:ascii="Palatino Linotype" w:eastAsia="Calibri" w:hAnsi="Palatino Linotype"/>
        </w:rPr>
      </w:pPr>
    </w:p>
    <w:p w:rsidR="00262F40" w:rsidRPr="00BB6E75" w:rsidRDefault="00262F40" w:rsidP="00A81C74">
      <w:pPr>
        <w:pStyle w:val="Prrafodelista"/>
        <w:numPr>
          <w:ilvl w:val="0"/>
          <w:numId w:val="1"/>
        </w:numPr>
        <w:tabs>
          <w:tab w:val="left" w:pos="0"/>
        </w:tabs>
        <w:spacing w:before="240" w:after="240" w:line="360" w:lineRule="auto"/>
        <w:ind w:left="0" w:firstLine="0"/>
        <w:jc w:val="both"/>
        <w:rPr>
          <w:rFonts w:ascii="Palatino Linotype" w:eastAsia="Calibri" w:hAnsi="Palatino Linotype"/>
        </w:rPr>
      </w:pPr>
      <w:r w:rsidRPr="00BB6E75">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262F40" w:rsidRPr="00BB6E75" w:rsidRDefault="00262F40" w:rsidP="00A81C74">
      <w:pPr>
        <w:numPr>
          <w:ilvl w:val="0"/>
          <w:numId w:val="1"/>
        </w:numPr>
        <w:tabs>
          <w:tab w:val="left" w:pos="0"/>
        </w:tabs>
        <w:spacing w:before="240" w:after="240" w:line="360" w:lineRule="auto"/>
        <w:ind w:left="0" w:firstLine="0"/>
        <w:contextualSpacing/>
        <w:jc w:val="both"/>
        <w:rPr>
          <w:rFonts w:ascii="Palatino Linotype" w:eastAsia="Calibri" w:hAnsi="Palatino Linotype"/>
        </w:rPr>
      </w:pPr>
      <w:r w:rsidRPr="00BB6E75">
        <w:rPr>
          <w:rFonts w:ascii="Palatino Linotype" w:eastAsia="Calibri" w:hAnsi="Palatino Linotype"/>
        </w:rPr>
        <w:t>En efecto</w:t>
      </w:r>
      <w:r w:rsidRPr="00BB6E75">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262F40" w:rsidRPr="00BB6E75" w:rsidRDefault="00262F40" w:rsidP="00A81C74">
      <w:pPr>
        <w:spacing w:line="360" w:lineRule="auto"/>
        <w:rPr>
          <w:rFonts w:ascii="Palatino Linotype" w:hAnsi="Palatino Linotype"/>
        </w:rPr>
      </w:pPr>
    </w:p>
    <w:p w:rsidR="00262F40" w:rsidRPr="00BB6E75" w:rsidRDefault="00262F40" w:rsidP="00A81C74">
      <w:pPr>
        <w:spacing w:before="240" w:after="240" w:line="360" w:lineRule="auto"/>
        <w:contextualSpacing/>
        <w:jc w:val="both"/>
        <w:rPr>
          <w:rFonts w:ascii="Palatino Linotype" w:hAnsi="Palatino Linotype"/>
          <w:i/>
        </w:rPr>
      </w:pPr>
      <w:r w:rsidRPr="00BB6E75">
        <w:rPr>
          <w:rFonts w:ascii="Palatino Linotype" w:hAnsi="Palatino Linotype"/>
          <w:b/>
          <w:i/>
        </w:rPr>
        <w:t>“Artículo 140.</w:t>
      </w:r>
      <w:r w:rsidRPr="00BB6E75">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rsidR="00262F40" w:rsidRPr="00BB6E75" w:rsidRDefault="00262F40" w:rsidP="00A81C74">
      <w:pPr>
        <w:spacing w:before="240" w:after="240" w:line="360" w:lineRule="auto"/>
        <w:contextualSpacing/>
        <w:jc w:val="both"/>
        <w:rPr>
          <w:rFonts w:ascii="Palatino Linotype" w:hAnsi="Palatino Linotype"/>
          <w:i/>
        </w:rPr>
      </w:pPr>
      <w:r w:rsidRPr="00BB6E75">
        <w:rPr>
          <w:rFonts w:ascii="Palatino Linotype" w:hAnsi="Palatino Linotype"/>
          <w:i/>
        </w:rPr>
        <w:t xml:space="preserve">I. Comprometa la seguridad pública y cuente con un propósito genuino y un efecto demostrable; </w:t>
      </w:r>
    </w:p>
    <w:p w:rsidR="00262F40" w:rsidRPr="00BB6E75" w:rsidRDefault="00262F40" w:rsidP="00A81C74">
      <w:pPr>
        <w:spacing w:before="240" w:after="240" w:line="360" w:lineRule="auto"/>
        <w:contextualSpacing/>
        <w:jc w:val="both"/>
        <w:rPr>
          <w:rFonts w:ascii="Palatino Linotype" w:hAnsi="Palatino Linotype"/>
          <w:i/>
        </w:rPr>
      </w:pPr>
      <w:r w:rsidRPr="00BB6E75">
        <w:rPr>
          <w:rFonts w:ascii="Palatino Linotype" w:hAnsi="Palatino Linotype"/>
          <w:i/>
        </w:rPr>
        <w:t xml:space="preserve">II. Pueda menoscabar la conducción de las negociaciones y relaciones internacionales; </w:t>
      </w:r>
    </w:p>
    <w:p w:rsidR="00262F40" w:rsidRPr="00BB6E75" w:rsidRDefault="00262F40" w:rsidP="00A81C74">
      <w:pPr>
        <w:spacing w:before="240" w:after="240" w:line="360" w:lineRule="auto"/>
        <w:contextualSpacing/>
        <w:jc w:val="both"/>
        <w:rPr>
          <w:rFonts w:ascii="Palatino Linotype" w:hAnsi="Palatino Linotype"/>
          <w:i/>
        </w:rPr>
      </w:pPr>
      <w:r w:rsidRPr="00BB6E75">
        <w:rPr>
          <w:rFonts w:ascii="Palatino Linotype" w:hAnsi="Palatino Linotype"/>
          <w:i/>
        </w:rPr>
        <w:lastRenderedPageBreak/>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62F40" w:rsidRPr="00BB6E75" w:rsidRDefault="00262F40" w:rsidP="00A81C74">
      <w:pPr>
        <w:spacing w:before="240" w:after="240" w:line="360" w:lineRule="auto"/>
        <w:contextualSpacing/>
        <w:jc w:val="both"/>
        <w:rPr>
          <w:rFonts w:ascii="Palatino Linotype" w:hAnsi="Palatino Linotype"/>
          <w:b/>
          <w:i/>
        </w:rPr>
      </w:pPr>
      <w:r w:rsidRPr="00BB6E75">
        <w:rPr>
          <w:rFonts w:ascii="Palatino Linotype" w:hAnsi="Palatino Linotype"/>
          <w:b/>
          <w:i/>
        </w:rPr>
        <w:t>IV. Ponga en riesgo la vida, la seguridad o la salud de una persona física;</w:t>
      </w:r>
    </w:p>
    <w:p w:rsidR="00262F40" w:rsidRPr="00BB6E75" w:rsidRDefault="00262F40" w:rsidP="00A81C74">
      <w:pPr>
        <w:spacing w:before="240" w:after="240" w:line="360" w:lineRule="auto"/>
        <w:contextualSpacing/>
        <w:jc w:val="both"/>
        <w:rPr>
          <w:rFonts w:ascii="Palatino Linotype" w:eastAsia="Calibri" w:hAnsi="Palatino Linotype"/>
          <w:i/>
        </w:rPr>
      </w:pPr>
      <w:r w:rsidRPr="00BB6E75">
        <w:rPr>
          <w:rFonts w:ascii="Palatino Linotype" w:hAnsi="Palatino Linotype"/>
          <w:i/>
        </w:rPr>
        <w:t xml:space="preserve"> (…)” (Sic)</w:t>
      </w:r>
    </w:p>
    <w:p w:rsidR="00262F40" w:rsidRPr="00BB6E75" w:rsidRDefault="00262F40" w:rsidP="00A81C74">
      <w:pPr>
        <w:spacing w:before="240" w:after="240" w:line="360" w:lineRule="auto"/>
        <w:contextualSpacing/>
        <w:jc w:val="both"/>
        <w:rPr>
          <w:rFonts w:ascii="Palatino Linotype" w:eastAsia="Calibri" w:hAnsi="Palatino Linotype"/>
        </w:rPr>
      </w:pPr>
    </w:p>
    <w:p w:rsidR="00262F40" w:rsidRPr="00BB6E75" w:rsidRDefault="00262F40" w:rsidP="00A81C74">
      <w:pPr>
        <w:numPr>
          <w:ilvl w:val="0"/>
          <w:numId w:val="1"/>
        </w:numPr>
        <w:tabs>
          <w:tab w:val="left" w:pos="0"/>
        </w:tabs>
        <w:spacing w:after="160" w:line="360" w:lineRule="auto"/>
        <w:ind w:left="0" w:firstLine="0"/>
        <w:contextualSpacing/>
        <w:jc w:val="both"/>
        <w:rPr>
          <w:rFonts w:ascii="Palatino Linotype" w:hAnsi="Palatino Linotype"/>
        </w:rPr>
      </w:pPr>
      <w:r w:rsidRPr="00BB6E75">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BB6E75">
        <w:rPr>
          <w:rFonts w:ascii="Palatino Linotype" w:hAnsi="Palatino Linotype" w:cs="Tahoma"/>
          <w:bCs/>
        </w:rPr>
        <w:t xml:space="preserve">; así, dicha información puede ser utilizada para </w:t>
      </w:r>
      <w:r w:rsidRPr="00BB6E75">
        <w:rPr>
          <w:rFonts w:ascii="Palatino Linotype" w:hAnsi="Palatino Linotype" w:cs="Tahoma"/>
          <w:b/>
          <w:bCs/>
        </w:rPr>
        <w:t xml:space="preserve">vulnerar la vida, seguridad o salud de dichos elementos, incluso la de sus familias o entorno social, </w:t>
      </w:r>
      <w:r w:rsidRPr="00BB6E75">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262F40" w:rsidRPr="00BB6E75" w:rsidRDefault="00262F40" w:rsidP="00A81C74">
      <w:pPr>
        <w:spacing w:line="360" w:lineRule="auto"/>
        <w:contextualSpacing/>
        <w:jc w:val="both"/>
        <w:rPr>
          <w:rFonts w:ascii="Palatino Linotype" w:hAnsi="Palatino Linotype"/>
        </w:rPr>
      </w:pPr>
    </w:p>
    <w:p w:rsidR="00262F40" w:rsidRPr="00BB6E75" w:rsidRDefault="00262F40" w:rsidP="00A81C74">
      <w:pPr>
        <w:numPr>
          <w:ilvl w:val="0"/>
          <w:numId w:val="1"/>
        </w:numPr>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rsidR="00262F40" w:rsidRPr="00BB6E75" w:rsidRDefault="00262F40" w:rsidP="00A81C74">
      <w:pPr>
        <w:spacing w:line="360" w:lineRule="auto"/>
        <w:rPr>
          <w:rFonts w:ascii="Palatino Linotype" w:eastAsia="Calibri" w:hAnsi="Palatino Linotype" w:cs="Tahoma"/>
          <w:bCs/>
        </w:rPr>
      </w:pPr>
    </w:p>
    <w:p w:rsidR="00262F40" w:rsidRPr="00BB6E75" w:rsidRDefault="00262F40" w:rsidP="00A81C74">
      <w:pPr>
        <w:numPr>
          <w:ilvl w:val="0"/>
          <w:numId w:val="1"/>
        </w:numPr>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w:t>
      </w:r>
      <w:r w:rsidRPr="00BB6E75">
        <w:rPr>
          <w:rFonts w:ascii="Palatino Linotype" w:eastAsia="Calibri" w:hAnsi="Palatino Linotype" w:cs="Tahoma"/>
          <w:bCs/>
        </w:rPr>
        <w:lastRenderedPageBreak/>
        <w:t xml:space="preserve">determinarse de manera directa, pudiéndose ocasionar riesgos por la posible utilización y difusión de la información por grupos delictivos. </w:t>
      </w:r>
    </w:p>
    <w:p w:rsidR="00262F40" w:rsidRPr="00BB6E75" w:rsidRDefault="00262F40" w:rsidP="00A81C74">
      <w:pPr>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BB6E75">
        <w:rPr>
          <w:rFonts w:ascii="Palatino Linotype" w:eastAsia="Calibri" w:hAnsi="Palatino Linotype" w:cs="Tahoma"/>
          <w:b/>
          <w:bCs/>
        </w:rPr>
        <w:t xml:space="preserve"> SUJETO OBLIGADO</w:t>
      </w:r>
      <w:r w:rsidRPr="00BB6E75">
        <w:rPr>
          <w:rFonts w:ascii="Palatino Linotype" w:eastAsia="Calibri" w:hAnsi="Palatino Linotype" w:cs="Tahoma"/>
          <w:bCs/>
        </w:rPr>
        <w:t>, colocando en inminente riesgo la vida de todos los integrantes, menoscabando así las actividades de prevención del delito y combate a la delincuencia.</w:t>
      </w:r>
    </w:p>
    <w:p w:rsidR="00262F40" w:rsidRPr="00BB6E75" w:rsidRDefault="00262F40" w:rsidP="00A81C74">
      <w:pPr>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262F40" w:rsidRPr="00BB6E75" w:rsidRDefault="00262F40" w:rsidP="00A81C74">
      <w:pPr>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 xml:space="preserve">El dar el nombre de los servidores públicos operativos de la Comisaría de Seguridad Pública y Vialidad del Ayuntamiento de Melchor Ocampo pone en riesgo sus vidas y seguridad, ya que pueden ser identificarles, provocando que se utilice la información para amenazar, intimidar o extorsionar al integrante.  </w:t>
      </w:r>
    </w:p>
    <w:p w:rsidR="00262F40" w:rsidRPr="00BB6E75" w:rsidRDefault="00262F40" w:rsidP="00A81C74">
      <w:pPr>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lastRenderedPageBreak/>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262F40" w:rsidRPr="00BB6E75" w:rsidRDefault="00262F40" w:rsidP="00A81C74">
      <w:pPr>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262F40" w:rsidRPr="00BB6E75" w:rsidRDefault="00262F40" w:rsidP="00A81C74">
      <w:pPr>
        <w:tabs>
          <w:tab w:val="left" w:pos="0"/>
        </w:tabs>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BB6E75">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262F40" w:rsidRPr="00BB6E75" w:rsidRDefault="00262F40" w:rsidP="00A81C74">
      <w:pPr>
        <w:tabs>
          <w:tab w:val="left" w:pos="0"/>
        </w:tabs>
        <w:spacing w:line="360" w:lineRule="auto"/>
        <w:contextualSpacing/>
        <w:jc w:val="both"/>
        <w:rPr>
          <w:rFonts w:ascii="Palatino Linotype" w:eastAsia="Calibri" w:hAnsi="Palatino Linotype" w:cs="Tahoma"/>
          <w:bCs/>
        </w:rPr>
      </w:pPr>
    </w:p>
    <w:p w:rsidR="00262F40" w:rsidRPr="00BB6E75" w:rsidRDefault="00262F40" w:rsidP="00A81C74">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BB6E75">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262F40" w:rsidRPr="00BB6E75" w:rsidRDefault="00262F40" w:rsidP="00A81C74">
      <w:pPr>
        <w:spacing w:line="360" w:lineRule="auto"/>
        <w:contextualSpacing/>
        <w:jc w:val="both"/>
        <w:rPr>
          <w:rFonts w:ascii="Palatino Linotype" w:eastAsia="MS Mincho" w:hAnsi="Palatino Linotype" w:cs="Arial"/>
          <w:i/>
          <w:lang w:val="es-ES_tradnl"/>
        </w:rPr>
      </w:pPr>
    </w:p>
    <w:p w:rsidR="00262F40" w:rsidRPr="00BB6E75" w:rsidRDefault="00262F40" w:rsidP="00A81C74">
      <w:pPr>
        <w:spacing w:line="360" w:lineRule="auto"/>
        <w:contextualSpacing/>
        <w:jc w:val="both"/>
        <w:rPr>
          <w:rFonts w:ascii="Palatino Linotype" w:eastAsia="MS Mincho" w:hAnsi="Palatino Linotype" w:cs="Arial"/>
          <w:i/>
          <w:lang w:val="es-ES_tradnl"/>
        </w:rPr>
      </w:pPr>
      <w:r w:rsidRPr="00BB6E75">
        <w:rPr>
          <w:rFonts w:ascii="Palatino Linotype" w:eastAsia="MS Mincho" w:hAnsi="Palatino Linotype" w:cs="Arial"/>
          <w:i/>
          <w:lang w:val="es-ES_tradnl"/>
        </w:rPr>
        <w:t>“</w:t>
      </w:r>
      <w:r w:rsidRPr="00BB6E75">
        <w:rPr>
          <w:rFonts w:ascii="Palatino Linotype" w:eastAsia="MS Mincho" w:hAnsi="Palatino Linotype" w:cs="Arial"/>
          <w:b/>
          <w:i/>
          <w:lang w:val="es-ES_tradnl"/>
        </w:rPr>
        <w:t>Artículo 81.-</w:t>
      </w:r>
      <w:r w:rsidRPr="00BB6E75">
        <w:rPr>
          <w:rFonts w:ascii="Palatino Linotype" w:eastAsia="MS Mincho" w:hAnsi="Palatino Linotype" w:cs="Arial"/>
          <w:i/>
          <w:lang w:val="es-ES_tradnl"/>
        </w:rPr>
        <w:t xml:space="preserve"> </w:t>
      </w:r>
      <w:r w:rsidRPr="00BB6E75">
        <w:rPr>
          <w:rFonts w:ascii="Palatino Linotype" w:eastAsia="MS Mincho" w:hAnsi="Palatino Linotype" w:cs="Arial"/>
          <w:b/>
          <w:i/>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BB6E75">
        <w:rPr>
          <w:rFonts w:ascii="Palatino Linotype" w:eastAsia="MS Mincho" w:hAnsi="Palatino Linotype" w:cs="Arial"/>
          <w:i/>
          <w:lang w:val="es-ES_tradnl"/>
        </w:rPr>
        <w:t xml:space="preserve"> en los casos siguientes:</w:t>
      </w:r>
    </w:p>
    <w:p w:rsidR="00262F40" w:rsidRPr="00BB6E75" w:rsidRDefault="00262F40" w:rsidP="00A81C74">
      <w:pPr>
        <w:spacing w:line="360" w:lineRule="auto"/>
        <w:contextualSpacing/>
        <w:jc w:val="both"/>
        <w:rPr>
          <w:rFonts w:ascii="Palatino Linotype" w:eastAsia="MS Mincho" w:hAnsi="Palatino Linotype" w:cs="Arial"/>
          <w:i/>
          <w:lang w:val="es-ES_tradnl"/>
        </w:rPr>
      </w:pPr>
      <w:r w:rsidRPr="00BB6E75">
        <w:rPr>
          <w:rFonts w:ascii="Palatino Linotype" w:eastAsia="MS Mincho" w:hAnsi="Palatino Linotype" w:cs="Arial"/>
          <w:i/>
          <w:lang w:val="es-ES_tradnl"/>
        </w:rPr>
        <w:t>…</w:t>
      </w:r>
    </w:p>
    <w:p w:rsidR="00262F40" w:rsidRPr="00BB6E75" w:rsidRDefault="00262F40" w:rsidP="00A81C74">
      <w:pPr>
        <w:spacing w:line="360" w:lineRule="auto"/>
        <w:contextualSpacing/>
        <w:jc w:val="both"/>
        <w:rPr>
          <w:rFonts w:ascii="Palatino Linotype" w:eastAsia="MS Mincho" w:hAnsi="Palatino Linotype" w:cs="Arial"/>
          <w:i/>
          <w:lang w:val="es-ES_tradnl"/>
        </w:rPr>
      </w:pPr>
      <w:r w:rsidRPr="00BB6E75">
        <w:rPr>
          <w:rFonts w:ascii="Palatino Linotype" w:eastAsia="MS Mincho" w:hAnsi="Palatino Linotype" w:cs="Arial"/>
          <w:b/>
          <w:i/>
          <w:lang w:val="es-ES_tradnl"/>
        </w:rPr>
        <w:t>III.</w:t>
      </w:r>
      <w:r w:rsidRPr="00BB6E75">
        <w:rPr>
          <w:rFonts w:ascii="Palatino Linotype" w:eastAsia="MS Mincho" w:hAnsi="Palatino Linotype" w:cs="Arial"/>
          <w:i/>
          <w:lang w:val="es-ES_tradnl"/>
        </w:rPr>
        <w:t xml:space="preserve"> </w:t>
      </w:r>
      <w:r w:rsidRPr="00BB6E75">
        <w:rPr>
          <w:rFonts w:ascii="Palatino Linotype" w:eastAsia="MS Mincho" w:hAnsi="Palatino Linotype" w:cs="Arial"/>
          <w:b/>
          <w:i/>
          <w:lang w:val="es-ES_tradnl"/>
        </w:rPr>
        <w:t>La relativa a servidores públicos miembros de las instituciones de seguridad pública, cuya revelación pueda poner en riesgo su vida e integridad física con motivo de sus funciones;</w:t>
      </w:r>
      <w:r w:rsidRPr="00BB6E75">
        <w:rPr>
          <w:rFonts w:ascii="Palatino Linotype" w:eastAsia="MS Mincho" w:hAnsi="Palatino Linotype" w:cs="Arial"/>
          <w:i/>
          <w:lang w:val="es-ES_tradnl"/>
        </w:rPr>
        <w:t>”</w:t>
      </w:r>
    </w:p>
    <w:p w:rsidR="00262F40" w:rsidRPr="00BB6E75" w:rsidRDefault="00262F40" w:rsidP="00A81C74">
      <w:pPr>
        <w:spacing w:line="360" w:lineRule="auto"/>
        <w:contextualSpacing/>
        <w:jc w:val="both"/>
        <w:rPr>
          <w:rFonts w:ascii="Palatino Linotype" w:eastAsia="MS Mincho" w:hAnsi="Palatino Linotype" w:cs="Arial"/>
          <w:lang w:val="es-ES_tradnl"/>
        </w:rPr>
      </w:pPr>
      <w:r w:rsidRPr="00BB6E75">
        <w:rPr>
          <w:rFonts w:ascii="Palatino Linotype" w:eastAsia="MS Mincho" w:hAnsi="Palatino Linotype" w:cs="Arial"/>
          <w:lang w:val="es-ES_tradnl"/>
        </w:rPr>
        <w:t>(Énfasis añadido)</w:t>
      </w:r>
    </w:p>
    <w:p w:rsidR="00262F40" w:rsidRPr="00BB6E75" w:rsidRDefault="00262F40" w:rsidP="00A81C74">
      <w:pPr>
        <w:spacing w:line="360" w:lineRule="auto"/>
        <w:contextualSpacing/>
        <w:jc w:val="both"/>
        <w:rPr>
          <w:rFonts w:ascii="Palatino Linotype" w:eastAsia="MS Mincho" w:hAnsi="Palatino Linotype" w:cs="Arial"/>
        </w:rPr>
      </w:pPr>
    </w:p>
    <w:p w:rsidR="00262F40" w:rsidRPr="00BB6E75" w:rsidRDefault="00262F40" w:rsidP="00A81C74">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BB6E75">
        <w:rPr>
          <w:rFonts w:ascii="Palatino Linotype" w:hAnsi="Palatino Linotype" w:cs="Arial"/>
        </w:rPr>
        <w:t>Argumento que se fortalece con lo estipulado en el criterio número 6-09, del Instituto Nacional de Transparencia, Acceso a la Información y Protección de Datos Personales, antes (INAI)</w:t>
      </w:r>
      <w:r w:rsidRPr="00BB6E75">
        <w:rPr>
          <w:rFonts w:ascii="Palatino Linotype" w:hAnsi="Palatino Linotype" w:cs="Arial"/>
          <w:b/>
          <w:bCs/>
        </w:rPr>
        <w:t xml:space="preserve">, </w:t>
      </w:r>
      <w:r w:rsidRPr="00BB6E75">
        <w:rPr>
          <w:rFonts w:ascii="Palatino Linotype" w:hAnsi="Palatino Linotype" w:cs="Arial"/>
        </w:rPr>
        <w:t xml:space="preserve">el cual refiere: </w:t>
      </w:r>
    </w:p>
    <w:p w:rsidR="00262F40" w:rsidRPr="00BB6E75" w:rsidRDefault="00262F40" w:rsidP="00A81C74">
      <w:pPr>
        <w:spacing w:line="360" w:lineRule="auto"/>
        <w:jc w:val="both"/>
        <w:rPr>
          <w:rFonts w:ascii="Palatino Linotype" w:hAnsi="Palatino Linotype" w:cs="Arial"/>
        </w:rPr>
      </w:pPr>
    </w:p>
    <w:p w:rsidR="00262F40" w:rsidRPr="00BB6E75" w:rsidRDefault="00262F40" w:rsidP="00A81C74">
      <w:pPr>
        <w:autoSpaceDE w:val="0"/>
        <w:autoSpaceDN w:val="0"/>
        <w:adjustRightInd w:val="0"/>
        <w:spacing w:line="360" w:lineRule="auto"/>
        <w:contextualSpacing/>
        <w:jc w:val="center"/>
        <w:rPr>
          <w:rFonts w:ascii="Palatino Linotype" w:hAnsi="Palatino Linotype" w:cs="Arial"/>
          <w:i/>
        </w:rPr>
      </w:pPr>
      <w:r w:rsidRPr="00BB6E75">
        <w:rPr>
          <w:rFonts w:ascii="Palatino Linotype" w:hAnsi="Palatino Linotype" w:cs="Arial"/>
          <w:b/>
          <w:bCs/>
          <w:i/>
        </w:rPr>
        <w:t>“Criterio 6-09</w:t>
      </w:r>
    </w:p>
    <w:p w:rsidR="00262F40" w:rsidRPr="00BB6E75" w:rsidRDefault="00262F40" w:rsidP="00A81C74">
      <w:pPr>
        <w:autoSpaceDE w:val="0"/>
        <w:autoSpaceDN w:val="0"/>
        <w:adjustRightInd w:val="0"/>
        <w:spacing w:line="360" w:lineRule="auto"/>
        <w:contextualSpacing/>
        <w:jc w:val="both"/>
        <w:rPr>
          <w:rFonts w:ascii="Palatino Linotype" w:hAnsi="Palatino Linotype" w:cs="Arial"/>
          <w:i/>
        </w:rPr>
      </w:pPr>
      <w:r w:rsidRPr="00BB6E75">
        <w:rPr>
          <w:rFonts w:ascii="Palatino Linotype" w:hAnsi="Palatino Linotype" w:cs="Arial"/>
          <w:b/>
          <w:bCs/>
          <w:i/>
        </w:rPr>
        <w:t xml:space="preserve">Nombres de servidores públicos dedicados a actividades en materia de seguridad, por excepción pueden considerarse información reservada. </w:t>
      </w:r>
      <w:r w:rsidRPr="00BB6E75">
        <w:rPr>
          <w:rFonts w:ascii="Palatino Linotype" w:hAnsi="Palatino Linotype" w:cs="Arial"/>
          <w:bCs/>
          <w:i/>
        </w:rPr>
        <w:t xml:space="preserve">De conformidad con el artículo 7, fracciones I y III de la Ley Federal de Transparencia y Acceso a la Información Pública Gubernamental </w:t>
      </w:r>
      <w:r w:rsidRPr="00BB6E75">
        <w:rPr>
          <w:rFonts w:ascii="Palatino Linotype" w:hAnsi="Palatino Linotype" w:cs="Arial"/>
          <w:b/>
          <w:bCs/>
          <w:i/>
        </w:rPr>
        <w:t xml:space="preserve">el nombre de los servidores públicos es información de naturaleza pública. No obstante lo anterior, el mismo precepto establece la posibilidad de que existan </w:t>
      </w:r>
      <w:r w:rsidRPr="00BB6E75">
        <w:rPr>
          <w:rFonts w:ascii="Palatino Linotype" w:hAnsi="Palatino Linotype" w:cs="Arial"/>
          <w:b/>
          <w:bCs/>
          <w:i/>
        </w:rPr>
        <w:lastRenderedPageBreak/>
        <w:t>excepciones a las obligaciones ahí establecidas cuando la información actualice algunos de los supuestos de reserva o confidencialidad previstos en los artículos 13, 14 y 18 de la citada ley</w:t>
      </w:r>
      <w:r w:rsidRPr="00BB6E75">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BB6E75">
        <w:rPr>
          <w:rFonts w:ascii="Palatino Linotype" w:hAnsi="Palatino Linotype" w:cs="Arial"/>
          <w:b/>
          <w:bCs/>
          <w:i/>
        </w:rPr>
        <w:t>el artículo 13, fracción I de la ley de referencia se establece que podrá clasificarse aquella información cuya difusión pueda comprometer la seguridad nacional y pública</w:t>
      </w:r>
      <w:r w:rsidRPr="00BB6E75">
        <w:rPr>
          <w:rFonts w:ascii="Palatino Linotype" w:hAnsi="Palatino Linotype" w:cs="Arial"/>
          <w:bCs/>
          <w:i/>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BB6E75">
        <w:rPr>
          <w:rFonts w:ascii="Palatino Linotype" w:hAnsi="Palatino Linotype" w:cs="Arial"/>
          <w:b/>
          <w:bCs/>
          <w:i/>
        </w:rPr>
        <w:t>por lo que la reserva de la relación de los nombres y las funciones que desempeñan los servidores públicos que prestan sus servicios en áreas de seguridad nacional o pública</w:t>
      </w:r>
      <w:r w:rsidRPr="00BB6E75">
        <w:rPr>
          <w:rFonts w:ascii="Palatino Linotype" w:hAnsi="Palatino Linotype" w:cs="Arial"/>
          <w:bCs/>
          <w:i/>
        </w:rPr>
        <w:t>, puede llegar a constituirse en un componente fundamental en el esfuerzo que realiza el Estado Mexicano para garantizar la seguridad del país en sus diferentes vertientes</w:t>
      </w:r>
      <w:r w:rsidRPr="00BB6E75">
        <w:rPr>
          <w:rFonts w:ascii="Palatino Linotype" w:hAnsi="Palatino Linotype" w:cs="Arial"/>
          <w:i/>
        </w:rPr>
        <w:t>” (Sic)</w:t>
      </w:r>
    </w:p>
    <w:p w:rsidR="00262F40" w:rsidRPr="00BB6E75" w:rsidRDefault="00262F40" w:rsidP="00A81C74">
      <w:pPr>
        <w:tabs>
          <w:tab w:val="left" w:pos="3583"/>
        </w:tabs>
        <w:autoSpaceDE w:val="0"/>
        <w:autoSpaceDN w:val="0"/>
        <w:adjustRightInd w:val="0"/>
        <w:spacing w:line="360" w:lineRule="auto"/>
        <w:contextualSpacing/>
        <w:jc w:val="both"/>
        <w:rPr>
          <w:rFonts w:ascii="Palatino Linotype" w:hAnsi="Palatino Linotype" w:cs="Arial"/>
        </w:rPr>
      </w:pPr>
      <w:r w:rsidRPr="00BB6E75">
        <w:rPr>
          <w:rFonts w:ascii="Palatino Linotype" w:hAnsi="Palatino Linotype" w:cs="Arial"/>
        </w:rPr>
        <w:t>(Énfasis añadido).</w:t>
      </w:r>
    </w:p>
    <w:p w:rsidR="00262F40" w:rsidRPr="00BB6E75" w:rsidRDefault="00262F40" w:rsidP="00A81C74">
      <w:pPr>
        <w:spacing w:before="240" w:after="240" w:line="360" w:lineRule="auto"/>
        <w:contextualSpacing/>
        <w:jc w:val="both"/>
        <w:rPr>
          <w:rFonts w:ascii="Palatino Linotype" w:eastAsia="Calibri" w:hAnsi="Palatino Linotype"/>
        </w:rPr>
      </w:pPr>
    </w:p>
    <w:p w:rsidR="00262F40" w:rsidRPr="00BB6E75" w:rsidRDefault="00262F40" w:rsidP="00A81C74">
      <w:pPr>
        <w:numPr>
          <w:ilvl w:val="0"/>
          <w:numId w:val="1"/>
        </w:numPr>
        <w:spacing w:before="240" w:after="240" w:line="360" w:lineRule="auto"/>
        <w:ind w:left="0" w:firstLine="0"/>
        <w:contextualSpacing/>
        <w:jc w:val="both"/>
        <w:rPr>
          <w:rFonts w:ascii="Palatino Linotype" w:eastAsia="Calibri" w:hAnsi="Palatino Linotype"/>
        </w:rPr>
      </w:pPr>
      <w:r w:rsidRPr="00BB6E75">
        <w:rPr>
          <w:rFonts w:ascii="Palatino Linotype" w:hAnsi="Palatino Linotype"/>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BB6E75">
        <w:rPr>
          <w:rFonts w:ascii="Palatino Linotype" w:hAnsi="Palatino Linotype"/>
          <w:b/>
        </w:rPr>
        <w:t>SUJETO OBLIGADO</w:t>
      </w:r>
      <w:r w:rsidRPr="00BB6E75">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w:t>
      </w:r>
      <w:r w:rsidRPr="00BB6E75">
        <w:rPr>
          <w:rFonts w:ascii="Palatino Linotype" w:hAnsi="Palatino Linotype"/>
        </w:rPr>
        <w:lastRenderedPageBreak/>
        <w:t xml:space="preserve">Municipios, así como los numerales del Cuarto al Décimo Primero de los Lineamientos Generales en materia de Clasificación y Desclasificación de la Información, así como para la elaboración de Versiones Públicas, que literalmente expresan: </w:t>
      </w:r>
    </w:p>
    <w:p w:rsidR="00262F40" w:rsidRPr="00BB6E75" w:rsidRDefault="00262F40" w:rsidP="00A81C74">
      <w:pPr>
        <w:spacing w:line="360" w:lineRule="auto"/>
        <w:contextualSpacing/>
        <w:jc w:val="both"/>
        <w:rPr>
          <w:rFonts w:ascii="Palatino Linotype" w:hAnsi="Palatino Linotype"/>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“Artículo 49</w:t>
      </w:r>
      <w:r w:rsidRPr="00BB6E75">
        <w:rPr>
          <w:rFonts w:ascii="Palatino Linotype" w:hAnsi="Palatino Linotype"/>
          <w:i/>
        </w:rPr>
        <w:t xml:space="preserve">. Los Comités de Transparencia tendrán las siguientes atribuciones: </w:t>
      </w: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VIII. Aprobar, modificar o revocar la clasificación de la información;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Artículo 132</w:t>
      </w:r>
      <w:r w:rsidRPr="00BB6E75">
        <w:rPr>
          <w:rFonts w:ascii="Palatino Linotype" w:hAnsi="Palatino Linotype"/>
          <w:i/>
        </w:rPr>
        <w:t xml:space="preserve">. La clasificación de la información se llevará a cabo en el momento en que: </w:t>
      </w: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I. Se reciba una solicitud de acceso a la información; </w:t>
      </w: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II. Se determine mediante resolución de autoridad competente; o </w:t>
      </w: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III. Se generen versiones públicas para dar cumplimiento a las obligaciones de transparencia previstas en esta Ley.”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Cuarto.</w:t>
      </w:r>
      <w:r w:rsidRPr="00BB6E75">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Quinto.</w:t>
      </w:r>
      <w:r w:rsidRPr="00BB6E75">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w:t>
      </w:r>
      <w:r w:rsidRPr="00BB6E75">
        <w:rPr>
          <w:rFonts w:ascii="Palatino Linotype" w:hAnsi="Palatino Linotype"/>
          <w:i/>
        </w:rPr>
        <w:lastRenderedPageBreak/>
        <w:t>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Sexto.</w:t>
      </w:r>
      <w:r w:rsidRPr="00BB6E75">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La clasificación de información se realizará conforme a un análisis caso por caso, mediante la aplicación de la prueba de daño y de interés público.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Séptimo.</w:t>
      </w:r>
      <w:r w:rsidRPr="00BB6E75">
        <w:rPr>
          <w:rFonts w:ascii="Palatino Linotype" w:hAnsi="Palatino Linotype"/>
          <w:i/>
        </w:rPr>
        <w:t xml:space="preserve"> La clasificación de la información se llevará a cabo en el momento en que: I. Se reciba una solicitud de acceso a la información;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II. Se determine mediante resolución de autoridad competente, o </w:t>
      </w: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III. Se generen versiones públicas para dar cumplimiento a las obligaciones de transparencia previstas en la Ley General, la Ley Federal y las correspondientes de las entidades federativas.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Los titulares de las áreas deberán revisar la clasificación al momento de la recepción de una solicitud de acceso a la información, para verificar si encuadra en una causal de reserva o de confidencialidad.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Octavo.</w:t>
      </w:r>
      <w:r w:rsidRPr="00BB6E75">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lastRenderedPageBreak/>
        <w:t xml:space="preserve">Para motivar la clasificación se deberán señalar las razones o circunstancias especiales que lo llevaron a concluir que el caso particular se ajusta al supuesto previsto por la norma legal invocada como fundamento.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En caso de referirse a información reservada, la motivación de la clasificación también deberá comprender las circunstancias que justifican el establecimiento de determinado plazo de reserva.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Décimo</w:t>
      </w:r>
      <w:r w:rsidRPr="00BB6E75">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i/>
        </w:rPr>
        <w:lastRenderedPageBreak/>
        <w:t xml:space="preserve">En ausencia de los titulares de las áreas, la información será clasificada o desclasificada por la persona que lo supla, en términos de la normativa que rija la actuación del sujeto obligado.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spacing w:line="360" w:lineRule="auto"/>
        <w:contextualSpacing/>
        <w:jc w:val="both"/>
        <w:rPr>
          <w:rFonts w:ascii="Palatino Linotype" w:hAnsi="Palatino Linotype"/>
          <w:i/>
        </w:rPr>
      </w:pPr>
      <w:r w:rsidRPr="00BB6E75">
        <w:rPr>
          <w:rFonts w:ascii="Palatino Linotype" w:hAnsi="Palatino Linotype"/>
          <w:b/>
          <w:i/>
        </w:rPr>
        <w:t>Décimo primero</w:t>
      </w:r>
      <w:r w:rsidRPr="00BB6E75">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262F40" w:rsidRPr="00BB6E75" w:rsidRDefault="00262F40" w:rsidP="00A81C74">
      <w:pPr>
        <w:spacing w:line="360" w:lineRule="auto"/>
        <w:contextualSpacing/>
        <w:jc w:val="both"/>
        <w:rPr>
          <w:rFonts w:ascii="Palatino Linotype" w:hAnsi="Palatino Linotype"/>
          <w:i/>
        </w:rPr>
      </w:pPr>
    </w:p>
    <w:p w:rsidR="00262F40" w:rsidRPr="00BB6E75" w:rsidRDefault="00262F40" w:rsidP="00A81C74">
      <w:pPr>
        <w:pStyle w:val="Prrafodelista"/>
        <w:numPr>
          <w:ilvl w:val="0"/>
          <w:numId w:val="1"/>
        </w:numPr>
        <w:spacing w:line="360" w:lineRule="auto"/>
        <w:ind w:left="0" w:firstLine="0"/>
        <w:jc w:val="both"/>
        <w:rPr>
          <w:rFonts w:ascii="Palatino Linotype" w:hAnsi="Palatino Linotype"/>
          <w:i/>
        </w:rPr>
      </w:pPr>
      <w:r w:rsidRPr="00BB6E75">
        <w:rPr>
          <w:rFonts w:ascii="Palatino Linotype" w:hAnsi="Palatino Linotype"/>
        </w:rPr>
        <w:t xml:space="preserve">En tal contexto se deberá proceder a la clasificación de los nombres de los elementos de policía que realicen actividades operativas en campo. </w:t>
      </w:r>
    </w:p>
    <w:p w:rsidR="005808FF" w:rsidRPr="00BB6E75" w:rsidRDefault="005808FF" w:rsidP="00A81C74">
      <w:pPr>
        <w:spacing w:line="360" w:lineRule="auto"/>
        <w:jc w:val="both"/>
        <w:rPr>
          <w:rFonts w:ascii="Palatino Linotype" w:eastAsia="Palatino Linotype" w:hAnsi="Palatino Linotype" w:cs="Palatino Linotype"/>
        </w:rPr>
      </w:pPr>
    </w:p>
    <w:p w:rsidR="002670AA" w:rsidRPr="00BB6E75" w:rsidRDefault="002670AA" w:rsidP="00A81C74">
      <w:pPr>
        <w:numPr>
          <w:ilvl w:val="0"/>
          <w:numId w:val="1"/>
        </w:numPr>
        <w:spacing w:line="360" w:lineRule="auto"/>
        <w:ind w:left="0" w:firstLine="0"/>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Por lo anteriormente expuesto y fundado, este </w:t>
      </w:r>
      <w:r w:rsidRPr="00BB6E75">
        <w:rPr>
          <w:rFonts w:ascii="Palatino Linotype" w:eastAsia="Palatino Linotype" w:hAnsi="Palatino Linotype" w:cs="Palatino Linotype"/>
          <w:b/>
        </w:rPr>
        <w:t>ÓRGANO GARANTE</w:t>
      </w:r>
      <w:r w:rsidRPr="00BB6E75">
        <w:rPr>
          <w:rFonts w:ascii="Palatino Linotype" w:eastAsia="Palatino Linotype" w:hAnsi="Palatino Linotype" w:cs="Palatino Linotype"/>
        </w:rPr>
        <w:t xml:space="preserve"> emite los siguientes:</w:t>
      </w:r>
    </w:p>
    <w:p w:rsidR="00262F40" w:rsidRPr="00BB6E75" w:rsidRDefault="00262F40" w:rsidP="00A81C74">
      <w:pPr>
        <w:pStyle w:val="Prrafodelista"/>
        <w:ind w:left="0"/>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keepNext/>
        <w:keepLines/>
        <w:spacing w:line="360" w:lineRule="auto"/>
        <w:jc w:val="center"/>
        <w:rPr>
          <w:rFonts w:ascii="Palatino Linotype" w:eastAsia="Palatino Linotype" w:hAnsi="Palatino Linotype" w:cs="Palatino Linotype"/>
          <w:b/>
        </w:rPr>
      </w:pPr>
      <w:bookmarkStart w:id="19" w:name="_heading=h.17dp8vu" w:colFirst="0" w:colLast="0"/>
      <w:bookmarkEnd w:id="19"/>
      <w:r w:rsidRPr="00BB6E75">
        <w:rPr>
          <w:rFonts w:ascii="Palatino Linotype" w:eastAsia="Palatino Linotype" w:hAnsi="Palatino Linotype" w:cs="Palatino Linotype"/>
          <w:b/>
        </w:rPr>
        <w:t>R E S O L U T I V O S</w:t>
      </w:r>
    </w:p>
    <w:p w:rsidR="002670AA" w:rsidRPr="00BB6E75" w:rsidRDefault="002670AA" w:rsidP="00A81C74">
      <w:pPr>
        <w:keepNext/>
        <w:keepLines/>
        <w:spacing w:line="360" w:lineRule="auto"/>
        <w:jc w:val="center"/>
        <w:rPr>
          <w:rFonts w:ascii="Palatino Linotype" w:eastAsia="Palatino Linotype" w:hAnsi="Palatino Linotype" w:cs="Palatino Linotype"/>
          <w:b/>
        </w:rPr>
      </w:pPr>
    </w:p>
    <w:p w:rsidR="002670AA" w:rsidRPr="00BB6E75" w:rsidRDefault="002670AA"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t>PRIMERO</w:t>
      </w:r>
      <w:r w:rsidRPr="00BB6E75">
        <w:rPr>
          <w:rFonts w:ascii="Palatino Linotype" w:eastAsia="Palatino Linotype" w:hAnsi="Palatino Linotype" w:cs="Palatino Linotype"/>
        </w:rPr>
        <w:t xml:space="preserve">. Resultan fundadas las razones o motivos de inconformidad hechos valer en el Recurso de Revisión </w:t>
      </w:r>
      <w:r w:rsidR="00262F40" w:rsidRPr="00BB6E75">
        <w:rPr>
          <w:rFonts w:ascii="Palatino Linotype" w:eastAsia="Palatino Linotype" w:hAnsi="Palatino Linotype" w:cs="Palatino Linotype"/>
          <w:b/>
        </w:rPr>
        <w:t>04553</w:t>
      </w:r>
      <w:r w:rsidRPr="00BB6E75">
        <w:rPr>
          <w:rFonts w:ascii="Palatino Linotype" w:eastAsia="Palatino Linotype" w:hAnsi="Palatino Linotype" w:cs="Palatino Linotype"/>
          <w:b/>
        </w:rPr>
        <w:t>/INFOEM/IP/RR/2025</w:t>
      </w:r>
      <w:r w:rsidRPr="00BB6E75">
        <w:rPr>
          <w:rFonts w:ascii="Palatino Linotype" w:eastAsia="Palatino Linotype" w:hAnsi="Palatino Linotype" w:cs="Palatino Linotype"/>
        </w:rPr>
        <w:t>,</w:t>
      </w:r>
      <w:r w:rsidRPr="00BB6E75">
        <w:rPr>
          <w:rFonts w:ascii="Palatino Linotype" w:eastAsia="Palatino Linotype" w:hAnsi="Palatino Linotype" w:cs="Palatino Linotype"/>
          <w:b/>
        </w:rPr>
        <w:t xml:space="preserve"> </w:t>
      </w:r>
      <w:r w:rsidRPr="00BB6E75">
        <w:rPr>
          <w:rFonts w:ascii="Palatino Linotype" w:eastAsia="Palatino Linotype" w:hAnsi="Palatino Linotype" w:cs="Palatino Linotype"/>
        </w:rPr>
        <w:t>en términos de los Considerandos</w:t>
      </w:r>
      <w:r w:rsidRPr="00BB6E75">
        <w:rPr>
          <w:rFonts w:ascii="Palatino Linotype" w:eastAsia="Palatino Linotype" w:hAnsi="Palatino Linotype" w:cs="Palatino Linotype"/>
          <w:b/>
        </w:rPr>
        <w:t xml:space="preserve"> Cuarto </w:t>
      </w:r>
      <w:r w:rsidR="00262F40" w:rsidRPr="00BB6E75">
        <w:rPr>
          <w:rFonts w:ascii="Palatino Linotype" w:eastAsia="Palatino Linotype" w:hAnsi="Palatino Linotype" w:cs="Palatino Linotype"/>
          <w:b/>
        </w:rPr>
        <w:t xml:space="preserve">y Quinto </w:t>
      </w:r>
      <w:r w:rsidRPr="00BB6E75">
        <w:rPr>
          <w:rFonts w:ascii="Palatino Linotype" w:eastAsia="Palatino Linotype" w:hAnsi="Palatino Linotype" w:cs="Palatino Linotype"/>
        </w:rPr>
        <w:t xml:space="preserve">de la presente resolución. </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rPr>
      </w:pPr>
      <w:bookmarkStart w:id="20" w:name="_heading=h.3rdcrjn" w:colFirst="0" w:colLast="0"/>
      <w:bookmarkEnd w:id="20"/>
      <w:r w:rsidRPr="00BB6E75">
        <w:rPr>
          <w:rFonts w:ascii="Palatino Linotype" w:eastAsia="Palatino Linotype" w:hAnsi="Palatino Linotype" w:cs="Palatino Linotype"/>
          <w:b/>
        </w:rPr>
        <w:t xml:space="preserve">SEGUNDO. </w:t>
      </w:r>
      <w:r w:rsidRPr="00BB6E75">
        <w:rPr>
          <w:rFonts w:ascii="Palatino Linotype" w:eastAsia="Palatino Linotype" w:hAnsi="Palatino Linotype" w:cs="Palatino Linotype"/>
        </w:rPr>
        <w:t xml:space="preserve">Se </w:t>
      </w:r>
      <w:r w:rsidRPr="00BB6E75">
        <w:rPr>
          <w:rFonts w:ascii="Palatino Linotype" w:eastAsia="Palatino Linotype" w:hAnsi="Palatino Linotype" w:cs="Palatino Linotype"/>
          <w:b/>
        </w:rPr>
        <w:t xml:space="preserve">REVOCA </w:t>
      </w:r>
      <w:r w:rsidRPr="00BB6E75">
        <w:rPr>
          <w:rFonts w:ascii="Palatino Linotype" w:eastAsia="Palatino Linotype" w:hAnsi="Palatino Linotype" w:cs="Palatino Linotype"/>
        </w:rPr>
        <w:t xml:space="preserve">la respuesta emitida por el </w:t>
      </w:r>
      <w:r w:rsidR="00262F40" w:rsidRPr="00BB6E75">
        <w:rPr>
          <w:rFonts w:ascii="Palatino Linotype" w:eastAsia="Palatino Linotype" w:hAnsi="Palatino Linotype" w:cs="Palatino Linotype"/>
          <w:b/>
        </w:rPr>
        <w:t xml:space="preserve">Ayuntamiento de Almoloya del Río </w:t>
      </w:r>
      <w:r w:rsidRPr="00BB6E75">
        <w:rPr>
          <w:rFonts w:ascii="Palatino Linotype" w:eastAsia="Palatino Linotype" w:hAnsi="Palatino Linotype" w:cs="Palatino Linotype"/>
        </w:rPr>
        <w:t xml:space="preserve">y se </w:t>
      </w:r>
      <w:r w:rsidRPr="00BB6E75">
        <w:rPr>
          <w:rFonts w:ascii="Palatino Linotype" w:eastAsia="Palatino Linotype" w:hAnsi="Palatino Linotype" w:cs="Palatino Linotype"/>
          <w:b/>
        </w:rPr>
        <w:t>ORDENA</w:t>
      </w:r>
      <w:r w:rsidRPr="00BB6E75">
        <w:rPr>
          <w:rFonts w:ascii="Palatino Linotype" w:eastAsia="Palatino Linotype" w:hAnsi="Palatino Linotype" w:cs="Palatino Linotype"/>
        </w:rPr>
        <w:t xml:space="preserve"> entregar vía Sistema de Acceso a la Información Mexiquense </w:t>
      </w:r>
      <w:r w:rsidRPr="00BB6E75">
        <w:rPr>
          <w:rFonts w:ascii="Palatino Linotype" w:eastAsia="Palatino Linotype" w:hAnsi="Palatino Linotype" w:cs="Palatino Linotype"/>
          <w:b/>
        </w:rPr>
        <w:t xml:space="preserve">(SAIMEX), </w:t>
      </w:r>
      <w:r w:rsidRPr="00BB6E75">
        <w:rPr>
          <w:rFonts w:ascii="Palatino Linotype" w:eastAsia="Palatino Linotype" w:hAnsi="Palatino Linotype" w:cs="Palatino Linotype"/>
        </w:rPr>
        <w:t>la siguiente información:</w:t>
      </w:r>
    </w:p>
    <w:p w:rsidR="002670AA" w:rsidRPr="00BB6E75" w:rsidRDefault="002670AA" w:rsidP="00A81C74">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rPr>
      </w:pPr>
    </w:p>
    <w:p w:rsidR="002670AA" w:rsidRPr="00BB6E75" w:rsidRDefault="00262F40" w:rsidP="00A81C74">
      <w:pPr>
        <w:pStyle w:val="Prrafodelista"/>
        <w:numPr>
          <w:ilvl w:val="1"/>
          <w:numId w:val="1"/>
        </w:numPr>
        <w:pBdr>
          <w:top w:val="nil"/>
          <w:left w:val="nil"/>
          <w:bottom w:val="nil"/>
          <w:right w:val="nil"/>
          <w:between w:val="nil"/>
        </w:pBdr>
        <w:tabs>
          <w:tab w:val="left" w:pos="993"/>
        </w:tabs>
        <w:spacing w:line="360" w:lineRule="auto"/>
        <w:ind w:left="0"/>
        <w:jc w:val="both"/>
        <w:rPr>
          <w:rFonts w:ascii="Palatino Linotype" w:eastAsia="Palatino Linotype" w:hAnsi="Palatino Linotype" w:cs="Palatino Linotype"/>
          <w:b/>
        </w:rPr>
      </w:pPr>
      <w:r w:rsidRPr="00BB6E75">
        <w:rPr>
          <w:rFonts w:ascii="Palatino Linotype" w:hAnsi="Palatino Linotype"/>
          <w:b/>
        </w:rPr>
        <w:lastRenderedPageBreak/>
        <w:t xml:space="preserve">Recibos de nómina de los servidores públicos adscritos al Ayuntamiento de Almoloya del Río, correspondientes a la primera y segunda quincena del mes de febrero de dos mil veinticinco. </w:t>
      </w:r>
    </w:p>
    <w:p w:rsidR="002670AA" w:rsidRPr="00BB6E75" w:rsidRDefault="002670AA" w:rsidP="00A81C74">
      <w:pPr>
        <w:spacing w:line="360" w:lineRule="auto"/>
        <w:jc w:val="both"/>
        <w:rPr>
          <w:rFonts w:ascii="Palatino Linotype" w:eastAsia="Palatino Linotype" w:hAnsi="Palatino Linotype" w:cs="Palatino Linotype"/>
          <w:b/>
        </w:rPr>
      </w:pPr>
    </w:p>
    <w:p w:rsidR="007062E9" w:rsidRPr="00BB6E75" w:rsidRDefault="007062E9" w:rsidP="00A81C74">
      <w:pPr>
        <w:tabs>
          <w:tab w:val="left" w:pos="8080"/>
        </w:tabs>
        <w:spacing w:line="360" w:lineRule="auto"/>
        <w:jc w:val="both"/>
        <w:rPr>
          <w:rFonts w:ascii="Palatino Linotype" w:eastAsia="Palatino Linotype" w:hAnsi="Palatino Linotype" w:cs="Palatino Linotype"/>
          <w:b/>
        </w:rPr>
      </w:pPr>
      <w:r w:rsidRPr="00BB6E75">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B6E75">
        <w:rPr>
          <w:rFonts w:ascii="Palatino Linotype" w:eastAsia="Palatino Linotype" w:hAnsi="Palatino Linotype" w:cs="Palatino Linotype"/>
          <w:b/>
        </w:rPr>
        <w:t>EL RECURRENTE.</w:t>
      </w:r>
    </w:p>
    <w:p w:rsidR="007062E9" w:rsidRPr="00BB6E75" w:rsidRDefault="007062E9" w:rsidP="00A81C74">
      <w:pPr>
        <w:spacing w:line="360" w:lineRule="auto"/>
        <w:jc w:val="both"/>
        <w:rPr>
          <w:rFonts w:ascii="Palatino Linotype" w:eastAsia="Palatino Linotype" w:hAnsi="Palatino Linotype" w:cs="Palatino Linotype"/>
          <w:b/>
        </w:rPr>
      </w:pPr>
    </w:p>
    <w:p w:rsidR="002670AA" w:rsidRPr="00BB6E75" w:rsidRDefault="002670AA" w:rsidP="00A81C74">
      <w:pPr>
        <w:tabs>
          <w:tab w:val="left" w:pos="8080"/>
        </w:tabs>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t xml:space="preserve">TERCERO. Notifíquese </w:t>
      </w:r>
      <w:r w:rsidRPr="00BB6E75">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B6E75">
        <w:rPr>
          <w:rFonts w:ascii="Palatino Linotype" w:eastAsia="Palatino Linotype" w:hAnsi="Palatino Linotype" w:cs="Palatino Linotype"/>
          <w:b/>
        </w:rPr>
        <w:t>plazo de diez días hábiles</w:t>
      </w:r>
      <w:r w:rsidRPr="00BB6E75">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670AA" w:rsidRPr="00BB6E75" w:rsidRDefault="002670AA" w:rsidP="00A81C74">
      <w:pPr>
        <w:tabs>
          <w:tab w:val="left" w:pos="8080"/>
        </w:tabs>
        <w:spacing w:line="360" w:lineRule="auto"/>
        <w:jc w:val="both"/>
        <w:rPr>
          <w:rFonts w:ascii="Palatino Linotype" w:eastAsia="Palatino Linotype" w:hAnsi="Palatino Linotype" w:cs="Palatino Linotype"/>
        </w:rPr>
      </w:pPr>
    </w:p>
    <w:p w:rsidR="002670AA" w:rsidRPr="00BB6E75" w:rsidRDefault="002670AA" w:rsidP="00A81C74">
      <w:pPr>
        <w:shd w:val="clear" w:color="auto" w:fill="FFFFFF"/>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t>CUARTO. Notifíquese al RECURRENTE</w:t>
      </w:r>
      <w:r w:rsidRPr="00BB6E75">
        <w:rPr>
          <w:rFonts w:ascii="Palatino Linotype" w:eastAsia="Palatino Linotype" w:hAnsi="Palatino Linotype" w:cs="Palatino Linotype"/>
        </w:rPr>
        <w:t xml:space="preserve"> la presente resolución vía SAIMEX.</w:t>
      </w:r>
    </w:p>
    <w:p w:rsidR="002670AA" w:rsidRPr="00BB6E75" w:rsidRDefault="002670AA" w:rsidP="00A81C74">
      <w:pPr>
        <w:shd w:val="clear" w:color="auto" w:fill="FFFFFF"/>
        <w:spacing w:line="360" w:lineRule="auto"/>
        <w:jc w:val="both"/>
        <w:rPr>
          <w:rFonts w:ascii="Palatino Linotype" w:eastAsia="Palatino Linotype" w:hAnsi="Palatino Linotype" w:cs="Palatino Linotype"/>
          <w:b/>
        </w:rPr>
      </w:pPr>
    </w:p>
    <w:p w:rsidR="002670AA" w:rsidRPr="00BB6E75" w:rsidRDefault="002670AA"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lastRenderedPageBreak/>
        <w:t>QUINTO.</w:t>
      </w:r>
      <w:r w:rsidRPr="00BB6E75">
        <w:rPr>
          <w:rFonts w:ascii="Palatino Linotype" w:eastAsia="Palatino Linotype" w:hAnsi="Palatino Linotype" w:cs="Palatino Linotype"/>
        </w:rPr>
        <w:t xml:space="preserve"> Se hace del conocimiento del </w:t>
      </w:r>
      <w:r w:rsidRPr="00BB6E75">
        <w:rPr>
          <w:rFonts w:ascii="Palatino Linotype" w:eastAsia="Palatino Linotype" w:hAnsi="Palatino Linotype" w:cs="Palatino Linotype"/>
          <w:b/>
        </w:rPr>
        <w:t>RECURRENTE</w:t>
      </w:r>
      <w:r w:rsidRPr="00BB6E7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670AA" w:rsidRPr="00BB6E75" w:rsidRDefault="002670AA" w:rsidP="00A81C74">
      <w:pPr>
        <w:spacing w:line="360" w:lineRule="auto"/>
        <w:jc w:val="both"/>
        <w:rPr>
          <w:rFonts w:ascii="Palatino Linotype" w:eastAsia="Palatino Linotype" w:hAnsi="Palatino Linotype" w:cs="Palatino Linotype"/>
        </w:rPr>
      </w:pPr>
    </w:p>
    <w:p w:rsidR="002670AA" w:rsidRPr="00BB6E75" w:rsidRDefault="002670AA"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b/>
        </w:rPr>
        <w:t xml:space="preserve">SEXTO. </w:t>
      </w:r>
      <w:r w:rsidRPr="00BB6E7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670AA" w:rsidRPr="00BB6E75" w:rsidRDefault="002670AA" w:rsidP="00A81C74">
      <w:pPr>
        <w:spacing w:line="360" w:lineRule="auto"/>
        <w:jc w:val="both"/>
        <w:rPr>
          <w:rFonts w:ascii="Palatino Linotype" w:eastAsia="Palatino Linotype" w:hAnsi="Palatino Linotype" w:cs="Palatino Linotype"/>
        </w:rPr>
      </w:pPr>
    </w:p>
    <w:p w:rsidR="00A81C74" w:rsidRPr="00BB6E75" w:rsidRDefault="00A81C74" w:rsidP="00A81C74">
      <w:pPr>
        <w:spacing w:line="360" w:lineRule="auto"/>
        <w:jc w:val="both"/>
        <w:rPr>
          <w:rFonts w:ascii="Palatino Linotype" w:eastAsia="Palatino Linotype" w:hAnsi="Palatino Linotype" w:cs="Palatino Linotype"/>
        </w:rPr>
      </w:pPr>
    </w:p>
    <w:p w:rsidR="002670AA" w:rsidRPr="002A347F" w:rsidRDefault="00A81C74" w:rsidP="00A81C74">
      <w:pPr>
        <w:spacing w:line="360" w:lineRule="auto"/>
        <w:jc w:val="both"/>
        <w:rPr>
          <w:rFonts w:ascii="Palatino Linotype" w:eastAsia="Palatino Linotype" w:hAnsi="Palatino Linotype" w:cs="Palatino Linotype"/>
        </w:rPr>
      </w:pPr>
      <w:r w:rsidRPr="00BB6E7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A671F" w:rsidRPr="00BB6E75">
        <w:rPr>
          <w:rFonts w:ascii="Palatino Linotype" w:eastAsia="Palatino Linotype" w:hAnsi="Palatino Linotype" w:cs="Palatino Linotype"/>
        </w:rPr>
        <w:t xml:space="preserve">EMITIENDO VOTO PARTICULAR </w:t>
      </w:r>
      <w:r w:rsidRPr="00BB6E75">
        <w:rPr>
          <w:rFonts w:ascii="Palatino Linotype" w:eastAsia="Palatino Linotype" w:hAnsi="Palatino Linotype" w:cs="Palatino Linotype"/>
        </w:rPr>
        <w:t>Y GUADALUPE RAMÍREZ PEÑA</w:t>
      </w:r>
      <w:r w:rsidR="000A671F" w:rsidRPr="00BB6E75">
        <w:rPr>
          <w:rFonts w:ascii="Palatino Linotype" w:eastAsia="Palatino Linotype" w:hAnsi="Palatino Linotype" w:cs="Palatino Linotype"/>
        </w:rPr>
        <w:t xml:space="preserve"> EMITIENDO VOTO PARTICULAR</w:t>
      </w:r>
      <w:r w:rsidRPr="00BB6E75">
        <w:rPr>
          <w:rFonts w:ascii="Palatino Linotype" w:eastAsia="Palatino Linotype" w:hAnsi="Palatino Linotype" w:cs="Palatino Linotype"/>
        </w:rPr>
        <w:t>; EN LA DÉCIMA SÉPTIMA SESIÓN ORDINARIA, CELEBRADA EL CATORCE (14) DE MAYO DE DOS MIL VEINTICINCO, ANTE EL SECRETARIO TÉCNICO DEL PLENO ALEXIS TAPIA RAMÍREZ.</w:t>
      </w:r>
      <w:bookmarkStart w:id="21" w:name="_GoBack"/>
      <w:bookmarkEnd w:id="21"/>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spacing w:line="360" w:lineRule="auto"/>
        <w:rPr>
          <w:rFonts w:ascii="Palatino Linotype" w:eastAsia="Palatino Linotype" w:hAnsi="Palatino Linotype" w:cs="Palatino Linotype"/>
        </w:rPr>
      </w:pPr>
    </w:p>
    <w:p w:rsidR="002670AA" w:rsidRPr="002A347F" w:rsidRDefault="002670AA" w:rsidP="00A81C74">
      <w:pPr>
        <w:rPr>
          <w:rFonts w:ascii="Palatino Linotype" w:hAnsi="Palatino Linotype"/>
        </w:rPr>
      </w:pPr>
    </w:p>
    <w:p w:rsidR="002670AA" w:rsidRPr="002A347F" w:rsidRDefault="002670AA" w:rsidP="00A81C74">
      <w:pPr>
        <w:rPr>
          <w:rFonts w:ascii="Palatino Linotype" w:hAnsi="Palatino Linotype"/>
        </w:rPr>
      </w:pPr>
    </w:p>
    <w:p w:rsidR="002670AA" w:rsidRDefault="002670AA"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Default="00A81C74" w:rsidP="00A81C74">
      <w:pPr>
        <w:rPr>
          <w:rFonts w:ascii="Palatino Linotype" w:hAnsi="Palatino Linotype"/>
        </w:rPr>
      </w:pPr>
    </w:p>
    <w:p w:rsidR="00A81C74" w:rsidRPr="002A347F" w:rsidRDefault="00A81C74" w:rsidP="00A81C74">
      <w:pPr>
        <w:rPr>
          <w:rFonts w:ascii="Palatino Linotype" w:hAnsi="Palatino Linotype"/>
        </w:rPr>
      </w:pPr>
    </w:p>
    <w:p w:rsidR="002670AA" w:rsidRPr="002A347F" w:rsidRDefault="002670AA" w:rsidP="00A81C74">
      <w:pPr>
        <w:rPr>
          <w:rFonts w:ascii="Palatino Linotype" w:hAnsi="Palatino Linotype"/>
        </w:rPr>
      </w:pPr>
    </w:p>
    <w:p w:rsidR="002670AA" w:rsidRPr="002A347F" w:rsidRDefault="002670AA" w:rsidP="00A81C74">
      <w:pPr>
        <w:rPr>
          <w:rFonts w:ascii="Palatino Linotype" w:hAnsi="Palatino Linotype"/>
        </w:rPr>
      </w:pPr>
    </w:p>
    <w:p w:rsidR="002670AA" w:rsidRPr="002A347F" w:rsidRDefault="002670AA" w:rsidP="00A81C74">
      <w:pPr>
        <w:rPr>
          <w:rFonts w:ascii="Palatino Linotype" w:hAnsi="Palatino Linotype"/>
        </w:rPr>
      </w:pPr>
    </w:p>
    <w:p w:rsidR="00F7692F" w:rsidRPr="002A347F" w:rsidRDefault="00F7692F" w:rsidP="00A81C74">
      <w:pPr>
        <w:rPr>
          <w:rFonts w:ascii="Palatino Linotype" w:hAnsi="Palatino Linotype"/>
        </w:rPr>
      </w:pPr>
    </w:p>
    <w:p w:rsidR="00A81C74" w:rsidRPr="002A347F" w:rsidRDefault="00A81C74">
      <w:pPr>
        <w:rPr>
          <w:rFonts w:ascii="Palatino Linotype" w:hAnsi="Palatino Linotype"/>
        </w:rPr>
      </w:pPr>
    </w:p>
    <w:sectPr w:rsidR="00A81C74" w:rsidRPr="002A347F" w:rsidSect="002A347F">
      <w:headerReference w:type="even" r:id="rId13"/>
      <w:headerReference w:type="default" r:id="rId14"/>
      <w:footerReference w:type="default" r:id="rId15"/>
      <w:headerReference w:type="first" r:id="rId16"/>
      <w:footerReference w:type="first" r:id="rId17"/>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4E5" w:rsidRDefault="006674E5" w:rsidP="002670AA">
      <w:r>
        <w:separator/>
      </w:r>
    </w:p>
  </w:endnote>
  <w:endnote w:type="continuationSeparator" w:id="0">
    <w:p w:rsidR="006674E5" w:rsidRDefault="006674E5" w:rsidP="0026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FF" w:rsidRDefault="005808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B6E75">
      <w:rPr>
        <w:b/>
        <w:noProof/>
        <w:color w:val="000000"/>
      </w:rPr>
      <w:t>46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B6E75">
      <w:rPr>
        <w:b/>
        <w:noProof/>
        <w:color w:val="000000"/>
      </w:rPr>
      <w:t>48</w:t>
    </w:r>
    <w:r>
      <w:rPr>
        <w:b/>
        <w:color w:val="000000"/>
      </w:rPr>
      <w:fldChar w:fldCharType="end"/>
    </w:r>
  </w:p>
  <w:p w:rsidR="005808FF" w:rsidRDefault="005808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FF" w:rsidRDefault="005808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B6E7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B6E75">
      <w:rPr>
        <w:b/>
        <w:noProof/>
        <w:color w:val="000000"/>
      </w:rPr>
      <w:t>48</w:t>
    </w:r>
    <w:r>
      <w:rPr>
        <w:b/>
        <w:color w:val="000000"/>
      </w:rPr>
      <w:fldChar w:fldCharType="end"/>
    </w:r>
  </w:p>
  <w:p w:rsidR="005808FF" w:rsidRDefault="005808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4E5" w:rsidRDefault="006674E5" w:rsidP="002670AA">
      <w:r>
        <w:separator/>
      </w:r>
    </w:p>
  </w:footnote>
  <w:footnote w:type="continuationSeparator" w:id="0">
    <w:p w:rsidR="006674E5" w:rsidRDefault="006674E5" w:rsidP="002670AA">
      <w:r>
        <w:continuationSeparator/>
      </w:r>
    </w:p>
  </w:footnote>
  <w:footnote w:id="1">
    <w:p w:rsidR="005808FF" w:rsidRDefault="005808FF" w:rsidP="005808FF">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5808FF" w:rsidRDefault="005808FF" w:rsidP="005808F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FF" w:rsidRDefault="006674E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FF" w:rsidRDefault="005808FF">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W w:w="9214" w:type="dxa"/>
      <w:tblLayout w:type="fixed"/>
      <w:tblLook w:val="0400" w:firstRow="0" w:lastRow="0" w:firstColumn="0" w:lastColumn="0" w:noHBand="0" w:noVBand="1"/>
    </w:tblPr>
    <w:tblGrid>
      <w:gridCol w:w="2268"/>
      <w:gridCol w:w="6946"/>
    </w:tblGrid>
    <w:tr w:rsidR="005808FF">
      <w:trPr>
        <w:trHeight w:val="1435"/>
      </w:trPr>
      <w:tc>
        <w:tcPr>
          <w:tcW w:w="2268" w:type="dxa"/>
          <w:shd w:val="clear" w:color="auto" w:fill="auto"/>
        </w:tcPr>
        <w:p w:rsidR="005808FF" w:rsidRDefault="005808FF">
          <w:pPr>
            <w:tabs>
              <w:tab w:val="right" w:pos="4273"/>
            </w:tabs>
            <w:rPr>
              <w:rFonts w:ascii="Garamond" w:eastAsia="Garamond" w:hAnsi="Garamond" w:cs="Garamond"/>
              <w:sz w:val="16"/>
              <w:szCs w:val="16"/>
            </w:rPr>
          </w:pPr>
        </w:p>
      </w:tc>
      <w:tc>
        <w:tcPr>
          <w:tcW w:w="6946" w:type="dxa"/>
          <w:shd w:val="clear" w:color="auto" w:fill="auto"/>
        </w:tcPr>
        <w:p w:rsidR="005808FF" w:rsidRDefault="005808FF"/>
        <w:tbl>
          <w:tblPr>
            <w:tblW w:w="6798" w:type="dxa"/>
            <w:tblInd w:w="40" w:type="dxa"/>
            <w:tblLayout w:type="fixed"/>
            <w:tblLook w:val="0400" w:firstRow="0" w:lastRow="0" w:firstColumn="0" w:lastColumn="0" w:noHBand="0" w:noVBand="1"/>
          </w:tblPr>
          <w:tblGrid>
            <w:gridCol w:w="2687"/>
            <w:gridCol w:w="4111"/>
          </w:tblGrid>
          <w:tr w:rsidR="005808FF" w:rsidRPr="002A347F" w:rsidTr="002A347F">
            <w:trPr>
              <w:trHeight w:val="150"/>
            </w:trPr>
            <w:tc>
              <w:tcPr>
                <w:tcW w:w="2687" w:type="dxa"/>
                <w:shd w:val="clear" w:color="auto" w:fill="auto"/>
              </w:tcPr>
              <w:p w:rsidR="005808FF" w:rsidRPr="002A347F" w:rsidRDefault="005808FF">
                <w:pPr>
                  <w:tabs>
                    <w:tab w:val="right" w:pos="8838"/>
                  </w:tabs>
                  <w:ind w:right="-105"/>
                  <w:rPr>
                    <w:rFonts w:ascii="Palatino Linotype" w:eastAsia="Palatino Linotype" w:hAnsi="Palatino Linotype" w:cs="Palatino Linotype"/>
                    <w:b/>
                  </w:rPr>
                </w:pPr>
                <w:r w:rsidRPr="002A347F">
                  <w:rPr>
                    <w:rFonts w:ascii="Palatino Linotype" w:eastAsia="Palatino Linotype" w:hAnsi="Palatino Linotype" w:cs="Palatino Linotype"/>
                    <w:b/>
                  </w:rPr>
                  <w:t>Recurso de Revisión:</w:t>
                </w:r>
              </w:p>
            </w:tc>
            <w:tc>
              <w:tcPr>
                <w:tcW w:w="4111" w:type="dxa"/>
                <w:shd w:val="clear" w:color="auto" w:fill="auto"/>
              </w:tcPr>
              <w:p w:rsidR="005808FF" w:rsidRPr="002A347F" w:rsidRDefault="005808FF">
                <w:pPr>
                  <w:tabs>
                    <w:tab w:val="right" w:pos="8838"/>
                  </w:tabs>
                  <w:ind w:left="-108" w:right="-102"/>
                  <w:jc w:val="both"/>
                  <w:rPr>
                    <w:rFonts w:ascii="Palatino Linotype" w:eastAsia="Palatino Linotype" w:hAnsi="Palatino Linotype" w:cs="Palatino Linotype"/>
                  </w:rPr>
                </w:pPr>
                <w:r w:rsidRPr="002A347F">
                  <w:rPr>
                    <w:rFonts w:ascii="Palatino Linotype" w:eastAsia="Palatino Linotype" w:hAnsi="Palatino Linotype" w:cs="Palatino Linotype"/>
                  </w:rPr>
                  <w:t>04553/INFOEM/IP/RR/2025</w:t>
                </w:r>
              </w:p>
            </w:tc>
          </w:tr>
          <w:tr w:rsidR="005808FF" w:rsidRPr="002A347F" w:rsidTr="002A347F">
            <w:trPr>
              <w:trHeight w:val="295"/>
            </w:trPr>
            <w:tc>
              <w:tcPr>
                <w:tcW w:w="2687" w:type="dxa"/>
                <w:shd w:val="clear" w:color="auto" w:fill="auto"/>
              </w:tcPr>
              <w:p w:rsidR="005808FF" w:rsidRPr="002A347F" w:rsidRDefault="005808FF">
                <w:pPr>
                  <w:tabs>
                    <w:tab w:val="right" w:pos="8838"/>
                  </w:tabs>
                  <w:ind w:right="-105"/>
                  <w:rPr>
                    <w:rFonts w:ascii="Palatino Linotype" w:eastAsia="Palatino Linotype" w:hAnsi="Palatino Linotype" w:cs="Palatino Linotype"/>
                    <w:b/>
                  </w:rPr>
                </w:pPr>
                <w:r w:rsidRPr="002A347F">
                  <w:rPr>
                    <w:rFonts w:ascii="Palatino Linotype" w:eastAsia="Palatino Linotype" w:hAnsi="Palatino Linotype" w:cs="Palatino Linotype"/>
                    <w:b/>
                  </w:rPr>
                  <w:t>Sujeto Obligado:</w:t>
                </w:r>
              </w:p>
            </w:tc>
            <w:tc>
              <w:tcPr>
                <w:tcW w:w="4111" w:type="dxa"/>
                <w:shd w:val="clear" w:color="auto" w:fill="auto"/>
              </w:tcPr>
              <w:p w:rsidR="005808FF" w:rsidRPr="002A347F" w:rsidRDefault="005808FF" w:rsidP="002637FD">
                <w:pPr>
                  <w:tabs>
                    <w:tab w:val="left" w:pos="2834"/>
                    <w:tab w:val="right" w:pos="8838"/>
                  </w:tabs>
                  <w:ind w:left="-108" w:right="-102"/>
                  <w:jc w:val="both"/>
                  <w:rPr>
                    <w:rFonts w:ascii="Palatino Linotype" w:eastAsia="Palatino Linotype" w:hAnsi="Palatino Linotype" w:cs="Palatino Linotype"/>
                  </w:rPr>
                </w:pPr>
                <w:r w:rsidRPr="002A347F">
                  <w:rPr>
                    <w:rFonts w:ascii="Palatino Linotype" w:eastAsia="Palatino Linotype" w:hAnsi="Palatino Linotype" w:cs="Palatino Linotype"/>
                    <w:bCs/>
                  </w:rPr>
                  <w:t>Ayuntamiento de Almoloya del Río</w:t>
                </w:r>
              </w:p>
            </w:tc>
          </w:tr>
          <w:tr w:rsidR="005808FF" w:rsidRPr="002A347F" w:rsidTr="002A347F">
            <w:trPr>
              <w:trHeight w:val="295"/>
            </w:trPr>
            <w:tc>
              <w:tcPr>
                <w:tcW w:w="2687" w:type="dxa"/>
                <w:shd w:val="clear" w:color="auto" w:fill="auto"/>
              </w:tcPr>
              <w:p w:rsidR="005808FF" w:rsidRPr="002A347F" w:rsidRDefault="005808FF">
                <w:pPr>
                  <w:tabs>
                    <w:tab w:val="right" w:pos="8838"/>
                  </w:tabs>
                  <w:ind w:right="-105"/>
                  <w:rPr>
                    <w:rFonts w:ascii="Palatino Linotype" w:eastAsia="Palatino Linotype" w:hAnsi="Palatino Linotype" w:cs="Palatino Linotype"/>
                    <w:b/>
                  </w:rPr>
                </w:pPr>
                <w:r w:rsidRPr="002A347F">
                  <w:rPr>
                    <w:rFonts w:ascii="Palatino Linotype" w:eastAsia="Palatino Linotype" w:hAnsi="Palatino Linotype" w:cs="Palatino Linotype"/>
                    <w:b/>
                  </w:rPr>
                  <w:t>Comisionado ponente:</w:t>
                </w:r>
              </w:p>
            </w:tc>
            <w:tc>
              <w:tcPr>
                <w:tcW w:w="4111" w:type="dxa"/>
                <w:shd w:val="clear" w:color="auto" w:fill="auto"/>
              </w:tcPr>
              <w:p w:rsidR="005808FF" w:rsidRPr="002A347F" w:rsidRDefault="005808FF">
                <w:pPr>
                  <w:tabs>
                    <w:tab w:val="right" w:pos="8838"/>
                  </w:tabs>
                  <w:ind w:left="-108" w:right="171"/>
                  <w:jc w:val="both"/>
                  <w:rPr>
                    <w:rFonts w:ascii="Palatino Linotype" w:eastAsia="Palatino Linotype" w:hAnsi="Palatino Linotype" w:cs="Palatino Linotype"/>
                  </w:rPr>
                </w:pPr>
                <w:r w:rsidRPr="002A347F">
                  <w:rPr>
                    <w:rFonts w:ascii="Palatino Linotype" w:eastAsia="Palatino Linotype" w:hAnsi="Palatino Linotype" w:cs="Palatino Linotype"/>
                  </w:rPr>
                  <w:t>María del Rosario Mejía Ayala</w:t>
                </w:r>
              </w:p>
              <w:p w:rsidR="005808FF" w:rsidRPr="002A347F" w:rsidRDefault="005808FF">
                <w:pPr>
                  <w:tabs>
                    <w:tab w:val="right" w:pos="8838"/>
                  </w:tabs>
                  <w:ind w:left="-108" w:right="171"/>
                  <w:jc w:val="both"/>
                  <w:rPr>
                    <w:rFonts w:ascii="Palatino Linotype" w:eastAsia="Palatino Linotype" w:hAnsi="Palatino Linotype" w:cs="Palatino Linotype"/>
                  </w:rPr>
                </w:pPr>
              </w:p>
            </w:tc>
          </w:tr>
        </w:tbl>
        <w:p w:rsidR="005808FF" w:rsidRDefault="005808FF">
          <w:pPr>
            <w:tabs>
              <w:tab w:val="right" w:pos="8838"/>
            </w:tabs>
            <w:ind w:left="-28"/>
            <w:jc w:val="both"/>
            <w:rPr>
              <w:rFonts w:ascii="Arial" w:eastAsia="Arial" w:hAnsi="Arial" w:cs="Arial"/>
              <w:b/>
              <w:sz w:val="22"/>
              <w:szCs w:val="22"/>
            </w:rPr>
          </w:pPr>
        </w:p>
      </w:tc>
    </w:tr>
  </w:tbl>
  <w:p w:rsidR="005808FF" w:rsidRDefault="006674E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FF" w:rsidRDefault="005808FF">
    <w:pPr>
      <w:widowControl w:val="0"/>
      <w:pBdr>
        <w:top w:val="nil"/>
        <w:left w:val="nil"/>
        <w:bottom w:val="nil"/>
        <w:right w:val="nil"/>
        <w:between w:val="nil"/>
      </w:pBdr>
      <w:spacing w:line="276" w:lineRule="auto"/>
      <w:rPr>
        <w:color w:val="000000"/>
      </w:rPr>
    </w:pPr>
  </w:p>
  <w:tbl>
    <w:tblPr>
      <w:tblW w:w="9072" w:type="dxa"/>
      <w:tblLayout w:type="fixed"/>
      <w:tblLook w:val="0400" w:firstRow="0" w:lastRow="0" w:firstColumn="0" w:lastColumn="0" w:noHBand="0" w:noVBand="1"/>
    </w:tblPr>
    <w:tblGrid>
      <w:gridCol w:w="2268"/>
      <w:gridCol w:w="6804"/>
    </w:tblGrid>
    <w:tr w:rsidR="005808FF">
      <w:trPr>
        <w:trHeight w:val="1435"/>
      </w:trPr>
      <w:tc>
        <w:tcPr>
          <w:tcW w:w="2268" w:type="dxa"/>
          <w:shd w:val="clear" w:color="auto" w:fill="auto"/>
        </w:tcPr>
        <w:p w:rsidR="005808FF" w:rsidRDefault="005808FF">
          <w:pPr>
            <w:tabs>
              <w:tab w:val="right" w:pos="4273"/>
            </w:tabs>
            <w:rPr>
              <w:rFonts w:ascii="Garamond" w:eastAsia="Garamond" w:hAnsi="Garamond" w:cs="Garamond"/>
              <w:sz w:val="22"/>
              <w:szCs w:val="22"/>
            </w:rPr>
          </w:pPr>
        </w:p>
      </w:tc>
      <w:tc>
        <w:tcPr>
          <w:tcW w:w="6804" w:type="dxa"/>
          <w:shd w:val="clear" w:color="auto" w:fill="auto"/>
        </w:tcPr>
        <w:p w:rsidR="005808FF" w:rsidRDefault="005808FF">
          <w:pPr>
            <w:widowControl w:val="0"/>
            <w:pBdr>
              <w:top w:val="nil"/>
              <w:left w:val="nil"/>
              <w:bottom w:val="nil"/>
              <w:right w:val="nil"/>
              <w:between w:val="nil"/>
            </w:pBdr>
            <w:spacing w:line="276" w:lineRule="auto"/>
            <w:rPr>
              <w:rFonts w:ascii="Garamond" w:eastAsia="Garamond" w:hAnsi="Garamond" w:cs="Garamond"/>
              <w:sz w:val="22"/>
              <w:szCs w:val="22"/>
            </w:rPr>
          </w:pPr>
        </w:p>
        <w:tbl>
          <w:tblPr>
            <w:tblW w:w="6764" w:type="dxa"/>
            <w:tblInd w:w="40" w:type="dxa"/>
            <w:tblLayout w:type="fixed"/>
            <w:tblLook w:val="0400" w:firstRow="0" w:lastRow="0" w:firstColumn="0" w:lastColumn="0" w:noHBand="0" w:noVBand="1"/>
          </w:tblPr>
          <w:tblGrid>
            <w:gridCol w:w="2546"/>
            <w:gridCol w:w="4218"/>
          </w:tblGrid>
          <w:tr w:rsidR="005808FF" w:rsidRPr="002A347F" w:rsidTr="002A347F">
            <w:trPr>
              <w:trHeight w:val="144"/>
            </w:trPr>
            <w:tc>
              <w:tcPr>
                <w:tcW w:w="2546" w:type="dxa"/>
                <w:shd w:val="clear" w:color="auto" w:fill="auto"/>
              </w:tcPr>
              <w:p w:rsidR="005808FF" w:rsidRPr="002A347F" w:rsidRDefault="005808FF">
                <w:pPr>
                  <w:tabs>
                    <w:tab w:val="right" w:pos="8838"/>
                  </w:tabs>
                  <w:ind w:left="-264" w:right="-105" w:firstLine="195"/>
                  <w:rPr>
                    <w:rFonts w:ascii="Palatino Linotype" w:eastAsia="Palatino Linotype" w:hAnsi="Palatino Linotype" w:cs="Palatino Linotype"/>
                    <w:b/>
                  </w:rPr>
                </w:pPr>
                <w:r w:rsidRPr="002A347F">
                  <w:rPr>
                    <w:rFonts w:ascii="Palatino Linotype" w:eastAsia="Palatino Linotype" w:hAnsi="Palatino Linotype" w:cs="Palatino Linotype"/>
                    <w:b/>
                  </w:rPr>
                  <w:t>Recurso de Revisión:</w:t>
                </w:r>
              </w:p>
            </w:tc>
            <w:tc>
              <w:tcPr>
                <w:tcW w:w="4218" w:type="dxa"/>
                <w:shd w:val="clear" w:color="auto" w:fill="auto"/>
              </w:tcPr>
              <w:p w:rsidR="005808FF" w:rsidRPr="002A347F" w:rsidRDefault="005808FF">
                <w:pPr>
                  <w:tabs>
                    <w:tab w:val="right" w:pos="8838"/>
                  </w:tabs>
                  <w:ind w:left="-74" w:right="-105"/>
                  <w:jc w:val="both"/>
                  <w:rPr>
                    <w:rFonts w:ascii="Palatino Linotype" w:eastAsia="Palatino Linotype" w:hAnsi="Palatino Linotype" w:cs="Palatino Linotype"/>
                  </w:rPr>
                </w:pPr>
                <w:r w:rsidRPr="002A347F">
                  <w:rPr>
                    <w:rFonts w:ascii="Palatino Linotype" w:eastAsia="Palatino Linotype" w:hAnsi="Palatino Linotype" w:cs="Palatino Linotype"/>
                  </w:rPr>
                  <w:t>04553/INFOEM/IP/RR/2025</w:t>
                </w:r>
              </w:p>
            </w:tc>
          </w:tr>
          <w:tr w:rsidR="005808FF" w:rsidRPr="002A347F" w:rsidTr="002A347F">
            <w:trPr>
              <w:trHeight w:val="144"/>
            </w:trPr>
            <w:tc>
              <w:tcPr>
                <w:tcW w:w="2546" w:type="dxa"/>
                <w:shd w:val="clear" w:color="auto" w:fill="auto"/>
              </w:tcPr>
              <w:p w:rsidR="005808FF" w:rsidRPr="002A347F" w:rsidRDefault="005808FF">
                <w:pPr>
                  <w:tabs>
                    <w:tab w:val="right" w:pos="8838"/>
                  </w:tabs>
                  <w:ind w:left="-74" w:right="-105"/>
                  <w:rPr>
                    <w:rFonts w:ascii="Palatino Linotype" w:eastAsia="Palatino Linotype" w:hAnsi="Palatino Linotype" w:cs="Palatino Linotype"/>
                    <w:b/>
                  </w:rPr>
                </w:pPr>
                <w:r w:rsidRPr="002A347F">
                  <w:rPr>
                    <w:rFonts w:ascii="Palatino Linotype" w:eastAsia="Palatino Linotype" w:hAnsi="Palatino Linotype" w:cs="Palatino Linotype"/>
                    <w:b/>
                  </w:rPr>
                  <w:t>Recurrente:</w:t>
                </w:r>
              </w:p>
            </w:tc>
            <w:tc>
              <w:tcPr>
                <w:tcW w:w="4218" w:type="dxa"/>
                <w:shd w:val="clear" w:color="auto" w:fill="auto"/>
              </w:tcPr>
              <w:p w:rsidR="005808FF" w:rsidRPr="002A347F" w:rsidRDefault="005808FF">
                <w:pPr>
                  <w:tabs>
                    <w:tab w:val="left" w:pos="3122"/>
                    <w:tab w:val="right" w:pos="8838"/>
                  </w:tabs>
                  <w:ind w:left="-74" w:right="-105"/>
                  <w:jc w:val="both"/>
                  <w:rPr>
                    <w:rFonts w:ascii="Palatino Linotype" w:eastAsia="Palatino Linotype" w:hAnsi="Palatino Linotype" w:cs="Palatino Linotype"/>
                  </w:rPr>
                </w:pPr>
                <w:r w:rsidRPr="002A347F">
                  <w:rPr>
                    <w:rFonts w:ascii="Palatino Linotype" w:eastAsia="Palatino Linotype" w:hAnsi="Palatino Linotype" w:cs="Palatino Linotype"/>
                    <w:bCs/>
                  </w:rPr>
                  <w:t> </w:t>
                </w:r>
              </w:p>
            </w:tc>
          </w:tr>
          <w:tr w:rsidR="005808FF" w:rsidRPr="002A347F" w:rsidTr="002A347F">
            <w:trPr>
              <w:trHeight w:val="283"/>
            </w:trPr>
            <w:tc>
              <w:tcPr>
                <w:tcW w:w="2546" w:type="dxa"/>
                <w:shd w:val="clear" w:color="auto" w:fill="auto"/>
              </w:tcPr>
              <w:p w:rsidR="005808FF" w:rsidRPr="002A347F" w:rsidRDefault="005808FF">
                <w:pPr>
                  <w:tabs>
                    <w:tab w:val="right" w:pos="8838"/>
                  </w:tabs>
                  <w:ind w:left="-74" w:right="-105"/>
                  <w:rPr>
                    <w:rFonts w:ascii="Palatino Linotype" w:eastAsia="Palatino Linotype" w:hAnsi="Palatino Linotype" w:cs="Palatino Linotype"/>
                    <w:b/>
                  </w:rPr>
                </w:pPr>
                <w:r w:rsidRPr="002A347F">
                  <w:rPr>
                    <w:rFonts w:ascii="Palatino Linotype" w:eastAsia="Palatino Linotype" w:hAnsi="Palatino Linotype" w:cs="Palatino Linotype"/>
                    <w:b/>
                  </w:rPr>
                  <w:t>Sujeto Obligado:</w:t>
                </w:r>
              </w:p>
            </w:tc>
            <w:tc>
              <w:tcPr>
                <w:tcW w:w="4218" w:type="dxa"/>
                <w:shd w:val="clear" w:color="auto" w:fill="auto"/>
              </w:tcPr>
              <w:p w:rsidR="005808FF" w:rsidRPr="002A347F" w:rsidRDefault="005808FF">
                <w:pPr>
                  <w:tabs>
                    <w:tab w:val="left" w:pos="2834"/>
                    <w:tab w:val="right" w:pos="8838"/>
                  </w:tabs>
                  <w:ind w:left="-74" w:right="-105"/>
                  <w:jc w:val="both"/>
                  <w:rPr>
                    <w:rFonts w:ascii="Palatino Linotype" w:eastAsia="Palatino Linotype" w:hAnsi="Palatino Linotype" w:cs="Palatino Linotype"/>
                  </w:rPr>
                </w:pPr>
                <w:r w:rsidRPr="002A347F">
                  <w:rPr>
                    <w:rFonts w:ascii="Palatino Linotype" w:eastAsia="Palatino Linotype" w:hAnsi="Palatino Linotype" w:cs="Palatino Linotype"/>
                    <w:bCs/>
                  </w:rPr>
                  <w:t>Ayuntamiento de Almoloya del Río</w:t>
                </w:r>
              </w:p>
            </w:tc>
          </w:tr>
          <w:tr w:rsidR="005808FF" w:rsidRPr="002A347F" w:rsidTr="002A347F">
            <w:trPr>
              <w:trHeight w:val="283"/>
            </w:trPr>
            <w:tc>
              <w:tcPr>
                <w:tcW w:w="2546" w:type="dxa"/>
                <w:shd w:val="clear" w:color="auto" w:fill="auto"/>
              </w:tcPr>
              <w:p w:rsidR="005808FF" w:rsidRPr="002A347F" w:rsidRDefault="005808FF">
                <w:pPr>
                  <w:tabs>
                    <w:tab w:val="right" w:pos="8838"/>
                  </w:tabs>
                  <w:ind w:left="-74" w:right="-105"/>
                  <w:rPr>
                    <w:rFonts w:ascii="Palatino Linotype" w:eastAsia="Palatino Linotype" w:hAnsi="Palatino Linotype" w:cs="Palatino Linotype"/>
                    <w:b/>
                  </w:rPr>
                </w:pPr>
                <w:r w:rsidRPr="002A347F">
                  <w:rPr>
                    <w:rFonts w:ascii="Palatino Linotype" w:eastAsia="Palatino Linotype" w:hAnsi="Palatino Linotype" w:cs="Palatino Linotype"/>
                    <w:b/>
                  </w:rPr>
                  <w:t>Comisionado ponente:</w:t>
                </w:r>
              </w:p>
            </w:tc>
            <w:tc>
              <w:tcPr>
                <w:tcW w:w="4218" w:type="dxa"/>
                <w:shd w:val="clear" w:color="auto" w:fill="auto"/>
              </w:tcPr>
              <w:p w:rsidR="005808FF" w:rsidRPr="002A347F" w:rsidRDefault="005808FF">
                <w:pPr>
                  <w:tabs>
                    <w:tab w:val="right" w:pos="8838"/>
                  </w:tabs>
                  <w:ind w:left="-74" w:right="-105"/>
                  <w:jc w:val="both"/>
                  <w:rPr>
                    <w:rFonts w:ascii="Palatino Linotype" w:eastAsia="Palatino Linotype" w:hAnsi="Palatino Linotype" w:cs="Palatino Linotype"/>
                  </w:rPr>
                </w:pPr>
                <w:r w:rsidRPr="002A347F">
                  <w:rPr>
                    <w:rFonts w:ascii="Palatino Linotype" w:eastAsia="Palatino Linotype" w:hAnsi="Palatino Linotype" w:cs="Palatino Linotype"/>
                  </w:rPr>
                  <w:t>María del Rosario Mejía Ayala</w:t>
                </w:r>
              </w:p>
              <w:p w:rsidR="005808FF" w:rsidRPr="002A347F" w:rsidRDefault="005808FF">
                <w:pPr>
                  <w:tabs>
                    <w:tab w:val="right" w:pos="8838"/>
                  </w:tabs>
                  <w:ind w:left="-74" w:right="-105"/>
                  <w:jc w:val="both"/>
                  <w:rPr>
                    <w:rFonts w:ascii="Palatino Linotype" w:eastAsia="Palatino Linotype" w:hAnsi="Palatino Linotype" w:cs="Palatino Linotype"/>
                  </w:rPr>
                </w:pPr>
              </w:p>
            </w:tc>
          </w:tr>
        </w:tbl>
        <w:p w:rsidR="005808FF" w:rsidRDefault="005808FF">
          <w:pPr>
            <w:tabs>
              <w:tab w:val="right" w:pos="8838"/>
            </w:tabs>
            <w:ind w:left="-28"/>
            <w:jc w:val="both"/>
            <w:rPr>
              <w:rFonts w:ascii="Arial" w:eastAsia="Arial" w:hAnsi="Arial" w:cs="Arial"/>
              <w:b/>
              <w:sz w:val="22"/>
              <w:szCs w:val="22"/>
            </w:rPr>
          </w:pPr>
        </w:p>
      </w:tc>
    </w:tr>
  </w:tbl>
  <w:p w:rsidR="005808FF" w:rsidRDefault="006674E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7954B2"/>
    <w:multiLevelType w:val="hybridMultilevel"/>
    <w:tmpl w:val="FBE8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777F6C"/>
    <w:multiLevelType w:val="multilevel"/>
    <w:tmpl w:val="377E291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Times New Roman" w:hAnsi="Palatino Linotype"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AA"/>
    <w:rsid w:val="000A671F"/>
    <w:rsid w:val="00262F40"/>
    <w:rsid w:val="002637FD"/>
    <w:rsid w:val="002670AA"/>
    <w:rsid w:val="002A347F"/>
    <w:rsid w:val="003625FF"/>
    <w:rsid w:val="003718D0"/>
    <w:rsid w:val="00514352"/>
    <w:rsid w:val="005808FF"/>
    <w:rsid w:val="0063299B"/>
    <w:rsid w:val="006674E5"/>
    <w:rsid w:val="007062E9"/>
    <w:rsid w:val="007D2C76"/>
    <w:rsid w:val="008A4CAE"/>
    <w:rsid w:val="00A81C74"/>
    <w:rsid w:val="00BB6E75"/>
    <w:rsid w:val="00C444B5"/>
    <w:rsid w:val="00D631BF"/>
    <w:rsid w:val="00EA5F66"/>
    <w:rsid w:val="00F769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4972354-934F-4CCA-9519-078F700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A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2670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5808FF"/>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70AA"/>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670AA"/>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2670A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670AA"/>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670A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670A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670AA"/>
    <w:rPr>
      <w:vertAlign w:val="superscript"/>
    </w:rPr>
  </w:style>
  <w:style w:type="paragraph" w:styleId="Piedepgina">
    <w:name w:val="footer"/>
    <w:basedOn w:val="Normal"/>
    <w:link w:val="PiedepginaCar"/>
    <w:uiPriority w:val="99"/>
    <w:unhideWhenUsed/>
    <w:rsid w:val="002670AA"/>
    <w:pPr>
      <w:tabs>
        <w:tab w:val="center" w:pos="4419"/>
        <w:tab w:val="right" w:pos="8838"/>
      </w:tabs>
    </w:pPr>
  </w:style>
  <w:style w:type="character" w:customStyle="1" w:styleId="PiedepginaCar">
    <w:name w:val="Pie de página Car"/>
    <w:basedOn w:val="Fuentedeprrafopredeter"/>
    <w:link w:val="Piedepgina"/>
    <w:uiPriority w:val="99"/>
    <w:rsid w:val="002670AA"/>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5808FF"/>
    <w:pPr>
      <w:spacing w:after="0" w:line="240" w:lineRule="auto"/>
    </w:pPr>
    <w:rPr>
      <w:rFonts w:ascii="Times New Roman" w:eastAsia="Times New Roman" w:hAnsi="Times New Roman" w:cs="Times New Roman"/>
      <w:color w:val="000000" w:themeColor="text1"/>
      <w:sz w:val="24"/>
      <w:szCs w:val="24"/>
      <w:lang w:eastAsia="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rsid w:val="005808FF"/>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25282">
      <w:bodyDiv w:val="1"/>
      <w:marLeft w:val="0"/>
      <w:marRight w:val="0"/>
      <w:marTop w:val="0"/>
      <w:marBottom w:val="0"/>
      <w:divBdr>
        <w:top w:val="none" w:sz="0" w:space="0" w:color="auto"/>
        <w:left w:val="none" w:sz="0" w:space="0" w:color="auto"/>
        <w:bottom w:val="none" w:sz="0" w:space="0" w:color="auto"/>
        <w:right w:val="none" w:sz="0" w:space="0" w:color="auto"/>
      </w:divBdr>
    </w:div>
    <w:div w:id="15741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273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12718.page"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f.gob.mx/nota_detalle.php?codigo=5492254&amp;fecha=28/07/201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422949.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48</Pages>
  <Words>10696</Words>
  <Characters>58829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7</cp:revision>
  <cp:lastPrinted>2025-05-15T19:14:00Z</cp:lastPrinted>
  <dcterms:created xsi:type="dcterms:W3CDTF">2025-05-12T20:55:00Z</dcterms:created>
  <dcterms:modified xsi:type="dcterms:W3CDTF">2025-05-15T19:14:00Z</dcterms:modified>
</cp:coreProperties>
</file>