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E2A59" w14:textId="13F1832F" w:rsidR="0088340F" w:rsidRPr="002F3A9F" w:rsidRDefault="009B1A9E">
      <w:pPr>
        <w:spacing w:line="360" w:lineRule="auto"/>
        <w:ind w:right="49"/>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4F66B1" w:rsidRPr="002F3A9F">
        <w:rPr>
          <w:rFonts w:ascii="Palatino Linotype" w:eastAsia="Palatino Linotype" w:hAnsi="Palatino Linotype" w:cs="Palatino Linotype"/>
          <w:b/>
          <w:bCs/>
          <w:sz w:val="22"/>
          <w:szCs w:val="22"/>
        </w:rPr>
        <w:t>veinticinco</w:t>
      </w:r>
      <w:r w:rsidRPr="002F3A9F">
        <w:rPr>
          <w:rFonts w:ascii="Palatino Linotype" w:eastAsia="Palatino Linotype" w:hAnsi="Palatino Linotype" w:cs="Palatino Linotype"/>
          <w:b/>
          <w:bCs/>
          <w:sz w:val="22"/>
          <w:szCs w:val="22"/>
        </w:rPr>
        <w:t xml:space="preserve"> de noviembre</w:t>
      </w:r>
      <w:r w:rsidRPr="002F3A9F">
        <w:rPr>
          <w:rFonts w:ascii="Palatino Linotype" w:eastAsia="Palatino Linotype" w:hAnsi="Palatino Linotype" w:cs="Palatino Linotype"/>
          <w:sz w:val="22"/>
          <w:szCs w:val="22"/>
        </w:rPr>
        <w:t xml:space="preserve"> </w:t>
      </w:r>
      <w:r w:rsidRPr="002F3A9F">
        <w:rPr>
          <w:rFonts w:ascii="Palatino Linotype" w:eastAsia="Palatino Linotype" w:hAnsi="Palatino Linotype" w:cs="Palatino Linotype"/>
          <w:b/>
          <w:bCs/>
          <w:sz w:val="22"/>
          <w:szCs w:val="22"/>
        </w:rPr>
        <w:t>de dos mil veinticinco.</w:t>
      </w:r>
    </w:p>
    <w:p w14:paraId="35FB7611" w14:textId="77777777" w:rsidR="0088340F" w:rsidRPr="002F3A9F" w:rsidRDefault="0088340F">
      <w:pPr>
        <w:spacing w:line="360" w:lineRule="auto"/>
        <w:ind w:right="49"/>
        <w:jc w:val="both"/>
        <w:rPr>
          <w:rFonts w:ascii="Palatino Linotype" w:eastAsia="Palatino Linotype" w:hAnsi="Palatino Linotype" w:cs="Palatino Linotype"/>
          <w:sz w:val="22"/>
          <w:szCs w:val="22"/>
        </w:rPr>
      </w:pPr>
    </w:p>
    <w:p w14:paraId="0AED4CEF" w14:textId="5A89E3BA" w:rsidR="0088340F" w:rsidRPr="002F3A9F" w:rsidRDefault="009B1A9E">
      <w:pPr>
        <w:spacing w:line="360" w:lineRule="auto"/>
        <w:ind w:right="49"/>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 xml:space="preserve">VISTOS </w:t>
      </w:r>
      <w:r w:rsidRPr="002F3A9F">
        <w:rPr>
          <w:rFonts w:ascii="Palatino Linotype" w:eastAsia="Palatino Linotype" w:hAnsi="Palatino Linotype" w:cs="Palatino Linotype"/>
          <w:sz w:val="22"/>
          <w:szCs w:val="22"/>
        </w:rPr>
        <w:t xml:space="preserve">los expedientes relativos a los recursos de revisión </w:t>
      </w:r>
      <w:r w:rsidRPr="002F3A9F">
        <w:rPr>
          <w:rFonts w:ascii="Palatino Linotype" w:eastAsia="Palatino Linotype" w:hAnsi="Palatino Linotype" w:cs="Palatino Linotype"/>
          <w:b/>
          <w:bCs/>
          <w:sz w:val="22"/>
          <w:szCs w:val="22"/>
        </w:rPr>
        <w:t xml:space="preserve">11919/INFOEM/IP/RR/2025, 11920/INFOEM/IP/RR/2025, 11922/INFOEM/IP/RR/2025, 11923/INFOEM/IP/RR/2025, 11924/INFOEM/IP/RR/2025, 11925/INFOEM/IP/RR/2025 y 11927/INFOEM/IP/RR/2025, </w:t>
      </w:r>
      <w:r w:rsidRPr="002F3A9F">
        <w:rPr>
          <w:rFonts w:ascii="Palatino Linotype" w:eastAsia="Palatino Linotype" w:hAnsi="Palatino Linotype" w:cs="Palatino Linotype"/>
          <w:sz w:val="22"/>
          <w:szCs w:val="22"/>
        </w:rPr>
        <w:t xml:space="preserve">interpuestos por un </w:t>
      </w:r>
      <w:r w:rsidR="00F05D3B">
        <w:rPr>
          <w:rFonts w:ascii="Palatino Linotype" w:eastAsia="Palatino Linotype" w:hAnsi="Palatino Linotype" w:cs="Palatino Linotype"/>
          <w:b/>
          <w:bCs/>
          <w:sz w:val="22"/>
          <w:szCs w:val="22"/>
        </w:rPr>
        <w:t>XXXX XXXXXX</w:t>
      </w:r>
      <w:r w:rsidRPr="002F3A9F">
        <w:rPr>
          <w:rFonts w:ascii="Palatino Linotype" w:eastAsia="Palatino Linotype" w:hAnsi="Palatino Linotype" w:cs="Palatino Linotype"/>
          <w:sz w:val="22"/>
          <w:szCs w:val="22"/>
        </w:rPr>
        <w:t xml:space="preserve">, en lo sucesivo la parte </w:t>
      </w:r>
      <w:r w:rsidRPr="002F3A9F">
        <w:rPr>
          <w:rFonts w:ascii="Palatino Linotype" w:eastAsia="Palatino Linotype" w:hAnsi="Palatino Linotype" w:cs="Palatino Linotype"/>
          <w:b/>
          <w:bCs/>
          <w:sz w:val="22"/>
          <w:szCs w:val="22"/>
        </w:rPr>
        <w:t>Recurrente</w:t>
      </w:r>
      <w:r w:rsidRPr="002F3A9F">
        <w:rPr>
          <w:rFonts w:ascii="Palatino Linotype" w:eastAsia="Palatino Linotype" w:hAnsi="Palatino Linotype" w:cs="Palatino Linotype"/>
          <w:sz w:val="22"/>
          <w:szCs w:val="22"/>
        </w:rPr>
        <w:t xml:space="preserve">, en contra de las respuestas a las solicitudes de información por parte de la </w:t>
      </w:r>
      <w:r w:rsidRPr="002F3A9F">
        <w:rPr>
          <w:rFonts w:ascii="Palatino Linotype" w:eastAsia="Palatino Linotype" w:hAnsi="Palatino Linotype" w:cs="Palatino Linotype"/>
          <w:b/>
          <w:bCs/>
          <w:sz w:val="22"/>
          <w:szCs w:val="22"/>
        </w:rPr>
        <w:t>Secretaría de Seguridad</w:t>
      </w:r>
      <w:r w:rsidRPr="002F3A9F">
        <w:rPr>
          <w:rFonts w:ascii="Palatino Linotype" w:eastAsia="Palatino Linotype" w:hAnsi="Palatino Linotype" w:cs="Palatino Linotype"/>
          <w:sz w:val="22"/>
          <w:szCs w:val="22"/>
        </w:rPr>
        <w:t xml:space="preserve">, en lo sucesivo el </w:t>
      </w:r>
      <w:r w:rsidRPr="002F3A9F">
        <w:rPr>
          <w:rFonts w:ascii="Palatino Linotype" w:eastAsia="Palatino Linotype" w:hAnsi="Palatino Linotype" w:cs="Palatino Linotype"/>
          <w:b/>
          <w:bCs/>
          <w:sz w:val="22"/>
          <w:szCs w:val="22"/>
        </w:rPr>
        <w:t xml:space="preserve">Sujeto Obligado; </w:t>
      </w:r>
      <w:r w:rsidRPr="002F3A9F">
        <w:rPr>
          <w:rFonts w:ascii="Palatino Linotype" w:eastAsia="Palatino Linotype" w:hAnsi="Palatino Linotype" w:cs="Palatino Linotype"/>
          <w:sz w:val="22"/>
          <w:szCs w:val="22"/>
        </w:rPr>
        <w:t>se procede a dictar la presente resolución, con base en lo siguiente.</w:t>
      </w:r>
    </w:p>
    <w:p w14:paraId="4CAD2FBC" w14:textId="77777777" w:rsidR="0088340F" w:rsidRPr="002F3A9F" w:rsidRDefault="0088340F">
      <w:pPr>
        <w:spacing w:line="360" w:lineRule="auto"/>
        <w:ind w:right="49"/>
        <w:jc w:val="both"/>
        <w:rPr>
          <w:rFonts w:ascii="Palatino Linotype" w:eastAsia="Palatino Linotype" w:hAnsi="Palatino Linotype" w:cs="Palatino Linotype"/>
          <w:sz w:val="22"/>
          <w:szCs w:val="22"/>
        </w:rPr>
      </w:pPr>
    </w:p>
    <w:p w14:paraId="2B0D2101" w14:textId="77777777" w:rsidR="0088340F" w:rsidRPr="002F3A9F" w:rsidRDefault="009B1A9E">
      <w:pPr>
        <w:spacing w:line="360" w:lineRule="auto"/>
        <w:ind w:right="49"/>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I.</w:t>
      </w:r>
      <w:r w:rsidRPr="002F3A9F">
        <w:rPr>
          <w:rFonts w:ascii="Palatino Linotype" w:eastAsia="Palatino Linotype" w:hAnsi="Palatino Linotype" w:cs="Palatino Linotype"/>
          <w:b/>
          <w:bCs/>
          <w:sz w:val="22"/>
          <w:szCs w:val="22"/>
        </w:rPr>
        <w:tab/>
        <w:t>A N T E C E D E N T E S</w:t>
      </w:r>
    </w:p>
    <w:p w14:paraId="31B7F7CF" w14:textId="77777777" w:rsidR="0088340F" w:rsidRPr="002F3A9F" w:rsidRDefault="0088340F">
      <w:pPr>
        <w:spacing w:line="360" w:lineRule="auto"/>
        <w:ind w:right="49"/>
        <w:jc w:val="both"/>
        <w:rPr>
          <w:rFonts w:ascii="Palatino Linotype" w:eastAsia="Palatino Linotype" w:hAnsi="Palatino Linotype" w:cs="Palatino Linotype"/>
          <w:sz w:val="22"/>
          <w:szCs w:val="22"/>
        </w:rPr>
      </w:pPr>
    </w:p>
    <w:p w14:paraId="79AA8EDF"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1.</w:t>
      </w:r>
      <w:r w:rsidRPr="002F3A9F">
        <w:rPr>
          <w:rFonts w:ascii="Palatino Linotype" w:eastAsia="Palatino Linotype" w:hAnsi="Palatino Linotype" w:cs="Palatino Linotype"/>
          <w:sz w:val="22"/>
          <w:szCs w:val="22"/>
        </w:rPr>
        <w:t xml:space="preserve"> </w:t>
      </w:r>
      <w:r w:rsidRPr="002F3A9F">
        <w:rPr>
          <w:rFonts w:ascii="Palatino Linotype" w:eastAsia="Palatino Linotype" w:hAnsi="Palatino Linotype" w:cs="Palatino Linotype"/>
          <w:b/>
          <w:bCs/>
          <w:sz w:val="22"/>
          <w:szCs w:val="22"/>
        </w:rPr>
        <w:t>Solicitud de Acceso a la Información. El dos de septiembre de dos mil veinticinco</w:t>
      </w:r>
      <w:r w:rsidRPr="002F3A9F">
        <w:rPr>
          <w:rFonts w:ascii="Palatino Linotype" w:eastAsia="Palatino Linotype" w:hAnsi="Palatino Linotype" w:cs="Palatino Linotype"/>
          <w:sz w:val="22"/>
          <w:szCs w:val="22"/>
        </w:rPr>
        <w:t xml:space="preserve">, </w:t>
      </w:r>
      <w:r w:rsidRPr="002F3A9F">
        <w:rPr>
          <w:rFonts w:ascii="Palatino Linotype" w:eastAsia="Palatino Linotype" w:hAnsi="Palatino Linotype" w:cs="Palatino Linotype"/>
          <w:b/>
          <w:bCs/>
          <w:sz w:val="22"/>
          <w:szCs w:val="22"/>
        </w:rPr>
        <w:t>LA PARTE</w:t>
      </w:r>
      <w:r w:rsidRPr="002F3A9F">
        <w:rPr>
          <w:rFonts w:ascii="Palatino Linotype" w:eastAsia="Palatino Linotype" w:hAnsi="Palatino Linotype" w:cs="Palatino Linotype"/>
          <w:sz w:val="22"/>
          <w:szCs w:val="22"/>
        </w:rPr>
        <w:t xml:space="preserve"> </w:t>
      </w:r>
      <w:r w:rsidRPr="002F3A9F">
        <w:rPr>
          <w:rFonts w:ascii="Palatino Linotype" w:eastAsia="Palatino Linotype" w:hAnsi="Palatino Linotype" w:cs="Palatino Linotype"/>
          <w:b/>
          <w:bCs/>
          <w:sz w:val="22"/>
          <w:szCs w:val="22"/>
        </w:rPr>
        <w:t>RECURRENTE</w:t>
      </w:r>
      <w:r w:rsidRPr="002F3A9F">
        <w:rPr>
          <w:rFonts w:ascii="Palatino Linotype" w:eastAsia="Palatino Linotype" w:hAnsi="Palatino Linotype" w:cs="Palatino Linotype"/>
          <w:sz w:val="22"/>
          <w:szCs w:val="22"/>
        </w:rPr>
        <w:t xml:space="preserve"> formuló solicitudes de acceso a información pública a través del </w:t>
      </w:r>
      <w:r w:rsidRPr="002F3A9F">
        <w:rPr>
          <w:rFonts w:ascii="Palatino Linotype" w:eastAsia="Palatino Linotype" w:hAnsi="Palatino Linotype" w:cs="Palatino Linotype"/>
          <w:b/>
          <w:bCs/>
          <w:sz w:val="22"/>
          <w:szCs w:val="22"/>
        </w:rPr>
        <w:t>SAIMEX</w:t>
      </w:r>
      <w:r w:rsidRPr="002F3A9F">
        <w:rPr>
          <w:rFonts w:ascii="Palatino Linotype" w:eastAsia="Palatino Linotype" w:hAnsi="Palatino Linotype" w:cs="Palatino Linotype"/>
          <w:sz w:val="22"/>
          <w:szCs w:val="22"/>
        </w:rPr>
        <w:t>, en la que requirió lo siguiente:</w:t>
      </w:r>
    </w:p>
    <w:p w14:paraId="1F37F694" w14:textId="77777777" w:rsidR="0088340F" w:rsidRPr="002F3A9F" w:rsidRDefault="0088340F">
      <w:pPr>
        <w:spacing w:line="360" w:lineRule="auto"/>
        <w:jc w:val="both"/>
        <w:rPr>
          <w:rFonts w:ascii="Palatino Linotype" w:eastAsia="Palatino Linotype" w:hAnsi="Palatino Linotype" w:cs="Palatino Linotype"/>
          <w:sz w:val="22"/>
          <w:szCs w:val="22"/>
        </w:rPr>
      </w:pPr>
    </w:p>
    <w:tbl>
      <w:tblPr>
        <w:tblStyle w:val="afb"/>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812"/>
      </w:tblGrid>
      <w:tr w:rsidR="00B516E4" w:rsidRPr="002F3A9F" w14:paraId="617F26C5" w14:textId="77777777">
        <w:trPr>
          <w:jc w:val="center"/>
        </w:trPr>
        <w:tc>
          <w:tcPr>
            <w:tcW w:w="2830" w:type="dxa"/>
            <w:shd w:val="clear" w:color="auto" w:fill="D0CECE"/>
          </w:tcPr>
          <w:p w14:paraId="40FB3F17"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Solicitud</w:t>
            </w:r>
          </w:p>
        </w:tc>
        <w:tc>
          <w:tcPr>
            <w:tcW w:w="5812" w:type="dxa"/>
            <w:shd w:val="clear" w:color="auto" w:fill="D0CECE"/>
          </w:tcPr>
          <w:p w14:paraId="01B03F75" w14:textId="77777777" w:rsidR="0088340F" w:rsidRPr="002F3A9F" w:rsidRDefault="009B1A9E">
            <w:pPr>
              <w:spacing w:line="360" w:lineRule="auto"/>
              <w:ind w:right="167"/>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Información requerida.</w:t>
            </w:r>
          </w:p>
        </w:tc>
      </w:tr>
      <w:tr w:rsidR="00B516E4" w:rsidRPr="002F3A9F" w14:paraId="3530FBE3" w14:textId="77777777">
        <w:trPr>
          <w:jc w:val="center"/>
        </w:trPr>
        <w:tc>
          <w:tcPr>
            <w:tcW w:w="2830" w:type="dxa"/>
          </w:tcPr>
          <w:p w14:paraId="65FF4768" w14:textId="77777777" w:rsidR="0088340F" w:rsidRPr="002F3A9F" w:rsidRDefault="009B1A9E">
            <w:pPr>
              <w:pBdr>
                <w:top w:val="nil"/>
                <w:left w:val="nil"/>
                <w:bottom w:val="nil"/>
                <w:right w:val="nil"/>
                <w:between w:val="nil"/>
              </w:pBdr>
              <w:spacing w:line="360" w:lineRule="auto"/>
              <w:ind w:left="29" w:right="49"/>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00400/SSEM/IP/2025</w:t>
            </w:r>
          </w:p>
        </w:tc>
        <w:tc>
          <w:tcPr>
            <w:tcW w:w="5812" w:type="dxa"/>
          </w:tcPr>
          <w:p w14:paraId="0D634A95" w14:textId="77777777" w:rsidR="0088340F" w:rsidRPr="002F3A9F" w:rsidRDefault="009B1A9E">
            <w:pPr>
              <w:spacing w:line="360" w:lineRule="auto"/>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Recibos de nomina de todos los servidores públicos que trabajaron en agosto de 2019</w:t>
            </w:r>
          </w:p>
        </w:tc>
      </w:tr>
      <w:tr w:rsidR="00B516E4" w:rsidRPr="002F3A9F" w14:paraId="0A20551B" w14:textId="77777777">
        <w:trPr>
          <w:jc w:val="center"/>
        </w:trPr>
        <w:tc>
          <w:tcPr>
            <w:tcW w:w="2830" w:type="dxa"/>
          </w:tcPr>
          <w:p w14:paraId="333C116D"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00399/SSEM/IP/2025</w:t>
            </w:r>
          </w:p>
        </w:tc>
        <w:tc>
          <w:tcPr>
            <w:tcW w:w="5812" w:type="dxa"/>
          </w:tcPr>
          <w:p w14:paraId="227553E6" w14:textId="77777777" w:rsidR="0088340F" w:rsidRPr="002F3A9F" w:rsidRDefault="009B1A9E">
            <w:pPr>
              <w:spacing w:line="360" w:lineRule="auto"/>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Recibos de nomina de todos los servidores públicos que trabajaron en julio de 2019</w:t>
            </w:r>
          </w:p>
        </w:tc>
      </w:tr>
      <w:tr w:rsidR="00B516E4" w:rsidRPr="002F3A9F" w14:paraId="4CB5EE12" w14:textId="77777777">
        <w:trPr>
          <w:jc w:val="center"/>
        </w:trPr>
        <w:tc>
          <w:tcPr>
            <w:tcW w:w="2830" w:type="dxa"/>
          </w:tcPr>
          <w:p w14:paraId="156DA947"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00397/SSEM/IP/2025</w:t>
            </w:r>
          </w:p>
        </w:tc>
        <w:tc>
          <w:tcPr>
            <w:tcW w:w="5812" w:type="dxa"/>
          </w:tcPr>
          <w:p w14:paraId="2B03D2AD" w14:textId="77777777" w:rsidR="0088340F" w:rsidRPr="002F3A9F" w:rsidRDefault="009B1A9E">
            <w:pPr>
              <w:spacing w:line="360" w:lineRule="auto"/>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Recibos de nomina de todos los servidores públicos que trabajaron en mayo de 2019</w:t>
            </w:r>
          </w:p>
        </w:tc>
      </w:tr>
      <w:tr w:rsidR="00B516E4" w:rsidRPr="002F3A9F" w14:paraId="201C5170" w14:textId="77777777">
        <w:trPr>
          <w:jc w:val="center"/>
        </w:trPr>
        <w:tc>
          <w:tcPr>
            <w:tcW w:w="2830" w:type="dxa"/>
          </w:tcPr>
          <w:p w14:paraId="7A7AFD5B"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lastRenderedPageBreak/>
              <w:t>00396/SSEM/IP/2025</w:t>
            </w:r>
          </w:p>
        </w:tc>
        <w:tc>
          <w:tcPr>
            <w:tcW w:w="5812" w:type="dxa"/>
          </w:tcPr>
          <w:p w14:paraId="5B567D93" w14:textId="77777777" w:rsidR="0088340F" w:rsidRPr="002F3A9F" w:rsidRDefault="009B1A9E">
            <w:pPr>
              <w:spacing w:line="360" w:lineRule="auto"/>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Recibos de nomina de todos los servidores públicos que trabajaron en abril de 2019</w:t>
            </w:r>
          </w:p>
        </w:tc>
      </w:tr>
      <w:tr w:rsidR="00B516E4" w:rsidRPr="002F3A9F" w14:paraId="66733259" w14:textId="77777777">
        <w:trPr>
          <w:jc w:val="center"/>
        </w:trPr>
        <w:tc>
          <w:tcPr>
            <w:tcW w:w="2830" w:type="dxa"/>
          </w:tcPr>
          <w:p w14:paraId="796CF1C7"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00395/SSEM/IP/2025</w:t>
            </w:r>
          </w:p>
        </w:tc>
        <w:tc>
          <w:tcPr>
            <w:tcW w:w="5812" w:type="dxa"/>
          </w:tcPr>
          <w:p w14:paraId="6384530E" w14:textId="77777777" w:rsidR="0088340F" w:rsidRPr="002F3A9F" w:rsidRDefault="009B1A9E">
            <w:pPr>
              <w:spacing w:line="360" w:lineRule="auto"/>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Recibos de nomina de todos los servidores públicos que trabajaron en marzo de 2019</w:t>
            </w:r>
          </w:p>
        </w:tc>
      </w:tr>
      <w:tr w:rsidR="00B516E4" w:rsidRPr="002F3A9F" w14:paraId="70330767" w14:textId="77777777">
        <w:trPr>
          <w:jc w:val="center"/>
        </w:trPr>
        <w:tc>
          <w:tcPr>
            <w:tcW w:w="2830" w:type="dxa"/>
          </w:tcPr>
          <w:p w14:paraId="6C5F809B"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00394/SSEM/IP/2025</w:t>
            </w:r>
          </w:p>
        </w:tc>
        <w:tc>
          <w:tcPr>
            <w:tcW w:w="5812" w:type="dxa"/>
          </w:tcPr>
          <w:p w14:paraId="26D5B950" w14:textId="77777777" w:rsidR="0088340F" w:rsidRPr="002F3A9F" w:rsidRDefault="009B1A9E">
            <w:pPr>
              <w:spacing w:line="360" w:lineRule="auto"/>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Recibos de nomina de todos los servidores públicos que trabajaron en febrero de 2019</w:t>
            </w:r>
          </w:p>
        </w:tc>
      </w:tr>
      <w:tr w:rsidR="0088340F" w:rsidRPr="002F3A9F" w14:paraId="4600E2C3" w14:textId="77777777">
        <w:trPr>
          <w:jc w:val="center"/>
        </w:trPr>
        <w:tc>
          <w:tcPr>
            <w:tcW w:w="2830" w:type="dxa"/>
          </w:tcPr>
          <w:p w14:paraId="70AFF659"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00392/SSEM/IP/2025</w:t>
            </w:r>
          </w:p>
        </w:tc>
        <w:tc>
          <w:tcPr>
            <w:tcW w:w="5812" w:type="dxa"/>
          </w:tcPr>
          <w:p w14:paraId="298A9EF5" w14:textId="77777777" w:rsidR="0088340F" w:rsidRPr="002F3A9F" w:rsidRDefault="009B1A9E">
            <w:pPr>
              <w:spacing w:line="360" w:lineRule="auto"/>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Recibos de nomina de todos los servidores públicos que trabajaron en enero de 2019 primera quincena</w:t>
            </w:r>
          </w:p>
        </w:tc>
      </w:tr>
    </w:tbl>
    <w:p w14:paraId="2B0830CD"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7444F9C4" w14:textId="77777777" w:rsidR="0088340F" w:rsidRPr="002F3A9F" w:rsidRDefault="009B1A9E">
      <w:pPr>
        <w:spacing w:line="360" w:lineRule="auto"/>
        <w:ind w:right="49"/>
        <w:jc w:val="both"/>
        <w:rPr>
          <w:rFonts w:ascii="Palatino Linotype" w:eastAsia="Palatino Linotype" w:hAnsi="Palatino Linotype" w:cs="Palatino Linotype"/>
          <w:sz w:val="22"/>
          <w:szCs w:val="22"/>
        </w:rPr>
      </w:pPr>
      <w:bookmarkStart w:id="0" w:name="_heading=h.3znysh7" w:colFirst="0" w:colLast="0"/>
      <w:bookmarkEnd w:id="0"/>
      <w:r w:rsidRPr="002F3A9F">
        <w:rPr>
          <w:rFonts w:ascii="Palatino Linotype" w:eastAsia="Palatino Linotype" w:hAnsi="Palatino Linotype" w:cs="Palatino Linotype"/>
          <w:b/>
          <w:bCs/>
          <w:sz w:val="22"/>
          <w:szCs w:val="22"/>
        </w:rPr>
        <w:t>Modalidad elegida para la entrega de la información:</w:t>
      </w:r>
      <w:r w:rsidRPr="002F3A9F">
        <w:rPr>
          <w:rFonts w:ascii="Palatino Linotype" w:eastAsia="Palatino Linotype" w:hAnsi="Palatino Linotype" w:cs="Palatino Linotype"/>
          <w:sz w:val="22"/>
          <w:szCs w:val="22"/>
        </w:rPr>
        <w:t xml:space="preserve"> a través del Sistema de Acceso a la Información Mexiquense (SAIMEX).</w:t>
      </w:r>
    </w:p>
    <w:p w14:paraId="152ED77B" w14:textId="77777777" w:rsidR="0088340F" w:rsidRPr="002F3A9F" w:rsidRDefault="0088340F">
      <w:pPr>
        <w:widowControl w:val="0"/>
        <w:spacing w:line="360" w:lineRule="auto"/>
        <w:jc w:val="both"/>
        <w:rPr>
          <w:rFonts w:ascii="Palatino Linotype" w:eastAsia="Palatino Linotype" w:hAnsi="Palatino Linotype" w:cs="Palatino Linotype"/>
          <w:b/>
          <w:bCs/>
          <w:sz w:val="22"/>
          <w:szCs w:val="22"/>
        </w:rPr>
      </w:pPr>
    </w:p>
    <w:p w14:paraId="410D4627" w14:textId="77777777" w:rsidR="0088340F" w:rsidRPr="002F3A9F" w:rsidRDefault="009B1A9E">
      <w:pPr>
        <w:widowControl w:val="0"/>
        <w:spacing w:line="360" w:lineRule="auto"/>
        <w:jc w:val="both"/>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 xml:space="preserve">2. Prórroga. </w:t>
      </w:r>
      <w:r w:rsidRPr="002F3A9F">
        <w:rPr>
          <w:rFonts w:ascii="Palatino Linotype" w:eastAsia="Palatino Linotype" w:hAnsi="Palatino Linotype" w:cs="Palatino Linotype"/>
          <w:sz w:val="22"/>
          <w:szCs w:val="22"/>
        </w:rPr>
        <w:t xml:space="preserve">El </w:t>
      </w:r>
      <w:r w:rsidRPr="002F3A9F">
        <w:rPr>
          <w:rFonts w:ascii="Palatino Linotype" w:eastAsia="Palatino Linotype" w:hAnsi="Palatino Linotype" w:cs="Palatino Linotype"/>
          <w:b/>
          <w:bCs/>
          <w:sz w:val="22"/>
          <w:szCs w:val="22"/>
        </w:rPr>
        <w:t>veinticuatro de septiembre de dos mil veinticinco</w:t>
      </w:r>
      <w:r w:rsidRPr="002F3A9F">
        <w:rPr>
          <w:rFonts w:ascii="Palatino Linotype" w:eastAsia="Palatino Linotype" w:hAnsi="Palatino Linotype" w:cs="Palatino Linotype"/>
          <w:sz w:val="22"/>
          <w:szCs w:val="22"/>
        </w:rPr>
        <w:t>, el Sujeto Obligado solicitó una prórroga para dar respuesta en razón de realizar el trámite para localizar, analizar, conformar y revisar adecuadamente la documentación, mediante el acuerdo SS/CT/EXT/XI/003/2025</w:t>
      </w:r>
      <w:r w:rsidRPr="002F3A9F">
        <w:rPr>
          <w:rFonts w:ascii="Palatino Linotype" w:eastAsia="Palatino Linotype" w:hAnsi="Palatino Linotype" w:cs="Palatino Linotype"/>
          <w:b/>
          <w:bCs/>
          <w:sz w:val="22"/>
          <w:szCs w:val="22"/>
        </w:rPr>
        <w:t xml:space="preserve"> </w:t>
      </w:r>
      <w:r w:rsidRPr="002F3A9F">
        <w:rPr>
          <w:rFonts w:ascii="Palatino Linotype" w:eastAsia="Palatino Linotype" w:hAnsi="Palatino Linotype" w:cs="Palatino Linotype"/>
          <w:sz w:val="22"/>
          <w:szCs w:val="22"/>
        </w:rPr>
        <w:t>emitido por el Comité de Transparencia.</w:t>
      </w:r>
      <w:r w:rsidRPr="002F3A9F">
        <w:rPr>
          <w:rFonts w:ascii="Palatino Linotype" w:eastAsia="Palatino Linotype" w:hAnsi="Palatino Linotype" w:cs="Palatino Linotype"/>
          <w:b/>
          <w:bCs/>
          <w:sz w:val="22"/>
          <w:szCs w:val="22"/>
        </w:rPr>
        <w:t xml:space="preserve"> </w:t>
      </w:r>
    </w:p>
    <w:p w14:paraId="3549100C" w14:textId="77777777" w:rsidR="0088340F" w:rsidRPr="002F3A9F" w:rsidRDefault="0088340F">
      <w:pPr>
        <w:widowControl w:val="0"/>
        <w:spacing w:line="360" w:lineRule="auto"/>
        <w:jc w:val="both"/>
        <w:rPr>
          <w:rFonts w:ascii="Palatino Linotype" w:eastAsia="Palatino Linotype" w:hAnsi="Palatino Linotype" w:cs="Palatino Linotype"/>
          <w:b/>
          <w:bCs/>
          <w:sz w:val="22"/>
          <w:szCs w:val="22"/>
        </w:rPr>
      </w:pPr>
    </w:p>
    <w:p w14:paraId="4EF979F2" w14:textId="77777777" w:rsidR="0088340F" w:rsidRPr="002F3A9F" w:rsidRDefault="009B1A9E">
      <w:pPr>
        <w:widowControl w:val="0"/>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3. Respuestas.</w:t>
      </w:r>
      <w:r w:rsidRPr="002F3A9F">
        <w:rPr>
          <w:rFonts w:ascii="Palatino Linotype" w:eastAsia="Palatino Linotype" w:hAnsi="Palatino Linotype" w:cs="Palatino Linotype"/>
          <w:sz w:val="22"/>
          <w:szCs w:val="22"/>
        </w:rPr>
        <w:t xml:space="preserve"> El </w:t>
      </w:r>
      <w:r w:rsidRPr="002F3A9F">
        <w:rPr>
          <w:rFonts w:ascii="Palatino Linotype" w:eastAsia="Palatino Linotype" w:hAnsi="Palatino Linotype" w:cs="Palatino Linotype"/>
          <w:b/>
          <w:bCs/>
          <w:sz w:val="22"/>
          <w:szCs w:val="22"/>
        </w:rPr>
        <w:t>tres de octubre de dos mil veinticinco</w:t>
      </w:r>
      <w:r w:rsidRPr="002F3A9F">
        <w:rPr>
          <w:rFonts w:ascii="Palatino Linotype" w:eastAsia="Palatino Linotype" w:hAnsi="Palatino Linotype" w:cs="Palatino Linotype"/>
          <w:sz w:val="22"/>
          <w:szCs w:val="22"/>
        </w:rPr>
        <w:t>, el Sujeto Obligado dio respuestas a las solicitudes a través de diversos documentos en los que medularmente refiere lo siguiente:</w:t>
      </w:r>
    </w:p>
    <w:tbl>
      <w:tblPr>
        <w:tblStyle w:val="afc"/>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812"/>
      </w:tblGrid>
      <w:tr w:rsidR="00B516E4" w:rsidRPr="002F3A9F" w14:paraId="3A550CBC" w14:textId="77777777">
        <w:trPr>
          <w:jc w:val="center"/>
        </w:trPr>
        <w:tc>
          <w:tcPr>
            <w:tcW w:w="2830" w:type="dxa"/>
          </w:tcPr>
          <w:p w14:paraId="53C80DBB"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Solicitud</w:t>
            </w:r>
          </w:p>
        </w:tc>
        <w:tc>
          <w:tcPr>
            <w:tcW w:w="5812" w:type="dxa"/>
          </w:tcPr>
          <w:p w14:paraId="3CC3B073" w14:textId="77777777" w:rsidR="0088340F" w:rsidRPr="002F3A9F" w:rsidRDefault="009B1A9E">
            <w:pPr>
              <w:spacing w:line="360" w:lineRule="auto"/>
              <w:ind w:right="167"/>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Respuesta</w:t>
            </w:r>
          </w:p>
        </w:tc>
      </w:tr>
      <w:tr w:rsidR="0088340F" w:rsidRPr="002F3A9F" w14:paraId="252B938B" w14:textId="77777777">
        <w:trPr>
          <w:trHeight w:val="3176"/>
          <w:jc w:val="center"/>
        </w:trPr>
        <w:tc>
          <w:tcPr>
            <w:tcW w:w="2830" w:type="dxa"/>
          </w:tcPr>
          <w:p w14:paraId="6BD663C8" w14:textId="77777777" w:rsidR="0088340F" w:rsidRPr="002F3A9F" w:rsidRDefault="009B1A9E">
            <w:pPr>
              <w:pBdr>
                <w:top w:val="nil"/>
                <w:left w:val="nil"/>
                <w:bottom w:val="nil"/>
                <w:right w:val="nil"/>
                <w:between w:val="nil"/>
              </w:pBdr>
              <w:spacing w:line="360" w:lineRule="auto"/>
              <w:ind w:left="29" w:right="49"/>
              <w:jc w:val="center"/>
              <w:rPr>
                <w:rFonts w:ascii="Palatino Linotype" w:eastAsia="Palatino Linotype" w:hAnsi="Palatino Linotype" w:cs="Palatino Linotype"/>
                <w:b/>
                <w:bCs/>
                <w:sz w:val="22"/>
                <w:szCs w:val="22"/>
                <w:lang w:val="en-US"/>
              </w:rPr>
            </w:pPr>
            <w:r w:rsidRPr="002F3A9F">
              <w:rPr>
                <w:rFonts w:ascii="Palatino Linotype" w:eastAsia="Palatino Linotype" w:hAnsi="Palatino Linotype" w:cs="Palatino Linotype"/>
                <w:b/>
                <w:bCs/>
                <w:sz w:val="22"/>
                <w:szCs w:val="22"/>
                <w:lang w:val="en-US"/>
              </w:rPr>
              <w:lastRenderedPageBreak/>
              <w:t>00400/SSEM/IP/2025</w:t>
            </w:r>
          </w:p>
          <w:p w14:paraId="1ABEE78B" w14:textId="77777777" w:rsidR="0088340F" w:rsidRPr="002F3A9F" w:rsidRDefault="009B1A9E">
            <w:pPr>
              <w:spacing w:line="360" w:lineRule="auto"/>
              <w:jc w:val="center"/>
              <w:rPr>
                <w:rFonts w:ascii="Palatino Linotype" w:eastAsia="Palatino Linotype" w:hAnsi="Palatino Linotype" w:cs="Palatino Linotype"/>
                <w:b/>
                <w:bCs/>
                <w:sz w:val="22"/>
                <w:szCs w:val="22"/>
                <w:lang w:val="en-US"/>
              </w:rPr>
            </w:pPr>
            <w:r w:rsidRPr="002F3A9F">
              <w:rPr>
                <w:rFonts w:ascii="Palatino Linotype" w:eastAsia="Palatino Linotype" w:hAnsi="Palatino Linotype" w:cs="Palatino Linotype"/>
                <w:b/>
                <w:bCs/>
                <w:sz w:val="22"/>
                <w:szCs w:val="22"/>
                <w:lang w:val="en-US"/>
              </w:rPr>
              <w:t>00399/SSEM/IP/2025</w:t>
            </w:r>
          </w:p>
          <w:p w14:paraId="28C58AF3" w14:textId="77777777" w:rsidR="0088340F" w:rsidRPr="002F3A9F" w:rsidRDefault="009B1A9E">
            <w:pPr>
              <w:spacing w:line="360" w:lineRule="auto"/>
              <w:jc w:val="center"/>
              <w:rPr>
                <w:rFonts w:ascii="Palatino Linotype" w:eastAsia="Palatino Linotype" w:hAnsi="Palatino Linotype" w:cs="Palatino Linotype"/>
                <w:b/>
                <w:bCs/>
                <w:sz w:val="22"/>
                <w:szCs w:val="22"/>
                <w:lang w:val="en-US"/>
              </w:rPr>
            </w:pPr>
            <w:r w:rsidRPr="002F3A9F">
              <w:rPr>
                <w:rFonts w:ascii="Palatino Linotype" w:eastAsia="Palatino Linotype" w:hAnsi="Palatino Linotype" w:cs="Palatino Linotype"/>
                <w:b/>
                <w:bCs/>
                <w:sz w:val="22"/>
                <w:szCs w:val="22"/>
                <w:lang w:val="en-US"/>
              </w:rPr>
              <w:t>00397/SSEM/IP/2025</w:t>
            </w:r>
          </w:p>
          <w:p w14:paraId="3D7062BF" w14:textId="77777777" w:rsidR="0088340F" w:rsidRPr="002F3A9F" w:rsidRDefault="009B1A9E">
            <w:pPr>
              <w:spacing w:line="360" w:lineRule="auto"/>
              <w:jc w:val="center"/>
              <w:rPr>
                <w:rFonts w:ascii="Palatino Linotype" w:eastAsia="Palatino Linotype" w:hAnsi="Palatino Linotype" w:cs="Palatino Linotype"/>
                <w:b/>
                <w:bCs/>
                <w:sz w:val="22"/>
                <w:szCs w:val="22"/>
                <w:lang w:val="en-US"/>
              </w:rPr>
            </w:pPr>
            <w:r w:rsidRPr="002F3A9F">
              <w:rPr>
                <w:rFonts w:ascii="Palatino Linotype" w:eastAsia="Palatino Linotype" w:hAnsi="Palatino Linotype" w:cs="Palatino Linotype"/>
                <w:b/>
                <w:bCs/>
                <w:sz w:val="22"/>
                <w:szCs w:val="22"/>
                <w:lang w:val="en-US"/>
              </w:rPr>
              <w:t>00396/SSEM/IP/2025</w:t>
            </w:r>
          </w:p>
          <w:p w14:paraId="1B890464" w14:textId="77777777" w:rsidR="0088340F" w:rsidRPr="002F3A9F" w:rsidRDefault="009B1A9E">
            <w:pPr>
              <w:spacing w:line="360" w:lineRule="auto"/>
              <w:jc w:val="center"/>
              <w:rPr>
                <w:rFonts w:ascii="Palatino Linotype" w:eastAsia="Palatino Linotype" w:hAnsi="Palatino Linotype" w:cs="Palatino Linotype"/>
                <w:b/>
                <w:bCs/>
                <w:sz w:val="22"/>
                <w:szCs w:val="22"/>
                <w:lang w:val="en-US"/>
              </w:rPr>
            </w:pPr>
            <w:r w:rsidRPr="002F3A9F">
              <w:rPr>
                <w:rFonts w:ascii="Palatino Linotype" w:eastAsia="Palatino Linotype" w:hAnsi="Palatino Linotype" w:cs="Palatino Linotype"/>
                <w:b/>
                <w:bCs/>
                <w:sz w:val="22"/>
                <w:szCs w:val="22"/>
                <w:lang w:val="en-US"/>
              </w:rPr>
              <w:t>00395/SSEM/IP/2025</w:t>
            </w:r>
          </w:p>
          <w:p w14:paraId="727A4359" w14:textId="77777777" w:rsidR="0088340F" w:rsidRPr="002F3A9F" w:rsidRDefault="009B1A9E">
            <w:pPr>
              <w:spacing w:line="360" w:lineRule="auto"/>
              <w:jc w:val="center"/>
              <w:rPr>
                <w:rFonts w:ascii="Palatino Linotype" w:eastAsia="Palatino Linotype" w:hAnsi="Palatino Linotype" w:cs="Palatino Linotype"/>
                <w:b/>
                <w:bCs/>
                <w:sz w:val="22"/>
                <w:szCs w:val="22"/>
                <w:lang w:val="en-US"/>
              </w:rPr>
            </w:pPr>
            <w:r w:rsidRPr="002F3A9F">
              <w:rPr>
                <w:rFonts w:ascii="Palatino Linotype" w:eastAsia="Palatino Linotype" w:hAnsi="Palatino Linotype" w:cs="Palatino Linotype"/>
                <w:b/>
                <w:bCs/>
                <w:sz w:val="22"/>
                <w:szCs w:val="22"/>
                <w:lang w:val="en-US"/>
              </w:rPr>
              <w:t>00394/SSEM/IP/2025</w:t>
            </w:r>
          </w:p>
          <w:p w14:paraId="5776910F"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00392/SSEM/IP/2025</w:t>
            </w:r>
          </w:p>
        </w:tc>
        <w:tc>
          <w:tcPr>
            <w:tcW w:w="5812" w:type="dxa"/>
          </w:tcPr>
          <w:p w14:paraId="7AA7E3A8" w14:textId="77777777" w:rsidR="0088340F" w:rsidRPr="002F3A9F" w:rsidRDefault="009B1A9E">
            <w:pPr>
              <w:tabs>
                <w:tab w:val="left" w:pos="567"/>
              </w:tabs>
              <w:spacing w:line="360" w:lineRule="auto"/>
              <w:jc w:val="both"/>
              <w:rPr>
                <w:rFonts w:ascii="Palatino Linotype" w:eastAsia="Palatino Linotype" w:hAnsi="Palatino Linotype" w:cs="Palatino Linotype"/>
                <w:i/>
                <w:iCs/>
                <w:sz w:val="22"/>
                <w:szCs w:val="22"/>
              </w:rPr>
            </w:pPr>
            <w:bookmarkStart w:id="1" w:name="_heading=h.xy2sgusnfnps" w:colFirst="0" w:colLast="0"/>
            <w:bookmarkEnd w:id="1"/>
            <w:r w:rsidRPr="002F3A9F">
              <w:rPr>
                <w:rFonts w:ascii="Palatino Linotype" w:eastAsia="Palatino Linotype" w:hAnsi="Palatino Linotype" w:cs="Palatino Linotype"/>
                <w:i/>
                <w:iCs/>
                <w:sz w:val="22"/>
                <w:szCs w:val="22"/>
              </w:rPr>
              <w:t xml:space="preserve">Se hace de su conocimiento que las documentales de su interés, son generadas por cada servidor público a través del Sistema de Nómina del Sector Central del Poder Ejecutivo (g2g), mismo que de conformidad con lo establecido en el numeral 2340004000000L, del Manual de Organización de la Oficialía Mayor del Gobierno del Estado de México, véase en </w:t>
            </w:r>
            <w:hyperlink r:id="rId8">
              <w:r w:rsidRPr="002F3A9F">
                <w:rPr>
                  <w:rFonts w:ascii="Palatino Linotype" w:eastAsia="Palatino Linotype" w:hAnsi="Palatino Linotype" w:cs="Palatino Linotype"/>
                  <w:i/>
                  <w:iCs/>
                  <w:sz w:val="22"/>
                  <w:szCs w:val="22"/>
                  <w:u w:val="single"/>
                </w:rPr>
                <w:t>https://lesgilacion.edomex.gob.mx/sites/legislacion.edomex.gob.mx/files/files/pdf/gct/2024/mayo/may281/may281c.pdf-</w:t>
              </w:r>
            </w:hyperlink>
            <w:r w:rsidRPr="002F3A9F">
              <w:rPr>
                <w:rFonts w:ascii="Palatino Linotype" w:eastAsia="Palatino Linotype" w:hAnsi="Palatino Linotype" w:cs="Palatino Linotype"/>
                <w:i/>
                <w:iCs/>
                <w:sz w:val="22"/>
                <w:szCs w:val="22"/>
              </w:rPr>
              <w:t xml:space="preserve"> es coordinado y operado por la Dirección General de Personal de la dependencia en comento, por lo tanto en los archivos físicos y/o digitales de esta Secretaría de Seguridad no obra documental alguna susceptible de relacionar con su pretensión, en el entendido que cada servidor público cuenta con usuario y contraseña único para ingresar a dicho sistema. </w:t>
            </w:r>
          </w:p>
          <w:p w14:paraId="15D5A3DD" w14:textId="77777777" w:rsidR="0088340F" w:rsidRPr="002F3A9F" w:rsidRDefault="0088340F">
            <w:pPr>
              <w:tabs>
                <w:tab w:val="left" w:pos="567"/>
              </w:tabs>
              <w:spacing w:line="360" w:lineRule="auto"/>
              <w:jc w:val="both"/>
              <w:rPr>
                <w:rFonts w:ascii="Palatino Linotype" w:eastAsia="Palatino Linotype" w:hAnsi="Palatino Linotype" w:cs="Palatino Linotype"/>
                <w:i/>
                <w:iCs/>
                <w:sz w:val="22"/>
                <w:szCs w:val="22"/>
              </w:rPr>
            </w:pPr>
          </w:p>
          <w:p w14:paraId="3FFC0444" w14:textId="77777777" w:rsidR="0088340F" w:rsidRPr="002F3A9F" w:rsidRDefault="009B1A9E">
            <w:pPr>
              <w:tabs>
                <w:tab w:val="left" w:pos="567"/>
              </w:tabs>
              <w:spacing w:line="360" w:lineRule="auto"/>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En relación con lo anterior, no se omite precisar que por medio del sistema g2g, además de la generación y consulta del recibo de nómina, los servidores públicos pueden acceder a diversa información afín, a su relación laboral en el sector central del gobierno, entre la que se pueden encontrar datos personales que únicamente atañen a la vida privada de los mismos, motivo por el cual, el ingreso al sistema unificado corresponde única y exclusivamente a cada persona servidora pública en activo, con la finalidad de no vulnerar sus datos personales.</w:t>
            </w:r>
          </w:p>
          <w:p w14:paraId="423C7A45" w14:textId="77777777" w:rsidR="0088340F" w:rsidRPr="002F3A9F" w:rsidRDefault="009B1A9E">
            <w:pPr>
              <w:tabs>
                <w:tab w:val="left" w:pos="567"/>
              </w:tabs>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i/>
                <w:iCs/>
                <w:sz w:val="22"/>
                <w:szCs w:val="22"/>
              </w:rPr>
              <w:t>…</w:t>
            </w:r>
          </w:p>
        </w:tc>
      </w:tr>
    </w:tbl>
    <w:p w14:paraId="13C7F33F" w14:textId="77777777" w:rsidR="0088340F" w:rsidRPr="002F3A9F" w:rsidRDefault="0088340F">
      <w:pPr>
        <w:spacing w:line="360" w:lineRule="auto"/>
        <w:jc w:val="both"/>
        <w:rPr>
          <w:rFonts w:ascii="Palatino Linotype" w:eastAsia="Palatino Linotype" w:hAnsi="Palatino Linotype" w:cs="Palatino Linotype"/>
          <w:b/>
          <w:bCs/>
          <w:sz w:val="22"/>
          <w:szCs w:val="22"/>
        </w:rPr>
      </w:pPr>
    </w:p>
    <w:p w14:paraId="78CB70C1"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 xml:space="preserve">3. Del Recurso de Revisión. </w:t>
      </w:r>
      <w:r w:rsidRPr="002F3A9F">
        <w:rPr>
          <w:rFonts w:ascii="Palatino Linotype" w:eastAsia="Palatino Linotype" w:hAnsi="Palatino Linotype" w:cs="Palatino Linotype"/>
          <w:sz w:val="22"/>
          <w:szCs w:val="22"/>
        </w:rPr>
        <w:t>Inconforme con las respuestas del</w:t>
      </w:r>
      <w:r w:rsidRPr="002F3A9F">
        <w:rPr>
          <w:rFonts w:ascii="Palatino Linotype" w:eastAsia="Palatino Linotype" w:hAnsi="Palatino Linotype" w:cs="Palatino Linotype"/>
          <w:b/>
          <w:bCs/>
          <w:sz w:val="22"/>
          <w:szCs w:val="22"/>
        </w:rPr>
        <w:t xml:space="preserve"> SUJETO OBLIGADO, </w:t>
      </w:r>
      <w:r w:rsidRPr="002F3A9F">
        <w:rPr>
          <w:rFonts w:ascii="Palatino Linotype" w:eastAsia="Palatino Linotype" w:hAnsi="Palatino Linotype" w:cs="Palatino Linotype"/>
          <w:sz w:val="22"/>
          <w:szCs w:val="22"/>
        </w:rPr>
        <w:t xml:space="preserve">el </w:t>
      </w:r>
      <w:r w:rsidRPr="002F3A9F">
        <w:rPr>
          <w:rFonts w:ascii="Palatino Linotype" w:eastAsia="Palatino Linotype" w:hAnsi="Palatino Linotype" w:cs="Palatino Linotype"/>
          <w:b/>
          <w:bCs/>
          <w:sz w:val="22"/>
          <w:szCs w:val="22"/>
        </w:rPr>
        <w:t xml:space="preserve">catorce de octubre de dos mil veinticinco, LA PARTE RECURRENTE </w:t>
      </w:r>
      <w:r w:rsidRPr="002F3A9F">
        <w:rPr>
          <w:rFonts w:ascii="Palatino Linotype" w:eastAsia="Palatino Linotype" w:hAnsi="Palatino Linotype" w:cs="Palatino Linotype"/>
          <w:sz w:val="22"/>
          <w:szCs w:val="22"/>
        </w:rPr>
        <w:t xml:space="preserve">interpuso los recursos de revisión, mediante los cuales y manifestó lo siguiente: </w:t>
      </w:r>
    </w:p>
    <w:p w14:paraId="2FB19726" w14:textId="77777777" w:rsidR="0088340F" w:rsidRPr="002F3A9F" w:rsidRDefault="0088340F">
      <w:pPr>
        <w:spacing w:line="360" w:lineRule="auto"/>
        <w:jc w:val="both"/>
        <w:rPr>
          <w:rFonts w:ascii="Palatino Linotype" w:eastAsia="Palatino Linotype" w:hAnsi="Palatino Linotype" w:cs="Palatino Linotype"/>
          <w:sz w:val="22"/>
          <w:szCs w:val="22"/>
        </w:rPr>
      </w:pPr>
    </w:p>
    <w:tbl>
      <w:tblPr>
        <w:tblStyle w:val="afd"/>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5386"/>
      </w:tblGrid>
      <w:tr w:rsidR="00B516E4" w:rsidRPr="002F3A9F" w14:paraId="2282C6FA" w14:textId="77777777">
        <w:tc>
          <w:tcPr>
            <w:tcW w:w="3686" w:type="dxa"/>
          </w:tcPr>
          <w:p w14:paraId="4B004A2C"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 xml:space="preserve">Recurso de revisión </w:t>
            </w:r>
          </w:p>
        </w:tc>
        <w:tc>
          <w:tcPr>
            <w:tcW w:w="5386" w:type="dxa"/>
          </w:tcPr>
          <w:p w14:paraId="652A4AC1"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Agravio</w:t>
            </w:r>
          </w:p>
        </w:tc>
      </w:tr>
      <w:tr w:rsidR="00B516E4" w:rsidRPr="002F3A9F" w14:paraId="0526546D" w14:textId="77777777">
        <w:trPr>
          <w:trHeight w:val="4839"/>
        </w:trPr>
        <w:tc>
          <w:tcPr>
            <w:tcW w:w="3686" w:type="dxa"/>
          </w:tcPr>
          <w:p w14:paraId="0E1817C6" w14:textId="77777777" w:rsidR="0088340F" w:rsidRPr="002F3A9F" w:rsidRDefault="009B1A9E">
            <w:pPr>
              <w:pBdr>
                <w:top w:val="nil"/>
                <w:left w:val="nil"/>
                <w:bottom w:val="nil"/>
                <w:right w:val="nil"/>
                <w:between w:val="nil"/>
              </w:pBdr>
              <w:spacing w:line="360" w:lineRule="auto"/>
              <w:ind w:left="426" w:right="49" w:hanging="392"/>
              <w:jc w:val="center"/>
              <w:rPr>
                <w:rFonts w:ascii="Palatino Linotype" w:eastAsia="Palatino Linotype" w:hAnsi="Palatino Linotype" w:cs="Palatino Linotype"/>
                <w:b/>
                <w:bCs/>
                <w:sz w:val="22"/>
                <w:szCs w:val="22"/>
                <w:lang w:val="en-US"/>
              </w:rPr>
            </w:pPr>
            <w:r w:rsidRPr="002F3A9F">
              <w:rPr>
                <w:rFonts w:ascii="Palatino Linotype" w:eastAsia="Palatino Linotype" w:hAnsi="Palatino Linotype" w:cs="Palatino Linotype"/>
                <w:b/>
                <w:bCs/>
                <w:sz w:val="22"/>
                <w:szCs w:val="22"/>
                <w:lang w:val="en-US"/>
              </w:rPr>
              <w:t>11919/INFOEM/IP/RR/2025</w:t>
            </w:r>
          </w:p>
          <w:p w14:paraId="4D54CE30" w14:textId="77777777" w:rsidR="0088340F" w:rsidRPr="002F3A9F" w:rsidRDefault="009B1A9E">
            <w:pPr>
              <w:spacing w:line="360" w:lineRule="auto"/>
              <w:ind w:left="426" w:hanging="392"/>
              <w:jc w:val="center"/>
              <w:rPr>
                <w:rFonts w:ascii="Palatino Linotype" w:eastAsia="Palatino Linotype" w:hAnsi="Palatino Linotype" w:cs="Palatino Linotype"/>
                <w:b/>
                <w:bCs/>
                <w:sz w:val="22"/>
                <w:szCs w:val="22"/>
                <w:lang w:val="en-US"/>
              </w:rPr>
            </w:pPr>
            <w:r w:rsidRPr="002F3A9F">
              <w:rPr>
                <w:rFonts w:ascii="Palatino Linotype" w:eastAsia="Palatino Linotype" w:hAnsi="Palatino Linotype" w:cs="Palatino Linotype"/>
                <w:b/>
                <w:bCs/>
                <w:sz w:val="22"/>
                <w:szCs w:val="22"/>
                <w:lang w:val="en-US"/>
              </w:rPr>
              <w:t>11920/INFOEM/IP/RR/2025</w:t>
            </w:r>
          </w:p>
          <w:p w14:paraId="4976D750" w14:textId="77777777" w:rsidR="0088340F" w:rsidRPr="002F3A9F" w:rsidRDefault="009B1A9E">
            <w:pPr>
              <w:spacing w:line="360" w:lineRule="auto"/>
              <w:ind w:left="426" w:hanging="392"/>
              <w:jc w:val="center"/>
              <w:rPr>
                <w:rFonts w:ascii="Palatino Linotype" w:eastAsia="Palatino Linotype" w:hAnsi="Palatino Linotype" w:cs="Palatino Linotype"/>
                <w:b/>
                <w:bCs/>
                <w:sz w:val="22"/>
                <w:szCs w:val="22"/>
                <w:lang w:val="en-US"/>
              </w:rPr>
            </w:pPr>
            <w:r w:rsidRPr="002F3A9F">
              <w:rPr>
                <w:rFonts w:ascii="Palatino Linotype" w:eastAsia="Palatino Linotype" w:hAnsi="Palatino Linotype" w:cs="Palatino Linotype"/>
                <w:b/>
                <w:bCs/>
                <w:sz w:val="22"/>
                <w:szCs w:val="22"/>
                <w:lang w:val="en-US"/>
              </w:rPr>
              <w:t>11922/INFOEM/IP/RR/2025</w:t>
            </w:r>
          </w:p>
          <w:p w14:paraId="6F2EE3AA" w14:textId="77777777" w:rsidR="0088340F" w:rsidRPr="002F3A9F" w:rsidRDefault="009B1A9E">
            <w:pPr>
              <w:spacing w:line="360" w:lineRule="auto"/>
              <w:ind w:left="426" w:hanging="392"/>
              <w:jc w:val="center"/>
              <w:rPr>
                <w:rFonts w:ascii="Palatino Linotype" w:eastAsia="Palatino Linotype" w:hAnsi="Palatino Linotype" w:cs="Palatino Linotype"/>
                <w:b/>
                <w:bCs/>
                <w:sz w:val="22"/>
                <w:szCs w:val="22"/>
                <w:lang w:val="en-US"/>
              </w:rPr>
            </w:pPr>
            <w:r w:rsidRPr="002F3A9F">
              <w:rPr>
                <w:rFonts w:ascii="Palatino Linotype" w:eastAsia="Palatino Linotype" w:hAnsi="Palatino Linotype" w:cs="Palatino Linotype"/>
                <w:b/>
                <w:bCs/>
                <w:sz w:val="22"/>
                <w:szCs w:val="22"/>
                <w:lang w:val="en-US"/>
              </w:rPr>
              <w:t>11923/INFOEM/IP/RR/2025</w:t>
            </w:r>
          </w:p>
          <w:p w14:paraId="74E0D529" w14:textId="77777777" w:rsidR="0088340F" w:rsidRPr="002F3A9F" w:rsidRDefault="009B1A9E">
            <w:pPr>
              <w:spacing w:line="360" w:lineRule="auto"/>
              <w:ind w:left="426" w:hanging="392"/>
              <w:jc w:val="center"/>
              <w:rPr>
                <w:rFonts w:ascii="Palatino Linotype" w:eastAsia="Palatino Linotype" w:hAnsi="Palatino Linotype" w:cs="Palatino Linotype"/>
                <w:b/>
                <w:bCs/>
                <w:sz w:val="22"/>
                <w:szCs w:val="22"/>
                <w:lang w:val="en-US"/>
              </w:rPr>
            </w:pPr>
            <w:r w:rsidRPr="002F3A9F">
              <w:rPr>
                <w:rFonts w:ascii="Palatino Linotype" w:eastAsia="Palatino Linotype" w:hAnsi="Palatino Linotype" w:cs="Palatino Linotype"/>
                <w:b/>
                <w:bCs/>
                <w:sz w:val="22"/>
                <w:szCs w:val="22"/>
                <w:lang w:val="en-US"/>
              </w:rPr>
              <w:t>11924/INFOEM/IP/RR/2025</w:t>
            </w:r>
          </w:p>
          <w:p w14:paraId="705E6F04" w14:textId="77777777" w:rsidR="0088340F" w:rsidRPr="002F3A9F" w:rsidRDefault="009B1A9E">
            <w:pPr>
              <w:spacing w:line="360" w:lineRule="auto"/>
              <w:ind w:left="426" w:hanging="392"/>
              <w:jc w:val="center"/>
              <w:rPr>
                <w:rFonts w:ascii="Palatino Linotype" w:eastAsia="Palatino Linotype" w:hAnsi="Palatino Linotype" w:cs="Palatino Linotype"/>
                <w:b/>
                <w:bCs/>
                <w:sz w:val="22"/>
                <w:szCs w:val="22"/>
                <w:lang w:val="en-US"/>
              </w:rPr>
            </w:pPr>
            <w:r w:rsidRPr="002F3A9F">
              <w:rPr>
                <w:rFonts w:ascii="Palatino Linotype" w:eastAsia="Palatino Linotype" w:hAnsi="Palatino Linotype" w:cs="Palatino Linotype"/>
                <w:b/>
                <w:bCs/>
                <w:sz w:val="22"/>
                <w:szCs w:val="22"/>
                <w:lang w:val="en-US"/>
              </w:rPr>
              <w:t>11925/INFOEM/IP/RR/2025</w:t>
            </w:r>
          </w:p>
          <w:p w14:paraId="71D5E6A9" w14:textId="77777777" w:rsidR="0088340F" w:rsidRPr="002F3A9F" w:rsidRDefault="009B1A9E">
            <w:pPr>
              <w:spacing w:line="360" w:lineRule="auto"/>
              <w:ind w:left="426" w:hanging="392"/>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11927/INFOEM/IP/RR/2025</w:t>
            </w:r>
          </w:p>
        </w:tc>
        <w:tc>
          <w:tcPr>
            <w:tcW w:w="5386" w:type="dxa"/>
          </w:tcPr>
          <w:p w14:paraId="35FEC520" w14:textId="77777777" w:rsidR="0088340F" w:rsidRPr="002F3A9F" w:rsidRDefault="009B1A9E">
            <w:pPr>
              <w:spacing w:line="276" w:lineRule="auto"/>
              <w:ind w:right="21"/>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Acto Impugnado:</w:t>
            </w:r>
            <w:r w:rsidRPr="002F3A9F">
              <w:rPr>
                <w:rFonts w:ascii="Palatino Linotype" w:eastAsia="Palatino Linotype" w:hAnsi="Palatino Linotype" w:cs="Palatino Linotype"/>
                <w:i/>
                <w:iCs/>
                <w:sz w:val="22"/>
                <w:szCs w:val="22"/>
              </w:rPr>
              <w:t xml:space="preserve"> “la respuesta por parte del servidor publico, no es transparente” (Sic.)</w:t>
            </w:r>
          </w:p>
          <w:p w14:paraId="09DD2D7A" w14:textId="77777777" w:rsidR="0088340F" w:rsidRPr="002F3A9F" w:rsidRDefault="009B1A9E">
            <w:pPr>
              <w:spacing w:line="276" w:lineRule="auto"/>
              <w:ind w:right="21"/>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Motivo de inconformidad:</w:t>
            </w:r>
            <w:r w:rsidRPr="002F3A9F">
              <w:rPr>
                <w:rFonts w:ascii="Palatino Linotype" w:eastAsia="Palatino Linotype" w:hAnsi="Palatino Linotype" w:cs="Palatino Linotype"/>
                <w:i/>
                <w:iCs/>
                <w:sz w:val="22"/>
                <w:szCs w:val="22"/>
              </w:rPr>
              <w:t xml:space="preserve"> “la respuesta por parte del servidor publico, no es transparente” (Sic.)</w:t>
            </w:r>
          </w:p>
        </w:tc>
      </w:tr>
    </w:tbl>
    <w:p w14:paraId="2A81886E" w14:textId="77777777" w:rsidR="0088340F" w:rsidRPr="002F3A9F" w:rsidRDefault="0088340F">
      <w:pPr>
        <w:spacing w:line="360" w:lineRule="auto"/>
        <w:ind w:right="560"/>
        <w:jc w:val="both"/>
        <w:rPr>
          <w:rFonts w:ascii="Palatino Linotype" w:eastAsia="Palatino Linotype" w:hAnsi="Palatino Linotype" w:cs="Palatino Linotype"/>
          <w:i/>
          <w:iCs/>
          <w:sz w:val="22"/>
          <w:szCs w:val="22"/>
        </w:rPr>
      </w:pPr>
    </w:p>
    <w:p w14:paraId="465BAB98"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 xml:space="preserve">4. Turno. </w:t>
      </w:r>
      <w:r w:rsidRPr="002F3A9F">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2F3A9F">
        <w:rPr>
          <w:rFonts w:ascii="Palatino Linotype" w:eastAsia="Palatino Linotype" w:hAnsi="Palatino Linotype" w:cs="Palatino Linotype"/>
          <w:b/>
          <w:bCs/>
          <w:sz w:val="22"/>
          <w:szCs w:val="22"/>
        </w:rPr>
        <w:t xml:space="preserve"> </w:t>
      </w:r>
      <w:r w:rsidRPr="002F3A9F">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45D2B292" w14:textId="77777777" w:rsidR="0088340F" w:rsidRPr="002F3A9F" w:rsidRDefault="0088340F">
      <w:pPr>
        <w:spacing w:line="360" w:lineRule="auto"/>
        <w:jc w:val="both"/>
        <w:rPr>
          <w:rFonts w:ascii="Palatino Linotype" w:eastAsia="Palatino Linotype" w:hAnsi="Palatino Linotype" w:cs="Palatino Linotype"/>
          <w:sz w:val="22"/>
          <w:szCs w:val="22"/>
        </w:rPr>
      </w:pPr>
    </w:p>
    <w:tbl>
      <w:tblPr>
        <w:tblStyle w:val="afe"/>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387"/>
      </w:tblGrid>
      <w:tr w:rsidR="00B516E4" w:rsidRPr="002F3A9F" w14:paraId="080B4F66" w14:textId="77777777">
        <w:trPr>
          <w:jc w:val="center"/>
        </w:trPr>
        <w:tc>
          <w:tcPr>
            <w:tcW w:w="3539" w:type="dxa"/>
            <w:shd w:val="clear" w:color="auto" w:fill="DDD9C4"/>
          </w:tcPr>
          <w:p w14:paraId="3F196866"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Recurso de Revisión</w:t>
            </w:r>
          </w:p>
        </w:tc>
        <w:tc>
          <w:tcPr>
            <w:tcW w:w="5387" w:type="dxa"/>
            <w:shd w:val="clear" w:color="auto" w:fill="DDD9C4"/>
          </w:tcPr>
          <w:p w14:paraId="4CC6F755"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Comisionada</w:t>
            </w:r>
          </w:p>
        </w:tc>
      </w:tr>
      <w:tr w:rsidR="00B516E4" w:rsidRPr="002F3A9F" w14:paraId="6AA7DDE8" w14:textId="77777777">
        <w:trPr>
          <w:jc w:val="center"/>
        </w:trPr>
        <w:tc>
          <w:tcPr>
            <w:tcW w:w="3539" w:type="dxa"/>
          </w:tcPr>
          <w:p w14:paraId="34F1B587"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11919/INFOEM/IP/RR/2025</w:t>
            </w:r>
          </w:p>
        </w:tc>
        <w:tc>
          <w:tcPr>
            <w:tcW w:w="5387" w:type="dxa"/>
          </w:tcPr>
          <w:p w14:paraId="37CDBBBC"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Comisionada Guadalupe Ramírez Peña.</w:t>
            </w:r>
          </w:p>
        </w:tc>
      </w:tr>
      <w:tr w:rsidR="00B516E4" w:rsidRPr="002F3A9F" w14:paraId="54683E6D" w14:textId="77777777">
        <w:trPr>
          <w:jc w:val="center"/>
        </w:trPr>
        <w:tc>
          <w:tcPr>
            <w:tcW w:w="3539" w:type="dxa"/>
          </w:tcPr>
          <w:p w14:paraId="44F8F97A"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11920/INFOEM/IP/RR/2025</w:t>
            </w:r>
          </w:p>
        </w:tc>
        <w:tc>
          <w:tcPr>
            <w:tcW w:w="5387" w:type="dxa"/>
          </w:tcPr>
          <w:p w14:paraId="1E87A240"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Comisionado José Martínez Vilchis.</w:t>
            </w:r>
          </w:p>
        </w:tc>
      </w:tr>
      <w:tr w:rsidR="00B516E4" w:rsidRPr="002F3A9F" w14:paraId="4174B8C8" w14:textId="77777777">
        <w:trPr>
          <w:jc w:val="center"/>
        </w:trPr>
        <w:tc>
          <w:tcPr>
            <w:tcW w:w="3539" w:type="dxa"/>
          </w:tcPr>
          <w:p w14:paraId="3E2FB8E2"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11922/INFOEM/IP/RR/2025</w:t>
            </w:r>
          </w:p>
        </w:tc>
        <w:tc>
          <w:tcPr>
            <w:tcW w:w="5387" w:type="dxa"/>
          </w:tcPr>
          <w:p w14:paraId="47D49569"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Comisionada Sharon Cristina Morales Martínez.</w:t>
            </w:r>
          </w:p>
        </w:tc>
      </w:tr>
      <w:tr w:rsidR="00B516E4" w:rsidRPr="002F3A9F" w14:paraId="3D453364" w14:textId="77777777">
        <w:trPr>
          <w:jc w:val="center"/>
        </w:trPr>
        <w:tc>
          <w:tcPr>
            <w:tcW w:w="3539" w:type="dxa"/>
          </w:tcPr>
          <w:p w14:paraId="35E1B01E"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11923/INFOEM/IP/RR/2025</w:t>
            </w:r>
          </w:p>
        </w:tc>
        <w:tc>
          <w:tcPr>
            <w:tcW w:w="5387" w:type="dxa"/>
          </w:tcPr>
          <w:p w14:paraId="2E2E321C"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Comisionada María del Rosario Mejía Ayala.</w:t>
            </w:r>
          </w:p>
        </w:tc>
      </w:tr>
      <w:tr w:rsidR="00B516E4" w:rsidRPr="002F3A9F" w14:paraId="4FC3AA90" w14:textId="77777777">
        <w:trPr>
          <w:jc w:val="center"/>
        </w:trPr>
        <w:tc>
          <w:tcPr>
            <w:tcW w:w="3539" w:type="dxa"/>
          </w:tcPr>
          <w:p w14:paraId="22D1474A"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11924/INFOEM/IP/RR/2025</w:t>
            </w:r>
          </w:p>
        </w:tc>
        <w:tc>
          <w:tcPr>
            <w:tcW w:w="5387" w:type="dxa"/>
          </w:tcPr>
          <w:p w14:paraId="51A8B20E"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Comisionada Guadalupe Ramírez Peña.</w:t>
            </w:r>
          </w:p>
        </w:tc>
      </w:tr>
      <w:tr w:rsidR="00B516E4" w:rsidRPr="002F3A9F" w14:paraId="03307923" w14:textId="77777777">
        <w:trPr>
          <w:jc w:val="center"/>
        </w:trPr>
        <w:tc>
          <w:tcPr>
            <w:tcW w:w="3539" w:type="dxa"/>
          </w:tcPr>
          <w:p w14:paraId="20732A3C"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11925/INFOEM/IP/RR/2025</w:t>
            </w:r>
          </w:p>
        </w:tc>
        <w:tc>
          <w:tcPr>
            <w:tcW w:w="5387" w:type="dxa"/>
          </w:tcPr>
          <w:p w14:paraId="7D28040E"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Comisionado José Martínez Vilchis.</w:t>
            </w:r>
          </w:p>
        </w:tc>
      </w:tr>
      <w:tr w:rsidR="0088340F" w:rsidRPr="002F3A9F" w14:paraId="25DC725D" w14:textId="77777777">
        <w:trPr>
          <w:jc w:val="center"/>
        </w:trPr>
        <w:tc>
          <w:tcPr>
            <w:tcW w:w="3539" w:type="dxa"/>
          </w:tcPr>
          <w:p w14:paraId="75A3E47D"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11927/INFOEM/IP/RR/2025</w:t>
            </w:r>
          </w:p>
        </w:tc>
        <w:tc>
          <w:tcPr>
            <w:tcW w:w="5387" w:type="dxa"/>
          </w:tcPr>
          <w:p w14:paraId="2B819922" w14:textId="77777777" w:rsidR="0088340F" w:rsidRPr="002F3A9F" w:rsidRDefault="009B1A9E">
            <w:pPr>
              <w:spacing w:line="360" w:lineRule="auto"/>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Comisionada Sharon Cristina Morales Martínez.</w:t>
            </w:r>
          </w:p>
        </w:tc>
      </w:tr>
    </w:tbl>
    <w:p w14:paraId="151C186E" w14:textId="77777777" w:rsidR="0088340F" w:rsidRPr="002F3A9F" w:rsidRDefault="0088340F">
      <w:pPr>
        <w:spacing w:line="360" w:lineRule="auto"/>
        <w:jc w:val="both"/>
        <w:rPr>
          <w:rFonts w:ascii="Palatino Linotype" w:eastAsia="Palatino Linotype" w:hAnsi="Palatino Linotype" w:cs="Palatino Linotype"/>
          <w:b/>
          <w:bCs/>
          <w:sz w:val="22"/>
          <w:szCs w:val="22"/>
        </w:rPr>
      </w:pPr>
    </w:p>
    <w:p w14:paraId="71E1E1BD" w14:textId="77777777" w:rsidR="0088340F" w:rsidRPr="002F3A9F" w:rsidRDefault="009B1A9E">
      <w:pPr>
        <w:spacing w:line="360" w:lineRule="auto"/>
        <w:jc w:val="both"/>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 xml:space="preserve">5. Admisión. </w:t>
      </w:r>
      <w:r w:rsidRPr="002F3A9F">
        <w:rPr>
          <w:rFonts w:ascii="Palatino Linotype" w:eastAsia="Palatino Linotype" w:hAnsi="Palatino Linotype" w:cs="Palatino Linotype"/>
          <w:sz w:val="22"/>
          <w:szCs w:val="22"/>
        </w:rPr>
        <w:t xml:space="preserve">El </w:t>
      </w:r>
      <w:r w:rsidRPr="002F3A9F">
        <w:rPr>
          <w:rFonts w:ascii="Palatino Linotype" w:eastAsia="Palatino Linotype" w:hAnsi="Palatino Linotype" w:cs="Palatino Linotype"/>
          <w:b/>
          <w:bCs/>
          <w:sz w:val="22"/>
          <w:szCs w:val="22"/>
        </w:rPr>
        <w:t>dieciséis, diecisiete y veinte de octubre de dos mil veinticinco</w:t>
      </w:r>
      <w:r w:rsidRPr="002F3A9F">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admitieron a trámite los recursos de revisión</w:t>
      </w:r>
      <w:r w:rsidRPr="002F3A9F">
        <w:rPr>
          <w:rFonts w:ascii="Palatino Linotype" w:eastAsia="Palatino Linotype" w:hAnsi="Palatino Linotype" w:cs="Palatino Linotype"/>
          <w:b/>
          <w:bCs/>
          <w:sz w:val="22"/>
          <w:szCs w:val="22"/>
        </w:rPr>
        <w:t>.</w:t>
      </w:r>
    </w:p>
    <w:p w14:paraId="019E0F31" w14:textId="77777777" w:rsidR="0088340F" w:rsidRPr="002F3A9F" w:rsidRDefault="0088340F">
      <w:pPr>
        <w:spacing w:line="360" w:lineRule="auto"/>
        <w:jc w:val="both"/>
        <w:rPr>
          <w:rFonts w:ascii="Palatino Linotype" w:eastAsia="Palatino Linotype" w:hAnsi="Palatino Linotype" w:cs="Palatino Linotype"/>
          <w:b/>
          <w:bCs/>
          <w:sz w:val="22"/>
          <w:szCs w:val="22"/>
        </w:rPr>
      </w:pPr>
    </w:p>
    <w:p w14:paraId="27B98446" w14:textId="77777777" w:rsidR="0088340F" w:rsidRPr="002F3A9F" w:rsidRDefault="009B1A9E">
      <w:pPr>
        <w:spacing w:line="360" w:lineRule="auto"/>
        <w:jc w:val="both"/>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 xml:space="preserve">6. Acumulación. A través del acuerdo de fecha seis de noviembre de dos mil veinticinco </w:t>
      </w:r>
      <w:r w:rsidRPr="002F3A9F">
        <w:rPr>
          <w:rFonts w:ascii="Palatino Linotype" w:eastAsia="Palatino Linotype" w:hAnsi="Palatino Linotype" w:cs="Palatino Linotype"/>
          <w:sz w:val="22"/>
          <w:szCs w:val="22"/>
        </w:rPr>
        <w:t>al advertir la conexidad de causa y c</w:t>
      </w:r>
      <w:bookmarkStart w:id="2" w:name="_GoBack"/>
      <w:bookmarkEnd w:id="2"/>
      <w:r w:rsidRPr="002F3A9F">
        <w:rPr>
          <w:rFonts w:ascii="Palatino Linotype" w:eastAsia="Palatino Linotype" w:hAnsi="Palatino Linotype" w:cs="Palatino Linotype"/>
          <w:sz w:val="22"/>
          <w:szCs w:val="22"/>
        </w:rPr>
        <w:t xml:space="preserve">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turnados a la </w:t>
      </w:r>
      <w:r w:rsidRPr="002F3A9F">
        <w:rPr>
          <w:rFonts w:ascii="Palatino Linotype" w:eastAsia="Palatino Linotype" w:hAnsi="Palatino Linotype" w:cs="Palatino Linotype"/>
          <w:b/>
          <w:bCs/>
          <w:sz w:val="22"/>
          <w:szCs w:val="22"/>
        </w:rPr>
        <w:t>Comisionada Guadalupe Ramírez Peña.</w:t>
      </w:r>
    </w:p>
    <w:p w14:paraId="1314311F" w14:textId="77777777" w:rsidR="0088340F" w:rsidRPr="002F3A9F" w:rsidRDefault="0088340F">
      <w:pPr>
        <w:spacing w:line="360" w:lineRule="auto"/>
        <w:jc w:val="both"/>
        <w:rPr>
          <w:rFonts w:ascii="Palatino Linotype" w:eastAsia="Palatino Linotype" w:hAnsi="Palatino Linotype" w:cs="Palatino Linotype"/>
          <w:b/>
          <w:bCs/>
          <w:sz w:val="22"/>
          <w:szCs w:val="22"/>
        </w:rPr>
      </w:pPr>
    </w:p>
    <w:p w14:paraId="08AD4061" w14:textId="77777777" w:rsidR="0088340F" w:rsidRPr="002F3A9F" w:rsidRDefault="009B1A9E">
      <w:pPr>
        <w:spacing w:line="360" w:lineRule="auto"/>
        <w:jc w:val="both"/>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7. Manifestaciones.</w:t>
      </w:r>
      <w:r w:rsidRPr="002F3A9F">
        <w:rPr>
          <w:rFonts w:ascii="Palatino Linotype" w:eastAsia="Palatino Linotype" w:hAnsi="Palatino Linotype" w:cs="Palatino Linotype"/>
          <w:sz w:val="22"/>
          <w:szCs w:val="22"/>
        </w:rPr>
        <w:t xml:space="preserve"> De las constancias que obran en el expediente electrónico del SAIMEX, se advierte que tanto el Sujeto Obligado rindió su informe justificado </w:t>
      </w:r>
      <w:r w:rsidRPr="002F3A9F">
        <w:rPr>
          <w:rFonts w:ascii="Palatino Linotype" w:eastAsia="Palatino Linotype" w:hAnsi="Palatino Linotype" w:cs="Palatino Linotype"/>
          <w:b/>
          <w:bCs/>
          <w:sz w:val="22"/>
          <w:szCs w:val="22"/>
        </w:rPr>
        <w:t>el veintitrés de octubre de dos mil veinticinco</w:t>
      </w:r>
      <w:r w:rsidRPr="002F3A9F">
        <w:rPr>
          <w:rFonts w:ascii="Palatino Linotype" w:eastAsia="Palatino Linotype" w:hAnsi="Palatino Linotype" w:cs="Palatino Linotype"/>
          <w:sz w:val="22"/>
          <w:szCs w:val="22"/>
        </w:rPr>
        <w:t xml:space="preserve">, mediante el cual, el Encargado de la Unidad de Planeación, Programación y Evaluación y de la Unidad de Transparencia refiere que los agravios del particular no actualizan ninguna causal de procedencia, por lo que solicita que sea sobreseído por improcedente. Dichos documentos se pusieron a la vista del Recurrente a través del acuerdo de fecha </w:t>
      </w:r>
      <w:r w:rsidRPr="002F3A9F">
        <w:rPr>
          <w:rFonts w:ascii="Palatino Linotype" w:eastAsia="Palatino Linotype" w:hAnsi="Palatino Linotype" w:cs="Palatino Linotype"/>
          <w:b/>
          <w:bCs/>
          <w:sz w:val="22"/>
          <w:szCs w:val="22"/>
        </w:rPr>
        <w:t>dieciocho de noviembre de dos mil veinticinco.</w:t>
      </w:r>
    </w:p>
    <w:p w14:paraId="798B775A"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766EC365"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8. Cierre de instrucción</w:t>
      </w:r>
      <w:r w:rsidRPr="002F3A9F">
        <w:rPr>
          <w:rFonts w:ascii="Palatino Linotype" w:eastAsia="Palatino Linotype" w:hAnsi="Palatino Linotype" w:cs="Palatino Linotype"/>
          <w:sz w:val="22"/>
          <w:szCs w:val="22"/>
        </w:rPr>
        <w:t xml:space="preserve">. En fecha </w:t>
      </w:r>
      <w:r w:rsidRPr="002F3A9F">
        <w:rPr>
          <w:rFonts w:ascii="Palatino Linotype" w:eastAsia="Palatino Linotype" w:hAnsi="Palatino Linotype" w:cs="Palatino Linotype"/>
          <w:b/>
          <w:bCs/>
          <w:sz w:val="22"/>
          <w:szCs w:val="22"/>
        </w:rPr>
        <w:t>veinticinco</w:t>
      </w:r>
      <w:r w:rsidRPr="002F3A9F">
        <w:rPr>
          <w:rFonts w:ascii="Palatino Linotype" w:eastAsia="Palatino Linotype" w:hAnsi="Palatino Linotype" w:cs="Palatino Linotype"/>
          <w:sz w:val="22"/>
          <w:szCs w:val="22"/>
        </w:rPr>
        <w:t xml:space="preserve"> </w:t>
      </w:r>
      <w:r w:rsidRPr="002F3A9F">
        <w:rPr>
          <w:rFonts w:ascii="Palatino Linotype" w:eastAsia="Palatino Linotype" w:hAnsi="Palatino Linotype" w:cs="Palatino Linotype"/>
          <w:b/>
          <w:bCs/>
          <w:sz w:val="22"/>
          <w:szCs w:val="22"/>
        </w:rPr>
        <w:t>de noviembre de dos mil veinticinco</w:t>
      </w:r>
      <w:r w:rsidRPr="002F3A9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24B007E" w14:textId="77777777" w:rsidR="0088340F" w:rsidRPr="002F3A9F" w:rsidRDefault="0088340F">
      <w:pPr>
        <w:spacing w:line="360" w:lineRule="auto"/>
        <w:ind w:right="49"/>
        <w:jc w:val="both"/>
        <w:rPr>
          <w:rFonts w:ascii="Palatino Linotype" w:eastAsia="Palatino Linotype" w:hAnsi="Palatino Linotype" w:cs="Palatino Linotype"/>
          <w:sz w:val="22"/>
          <w:szCs w:val="22"/>
        </w:rPr>
      </w:pPr>
    </w:p>
    <w:p w14:paraId="625E8C8E" w14:textId="77777777" w:rsidR="0088340F" w:rsidRPr="002F3A9F" w:rsidRDefault="009B1A9E">
      <w:pPr>
        <w:spacing w:line="360" w:lineRule="auto"/>
        <w:ind w:right="49"/>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604318EC" w14:textId="77777777" w:rsidR="0088340F" w:rsidRPr="002F3A9F" w:rsidRDefault="0088340F">
      <w:pPr>
        <w:spacing w:line="360" w:lineRule="auto"/>
        <w:ind w:right="49"/>
        <w:jc w:val="both"/>
        <w:rPr>
          <w:rFonts w:ascii="Palatino Linotype" w:eastAsia="Palatino Linotype" w:hAnsi="Palatino Linotype" w:cs="Palatino Linotype"/>
          <w:sz w:val="22"/>
          <w:szCs w:val="22"/>
        </w:rPr>
      </w:pPr>
    </w:p>
    <w:p w14:paraId="092000D0" w14:textId="77777777" w:rsidR="0088340F" w:rsidRPr="002F3A9F" w:rsidRDefault="009B1A9E">
      <w:pPr>
        <w:spacing w:line="360" w:lineRule="auto"/>
        <w:ind w:right="49"/>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II.</w:t>
      </w:r>
      <w:r w:rsidRPr="002F3A9F">
        <w:rPr>
          <w:rFonts w:ascii="Palatino Linotype" w:eastAsia="Palatino Linotype" w:hAnsi="Palatino Linotype" w:cs="Palatino Linotype"/>
          <w:b/>
          <w:bCs/>
          <w:sz w:val="22"/>
          <w:szCs w:val="22"/>
        </w:rPr>
        <w:tab/>
        <w:t>C O N S I D E R A N D O:</w:t>
      </w:r>
    </w:p>
    <w:p w14:paraId="2BCBCE55" w14:textId="77777777" w:rsidR="0088340F" w:rsidRPr="002F3A9F" w:rsidRDefault="0088340F">
      <w:pPr>
        <w:spacing w:line="360" w:lineRule="auto"/>
        <w:ind w:right="49"/>
        <w:jc w:val="both"/>
        <w:rPr>
          <w:rFonts w:ascii="Palatino Linotype" w:eastAsia="Palatino Linotype" w:hAnsi="Palatino Linotype" w:cs="Palatino Linotype"/>
          <w:sz w:val="22"/>
          <w:szCs w:val="22"/>
        </w:rPr>
      </w:pPr>
    </w:p>
    <w:p w14:paraId="44B75125"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Primero. Competencia.</w:t>
      </w:r>
      <w:r w:rsidRPr="002F3A9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7B0D01B" w14:textId="77777777" w:rsidR="0088340F" w:rsidRPr="002F3A9F" w:rsidRDefault="009B1A9E">
      <w:pPr>
        <w:spacing w:before="240" w:after="240"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 xml:space="preserve">Segundo. Oportunidad y Procedibilidad del Recurso de Revisión. </w:t>
      </w:r>
      <w:r w:rsidRPr="002F3A9F">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52C8994" w14:textId="77777777" w:rsidR="0088340F" w:rsidRPr="002F3A9F" w:rsidRDefault="009B1A9E">
      <w:pPr>
        <w:spacing w:before="240" w:after="240"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78A6D093" w14:textId="77777777" w:rsidR="0088340F" w:rsidRPr="002F3A9F" w:rsidRDefault="009B1A9E">
      <w:pPr>
        <w:spacing w:line="276" w:lineRule="auto"/>
        <w:ind w:left="851" w:right="900"/>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 xml:space="preserve">“Artículo 178. </w:t>
      </w:r>
      <w:r w:rsidRPr="002F3A9F">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29C8121" w14:textId="77777777" w:rsidR="0088340F" w:rsidRPr="002F3A9F" w:rsidRDefault="009B1A9E">
      <w:pPr>
        <w:spacing w:before="240" w:after="240" w:line="360" w:lineRule="auto"/>
        <w:ind w:right="49"/>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2F3A9F">
        <w:rPr>
          <w:rFonts w:ascii="Palatino Linotype" w:eastAsia="Palatino Linotype" w:hAnsi="Palatino Linotype" w:cs="Palatino Linotype"/>
          <w:b/>
          <w:bCs/>
          <w:sz w:val="22"/>
          <w:szCs w:val="22"/>
        </w:rPr>
        <w:t>SUJETO OBLIGADO</w:t>
      </w:r>
      <w:r w:rsidRPr="002F3A9F">
        <w:rPr>
          <w:rFonts w:ascii="Palatino Linotype" w:eastAsia="Palatino Linotype" w:hAnsi="Palatino Linotype" w:cs="Palatino Linotype"/>
          <w:sz w:val="22"/>
          <w:szCs w:val="22"/>
        </w:rPr>
        <w:t xml:space="preserve"> remitió las respuestas a las solicitudes de información el día </w:t>
      </w:r>
      <w:r w:rsidRPr="002F3A9F">
        <w:rPr>
          <w:rFonts w:ascii="Palatino Linotype" w:eastAsia="Palatino Linotype" w:hAnsi="Palatino Linotype" w:cs="Palatino Linotype"/>
          <w:b/>
          <w:bCs/>
          <w:sz w:val="22"/>
          <w:szCs w:val="22"/>
        </w:rPr>
        <w:t xml:space="preserve">tres de octubre de dos mil veinticinco, </w:t>
      </w:r>
      <w:r w:rsidRPr="002F3A9F">
        <w:rPr>
          <w:rFonts w:ascii="Palatino Linotype" w:eastAsia="Palatino Linotype" w:hAnsi="Palatino Linotype" w:cs="Palatino Linotype"/>
          <w:sz w:val="22"/>
          <w:szCs w:val="22"/>
        </w:rPr>
        <w:t xml:space="preserve">mientras que los recursos de revisión interpuestos por la parte </w:t>
      </w:r>
      <w:r w:rsidRPr="002F3A9F">
        <w:rPr>
          <w:rFonts w:ascii="Palatino Linotype" w:eastAsia="Palatino Linotype" w:hAnsi="Palatino Linotype" w:cs="Palatino Linotype"/>
          <w:b/>
          <w:bCs/>
          <w:sz w:val="22"/>
          <w:szCs w:val="22"/>
        </w:rPr>
        <w:t>RECURRENTE</w:t>
      </w:r>
      <w:r w:rsidRPr="002F3A9F">
        <w:rPr>
          <w:rFonts w:ascii="Palatino Linotype" w:eastAsia="Palatino Linotype" w:hAnsi="Palatino Linotype" w:cs="Palatino Linotype"/>
          <w:sz w:val="22"/>
          <w:szCs w:val="22"/>
        </w:rPr>
        <w:t xml:space="preserve">, se tuvieron por presentados el </w:t>
      </w:r>
      <w:r w:rsidRPr="002F3A9F">
        <w:rPr>
          <w:rFonts w:ascii="Palatino Linotype" w:eastAsia="Palatino Linotype" w:hAnsi="Palatino Linotype" w:cs="Palatino Linotype"/>
          <w:b/>
          <w:bCs/>
          <w:sz w:val="22"/>
          <w:szCs w:val="22"/>
        </w:rPr>
        <w:t>catorce de octubre del año dos mil veinticinco</w:t>
      </w:r>
      <w:r w:rsidRPr="002F3A9F">
        <w:rPr>
          <w:rFonts w:ascii="Palatino Linotype" w:eastAsia="Palatino Linotype" w:hAnsi="Palatino Linotype" w:cs="Palatino Linotype"/>
          <w:sz w:val="22"/>
          <w:szCs w:val="22"/>
        </w:rPr>
        <w:t xml:space="preserve">; esto es, al </w:t>
      </w:r>
      <w:r w:rsidRPr="002F3A9F">
        <w:rPr>
          <w:rFonts w:ascii="Palatino Linotype" w:eastAsia="Palatino Linotype" w:hAnsi="Palatino Linotype" w:cs="Palatino Linotype"/>
          <w:b/>
          <w:bCs/>
          <w:sz w:val="22"/>
          <w:szCs w:val="22"/>
        </w:rPr>
        <w:t xml:space="preserve">séptimo día hábil </w:t>
      </w:r>
      <w:r w:rsidRPr="002F3A9F">
        <w:rPr>
          <w:rFonts w:ascii="Palatino Linotype" w:eastAsia="Palatino Linotype" w:hAnsi="Palatino Linotype" w:cs="Palatino Linotype"/>
          <w:sz w:val="22"/>
          <w:szCs w:val="22"/>
        </w:rPr>
        <w:t>siguiente al que se tuvo conocimiento de la respuesta respectivamente.</w:t>
      </w:r>
    </w:p>
    <w:p w14:paraId="39128DDB" w14:textId="77777777" w:rsidR="0088340F" w:rsidRPr="002F3A9F" w:rsidRDefault="009B1A9E">
      <w:pPr>
        <w:spacing w:before="240" w:after="240" w:line="360" w:lineRule="auto"/>
        <w:ind w:right="49"/>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17D8CD3F" w14:textId="77777777" w:rsidR="0088340F" w:rsidRPr="002F3A9F" w:rsidRDefault="009B1A9E">
      <w:pPr>
        <w:spacing w:before="240" w:after="240"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Asimismo, resulta procedente la interposición de los recursos de revisión al rubro anotado, toda vez que se actualiza las hipótesis previstas en el artículo 179, fracción I de la ley de la materia, que a la letra dice:</w:t>
      </w:r>
    </w:p>
    <w:p w14:paraId="7346B6AF" w14:textId="77777777" w:rsidR="0088340F" w:rsidRPr="002F3A9F" w:rsidRDefault="009B1A9E">
      <w:pPr>
        <w:spacing w:line="360" w:lineRule="auto"/>
        <w:ind w:left="851" w:right="1041"/>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r w:rsidRPr="002F3A9F">
        <w:rPr>
          <w:rFonts w:ascii="Palatino Linotype" w:eastAsia="Palatino Linotype" w:hAnsi="Palatino Linotype" w:cs="Palatino Linotype"/>
          <w:b/>
          <w:bCs/>
          <w:i/>
          <w:iCs/>
          <w:sz w:val="22"/>
          <w:szCs w:val="22"/>
        </w:rPr>
        <w:t xml:space="preserve">Artículo 179. </w:t>
      </w:r>
      <w:r w:rsidRPr="002F3A9F">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7ADB5EBE" w14:textId="77777777" w:rsidR="0088340F" w:rsidRPr="002F3A9F" w:rsidRDefault="009B1A9E">
      <w:pPr>
        <w:spacing w:line="360" w:lineRule="auto"/>
        <w:ind w:left="851" w:right="1041"/>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I.  La negativa a la información solicitada</w:t>
      </w:r>
    </w:p>
    <w:p w14:paraId="4CCE92F0" w14:textId="77777777" w:rsidR="0088340F" w:rsidRPr="002F3A9F" w:rsidRDefault="009B1A9E">
      <w:pPr>
        <w:spacing w:line="360" w:lineRule="auto"/>
        <w:ind w:left="851" w:right="1041"/>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p>
    <w:p w14:paraId="2BE7DB07" w14:textId="77777777" w:rsidR="0088340F" w:rsidRPr="002F3A9F" w:rsidRDefault="009B1A9E">
      <w:pPr>
        <w:spacing w:before="240" w:after="240"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 xml:space="preserve">Tercero. Materia de la revisión. </w:t>
      </w:r>
      <w:r w:rsidRPr="002F3A9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2F3A9F">
        <w:rPr>
          <w:rFonts w:ascii="Palatino Linotype" w:eastAsia="Palatino Linotype" w:hAnsi="Palatino Linotype" w:cs="Palatino Linotype"/>
          <w:b/>
          <w:bCs/>
          <w:sz w:val="22"/>
          <w:szCs w:val="22"/>
        </w:rPr>
        <w:t xml:space="preserve">verificar si las respuestas otorgadas por el Sujeto Obligado son adecuadas y suficientes para satisfacer el derecho de acceso a la información pública </w:t>
      </w:r>
      <w:r w:rsidRPr="002F3A9F">
        <w:rPr>
          <w:rFonts w:ascii="Palatino Linotype" w:eastAsia="Palatino Linotype" w:hAnsi="Palatino Linotype" w:cs="Palatino Linotype"/>
          <w:sz w:val="22"/>
          <w:szCs w:val="22"/>
        </w:rPr>
        <w:t xml:space="preserve">de la parte </w:t>
      </w:r>
      <w:r w:rsidRPr="002F3A9F">
        <w:rPr>
          <w:rFonts w:ascii="Palatino Linotype" w:eastAsia="Palatino Linotype" w:hAnsi="Palatino Linotype" w:cs="Palatino Linotype"/>
          <w:b/>
          <w:bCs/>
          <w:sz w:val="22"/>
          <w:szCs w:val="22"/>
        </w:rPr>
        <w:t>Recurrente</w:t>
      </w:r>
      <w:r w:rsidRPr="002F3A9F">
        <w:rPr>
          <w:rFonts w:ascii="Palatino Linotype" w:eastAsia="Palatino Linotype" w:hAnsi="Palatino Linotype" w:cs="Palatino Linotype"/>
          <w:sz w:val="22"/>
          <w:szCs w:val="22"/>
        </w:rPr>
        <w:t>, o en su defecto, en caso de ser procedente, ordenar la entrega de información.</w:t>
      </w:r>
    </w:p>
    <w:p w14:paraId="78CA6D36"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 xml:space="preserve">Cuarto. Estudio del asunto. </w:t>
      </w:r>
      <w:r w:rsidRPr="002F3A9F">
        <w:rPr>
          <w:rFonts w:ascii="Palatino Linotype" w:eastAsia="Palatino Linotype" w:hAnsi="Palatino Linotype" w:cs="Palatino Linotype"/>
          <w:sz w:val="22"/>
          <w:szCs w:val="22"/>
        </w:rPr>
        <w:t xml:space="preserve">En principio, es conveniente analizar si las respuestas del </w:t>
      </w:r>
      <w:r w:rsidRPr="002F3A9F">
        <w:rPr>
          <w:rFonts w:ascii="Palatino Linotype" w:eastAsia="Palatino Linotype" w:hAnsi="Palatino Linotype" w:cs="Palatino Linotype"/>
          <w:b/>
          <w:bCs/>
          <w:sz w:val="22"/>
          <w:szCs w:val="22"/>
        </w:rPr>
        <w:t>SUJETO OBLIGADO</w:t>
      </w:r>
      <w:r w:rsidRPr="002F3A9F">
        <w:rPr>
          <w:rFonts w:ascii="Palatino Linotype" w:eastAsia="Palatino Linotype" w:hAnsi="Palatino Linotype" w:cs="Palatino Linotype"/>
          <w:sz w:val="22"/>
          <w:szCs w:val="22"/>
        </w:rPr>
        <w:t xml:space="preserve"> 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8CCB060"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2F96FAD0" w14:textId="77777777" w:rsidR="0088340F" w:rsidRPr="002F3A9F" w:rsidRDefault="009B1A9E">
      <w:pPr>
        <w:spacing w:line="276" w:lineRule="auto"/>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r w:rsidRPr="002F3A9F">
        <w:rPr>
          <w:rFonts w:ascii="Palatino Linotype" w:eastAsia="Palatino Linotype" w:hAnsi="Palatino Linotype" w:cs="Palatino Linotype"/>
          <w:b/>
          <w:bCs/>
          <w:i/>
          <w:iCs/>
          <w:sz w:val="22"/>
          <w:szCs w:val="22"/>
        </w:rPr>
        <w:t>Artículo 4</w:t>
      </w:r>
      <w:r w:rsidRPr="002F3A9F">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E20D048" w14:textId="77777777" w:rsidR="0088340F" w:rsidRPr="002F3A9F" w:rsidRDefault="009B1A9E">
      <w:pPr>
        <w:spacing w:line="276" w:lineRule="auto"/>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2F3A9F">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BE34860" w14:textId="77777777" w:rsidR="0088340F" w:rsidRPr="002F3A9F" w:rsidRDefault="009B1A9E">
      <w:pPr>
        <w:spacing w:line="276" w:lineRule="auto"/>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2F3A9F">
        <w:rPr>
          <w:rFonts w:ascii="Palatino Linotype" w:eastAsia="Palatino Linotype" w:hAnsi="Palatino Linotype" w:cs="Palatino Linotype"/>
          <w:i/>
          <w:iCs/>
          <w:sz w:val="22"/>
          <w:szCs w:val="22"/>
        </w:rPr>
        <w:t>.”</w:t>
      </w:r>
    </w:p>
    <w:p w14:paraId="395C6C22" w14:textId="77777777" w:rsidR="0088340F" w:rsidRPr="002F3A9F" w:rsidRDefault="0088340F">
      <w:pPr>
        <w:spacing w:line="276" w:lineRule="auto"/>
        <w:jc w:val="both"/>
        <w:rPr>
          <w:rFonts w:ascii="Palatino Linotype" w:eastAsia="Palatino Linotype" w:hAnsi="Palatino Linotype" w:cs="Palatino Linotype"/>
          <w:sz w:val="22"/>
          <w:szCs w:val="22"/>
        </w:rPr>
      </w:pPr>
    </w:p>
    <w:p w14:paraId="29AD255A"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27EAEBB"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01022F41" w14:textId="77777777" w:rsidR="0088340F" w:rsidRPr="002F3A9F" w:rsidRDefault="009B1A9E">
      <w:pPr>
        <w:spacing w:line="276" w:lineRule="auto"/>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“Artículo 12.-</w:t>
      </w:r>
      <w:r w:rsidRPr="002F3A9F">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4BDB72B5" w14:textId="77777777" w:rsidR="0088340F" w:rsidRPr="002F3A9F" w:rsidRDefault="0088340F">
      <w:pPr>
        <w:spacing w:line="276" w:lineRule="auto"/>
        <w:ind w:left="567" w:right="616"/>
        <w:jc w:val="both"/>
        <w:rPr>
          <w:rFonts w:ascii="Palatino Linotype" w:eastAsia="Palatino Linotype" w:hAnsi="Palatino Linotype" w:cs="Palatino Linotype"/>
          <w:i/>
          <w:iCs/>
          <w:sz w:val="22"/>
          <w:szCs w:val="22"/>
        </w:rPr>
      </w:pPr>
    </w:p>
    <w:p w14:paraId="3CCC5608" w14:textId="77777777" w:rsidR="0088340F" w:rsidRPr="002F3A9F" w:rsidRDefault="009B1A9E">
      <w:pPr>
        <w:spacing w:line="276" w:lineRule="auto"/>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2F3A9F">
        <w:rPr>
          <w:rFonts w:ascii="Palatino Linotype" w:eastAsia="Palatino Linotype" w:hAnsi="Palatino Linotype" w:cs="Palatino Linotype"/>
          <w:i/>
          <w:iCs/>
          <w:sz w:val="22"/>
          <w:szCs w:val="22"/>
        </w:rPr>
        <w:t xml:space="preserve">. </w:t>
      </w:r>
      <w:r w:rsidRPr="002F3A9F">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60D52C4" w14:textId="77777777" w:rsidR="0088340F" w:rsidRPr="002F3A9F" w:rsidRDefault="0088340F">
      <w:pPr>
        <w:spacing w:line="360" w:lineRule="auto"/>
        <w:ind w:right="-93"/>
        <w:jc w:val="both"/>
        <w:rPr>
          <w:rFonts w:ascii="Palatino Linotype" w:eastAsia="Palatino Linotype" w:hAnsi="Palatino Linotype" w:cs="Palatino Linotype"/>
          <w:sz w:val="22"/>
          <w:szCs w:val="22"/>
        </w:rPr>
      </w:pPr>
    </w:p>
    <w:p w14:paraId="482CE538" w14:textId="77777777" w:rsidR="0088340F" w:rsidRPr="002F3A9F" w:rsidRDefault="009B1A9E">
      <w:pPr>
        <w:spacing w:line="360" w:lineRule="auto"/>
        <w:ind w:right="-93"/>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D628223" w14:textId="77777777" w:rsidR="0088340F" w:rsidRPr="002F3A9F" w:rsidRDefault="0088340F">
      <w:pPr>
        <w:spacing w:line="360" w:lineRule="auto"/>
        <w:ind w:right="-93"/>
        <w:jc w:val="both"/>
        <w:rPr>
          <w:rFonts w:ascii="Palatino Linotype" w:eastAsia="Palatino Linotype" w:hAnsi="Palatino Linotype" w:cs="Palatino Linotype"/>
          <w:sz w:val="22"/>
          <w:szCs w:val="22"/>
        </w:rPr>
      </w:pPr>
    </w:p>
    <w:p w14:paraId="47276F07" w14:textId="77777777" w:rsidR="0088340F" w:rsidRPr="002F3A9F" w:rsidRDefault="009B1A9E">
      <w:pPr>
        <w:spacing w:line="360" w:lineRule="auto"/>
        <w:ind w:right="-93"/>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2F3A9F">
        <w:rPr>
          <w:rFonts w:ascii="Palatino Linotype" w:eastAsia="Palatino Linotype" w:hAnsi="Palatino Linotype" w:cs="Palatino Linotype"/>
          <w:b/>
          <w:bCs/>
          <w:sz w:val="22"/>
          <w:szCs w:val="22"/>
        </w:rPr>
        <w:t xml:space="preserve"> </w:t>
      </w:r>
    </w:p>
    <w:p w14:paraId="4EDB3230" w14:textId="77777777" w:rsidR="0088340F" w:rsidRPr="002F3A9F" w:rsidRDefault="0088340F">
      <w:pPr>
        <w:spacing w:line="360" w:lineRule="auto"/>
        <w:jc w:val="both"/>
        <w:rPr>
          <w:rFonts w:ascii="Palatino Linotype" w:eastAsia="Palatino Linotype" w:hAnsi="Palatino Linotype" w:cs="Palatino Linotype"/>
          <w:b/>
          <w:bCs/>
          <w:sz w:val="22"/>
          <w:szCs w:val="22"/>
        </w:rPr>
      </w:pPr>
    </w:p>
    <w:p w14:paraId="4A2142B0"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r w:rsidRPr="002F3A9F">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2F3A9F">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9083F50" w14:textId="77777777" w:rsidR="0088340F" w:rsidRPr="002F3A9F" w:rsidRDefault="0088340F">
      <w:pPr>
        <w:spacing w:line="360" w:lineRule="auto"/>
        <w:ind w:right="-93"/>
        <w:jc w:val="both"/>
        <w:rPr>
          <w:rFonts w:ascii="Palatino Linotype" w:eastAsia="Palatino Linotype" w:hAnsi="Palatino Linotype" w:cs="Palatino Linotype"/>
          <w:sz w:val="22"/>
          <w:szCs w:val="22"/>
        </w:rPr>
      </w:pPr>
    </w:p>
    <w:p w14:paraId="4C71D70C"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653D248"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18B6F5B7" w14:textId="77777777" w:rsidR="0088340F" w:rsidRPr="002F3A9F" w:rsidRDefault="009B1A9E">
      <w:pPr>
        <w:spacing w:line="360" w:lineRule="auto"/>
        <w:ind w:right="49"/>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DFD33FD" w14:textId="77777777" w:rsidR="0088340F" w:rsidRPr="002F3A9F" w:rsidRDefault="0088340F">
      <w:pPr>
        <w:spacing w:line="360" w:lineRule="auto"/>
        <w:ind w:right="49"/>
        <w:jc w:val="both"/>
        <w:rPr>
          <w:rFonts w:ascii="Palatino Linotype" w:eastAsia="Palatino Linotype" w:hAnsi="Palatino Linotype" w:cs="Palatino Linotype"/>
          <w:sz w:val="22"/>
          <w:szCs w:val="22"/>
        </w:rPr>
      </w:pPr>
    </w:p>
    <w:p w14:paraId="35C047D4"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C905E78" w14:textId="77777777" w:rsidR="0088340F" w:rsidRPr="002F3A9F" w:rsidRDefault="0088340F">
      <w:pPr>
        <w:spacing w:line="360" w:lineRule="auto"/>
        <w:ind w:left="567" w:right="616"/>
        <w:jc w:val="both"/>
        <w:rPr>
          <w:rFonts w:ascii="Palatino Linotype" w:eastAsia="Palatino Linotype" w:hAnsi="Palatino Linotype" w:cs="Palatino Linotype"/>
          <w:i/>
          <w:iCs/>
          <w:sz w:val="22"/>
          <w:szCs w:val="22"/>
        </w:rPr>
      </w:pPr>
    </w:p>
    <w:p w14:paraId="3984DBE4"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r w:rsidRPr="002F3A9F">
        <w:rPr>
          <w:rFonts w:ascii="Palatino Linotype" w:eastAsia="Palatino Linotype" w:hAnsi="Palatino Linotype" w:cs="Palatino Linotype"/>
          <w:b/>
          <w:bCs/>
          <w:i/>
          <w:iCs/>
          <w:sz w:val="22"/>
          <w:szCs w:val="22"/>
        </w:rPr>
        <w:t xml:space="preserve">Artículo 3. </w:t>
      </w:r>
      <w:r w:rsidRPr="002F3A9F">
        <w:rPr>
          <w:rFonts w:ascii="Palatino Linotype" w:eastAsia="Palatino Linotype" w:hAnsi="Palatino Linotype" w:cs="Palatino Linotype"/>
          <w:i/>
          <w:iCs/>
          <w:sz w:val="22"/>
          <w:szCs w:val="22"/>
        </w:rPr>
        <w:t>Para los efectos de la presente Ley se entenderá por:</w:t>
      </w:r>
    </w:p>
    <w:p w14:paraId="38F47971"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p>
    <w:p w14:paraId="15E3C60F"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XI. Documento:</w:t>
      </w:r>
      <w:r w:rsidRPr="002F3A9F">
        <w:rPr>
          <w:rFonts w:ascii="Palatino Linotype" w:eastAsia="Palatino Linotype" w:hAnsi="Palatino Linotype" w:cs="Palatino Linotype"/>
          <w:i/>
          <w:iCs/>
          <w:sz w:val="22"/>
          <w:szCs w:val="22"/>
        </w:rPr>
        <w:t xml:space="preserve"> Los expedientes, reportes, estudios, actas</w:t>
      </w:r>
      <w:r w:rsidRPr="002F3A9F">
        <w:rPr>
          <w:rFonts w:ascii="Palatino Linotype" w:eastAsia="Palatino Linotype" w:hAnsi="Palatino Linotype" w:cs="Palatino Linotype"/>
          <w:b/>
          <w:bCs/>
          <w:i/>
          <w:iCs/>
          <w:sz w:val="22"/>
          <w:szCs w:val="22"/>
        </w:rPr>
        <w:t>,</w:t>
      </w:r>
      <w:r w:rsidRPr="002F3A9F">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E31F767" w14:textId="77777777" w:rsidR="0088340F" w:rsidRPr="002F3A9F" w:rsidRDefault="0088340F">
      <w:pPr>
        <w:spacing w:line="360" w:lineRule="auto"/>
        <w:ind w:left="851" w:right="899"/>
        <w:jc w:val="both"/>
        <w:rPr>
          <w:rFonts w:ascii="Palatino Linotype" w:eastAsia="Palatino Linotype" w:hAnsi="Palatino Linotype" w:cs="Palatino Linotype"/>
          <w:sz w:val="22"/>
          <w:szCs w:val="22"/>
        </w:rPr>
      </w:pPr>
    </w:p>
    <w:p w14:paraId="3DED0EF9"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A643728"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01A4C510" w14:textId="77777777" w:rsidR="0088340F" w:rsidRPr="002F3A9F" w:rsidRDefault="009B1A9E">
      <w:pPr>
        <w:ind w:left="567" w:right="616"/>
        <w:jc w:val="both"/>
        <w:rPr>
          <w:rFonts w:ascii="Palatino Linotype" w:eastAsia="Palatino Linotype" w:hAnsi="Palatino Linotype" w:cs="Palatino Linotype"/>
          <w:b/>
          <w:bCs/>
          <w:i/>
          <w:iCs/>
          <w:sz w:val="22"/>
          <w:szCs w:val="22"/>
        </w:rPr>
      </w:pPr>
      <w:r w:rsidRPr="002F3A9F">
        <w:rPr>
          <w:rFonts w:ascii="Palatino Linotype" w:eastAsia="Palatino Linotype" w:hAnsi="Palatino Linotype" w:cs="Palatino Linotype"/>
          <w:b/>
          <w:bCs/>
          <w:sz w:val="22"/>
          <w:szCs w:val="22"/>
        </w:rPr>
        <w:t>“</w:t>
      </w:r>
      <w:r w:rsidRPr="002F3A9F">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2F3A9F">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28ADE3"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18A3A45A"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58E4C93A" w14:textId="77777777" w:rsidR="0088340F" w:rsidRPr="002F3A9F" w:rsidRDefault="009B1A9E">
      <w:pPr>
        <w:ind w:left="567" w:right="616"/>
        <w:jc w:val="both"/>
        <w:rPr>
          <w:rFonts w:ascii="Palatino Linotype" w:eastAsia="Palatino Linotype" w:hAnsi="Palatino Linotype" w:cs="Palatino Linotype"/>
          <w:b/>
          <w:bCs/>
          <w:i/>
          <w:iCs/>
          <w:sz w:val="22"/>
          <w:szCs w:val="22"/>
        </w:rPr>
      </w:pPr>
      <w:r w:rsidRPr="002F3A9F">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5C08A4ED" w14:textId="77777777" w:rsidR="0088340F" w:rsidRPr="002F3A9F" w:rsidRDefault="009B1A9E">
      <w:pPr>
        <w:ind w:left="567" w:right="616"/>
        <w:jc w:val="both"/>
        <w:rPr>
          <w:rFonts w:ascii="Palatino Linotype" w:eastAsia="Palatino Linotype" w:hAnsi="Palatino Linotype" w:cs="Palatino Linotype"/>
          <w:b/>
          <w:bCs/>
          <w:i/>
          <w:iCs/>
          <w:sz w:val="22"/>
          <w:szCs w:val="22"/>
        </w:rPr>
      </w:pPr>
      <w:r w:rsidRPr="002F3A9F">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52ABFB01" w14:textId="77777777" w:rsidR="0088340F" w:rsidRPr="002F3A9F" w:rsidRDefault="0088340F">
      <w:pPr>
        <w:tabs>
          <w:tab w:val="left" w:pos="8647"/>
        </w:tabs>
        <w:spacing w:line="360" w:lineRule="auto"/>
        <w:jc w:val="both"/>
        <w:rPr>
          <w:rFonts w:ascii="Palatino Linotype" w:eastAsia="Palatino Linotype" w:hAnsi="Palatino Linotype" w:cs="Palatino Linotype"/>
          <w:b/>
          <w:bCs/>
          <w:sz w:val="22"/>
          <w:szCs w:val="22"/>
        </w:rPr>
      </w:pPr>
    </w:p>
    <w:p w14:paraId="2AC92636" w14:textId="77777777" w:rsidR="0088340F" w:rsidRPr="002F3A9F" w:rsidRDefault="009B1A9E">
      <w:pPr>
        <w:spacing w:after="240" w:line="360" w:lineRule="auto"/>
        <w:jc w:val="both"/>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 la </w:t>
      </w:r>
      <w:r w:rsidRPr="002F3A9F">
        <w:rPr>
          <w:rFonts w:ascii="Palatino Linotype" w:eastAsia="Palatino Linotype" w:hAnsi="Palatino Linotype" w:cs="Palatino Linotype"/>
          <w:b/>
          <w:bCs/>
          <w:sz w:val="22"/>
          <w:szCs w:val="22"/>
        </w:rPr>
        <w:t xml:space="preserve">Secretaría de Seguridad, </w:t>
      </w:r>
      <w:r w:rsidRPr="002F3A9F">
        <w:rPr>
          <w:rFonts w:ascii="Palatino Linotype" w:eastAsia="Palatino Linotype" w:hAnsi="Palatino Linotype" w:cs="Palatino Linotype"/>
          <w:sz w:val="22"/>
          <w:szCs w:val="22"/>
        </w:rPr>
        <w:t>lo siguiente:</w:t>
      </w:r>
    </w:p>
    <w:p w14:paraId="01CBBF16" w14:textId="7AFBE0EE" w:rsidR="0088340F" w:rsidRPr="002F3A9F" w:rsidRDefault="009B1A9E">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Recibos de nómina de todos los servidores públicos que trabajaron</w:t>
      </w:r>
      <w:r w:rsidR="004E0370" w:rsidRPr="002F3A9F">
        <w:rPr>
          <w:rFonts w:ascii="Palatino Linotype" w:eastAsia="Palatino Linotype" w:hAnsi="Palatino Linotype" w:cs="Palatino Linotype"/>
          <w:b/>
          <w:bCs/>
          <w:sz w:val="22"/>
          <w:szCs w:val="22"/>
        </w:rPr>
        <w:t xml:space="preserve"> en</w:t>
      </w:r>
      <w:r w:rsidRPr="002F3A9F">
        <w:rPr>
          <w:rFonts w:ascii="Palatino Linotype" w:eastAsia="Palatino Linotype" w:hAnsi="Palatino Linotype" w:cs="Palatino Linotype"/>
          <w:b/>
          <w:bCs/>
          <w:sz w:val="22"/>
          <w:szCs w:val="22"/>
        </w:rPr>
        <w:t xml:space="preserve"> </w:t>
      </w:r>
      <w:r w:rsidR="004E0370" w:rsidRPr="002F3A9F">
        <w:rPr>
          <w:rFonts w:ascii="Palatino Linotype" w:eastAsia="Palatino Linotype" w:hAnsi="Palatino Linotype" w:cs="Palatino Linotype"/>
          <w:b/>
          <w:bCs/>
          <w:sz w:val="22"/>
          <w:szCs w:val="22"/>
        </w:rPr>
        <w:t xml:space="preserve">la primera quincena de </w:t>
      </w:r>
      <w:r w:rsidRPr="002F3A9F">
        <w:rPr>
          <w:rFonts w:ascii="Palatino Linotype" w:eastAsia="Palatino Linotype" w:hAnsi="Palatino Linotype" w:cs="Palatino Linotype"/>
          <w:b/>
          <w:bCs/>
          <w:sz w:val="22"/>
          <w:szCs w:val="22"/>
        </w:rPr>
        <w:t>enero</w:t>
      </w:r>
      <w:r w:rsidR="004E0370" w:rsidRPr="002F3A9F">
        <w:rPr>
          <w:rFonts w:ascii="Palatino Linotype" w:eastAsia="Palatino Linotype" w:hAnsi="Palatino Linotype" w:cs="Palatino Linotype"/>
          <w:b/>
          <w:bCs/>
          <w:sz w:val="22"/>
          <w:szCs w:val="22"/>
        </w:rPr>
        <w:t xml:space="preserve"> y primera y segunda quincena de </w:t>
      </w:r>
      <w:r w:rsidRPr="002F3A9F">
        <w:rPr>
          <w:rFonts w:ascii="Palatino Linotype" w:eastAsia="Palatino Linotype" w:hAnsi="Palatino Linotype" w:cs="Palatino Linotype"/>
          <w:b/>
          <w:bCs/>
          <w:sz w:val="22"/>
          <w:szCs w:val="22"/>
        </w:rPr>
        <w:t>febrero, marzo, abril, mayo, julio, agosto de dos mil diecinueve.</w:t>
      </w:r>
    </w:p>
    <w:p w14:paraId="006E5DD4" w14:textId="77777777" w:rsidR="0088340F" w:rsidRPr="002F3A9F" w:rsidRDefault="009B1A9E">
      <w:pPr>
        <w:spacing w:before="240" w:after="240" w:line="360" w:lineRule="auto"/>
        <w:ind w:right="51"/>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El Sujeto Obligado refirió que no cuenta con la información requerida, ya que cada servidor público cuenta con un usuario y contraseña para ingresar al Sistema de Nómina del Sector Central del Poder Ejecutivo (g2g) que es operado por el Poder Ejecutivo, a través de la Dirección General de Personal, por lo que es información que no obra en los archivos de la Secretaría de Seguridad.</w:t>
      </w:r>
    </w:p>
    <w:p w14:paraId="25122F4A" w14:textId="77777777" w:rsidR="0088340F" w:rsidRPr="002F3A9F" w:rsidRDefault="009B1A9E">
      <w:pPr>
        <w:widowControl w:val="0"/>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El Recurrente se inconformó argumentando que la respuesta que brindó el Servidor Público no es transparente.</w:t>
      </w:r>
    </w:p>
    <w:p w14:paraId="45ACE6DE" w14:textId="77777777" w:rsidR="0088340F" w:rsidRPr="002F3A9F" w:rsidRDefault="0088340F">
      <w:pPr>
        <w:widowControl w:val="0"/>
        <w:spacing w:line="360" w:lineRule="auto"/>
        <w:jc w:val="both"/>
        <w:rPr>
          <w:rFonts w:ascii="Palatino Linotype" w:eastAsia="Palatino Linotype" w:hAnsi="Palatino Linotype" w:cs="Palatino Linotype"/>
          <w:sz w:val="22"/>
          <w:szCs w:val="22"/>
        </w:rPr>
      </w:pPr>
    </w:p>
    <w:p w14:paraId="1521BA2A" w14:textId="77777777" w:rsidR="0088340F" w:rsidRPr="002F3A9F" w:rsidRDefault="009B1A9E">
      <w:pPr>
        <w:widowControl w:val="0"/>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Derivado de la naturaleza de la información requerida, es necesario traer a contexto el 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 </w:t>
      </w:r>
    </w:p>
    <w:p w14:paraId="49EFA171" w14:textId="77777777" w:rsidR="0088340F" w:rsidRPr="002F3A9F" w:rsidRDefault="0088340F">
      <w:pPr>
        <w:widowControl w:val="0"/>
        <w:spacing w:line="360" w:lineRule="auto"/>
        <w:jc w:val="both"/>
        <w:rPr>
          <w:rFonts w:ascii="Palatino Linotype" w:eastAsia="Palatino Linotype" w:hAnsi="Palatino Linotype" w:cs="Palatino Linotype"/>
          <w:sz w:val="22"/>
          <w:szCs w:val="22"/>
        </w:rPr>
      </w:pPr>
    </w:p>
    <w:p w14:paraId="09115122"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Por su parte, la  Ley del Trabajo de los Servidores Públicos del Estado y Municipios, en su artículo 220 K, establece los documentos que tiene la obligación de conservar el </w:t>
      </w:r>
      <w:r w:rsidRPr="002F3A9F">
        <w:rPr>
          <w:rFonts w:ascii="Palatino Linotype" w:eastAsia="Palatino Linotype" w:hAnsi="Palatino Linotype" w:cs="Palatino Linotype"/>
          <w:b/>
          <w:bCs/>
          <w:sz w:val="22"/>
          <w:szCs w:val="22"/>
        </w:rPr>
        <w:t>Sujeto Obligado</w:t>
      </w:r>
      <w:r w:rsidRPr="002F3A9F">
        <w:rPr>
          <w:rFonts w:ascii="Palatino Linotype" w:eastAsia="Palatino Linotype" w:hAnsi="Palatino Linotype" w:cs="Palatino Linotype"/>
          <w:sz w:val="22"/>
          <w:szCs w:val="22"/>
        </w:rPr>
        <w:t>, entre los que se encuentran los recibos de pagos: </w:t>
      </w:r>
    </w:p>
    <w:p w14:paraId="78623A19" w14:textId="77777777" w:rsidR="0088340F" w:rsidRPr="002F3A9F" w:rsidRDefault="0088340F">
      <w:pPr>
        <w:spacing w:line="360" w:lineRule="auto"/>
        <w:rPr>
          <w:rFonts w:ascii="Palatino Linotype" w:eastAsia="Palatino Linotype" w:hAnsi="Palatino Linotype" w:cs="Palatino Linotype"/>
          <w:sz w:val="22"/>
          <w:szCs w:val="22"/>
        </w:rPr>
      </w:pPr>
    </w:p>
    <w:p w14:paraId="6B5BCC7D" w14:textId="77777777" w:rsidR="0088340F" w:rsidRPr="002F3A9F" w:rsidRDefault="009B1A9E">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i/>
          <w:iCs/>
          <w:sz w:val="22"/>
          <w:szCs w:val="22"/>
        </w:rPr>
        <w:t>“ARTÍCULO 220 K.-</w:t>
      </w:r>
      <w:r w:rsidRPr="002F3A9F">
        <w:rPr>
          <w:rFonts w:ascii="Palatino Linotype" w:eastAsia="Palatino Linotype" w:hAnsi="Palatino Linotype" w:cs="Palatino Linotype"/>
          <w:i/>
          <w:iCs/>
          <w:sz w:val="22"/>
          <w:szCs w:val="22"/>
        </w:rPr>
        <w:t xml:space="preserve"> La institución o dependencia pública tiene la obligación de conservar y exhibir en el proceso los documentos que a continuación se precisan:</w:t>
      </w:r>
    </w:p>
    <w:p w14:paraId="3BC0B78B" w14:textId="77777777" w:rsidR="0088340F" w:rsidRPr="002F3A9F" w:rsidRDefault="009B1A9E">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i/>
          <w:iCs/>
          <w:sz w:val="22"/>
          <w:szCs w:val="22"/>
        </w:rPr>
        <w:t>(…)</w:t>
      </w:r>
    </w:p>
    <w:p w14:paraId="6B4E2B22" w14:textId="77777777" w:rsidR="0088340F" w:rsidRPr="002F3A9F" w:rsidRDefault="009B1A9E">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i/>
          <w:iCs/>
          <w:sz w:val="22"/>
          <w:szCs w:val="22"/>
        </w:rPr>
        <w:t>II. Recibos de pagos de salarios o las constancias documentales del pago de salario cuando sea por depósito o mediante información electrónica; “</w:t>
      </w:r>
    </w:p>
    <w:p w14:paraId="30D996D0" w14:textId="77777777" w:rsidR="0088340F" w:rsidRPr="002F3A9F" w:rsidRDefault="0088340F">
      <w:pPr>
        <w:spacing w:line="360" w:lineRule="auto"/>
        <w:rPr>
          <w:rFonts w:ascii="Palatino Linotype" w:eastAsia="Palatino Linotype" w:hAnsi="Palatino Linotype" w:cs="Palatino Linotype"/>
          <w:sz w:val="22"/>
          <w:szCs w:val="22"/>
        </w:rPr>
      </w:pPr>
    </w:p>
    <w:p w14:paraId="267B6CED"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Del anterior precepto legal, se advierte que toda entidad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680E7EE3" w14:textId="77777777" w:rsidR="0088340F" w:rsidRPr="002F3A9F" w:rsidRDefault="0088340F">
      <w:pPr>
        <w:widowControl w:val="0"/>
        <w:spacing w:line="360" w:lineRule="auto"/>
        <w:jc w:val="both"/>
        <w:rPr>
          <w:rFonts w:ascii="Palatino Linotype" w:eastAsia="Palatino Linotype" w:hAnsi="Palatino Linotype" w:cs="Palatino Linotype"/>
          <w:sz w:val="22"/>
          <w:szCs w:val="22"/>
        </w:rPr>
      </w:pPr>
    </w:p>
    <w:p w14:paraId="0F26AC8D" w14:textId="77777777" w:rsidR="0088340F" w:rsidRPr="002F3A9F" w:rsidRDefault="009B1A9E">
      <w:pPr>
        <w:widowControl w:val="0"/>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Además,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9B647C8" w14:textId="77777777" w:rsidR="0088340F" w:rsidRPr="002F3A9F" w:rsidRDefault="0088340F">
      <w:pPr>
        <w:widowControl w:val="0"/>
        <w:spacing w:line="360" w:lineRule="auto"/>
        <w:jc w:val="both"/>
        <w:rPr>
          <w:rFonts w:ascii="Palatino Linotype" w:eastAsia="Palatino Linotype" w:hAnsi="Palatino Linotype" w:cs="Palatino Linotype"/>
          <w:sz w:val="22"/>
          <w:szCs w:val="22"/>
        </w:rPr>
      </w:pPr>
    </w:p>
    <w:p w14:paraId="40ECA417"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En este sentido, de acuerdo a la naturaleza de la información solicitada se concluye que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515FD76D" w14:textId="77777777" w:rsidR="0088340F" w:rsidRPr="002F3A9F" w:rsidRDefault="0088340F">
      <w:pPr>
        <w:spacing w:line="360" w:lineRule="auto"/>
        <w:rPr>
          <w:rFonts w:ascii="Palatino Linotype" w:eastAsia="Palatino Linotype" w:hAnsi="Palatino Linotype" w:cs="Palatino Linotype"/>
          <w:sz w:val="22"/>
          <w:szCs w:val="22"/>
        </w:rPr>
      </w:pPr>
    </w:p>
    <w:p w14:paraId="64D85EF7" w14:textId="77777777" w:rsidR="0088340F" w:rsidRPr="002F3A9F" w:rsidRDefault="009B1A9E">
      <w:pPr>
        <w:pBdr>
          <w:top w:val="nil"/>
          <w:left w:val="nil"/>
          <w:bottom w:val="nil"/>
          <w:right w:val="nil"/>
          <w:between w:val="nil"/>
        </w:pBdr>
        <w:spacing w:after="280"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BC018EC" w14:textId="77777777" w:rsidR="0088340F" w:rsidRPr="002F3A9F" w:rsidRDefault="009B1A9E">
      <w:pPr>
        <w:pBdr>
          <w:top w:val="nil"/>
          <w:left w:val="nil"/>
          <w:bottom w:val="nil"/>
          <w:right w:val="nil"/>
          <w:between w:val="nil"/>
        </w:pBdr>
        <w:ind w:left="851" w:right="822"/>
        <w:jc w:val="center"/>
        <w:rPr>
          <w:rFonts w:ascii="Palatino Linotype" w:eastAsia="Palatino Linotype" w:hAnsi="Palatino Linotype" w:cs="Palatino Linotype"/>
          <w:sz w:val="22"/>
          <w:szCs w:val="22"/>
        </w:rPr>
      </w:pPr>
      <w:r w:rsidRPr="002F3A9F">
        <w:rPr>
          <w:rFonts w:ascii="Palatino Linotype" w:eastAsia="Palatino Linotype" w:hAnsi="Palatino Linotype" w:cs="Palatino Linotype"/>
          <w:i/>
          <w:iCs/>
          <w:sz w:val="22"/>
          <w:szCs w:val="22"/>
        </w:rPr>
        <w:t>“</w:t>
      </w:r>
      <w:r w:rsidRPr="002F3A9F">
        <w:rPr>
          <w:rFonts w:ascii="Palatino Linotype" w:eastAsia="Palatino Linotype" w:hAnsi="Palatino Linotype" w:cs="Palatino Linotype"/>
          <w:b/>
          <w:bCs/>
          <w:i/>
          <w:iCs/>
          <w:sz w:val="22"/>
          <w:szCs w:val="22"/>
        </w:rPr>
        <w:t>Criterio 01/2003.</w:t>
      </w:r>
    </w:p>
    <w:p w14:paraId="738904DA" w14:textId="77777777" w:rsidR="0088340F" w:rsidRPr="002F3A9F" w:rsidRDefault="0088340F">
      <w:pPr>
        <w:rPr>
          <w:rFonts w:ascii="Palatino Linotype" w:eastAsia="Palatino Linotype" w:hAnsi="Palatino Linotype" w:cs="Palatino Linotype"/>
          <w:sz w:val="22"/>
          <w:szCs w:val="22"/>
        </w:rPr>
      </w:pPr>
    </w:p>
    <w:p w14:paraId="6A8C0758" w14:textId="77777777" w:rsidR="0088340F" w:rsidRPr="002F3A9F" w:rsidRDefault="009B1A9E">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i/>
          <w:iCs/>
          <w:sz w:val="22"/>
          <w:szCs w:val="22"/>
        </w:rPr>
        <w:t>“</w:t>
      </w:r>
      <w:r w:rsidRPr="002F3A9F">
        <w:rPr>
          <w:rFonts w:ascii="Palatino Linotype" w:eastAsia="Palatino Linotype" w:hAnsi="Palatino Linotype" w:cs="Palatino Linotype"/>
          <w:b/>
          <w:bCs/>
          <w:i/>
          <w:iCs/>
          <w:sz w:val="22"/>
          <w:szCs w:val="22"/>
        </w:rPr>
        <w:t xml:space="preserve">INGRESOS DE LOS SERVIDORES PÚBLICOS. CONSTITUYEN INFORMACIÓN PÚBLICA AÚN Y CUANDO SU DIFUSIÓN PUEDE AFECTAR LA VIDA O LA SEGURIDAD DE AQUELLOS. </w:t>
      </w:r>
      <w:r w:rsidRPr="002F3A9F">
        <w:rPr>
          <w:rFonts w:ascii="Palatino Linotype" w:eastAsia="Palatino Linotype" w:hAnsi="Palatino Linotype" w:cs="Palatino Linotype"/>
          <w:i/>
          <w:iCs/>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F3A9F">
        <w:rPr>
          <w:rFonts w:ascii="Palatino Linotype" w:eastAsia="Palatino Linotype" w:hAnsi="Palatino Linotype" w:cs="Palatino Linotype"/>
          <w:b/>
          <w:bCs/>
          <w:i/>
          <w:iCs/>
          <w:sz w:val="22"/>
          <w:szCs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F3A9F">
        <w:rPr>
          <w:rFonts w:ascii="Palatino Linotype" w:eastAsia="Palatino Linotype" w:hAnsi="Palatino Linotype" w:cs="Palatino Linotype"/>
          <w:i/>
          <w:iCs/>
          <w:sz w:val="22"/>
          <w:szCs w:val="22"/>
        </w:rPr>
        <w:t>…”</w:t>
      </w:r>
    </w:p>
    <w:p w14:paraId="1902A765" w14:textId="77777777" w:rsidR="0088340F" w:rsidRPr="002F3A9F" w:rsidRDefault="0088340F">
      <w:pPr>
        <w:rPr>
          <w:rFonts w:ascii="Palatino Linotype" w:eastAsia="Palatino Linotype" w:hAnsi="Palatino Linotype" w:cs="Palatino Linotype"/>
          <w:sz w:val="22"/>
          <w:szCs w:val="22"/>
        </w:rPr>
      </w:pPr>
    </w:p>
    <w:p w14:paraId="15DC7ACD" w14:textId="77777777" w:rsidR="0088340F" w:rsidRPr="002F3A9F" w:rsidRDefault="009B1A9E">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i/>
          <w:iCs/>
          <w:sz w:val="22"/>
          <w:szCs w:val="22"/>
        </w:rPr>
        <w:t>“</w:t>
      </w:r>
      <w:r w:rsidRPr="002F3A9F">
        <w:rPr>
          <w:rFonts w:ascii="Palatino Linotype" w:eastAsia="Palatino Linotype" w:hAnsi="Palatino Linotype" w:cs="Palatino Linotype"/>
          <w:b/>
          <w:bCs/>
          <w:i/>
          <w:iCs/>
          <w:sz w:val="22"/>
          <w:szCs w:val="22"/>
        </w:rPr>
        <w:t>Criterio 02/2003.</w:t>
      </w:r>
    </w:p>
    <w:p w14:paraId="465FCB49" w14:textId="77777777" w:rsidR="0088340F" w:rsidRPr="002F3A9F" w:rsidRDefault="0088340F">
      <w:pPr>
        <w:rPr>
          <w:rFonts w:ascii="Palatino Linotype" w:eastAsia="Palatino Linotype" w:hAnsi="Palatino Linotype" w:cs="Palatino Linotype"/>
          <w:sz w:val="22"/>
          <w:szCs w:val="22"/>
        </w:rPr>
      </w:pPr>
    </w:p>
    <w:p w14:paraId="64068DED" w14:textId="77777777" w:rsidR="0088340F" w:rsidRPr="002F3A9F" w:rsidRDefault="009B1A9E">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i/>
          <w:iCs/>
          <w:sz w:val="22"/>
          <w:szCs w:val="22"/>
        </w:rPr>
        <w:t>INGRESOS DE LOS SERVIDORES PÚBLICOS, SON INFORMACIÓN PÚBLICA AÚN Y CUANDO CONSTITUYEN DATOS PERSONALES QUE SE REFIEREN AL PATRIMONIO DE AQUÉLLOS</w:t>
      </w:r>
      <w:r w:rsidRPr="002F3A9F">
        <w:rPr>
          <w:rFonts w:ascii="Palatino Linotype" w:eastAsia="Palatino Linotype" w:hAnsi="Palatino Linotype" w:cs="Palatino Linotype"/>
          <w:i/>
          <w:iCs/>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F3A9F">
        <w:rPr>
          <w:rFonts w:ascii="Palatino Linotype" w:eastAsia="Palatino Linotype" w:hAnsi="Palatino Linotype" w:cs="Palatino Linotype"/>
          <w:b/>
          <w:bCs/>
          <w:i/>
          <w:iCs/>
          <w:sz w:val="22"/>
          <w:szCs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r w:rsidRPr="002F3A9F">
        <w:rPr>
          <w:rFonts w:ascii="Palatino Linotype" w:eastAsia="Palatino Linotype" w:hAnsi="Palatino Linotype" w:cs="Palatino Linotype"/>
          <w:i/>
          <w:iCs/>
          <w:sz w:val="22"/>
          <w:szCs w:val="22"/>
        </w:rPr>
        <w:t>”</w:t>
      </w:r>
    </w:p>
    <w:p w14:paraId="6A7FB834" w14:textId="77777777" w:rsidR="0088340F" w:rsidRPr="002F3A9F" w:rsidRDefault="009B1A9E">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i/>
          <w:iCs/>
          <w:sz w:val="22"/>
          <w:szCs w:val="22"/>
        </w:rPr>
        <w:t>(Énfasis añadido)</w:t>
      </w:r>
    </w:p>
    <w:p w14:paraId="40CA8D70" w14:textId="77777777" w:rsidR="0088340F" w:rsidRPr="002F3A9F" w:rsidRDefault="0088340F">
      <w:pPr>
        <w:spacing w:after="240" w:line="360" w:lineRule="auto"/>
        <w:ind w:right="49"/>
        <w:jc w:val="both"/>
        <w:rPr>
          <w:rFonts w:ascii="Palatino Linotype" w:eastAsia="Palatino Linotype" w:hAnsi="Palatino Linotype" w:cs="Palatino Linotype"/>
          <w:sz w:val="22"/>
          <w:szCs w:val="22"/>
        </w:rPr>
      </w:pPr>
    </w:p>
    <w:p w14:paraId="35A0E6C4"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Por lo que, al tratarse de información relativa a las remuneraciones de los servidores públicos por la relación laboral que mantiene con la Secretaría de Seguridad, es información de naturaleza pública. </w:t>
      </w:r>
    </w:p>
    <w:p w14:paraId="78C1C850" w14:textId="77777777" w:rsidR="0088340F" w:rsidRPr="002F3A9F" w:rsidRDefault="0088340F">
      <w:pPr>
        <w:widowControl w:val="0"/>
        <w:spacing w:line="360" w:lineRule="auto"/>
        <w:jc w:val="both"/>
        <w:rPr>
          <w:rFonts w:ascii="Palatino Linotype" w:eastAsia="Palatino Linotype" w:hAnsi="Palatino Linotype" w:cs="Palatino Linotype"/>
          <w:sz w:val="22"/>
          <w:szCs w:val="22"/>
        </w:rPr>
      </w:pPr>
    </w:p>
    <w:p w14:paraId="3D2EA078" w14:textId="77777777" w:rsidR="0088340F" w:rsidRPr="002F3A9F" w:rsidRDefault="009B1A9E">
      <w:pPr>
        <w:widowControl w:val="0"/>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Asimismo,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40CEFBBA" w14:textId="77777777" w:rsidR="0088340F" w:rsidRPr="002F3A9F" w:rsidRDefault="0088340F">
      <w:pPr>
        <w:widowControl w:val="0"/>
        <w:spacing w:line="360" w:lineRule="auto"/>
        <w:jc w:val="both"/>
        <w:rPr>
          <w:rFonts w:ascii="Palatino Linotype" w:eastAsia="Palatino Linotype" w:hAnsi="Palatino Linotype" w:cs="Palatino Linotype"/>
          <w:sz w:val="22"/>
          <w:szCs w:val="22"/>
        </w:rPr>
      </w:pPr>
    </w:p>
    <w:p w14:paraId="5F9BEA22" w14:textId="6BEBB09E"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Conforme a lo anterior, se logra vislumbrar que la pretensión de la persona Recurrente es obtener los recibos de nómina de todos los servidores públicos adscritos a la Secretaría de Seguridad que laboraban en </w:t>
      </w:r>
      <w:r w:rsidR="004E0370" w:rsidRPr="002F3A9F">
        <w:rPr>
          <w:rFonts w:ascii="Palatino Linotype" w:eastAsia="Palatino Linotype" w:hAnsi="Palatino Linotype" w:cs="Palatino Linotype"/>
          <w:sz w:val="22"/>
          <w:szCs w:val="22"/>
        </w:rPr>
        <w:t>la primera quincena de enero y primera y segunda quincena de</w:t>
      </w:r>
      <w:r w:rsidRPr="002F3A9F">
        <w:rPr>
          <w:rFonts w:ascii="Palatino Linotype" w:eastAsia="Palatino Linotype" w:hAnsi="Palatino Linotype" w:cs="Palatino Linotype"/>
          <w:b/>
          <w:bCs/>
          <w:sz w:val="22"/>
          <w:szCs w:val="22"/>
        </w:rPr>
        <w:t xml:space="preserve"> febrero, marzo, abril, mayo, julio, agosto de dos mil diecinueve</w:t>
      </w:r>
    </w:p>
    <w:p w14:paraId="7B71F2D7"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5D7E0FCD"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Una vez establecido lo anterior, es de señalar que, quien dio respuesta fue el Titular de la UIPPE, es decir, no turnó la solicitud a ninguna unidad administrativa, por lo que se tiene que no siguió el procedimiento para la atención a las solicitudes de acceso a la información, establecido en los artículos 151, 160, 162, 163, 164, 165 y 166, de la Ley de Transparencia y Acceso a la Información Pública del Estado de México y Municipios: </w:t>
      </w:r>
    </w:p>
    <w:p w14:paraId="48310250" w14:textId="77777777" w:rsidR="0088340F" w:rsidRPr="002F3A9F" w:rsidRDefault="0088340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32A4E9" w14:textId="77777777" w:rsidR="0088340F" w:rsidRPr="002F3A9F" w:rsidRDefault="009B1A9E">
      <w:pPr>
        <w:spacing w:after="240" w:line="360" w:lineRule="auto"/>
        <w:ind w:left="284"/>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0ED3D10" w14:textId="77777777" w:rsidR="0088340F" w:rsidRPr="002F3A9F" w:rsidRDefault="009B1A9E">
      <w:pPr>
        <w:spacing w:after="240" w:line="360" w:lineRule="auto"/>
        <w:ind w:left="284"/>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284C4E0E" w14:textId="77777777" w:rsidR="0088340F" w:rsidRPr="002F3A9F" w:rsidRDefault="009B1A9E">
      <w:pPr>
        <w:spacing w:after="240" w:line="360" w:lineRule="auto"/>
        <w:ind w:left="284"/>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125B2E41" w14:textId="77777777" w:rsidR="0088340F" w:rsidRPr="002F3A9F" w:rsidRDefault="009B1A9E">
      <w:pPr>
        <w:spacing w:after="240" w:line="360" w:lineRule="auto"/>
        <w:ind w:left="284"/>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F0A374F" w14:textId="77777777" w:rsidR="0088340F" w:rsidRPr="002F3A9F" w:rsidRDefault="009B1A9E">
      <w:pPr>
        <w:spacing w:after="240" w:line="360" w:lineRule="auto"/>
        <w:ind w:left="284"/>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55F8C307" w14:textId="77777777" w:rsidR="0088340F" w:rsidRPr="002F3A9F" w:rsidRDefault="009B1A9E">
      <w:pPr>
        <w:spacing w:after="240" w:line="360" w:lineRule="auto"/>
        <w:ind w:left="284"/>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435EC64C"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En este orden de ideas, se reitera que la Unidad de Transparencia no turnó la solicitud a las unidades administrativas con atribuciones para generar, administrar y poseer la información requerida por el particular, por lo que, se tiene que no se acreditó la correcta búsqueda exhaustiva y razonable de la información.</w:t>
      </w:r>
    </w:p>
    <w:p w14:paraId="25EA3AE3" w14:textId="77777777" w:rsidR="0088340F" w:rsidRPr="002F3A9F" w:rsidRDefault="0088340F">
      <w:pPr>
        <w:spacing w:line="360" w:lineRule="auto"/>
        <w:ind w:right="-28"/>
        <w:jc w:val="both"/>
        <w:rPr>
          <w:rFonts w:ascii="Palatino Linotype" w:eastAsia="Palatino Linotype" w:hAnsi="Palatino Linotype" w:cs="Palatino Linotype"/>
          <w:sz w:val="22"/>
          <w:szCs w:val="22"/>
        </w:rPr>
      </w:pPr>
    </w:p>
    <w:p w14:paraId="25E1D1CF" w14:textId="77777777" w:rsidR="0088340F" w:rsidRPr="002F3A9F" w:rsidRDefault="009B1A9E">
      <w:pPr>
        <w:spacing w:line="360" w:lineRule="auto"/>
        <w:ind w:right="-28"/>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Se afirma lo anterior, por lo contenido en el Manual de Organización del Sujeto Obligado en el numeral  20603000010000L, </w:t>
      </w:r>
      <w:r w:rsidRPr="002F3A9F">
        <w:rPr>
          <w:rFonts w:ascii="Palatino Linotype" w:eastAsia="Palatino Linotype" w:hAnsi="Palatino Linotype" w:cs="Palatino Linotype"/>
          <w:b/>
          <w:bCs/>
          <w:sz w:val="22"/>
          <w:szCs w:val="22"/>
        </w:rPr>
        <w:t>Dirección de Recursos Humanos</w:t>
      </w:r>
      <w:r w:rsidRPr="002F3A9F">
        <w:rPr>
          <w:rFonts w:ascii="Palatino Linotype" w:eastAsia="Palatino Linotype" w:hAnsi="Palatino Linotype" w:cs="Palatino Linotype"/>
          <w:sz w:val="22"/>
          <w:szCs w:val="22"/>
        </w:rPr>
        <w:t xml:space="preserve">, en el que se establece  que contara con diversas subdirecciones como servicios al personal que en conjunto realizaran as gestiones para la administración de los recursos humanos, así como para el pago de sueldos y prestaciones a las personas servidoras públicas de la Secretaría de Seguridad, siendo así que se debe dirigir y supervisar los mecanismos y sistemas implementados para el registro y control de movimientos e  incidencias del personal adscrito; </w:t>
      </w:r>
      <w:r w:rsidRPr="002F3A9F">
        <w:rPr>
          <w:rFonts w:ascii="Palatino Linotype" w:eastAsia="Palatino Linotype" w:hAnsi="Palatino Linotype" w:cs="Palatino Linotype"/>
          <w:b/>
          <w:bCs/>
          <w:sz w:val="22"/>
          <w:szCs w:val="22"/>
          <w:u w:val="single"/>
        </w:rPr>
        <w:t>así como verificar que se otorguen en tiempo y forma las remuneraciones, prestaciones, estímulos, recompensas y  demás percepciones al personal de la Secretaría de Seguridad</w:t>
      </w:r>
      <w:r w:rsidRPr="002F3A9F">
        <w:rPr>
          <w:rFonts w:ascii="Palatino Linotype" w:eastAsia="Palatino Linotype" w:hAnsi="Palatino Linotype" w:cs="Palatino Linotype"/>
          <w:sz w:val="22"/>
          <w:szCs w:val="22"/>
        </w:rPr>
        <w:t>, conforme a lo establecido en la normatividad  vigente y aplicable.</w:t>
      </w:r>
    </w:p>
    <w:p w14:paraId="633AC6A4" w14:textId="77777777" w:rsidR="0088340F" w:rsidRPr="002F3A9F" w:rsidRDefault="0088340F">
      <w:pPr>
        <w:spacing w:line="360" w:lineRule="auto"/>
        <w:ind w:right="-28"/>
        <w:jc w:val="both"/>
        <w:rPr>
          <w:rFonts w:ascii="Palatino Linotype" w:eastAsia="Palatino Linotype" w:hAnsi="Palatino Linotype" w:cs="Palatino Linotype"/>
          <w:sz w:val="22"/>
          <w:szCs w:val="22"/>
        </w:rPr>
      </w:pPr>
    </w:p>
    <w:p w14:paraId="60E3769D" w14:textId="77777777" w:rsidR="0088340F" w:rsidRPr="002F3A9F" w:rsidRDefault="009B1A9E">
      <w:pPr>
        <w:tabs>
          <w:tab w:val="left" w:pos="7080"/>
        </w:tabs>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Ahora bien, dicha área, tanto en respuesta, como en Informe Justificado, informó que en no contaba con los recibos, toda vez que correspondía a cada servidor público generar sus  propios recibos a través del Portal Electrónico del Gobierno del Estado de México, es decir precisaron que no contaban con los recibos de nómina del personal adscrito a sus  dependencias, a los cuales tenían acceso únicamente los servidores públicos, a través del Portal Electrónico  del Gobierno del Estado de México, en específico del Portal de Gestión Interna g2g, en el cual, los servidores públicos podían descargar sus recibos.</w:t>
      </w:r>
    </w:p>
    <w:p w14:paraId="114A5A9A" w14:textId="77777777" w:rsidR="0088340F" w:rsidRPr="002F3A9F" w:rsidRDefault="0088340F">
      <w:pPr>
        <w:tabs>
          <w:tab w:val="left" w:pos="7080"/>
        </w:tabs>
        <w:spacing w:line="360" w:lineRule="auto"/>
        <w:jc w:val="both"/>
        <w:rPr>
          <w:rFonts w:ascii="Palatino Linotype" w:eastAsia="Palatino Linotype" w:hAnsi="Palatino Linotype" w:cs="Palatino Linotype"/>
          <w:sz w:val="22"/>
          <w:szCs w:val="22"/>
        </w:rPr>
      </w:pPr>
    </w:p>
    <w:p w14:paraId="6C827932" w14:textId="77777777" w:rsidR="0088340F" w:rsidRPr="002F3A9F" w:rsidRDefault="009B1A9E">
      <w:pPr>
        <w:tabs>
          <w:tab w:val="left" w:pos="7080"/>
        </w:tabs>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Los comprobantes de percepciones y deducciones de los servidores públicos, son  obtenidos por ellos mismos, ingresando a la página del Gobierno del Estado de México  denominado Portal de Gestión Interna G2G, mediante una clave personal confidencial que  es creada por ellos mismos, tal como se muestra a continuación:</w:t>
      </w:r>
    </w:p>
    <w:p w14:paraId="6470564B" w14:textId="77777777" w:rsidR="0088340F" w:rsidRPr="002F3A9F" w:rsidRDefault="0088340F">
      <w:pPr>
        <w:tabs>
          <w:tab w:val="left" w:pos="7080"/>
        </w:tabs>
        <w:spacing w:line="360" w:lineRule="auto"/>
        <w:jc w:val="both"/>
        <w:rPr>
          <w:rFonts w:ascii="Palatino Linotype" w:eastAsia="Palatino Linotype" w:hAnsi="Palatino Linotype" w:cs="Palatino Linotype"/>
          <w:sz w:val="22"/>
          <w:szCs w:val="22"/>
        </w:rPr>
      </w:pPr>
    </w:p>
    <w:p w14:paraId="44AB6113" w14:textId="77777777" w:rsidR="0088340F" w:rsidRPr="002F3A9F" w:rsidRDefault="009B1A9E">
      <w:pPr>
        <w:tabs>
          <w:tab w:val="left" w:pos="7080"/>
        </w:tabs>
        <w:spacing w:line="360" w:lineRule="auto"/>
        <w:jc w:val="center"/>
        <w:rPr>
          <w:rFonts w:ascii="Palatino Linotype" w:eastAsia="Palatino Linotype" w:hAnsi="Palatino Linotype" w:cs="Palatino Linotype"/>
          <w:sz w:val="22"/>
          <w:szCs w:val="22"/>
        </w:rPr>
      </w:pPr>
      <w:r w:rsidRPr="002F3A9F">
        <w:rPr>
          <w:rFonts w:ascii="Palatino Linotype" w:eastAsia="Palatino Linotype" w:hAnsi="Palatino Linotype" w:cs="Palatino Linotype"/>
          <w:noProof/>
          <w:sz w:val="22"/>
          <w:szCs w:val="22"/>
        </w:rPr>
        <w:drawing>
          <wp:inline distT="0" distB="0" distL="0" distR="0" wp14:anchorId="62C3B749" wp14:editId="095B571F">
            <wp:extent cx="2564562" cy="2508197"/>
            <wp:effectExtent l="0" t="0" r="0" b="0"/>
            <wp:docPr id="3064786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64562" cy="2508197"/>
                    </a:xfrm>
                    <a:prstGeom prst="rect">
                      <a:avLst/>
                    </a:prstGeom>
                    <a:ln/>
                  </pic:spPr>
                </pic:pic>
              </a:graphicData>
            </a:graphic>
          </wp:inline>
        </w:drawing>
      </w:r>
    </w:p>
    <w:p w14:paraId="7DB7E9F8" w14:textId="77777777" w:rsidR="0088340F" w:rsidRPr="002F3A9F" w:rsidRDefault="009B1A9E">
      <w:pPr>
        <w:tabs>
          <w:tab w:val="left" w:pos="7080"/>
        </w:tabs>
        <w:spacing w:line="360" w:lineRule="auto"/>
        <w:jc w:val="center"/>
        <w:rPr>
          <w:rFonts w:ascii="Palatino Linotype" w:eastAsia="Palatino Linotype" w:hAnsi="Palatino Linotype" w:cs="Palatino Linotype"/>
          <w:sz w:val="22"/>
          <w:szCs w:val="22"/>
        </w:rPr>
      </w:pPr>
      <w:r w:rsidRPr="002F3A9F">
        <w:rPr>
          <w:rFonts w:ascii="Palatino Linotype" w:eastAsia="Palatino Linotype" w:hAnsi="Palatino Linotype" w:cs="Palatino Linotype"/>
          <w:noProof/>
          <w:sz w:val="22"/>
          <w:szCs w:val="22"/>
        </w:rPr>
        <w:drawing>
          <wp:inline distT="0" distB="0" distL="0" distR="0" wp14:anchorId="1029ED72" wp14:editId="3386F632">
            <wp:extent cx="3773594" cy="2717886"/>
            <wp:effectExtent l="0" t="0" r="0" b="0"/>
            <wp:docPr id="3064786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773594" cy="2717886"/>
                    </a:xfrm>
                    <a:prstGeom prst="rect">
                      <a:avLst/>
                    </a:prstGeom>
                    <a:ln/>
                  </pic:spPr>
                </pic:pic>
              </a:graphicData>
            </a:graphic>
          </wp:inline>
        </w:drawing>
      </w:r>
    </w:p>
    <w:p w14:paraId="1397C7A8" w14:textId="77777777" w:rsidR="0088340F" w:rsidRPr="002F3A9F" w:rsidRDefault="0088340F">
      <w:pPr>
        <w:tabs>
          <w:tab w:val="left" w:pos="7080"/>
        </w:tabs>
        <w:spacing w:line="360" w:lineRule="auto"/>
        <w:jc w:val="center"/>
        <w:rPr>
          <w:rFonts w:ascii="Palatino Linotype" w:eastAsia="Palatino Linotype" w:hAnsi="Palatino Linotype" w:cs="Palatino Linotype"/>
          <w:sz w:val="22"/>
          <w:szCs w:val="22"/>
        </w:rPr>
      </w:pPr>
    </w:p>
    <w:p w14:paraId="40D3358C"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Conforme a lo anterior, se determina que, en efecto, la Secretaría de Seguridad, </w:t>
      </w:r>
      <w:r w:rsidRPr="002F3A9F">
        <w:rPr>
          <w:rFonts w:ascii="Palatino Linotype" w:eastAsia="Palatino Linotype" w:hAnsi="Palatino Linotype" w:cs="Palatino Linotype"/>
          <w:b/>
          <w:bCs/>
          <w:sz w:val="22"/>
          <w:szCs w:val="22"/>
        </w:rPr>
        <w:t>no cuenta con los  recibos de nómina de sus servidores públicos, por ser información que no genera, administra y posee los documentos denominados recibos de nómina, pues como se ha demostrado, son</w:t>
      </w:r>
      <w:r w:rsidRPr="002F3A9F">
        <w:rPr>
          <w:rFonts w:ascii="Palatino Linotype" w:eastAsia="Palatino Linotype" w:hAnsi="Palatino Linotype" w:cs="Palatino Linotype"/>
          <w:sz w:val="22"/>
          <w:szCs w:val="22"/>
        </w:rPr>
        <w:t xml:space="preserve"> emitidos por la Dirección del Personal coordinada por la misma dependencia en comento; sobre el tema, el artículo 19, segundo  párrafo, de la Ley de Transparencia y Acceso a la Información Pública del Estado de México  y Municipios, establece que en el caso de que ciertas facultades, competencias o funciones no  se hayan ejercido, se debe motivar la respuesta en función de las causas que motiven tal  circunstancia.  </w:t>
      </w:r>
    </w:p>
    <w:p w14:paraId="01BA1A93"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5B9A1D4B"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Es decir, cuando los sujetos obligados no cuenten con cierta información, deberán señalar las  razones que justifican dicha situación; lo cual aconteció en el presente caso, pues la  UIPPE, precisó que no generaba los recibos de nómina de su personal, pues son obtenidos por ellos mismos, ingresando a la página del Gobierno del Estado de México.</w:t>
      </w:r>
    </w:p>
    <w:p w14:paraId="4262A050"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5CACF447"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Sin embargo, no se pierde de vista la naturaleza de la información que es de interés para el particular, la cual se relaciona con las remuneraciones de los servidores públicos que laboran para una institución pública en el año dos mil diecinueve.</w:t>
      </w:r>
    </w:p>
    <w:p w14:paraId="7224321D"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71A37912"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Por lo que conviene resaltar que, todos los Sujetos Obligados deben publicar de manera permanente y actualizada la información relativa a las remuneraciones de los servidores públicos, lo cual se contempla como una obligación de transparencia común. </w:t>
      </w:r>
    </w:p>
    <w:p w14:paraId="27688F2B"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71492030"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Además, este Instituto determina que la Secretaría de Seguridad, debe de contar con algún  documento que dé cuenta de las remuneraciones pagadas a los servidores  públicos para cumplir con sus obligaciones de transparencia común, es decir, aquel que contenga los sueldos, prestaciones y de deducciones; pues del propio portal de Gestión Interna G2G, se logra vislumbrar un apartado para las Coordinaciones Administrativas, entre las cuáles se encuentra la del Sujeto Obligado y el cual precisa que dicha área puede obtener los siguientes documentos:</w:t>
      </w:r>
    </w:p>
    <w:p w14:paraId="1D64BACA"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3C5E99D8"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noProof/>
          <w:sz w:val="22"/>
          <w:szCs w:val="22"/>
        </w:rPr>
        <w:drawing>
          <wp:inline distT="0" distB="0" distL="0" distR="0" wp14:anchorId="5B9FB674" wp14:editId="19275543">
            <wp:extent cx="5612130" cy="2446020"/>
            <wp:effectExtent l="0" t="0" r="0" b="0"/>
            <wp:docPr id="3064786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2446020"/>
                    </a:xfrm>
                    <a:prstGeom prst="rect">
                      <a:avLst/>
                    </a:prstGeom>
                    <a:ln/>
                  </pic:spPr>
                </pic:pic>
              </a:graphicData>
            </a:graphic>
          </wp:inline>
        </w:drawing>
      </w:r>
    </w:p>
    <w:p w14:paraId="1440D1BB"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15BAB9BE"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Conforme a lo anterior, existen documentos a los que puede acceder el Sujeto Obligado y que dan cuenta de la información peticionada, tal como lo es el Comprobante de percepciones y deducciones, así como, la Constancia quincenal de percepciones y deducciones, los cuáles conforme al portal mencionado, tienen validez oficial.</w:t>
      </w:r>
    </w:p>
    <w:p w14:paraId="37747A73"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0A8A721C"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Por lo que, es claro que el Sujeto Obligado debe contar en sus archivos con documentos que den cuenta de la información solicitada y que haga las veces de recibos de pago;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w:t>
      </w:r>
    </w:p>
    <w:p w14:paraId="7C4857F6"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7E63769E"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 </w:t>
      </w:r>
    </w:p>
    <w:p w14:paraId="48CA8E26"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 </w:t>
      </w:r>
    </w:p>
    <w:p w14:paraId="1DBC204C"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Además, resulta aplicable el Criterio Orientador SO/003/2017, de la Segunda Época, emitido por el entonces Instituto Nacional de Transparencia, Acceso a la Información y Protección de Datos Personales que a continuación se cita:  </w:t>
      </w:r>
    </w:p>
    <w:p w14:paraId="552FCAF1"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25895665" w14:textId="77777777" w:rsidR="0088340F" w:rsidRPr="002F3A9F" w:rsidRDefault="009B1A9E">
      <w:pPr>
        <w:spacing w:line="360" w:lineRule="auto"/>
        <w:ind w:left="567" w:right="843"/>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2F3A9F">
        <w:rPr>
          <w:rFonts w:ascii="Palatino Linotype" w:eastAsia="Palatino Linotype" w:hAnsi="Palatino Linotype" w:cs="Palatino Linotype"/>
          <w:sz w:val="22"/>
          <w:szCs w:val="22"/>
        </w:rPr>
        <w:t xml:space="preserve">. </w:t>
      </w:r>
      <w:r w:rsidRPr="002F3A9F">
        <w:rPr>
          <w:rFonts w:ascii="Palatino Linotype" w:eastAsia="Palatino Linotype" w:hAnsi="Palatino Linotype" w:cs="Palatino Linotype"/>
          <w:i/>
          <w:iCs/>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2F3A9F">
        <w:rPr>
          <w:rFonts w:ascii="Palatino Linotype" w:eastAsia="Palatino Linotype" w:hAnsi="Palatino Linotype" w:cs="Palatino Linotype"/>
          <w:sz w:val="22"/>
          <w:szCs w:val="22"/>
        </w:rPr>
        <w:t xml:space="preserve">  </w:t>
      </w:r>
    </w:p>
    <w:p w14:paraId="20C4282D" w14:textId="77777777" w:rsidR="0088340F" w:rsidRPr="002F3A9F" w:rsidRDefault="0088340F">
      <w:pPr>
        <w:spacing w:line="360" w:lineRule="auto"/>
        <w:jc w:val="both"/>
        <w:rPr>
          <w:rFonts w:ascii="Palatino Linotype" w:eastAsia="Palatino Linotype" w:hAnsi="Palatino Linotype" w:cs="Palatino Linotype"/>
          <w:sz w:val="22"/>
          <w:szCs w:val="22"/>
          <w:u w:val="single"/>
        </w:rPr>
      </w:pPr>
    </w:p>
    <w:p w14:paraId="204604C4"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39319271" w14:textId="77777777" w:rsidR="0088340F" w:rsidRPr="002F3A9F" w:rsidRDefault="0088340F">
      <w:pPr>
        <w:spacing w:line="360" w:lineRule="auto"/>
        <w:jc w:val="both"/>
        <w:rPr>
          <w:rFonts w:ascii="Palatino Linotype" w:eastAsia="Palatino Linotype" w:hAnsi="Palatino Linotype" w:cs="Palatino Linotype"/>
          <w:sz w:val="22"/>
          <w:szCs w:val="22"/>
          <w:u w:val="single"/>
        </w:rPr>
      </w:pPr>
    </w:p>
    <w:p w14:paraId="3DCBDE94"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Así, se concluye que el agravio del Particular es </w:t>
      </w:r>
      <w:r w:rsidRPr="002F3A9F">
        <w:rPr>
          <w:rFonts w:ascii="Palatino Linotype" w:eastAsia="Palatino Linotype" w:hAnsi="Palatino Linotype" w:cs="Palatino Linotype"/>
          <w:b/>
          <w:bCs/>
          <w:sz w:val="22"/>
          <w:szCs w:val="22"/>
        </w:rPr>
        <w:t xml:space="preserve">PARCIALMENTE FUNDADO, </w:t>
      </w:r>
      <w:r w:rsidRPr="002F3A9F">
        <w:rPr>
          <w:rFonts w:ascii="Palatino Linotype" w:eastAsia="Palatino Linotype" w:hAnsi="Palatino Linotype" w:cs="Palatino Linotype"/>
          <w:sz w:val="22"/>
          <w:szCs w:val="22"/>
        </w:rPr>
        <w:t>ya que si bien en los archivos del Sujeto Obligado no obran los recibos de nómina, lo cierto es que  debe generar documentos que den cuenta de lo solicitado, es decir, que su contenido sea el mismo, en otras palabras que contenga los sueldos, prestaciones y deducciones.</w:t>
      </w:r>
    </w:p>
    <w:p w14:paraId="5126B253"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5493FCD5" w14:textId="18009969" w:rsidR="0088340F" w:rsidRPr="002F3A9F" w:rsidRDefault="009B1A9E">
      <w:pPr>
        <w:spacing w:after="240" w:line="360" w:lineRule="auto"/>
        <w:jc w:val="both"/>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sz w:val="22"/>
          <w:szCs w:val="22"/>
        </w:rPr>
        <w:t xml:space="preserve">Por lo que, para atender el requerimiento, deberá realizar una búsqueda exhaustiva y razonable, en todos los archivos de las unidades administrativa competentes, a efecto de proporcionar aquellos donde conste el pago de remuneraciones de todos los servidores públicos (sueldos, prestaciones y deducciones) de los </w:t>
      </w:r>
      <w:r w:rsidRPr="002F3A9F">
        <w:rPr>
          <w:rFonts w:ascii="Palatino Linotype" w:eastAsia="Palatino Linotype" w:hAnsi="Palatino Linotype" w:cs="Palatino Linotype"/>
          <w:b/>
          <w:bCs/>
          <w:sz w:val="22"/>
          <w:szCs w:val="22"/>
        </w:rPr>
        <w:t xml:space="preserve">servidores públicos que trabajaron </w:t>
      </w:r>
      <w:r w:rsidR="004E0370" w:rsidRPr="002F3A9F">
        <w:rPr>
          <w:rFonts w:ascii="Palatino Linotype" w:eastAsia="Palatino Linotype" w:hAnsi="Palatino Linotype" w:cs="Palatino Linotype"/>
          <w:b/>
          <w:bCs/>
          <w:sz w:val="22"/>
          <w:szCs w:val="22"/>
        </w:rPr>
        <w:t xml:space="preserve">en la primera quincena de </w:t>
      </w:r>
      <w:r w:rsidRPr="002F3A9F">
        <w:rPr>
          <w:rFonts w:ascii="Palatino Linotype" w:eastAsia="Palatino Linotype" w:hAnsi="Palatino Linotype" w:cs="Palatino Linotype"/>
          <w:b/>
          <w:bCs/>
          <w:sz w:val="22"/>
          <w:szCs w:val="22"/>
        </w:rPr>
        <w:t>enero</w:t>
      </w:r>
      <w:r w:rsidR="004E0370" w:rsidRPr="002F3A9F">
        <w:rPr>
          <w:rFonts w:ascii="Palatino Linotype" w:eastAsia="Palatino Linotype" w:hAnsi="Palatino Linotype" w:cs="Palatino Linotype"/>
          <w:b/>
          <w:bCs/>
          <w:sz w:val="22"/>
          <w:szCs w:val="22"/>
        </w:rPr>
        <w:t xml:space="preserve"> y primera y segunda quincena de</w:t>
      </w:r>
      <w:r w:rsidRPr="002F3A9F">
        <w:rPr>
          <w:rFonts w:ascii="Palatino Linotype" w:eastAsia="Palatino Linotype" w:hAnsi="Palatino Linotype" w:cs="Palatino Linotype"/>
          <w:b/>
          <w:bCs/>
          <w:sz w:val="22"/>
          <w:szCs w:val="22"/>
        </w:rPr>
        <w:t xml:space="preserve"> febrero, marzo, abril, mayo, julio, agosto de dos mil diecinueve. </w:t>
      </w:r>
    </w:p>
    <w:p w14:paraId="4C5759AF" w14:textId="77777777" w:rsidR="0088340F" w:rsidRPr="002F3A9F" w:rsidRDefault="009B1A9E">
      <w:pPr>
        <w:spacing w:before="240" w:after="240"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De ser el caso de que los documentos que se ordenan entregar contengan datos personales, el Sujeto Obligado estará a lo dispuesto en el Considerando Quinto de la presente resolución.</w:t>
      </w:r>
    </w:p>
    <w:p w14:paraId="4E187467"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 xml:space="preserve">Quinto. Versión Pública. </w:t>
      </w:r>
      <w:r w:rsidRPr="002F3A9F">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B36677D"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112CF89C"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054A361E"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0B0ACE48" w14:textId="77777777" w:rsidR="0088340F" w:rsidRPr="002F3A9F" w:rsidRDefault="009B1A9E">
      <w:pPr>
        <w:spacing w:line="360" w:lineRule="auto"/>
        <w:ind w:right="50"/>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898482B" w14:textId="77777777" w:rsidR="0088340F" w:rsidRPr="002F3A9F" w:rsidRDefault="0088340F">
      <w:pPr>
        <w:spacing w:line="360" w:lineRule="auto"/>
        <w:ind w:right="50"/>
        <w:jc w:val="both"/>
        <w:rPr>
          <w:rFonts w:ascii="Palatino Linotype" w:eastAsia="Palatino Linotype" w:hAnsi="Palatino Linotype" w:cs="Palatino Linotype"/>
          <w:sz w:val="22"/>
          <w:szCs w:val="22"/>
        </w:rPr>
      </w:pPr>
    </w:p>
    <w:p w14:paraId="4515734F"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r w:rsidRPr="002F3A9F">
        <w:rPr>
          <w:rFonts w:ascii="Palatino Linotype" w:eastAsia="Palatino Linotype" w:hAnsi="Palatino Linotype" w:cs="Palatino Linotype"/>
          <w:b/>
          <w:bCs/>
          <w:i/>
          <w:iCs/>
          <w:sz w:val="22"/>
          <w:szCs w:val="22"/>
        </w:rPr>
        <w:t>Artículo 3.</w:t>
      </w:r>
      <w:r w:rsidRPr="002F3A9F">
        <w:rPr>
          <w:rFonts w:ascii="Palatino Linotype" w:eastAsia="Palatino Linotype" w:hAnsi="Palatino Linotype" w:cs="Palatino Linotype"/>
          <w:i/>
          <w:iCs/>
          <w:sz w:val="22"/>
          <w:szCs w:val="22"/>
        </w:rPr>
        <w:t xml:space="preserve"> Para los efectos de la presente Ley se entenderá por:</w:t>
      </w:r>
    </w:p>
    <w:p w14:paraId="62F587CC"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p>
    <w:p w14:paraId="00677EBF"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1D760C80"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XX. Información clasificada: Aquella considerada por la presente Ley como reservada o confidencial;</w:t>
      </w:r>
    </w:p>
    <w:p w14:paraId="54CA5D4C"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26A09D1"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690795A1"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p>
    <w:p w14:paraId="63042152"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Artículo 91.</w:t>
      </w:r>
      <w:r w:rsidRPr="002F3A9F">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307F2CD8"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Artículo 132.</w:t>
      </w:r>
      <w:r w:rsidRPr="002F3A9F">
        <w:rPr>
          <w:rFonts w:ascii="Palatino Linotype" w:eastAsia="Palatino Linotype" w:hAnsi="Palatino Linotype" w:cs="Palatino Linotype"/>
          <w:i/>
          <w:iCs/>
          <w:sz w:val="22"/>
          <w:szCs w:val="22"/>
        </w:rPr>
        <w:t xml:space="preserve"> La clasificación de la información se llevará a cabo en el momento en que:</w:t>
      </w:r>
    </w:p>
    <w:p w14:paraId="19E81D15" w14:textId="77777777" w:rsidR="0088340F" w:rsidRPr="002F3A9F" w:rsidRDefault="009B1A9E">
      <w:pPr>
        <w:tabs>
          <w:tab w:val="left" w:pos="1134"/>
        </w:tabs>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I. Se reciba una solicitud de acceso a la información;</w:t>
      </w:r>
    </w:p>
    <w:p w14:paraId="78B07475" w14:textId="77777777" w:rsidR="0088340F" w:rsidRPr="002F3A9F" w:rsidRDefault="009B1A9E">
      <w:pPr>
        <w:tabs>
          <w:tab w:val="left" w:pos="1134"/>
        </w:tabs>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II. Se determine mediante resolución de autoridad competente; o</w:t>
      </w:r>
    </w:p>
    <w:p w14:paraId="2470B7CC" w14:textId="77777777" w:rsidR="0088340F" w:rsidRPr="002F3A9F" w:rsidRDefault="009B1A9E">
      <w:pPr>
        <w:tabs>
          <w:tab w:val="left" w:pos="1134"/>
        </w:tabs>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1347DA5D"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p>
    <w:p w14:paraId="4690DFAD"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Artículo 143</w:t>
      </w:r>
      <w:r w:rsidRPr="002F3A9F">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3EE1CB09"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7736F447"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2464A19"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2D954FC4"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5421CBE6"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2F980B26" w14:textId="77777777" w:rsidR="0088340F" w:rsidRPr="002F3A9F" w:rsidRDefault="0088340F">
      <w:pPr>
        <w:ind w:left="567" w:right="616"/>
        <w:jc w:val="both"/>
        <w:rPr>
          <w:rFonts w:ascii="Palatino Linotype" w:eastAsia="Palatino Linotype" w:hAnsi="Palatino Linotype" w:cs="Palatino Linotype"/>
          <w:i/>
          <w:iCs/>
          <w:sz w:val="22"/>
          <w:szCs w:val="22"/>
        </w:rPr>
      </w:pPr>
    </w:p>
    <w:p w14:paraId="76F08D6A"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56E08D5"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69558774"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113A5033"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Entre los datos personales que pudieran obrar en los archivos que se ordena entregar, se contienen los siguientes:</w:t>
      </w:r>
    </w:p>
    <w:p w14:paraId="05236CF4"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3B177780" w14:textId="77777777" w:rsidR="0088340F" w:rsidRPr="002F3A9F" w:rsidRDefault="009B1A9E">
      <w:pPr>
        <w:spacing w:after="240" w:line="360" w:lineRule="auto"/>
        <w:jc w:val="both"/>
        <w:rPr>
          <w:rFonts w:ascii="Palatino Linotype" w:eastAsia="Palatino Linotype" w:hAnsi="Palatino Linotype" w:cs="Palatino Linotype"/>
          <w:b/>
          <w:bCs/>
          <w:sz w:val="22"/>
          <w:szCs w:val="22"/>
        </w:rPr>
      </w:pPr>
      <w:bookmarkStart w:id="3" w:name="_heading=h.wt5uvxh87tuc" w:colFirst="0" w:colLast="0"/>
      <w:bookmarkEnd w:id="3"/>
      <w:r w:rsidRPr="002F3A9F">
        <w:rPr>
          <w:rFonts w:ascii="Palatino Linotype" w:eastAsia="Palatino Linotype" w:hAnsi="Palatino Linotype" w:cs="Palatino Linotype"/>
          <w:b/>
          <w:bCs/>
          <w:sz w:val="22"/>
          <w:szCs w:val="22"/>
        </w:rPr>
        <w:t xml:space="preserve">Registro Federal de Contribuyentes (RFC) </w:t>
      </w:r>
    </w:p>
    <w:p w14:paraId="0E503F72" w14:textId="77777777" w:rsidR="0088340F" w:rsidRPr="002F3A9F" w:rsidRDefault="0088340F">
      <w:pPr>
        <w:rPr>
          <w:rFonts w:ascii="Palatino Linotype" w:eastAsia="Palatino Linotype" w:hAnsi="Palatino Linotype" w:cs="Palatino Linotype"/>
          <w:sz w:val="22"/>
          <w:szCs w:val="22"/>
        </w:rPr>
      </w:pPr>
    </w:p>
    <w:p w14:paraId="379EB901"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F2C24DE" w14:textId="77777777" w:rsidR="0088340F" w:rsidRPr="002F3A9F" w:rsidRDefault="008834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B8F39C2"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00A78A8B" w14:textId="77777777" w:rsidR="0088340F" w:rsidRPr="002F3A9F" w:rsidRDefault="0088340F">
      <w:pPr>
        <w:pBdr>
          <w:top w:val="nil"/>
          <w:left w:val="nil"/>
          <w:bottom w:val="nil"/>
          <w:right w:val="nil"/>
          <w:between w:val="nil"/>
        </w:pBdr>
        <w:spacing w:line="360" w:lineRule="auto"/>
        <w:ind w:left="720"/>
        <w:rPr>
          <w:rFonts w:ascii="Palatino Linotype" w:eastAsia="Palatino Linotype" w:hAnsi="Palatino Linotype" w:cs="Palatino Linotype"/>
          <w:sz w:val="22"/>
          <w:szCs w:val="22"/>
        </w:rPr>
      </w:pPr>
    </w:p>
    <w:p w14:paraId="367A996A"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85C43B7" w14:textId="77777777" w:rsidR="0088340F" w:rsidRPr="002F3A9F" w:rsidRDefault="0088340F">
      <w:pPr>
        <w:pBdr>
          <w:top w:val="nil"/>
          <w:left w:val="nil"/>
          <w:bottom w:val="nil"/>
          <w:right w:val="nil"/>
          <w:between w:val="nil"/>
        </w:pBdr>
        <w:spacing w:line="360" w:lineRule="auto"/>
        <w:ind w:left="720"/>
        <w:rPr>
          <w:rFonts w:ascii="Palatino Linotype" w:eastAsia="Palatino Linotype" w:hAnsi="Palatino Linotype" w:cs="Palatino Linotype"/>
          <w:sz w:val="22"/>
          <w:szCs w:val="22"/>
        </w:rPr>
      </w:pPr>
    </w:p>
    <w:p w14:paraId="269E7802"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286EA4DE" w14:textId="77777777" w:rsidR="0088340F" w:rsidRPr="002F3A9F" w:rsidRDefault="0088340F">
      <w:pPr>
        <w:pBdr>
          <w:top w:val="nil"/>
          <w:left w:val="nil"/>
          <w:bottom w:val="nil"/>
          <w:right w:val="nil"/>
          <w:between w:val="nil"/>
        </w:pBdr>
        <w:spacing w:line="360" w:lineRule="auto"/>
        <w:ind w:left="720"/>
        <w:rPr>
          <w:rFonts w:ascii="Palatino Linotype" w:eastAsia="Palatino Linotype" w:hAnsi="Palatino Linotype" w:cs="Palatino Linotype"/>
          <w:sz w:val="22"/>
          <w:szCs w:val="22"/>
        </w:rPr>
      </w:pPr>
    </w:p>
    <w:p w14:paraId="37B79EB5"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Lo anterior, resulta congruente con el Criterio 19/17 emitido por el Instituto Nacional de Transparencia, Acceso a la Información y Protección de Datos Personales, en el cual se señala lo siguiente:</w:t>
      </w:r>
    </w:p>
    <w:p w14:paraId="1A50593A"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177BC6E3" w14:textId="77777777" w:rsidR="0088340F" w:rsidRPr="002F3A9F" w:rsidRDefault="009B1A9E">
      <w:pPr>
        <w:spacing w:line="360" w:lineRule="auto"/>
        <w:ind w:left="567"/>
        <w:jc w:val="both"/>
        <w:rPr>
          <w:rFonts w:ascii="Palatino Linotype" w:eastAsia="Palatino Linotype" w:hAnsi="Palatino Linotype" w:cs="Palatino Linotype"/>
          <w:b/>
          <w:bCs/>
          <w:i/>
          <w:iCs/>
          <w:sz w:val="22"/>
          <w:szCs w:val="22"/>
        </w:rPr>
      </w:pPr>
      <w:r w:rsidRPr="002F3A9F">
        <w:rPr>
          <w:rFonts w:ascii="Palatino Linotype" w:eastAsia="Palatino Linotype" w:hAnsi="Palatino Linotype" w:cs="Palatino Linotype"/>
          <w:b/>
          <w:bCs/>
          <w:i/>
          <w:iCs/>
          <w:sz w:val="22"/>
          <w:szCs w:val="22"/>
        </w:rPr>
        <w:t xml:space="preserve">Registro Federal de Contribuyentes (RFC) de personas físicas. </w:t>
      </w:r>
    </w:p>
    <w:p w14:paraId="0289AA84" w14:textId="77777777" w:rsidR="0088340F" w:rsidRPr="002F3A9F" w:rsidRDefault="009B1A9E">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El RFC es una clave de carácter fiscal, única e irrepetible, que permite identificar al titular, su edad y fecha de nacimiento, por lo que es un dato personal de carácter confidencial.</w:t>
      </w:r>
    </w:p>
    <w:p w14:paraId="765F3855" w14:textId="77777777" w:rsidR="0088340F" w:rsidRPr="002F3A9F" w:rsidRDefault="0088340F">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sz w:val="22"/>
          <w:szCs w:val="22"/>
        </w:rPr>
      </w:pPr>
    </w:p>
    <w:p w14:paraId="3E00FF6E"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De tal suerte, el Registro Federal de Contribuyentes de las personas físicas no guarda relación con la transparencia de los recursos públicos</w:t>
      </w:r>
      <w:r w:rsidRPr="002F3A9F">
        <w:rPr>
          <w:rFonts w:ascii="Palatino Linotype" w:eastAsia="Palatino Linotype" w:hAnsi="Palatino Linotype" w:cs="Palatino Linotype"/>
          <w:sz w:val="22"/>
          <w:szCs w:val="22"/>
        </w:rPr>
        <w:t>, así como tampoco con el desempeño laboral que pueda tener una persona, por lo que debe ser clasificado como confidencial. En términos del artículo 143, fracción I de la Ley de Transparencia y Acceso a la Información Pública del Estado de México y Municipios.</w:t>
      </w:r>
    </w:p>
    <w:p w14:paraId="4753F4C1" w14:textId="77777777" w:rsidR="0088340F" w:rsidRPr="002F3A9F" w:rsidRDefault="008834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E16920" w14:textId="77777777" w:rsidR="0088340F" w:rsidRPr="002F3A9F" w:rsidRDefault="009B1A9E">
      <w:pPr>
        <w:spacing w:line="360" w:lineRule="auto"/>
        <w:jc w:val="both"/>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Clave Única de Registro de Población (CURP)</w:t>
      </w:r>
    </w:p>
    <w:p w14:paraId="348AE8BC"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500F54BB"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7325B01"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61DA23BB"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899AC35"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0A70169E"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En ese orden de ideas, la Secretaría de Gobernación en las direcciones </w:t>
      </w:r>
      <w:hyperlink r:id="rId12">
        <w:r w:rsidRPr="002F3A9F">
          <w:rPr>
            <w:rFonts w:ascii="Palatino Linotype" w:eastAsia="Palatino Linotype" w:hAnsi="Palatino Linotype" w:cs="Palatino Linotype"/>
            <w:sz w:val="22"/>
            <w:szCs w:val="22"/>
            <w:u w:val="single"/>
          </w:rPr>
          <w:t>https://consultas.curp.gob.mx/CurpSP/html/informacionecurpPS.html</w:t>
        </w:r>
      </w:hyperlink>
      <w:r w:rsidRPr="002F3A9F">
        <w:rPr>
          <w:rFonts w:ascii="Palatino Linotype" w:eastAsia="Palatino Linotype" w:hAnsi="Palatino Linotype" w:cs="Palatino Linotype"/>
          <w:sz w:val="22"/>
          <w:szCs w:val="22"/>
        </w:rPr>
        <w:t xml:space="preserve"> y </w:t>
      </w:r>
      <w:hyperlink r:id="rId13">
        <w:r w:rsidRPr="002F3A9F">
          <w:rPr>
            <w:rFonts w:ascii="Palatino Linotype" w:eastAsia="Palatino Linotype" w:hAnsi="Palatino Linotype" w:cs="Palatino Linotype"/>
            <w:sz w:val="22"/>
            <w:szCs w:val="22"/>
            <w:u w:val="single"/>
          </w:rPr>
          <w:t>https://www.gob.mx/segob/renapo/acciones-y-programas/clave-unica-de-registro-de-poblacion-curp-142226</w:t>
        </w:r>
      </w:hyperlink>
      <w:r w:rsidRPr="002F3A9F">
        <w:rPr>
          <w:rFonts w:ascii="Palatino Linotype" w:eastAsia="Palatino Linotype" w:hAnsi="Palatino Linotype" w:cs="Palatino Linotype"/>
          <w:sz w:val="22"/>
          <w:szCs w:val="22"/>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2F3A9F">
        <w:rPr>
          <w:rFonts w:ascii="Palatino Linotype" w:eastAsia="Palatino Linotype" w:hAnsi="Palatino Linotype" w:cs="Palatino Linotype"/>
          <w:b/>
          <w:bCs/>
          <w:sz w:val="22"/>
          <w:szCs w:val="22"/>
        </w:rPr>
        <w:t>se generan a partir de los datos contenidos en el documento probatorio de la identidad</w:t>
      </w:r>
      <w:r w:rsidRPr="002F3A9F">
        <w:rPr>
          <w:rFonts w:ascii="Palatino Linotype" w:eastAsia="Palatino Linotype" w:hAnsi="Palatino Linotype" w:cs="Palatino Linotype"/>
          <w:sz w:val="22"/>
          <w:szCs w:val="22"/>
        </w:rPr>
        <w:t xml:space="preserve"> </w:t>
      </w:r>
      <w:r w:rsidRPr="002F3A9F">
        <w:rPr>
          <w:rFonts w:ascii="Palatino Linotype" w:eastAsia="Palatino Linotype" w:hAnsi="Palatino Linotype" w:cs="Palatino Linotype"/>
          <w:b/>
          <w:bCs/>
          <w:sz w:val="22"/>
          <w:szCs w:val="22"/>
        </w:rPr>
        <w:t xml:space="preserve">del interesado </w:t>
      </w:r>
      <w:r w:rsidRPr="002F3A9F">
        <w:rPr>
          <w:rFonts w:ascii="Palatino Linotype" w:eastAsia="Palatino Linotype" w:hAnsi="Palatino Linotype" w:cs="Palatino Linotype"/>
          <w:sz w:val="22"/>
          <w:szCs w:val="22"/>
        </w:rPr>
        <w:t>(acta de nacimiento, carta de naturalización o documento migratorio) de la siguiente forma:</w:t>
      </w:r>
    </w:p>
    <w:p w14:paraId="09206911" w14:textId="77777777" w:rsidR="0088340F" w:rsidRPr="002F3A9F" w:rsidRDefault="0088340F">
      <w:pPr>
        <w:spacing w:line="360" w:lineRule="auto"/>
        <w:ind w:left="567"/>
        <w:jc w:val="both"/>
        <w:rPr>
          <w:rFonts w:ascii="Palatino Linotype" w:eastAsia="Palatino Linotype" w:hAnsi="Palatino Linotype" w:cs="Palatino Linotype"/>
          <w:sz w:val="22"/>
          <w:szCs w:val="22"/>
        </w:rPr>
      </w:pPr>
    </w:p>
    <w:p w14:paraId="3B6B7776" w14:textId="77777777" w:rsidR="0088340F" w:rsidRPr="002F3A9F" w:rsidRDefault="009B1A9E">
      <w:pPr>
        <w:numPr>
          <w:ilvl w:val="0"/>
          <w:numId w:val="2"/>
        </w:numPr>
        <w:spacing w:line="360" w:lineRule="auto"/>
        <w:ind w:left="567"/>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El primero y segundo apellidos, así como al nombre de pila;</w:t>
      </w:r>
    </w:p>
    <w:p w14:paraId="24D2ABE2" w14:textId="77777777" w:rsidR="0088340F" w:rsidRPr="002F3A9F" w:rsidRDefault="009B1A9E">
      <w:pPr>
        <w:numPr>
          <w:ilvl w:val="0"/>
          <w:numId w:val="2"/>
        </w:numPr>
        <w:spacing w:line="360" w:lineRule="auto"/>
        <w:ind w:left="567"/>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La fecha de nacimiento;</w:t>
      </w:r>
    </w:p>
    <w:p w14:paraId="4118B18D" w14:textId="77777777" w:rsidR="0088340F" w:rsidRPr="002F3A9F" w:rsidRDefault="009B1A9E">
      <w:pPr>
        <w:numPr>
          <w:ilvl w:val="0"/>
          <w:numId w:val="2"/>
        </w:numPr>
        <w:spacing w:line="360" w:lineRule="auto"/>
        <w:ind w:left="567"/>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El sexo, y</w:t>
      </w:r>
    </w:p>
    <w:p w14:paraId="6B604DC1" w14:textId="77777777" w:rsidR="0088340F" w:rsidRPr="002F3A9F" w:rsidRDefault="009B1A9E">
      <w:pPr>
        <w:numPr>
          <w:ilvl w:val="0"/>
          <w:numId w:val="2"/>
        </w:numPr>
        <w:spacing w:line="360" w:lineRule="auto"/>
        <w:ind w:left="567"/>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La entidad federativa de nacimiento.</w:t>
      </w:r>
    </w:p>
    <w:p w14:paraId="6893D5A7" w14:textId="77777777" w:rsidR="0088340F" w:rsidRPr="002F3A9F" w:rsidRDefault="0088340F">
      <w:pPr>
        <w:spacing w:line="360" w:lineRule="auto"/>
        <w:ind w:left="567"/>
        <w:jc w:val="both"/>
        <w:rPr>
          <w:rFonts w:ascii="Palatino Linotype" w:eastAsia="Palatino Linotype" w:hAnsi="Palatino Linotype" w:cs="Palatino Linotype"/>
          <w:sz w:val="22"/>
          <w:szCs w:val="22"/>
        </w:rPr>
      </w:pPr>
    </w:p>
    <w:p w14:paraId="0A786148"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Los dos últimos elementos de la Clave Única de Registro de Población evitan la duplicidad de la Clave y garantizan su correcta integración.</w:t>
      </w:r>
    </w:p>
    <w:p w14:paraId="4738B310"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653A5795"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A3EE91E"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2A81CC49"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5086E2B0" w14:textId="77777777" w:rsidR="0088340F" w:rsidRPr="002F3A9F" w:rsidRDefault="0088340F">
      <w:pPr>
        <w:spacing w:line="360" w:lineRule="auto"/>
        <w:ind w:left="567"/>
        <w:jc w:val="both"/>
        <w:rPr>
          <w:rFonts w:ascii="Palatino Linotype" w:eastAsia="Palatino Linotype" w:hAnsi="Palatino Linotype" w:cs="Palatino Linotype"/>
          <w:sz w:val="22"/>
          <w:szCs w:val="22"/>
        </w:rPr>
      </w:pPr>
    </w:p>
    <w:p w14:paraId="61B34F6E" w14:textId="77777777" w:rsidR="0088340F" w:rsidRPr="002F3A9F" w:rsidRDefault="009B1A9E">
      <w:pPr>
        <w:ind w:left="851" w:right="567"/>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 xml:space="preserve">“Clave Única de Registro de Población (CURP). </w:t>
      </w:r>
      <w:r w:rsidRPr="002F3A9F">
        <w:rPr>
          <w:rFonts w:ascii="Palatino Linotype" w:eastAsia="Palatino Linotype" w:hAnsi="Palatino Linotype" w:cs="Palatino Linotype"/>
          <w:i/>
          <w:iCs/>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6FB1277" w14:textId="77777777" w:rsidR="0088340F" w:rsidRPr="002F3A9F" w:rsidRDefault="0088340F">
      <w:pPr>
        <w:spacing w:line="360" w:lineRule="auto"/>
        <w:ind w:left="567"/>
        <w:jc w:val="both"/>
        <w:rPr>
          <w:rFonts w:ascii="Palatino Linotype" w:eastAsia="Palatino Linotype" w:hAnsi="Palatino Linotype" w:cs="Palatino Linotype"/>
          <w:sz w:val="22"/>
          <w:szCs w:val="22"/>
        </w:rPr>
      </w:pPr>
    </w:p>
    <w:p w14:paraId="59004176"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9DC2AB9" w14:textId="77777777" w:rsidR="0088340F" w:rsidRPr="002F3A9F" w:rsidRDefault="009B1A9E">
      <w:pPr>
        <w:pStyle w:val="Ttulo3"/>
        <w:rPr>
          <w:rFonts w:ascii="Palatino Linotype" w:eastAsia="Palatino Linotype" w:hAnsi="Palatino Linotype" w:cs="Palatino Linotype"/>
          <w:sz w:val="22"/>
          <w:szCs w:val="22"/>
        </w:rPr>
      </w:pPr>
      <w:bookmarkStart w:id="4" w:name="_heading=h.qjzlmeswc04e" w:colFirst="0" w:colLast="0"/>
      <w:bookmarkEnd w:id="4"/>
      <w:r w:rsidRPr="002F3A9F">
        <w:rPr>
          <w:rFonts w:ascii="Palatino Linotype" w:eastAsia="Palatino Linotype" w:hAnsi="Palatino Linotype" w:cs="Palatino Linotype"/>
          <w:sz w:val="22"/>
          <w:szCs w:val="22"/>
        </w:rPr>
        <w:t>Deducciones.</w:t>
      </w:r>
    </w:p>
    <w:p w14:paraId="0E5FF9C4" w14:textId="77777777" w:rsidR="0088340F" w:rsidRPr="002F3A9F" w:rsidRDefault="0088340F">
      <w:pPr>
        <w:rPr>
          <w:rFonts w:ascii="Palatino Linotype" w:eastAsia="Palatino Linotype" w:hAnsi="Palatino Linotype" w:cs="Palatino Linotype"/>
          <w:sz w:val="22"/>
          <w:szCs w:val="22"/>
        </w:rPr>
      </w:pPr>
    </w:p>
    <w:p w14:paraId="12FD7FBD"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Es necesario precisar que existen deducciones que se generan con motivo de una decisión libre y voluntaria de los servidores públicos, como son: </w:t>
      </w:r>
      <w:r w:rsidRPr="002F3A9F">
        <w:rPr>
          <w:rFonts w:ascii="Palatino Linotype" w:eastAsia="Palatino Linotype" w:hAnsi="Palatino Linotype" w:cs="Palatino Linotype"/>
          <w:b/>
          <w:bCs/>
          <w:sz w:val="22"/>
          <w:szCs w:val="22"/>
        </w:rPr>
        <w:t xml:space="preserve">créditos personales, pensiones alimenticias, </w:t>
      </w:r>
      <w:r w:rsidRPr="002F3A9F">
        <w:rPr>
          <w:rFonts w:ascii="Palatino Linotype" w:eastAsia="Palatino Linotype" w:hAnsi="Palatino Linotype" w:cs="Palatino Linotype"/>
          <w:b/>
          <w:bCs/>
          <w:sz w:val="22"/>
          <w:szCs w:val="22"/>
          <w:u w:val="single"/>
        </w:rPr>
        <w:t>cuotas sindicales y fondo de resistencia del Sindicato Único de Trabajadores de los Poderes, Municipios e Institución Descentralizadas del Estado de México, seguro de vida, accidentes y enfermedades.</w:t>
      </w:r>
    </w:p>
    <w:p w14:paraId="221A3D98" w14:textId="77777777" w:rsidR="0088340F" w:rsidRPr="002F3A9F" w:rsidRDefault="008834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3B9B214"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Asimismo, hay otras que se generan con motivo de una sentencia judicial, como es la pensión alimenticia que periódicamente se retira de la cuenta de un empleado, a efecto de que sea entregado a un tercero.  </w:t>
      </w:r>
    </w:p>
    <w:p w14:paraId="65F19C81" w14:textId="77777777" w:rsidR="0088340F" w:rsidRPr="002F3A9F" w:rsidRDefault="0088340F">
      <w:pPr>
        <w:pBdr>
          <w:top w:val="nil"/>
          <w:left w:val="nil"/>
          <w:bottom w:val="nil"/>
          <w:right w:val="nil"/>
          <w:between w:val="nil"/>
        </w:pBdr>
        <w:ind w:left="720"/>
        <w:rPr>
          <w:rFonts w:ascii="Palatino Linotype" w:eastAsia="Palatino Linotype" w:hAnsi="Palatino Linotype" w:cs="Palatino Linotype"/>
          <w:sz w:val="22"/>
          <w:szCs w:val="22"/>
        </w:rPr>
      </w:pPr>
    </w:p>
    <w:p w14:paraId="010DE8A5"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0DA2A503" w14:textId="77777777" w:rsidR="0088340F" w:rsidRPr="002F3A9F" w:rsidRDefault="0088340F">
      <w:pPr>
        <w:pBdr>
          <w:top w:val="nil"/>
          <w:left w:val="nil"/>
          <w:bottom w:val="nil"/>
          <w:right w:val="nil"/>
          <w:between w:val="nil"/>
        </w:pBdr>
        <w:ind w:left="720"/>
        <w:rPr>
          <w:rFonts w:ascii="Palatino Linotype" w:eastAsia="Palatino Linotype" w:hAnsi="Palatino Linotype" w:cs="Palatino Linotype"/>
          <w:sz w:val="22"/>
          <w:szCs w:val="22"/>
        </w:rPr>
      </w:pPr>
    </w:p>
    <w:p w14:paraId="33A117DE"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Así, dichas deducciones reflejan el destino que un servidor público da a su patrimonio, lo que se aleja de la transparencia y rendición de cuentas.</w:t>
      </w:r>
    </w:p>
    <w:p w14:paraId="461D7255"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El Sujeto Obligado manifestó que las deducciones que se testaron corresponden a préstamos o descuentos que no involucran instituciones públicas, por lo que si se actualiza causal de clasificación como información confidencial.</w:t>
      </w:r>
    </w:p>
    <w:p w14:paraId="72B7FE6E" w14:textId="77777777" w:rsidR="0088340F" w:rsidRPr="002F3A9F" w:rsidRDefault="0088340F">
      <w:pPr>
        <w:spacing w:line="360" w:lineRule="auto"/>
        <w:jc w:val="both"/>
        <w:rPr>
          <w:rFonts w:ascii="Palatino Linotype" w:eastAsia="Palatino Linotype" w:hAnsi="Palatino Linotype" w:cs="Palatino Linotype"/>
          <w:b/>
          <w:bCs/>
          <w:sz w:val="22"/>
          <w:szCs w:val="22"/>
        </w:rPr>
      </w:pPr>
    </w:p>
    <w:p w14:paraId="17A8B880" w14:textId="77777777" w:rsidR="0088340F" w:rsidRPr="002F3A9F" w:rsidRDefault="009B1A9E">
      <w:pPr>
        <w:spacing w:line="360" w:lineRule="auto"/>
        <w:jc w:val="both"/>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Número de seguridad social del Instituto de Seguridad Social del Estado de México y Municipios</w:t>
      </w:r>
    </w:p>
    <w:p w14:paraId="3EBAC7C3" w14:textId="77777777" w:rsidR="0088340F" w:rsidRPr="002F3A9F" w:rsidRDefault="0088340F">
      <w:pPr>
        <w:spacing w:line="360" w:lineRule="auto"/>
        <w:ind w:left="567"/>
        <w:jc w:val="both"/>
        <w:rPr>
          <w:rFonts w:ascii="Palatino Linotype" w:eastAsia="Palatino Linotype" w:hAnsi="Palatino Linotype" w:cs="Palatino Linotype"/>
          <w:b/>
          <w:bCs/>
          <w:sz w:val="22"/>
          <w:szCs w:val="22"/>
        </w:rPr>
      </w:pPr>
    </w:p>
    <w:p w14:paraId="1E8E65B3"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7E0400B"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5105D2CB"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77485B1"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7C39D03B"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0F66E14"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18E9DED8" w14:textId="77777777" w:rsidR="0088340F" w:rsidRPr="002F3A9F" w:rsidRDefault="009B1A9E">
      <w:pPr>
        <w:spacing w:after="240"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5F16B552" w14:textId="77777777" w:rsidR="0088340F" w:rsidRPr="002F3A9F" w:rsidRDefault="009B1A9E">
      <w:pPr>
        <w:spacing w:after="240" w:line="360" w:lineRule="auto"/>
        <w:jc w:val="both"/>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Cuenta bancaria de particulares.</w:t>
      </w:r>
    </w:p>
    <w:p w14:paraId="0536F51E"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Respecto de los </w:t>
      </w:r>
      <w:r w:rsidRPr="002F3A9F">
        <w:rPr>
          <w:rFonts w:ascii="Palatino Linotype" w:eastAsia="Palatino Linotype" w:hAnsi="Palatino Linotype" w:cs="Palatino Linotype"/>
          <w:b/>
          <w:bCs/>
          <w:sz w:val="22"/>
          <w:szCs w:val="22"/>
        </w:rPr>
        <w:t>números de cuentas bancari</w:t>
      </w:r>
      <w:r w:rsidRPr="002F3A9F">
        <w:rPr>
          <w:rFonts w:ascii="Palatino Linotype" w:eastAsia="Palatino Linotype" w:hAnsi="Palatino Linotype" w:cs="Palatino Linotype"/>
          <w:sz w:val="22"/>
          <w:szCs w:val="22"/>
        </w:rPr>
        <w:t xml:space="preserve">as, </w:t>
      </w:r>
      <w:r w:rsidRPr="002F3A9F">
        <w:rPr>
          <w:rFonts w:ascii="Palatino Linotype" w:eastAsia="Palatino Linotype" w:hAnsi="Palatino Linotype" w:cs="Palatino Linotype"/>
          <w:b/>
          <w:bCs/>
          <w:sz w:val="22"/>
          <w:szCs w:val="22"/>
        </w:rPr>
        <w:t>claves estandarizadas –interbancarias- (CLABES) y de tarjetas</w:t>
      </w:r>
      <w:r w:rsidRPr="002F3A9F">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286629B6"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25AEC3A"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2525675B"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26FAD252"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7F635978"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216C4DF3" w14:textId="77777777" w:rsidR="0088340F" w:rsidRPr="002F3A9F" w:rsidRDefault="008834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2F738C5"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Lo argumentado encuentra sustento en los Criterios orientadores con Clave de control SO/010/2017, emitidos por el entonces Instituto Nacional de Transparencia, Acceso a la Información y Protección de Datos Personales, que llevan por rubro y texto los siguientes:</w:t>
      </w:r>
    </w:p>
    <w:p w14:paraId="7149C112"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3580B1C5" w14:textId="77777777" w:rsidR="0088340F" w:rsidRPr="002F3A9F" w:rsidRDefault="009B1A9E">
      <w:pPr>
        <w:ind w:left="851"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r w:rsidRPr="002F3A9F">
        <w:rPr>
          <w:rFonts w:ascii="Palatino Linotype" w:eastAsia="Palatino Linotype" w:hAnsi="Palatino Linotype" w:cs="Palatino Linotype"/>
          <w:b/>
          <w:bCs/>
          <w:i/>
          <w:iCs/>
          <w:sz w:val="22"/>
          <w:szCs w:val="22"/>
        </w:rPr>
        <w:t>Cuentas bancarias y/o CLABE interbancaria de personas físicas y morales privadas.</w:t>
      </w:r>
      <w:r w:rsidRPr="002F3A9F">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530B181" w14:textId="77777777" w:rsidR="0088340F" w:rsidRPr="002F3A9F" w:rsidRDefault="0088340F">
      <w:pPr>
        <w:spacing w:after="240" w:line="360" w:lineRule="auto"/>
        <w:jc w:val="both"/>
        <w:rPr>
          <w:rFonts w:ascii="Palatino Linotype" w:eastAsia="Palatino Linotype" w:hAnsi="Palatino Linotype" w:cs="Palatino Linotype"/>
          <w:sz w:val="22"/>
          <w:szCs w:val="22"/>
        </w:rPr>
      </w:pPr>
    </w:p>
    <w:p w14:paraId="58165AA8" w14:textId="77777777" w:rsidR="0088340F" w:rsidRPr="002F3A9F" w:rsidRDefault="009B1A9E">
      <w:pPr>
        <w:widowControl w:val="0"/>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Número del trabajador.</w:t>
      </w:r>
    </w:p>
    <w:p w14:paraId="6CA0D318" w14:textId="77777777" w:rsidR="0088340F" w:rsidRPr="002F3A9F" w:rsidRDefault="0088340F">
      <w:pPr>
        <w:widowControl w:val="0"/>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70CF276B"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Con relación al </w:t>
      </w:r>
      <w:r w:rsidRPr="002F3A9F">
        <w:rPr>
          <w:rFonts w:ascii="Palatino Linotype" w:eastAsia="Palatino Linotype" w:hAnsi="Palatino Linotype" w:cs="Palatino Linotype"/>
          <w:b/>
          <w:bCs/>
          <w:sz w:val="22"/>
          <w:szCs w:val="22"/>
        </w:rPr>
        <w:t>número de empleado</w:t>
      </w:r>
      <w:r w:rsidRPr="002F3A9F">
        <w:rPr>
          <w:rFonts w:ascii="Palatino Linotype" w:eastAsia="Palatino Linotype" w:hAnsi="Palatino Linotype" w:cs="Palatino Linotype"/>
          <w:sz w:val="22"/>
          <w:szCs w:val="22"/>
        </w:rPr>
        <w:t xml:space="preserve"> </w:t>
      </w:r>
      <w:r w:rsidRPr="002F3A9F">
        <w:rPr>
          <w:rFonts w:ascii="Palatino Linotype" w:eastAsia="Palatino Linotype" w:hAnsi="Palatino Linotype" w:cs="Palatino Linotype"/>
          <w:b/>
          <w:bCs/>
          <w:sz w:val="22"/>
          <w:szCs w:val="22"/>
        </w:rPr>
        <w:t>o trabajador</w:t>
      </w:r>
      <w:r w:rsidRPr="002F3A9F">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56281CB2" w14:textId="77777777" w:rsidR="0088340F" w:rsidRPr="002F3A9F" w:rsidRDefault="008834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BE1B6FF"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06/19, que indica lo siguiente:</w:t>
      </w:r>
    </w:p>
    <w:p w14:paraId="7D3648C6" w14:textId="77777777" w:rsidR="0088340F" w:rsidRPr="002F3A9F" w:rsidRDefault="0088340F">
      <w:pPr>
        <w:pBdr>
          <w:top w:val="nil"/>
          <w:left w:val="nil"/>
          <w:bottom w:val="nil"/>
          <w:right w:val="nil"/>
          <w:between w:val="nil"/>
        </w:pBdr>
        <w:spacing w:line="276" w:lineRule="auto"/>
        <w:ind w:left="993" w:right="992"/>
        <w:jc w:val="both"/>
        <w:rPr>
          <w:rFonts w:ascii="Palatino Linotype" w:eastAsia="Palatino Linotype" w:hAnsi="Palatino Linotype" w:cs="Palatino Linotype"/>
          <w:b/>
          <w:bCs/>
          <w:i/>
          <w:iCs/>
          <w:sz w:val="22"/>
          <w:szCs w:val="22"/>
        </w:rPr>
      </w:pPr>
    </w:p>
    <w:p w14:paraId="2692C29A" w14:textId="77777777" w:rsidR="0088340F" w:rsidRPr="002F3A9F" w:rsidRDefault="009B1A9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 xml:space="preserve">“Número de empleado. </w:t>
      </w:r>
      <w:r w:rsidRPr="002F3A9F">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67404C5C" w14:textId="77777777" w:rsidR="0088340F" w:rsidRPr="002F3A9F" w:rsidRDefault="0088340F">
      <w:pPr>
        <w:pBdr>
          <w:top w:val="nil"/>
          <w:left w:val="nil"/>
          <w:bottom w:val="nil"/>
          <w:right w:val="nil"/>
          <w:between w:val="nil"/>
        </w:pBdr>
        <w:ind w:left="993" w:right="992"/>
        <w:jc w:val="both"/>
        <w:rPr>
          <w:rFonts w:ascii="Palatino Linotype" w:eastAsia="Palatino Linotype" w:hAnsi="Palatino Linotype" w:cs="Palatino Linotype"/>
          <w:sz w:val="22"/>
          <w:szCs w:val="22"/>
        </w:rPr>
      </w:pPr>
    </w:p>
    <w:p w14:paraId="28BE4B07"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w:t>
      </w:r>
    </w:p>
    <w:p w14:paraId="27510AB6" w14:textId="77777777" w:rsidR="0088340F" w:rsidRPr="002F3A9F" w:rsidRDefault="008834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B14A050"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El Sujeto Obligado, sobre este punto refirió que de acuerdo al criterio 06/09 del entonces INAI, se procede a la clasificación del dato personal, ya que dicho criterio establece que, cuando los números de empleado o equivalente se integren de datos personales o funcionen como una clave de acceso que no requiere adicionalmente una contraseña para ingresar a sistemas o bases de datos, será considerada información confidencial. Por lo tanto se comparte que dicha información sea de carácter confidencial.</w:t>
      </w:r>
    </w:p>
    <w:p w14:paraId="1156FFBF"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519DFE67"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3535A237"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659CE7ED"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 “</w:t>
      </w:r>
      <w:r w:rsidRPr="002F3A9F">
        <w:rPr>
          <w:rFonts w:ascii="Palatino Linotype" w:eastAsia="Palatino Linotype" w:hAnsi="Palatino Linotype" w:cs="Palatino Linotype"/>
          <w:b/>
          <w:bCs/>
          <w:i/>
          <w:iCs/>
          <w:sz w:val="22"/>
          <w:szCs w:val="22"/>
        </w:rPr>
        <w:t>Quincuagésimo</w:t>
      </w:r>
      <w:r w:rsidRPr="002F3A9F">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F7A6808"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Quincuagésimo primero.</w:t>
      </w:r>
      <w:r w:rsidRPr="002F3A9F">
        <w:rPr>
          <w:rFonts w:ascii="Palatino Linotype" w:eastAsia="Palatino Linotype" w:hAnsi="Palatino Linotype" w:cs="Palatino Linotype"/>
          <w:i/>
          <w:iCs/>
          <w:sz w:val="22"/>
          <w:szCs w:val="22"/>
        </w:rPr>
        <w:t xml:space="preserve"> Toda acta del Comité de Transparencia deberá contener: </w:t>
      </w:r>
    </w:p>
    <w:p w14:paraId="25F5DB31"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I. El número de sesión y fecha; </w:t>
      </w:r>
    </w:p>
    <w:p w14:paraId="63E6A9EF"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II. El nombre del área que solicitó la clasificación de información; </w:t>
      </w:r>
    </w:p>
    <w:p w14:paraId="23122C70"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III. La fundamentación legal y motivación correspondiente; </w:t>
      </w:r>
    </w:p>
    <w:p w14:paraId="0B3F8CC6"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IV. La resolución o resoluciones aprobadas; y </w:t>
      </w:r>
    </w:p>
    <w:p w14:paraId="2008315E"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V. La rúbrica o firma digital de cada integrante del Comité de Transparencia. </w:t>
      </w:r>
    </w:p>
    <w:p w14:paraId="755AA7C8"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31E38C2F"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I. Los motivos y razonamientos que sustenten la confirmación o modificación de la prueba de daño;</w:t>
      </w:r>
    </w:p>
    <w:p w14:paraId="0185A98A"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II. Descripción de las partes o secciones reservadas, en caso de clasificación parcial; </w:t>
      </w:r>
    </w:p>
    <w:p w14:paraId="7FC5CB07"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III. El periodo por el que mantendrá su clasificación y fecha de expiración; y </w:t>
      </w:r>
    </w:p>
    <w:p w14:paraId="620AB8B7"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505D1C85"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1F1C0491"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0E7F7E2"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Quincuagésimo segundo.</w:t>
      </w:r>
      <w:r w:rsidRPr="002F3A9F">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E1D5E56"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37B8DCCA"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49FAF92A"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3C359A8C"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III. Señalar las personas o instancias autorizadas a acceder a la información clasificada.</w:t>
      </w:r>
    </w:p>
    <w:p w14:paraId="6F76C1FA"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39FC7AD9"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2601A762"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287F1832"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2ECFF57B"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r w:rsidRPr="002F3A9F">
        <w:rPr>
          <w:rFonts w:ascii="Palatino Linotype" w:eastAsia="Palatino Linotype" w:hAnsi="Palatino Linotype" w:cs="Palatino Linotype"/>
          <w:b/>
          <w:bCs/>
          <w:i/>
          <w:iCs/>
          <w:sz w:val="22"/>
          <w:szCs w:val="22"/>
        </w:rPr>
        <w:t>Quincuagésimo cuarto.</w:t>
      </w:r>
      <w:r w:rsidRPr="002F3A9F">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B0935D0"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Quincuagésimo quinto.</w:t>
      </w:r>
      <w:r w:rsidRPr="002F3A9F">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B626D5E"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w:t>
      </w:r>
    </w:p>
    <w:p w14:paraId="7A0A6BE9"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b/>
          <w:bCs/>
          <w:i/>
          <w:iCs/>
          <w:sz w:val="22"/>
          <w:szCs w:val="22"/>
        </w:rPr>
        <w:t>Quincuagésimo séptimo.</w:t>
      </w:r>
      <w:r w:rsidRPr="002F3A9F">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7CDAD5C2"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72476717"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384AC1AF"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6F538CF"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289115B2" w14:textId="77777777" w:rsidR="0088340F" w:rsidRPr="002F3A9F" w:rsidRDefault="009B1A9E">
      <w:pPr>
        <w:ind w:left="567" w:right="616"/>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60FA25DA" w14:textId="77777777" w:rsidR="0088340F" w:rsidRPr="002F3A9F" w:rsidRDefault="008834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78B1461" w14:textId="2BAE0DEC"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Por otro lado, derivado de la información que se ordena entregar pudiera existir información del personal operativo en materia de seguridad pública</w:t>
      </w:r>
      <w:r w:rsidRPr="002F3A9F">
        <w:rPr>
          <w:rFonts w:ascii="Palatino Linotype" w:eastAsia="Palatino Linotype" w:hAnsi="Palatino Linotype" w:cs="Palatino Linotype"/>
          <w:b/>
          <w:bCs/>
          <w:sz w:val="22"/>
          <w:szCs w:val="22"/>
        </w:rPr>
        <w:t>,</w:t>
      </w:r>
      <w:r w:rsidRPr="002F3A9F">
        <w:rPr>
          <w:rFonts w:ascii="Palatino Linotype" w:eastAsia="Palatino Linotype" w:hAnsi="Palatino Linotype" w:cs="Palatino Linotype"/>
          <w:sz w:val="22"/>
          <w:szCs w:val="22"/>
        </w:rPr>
        <w:t xml:space="preserve"> por lo que deberá testarse de igual manera sólo el nombre de los servidores públicos </w:t>
      </w:r>
      <w:r w:rsidRPr="002F3A9F">
        <w:rPr>
          <w:rFonts w:ascii="Palatino Linotype" w:eastAsia="Palatino Linotype" w:hAnsi="Palatino Linotype" w:cs="Palatino Linotype"/>
          <w:b/>
          <w:bCs/>
          <w:sz w:val="22"/>
          <w:szCs w:val="22"/>
        </w:rPr>
        <w:t>que desempeñen funciones operativas</w:t>
      </w:r>
      <w:r w:rsidRPr="002F3A9F">
        <w:rPr>
          <w:rFonts w:ascii="Palatino Linotype" w:eastAsia="Palatino Linotype" w:hAnsi="Palatino Linotype" w:cs="Palatino Linotype"/>
          <w:sz w:val="22"/>
          <w:szCs w:val="22"/>
        </w:rPr>
        <w:t>.</w:t>
      </w:r>
    </w:p>
    <w:p w14:paraId="2D99B491" w14:textId="77777777" w:rsidR="0088340F" w:rsidRPr="002F3A9F" w:rsidRDefault="0088340F">
      <w:pPr>
        <w:spacing w:line="360" w:lineRule="auto"/>
        <w:rPr>
          <w:rFonts w:ascii="Palatino Linotype" w:eastAsia="Palatino Linotype" w:hAnsi="Palatino Linotype" w:cs="Palatino Linotype"/>
          <w:sz w:val="22"/>
          <w:szCs w:val="22"/>
        </w:rPr>
      </w:pPr>
    </w:p>
    <w:p w14:paraId="7CB0E4BB"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Al respecto, la información </w:t>
      </w:r>
      <w:r w:rsidRPr="002F3A9F">
        <w:rPr>
          <w:rFonts w:ascii="Palatino Linotype" w:eastAsia="Palatino Linotype" w:hAnsi="Palatino Linotype" w:cs="Palatino Linotype"/>
          <w:b/>
          <w:bCs/>
          <w:sz w:val="22"/>
          <w:szCs w:val="22"/>
        </w:rPr>
        <w:t>de los elementos que realizan funciones operativas, entre ellos su nombre debe ser protegido</w:t>
      </w:r>
      <w:r w:rsidRPr="002F3A9F">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2943D3C5" w14:textId="77777777" w:rsidR="0088340F" w:rsidRPr="002F3A9F" w:rsidRDefault="0088340F">
      <w:pPr>
        <w:spacing w:line="360" w:lineRule="auto"/>
        <w:rPr>
          <w:rFonts w:ascii="Palatino Linotype" w:eastAsia="Palatino Linotype" w:hAnsi="Palatino Linotype" w:cs="Palatino Linotype"/>
          <w:sz w:val="22"/>
          <w:szCs w:val="22"/>
        </w:rPr>
      </w:pPr>
    </w:p>
    <w:p w14:paraId="2A1FED88"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vigente a la fecha de la solicitud,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25E84064" w14:textId="77777777" w:rsidR="0088340F" w:rsidRPr="002F3A9F" w:rsidRDefault="0088340F">
      <w:pPr>
        <w:spacing w:line="360" w:lineRule="auto"/>
        <w:rPr>
          <w:rFonts w:ascii="Palatino Linotype" w:eastAsia="Palatino Linotype" w:hAnsi="Palatino Linotype" w:cs="Palatino Linotype"/>
          <w:sz w:val="22"/>
          <w:szCs w:val="22"/>
        </w:rPr>
      </w:pPr>
    </w:p>
    <w:p w14:paraId="59FB08D4"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0E8E9851" w14:textId="77777777" w:rsidR="0088340F" w:rsidRPr="002F3A9F" w:rsidRDefault="0088340F">
      <w:pPr>
        <w:spacing w:line="360" w:lineRule="auto"/>
        <w:rPr>
          <w:rFonts w:ascii="Palatino Linotype" w:eastAsia="Palatino Linotype" w:hAnsi="Palatino Linotype" w:cs="Palatino Linotype"/>
          <w:sz w:val="22"/>
          <w:szCs w:val="22"/>
        </w:rPr>
      </w:pPr>
    </w:p>
    <w:p w14:paraId="0F76131A"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3FC77E59" w14:textId="77777777" w:rsidR="0088340F" w:rsidRPr="002F3A9F" w:rsidRDefault="0088340F">
      <w:pPr>
        <w:spacing w:line="360" w:lineRule="auto"/>
        <w:rPr>
          <w:rFonts w:ascii="Palatino Linotype" w:eastAsia="Palatino Linotype" w:hAnsi="Palatino Linotype" w:cs="Palatino Linotype"/>
          <w:sz w:val="22"/>
          <w:szCs w:val="22"/>
        </w:rPr>
      </w:pPr>
    </w:p>
    <w:p w14:paraId="6346F51F"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que establece lo siguiente:</w:t>
      </w:r>
    </w:p>
    <w:p w14:paraId="34368978" w14:textId="77777777" w:rsidR="0088340F" w:rsidRPr="002F3A9F" w:rsidRDefault="0088340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B4486F4"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i/>
          <w:iCs/>
          <w:sz w:val="22"/>
          <w:szCs w:val="22"/>
        </w:rPr>
        <w:t>Nombres de servidores públicos dedicados a actividades en materia de seguridad, por excepción pueden considerarse información reservada.</w:t>
      </w:r>
      <w:r w:rsidRPr="002F3A9F">
        <w:rPr>
          <w:rFonts w:ascii="Palatino Linotype" w:eastAsia="Palatino Linotype" w:hAnsi="Palatino Linotype" w:cs="Palatino Linotype"/>
          <w:i/>
          <w:iCs/>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EFA079E" w14:textId="77777777" w:rsidR="0088340F" w:rsidRPr="002F3A9F" w:rsidRDefault="0088340F">
      <w:pPr>
        <w:spacing w:line="360" w:lineRule="auto"/>
        <w:rPr>
          <w:rFonts w:ascii="Palatino Linotype" w:eastAsia="Palatino Linotype" w:hAnsi="Palatino Linotype" w:cs="Palatino Linotype"/>
          <w:sz w:val="22"/>
          <w:szCs w:val="22"/>
        </w:rPr>
      </w:pPr>
    </w:p>
    <w:p w14:paraId="59033574"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2F3A9F">
        <w:rPr>
          <w:rFonts w:ascii="Palatino Linotype" w:eastAsia="Palatino Linotype" w:hAnsi="Palatino Linotype" w:cs="Palatino Linotype"/>
          <w:b/>
          <w:bCs/>
          <w:sz w:val="22"/>
          <w:szCs w:val="22"/>
        </w:rPr>
        <w:t>funciones de carácter operativo.</w:t>
      </w:r>
    </w:p>
    <w:p w14:paraId="6B26831F" w14:textId="77777777" w:rsidR="0088340F" w:rsidRPr="002F3A9F" w:rsidRDefault="0088340F">
      <w:pPr>
        <w:spacing w:line="360" w:lineRule="auto"/>
        <w:rPr>
          <w:rFonts w:ascii="Palatino Linotype" w:eastAsia="Palatino Linotype" w:hAnsi="Palatino Linotype" w:cs="Palatino Linotype"/>
          <w:sz w:val="22"/>
          <w:szCs w:val="22"/>
        </w:rPr>
      </w:pPr>
    </w:p>
    <w:p w14:paraId="3F813040" w14:textId="77777777" w:rsidR="0088340F" w:rsidRPr="002F3A9F" w:rsidRDefault="009B1A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Sirven de sustento a lo anterior las tesis jurisprudenciales emitidas por la Suprema corte de Justicia de la Nación, que son del literal siguiente:</w:t>
      </w:r>
    </w:p>
    <w:p w14:paraId="5A24E7FB" w14:textId="77777777" w:rsidR="0088340F" w:rsidRPr="002F3A9F" w:rsidRDefault="0088340F">
      <w:pPr>
        <w:spacing w:line="360" w:lineRule="auto"/>
        <w:rPr>
          <w:rFonts w:ascii="Palatino Linotype" w:eastAsia="Palatino Linotype" w:hAnsi="Palatino Linotype" w:cs="Palatino Linotype"/>
          <w:sz w:val="22"/>
          <w:szCs w:val="22"/>
        </w:rPr>
      </w:pPr>
    </w:p>
    <w:p w14:paraId="54E47521"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i/>
          <w:iCs/>
          <w:sz w:val="22"/>
          <w:szCs w:val="22"/>
        </w:rPr>
        <w:t xml:space="preserve">DERECHO A LA INFORMACIÓN. SU EJERCICIO SE ENCUENTRA LIMITADO TANTO POR LOS INTERESES NACIONALES Y DE LA SOCIEDAD, COMO POR LOS DERECHOS DE TERCEROS. </w:t>
      </w:r>
      <w:r w:rsidRPr="002F3A9F">
        <w:rPr>
          <w:rFonts w:ascii="Palatino Linotype" w:eastAsia="Palatino Linotype" w:hAnsi="Palatino Linotype" w:cs="Palatino Linotype"/>
          <w:i/>
          <w:iCs/>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2F3A9F">
        <w:rPr>
          <w:rFonts w:ascii="Palatino Linotype" w:eastAsia="Palatino Linotype" w:hAnsi="Palatino Linotype" w:cs="Palatino Linotype"/>
          <w:b/>
          <w:bCs/>
          <w:i/>
          <w:iCs/>
          <w:sz w:val="22"/>
          <w:szCs w:val="22"/>
        </w:rPr>
        <w:t>restringen el acceso a la información en esta materia, en razón de que su conocimiento público puede generar daños a los intereses nacionales y, por el otro, sancionan la inobservancia de esa reserva;</w:t>
      </w:r>
      <w:r w:rsidRPr="002F3A9F">
        <w:rPr>
          <w:rFonts w:ascii="Palatino Linotype" w:eastAsia="Palatino Linotype" w:hAnsi="Palatino Linotype" w:cs="Palatino Linotype"/>
          <w:i/>
          <w:iCs/>
          <w:sz w:val="22"/>
          <w:szCs w:val="22"/>
        </w:rPr>
        <w:t xml:space="preserve"> por lo que hace al interés social, se cuenta con normas que tienden a proteger la averiguación de los delitos, la salud y la moral públicas, </w:t>
      </w:r>
      <w:r w:rsidRPr="002F3A9F">
        <w:rPr>
          <w:rFonts w:ascii="Palatino Linotype" w:eastAsia="Palatino Linotype" w:hAnsi="Palatino Linotype" w:cs="Palatino Linotype"/>
          <w:b/>
          <w:bCs/>
          <w:i/>
          <w:iCs/>
          <w:sz w:val="22"/>
          <w:szCs w:val="22"/>
        </w:rPr>
        <w:t>mientras que por lo que respecta a la protección de la persona existen normas que protegen el derecho a la vida o a la privacidad de los gobernados.</w:t>
      </w:r>
    </w:p>
    <w:p w14:paraId="5B6E50DF" w14:textId="77777777" w:rsidR="0088340F" w:rsidRPr="002F3A9F" w:rsidRDefault="0088340F">
      <w:pPr>
        <w:rPr>
          <w:rFonts w:ascii="Palatino Linotype" w:eastAsia="Palatino Linotype" w:hAnsi="Palatino Linotype" w:cs="Palatino Linotype"/>
          <w:sz w:val="22"/>
          <w:szCs w:val="22"/>
        </w:rPr>
      </w:pPr>
    </w:p>
    <w:p w14:paraId="32216BB4" w14:textId="77777777" w:rsidR="0088340F" w:rsidRPr="002F3A9F" w:rsidRDefault="009B1A9E">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i/>
          <w:iCs/>
          <w:sz w:val="22"/>
          <w:szCs w:val="22"/>
        </w:rPr>
        <w:t>TRANSPARENCIA Y ACCESO A LA INFORMACIÓN PÚBLICA GUBERNAMENTAL. EL ARTÍCULO 14, FRACCIÓN I, DE LA LEY FEDERAL RELATIVA, NO VIOLA LA GARANTÍA DE ACCESO A LA INFORMACIÓN.</w:t>
      </w:r>
      <w:r w:rsidRPr="002F3A9F">
        <w:rPr>
          <w:rFonts w:ascii="Palatino Linotype" w:eastAsia="Palatino Linotype" w:hAnsi="Palatino Linotype" w:cs="Palatino Linotype"/>
          <w:i/>
          <w:iCs/>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2F3A9F">
        <w:rPr>
          <w:rFonts w:ascii="Palatino Linotype" w:eastAsia="Palatino Linotype" w:hAnsi="Palatino Linotype" w:cs="Palatino Linotype"/>
          <w:b/>
          <w:bCs/>
          <w:i/>
          <w:iCs/>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2F3A9F">
        <w:rPr>
          <w:rFonts w:ascii="Palatino Linotype" w:eastAsia="Palatino Linotype" w:hAnsi="Palatino Linotype" w:cs="Palatino Linotype"/>
          <w:i/>
          <w:iCs/>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472DB96C" w14:textId="77777777" w:rsidR="0088340F" w:rsidRPr="002F3A9F" w:rsidRDefault="0088340F">
      <w:pPr>
        <w:spacing w:line="360" w:lineRule="auto"/>
        <w:jc w:val="both"/>
        <w:rPr>
          <w:rFonts w:ascii="Palatino Linotype" w:eastAsia="Palatino Linotype" w:hAnsi="Palatino Linotype" w:cs="Palatino Linotype"/>
          <w:sz w:val="22"/>
          <w:szCs w:val="22"/>
        </w:rPr>
      </w:pPr>
    </w:p>
    <w:p w14:paraId="402F46B1" w14:textId="77777777" w:rsidR="0088340F" w:rsidRPr="002F3A9F" w:rsidRDefault="009B1A9E">
      <w:pPr>
        <w:spacing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70B7C1B3" w14:textId="77777777" w:rsidR="0088340F" w:rsidRPr="002F3A9F" w:rsidRDefault="009B1A9E">
      <w:pPr>
        <w:spacing w:before="240" w:after="240"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48EE238" w14:textId="77777777" w:rsidR="0088340F" w:rsidRPr="002F3A9F" w:rsidRDefault="009B1A9E">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R E S U E L V E:</w:t>
      </w:r>
    </w:p>
    <w:p w14:paraId="0889514B" w14:textId="77777777" w:rsidR="0088340F" w:rsidRPr="002F3A9F" w:rsidRDefault="009B1A9E">
      <w:pPr>
        <w:spacing w:before="240" w:after="240" w:line="360" w:lineRule="auto"/>
        <w:jc w:val="both"/>
        <w:rPr>
          <w:rFonts w:ascii="Palatino Linotype" w:eastAsia="Palatino Linotype" w:hAnsi="Palatino Linotype" w:cs="Palatino Linotype"/>
          <w:b/>
          <w:bCs/>
          <w:sz w:val="22"/>
          <w:szCs w:val="22"/>
        </w:rPr>
      </w:pPr>
      <w:bookmarkStart w:id="5" w:name="_heading=h.8bg43gohqof1" w:colFirst="0" w:colLast="0"/>
      <w:bookmarkEnd w:id="5"/>
      <w:r w:rsidRPr="002F3A9F">
        <w:rPr>
          <w:rFonts w:ascii="Palatino Linotype" w:eastAsia="Palatino Linotype" w:hAnsi="Palatino Linotype" w:cs="Palatino Linotype"/>
          <w:b/>
          <w:bCs/>
          <w:sz w:val="22"/>
          <w:szCs w:val="22"/>
        </w:rPr>
        <w:t xml:space="preserve">Primero. </w:t>
      </w:r>
      <w:r w:rsidRPr="002F3A9F">
        <w:rPr>
          <w:rFonts w:ascii="Palatino Linotype" w:eastAsia="Palatino Linotype" w:hAnsi="Palatino Linotype" w:cs="Palatino Linotype"/>
          <w:sz w:val="22"/>
          <w:szCs w:val="22"/>
        </w:rPr>
        <w:t>Resultan</w:t>
      </w:r>
      <w:r w:rsidRPr="002F3A9F">
        <w:rPr>
          <w:rFonts w:ascii="Palatino Linotype" w:eastAsia="Palatino Linotype" w:hAnsi="Palatino Linotype" w:cs="Palatino Linotype"/>
          <w:b/>
          <w:bCs/>
          <w:sz w:val="22"/>
          <w:szCs w:val="22"/>
        </w:rPr>
        <w:t xml:space="preserve"> parcialmente fundados </w:t>
      </w:r>
      <w:r w:rsidRPr="002F3A9F">
        <w:rPr>
          <w:rFonts w:ascii="Palatino Linotype" w:eastAsia="Palatino Linotype" w:hAnsi="Palatino Linotype" w:cs="Palatino Linotype"/>
          <w:sz w:val="22"/>
          <w:szCs w:val="22"/>
        </w:rPr>
        <w:t xml:space="preserve">los motivos de inconformidad hechos valer por </w:t>
      </w:r>
      <w:r w:rsidRPr="002F3A9F">
        <w:rPr>
          <w:rFonts w:ascii="Palatino Linotype" w:eastAsia="Palatino Linotype" w:hAnsi="Palatino Linotype" w:cs="Palatino Linotype"/>
          <w:b/>
          <w:bCs/>
          <w:sz w:val="22"/>
          <w:szCs w:val="22"/>
        </w:rPr>
        <w:t>la parte Recurrente</w:t>
      </w:r>
      <w:r w:rsidRPr="002F3A9F">
        <w:rPr>
          <w:rFonts w:ascii="Palatino Linotype" w:eastAsia="Palatino Linotype" w:hAnsi="Palatino Linotype" w:cs="Palatino Linotype"/>
          <w:sz w:val="22"/>
          <w:szCs w:val="22"/>
        </w:rPr>
        <w:t xml:space="preserve"> en los Recursos de Revisión</w:t>
      </w:r>
      <w:r w:rsidRPr="002F3A9F">
        <w:rPr>
          <w:rFonts w:ascii="Palatino Linotype" w:eastAsia="Palatino Linotype" w:hAnsi="Palatino Linotype" w:cs="Palatino Linotype"/>
          <w:b/>
          <w:bCs/>
          <w:sz w:val="22"/>
          <w:szCs w:val="22"/>
        </w:rPr>
        <w:t xml:space="preserve"> 11919/INFOEM/IP/RR/2025, 11920/INFOEM/IP/RR/2025, 11922/INFOEM/IP/RR/2025, 11923/INFOEM/IP/RR/2025, 11924/INFOEM/IP/RR/2025, 11925/INFOEM/IP/RR/2025 y 11927/INFOEM/IP/RR/2025 </w:t>
      </w:r>
      <w:r w:rsidRPr="002F3A9F">
        <w:rPr>
          <w:rFonts w:ascii="Palatino Linotype" w:eastAsia="Palatino Linotype" w:hAnsi="Palatino Linotype" w:cs="Palatino Linotype"/>
          <w:sz w:val="22"/>
          <w:szCs w:val="22"/>
        </w:rPr>
        <w:t>por lo que</w:t>
      </w:r>
      <w:r w:rsidRPr="002F3A9F">
        <w:rPr>
          <w:rFonts w:ascii="Palatino Linotype" w:eastAsia="Palatino Linotype" w:hAnsi="Palatino Linotype" w:cs="Palatino Linotype"/>
          <w:b/>
          <w:bCs/>
          <w:sz w:val="22"/>
          <w:szCs w:val="22"/>
        </w:rPr>
        <w:t xml:space="preserve">, en términos del Considerando Cuarto </w:t>
      </w:r>
      <w:r w:rsidRPr="002F3A9F">
        <w:rPr>
          <w:rFonts w:ascii="Palatino Linotype" w:eastAsia="Palatino Linotype" w:hAnsi="Palatino Linotype" w:cs="Palatino Linotype"/>
          <w:sz w:val="22"/>
          <w:szCs w:val="22"/>
        </w:rPr>
        <w:t>de la presente resolución</w:t>
      </w:r>
      <w:r w:rsidRPr="002F3A9F">
        <w:rPr>
          <w:rFonts w:ascii="Palatino Linotype" w:eastAsia="Palatino Linotype" w:hAnsi="Palatino Linotype" w:cs="Palatino Linotype"/>
          <w:b/>
          <w:bCs/>
          <w:sz w:val="22"/>
          <w:szCs w:val="22"/>
        </w:rPr>
        <w:t>, se MODIFICAN l</w:t>
      </w:r>
      <w:r w:rsidRPr="002F3A9F">
        <w:rPr>
          <w:rFonts w:ascii="Palatino Linotype" w:eastAsia="Palatino Linotype" w:hAnsi="Palatino Linotype" w:cs="Palatino Linotype"/>
          <w:sz w:val="22"/>
          <w:szCs w:val="22"/>
        </w:rPr>
        <w:t>as respuestas del</w:t>
      </w:r>
      <w:r w:rsidRPr="002F3A9F">
        <w:rPr>
          <w:rFonts w:ascii="Palatino Linotype" w:eastAsia="Palatino Linotype" w:hAnsi="Palatino Linotype" w:cs="Palatino Linotype"/>
          <w:b/>
          <w:bCs/>
          <w:sz w:val="22"/>
          <w:szCs w:val="22"/>
        </w:rPr>
        <w:t xml:space="preserve"> Sujeto Obligado.</w:t>
      </w:r>
    </w:p>
    <w:p w14:paraId="04C87D21" w14:textId="77777777" w:rsidR="004F66B1" w:rsidRPr="002F3A9F" w:rsidRDefault="009B1A9E" w:rsidP="004F66B1">
      <w:pPr>
        <w:spacing w:before="240" w:after="240" w:line="360" w:lineRule="auto"/>
        <w:jc w:val="both"/>
        <w:rPr>
          <w:rFonts w:ascii="Palatino Linotype" w:eastAsia="Palatino Linotype" w:hAnsi="Palatino Linotype" w:cs="Palatino Linotype"/>
          <w:sz w:val="22"/>
          <w:szCs w:val="22"/>
        </w:rPr>
      </w:pPr>
      <w:bookmarkStart w:id="6" w:name="_heading=h.j3ppyxwlb1s2" w:colFirst="0" w:colLast="0"/>
      <w:bookmarkEnd w:id="6"/>
      <w:r w:rsidRPr="002F3A9F">
        <w:rPr>
          <w:rFonts w:ascii="Palatino Linotype" w:eastAsia="Palatino Linotype" w:hAnsi="Palatino Linotype" w:cs="Palatino Linotype"/>
          <w:b/>
          <w:bCs/>
          <w:sz w:val="22"/>
          <w:szCs w:val="22"/>
        </w:rPr>
        <w:t xml:space="preserve">Segundo. Se Ordena al Sujeto Obligado </w:t>
      </w:r>
      <w:r w:rsidRPr="002F3A9F">
        <w:rPr>
          <w:rFonts w:ascii="Palatino Linotype" w:eastAsia="Palatino Linotype" w:hAnsi="Palatino Linotype" w:cs="Palatino Linotype"/>
          <w:sz w:val="22"/>
          <w:szCs w:val="22"/>
        </w:rPr>
        <w:t>que en términos de los</w:t>
      </w:r>
      <w:r w:rsidRPr="002F3A9F">
        <w:rPr>
          <w:rFonts w:ascii="Palatino Linotype" w:eastAsia="Palatino Linotype" w:hAnsi="Palatino Linotype" w:cs="Palatino Linotype"/>
          <w:b/>
          <w:bCs/>
          <w:sz w:val="22"/>
          <w:szCs w:val="22"/>
        </w:rPr>
        <w:t xml:space="preserve"> Considerandos Cuarto y Quinta </w:t>
      </w:r>
      <w:r w:rsidRPr="002F3A9F">
        <w:rPr>
          <w:rFonts w:ascii="Palatino Linotype" w:eastAsia="Palatino Linotype" w:hAnsi="Palatino Linotype" w:cs="Palatino Linotype"/>
          <w:sz w:val="22"/>
          <w:szCs w:val="22"/>
        </w:rPr>
        <w:t xml:space="preserve">de esta resolución, haga entrega a </w:t>
      </w:r>
      <w:r w:rsidRPr="002F3A9F">
        <w:rPr>
          <w:rFonts w:ascii="Palatino Linotype" w:eastAsia="Palatino Linotype" w:hAnsi="Palatino Linotype" w:cs="Palatino Linotype"/>
          <w:b/>
          <w:bCs/>
          <w:sz w:val="22"/>
          <w:szCs w:val="22"/>
        </w:rPr>
        <w:t xml:space="preserve">la parte Recurrente a través del SAIMEX, </w:t>
      </w:r>
      <w:r w:rsidR="004F66B1" w:rsidRPr="002F3A9F">
        <w:rPr>
          <w:rFonts w:ascii="Palatino Linotype" w:eastAsia="Palatino Linotype" w:hAnsi="Palatino Linotype" w:cs="Palatino Linotype"/>
          <w:b/>
          <w:bCs/>
          <w:sz w:val="22"/>
          <w:szCs w:val="22"/>
        </w:rPr>
        <w:t xml:space="preserve">previa búsqueda exhaustiva y razonable, </w:t>
      </w:r>
      <w:r w:rsidRPr="002F3A9F">
        <w:rPr>
          <w:rFonts w:ascii="Palatino Linotype" w:eastAsia="Palatino Linotype" w:hAnsi="Palatino Linotype" w:cs="Palatino Linotype"/>
          <w:b/>
          <w:bCs/>
          <w:sz w:val="22"/>
          <w:szCs w:val="22"/>
        </w:rPr>
        <w:t>en versión pública,</w:t>
      </w:r>
      <w:r w:rsidRPr="002F3A9F">
        <w:rPr>
          <w:rFonts w:ascii="Palatino Linotype" w:eastAsia="Palatino Linotype" w:hAnsi="Palatino Linotype" w:cs="Palatino Linotype"/>
          <w:sz w:val="22"/>
          <w:szCs w:val="22"/>
        </w:rPr>
        <w:t xml:space="preserve"> los documentos donde conste la siguiente información:</w:t>
      </w:r>
      <w:r w:rsidR="004F66B1" w:rsidRPr="002F3A9F">
        <w:rPr>
          <w:rFonts w:ascii="Palatino Linotype" w:eastAsia="Palatino Linotype" w:hAnsi="Palatino Linotype" w:cs="Palatino Linotype"/>
          <w:sz w:val="22"/>
          <w:szCs w:val="22"/>
        </w:rPr>
        <w:t xml:space="preserve"> </w:t>
      </w:r>
    </w:p>
    <w:p w14:paraId="04886ED7" w14:textId="745AE7AD" w:rsidR="0088340F" w:rsidRPr="002F3A9F" w:rsidRDefault="009B1A9E" w:rsidP="004F66B1">
      <w:pPr>
        <w:pStyle w:val="Prrafodelista"/>
        <w:numPr>
          <w:ilvl w:val="0"/>
          <w:numId w:val="4"/>
        </w:numPr>
        <w:spacing w:before="240" w:after="240" w:line="360" w:lineRule="auto"/>
        <w:jc w:val="both"/>
        <w:rPr>
          <w:rFonts w:ascii="Palatino Linotype" w:eastAsia="Palatino Linotype" w:hAnsi="Palatino Linotype" w:cs="Palatino Linotype"/>
          <w:b/>
          <w:bCs/>
          <w:sz w:val="22"/>
          <w:szCs w:val="22"/>
        </w:rPr>
      </w:pPr>
      <w:r w:rsidRPr="002F3A9F">
        <w:rPr>
          <w:rFonts w:ascii="Palatino Linotype" w:eastAsia="Palatino Linotype" w:hAnsi="Palatino Linotype" w:cs="Palatino Linotype"/>
          <w:b/>
          <w:bCs/>
          <w:sz w:val="22"/>
          <w:szCs w:val="22"/>
        </w:rPr>
        <w:t xml:space="preserve">Las remuneraciones pagadas a todos los servidores públicos adscritos a la Secretaría de Seguridad, de la </w:t>
      </w:r>
      <w:r w:rsidR="004E0370" w:rsidRPr="002F3A9F">
        <w:rPr>
          <w:rFonts w:ascii="Palatino Linotype" w:eastAsia="Palatino Linotype" w:hAnsi="Palatino Linotype" w:cs="Palatino Linotype"/>
          <w:b/>
          <w:bCs/>
          <w:sz w:val="22"/>
          <w:szCs w:val="22"/>
        </w:rPr>
        <w:t xml:space="preserve">primera quincena de enero y primera y segunda </w:t>
      </w:r>
      <w:r w:rsidRPr="002F3A9F">
        <w:rPr>
          <w:rFonts w:ascii="Palatino Linotype" w:eastAsia="Palatino Linotype" w:hAnsi="Palatino Linotype" w:cs="Palatino Linotype"/>
          <w:b/>
          <w:bCs/>
          <w:sz w:val="22"/>
          <w:szCs w:val="22"/>
        </w:rPr>
        <w:t>quincena de los meses de febrero, marzo, abril, mayo, julio y agosto de dos mil diecinueve.</w:t>
      </w:r>
    </w:p>
    <w:p w14:paraId="0110D9DE" w14:textId="77777777" w:rsidR="0088340F" w:rsidRPr="002F3A9F" w:rsidRDefault="009B1A9E">
      <w:pPr>
        <w:pBdr>
          <w:top w:val="nil"/>
          <w:left w:val="nil"/>
          <w:bottom w:val="nil"/>
          <w:right w:val="nil"/>
          <w:between w:val="nil"/>
        </w:pBdr>
        <w:ind w:left="720" w:right="560"/>
        <w:jc w:val="both"/>
        <w:rPr>
          <w:rFonts w:ascii="Palatino Linotype" w:eastAsia="Palatino Linotype" w:hAnsi="Palatino Linotype" w:cs="Palatino Linotype"/>
          <w:i/>
          <w:iCs/>
          <w:sz w:val="22"/>
          <w:szCs w:val="22"/>
        </w:rPr>
      </w:pPr>
      <w:r w:rsidRPr="002F3A9F">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7E82D01E" w14:textId="77777777" w:rsidR="0088340F" w:rsidRPr="002F3A9F" w:rsidRDefault="0088340F">
      <w:pPr>
        <w:pBdr>
          <w:top w:val="nil"/>
          <w:left w:val="nil"/>
          <w:bottom w:val="nil"/>
          <w:right w:val="nil"/>
          <w:between w:val="nil"/>
        </w:pBdr>
        <w:ind w:left="720" w:right="560"/>
        <w:jc w:val="both"/>
        <w:rPr>
          <w:rFonts w:ascii="Palatino Linotype" w:eastAsia="Palatino Linotype" w:hAnsi="Palatino Linotype" w:cs="Palatino Linotype"/>
          <w:i/>
          <w:iCs/>
          <w:sz w:val="22"/>
          <w:szCs w:val="22"/>
        </w:rPr>
      </w:pPr>
    </w:p>
    <w:p w14:paraId="21D8D22B" w14:textId="77777777" w:rsidR="0088340F" w:rsidRPr="002F3A9F" w:rsidRDefault="009B1A9E">
      <w:pPr>
        <w:spacing w:before="240" w:after="240"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 xml:space="preserve">Tercero.  Notifíquese vía SAIMEX, </w:t>
      </w:r>
      <w:r w:rsidRPr="002F3A9F">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03717F" w14:textId="77777777" w:rsidR="0088340F" w:rsidRPr="002F3A9F" w:rsidRDefault="009B1A9E">
      <w:pPr>
        <w:spacing w:before="240" w:after="240" w:line="360" w:lineRule="auto"/>
        <w:jc w:val="both"/>
        <w:rPr>
          <w:rFonts w:ascii="Palatino Linotype" w:eastAsia="Palatino Linotype" w:hAnsi="Palatino Linotype" w:cs="Palatino Linotype"/>
          <w:sz w:val="22"/>
          <w:szCs w:val="22"/>
        </w:rPr>
      </w:pPr>
      <w:r w:rsidRPr="002F3A9F">
        <w:rPr>
          <w:rFonts w:ascii="Palatino Linotype" w:eastAsia="Palatino Linotype" w:hAnsi="Palatino Linotype" w:cs="Palatino Linotype"/>
          <w:b/>
          <w:bCs/>
          <w:sz w:val="22"/>
          <w:szCs w:val="22"/>
        </w:rPr>
        <w:t xml:space="preserve">Cuarto. </w:t>
      </w:r>
      <w:r w:rsidRPr="002F3A9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2F3A9F">
        <w:rPr>
          <w:rFonts w:ascii="Palatino Linotype" w:eastAsia="Palatino Linotype" w:hAnsi="Palatino Linotype" w:cs="Palatino Linotype"/>
          <w:b/>
          <w:bCs/>
          <w:sz w:val="22"/>
          <w:szCs w:val="22"/>
        </w:rPr>
        <w:t>Sujeto Obligado</w:t>
      </w:r>
      <w:r w:rsidRPr="002F3A9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D25DF9E" w14:textId="28A39933" w:rsidR="0088340F" w:rsidRPr="002F3A9F" w:rsidRDefault="009B1A9E">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2F3A9F">
        <w:rPr>
          <w:rFonts w:ascii="Palatino Linotype" w:eastAsia="Palatino Linotype" w:hAnsi="Palatino Linotype" w:cs="Palatino Linotype"/>
          <w:b/>
          <w:bCs/>
          <w:sz w:val="22"/>
          <w:szCs w:val="22"/>
        </w:rPr>
        <w:t xml:space="preserve">Quinto. Notifíquese vía SAIMEX, </w:t>
      </w:r>
      <w:r w:rsidRPr="002F3A9F">
        <w:rPr>
          <w:rFonts w:ascii="Palatino Linotype" w:eastAsia="Palatino Linotype" w:hAnsi="Palatino Linotype" w:cs="Palatino Linotype"/>
          <w:sz w:val="22"/>
          <w:szCs w:val="22"/>
        </w:rPr>
        <w:t>a</w:t>
      </w:r>
      <w:r w:rsidRPr="002F3A9F">
        <w:rPr>
          <w:rFonts w:ascii="Palatino Linotype" w:eastAsia="Palatino Linotype" w:hAnsi="Palatino Linotype" w:cs="Palatino Linotype"/>
          <w:b/>
          <w:bCs/>
          <w:sz w:val="22"/>
          <w:szCs w:val="22"/>
        </w:rPr>
        <w:t xml:space="preserve"> la parte Recurrente</w:t>
      </w:r>
      <w:r w:rsidRPr="002F3A9F">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7390EB9" w14:textId="77777777" w:rsidR="00136136" w:rsidRPr="002F3A9F" w:rsidRDefault="00136136">
      <w:pPr>
        <w:spacing w:line="360" w:lineRule="auto"/>
        <w:jc w:val="both"/>
        <w:rPr>
          <w:rFonts w:ascii="Palatino Linotype" w:eastAsia="Palatino Linotype" w:hAnsi="Palatino Linotype" w:cs="Palatino Linotype"/>
          <w:sz w:val="22"/>
          <w:szCs w:val="22"/>
        </w:rPr>
      </w:pPr>
    </w:p>
    <w:p w14:paraId="51007901" w14:textId="77777777" w:rsidR="0088340F" w:rsidRPr="002F3A9F" w:rsidRDefault="0088340F">
      <w:pPr>
        <w:spacing w:line="360" w:lineRule="auto"/>
        <w:jc w:val="both"/>
        <w:rPr>
          <w:rFonts w:ascii="Palatino Linotype" w:eastAsia="Palatino Linotype" w:hAnsi="Palatino Linotype" w:cs="Palatino Linotype"/>
          <w:b/>
          <w:bCs/>
          <w:sz w:val="22"/>
          <w:szCs w:val="22"/>
        </w:rPr>
      </w:pPr>
    </w:p>
    <w:p w14:paraId="1A2EF594" w14:textId="5D6AA852" w:rsidR="0088340F" w:rsidRPr="00B516E4" w:rsidRDefault="009B1A9E">
      <w:pPr>
        <w:spacing w:line="360" w:lineRule="auto"/>
        <w:ind w:right="-93"/>
        <w:jc w:val="both"/>
        <w:rPr>
          <w:rFonts w:ascii="Palatino Linotype" w:eastAsia="Palatino Linotype" w:hAnsi="Palatino Linotype" w:cs="Palatino Linotype"/>
          <w:sz w:val="22"/>
          <w:szCs w:val="22"/>
        </w:rPr>
      </w:pPr>
      <w:bookmarkStart w:id="8" w:name="_heading=h.jl0dlasot4f" w:colFirst="0" w:colLast="0"/>
      <w:bookmarkEnd w:id="8"/>
      <w:r w:rsidRPr="002F3A9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136136" w:rsidRPr="002F3A9F">
        <w:rPr>
          <w:rFonts w:ascii="Palatino Linotype" w:eastAsia="Palatino Linotype" w:hAnsi="Palatino Linotype" w:cs="Palatino Linotype"/>
          <w:sz w:val="22"/>
          <w:szCs w:val="22"/>
        </w:rPr>
        <w:t>, EMITIENDO PARTICULAR</w:t>
      </w:r>
      <w:r w:rsidRPr="002F3A9F">
        <w:rPr>
          <w:rFonts w:ascii="Palatino Linotype" w:eastAsia="Palatino Linotype" w:hAnsi="Palatino Linotype" w:cs="Palatino Linotype"/>
          <w:sz w:val="22"/>
          <w:szCs w:val="22"/>
        </w:rPr>
        <w:t xml:space="preserve"> Y GUADALUPE RAMÍREZ PEÑA</w:t>
      </w:r>
      <w:r w:rsidR="00136136" w:rsidRPr="002F3A9F">
        <w:rPr>
          <w:rFonts w:ascii="Palatino Linotype" w:eastAsia="Palatino Linotype" w:hAnsi="Palatino Linotype" w:cs="Palatino Linotype"/>
          <w:sz w:val="22"/>
          <w:szCs w:val="22"/>
        </w:rPr>
        <w:t>, EMITIENDO VOTO PARTICULAR</w:t>
      </w:r>
      <w:r w:rsidRPr="002F3A9F">
        <w:rPr>
          <w:rFonts w:ascii="Palatino Linotype" w:eastAsia="Palatino Linotype" w:hAnsi="Palatino Linotype" w:cs="Palatino Linotype"/>
          <w:sz w:val="22"/>
          <w:szCs w:val="22"/>
        </w:rPr>
        <w:t>; EN LA CUADRAGÉSIMA SEGUNDA SESIÓN ORDINARIA CELEBRADA EL VEINTI</w:t>
      </w:r>
      <w:r w:rsidR="004F66B1" w:rsidRPr="002F3A9F">
        <w:rPr>
          <w:rFonts w:ascii="Palatino Linotype" w:eastAsia="Palatino Linotype" w:hAnsi="Palatino Linotype" w:cs="Palatino Linotype"/>
          <w:sz w:val="22"/>
          <w:szCs w:val="22"/>
        </w:rPr>
        <w:t>CINCO</w:t>
      </w:r>
      <w:r w:rsidRPr="002F3A9F">
        <w:rPr>
          <w:rFonts w:ascii="Palatino Linotype" w:eastAsia="Palatino Linotype" w:hAnsi="Palatino Linotype" w:cs="Palatino Linotype"/>
          <w:sz w:val="22"/>
          <w:szCs w:val="22"/>
        </w:rPr>
        <w:t xml:space="preserve"> DE NOVIEMBRE DE DOS MIL VEINTICINCO, ANTE EL SECRETARIO TÉCNICO DEL PLENO ALEXIS TAPIA RAMÍREZ.</w:t>
      </w:r>
    </w:p>
    <w:p w14:paraId="168FFCEB" w14:textId="77777777" w:rsidR="0088340F" w:rsidRPr="00B516E4" w:rsidRDefault="0088340F">
      <w:pPr>
        <w:spacing w:line="360" w:lineRule="auto"/>
        <w:ind w:right="-93"/>
        <w:jc w:val="both"/>
        <w:rPr>
          <w:rFonts w:ascii="Palatino Linotype" w:eastAsia="Palatino Linotype" w:hAnsi="Palatino Linotype" w:cs="Palatino Linotype"/>
          <w:sz w:val="22"/>
          <w:szCs w:val="22"/>
        </w:rPr>
      </w:pPr>
    </w:p>
    <w:p w14:paraId="2CE68828" w14:textId="77777777" w:rsidR="0088340F" w:rsidRPr="00B516E4" w:rsidRDefault="0088340F">
      <w:pPr>
        <w:spacing w:line="360" w:lineRule="auto"/>
        <w:ind w:right="-93"/>
        <w:jc w:val="both"/>
        <w:rPr>
          <w:rFonts w:ascii="Palatino Linotype" w:eastAsia="Palatino Linotype" w:hAnsi="Palatino Linotype" w:cs="Palatino Linotype"/>
          <w:sz w:val="22"/>
          <w:szCs w:val="22"/>
        </w:rPr>
      </w:pPr>
    </w:p>
    <w:p w14:paraId="230236A2" w14:textId="77777777" w:rsidR="0088340F" w:rsidRPr="00B516E4" w:rsidRDefault="0088340F">
      <w:pPr>
        <w:spacing w:line="360" w:lineRule="auto"/>
        <w:ind w:right="-93"/>
        <w:jc w:val="both"/>
        <w:rPr>
          <w:rFonts w:ascii="Palatino Linotype" w:eastAsia="Palatino Linotype" w:hAnsi="Palatino Linotype" w:cs="Palatino Linotype"/>
          <w:sz w:val="22"/>
          <w:szCs w:val="22"/>
        </w:rPr>
      </w:pPr>
    </w:p>
    <w:p w14:paraId="26F69EFF" w14:textId="77777777" w:rsidR="0088340F" w:rsidRPr="00B516E4" w:rsidRDefault="0088340F">
      <w:pPr>
        <w:spacing w:line="360" w:lineRule="auto"/>
        <w:ind w:right="-93"/>
        <w:jc w:val="both"/>
        <w:rPr>
          <w:rFonts w:ascii="Palatino Linotype" w:eastAsia="Palatino Linotype" w:hAnsi="Palatino Linotype" w:cs="Palatino Linotype"/>
          <w:sz w:val="22"/>
          <w:szCs w:val="22"/>
        </w:rPr>
      </w:pPr>
    </w:p>
    <w:p w14:paraId="5E3E74AD" w14:textId="77777777" w:rsidR="0088340F" w:rsidRPr="00B516E4" w:rsidRDefault="0088340F">
      <w:pPr>
        <w:spacing w:line="360" w:lineRule="auto"/>
        <w:ind w:right="-93"/>
        <w:jc w:val="both"/>
        <w:rPr>
          <w:rFonts w:ascii="Palatino Linotype" w:eastAsia="Palatino Linotype" w:hAnsi="Palatino Linotype" w:cs="Palatino Linotype"/>
          <w:sz w:val="22"/>
          <w:szCs w:val="22"/>
        </w:rPr>
      </w:pPr>
    </w:p>
    <w:p w14:paraId="1D0EFB19" w14:textId="5FC82B2E" w:rsidR="0088340F" w:rsidRPr="00B516E4" w:rsidRDefault="0088340F">
      <w:pPr>
        <w:spacing w:line="360" w:lineRule="auto"/>
        <w:ind w:right="49"/>
        <w:jc w:val="both"/>
        <w:rPr>
          <w:rFonts w:ascii="Palatino Linotype" w:eastAsia="Palatino Linotype" w:hAnsi="Palatino Linotype" w:cs="Palatino Linotype"/>
          <w:sz w:val="22"/>
          <w:szCs w:val="22"/>
        </w:rPr>
      </w:pPr>
    </w:p>
    <w:p w14:paraId="1D2D5FCD" w14:textId="70C0F803" w:rsidR="00136136" w:rsidRPr="00B516E4" w:rsidRDefault="00136136">
      <w:pPr>
        <w:spacing w:line="360" w:lineRule="auto"/>
        <w:ind w:right="49"/>
        <w:jc w:val="both"/>
        <w:rPr>
          <w:rFonts w:ascii="Palatino Linotype" w:eastAsia="Palatino Linotype" w:hAnsi="Palatino Linotype" w:cs="Palatino Linotype"/>
          <w:sz w:val="22"/>
          <w:szCs w:val="22"/>
        </w:rPr>
      </w:pPr>
    </w:p>
    <w:p w14:paraId="35F7824D" w14:textId="734E9D82" w:rsidR="00136136" w:rsidRPr="00B516E4" w:rsidRDefault="00136136">
      <w:pPr>
        <w:spacing w:line="360" w:lineRule="auto"/>
        <w:ind w:right="49"/>
        <w:jc w:val="both"/>
        <w:rPr>
          <w:rFonts w:ascii="Palatino Linotype" w:eastAsia="Palatino Linotype" w:hAnsi="Palatino Linotype" w:cs="Palatino Linotype"/>
          <w:sz w:val="22"/>
          <w:szCs w:val="22"/>
        </w:rPr>
      </w:pPr>
    </w:p>
    <w:p w14:paraId="29FD86C1" w14:textId="7E275DC5" w:rsidR="00136136" w:rsidRPr="00B516E4" w:rsidRDefault="00136136">
      <w:pPr>
        <w:spacing w:line="360" w:lineRule="auto"/>
        <w:ind w:right="49"/>
        <w:jc w:val="both"/>
        <w:rPr>
          <w:rFonts w:ascii="Palatino Linotype" w:eastAsia="Palatino Linotype" w:hAnsi="Palatino Linotype" w:cs="Palatino Linotype"/>
          <w:sz w:val="22"/>
          <w:szCs w:val="22"/>
        </w:rPr>
      </w:pPr>
    </w:p>
    <w:p w14:paraId="47454F98" w14:textId="490B4BF7" w:rsidR="00136136" w:rsidRPr="00B516E4" w:rsidRDefault="00136136">
      <w:pPr>
        <w:spacing w:line="360" w:lineRule="auto"/>
        <w:ind w:right="49"/>
        <w:jc w:val="both"/>
        <w:rPr>
          <w:rFonts w:ascii="Palatino Linotype" w:eastAsia="Palatino Linotype" w:hAnsi="Palatino Linotype" w:cs="Palatino Linotype"/>
          <w:sz w:val="22"/>
          <w:szCs w:val="22"/>
        </w:rPr>
      </w:pPr>
    </w:p>
    <w:p w14:paraId="516E2316" w14:textId="0944F377" w:rsidR="00136136" w:rsidRPr="00B516E4" w:rsidRDefault="00136136">
      <w:pPr>
        <w:spacing w:line="360" w:lineRule="auto"/>
        <w:ind w:right="49"/>
        <w:jc w:val="both"/>
        <w:rPr>
          <w:rFonts w:ascii="Palatino Linotype" w:eastAsia="Palatino Linotype" w:hAnsi="Palatino Linotype" w:cs="Palatino Linotype"/>
          <w:sz w:val="22"/>
          <w:szCs w:val="22"/>
        </w:rPr>
      </w:pPr>
    </w:p>
    <w:p w14:paraId="353CC1FF" w14:textId="76EB1C17" w:rsidR="00136136" w:rsidRPr="00B516E4" w:rsidRDefault="00136136">
      <w:pPr>
        <w:spacing w:line="360" w:lineRule="auto"/>
        <w:ind w:right="49"/>
        <w:jc w:val="both"/>
        <w:rPr>
          <w:rFonts w:ascii="Palatino Linotype" w:eastAsia="Palatino Linotype" w:hAnsi="Palatino Linotype" w:cs="Palatino Linotype"/>
          <w:sz w:val="22"/>
          <w:szCs w:val="22"/>
        </w:rPr>
      </w:pPr>
    </w:p>
    <w:p w14:paraId="34A190FF" w14:textId="35445D2E" w:rsidR="00136136" w:rsidRPr="00B516E4" w:rsidRDefault="00136136">
      <w:pPr>
        <w:spacing w:line="360" w:lineRule="auto"/>
        <w:ind w:right="49"/>
        <w:jc w:val="both"/>
        <w:rPr>
          <w:rFonts w:ascii="Palatino Linotype" w:eastAsia="Palatino Linotype" w:hAnsi="Palatino Linotype" w:cs="Palatino Linotype"/>
          <w:sz w:val="22"/>
          <w:szCs w:val="22"/>
        </w:rPr>
      </w:pPr>
    </w:p>
    <w:p w14:paraId="1AB77FAF" w14:textId="0CAA2B7A" w:rsidR="00136136" w:rsidRPr="00B516E4" w:rsidRDefault="00136136">
      <w:pPr>
        <w:spacing w:line="360" w:lineRule="auto"/>
        <w:ind w:right="49"/>
        <w:jc w:val="both"/>
        <w:rPr>
          <w:rFonts w:ascii="Palatino Linotype" w:eastAsia="Palatino Linotype" w:hAnsi="Palatino Linotype" w:cs="Palatino Linotype"/>
          <w:sz w:val="22"/>
          <w:szCs w:val="22"/>
        </w:rPr>
      </w:pPr>
    </w:p>
    <w:p w14:paraId="7752A50F" w14:textId="38932410" w:rsidR="00136136" w:rsidRPr="00B516E4" w:rsidRDefault="00136136">
      <w:pPr>
        <w:spacing w:line="360" w:lineRule="auto"/>
        <w:ind w:right="49"/>
        <w:jc w:val="both"/>
        <w:rPr>
          <w:rFonts w:ascii="Palatino Linotype" w:eastAsia="Palatino Linotype" w:hAnsi="Palatino Linotype" w:cs="Palatino Linotype"/>
          <w:sz w:val="22"/>
          <w:szCs w:val="22"/>
        </w:rPr>
      </w:pPr>
    </w:p>
    <w:p w14:paraId="7FDB5E23" w14:textId="1DB76D3D" w:rsidR="00136136" w:rsidRPr="00B516E4" w:rsidRDefault="00136136">
      <w:pPr>
        <w:spacing w:line="360" w:lineRule="auto"/>
        <w:ind w:right="49"/>
        <w:jc w:val="both"/>
        <w:rPr>
          <w:rFonts w:ascii="Palatino Linotype" w:eastAsia="Palatino Linotype" w:hAnsi="Palatino Linotype" w:cs="Palatino Linotype"/>
          <w:sz w:val="22"/>
          <w:szCs w:val="22"/>
        </w:rPr>
      </w:pPr>
    </w:p>
    <w:p w14:paraId="20E66ED7" w14:textId="4336F1FE" w:rsidR="00136136" w:rsidRPr="00B516E4" w:rsidRDefault="00136136">
      <w:pPr>
        <w:spacing w:line="360" w:lineRule="auto"/>
        <w:ind w:right="49"/>
        <w:jc w:val="both"/>
        <w:rPr>
          <w:rFonts w:ascii="Palatino Linotype" w:eastAsia="Palatino Linotype" w:hAnsi="Palatino Linotype" w:cs="Palatino Linotype"/>
          <w:sz w:val="22"/>
          <w:szCs w:val="22"/>
        </w:rPr>
      </w:pPr>
    </w:p>
    <w:p w14:paraId="2DEE667B" w14:textId="2DDE41EB" w:rsidR="00136136" w:rsidRPr="00B516E4" w:rsidRDefault="00136136">
      <w:pPr>
        <w:spacing w:line="360" w:lineRule="auto"/>
        <w:ind w:right="49"/>
        <w:jc w:val="both"/>
        <w:rPr>
          <w:rFonts w:ascii="Palatino Linotype" w:eastAsia="Palatino Linotype" w:hAnsi="Palatino Linotype" w:cs="Palatino Linotype"/>
          <w:sz w:val="22"/>
          <w:szCs w:val="22"/>
        </w:rPr>
      </w:pPr>
    </w:p>
    <w:p w14:paraId="4293A7EB" w14:textId="359DAA27" w:rsidR="00136136" w:rsidRPr="00B516E4" w:rsidRDefault="00136136">
      <w:pPr>
        <w:spacing w:line="360" w:lineRule="auto"/>
        <w:ind w:right="49"/>
        <w:jc w:val="both"/>
        <w:rPr>
          <w:rFonts w:ascii="Palatino Linotype" w:eastAsia="Palatino Linotype" w:hAnsi="Palatino Linotype" w:cs="Palatino Linotype"/>
          <w:sz w:val="22"/>
          <w:szCs w:val="22"/>
        </w:rPr>
      </w:pPr>
    </w:p>
    <w:p w14:paraId="7C957474" w14:textId="0CA181A0" w:rsidR="00136136" w:rsidRPr="00B516E4" w:rsidRDefault="00136136">
      <w:pPr>
        <w:spacing w:line="360" w:lineRule="auto"/>
        <w:ind w:right="49"/>
        <w:jc w:val="both"/>
        <w:rPr>
          <w:rFonts w:ascii="Palatino Linotype" w:eastAsia="Palatino Linotype" w:hAnsi="Palatino Linotype" w:cs="Palatino Linotype"/>
          <w:sz w:val="22"/>
          <w:szCs w:val="22"/>
        </w:rPr>
      </w:pPr>
    </w:p>
    <w:p w14:paraId="2AF697CA" w14:textId="5129F0DB" w:rsidR="00136136" w:rsidRPr="00B516E4" w:rsidRDefault="00136136">
      <w:pPr>
        <w:spacing w:line="360" w:lineRule="auto"/>
        <w:ind w:right="49"/>
        <w:jc w:val="both"/>
        <w:rPr>
          <w:rFonts w:ascii="Palatino Linotype" w:eastAsia="Palatino Linotype" w:hAnsi="Palatino Linotype" w:cs="Palatino Linotype"/>
          <w:sz w:val="22"/>
          <w:szCs w:val="22"/>
        </w:rPr>
      </w:pPr>
    </w:p>
    <w:p w14:paraId="5109DE8B" w14:textId="02AB644D" w:rsidR="00136136" w:rsidRPr="00B516E4" w:rsidRDefault="00136136">
      <w:pPr>
        <w:spacing w:line="360" w:lineRule="auto"/>
        <w:ind w:right="49"/>
        <w:jc w:val="both"/>
        <w:rPr>
          <w:rFonts w:ascii="Palatino Linotype" w:eastAsia="Palatino Linotype" w:hAnsi="Palatino Linotype" w:cs="Palatino Linotype"/>
          <w:sz w:val="22"/>
          <w:szCs w:val="22"/>
        </w:rPr>
      </w:pPr>
    </w:p>
    <w:p w14:paraId="04337D5F" w14:textId="465D5D1C" w:rsidR="00136136" w:rsidRPr="00B516E4" w:rsidRDefault="00136136">
      <w:pPr>
        <w:spacing w:line="360" w:lineRule="auto"/>
        <w:ind w:right="49"/>
        <w:jc w:val="both"/>
        <w:rPr>
          <w:rFonts w:ascii="Palatino Linotype" w:eastAsia="Palatino Linotype" w:hAnsi="Palatino Linotype" w:cs="Palatino Linotype"/>
          <w:sz w:val="22"/>
          <w:szCs w:val="22"/>
        </w:rPr>
      </w:pPr>
    </w:p>
    <w:p w14:paraId="06C9E377" w14:textId="0A2810CB" w:rsidR="00136136" w:rsidRPr="00B516E4" w:rsidRDefault="00136136">
      <w:pPr>
        <w:spacing w:line="360" w:lineRule="auto"/>
        <w:ind w:right="49"/>
        <w:jc w:val="both"/>
        <w:rPr>
          <w:rFonts w:ascii="Palatino Linotype" w:eastAsia="Palatino Linotype" w:hAnsi="Palatino Linotype" w:cs="Palatino Linotype"/>
          <w:sz w:val="22"/>
          <w:szCs w:val="22"/>
        </w:rPr>
      </w:pPr>
    </w:p>
    <w:p w14:paraId="3E18F6F1" w14:textId="5EC6420F" w:rsidR="00136136" w:rsidRPr="00B516E4" w:rsidRDefault="00136136">
      <w:pPr>
        <w:spacing w:line="360" w:lineRule="auto"/>
        <w:ind w:right="49"/>
        <w:jc w:val="both"/>
        <w:rPr>
          <w:rFonts w:ascii="Palatino Linotype" w:eastAsia="Palatino Linotype" w:hAnsi="Palatino Linotype" w:cs="Palatino Linotype"/>
          <w:sz w:val="22"/>
          <w:szCs w:val="22"/>
        </w:rPr>
      </w:pPr>
    </w:p>
    <w:p w14:paraId="76E1105D" w14:textId="333DB499" w:rsidR="00136136" w:rsidRPr="00B516E4" w:rsidRDefault="00136136">
      <w:pPr>
        <w:spacing w:line="360" w:lineRule="auto"/>
        <w:ind w:right="49"/>
        <w:jc w:val="both"/>
        <w:rPr>
          <w:rFonts w:ascii="Palatino Linotype" w:eastAsia="Palatino Linotype" w:hAnsi="Palatino Linotype" w:cs="Palatino Linotype"/>
          <w:sz w:val="22"/>
          <w:szCs w:val="22"/>
        </w:rPr>
      </w:pPr>
    </w:p>
    <w:p w14:paraId="61463250" w14:textId="77777777" w:rsidR="00136136" w:rsidRPr="00B516E4" w:rsidRDefault="00136136">
      <w:pPr>
        <w:spacing w:line="360" w:lineRule="auto"/>
        <w:ind w:right="49"/>
        <w:jc w:val="both"/>
        <w:rPr>
          <w:rFonts w:ascii="Palatino Linotype" w:eastAsia="Palatino Linotype" w:hAnsi="Palatino Linotype" w:cs="Palatino Linotype"/>
          <w:sz w:val="22"/>
          <w:szCs w:val="22"/>
        </w:rPr>
      </w:pPr>
    </w:p>
    <w:sectPr w:rsidR="00136136" w:rsidRPr="00B516E4">
      <w:headerReference w:type="default" r:id="rId14"/>
      <w:footerReference w:type="default" r:id="rId15"/>
      <w:headerReference w:type="first" r:id="rId16"/>
      <w:footerReference w:type="first" r:id="rId1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C22F8" w14:textId="77777777" w:rsidR="006A7C1B" w:rsidRDefault="006A7C1B">
      <w:r>
        <w:separator/>
      </w:r>
    </w:p>
  </w:endnote>
  <w:endnote w:type="continuationSeparator" w:id="0">
    <w:p w14:paraId="19947C1C" w14:textId="77777777" w:rsidR="006A7C1B" w:rsidRDefault="006A7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3EA713DA-672E-4306-BD5E-19DD94990489}"/>
    <w:embedBold r:id="rId2" w:fontKey="{100F3AA0-2682-4466-8675-47CBC860B004}"/>
    <w:embedItalic r:id="rId3" w:fontKey="{DAD98B4A-1DC5-466D-B3F0-B1DA7AFCE81C}"/>
    <w:embedBoldItalic r:id="rId4" w:fontKey="{CB13FE7D-1415-49DB-BEEC-EFA999E53B1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2EBD2E5E-884E-4C27-946F-6DDB12638B3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5B1FDF6-2079-454D-8BE2-740CC1420696}"/>
    <w:embedBold r:id="rId7" w:fontKey="{BEB195FE-609B-4692-9F09-43C471FEDC66}"/>
  </w:font>
  <w:font w:name="Georgia">
    <w:panose1 w:val="02040502050405020303"/>
    <w:charset w:val="00"/>
    <w:family w:val="roman"/>
    <w:pitch w:val="variable"/>
    <w:sig w:usb0="00000287" w:usb1="00000000" w:usb2="00000000" w:usb3="00000000" w:csb0="0000009F" w:csb1="00000000"/>
    <w:embedItalic r:id="rId8" w:fontKey="{D58BD198-5389-4C52-B2C5-45966D7FF8E4}"/>
  </w:font>
  <w:font w:name="Calibri Light">
    <w:panose1 w:val="020F0302020204030204"/>
    <w:charset w:val="00"/>
    <w:family w:val="swiss"/>
    <w:pitch w:val="variable"/>
    <w:sig w:usb0="E4002EFF" w:usb1="C200247B" w:usb2="00000009" w:usb3="00000000" w:csb0="000001FF" w:csb1="00000000"/>
    <w:embedRegular r:id="rId9" w:fontKey="{23E68FE8-3A3C-4DA9-9B10-C41AAE28020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EC59B" w14:textId="1E15A51D" w:rsidR="0088340F" w:rsidRDefault="009B1A9E">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F05D3B">
      <w:rPr>
        <w:b/>
        <w:bCs/>
        <w:noProof/>
        <w:color w:val="000000"/>
      </w:rPr>
      <w:t>5</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F05D3B">
      <w:rPr>
        <w:b/>
        <w:bCs/>
        <w:noProof/>
        <w:color w:val="000000"/>
      </w:rPr>
      <w:t>43</w:t>
    </w:r>
    <w:r>
      <w:rPr>
        <w:b/>
        <w:bCs/>
        <w:color w:val="000000"/>
      </w:rPr>
      <w:fldChar w:fldCharType="end"/>
    </w:r>
  </w:p>
  <w:p w14:paraId="731FBD92" w14:textId="77777777" w:rsidR="0088340F" w:rsidRDefault="0088340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888CF" w14:textId="0A929415" w:rsidR="0088340F" w:rsidRDefault="009B1A9E">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F05D3B">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F05D3B">
      <w:rPr>
        <w:b/>
        <w:bCs/>
        <w:noProof/>
        <w:color w:val="000000"/>
      </w:rPr>
      <w:t>43</w:t>
    </w:r>
    <w:r>
      <w:rPr>
        <w:b/>
        <w:bCs/>
        <w:color w:val="000000"/>
      </w:rPr>
      <w:fldChar w:fldCharType="end"/>
    </w:r>
  </w:p>
  <w:p w14:paraId="24A551AE" w14:textId="77777777" w:rsidR="0088340F" w:rsidRDefault="0088340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87D7A" w14:textId="77777777" w:rsidR="006A7C1B" w:rsidRDefault="006A7C1B">
      <w:r>
        <w:separator/>
      </w:r>
    </w:p>
  </w:footnote>
  <w:footnote w:type="continuationSeparator" w:id="0">
    <w:p w14:paraId="5D7179E4" w14:textId="77777777" w:rsidR="006A7C1B" w:rsidRDefault="006A7C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3FA49" w14:textId="77777777" w:rsidR="0088340F" w:rsidRDefault="009B1A9E">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679EBAB" wp14:editId="0E52AA35">
          <wp:simplePos x="0" y="0"/>
          <wp:positionH relativeFrom="column">
            <wp:posOffset>0</wp:posOffset>
          </wp:positionH>
          <wp:positionV relativeFrom="paragraph">
            <wp:posOffset>-401952</wp:posOffset>
          </wp:positionV>
          <wp:extent cx="7809876" cy="10165823"/>
          <wp:effectExtent l="0" t="0" r="0" b="0"/>
          <wp:wrapNone/>
          <wp:docPr id="3064786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
      <w:tblW w:w="5603" w:type="dxa"/>
      <w:tblInd w:w="3611" w:type="dxa"/>
      <w:tblLayout w:type="fixed"/>
      <w:tblLook w:val="0400" w:firstRow="0" w:lastRow="0" w:firstColumn="0" w:lastColumn="0" w:noHBand="0" w:noVBand="1"/>
    </w:tblPr>
    <w:tblGrid>
      <w:gridCol w:w="2551"/>
      <w:gridCol w:w="3052"/>
    </w:tblGrid>
    <w:tr w:rsidR="0088340F" w14:paraId="58966E35" w14:textId="77777777">
      <w:tc>
        <w:tcPr>
          <w:tcW w:w="2551" w:type="dxa"/>
          <w:vAlign w:val="center"/>
        </w:tcPr>
        <w:p w14:paraId="3C958C66" w14:textId="77777777" w:rsidR="0088340F" w:rsidRDefault="009B1A9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503802A4" w14:textId="77777777" w:rsidR="0088340F" w:rsidRDefault="0088340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0FCA2266" w14:textId="77777777" w:rsidR="0088340F" w:rsidRDefault="009B1A9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11919/INFOEM/IP/RR/2025</w:t>
          </w:r>
        </w:p>
      </w:tc>
    </w:tr>
    <w:tr w:rsidR="0088340F" w14:paraId="49022C55" w14:textId="77777777">
      <w:trPr>
        <w:trHeight w:val="217"/>
      </w:trPr>
      <w:tc>
        <w:tcPr>
          <w:tcW w:w="2551" w:type="dxa"/>
          <w:vAlign w:val="center"/>
        </w:tcPr>
        <w:p w14:paraId="1E0EC837" w14:textId="77777777" w:rsidR="0088340F" w:rsidRDefault="009B1A9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38239B1B" w14:textId="77777777" w:rsidR="0088340F" w:rsidRDefault="009B1A9E">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sz w:val="22"/>
              <w:szCs w:val="22"/>
            </w:rPr>
            <w:t>Secretaría de Seguridad</w:t>
          </w:r>
        </w:p>
      </w:tc>
    </w:tr>
    <w:tr w:rsidR="0088340F" w14:paraId="3B152C7C" w14:textId="77777777">
      <w:tc>
        <w:tcPr>
          <w:tcW w:w="2551" w:type="dxa"/>
          <w:vAlign w:val="center"/>
        </w:tcPr>
        <w:p w14:paraId="736B8454" w14:textId="77777777" w:rsidR="0088340F" w:rsidRDefault="009B1A9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7EC08758" w14:textId="77777777" w:rsidR="0088340F" w:rsidRDefault="009B1A9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36587214" w14:textId="77777777" w:rsidR="0088340F" w:rsidRDefault="0088340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F1E10" w14:textId="77777777" w:rsidR="0088340F" w:rsidRDefault="009B1A9E">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145877BE" wp14:editId="20F66840">
          <wp:simplePos x="0" y="0"/>
          <wp:positionH relativeFrom="column">
            <wp:posOffset>-929003</wp:posOffset>
          </wp:positionH>
          <wp:positionV relativeFrom="paragraph">
            <wp:posOffset>-644523</wp:posOffset>
          </wp:positionV>
          <wp:extent cx="7809865" cy="10165715"/>
          <wp:effectExtent l="0" t="0" r="0" b="0"/>
          <wp:wrapNone/>
          <wp:docPr id="3064786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5603" w:type="dxa"/>
      <w:tblInd w:w="3611" w:type="dxa"/>
      <w:tblLayout w:type="fixed"/>
      <w:tblLook w:val="0400" w:firstRow="0" w:lastRow="0" w:firstColumn="0" w:lastColumn="0" w:noHBand="0" w:noVBand="1"/>
    </w:tblPr>
    <w:tblGrid>
      <w:gridCol w:w="2551"/>
      <w:gridCol w:w="3052"/>
    </w:tblGrid>
    <w:tr w:rsidR="0088340F" w14:paraId="4DD08F17" w14:textId="77777777">
      <w:tc>
        <w:tcPr>
          <w:tcW w:w="2551" w:type="dxa"/>
          <w:vAlign w:val="center"/>
        </w:tcPr>
        <w:p w14:paraId="68514771" w14:textId="77777777" w:rsidR="0088340F" w:rsidRDefault="009B1A9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112EAF2B" w14:textId="77777777" w:rsidR="0088340F" w:rsidRDefault="0088340F">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4702B46D" w14:textId="77777777" w:rsidR="0088340F" w:rsidRDefault="009B1A9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11919/INFOEM/IP/RR/2025 y acumulados</w:t>
          </w:r>
        </w:p>
      </w:tc>
    </w:tr>
    <w:tr w:rsidR="0088340F" w14:paraId="54757107" w14:textId="77777777">
      <w:tc>
        <w:tcPr>
          <w:tcW w:w="2551" w:type="dxa"/>
          <w:vAlign w:val="center"/>
        </w:tcPr>
        <w:p w14:paraId="550E48DC" w14:textId="77777777" w:rsidR="0088340F" w:rsidRDefault="009B1A9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052" w:type="dxa"/>
          <w:vAlign w:val="center"/>
        </w:tcPr>
        <w:p w14:paraId="200E0228" w14:textId="1D8C63D0" w:rsidR="0088340F" w:rsidRDefault="00F05D3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XXXX XXXXXX</w:t>
          </w:r>
          <w:r w:rsidR="009B1A9E">
            <w:rPr>
              <w:rFonts w:ascii="Palatino Linotype" w:eastAsia="Palatino Linotype" w:hAnsi="Palatino Linotype" w:cs="Palatino Linotype"/>
              <w:b/>
              <w:bCs/>
              <w:color w:val="000000"/>
              <w:sz w:val="20"/>
              <w:szCs w:val="20"/>
            </w:rPr>
            <w:t xml:space="preserve"> </w:t>
          </w:r>
        </w:p>
      </w:tc>
    </w:tr>
    <w:tr w:rsidR="0088340F" w14:paraId="3FFEA80E" w14:textId="77777777">
      <w:trPr>
        <w:trHeight w:val="152"/>
      </w:trPr>
      <w:tc>
        <w:tcPr>
          <w:tcW w:w="2551" w:type="dxa"/>
          <w:vAlign w:val="center"/>
        </w:tcPr>
        <w:p w14:paraId="387DF1BC" w14:textId="77777777" w:rsidR="0088340F" w:rsidRDefault="009B1A9E">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52AF8B1E" w14:textId="77777777" w:rsidR="0088340F" w:rsidRDefault="0088340F">
          <w:pP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3378E53A" w14:textId="77777777" w:rsidR="0088340F" w:rsidRDefault="009B1A9E">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sz w:val="22"/>
              <w:szCs w:val="22"/>
            </w:rPr>
            <w:t>Secretaría de Seguridad</w:t>
          </w:r>
        </w:p>
      </w:tc>
    </w:tr>
    <w:tr w:rsidR="0088340F" w14:paraId="7C00E96A" w14:textId="77777777">
      <w:tc>
        <w:tcPr>
          <w:tcW w:w="2551" w:type="dxa"/>
          <w:vAlign w:val="center"/>
        </w:tcPr>
        <w:p w14:paraId="2781ED97" w14:textId="77777777" w:rsidR="0088340F" w:rsidRDefault="009B1A9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052" w:type="dxa"/>
          <w:vAlign w:val="center"/>
        </w:tcPr>
        <w:p w14:paraId="3E847ECA" w14:textId="77777777" w:rsidR="0088340F" w:rsidRDefault="009B1A9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4A078623" w14:textId="77777777" w:rsidR="0088340F" w:rsidRDefault="009B1A9E">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A0420"/>
    <w:multiLevelType w:val="hybridMultilevel"/>
    <w:tmpl w:val="8AD6D4C0"/>
    <w:lvl w:ilvl="0" w:tplc="A9FCC350">
      <w:numFmt w:val="bullet"/>
      <w:lvlText w:val="-"/>
      <w:lvlJc w:val="left"/>
      <w:pPr>
        <w:ind w:left="720" w:hanging="360"/>
      </w:pPr>
      <w:rPr>
        <w:rFonts w:ascii="Palatino Linotype" w:eastAsia="Palatino Linotype" w:hAnsi="Palatino Linotype" w:cs="Palatino Linotype" w:hint="default"/>
        <w:b w:val="0"/>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6A649F"/>
    <w:multiLevelType w:val="multilevel"/>
    <w:tmpl w:val="CF64D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5468FF"/>
    <w:multiLevelType w:val="multilevel"/>
    <w:tmpl w:val="9BB8787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E33FE5"/>
    <w:multiLevelType w:val="multilevel"/>
    <w:tmpl w:val="E4A2CE0E"/>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40F"/>
    <w:rsid w:val="000B04EE"/>
    <w:rsid w:val="000E629D"/>
    <w:rsid w:val="00136136"/>
    <w:rsid w:val="00141403"/>
    <w:rsid w:val="002F3A9F"/>
    <w:rsid w:val="004E0370"/>
    <w:rsid w:val="004F66B1"/>
    <w:rsid w:val="006A7C1B"/>
    <w:rsid w:val="0088340F"/>
    <w:rsid w:val="009B1A9E"/>
    <w:rsid w:val="00B516E4"/>
    <w:rsid w:val="00CA66EB"/>
    <w:rsid w:val="00E96B90"/>
    <w:rsid w:val="00F05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57348"/>
  <w15:docId w15:val="{5D0A123B-F068-47B7-AC64-031C42D91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top w:w="15" w:type="dxa"/>
        <w:left w:w="115" w:type="dxa"/>
        <w:bottom w:w="15" w:type="dxa"/>
        <w:right w:w="115" w:type="dxa"/>
      </w:tblCellMar>
    </w:tblPr>
  </w:style>
  <w:style w:type="table" w:customStyle="1" w:styleId="afa">
    <w:basedOn w:val="TableNormal1"/>
    <w:tblPr>
      <w:tblStyleRowBandSize w:val="1"/>
      <w:tblStyleColBandSize w:val="1"/>
      <w:tblCellMar>
        <w:top w:w="15" w:type="dxa"/>
        <w:left w:w="115" w:type="dxa"/>
        <w:bottom w:w="15" w:type="dxa"/>
        <w:right w:w="115" w:type="dxa"/>
      </w:tblCellMar>
    </w:tblPr>
  </w:style>
  <w:style w:type="paragraph" w:customStyle="1" w:styleId="p1">
    <w:name w:val="p1"/>
    <w:basedOn w:val="Normal"/>
    <w:rsid w:val="00A155ED"/>
    <w:rPr>
      <w:rFonts w:ascii="Arial" w:hAnsi="Arial" w:cs="Arial"/>
      <w:color w:val="000000"/>
      <w:sz w:val="17"/>
      <w:szCs w:val="17"/>
      <w:lang w:val="es-ES"/>
    </w:rPr>
  </w:style>
  <w:style w:type="character" w:customStyle="1" w:styleId="s1">
    <w:name w:val="s1"/>
    <w:basedOn w:val="Fuentedeprrafopredeter"/>
    <w:rsid w:val="00A155ED"/>
    <w:rPr>
      <w:rFonts w:ascii="Arial" w:hAnsi="Arial" w:cs="Arial" w:hint="default"/>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15" w:type="dxa"/>
        <w:left w:w="115" w:type="dxa"/>
        <w:bottom w:w="15" w:type="dxa"/>
        <w:right w:w="115" w:type="dxa"/>
      </w:tblCellMar>
    </w:tblPr>
  </w:style>
  <w:style w:type="table" w:customStyle="1" w:styleId="aff0">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esgilacion.edomex.gob.mx/sites/legislacion.edomex.gob.mx/files/files/pdf/gct/2024/mayo/may281/may281c.pdf-" TargetMode="External"/><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1bofzcyQVzKeVcANiEoFW9/F2Q==">CgMxLjAyCWguM3pueXNoNzIOaC54eTJzZ3VzbmZucHMyDmgud3Q1dXZ4aDg3dHVjMg5oLnFqemxtZXN3YzA0ZTIOaC44Ymc0M2dvaHFvZjEyDmguajNwcHl4d2xiMXMyMghoLnR5amN3dDINaC5qbDBkbGFzb3Q0ZjgAciExa2hQc2NyYmxTc0FoYXppQTc4UVpQUkItWjl0ZG9QMTI=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11528</Words>
  <Characters>63410</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2025-11-27T18:47:00Z</cp:lastPrinted>
  <dcterms:created xsi:type="dcterms:W3CDTF">2025-12-15T03:09:00Z</dcterms:created>
  <dcterms:modified xsi:type="dcterms:W3CDTF">2025-12-15T03:09:00Z</dcterms:modified>
</cp:coreProperties>
</file>