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39BC" w:rsidRPr="00C05074" w:rsidRDefault="006A648A" w:rsidP="00C05074">
      <w:pPr>
        <w:tabs>
          <w:tab w:val="left" w:pos="3465"/>
        </w:tabs>
        <w:spacing w:before="240" w:after="360" w:line="360" w:lineRule="auto"/>
        <w:jc w:val="both"/>
        <w:rPr>
          <w:rFonts w:ascii="Palatino Linotype" w:eastAsia="Palatino Linotype" w:hAnsi="Palatino Linotype" w:cs="Palatino Linotype"/>
          <w:b/>
          <w:color w:val="000000" w:themeColor="text1"/>
        </w:rPr>
      </w:pPr>
      <w:bookmarkStart w:id="0" w:name="_GoBack"/>
      <w:bookmarkEnd w:id="0"/>
      <w:r w:rsidRPr="00C05074">
        <w:rPr>
          <w:rFonts w:ascii="Palatino Linotype" w:eastAsia="Palatino Linotype" w:hAnsi="Palatino Linotype" w:cs="Palatino Linotype"/>
          <w:color w:val="000000" w:themeColor="text1"/>
        </w:rPr>
        <w:t xml:space="preserve">Resolución del Pleno del Instituto de Transparencia, Acceso a la Información Pública y Protección de Datos Personales del Estado de México y Municipios, con domicilio en Metepec, Estado de México; </w:t>
      </w:r>
      <w:r w:rsidRPr="00C05074">
        <w:rPr>
          <w:rFonts w:ascii="Palatino Linotype" w:eastAsia="Palatino Linotype" w:hAnsi="Palatino Linotype" w:cs="Palatino Linotype"/>
          <w:b/>
          <w:color w:val="000000" w:themeColor="text1"/>
        </w:rPr>
        <w:t>de fecha</w:t>
      </w:r>
      <w:r w:rsidR="005E1FAA">
        <w:rPr>
          <w:rFonts w:ascii="Palatino Linotype" w:eastAsia="Palatino Linotype" w:hAnsi="Palatino Linotype" w:cs="Palatino Linotype"/>
          <w:color w:val="000000" w:themeColor="text1"/>
        </w:rPr>
        <w:t xml:space="preserve"> </w:t>
      </w:r>
      <w:r w:rsidR="009C2CE3">
        <w:rPr>
          <w:rFonts w:ascii="Palatino Linotype" w:eastAsia="Palatino Linotype" w:hAnsi="Palatino Linotype" w:cs="Palatino Linotype"/>
          <w:b/>
          <w:color w:val="000000" w:themeColor="text1"/>
        </w:rPr>
        <w:t>uno (01)</w:t>
      </w:r>
      <w:r w:rsidRPr="00C05074">
        <w:rPr>
          <w:rFonts w:ascii="Palatino Linotype" w:eastAsia="Palatino Linotype" w:hAnsi="Palatino Linotype" w:cs="Palatino Linotype"/>
          <w:b/>
          <w:color w:val="000000" w:themeColor="text1"/>
        </w:rPr>
        <w:t xml:space="preserve"> de octubre de dos mil veinticinco.</w:t>
      </w:r>
    </w:p>
    <w:p w:rsidR="00BA39BC" w:rsidRPr="00C05074" w:rsidRDefault="006A648A" w:rsidP="00C05074">
      <w:pPr>
        <w:tabs>
          <w:tab w:val="left" w:pos="3465"/>
        </w:tabs>
        <w:spacing w:before="240" w:after="360"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VISTO</w:t>
      </w:r>
      <w:r w:rsidRPr="00C05074">
        <w:rPr>
          <w:rFonts w:ascii="Palatino Linotype" w:eastAsia="Palatino Linotype" w:hAnsi="Palatino Linotype" w:cs="Palatino Linotype"/>
          <w:color w:val="000000" w:themeColor="text1"/>
        </w:rPr>
        <w:t xml:space="preserve"> el expediente electrónico formado con motivo del recurso de revisión </w:t>
      </w:r>
      <w:r w:rsidRPr="00C05074">
        <w:rPr>
          <w:rFonts w:ascii="Palatino Linotype" w:eastAsia="Palatino Linotype" w:hAnsi="Palatino Linotype" w:cs="Palatino Linotype"/>
          <w:b/>
          <w:color w:val="000000" w:themeColor="text1"/>
        </w:rPr>
        <w:t>08173/INFOEM/IP/RR/2025</w:t>
      </w:r>
      <w:r w:rsidRPr="00C05074">
        <w:rPr>
          <w:rFonts w:ascii="Palatino Linotype" w:eastAsia="Palatino Linotype" w:hAnsi="Palatino Linotype" w:cs="Palatino Linotype"/>
          <w:color w:val="000000" w:themeColor="text1"/>
        </w:rPr>
        <w:t xml:space="preserve">, interpuesto por </w:t>
      </w:r>
      <w:r w:rsidRPr="00C05074">
        <w:rPr>
          <w:rFonts w:ascii="Palatino Linotype" w:eastAsia="Palatino Linotype" w:hAnsi="Palatino Linotype" w:cs="Palatino Linotype"/>
          <w:b/>
          <w:color w:val="000000" w:themeColor="text1"/>
        </w:rPr>
        <w:t xml:space="preserve">una persona que no proporciona datos de identificación, </w:t>
      </w:r>
      <w:r w:rsidRPr="00C05074">
        <w:rPr>
          <w:rFonts w:ascii="Palatino Linotype" w:eastAsia="Palatino Linotype" w:hAnsi="Palatino Linotype" w:cs="Palatino Linotype"/>
          <w:color w:val="000000" w:themeColor="text1"/>
        </w:rPr>
        <w:t xml:space="preserve">en lo sucesivo </w:t>
      </w:r>
      <w:r w:rsidRPr="00C05074">
        <w:rPr>
          <w:rFonts w:ascii="Palatino Linotype" w:eastAsia="Palatino Linotype" w:hAnsi="Palatino Linotype" w:cs="Palatino Linotype"/>
          <w:b/>
          <w:color w:val="000000" w:themeColor="text1"/>
        </w:rPr>
        <w:t>EL RECURRENTE</w:t>
      </w:r>
      <w:r w:rsidR="009C2CE3">
        <w:rPr>
          <w:rFonts w:ascii="Palatino Linotype" w:eastAsia="Palatino Linotype" w:hAnsi="Palatino Linotype" w:cs="Palatino Linotype"/>
          <w:b/>
          <w:color w:val="000000" w:themeColor="text1"/>
        </w:rPr>
        <w:t>,</w:t>
      </w:r>
      <w:r w:rsidRPr="00C05074">
        <w:rPr>
          <w:rFonts w:ascii="Palatino Linotype" w:eastAsia="Palatino Linotype" w:hAnsi="Palatino Linotype" w:cs="Palatino Linotype"/>
          <w:color w:val="000000" w:themeColor="text1"/>
        </w:rPr>
        <w:t xml:space="preserve"> en contra del incumplimiento a</w:t>
      </w:r>
      <w:r w:rsid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color w:val="000000" w:themeColor="text1"/>
        </w:rPr>
        <w:t>l</w:t>
      </w:r>
      <w:r w:rsidR="00C05074">
        <w:rPr>
          <w:rFonts w:ascii="Palatino Linotype" w:eastAsia="Palatino Linotype" w:hAnsi="Palatino Linotype" w:cs="Palatino Linotype"/>
          <w:color w:val="000000" w:themeColor="text1"/>
        </w:rPr>
        <w:t>a</w:t>
      </w:r>
      <w:r w:rsidRPr="00C05074">
        <w:rPr>
          <w:rFonts w:ascii="Palatino Linotype" w:eastAsia="Palatino Linotype" w:hAnsi="Palatino Linotype" w:cs="Palatino Linotype"/>
          <w:color w:val="000000" w:themeColor="text1"/>
        </w:rPr>
        <w:t xml:space="preserve"> </w:t>
      </w:r>
      <w:r w:rsidR="00C05074">
        <w:rPr>
          <w:rFonts w:ascii="Palatino Linotype" w:eastAsia="Palatino Linotype" w:hAnsi="Palatino Linotype" w:cs="Palatino Linotype"/>
          <w:color w:val="000000" w:themeColor="text1"/>
        </w:rPr>
        <w:t xml:space="preserve">solicitud de información </w:t>
      </w:r>
      <w:r w:rsidR="00C05074" w:rsidRPr="00C05074">
        <w:rPr>
          <w:rFonts w:ascii="Palatino Linotype" w:eastAsia="Palatino Linotype" w:hAnsi="Palatino Linotype" w:cs="Palatino Linotype"/>
          <w:b/>
          <w:color w:val="000000" w:themeColor="text1"/>
        </w:rPr>
        <w:t>02782/TOLUCA/IP/2025</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 xml:space="preserve">del </w:t>
      </w:r>
      <w:r w:rsidRPr="009C2CE3">
        <w:rPr>
          <w:rFonts w:ascii="Palatino Linotype" w:eastAsia="Palatino Linotype" w:hAnsi="Palatino Linotype" w:cs="Palatino Linotype"/>
          <w:b/>
          <w:color w:val="000000" w:themeColor="text1"/>
        </w:rPr>
        <w:t>Ayuntamiento de Toluca</w:t>
      </w:r>
      <w:r w:rsidR="009C2CE3">
        <w:rPr>
          <w:rFonts w:ascii="Palatino Linotype" w:eastAsia="Palatino Linotype" w:hAnsi="Palatino Linotype" w:cs="Palatino Linotype"/>
          <w:color w:val="000000" w:themeColor="text1"/>
        </w:rPr>
        <w:t>, en adelante</w:t>
      </w:r>
      <w:r w:rsidRPr="00C05074">
        <w:rPr>
          <w:rFonts w:ascii="Palatino Linotype" w:eastAsia="Palatino Linotype" w:hAnsi="Palatino Linotype" w:cs="Palatino Linotype"/>
          <w:color w:val="000000" w:themeColor="text1"/>
        </w:rPr>
        <w:t xml:space="preserve"> el</w:t>
      </w:r>
      <w:r w:rsidRPr="00C05074">
        <w:rPr>
          <w:rFonts w:ascii="Palatino Linotype" w:eastAsia="Palatino Linotype" w:hAnsi="Palatino Linotype" w:cs="Palatino Linotype"/>
          <w:b/>
          <w:color w:val="000000" w:themeColor="text1"/>
        </w:rPr>
        <w:t xml:space="preserve"> SUJETO OBLIGADO</w:t>
      </w:r>
      <w:r w:rsidRPr="00C05074">
        <w:rPr>
          <w:rFonts w:ascii="Palatino Linotype" w:eastAsia="Palatino Linotype" w:hAnsi="Palatino Linotype" w:cs="Palatino Linotype"/>
          <w:color w:val="000000" w:themeColor="text1"/>
        </w:rPr>
        <w:t>,</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se procede a dictar la presente resolución, con base en los siguientes:</w:t>
      </w:r>
    </w:p>
    <w:p w:rsidR="00BA39BC" w:rsidRPr="00C05074" w:rsidRDefault="006A648A" w:rsidP="00C05074">
      <w:pPr>
        <w:keepNext/>
        <w:keepLines/>
        <w:spacing w:line="360" w:lineRule="auto"/>
        <w:jc w:val="center"/>
        <w:rPr>
          <w:rFonts w:ascii="Palatino Linotype" w:eastAsia="Palatino Linotype" w:hAnsi="Palatino Linotype" w:cs="Palatino Linotype"/>
          <w:b/>
          <w:color w:val="000000" w:themeColor="text1"/>
        </w:rPr>
      </w:pPr>
      <w:bookmarkStart w:id="1" w:name="_heading=h.hg1thu78ctb2" w:colFirst="0" w:colLast="0"/>
      <w:bookmarkEnd w:id="1"/>
      <w:r w:rsidRPr="00C05074">
        <w:rPr>
          <w:rFonts w:ascii="Palatino Linotype" w:eastAsia="Palatino Linotype" w:hAnsi="Palatino Linotype" w:cs="Palatino Linotype"/>
          <w:b/>
          <w:color w:val="000000" w:themeColor="text1"/>
        </w:rPr>
        <w:t>A</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N</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T</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E</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C</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E</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D</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E</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N</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T</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E</w:t>
      </w:r>
      <w:r w:rsidR="009C2CE3">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b/>
          <w:color w:val="000000" w:themeColor="text1"/>
        </w:rPr>
        <w:t>S</w:t>
      </w:r>
    </w:p>
    <w:p w:rsidR="00BA39BC" w:rsidRPr="00C05074" w:rsidRDefault="00BA39BC" w:rsidP="00C05074">
      <w:pPr>
        <w:tabs>
          <w:tab w:val="left" w:pos="426"/>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El </w:t>
      </w:r>
      <w:r w:rsidRPr="00C05074">
        <w:rPr>
          <w:rFonts w:ascii="Palatino Linotype" w:eastAsia="Palatino Linotype" w:hAnsi="Palatino Linotype" w:cs="Palatino Linotype"/>
          <w:b/>
          <w:color w:val="000000" w:themeColor="text1"/>
        </w:rPr>
        <w:t>trece de mayo de dos mil veinticinco</w:t>
      </w:r>
      <w:r w:rsidRPr="00C05074">
        <w:rPr>
          <w:rFonts w:ascii="Palatino Linotype" w:eastAsia="Palatino Linotype" w:hAnsi="Palatino Linotype" w:cs="Palatino Linotype"/>
          <w:color w:val="000000" w:themeColor="text1"/>
        </w:rPr>
        <w:t>, el particular presentó</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 xml:space="preserve">a través del Sistema de Acceso a la Información Mexiquense (SAIMEX), la solicitud de información pública registrada con el número </w:t>
      </w:r>
      <w:r w:rsidRPr="00C05074">
        <w:rPr>
          <w:rFonts w:ascii="Palatino Linotype" w:eastAsia="Palatino Linotype" w:hAnsi="Palatino Linotype" w:cs="Palatino Linotype"/>
          <w:b/>
          <w:color w:val="000000" w:themeColor="text1"/>
        </w:rPr>
        <w:t>02782/TOLUCA/IP/2025,</w:t>
      </w:r>
      <w:r w:rsidRPr="00C05074">
        <w:rPr>
          <w:rFonts w:ascii="Palatino Linotype" w:eastAsia="Palatino Linotype" w:hAnsi="Palatino Linotype" w:cs="Palatino Linotype"/>
          <w:color w:val="000000" w:themeColor="text1"/>
        </w:rPr>
        <w:t xml:space="preserve"> </w:t>
      </w:r>
      <w:r w:rsidR="009C2CE3">
        <w:rPr>
          <w:rFonts w:ascii="Palatino Linotype" w:eastAsia="Palatino Linotype" w:hAnsi="Palatino Linotype" w:cs="Palatino Linotype"/>
          <w:color w:val="000000" w:themeColor="text1"/>
        </w:rPr>
        <w:t xml:space="preserve">en la </w:t>
      </w:r>
      <w:r w:rsidRPr="00C05074">
        <w:rPr>
          <w:rFonts w:ascii="Palatino Linotype" w:eastAsia="Palatino Linotype" w:hAnsi="Palatino Linotype" w:cs="Palatino Linotype"/>
          <w:color w:val="000000" w:themeColor="text1"/>
        </w:rPr>
        <w:t>que requirió lo siguiente:</w:t>
      </w:r>
    </w:p>
    <w:p w:rsidR="00BA39BC" w:rsidRPr="00C05074" w:rsidRDefault="00BA39BC" w:rsidP="00C05074">
      <w:pPr>
        <w:spacing w:line="276" w:lineRule="auto"/>
        <w:jc w:val="both"/>
        <w:rPr>
          <w:rFonts w:ascii="Palatino Linotype" w:eastAsia="Palatino Linotype" w:hAnsi="Palatino Linotype" w:cs="Palatino Linotype"/>
          <w:i/>
          <w:color w:val="000000" w:themeColor="text1"/>
        </w:rPr>
      </w:pP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 “Se solicita las actas de cabil, los citatorios versión escenografía, audio y video,listas de asistencia, justificante de los integrantes que no asistieron, fotografías de las sesiones del mes de mayo 2025.” (Sic).</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1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Modalidad de entrega</w:t>
      </w:r>
      <w:r w:rsidRPr="00C05074">
        <w:rPr>
          <w:rFonts w:ascii="Palatino Linotype" w:eastAsia="Palatino Linotype" w:hAnsi="Palatino Linotype" w:cs="Palatino Linotype"/>
          <w:color w:val="000000" w:themeColor="text1"/>
        </w:rPr>
        <w:t>: Vía SAIMEX.</w:t>
      </w:r>
    </w:p>
    <w:p w:rsidR="00BA39BC" w:rsidRPr="00C05074" w:rsidRDefault="00BA39BC" w:rsidP="00C05074">
      <w:pPr>
        <w:tabs>
          <w:tab w:val="left" w:pos="426"/>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De las constancias que integran el expediente electrónico se observa que en fecha </w:t>
      </w:r>
      <w:r w:rsidRPr="00C05074">
        <w:rPr>
          <w:rFonts w:ascii="Palatino Linotype" w:eastAsia="Palatino Linotype" w:hAnsi="Palatino Linotype" w:cs="Palatino Linotype"/>
          <w:b/>
          <w:color w:val="000000" w:themeColor="text1"/>
        </w:rPr>
        <w:t>doce de junio de dos mil veinticinco</w:t>
      </w:r>
      <w:r w:rsidRPr="00C05074">
        <w:rPr>
          <w:rFonts w:ascii="Palatino Linotype" w:eastAsia="Palatino Linotype" w:hAnsi="Palatino Linotype" w:cs="Palatino Linotype"/>
          <w:color w:val="000000" w:themeColor="text1"/>
        </w:rPr>
        <w:t xml:space="preserve"> el </w:t>
      </w:r>
      <w:r w:rsidRPr="00C05074">
        <w:rPr>
          <w:rFonts w:ascii="Palatino Linotype" w:eastAsia="Palatino Linotype" w:hAnsi="Palatino Linotype" w:cs="Palatino Linotype"/>
          <w:b/>
          <w:color w:val="000000" w:themeColor="text1"/>
        </w:rPr>
        <w:t xml:space="preserve">SUJETO OBLIGADO </w:t>
      </w:r>
      <w:r w:rsidRPr="00C05074">
        <w:rPr>
          <w:rFonts w:ascii="Palatino Linotype" w:eastAsia="Palatino Linotype" w:hAnsi="Palatino Linotype" w:cs="Palatino Linotype"/>
          <w:color w:val="000000" w:themeColor="text1"/>
        </w:rPr>
        <w:t xml:space="preserve"> dio respuesta a la solicitud de </w:t>
      </w:r>
      <w:r w:rsidRPr="00C05074">
        <w:rPr>
          <w:rFonts w:ascii="Palatino Linotype" w:eastAsia="Palatino Linotype" w:hAnsi="Palatino Linotype" w:cs="Palatino Linotype"/>
          <w:color w:val="000000" w:themeColor="text1"/>
        </w:rPr>
        <w:lastRenderedPageBreak/>
        <w:t xml:space="preserve">información </w:t>
      </w:r>
      <w:r w:rsidRPr="00C05074">
        <w:rPr>
          <w:rFonts w:ascii="Palatino Linotype" w:eastAsia="Palatino Linotype" w:hAnsi="Palatino Linotype" w:cs="Palatino Linotype"/>
          <w:b/>
          <w:color w:val="000000" w:themeColor="text1"/>
        </w:rPr>
        <w:t>02782/TOLUCA/IP/2025</w:t>
      </w:r>
      <w:r w:rsidRPr="00C05074">
        <w:rPr>
          <w:rFonts w:ascii="Palatino Linotype" w:eastAsia="Palatino Linotype" w:hAnsi="Palatino Linotype" w:cs="Palatino Linotype"/>
          <w:color w:val="000000" w:themeColor="text1"/>
        </w:rPr>
        <w:t xml:space="preserve">  mediante tres archivos electrónicos en que a</w:t>
      </w:r>
      <w:r w:rsidRPr="00C05074">
        <w:rPr>
          <w:rFonts w:ascii="Palatino Linotype" w:eastAsia="Palatino Linotype" w:hAnsi="Palatino Linotype" w:cs="Palatino Linotype"/>
          <w:i/>
          <w:color w:val="000000" w:themeColor="text1"/>
        </w:rPr>
        <w:t xml:space="preserve"> grosso modo </w:t>
      </w:r>
      <w:r w:rsidRPr="00C05074">
        <w:rPr>
          <w:rFonts w:ascii="Palatino Linotype" w:eastAsia="Palatino Linotype" w:hAnsi="Palatino Linotype" w:cs="Palatino Linotype"/>
          <w:color w:val="000000" w:themeColor="text1"/>
        </w:rPr>
        <w:t>se manifiesta lo siguiente:</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tbl>
      <w:tblPr>
        <w:tblStyle w:val="a3"/>
        <w:tblW w:w="949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64"/>
        <w:gridCol w:w="5529"/>
      </w:tblGrid>
      <w:tr w:rsidR="00C05074" w:rsidRPr="00C05074" w:rsidTr="009C2CE3">
        <w:trPr>
          <w:trHeight w:val="378"/>
        </w:trPr>
        <w:tc>
          <w:tcPr>
            <w:tcW w:w="3964" w:type="dxa"/>
            <w:shd w:val="clear" w:color="auto" w:fill="E7E6E6"/>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bookmarkStart w:id="2" w:name="_heading=h.i0bf5qm3syie" w:colFirst="0" w:colLast="0"/>
            <w:bookmarkEnd w:id="2"/>
            <w:r w:rsidRPr="00C05074">
              <w:rPr>
                <w:rFonts w:ascii="Palatino Linotype" w:eastAsia="Palatino Linotype" w:hAnsi="Palatino Linotype" w:cs="Palatino Linotype"/>
                <w:b/>
                <w:color w:val="000000" w:themeColor="text1"/>
              </w:rPr>
              <w:t>ARCHIVO</w:t>
            </w:r>
          </w:p>
        </w:tc>
        <w:tc>
          <w:tcPr>
            <w:tcW w:w="5529" w:type="dxa"/>
            <w:shd w:val="clear" w:color="auto" w:fill="E7E6E6"/>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CONTENIDO</w:t>
            </w:r>
          </w:p>
        </w:tc>
      </w:tr>
      <w:tr w:rsidR="00C05074" w:rsidRPr="00C05074" w:rsidTr="009C2CE3">
        <w:tc>
          <w:tcPr>
            <w:tcW w:w="3964" w:type="dxa"/>
            <w:vAlign w:val="center"/>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SA anexo SAIMEX 2782.pdf</w:t>
            </w:r>
          </w:p>
        </w:tc>
        <w:tc>
          <w:tcPr>
            <w:tcW w:w="5529" w:type="dxa"/>
            <w:vAlign w:val="center"/>
          </w:tcPr>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Secretaría del Ayuntamiento informa que entrega actas de cabildo y citatorios en SA  anexo SAIMEX 2782-1 Y 2.</w:t>
            </w: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Con respecto a las Listas de asistencia señala que esta información la puede consultar en cada una de las Actas de las Sesiones de Cabildo del Ayuntamiento de Toluca, Estado de México.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Con respecto al Justificante de los asistentes que no asistieron no se cuenta con información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Por lo que respecta a la versión “escenografía”, audio y video, se hace del conocimiento que de acuerdo a lo establecido en el artículo 30 de la Ley Orgánica Municipal del Estado de México, se deberá contar con una versión estenográfica o videograbada; En este tenor sé informa que se cuenta con la versión videograbada de las Sesiones de Cabildo del Ayuntamiento de Toluca, Administración 2025-2027, mismas que se adjuntan con la fotografía correspondiente.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Finalmente entrega link de la Décimo Sexta Sesión Ordinaria de Cabildo del Ayuntamiento de Toluca 2025 -2027 de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Fecha 09 de mayo de 2025</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 </w:t>
            </w:r>
            <w:hyperlink r:id="rId8">
              <w:r w:rsidRPr="00C05074">
                <w:rPr>
                  <w:rFonts w:ascii="Palatino Linotype" w:eastAsia="Palatino Linotype" w:hAnsi="Palatino Linotype" w:cs="Palatino Linotype"/>
                  <w:i/>
                  <w:color w:val="000000" w:themeColor="text1"/>
                  <w:u w:val="single"/>
                </w:rPr>
                <w:t>https://www.youtube.com/watch?v=-a-GNbZ_e9A</w:t>
              </w:r>
            </w:hyperlink>
            <w:r w:rsidRPr="00C05074">
              <w:rPr>
                <w:rFonts w:ascii="Palatino Linotype" w:eastAsia="Palatino Linotype" w:hAnsi="Palatino Linotype" w:cs="Palatino Linotype"/>
                <w:i/>
                <w:color w:val="000000" w:themeColor="text1"/>
              </w:rPr>
              <w:t xml:space="preserve"> </w:t>
            </w:r>
          </w:p>
          <w:p w:rsidR="00BA39BC" w:rsidRPr="00C05074" w:rsidRDefault="00BA39BC" w:rsidP="00C05074">
            <w:pPr>
              <w:tabs>
                <w:tab w:val="left" w:pos="426"/>
              </w:tabs>
              <w:jc w:val="both"/>
              <w:rPr>
                <w:rFonts w:ascii="Palatino Linotype" w:eastAsia="Palatino Linotype" w:hAnsi="Palatino Linotype" w:cs="Palatino Linotype"/>
                <w:color w:val="000000" w:themeColor="text1"/>
              </w:rPr>
            </w:pPr>
          </w:p>
        </w:tc>
      </w:tr>
      <w:tr w:rsidR="00C05074" w:rsidRPr="00C05074" w:rsidTr="009C2CE3">
        <w:tc>
          <w:tcPr>
            <w:tcW w:w="3964" w:type="dxa"/>
            <w:vAlign w:val="center"/>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SA anexo SAIMEX 2782-1.pdf</w:t>
            </w:r>
          </w:p>
        </w:tc>
        <w:tc>
          <w:tcPr>
            <w:tcW w:w="5529" w:type="dxa"/>
            <w:vAlign w:val="center"/>
          </w:tcPr>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Presenta Versión Pública de la décima sexta sesión ordinaria de Cabildo de fecha nueve de mayo de dos mil veinticinco.</w:t>
            </w:r>
          </w:p>
        </w:tc>
      </w:tr>
      <w:tr w:rsidR="00C05074" w:rsidRPr="00C05074" w:rsidTr="009C2CE3">
        <w:tc>
          <w:tcPr>
            <w:tcW w:w="3964" w:type="dxa"/>
            <w:vAlign w:val="center"/>
          </w:tcPr>
          <w:p w:rsidR="00BA39BC" w:rsidRPr="00C05074" w:rsidRDefault="006A648A" w:rsidP="00C05074">
            <w:pPr>
              <w:tabs>
                <w:tab w:val="left" w:pos="426"/>
              </w:tabs>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ACTA SEPTINGÉSIMA SEGUNDA SESIÓN EXTRAORDINARIA 2025.pdf</w:t>
            </w:r>
          </w:p>
        </w:tc>
        <w:tc>
          <w:tcPr>
            <w:tcW w:w="5529" w:type="dxa"/>
            <w:vAlign w:val="center"/>
          </w:tcPr>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Donde presenta Acuerdo del Comité de Transparencia donde se clasifica parcialmente nombre, domicilio y clave catastral dentro de las actas de Cabildo del uno al catorce de mayo de la presente anualidad.</w:t>
            </w:r>
          </w:p>
        </w:tc>
      </w:tr>
    </w:tbl>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 xml:space="preserve">Derivado de la respuesta, el </w:t>
      </w:r>
      <w:r w:rsidRPr="00C05074">
        <w:rPr>
          <w:rFonts w:ascii="Palatino Linotype" w:eastAsia="Palatino Linotype" w:hAnsi="Palatino Linotype" w:cs="Palatino Linotype"/>
          <w:b/>
          <w:color w:val="000000" w:themeColor="text1"/>
        </w:rPr>
        <w:t>tres de julio de dos mil veinticinco,</w:t>
      </w:r>
      <w:r w:rsidRPr="00C05074">
        <w:rPr>
          <w:rFonts w:ascii="Palatino Linotype" w:eastAsia="Palatino Linotype" w:hAnsi="Palatino Linotype" w:cs="Palatino Linotype"/>
          <w:color w:val="000000" w:themeColor="text1"/>
        </w:rPr>
        <w:t xml:space="preserve"> el particular interpuso el recurso de revisión registrado bajo el número de expediente </w:t>
      </w:r>
      <w:r w:rsidRPr="00C05074">
        <w:rPr>
          <w:rFonts w:ascii="Palatino Linotype" w:eastAsia="Palatino Linotype" w:hAnsi="Palatino Linotype" w:cs="Palatino Linotype"/>
          <w:b/>
          <w:color w:val="000000" w:themeColor="text1"/>
        </w:rPr>
        <w:t>08173/INFOEM/IP/RR/2025</w:t>
      </w:r>
      <w:r w:rsidRPr="00C05074">
        <w:rPr>
          <w:rFonts w:ascii="Palatino Linotype" w:eastAsia="Palatino Linotype" w:hAnsi="Palatino Linotype" w:cs="Palatino Linotype"/>
          <w:color w:val="000000" w:themeColor="text1"/>
        </w:rPr>
        <w:t>; impugnación en la que refirió lo siguiente:</w:t>
      </w:r>
    </w:p>
    <w:p w:rsidR="00BA39BC" w:rsidRPr="00C05074" w:rsidRDefault="00BA39BC" w:rsidP="00C05074">
      <w:pPr>
        <w:tabs>
          <w:tab w:val="left" w:pos="426"/>
        </w:tabs>
        <w:spacing w:line="360" w:lineRule="auto"/>
        <w:jc w:val="both"/>
        <w:rPr>
          <w:rFonts w:ascii="Palatino Linotype" w:eastAsia="Palatino Linotype" w:hAnsi="Palatino Linotype" w:cs="Palatino Linotype"/>
          <w:color w:val="000000" w:themeColor="text1"/>
        </w:rPr>
      </w:pPr>
    </w:p>
    <w:p w:rsidR="00BA39BC" w:rsidRPr="009C2CE3" w:rsidRDefault="006A648A" w:rsidP="009C2CE3">
      <w:pPr>
        <w:pStyle w:val="Prrafodelista"/>
        <w:numPr>
          <w:ilvl w:val="0"/>
          <w:numId w:val="15"/>
        </w:numPr>
        <w:jc w:val="both"/>
        <w:rPr>
          <w:rFonts w:ascii="Palatino Linotype" w:eastAsia="Palatino Linotype" w:hAnsi="Palatino Linotype" w:cs="Palatino Linotype"/>
          <w:b/>
          <w:color w:val="000000" w:themeColor="text1"/>
        </w:rPr>
      </w:pPr>
      <w:r w:rsidRPr="009C2CE3">
        <w:rPr>
          <w:rFonts w:ascii="Palatino Linotype" w:eastAsia="Palatino Linotype" w:hAnsi="Palatino Linotype" w:cs="Palatino Linotype"/>
          <w:b/>
          <w:color w:val="000000" w:themeColor="text1"/>
        </w:rPr>
        <w:t>Acto impugnado:</w:t>
      </w:r>
    </w:p>
    <w:p w:rsidR="00BA39BC" w:rsidRPr="00C05074" w:rsidRDefault="006A648A" w:rsidP="009C2CE3">
      <w:pPr>
        <w:ind w:left="36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w:t>
      </w:r>
      <w:r w:rsidRPr="00C05074">
        <w:rPr>
          <w:rFonts w:ascii="Palatino Linotype" w:eastAsia="Verdana" w:hAnsi="Palatino Linotype" w:cs="Verdana"/>
          <w:color w:val="000000" w:themeColor="text1"/>
        </w:rPr>
        <w:t xml:space="preserve"> </w:t>
      </w:r>
      <w:r w:rsidRPr="00C05074">
        <w:rPr>
          <w:rFonts w:ascii="Palatino Linotype" w:eastAsia="Palatino Linotype" w:hAnsi="Palatino Linotype" w:cs="Palatino Linotype"/>
          <w:i/>
          <w:color w:val="000000" w:themeColor="text1"/>
        </w:rPr>
        <w:t>una prroroga fuera del plzo y para nada ya dejen de ser opacos e inutiles y entreguen la ifnromación que es publica no la oculten sino saben en la undiad de transaprencia no conteste mejor eviten penas de no saber”</w:t>
      </w:r>
      <w:r w:rsidRPr="00C05074">
        <w:rPr>
          <w:rFonts w:ascii="Palatino Linotype" w:eastAsia="Palatino Linotype" w:hAnsi="Palatino Linotype" w:cs="Palatino Linotype"/>
          <w:color w:val="000000" w:themeColor="text1"/>
        </w:rPr>
        <w:t xml:space="preserve"> (Sic).</w:t>
      </w:r>
    </w:p>
    <w:p w:rsidR="00BA39BC" w:rsidRPr="00C05074" w:rsidRDefault="00BA39BC" w:rsidP="00C05074">
      <w:pPr>
        <w:tabs>
          <w:tab w:val="left" w:pos="851"/>
        </w:tabs>
        <w:spacing w:line="276" w:lineRule="auto"/>
        <w:jc w:val="both"/>
        <w:rPr>
          <w:rFonts w:ascii="Palatino Linotype" w:eastAsia="Palatino Linotype" w:hAnsi="Palatino Linotype" w:cs="Palatino Linotype"/>
          <w:color w:val="000000" w:themeColor="text1"/>
        </w:rPr>
      </w:pPr>
    </w:p>
    <w:p w:rsidR="00BA39BC" w:rsidRPr="009C2CE3" w:rsidRDefault="006A648A" w:rsidP="009C2CE3">
      <w:pPr>
        <w:pStyle w:val="Prrafodelista"/>
        <w:numPr>
          <w:ilvl w:val="0"/>
          <w:numId w:val="15"/>
        </w:numPr>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b/>
          <w:color w:val="000000" w:themeColor="text1"/>
        </w:rPr>
        <w:t>Razones o motivos de inconformidad:</w:t>
      </w:r>
      <w:r w:rsidRPr="009C2CE3">
        <w:rPr>
          <w:rFonts w:ascii="Palatino Linotype" w:eastAsia="Palatino Linotype" w:hAnsi="Palatino Linotype" w:cs="Palatino Linotype"/>
          <w:color w:val="000000" w:themeColor="text1"/>
        </w:rPr>
        <w:t xml:space="preserve"> </w:t>
      </w:r>
      <w:r w:rsidRPr="009C2CE3">
        <w:rPr>
          <w:rFonts w:ascii="Palatino Linotype" w:eastAsia="Palatino Linotype" w:hAnsi="Palatino Linotype" w:cs="Palatino Linotype"/>
          <w:i/>
          <w:color w:val="000000" w:themeColor="text1"/>
        </w:rPr>
        <w:t>“</w:t>
      </w:r>
      <w:r w:rsidR="00305506" w:rsidRPr="009C2CE3">
        <w:rPr>
          <w:rFonts w:ascii="Palatino Linotype" w:hAnsi="Palatino Linotype"/>
          <w:i/>
          <w:color w:val="000000" w:themeColor="text1"/>
        </w:rPr>
        <w:t>no entrega la ifnormación pública atiendan mi saimex y entreguen la información</w:t>
      </w:r>
      <w:r w:rsidRPr="009C2CE3">
        <w:rPr>
          <w:rFonts w:ascii="Palatino Linotype" w:eastAsia="Palatino Linotype" w:hAnsi="Palatino Linotype" w:cs="Palatino Linotype"/>
          <w:i/>
          <w:color w:val="000000" w:themeColor="text1"/>
        </w:rPr>
        <w:t>”</w:t>
      </w:r>
      <w:r w:rsidRPr="009C2CE3">
        <w:rPr>
          <w:rFonts w:ascii="Palatino Linotype" w:eastAsia="Palatino Linotype" w:hAnsi="Palatino Linotype" w:cs="Palatino Linotype"/>
          <w:color w:val="000000" w:themeColor="text1"/>
        </w:rPr>
        <w:t xml:space="preserve"> (Sic).</w:t>
      </w:r>
    </w:p>
    <w:p w:rsidR="00BA39BC" w:rsidRPr="00C05074" w:rsidRDefault="00BA39BC" w:rsidP="00C05074">
      <w:pPr>
        <w:tabs>
          <w:tab w:val="left" w:pos="426"/>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Asimismo, con fundamento en lo dispuesto por el artículo 185, fracción I, de la Ley de Transparencia y Acceso a la Información Pública del Estado de México y Municipios se turnó a la </w:t>
      </w:r>
      <w:r w:rsidRPr="00C05074">
        <w:rPr>
          <w:rFonts w:ascii="Palatino Linotype" w:eastAsia="Palatino Linotype" w:hAnsi="Palatino Linotype" w:cs="Palatino Linotype"/>
          <w:b/>
          <w:color w:val="000000" w:themeColor="text1"/>
        </w:rPr>
        <w:t>Comisionada María del Rosario Mejía Ayala</w:t>
      </w:r>
      <w:r w:rsidRPr="00C05074">
        <w:rPr>
          <w:rFonts w:ascii="Palatino Linotype" w:eastAsia="Palatino Linotype" w:hAnsi="Palatino Linotype" w:cs="Palatino Linotype"/>
          <w:color w:val="000000" w:themeColor="text1"/>
        </w:rPr>
        <w:t xml:space="preserve">, </w:t>
      </w:r>
      <w:r w:rsidR="009C2CE3">
        <w:rPr>
          <w:rFonts w:ascii="Palatino Linotype" w:eastAsia="Palatino Linotype" w:hAnsi="Palatino Linotype" w:cs="Palatino Linotype"/>
          <w:color w:val="000000" w:themeColor="text1"/>
        </w:rPr>
        <w:t>para</w:t>
      </w:r>
      <w:r w:rsidRPr="00C05074">
        <w:rPr>
          <w:rFonts w:ascii="Palatino Linotype" w:eastAsia="Palatino Linotype" w:hAnsi="Palatino Linotype" w:cs="Palatino Linotype"/>
          <w:color w:val="000000" w:themeColor="text1"/>
        </w:rPr>
        <w:t xml:space="preserve"> su análisis.</w:t>
      </w:r>
    </w:p>
    <w:p w:rsidR="00BA39BC" w:rsidRPr="00C05074" w:rsidRDefault="00BA39BC" w:rsidP="00C05074">
      <w:pPr>
        <w:tabs>
          <w:tab w:val="left" w:pos="284"/>
          <w:tab w:val="left" w:pos="426"/>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bookmarkStart w:id="3" w:name="_heading=h.e34wb1l7lces" w:colFirst="0" w:colLast="0"/>
      <w:bookmarkEnd w:id="3"/>
      <w:r w:rsidRPr="00C05074">
        <w:rPr>
          <w:rFonts w:ascii="Palatino Linotype" w:eastAsia="Palatino Linotype" w:hAnsi="Palatino Linotype" w:cs="Palatino Linotype"/>
          <w:color w:val="000000" w:themeColor="text1"/>
        </w:rPr>
        <w:t xml:space="preserve">La Comisionada Ponente, con fundamento en lo dispuesto por el artículo 185, fracción II, de la ley de la materia, a través del acuerdo de admisión de </w:t>
      </w:r>
      <w:r w:rsidRPr="00C05074">
        <w:rPr>
          <w:rFonts w:ascii="Palatino Linotype" w:eastAsia="Palatino Linotype" w:hAnsi="Palatino Linotype" w:cs="Palatino Linotype"/>
          <w:b/>
          <w:color w:val="000000" w:themeColor="text1"/>
        </w:rPr>
        <w:t>siete de julio de dos mil veinticinco</w:t>
      </w:r>
      <w:r w:rsidRPr="00C05074">
        <w:rPr>
          <w:rFonts w:ascii="Palatino Linotype" w:eastAsia="Palatino Linotype" w:hAnsi="Palatino Linotype" w:cs="Palatino Linotype"/>
          <w:color w:val="000000" w:themeColor="text1"/>
        </w:rPr>
        <w:t xml:space="preserve">, puso a disposición de las partes el expediente electrónico vía SAIMEX, a efecto de que en un plazo máximo de siete días manifestaran lo que a derecho conviniera, ofrecieran pruebas y alegatos según corresponda a los casos concretos, de esta forma para que el </w:t>
      </w:r>
      <w:r w:rsidRPr="00C05074">
        <w:rPr>
          <w:rFonts w:ascii="Palatino Linotype" w:eastAsia="Palatino Linotype" w:hAnsi="Palatino Linotype" w:cs="Palatino Linotype"/>
          <w:b/>
          <w:color w:val="000000" w:themeColor="text1"/>
        </w:rPr>
        <w:t>SUJETO OBLIGADO</w:t>
      </w:r>
      <w:r w:rsidRPr="00C05074">
        <w:rPr>
          <w:rFonts w:ascii="Palatino Linotype" w:eastAsia="Palatino Linotype" w:hAnsi="Palatino Linotype" w:cs="Palatino Linotype"/>
          <w:color w:val="000000" w:themeColor="text1"/>
        </w:rPr>
        <w:t xml:space="preserve"> presentara su informe justificado procedente.</w:t>
      </w:r>
    </w:p>
    <w:p w:rsidR="00BA39BC" w:rsidRPr="00C05074" w:rsidRDefault="00BA39BC" w:rsidP="00C05074">
      <w:pPr>
        <w:tabs>
          <w:tab w:val="left" w:pos="426"/>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De las constancias que obran en el expediente digital del recurso de revisión que hoy se resuelve, se aprecia que el </w:t>
      </w:r>
      <w:r w:rsidRPr="00C05074">
        <w:rPr>
          <w:rFonts w:ascii="Palatino Linotype" w:eastAsia="Palatino Linotype" w:hAnsi="Palatino Linotype" w:cs="Palatino Linotype"/>
          <w:b/>
          <w:color w:val="000000" w:themeColor="text1"/>
        </w:rPr>
        <w:t>SUJETO OBLIGADO</w:t>
      </w:r>
      <w:r w:rsidRPr="00C05074">
        <w:rPr>
          <w:rFonts w:ascii="Palatino Linotype" w:eastAsia="Palatino Linotype" w:hAnsi="Palatino Linotype" w:cs="Palatino Linotype"/>
          <w:color w:val="000000" w:themeColor="text1"/>
        </w:rPr>
        <w:t xml:space="preserve">  presentó en fechas dieciséis de julio  de dos mil veinticinco un archivo que medularmente contiene lo siguiente: </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tabs>
          <w:tab w:val="left" w:pos="426"/>
        </w:tabs>
        <w:spacing w:line="360"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color w:val="000000" w:themeColor="text1"/>
        </w:rPr>
        <w:lastRenderedPageBreak/>
        <w:t>2. Ratificación RR-8173-2025.pdf:</w:t>
      </w:r>
      <w:r w:rsidRP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i/>
          <w:color w:val="000000" w:themeColor="text1"/>
        </w:rPr>
        <w:t xml:space="preserve">Donde Titular de la Unidad de Transparencia esencialmente ratifica respuesta. </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1"/>
        </w:numPr>
        <w:tabs>
          <w:tab w:val="left" w:pos="426"/>
        </w:tabs>
        <w:spacing w:line="360"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color w:val="000000" w:themeColor="text1"/>
        </w:rPr>
        <w:t xml:space="preserve">Por su parte </w:t>
      </w:r>
      <w:r w:rsidRPr="00C05074">
        <w:rPr>
          <w:rFonts w:ascii="Palatino Linotype" w:eastAsia="Palatino Linotype" w:hAnsi="Palatino Linotype" w:cs="Palatino Linotype"/>
          <w:b/>
          <w:color w:val="000000" w:themeColor="text1"/>
        </w:rPr>
        <w:t>EL</w:t>
      </w:r>
      <w:r w:rsidRP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b/>
          <w:color w:val="000000" w:themeColor="text1"/>
        </w:rPr>
        <w:t xml:space="preserve">RECURRENTE </w:t>
      </w:r>
      <w:r w:rsidRPr="00C05074">
        <w:rPr>
          <w:rFonts w:ascii="Palatino Linotype" w:eastAsia="Palatino Linotype" w:hAnsi="Palatino Linotype" w:cs="Palatino Linotype"/>
          <w:color w:val="000000" w:themeColor="text1"/>
        </w:rPr>
        <w:t>dejó de realizar manifestaciones que a su derecho convinieran y asistieran.</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color w:val="000000" w:themeColor="text1"/>
        </w:rPr>
        <w:t xml:space="preserve">En </w:t>
      </w:r>
      <w:r w:rsidRPr="00C05074">
        <w:rPr>
          <w:rFonts w:ascii="Palatino Linotype" w:eastAsia="Palatino Linotype" w:hAnsi="Palatino Linotype" w:cs="Palatino Linotype"/>
          <w:b/>
          <w:color w:val="000000" w:themeColor="text1"/>
        </w:rPr>
        <w:t>fecha cuatro de septiembre de dos mil veinticinco</w:t>
      </w:r>
      <w:r w:rsidRPr="00C05074">
        <w:rPr>
          <w:rFonts w:ascii="Palatino Linotype" w:eastAsia="Palatino Linotype" w:hAnsi="Palatino Linotype" w:cs="Palatino Linotype"/>
          <w:color w:val="000000" w:themeColor="text1"/>
        </w:rPr>
        <w:t>, se acordó ampliar el término para resolver el presente asunto.</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b/>
          <w:color w:val="000000" w:themeColor="text1"/>
        </w:rPr>
      </w:pPr>
    </w:p>
    <w:p w:rsidR="00BA39BC" w:rsidRPr="00C05074" w:rsidRDefault="006A648A" w:rsidP="00C05074">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Por ello, es menester precisar que, si bien se ha excedido el plazo para resolver el presente medio de impugnación, de conformidad con la ley de la materia, dicha dilación es de carácter excepcional y se encuentra justificada en los elementos para medir la razonabilidad del plazo de resolución de asuntos conforme a los parámetros establecidos por diversos órganos jurisdiccionales federales, aplicables también en procedimientos análogos, como el que nos ocupa.</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Default="006A648A" w:rsidP="00C05074">
      <w:pPr>
        <w:numPr>
          <w:ilvl w:val="0"/>
          <w:numId w:val="1"/>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Finalmente, la Comisionada Ponente una vez transcurrido el plazo decretado con anterioridad, en fecha </w:t>
      </w:r>
      <w:r w:rsidRPr="00C05074">
        <w:rPr>
          <w:rFonts w:ascii="Palatino Linotype" w:eastAsia="Palatino Linotype" w:hAnsi="Palatino Linotype" w:cs="Palatino Linotype"/>
          <w:b/>
          <w:color w:val="000000" w:themeColor="text1"/>
        </w:rPr>
        <w:t>diecisiete de septiembre de dos mil veinticinco</w:t>
      </w:r>
      <w:r w:rsidRPr="00C05074">
        <w:rPr>
          <w:rFonts w:ascii="Palatino Linotype" w:eastAsia="Palatino Linotype" w:hAnsi="Palatino Linotype" w:cs="Palatino Linotype"/>
          <w:color w:val="000000" w:themeColor="text1"/>
        </w:rPr>
        <w:t xml:space="preserve">  decretó el cierre  de instrucción de los expedientes, por lo que no habiendo diligencia pendiente de desahogo, se emite la resolución que conforme a Derecho proceda, de acuerdo a los siguientes:</w:t>
      </w:r>
      <w:r w:rsidR="009C2CE3">
        <w:rPr>
          <w:rFonts w:ascii="Palatino Linotype" w:eastAsia="Palatino Linotype" w:hAnsi="Palatino Linotype" w:cs="Palatino Linotype"/>
          <w:color w:val="000000" w:themeColor="text1"/>
        </w:rPr>
        <w:t xml:space="preserve"> --------------------------------------------------------------------------------------------------------</w:t>
      </w:r>
    </w:p>
    <w:p w:rsidR="009C2CE3" w:rsidRDefault="009C2CE3" w:rsidP="009C2CE3">
      <w:pPr>
        <w:pStyle w:val="Prrafodelista"/>
        <w:rPr>
          <w:rFonts w:ascii="Palatino Linotype" w:eastAsia="Palatino Linotype" w:hAnsi="Palatino Linotype" w:cs="Palatino Linotype"/>
          <w:color w:val="000000" w:themeColor="text1"/>
        </w:rPr>
      </w:pPr>
    </w:p>
    <w:p w:rsidR="009C2CE3" w:rsidRDefault="009C2CE3" w:rsidP="009C2CE3">
      <w:pPr>
        <w:spacing w:line="360" w:lineRule="auto"/>
        <w:jc w:val="both"/>
        <w:rPr>
          <w:rFonts w:ascii="Palatino Linotype" w:eastAsia="Palatino Linotype" w:hAnsi="Palatino Linotype" w:cs="Palatino Linotype"/>
          <w:color w:val="000000" w:themeColor="text1"/>
        </w:rPr>
      </w:pPr>
    </w:p>
    <w:p w:rsidR="009C2CE3" w:rsidRPr="00C05074" w:rsidRDefault="009C2CE3" w:rsidP="009C2CE3">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tabs>
          <w:tab w:val="left" w:pos="426"/>
        </w:tabs>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spacing w:line="360" w:lineRule="auto"/>
        <w:jc w:val="center"/>
        <w:rPr>
          <w:rFonts w:ascii="Palatino Linotype" w:eastAsia="Palatino Linotype" w:hAnsi="Palatino Linotype" w:cs="Palatino Linotype"/>
          <w:b/>
          <w:color w:val="000000" w:themeColor="text1"/>
        </w:rPr>
      </w:pPr>
      <w:bookmarkStart w:id="4" w:name="_heading=h.rp673cawq7y0" w:colFirst="0" w:colLast="0"/>
      <w:bookmarkEnd w:id="4"/>
      <w:r w:rsidRPr="00C05074">
        <w:rPr>
          <w:rFonts w:ascii="Palatino Linotype" w:eastAsia="Palatino Linotype" w:hAnsi="Palatino Linotype" w:cs="Palatino Linotype"/>
          <w:b/>
          <w:color w:val="000000" w:themeColor="text1"/>
        </w:rPr>
        <w:lastRenderedPageBreak/>
        <w:t>C O N S I D E R A N D O S</w:t>
      </w:r>
    </w:p>
    <w:p w:rsidR="00BA39BC" w:rsidRPr="00C05074" w:rsidRDefault="00BA39BC" w:rsidP="00C05074">
      <w:pPr>
        <w:pStyle w:val="Ttulo2"/>
        <w:spacing w:before="0" w:line="360" w:lineRule="auto"/>
        <w:rPr>
          <w:rFonts w:ascii="Palatino Linotype" w:eastAsia="Palatino Linotype" w:hAnsi="Palatino Linotype" w:cs="Palatino Linotype"/>
          <w:b/>
          <w:color w:val="000000" w:themeColor="text1"/>
          <w:sz w:val="24"/>
          <w:szCs w:val="24"/>
        </w:rPr>
      </w:pPr>
    </w:p>
    <w:p w:rsidR="00BA39BC" w:rsidRPr="00C05074" w:rsidRDefault="006A648A" w:rsidP="00C05074">
      <w:pPr>
        <w:pStyle w:val="Ttulo2"/>
        <w:spacing w:before="0" w:line="360" w:lineRule="auto"/>
        <w:rPr>
          <w:rFonts w:ascii="Palatino Linotype" w:eastAsia="Palatino Linotype" w:hAnsi="Palatino Linotype" w:cs="Palatino Linotype"/>
          <w:b/>
          <w:color w:val="000000" w:themeColor="text1"/>
          <w:sz w:val="24"/>
          <w:szCs w:val="24"/>
        </w:rPr>
      </w:pPr>
      <w:r w:rsidRPr="00C05074">
        <w:rPr>
          <w:rFonts w:ascii="Palatino Linotype" w:eastAsia="Palatino Linotype" w:hAnsi="Palatino Linotype" w:cs="Palatino Linotype"/>
          <w:b/>
          <w:color w:val="000000" w:themeColor="text1"/>
          <w:sz w:val="24"/>
          <w:szCs w:val="24"/>
        </w:rPr>
        <w:t>PRIMERO. De la competencia</w:t>
      </w:r>
    </w:p>
    <w:p w:rsidR="00BA39BC" w:rsidRPr="00C05074" w:rsidRDefault="006A648A" w:rsidP="00C05074">
      <w:pPr>
        <w:numPr>
          <w:ilvl w:val="0"/>
          <w:numId w:val="1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XXIII, y 11 del Reglamento Interior del Instituto de Transparencia, Acceso a la Información Pública y Protección de Datos Personales del Estado de México y Municipios.</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pStyle w:val="Ttulo2"/>
        <w:spacing w:before="0" w:line="360" w:lineRule="auto"/>
        <w:rPr>
          <w:rFonts w:ascii="Palatino Linotype" w:eastAsia="Palatino Linotype" w:hAnsi="Palatino Linotype" w:cs="Palatino Linotype"/>
          <w:b/>
          <w:color w:val="000000" w:themeColor="text1"/>
          <w:sz w:val="24"/>
          <w:szCs w:val="24"/>
        </w:rPr>
      </w:pPr>
      <w:bookmarkStart w:id="5" w:name="_heading=h.tvgv7t5gf416" w:colFirst="0" w:colLast="0"/>
      <w:bookmarkEnd w:id="5"/>
      <w:r w:rsidRPr="00C05074">
        <w:rPr>
          <w:rFonts w:ascii="Palatino Linotype" w:eastAsia="Palatino Linotype" w:hAnsi="Palatino Linotype" w:cs="Palatino Linotype"/>
          <w:b/>
          <w:color w:val="000000" w:themeColor="text1"/>
          <w:sz w:val="24"/>
          <w:szCs w:val="24"/>
        </w:rPr>
        <w:t>SEGUNDO. De la oportunidad y procedencia.</w:t>
      </w:r>
    </w:p>
    <w:p w:rsidR="00BA39BC" w:rsidRPr="00C05074" w:rsidRDefault="006A648A" w:rsidP="00C05074">
      <w:pPr>
        <w:numPr>
          <w:ilvl w:val="0"/>
          <w:numId w:val="1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Este Órgano Garante considera que el medio de impugnación reúne los requisitos de procedencia toda vez que; los recursos fueron presentados dentro del plazo establecido en el artículo 178 de la Ley de Transparencia y Acceso a la Información Pública del Estado de México y Municipios; asimismo no se tiene conocimiento que se encuentre en trámite algún medio de defensa presentado por el Recurrente ante otra instancia.</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Por otro lado, es de suma importancia señalar que la parte recurrente no proporciona un nombre o datos de identificación como se advierte en el detalle de seguimiento del SAIMEX, no obstante lo anterior, no proporcionar el nombre completo no </w:t>
      </w:r>
      <w:r w:rsidRPr="00C05074">
        <w:rPr>
          <w:rFonts w:ascii="Palatino Linotype" w:eastAsia="Palatino Linotype" w:hAnsi="Palatino Linotype" w:cs="Palatino Linotype"/>
          <w:color w:val="000000" w:themeColor="text1"/>
        </w:rPr>
        <w:lastRenderedPageBreak/>
        <w:t>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Las solicitudes anónimas</w:t>
      </w:r>
      <w:r w:rsidRPr="00C05074">
        <w:rPr>
          <w:rFonts w:ascii="Palatino Linotype" w:eastAsia="Palatino Linotype" w:hAnsi="Palatino Linotype" w:cs="Palatino Linotype"/>
          <w:i/>
          <w:color w:val="000000" w:themeColor="text1"/>
        </w:rPr>
        <w:t xml:space="preserve">, con nombre incompleto o seudónimo </w:t>
      </w:r>
      <w:r w:rsidRPr="00C05074">
        <w:rPr>
          <w:rFonts w:ascii="Palatino Linotype" w:eastAsia="Palatino Linotype" w:hAnsi="Palatino Linotype" w:cs="Palatino Linotype"/>
          <w:b/>
          <w:i/>
          <w:color w:val="000000" w:themeColor="text1"/>
        </w:rPr>
        <w:t>serán procedentes para su trámite por parte del sujeto obligado ante quien se presente</w:t>
      </w:r>
      <w:r w:rsidRPr="00C05074">
        <w:rPr>
          <w:rFonts w:ascii="Palatino Linotype" w:eastAsia="Palatino Linotype" w:hAnsi="Palatino Linotype" w:cs="Palatino Linotype"/>
          <w:i/>
          <w:color w:val="000000" w:themeColor="text1"/>
        </w:rPr>
        <w:t>. No podrá requerirse información adicional con motivo del nombre proporcionado por el solicitante."</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Robusteciendo lo anterior se encuentra lo dispuesto en el artículo 6, Apartado A, fracciones III de la Constitución Política de los Estados Unidos Mexicanos que establece:</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6.-</w:t>
      </w:r>
      <w:r w:rsidRPr="00C05074">
        <w:rPr>
          <w:rFonts w:ascii="Palatino Linotype" w:eastAsia="Palatino Linotype" w:hAnsi="Palatino Linotype" w:cs="Palatino Linotype"/>
          <w:i/>
          <w:color w:val="000000" w:themeColor="text1"/>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Para efectos de lo dispuesto en el presente artículo se observará lo siguiente:</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A. Para el ejercicio del derecho de acceso a la información, la Federación, los Estados y el Distrito Federal, en el ámbito de sus respectivas competencias, se regirán por los siguientes principios y bases:</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III. Toda persona, sin necesidad de acreditar interés alguno o justificar su utilización, tendrá acceso gratuito a la información pública, a sus datos personales o a la rectificación de éstos.” </w:t>
      </w:r>
      <w:r w:rsidRPr="00C05074">
        <w:rPr>
          <w:rFonts w:ascii="Palatino Linotype" w:eastAsia="Palatino Linotype" w:hAnsi="Palatino Linotype" w:cs="Palatino Linotype"/>
          <w:color w:val="000000" w:themeColor="text1"/>
        </w:rPr>
        <w:t>(Sic)</w:t>
      </w:r>
    </w:p>
    <w:p w:rsidR="00BA39BC" w:rsidRPr="00C05074" w:rsidRDefault="00BA39BC" w:rsidP="00C05074">
      <w:pPr>
        <w:spacing w:line="360" w:lineRule="auto"/>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Así como el artículo 5 fracción III, párrafo vigésimo noveno, trigésimo y trigésimo primero, de la Constitución Política del Estado Libre y Soberano de México, que determina lo siguiente:</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5.-</w:t>
      </w:r>
      <w:r w:rsidRPr="00C05074">
        <w:rPr>
          <w:rFonts w:ascii="Palatino Linotype" w:eastAsia="Palatino Linotype" w:hAnsi="Palatino Linotype" w:cs="Palatino Linotype"/>
          <w:i/>
          <w:color w:val="000000" w:themeColor="text1"/>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que de ésta emanen, por lo que gozarán de las garantías para su protección, las cuales no podrán restringirse ni suspenderse salvo en los casos y bajo las condiciones que la Constitución Política de los Estados Unidos Mexicanos establece”.(Sic)</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Toda persona en el Estado de México, tiene derecho al libre acceso a la información plural y oportuna, así como a buscar recibir y difundir información e ideas de toda índole por cualquier medio de expresión.</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El derecho a la información será garantizado por el Estado. La ley establecerá las previsiones que permitan asegurar la protección, el respeto y la difusión de este derecho.</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III. Toda persona, sin necesidad de acreditar interés alguno o justificar su utilización, tendrá acceso gratuito a la información pública, a sus datos personales o a la rectificación de éstos;</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sidRPr="00C05074">
        <w:rPr>
          <w:rFonts w:ascii="Palatino Linotype" w:eastAsia="Palatino Linotype" w:hAnsi="Palatino Linotype" w:cs="Palatino Linotype"/>
          <w:color w:val="000000" w:themeColor="text1"/>
        </w:rPr>
        <w:t>(Sic)</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Por otra parte, del contenido del artículo 1 de la Constitución Política de los Estados Unidos mexicanos, se destaca lo siguiente:</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1</w:t>
      </w:r>
      <w:r w:rsidRPr="00C05074">
        <w:rPr>
          <w:rFonts w:ascii="Palatino Linotype" w:eastAsia="Palatino Linotype" w:hAnsi="Palatino Linotype" w:cs="Palatino Linotype"/>
          <w:i/>
          <w:color w:val="000000" w:themeColor="text1"/>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Las normas relativas a los derechos humanos se interpretarán de conformidad con esta Constitución y con los tratados internacionales de la materia favoreciendo en todo tiempo a las personas la protección más amplia.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ley."(Sic)</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Esto es, que el derecho humano de acceso a la información pública, se aprecia que toda persona, sin necesidad de acreditar interés alguno o justificar su interposición, deberá tener acceso a la información pública, es decir, dicho </w:t>
      </w:r>
      <w:r w:rsidRPr="00C05074">
        <w:rPr>
          <w:rFonts w:ascii="Palatino Linotype" w:eastAsia="Palatino Linotype" w:hAnsi="Palatino Linotype" w:cs="Palatino Linotype"/>
          <w:i/>
          <w:color w:val="000000" w:themeColor="text1"/>
        </w:rPr>
        <w:t>derecho fundamental exime a quien lo ejerce</w:t>
      </w:r>
      <w:r w:rsidRPr="00C05074">
        <w:rPr>
          <w:rFonts w:ascii="Palatino Linotype" w:eastAsia="Palatino Linotype" w:hAnsi="Palatino Linotype" w:cs="Palatino Linotype"/>
          <w:color w:val="000000" w:themeColor="text1"/>
        </w:rPr>
        <w:t>,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En consecuencia, dado lo expuesto y fundado con anterioridad, se estima que el requisito relativo al nombre del </w:t>
      </w:r>
      <w:r w:rsidRPr="00C05074">
        <w:rPr>
          <w:rFonts w:ascii="Palatino Linotype" w:eastAsia="Palatino Linotype" w:hAnsi="Palatino Linotype" w:cs="Palatino Linotype"/>
          <w:b/>
          <w:color w:val="000000" w:themeColor="text1"/>
        </w:rPr>
        <w:t>RECURRENTE</w:t>
      </w:r>
      <w:r w:rsidRPr="00C05074">
        <w:rPr>
          <w:rFonts w:ascii="Palatino Linotype" w:eastAsia="Palatino Linotype" w:hAnsi="Palatino Linotype" w:cs="Palatino Linotype"/>
          <w:color w:val="000000" w:themeColor="text1"/>
        </w:rPr>
        <w:t xml:space="preserve"> no constituye un presupuesto indispensable de procedencia del Recurso de Revisión, en términos de los artículos 25 de la Convención Americana de Derechos Humanos, 1, párrafos segundo y tercero, 6 apartado A fracción III de la Constitución Política de los Estados Unidos Mexicanos y 5 párrafo vigésimo noveno, trigésimo y trigésimo primero de la Constitución Política del Estado Libre y Soberano de México, debido a que el acceso a la información pública es un derecho humano que no requiere legitimación en la causa, si no que únicamente basta con que se encuentre legitimado en el procedimiento de Recurso de Revisión, circunstancia que se acredita en las constancias electrónicas de los expedientes en revisión, de las que se desprende que la parte recurrente, es la misma que realizó la solicitud de acceso a la información pública que ahora se impugna.</w:t>
      </w:r>
    </w:p>
    <w:p w:rsidR="00BA39BC" w:rsidRPr="00C05074" w:rsidRDefault="006A648A" w:rsidP="00C0507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Asimismo,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pStyle w:val="Ttulo2"/>
        <w:spacing w:before="0" w:line="360" w:lineRule="auto"/>
        <w:rPr>
          <w:rFonts w:ascii="Palatino Linotype" w:eastAsia="Palatino Linotype" w:hAnsi="Palatino Linotype" w:cs="Palatino Linotype"/>
          <w:b/>
          <w:color w:val="000000" w:themeColor="text1"/>
          <w:sz w:val="24"/>
          <w:szCs w:val="24"/>
        </w:rPr>
      </w:pPr>
      <w:bookmarkStart w:id="6" w:name="_heading=h.6qyaahh05iyh" w:colFirst="0" w:colLast="0"/>
      <w:bookmarkEnd w:id="6"/>
      <w:r w:rsidRPr="00C05074">
        <w:rPr>
          <w:rFonts w:ascii="Palatino Linotype" w:eastAsia="Palatino Linotype" w:hAnsi="Palatino Linotype" w:cs="Palatino Linotype"/>
          <w:b/>
          <w:color w:val="000000" w:themeColor="text1"/>
          <w:sz w:val="24"/>
          <w:szCs w:val="24"/>
        </w:rPr>
        <w:t>TERCERO. Del planteamiento de la Litis</w:t>
      </w:r>
    </w:p>
    <w:p w:rsidR="00BA39BC" w:rsidRPr="00C05074" w:rsidRDefault="006A648A" w:rsidP="00C0507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De las constancias en el expediente al rubro indicado, se desprende que el particular  solicitó tener acceso a la información que a continuación se desagrega:</w:t>
      </w:r>
    </w:p>
    <w:p w:rsidR="00BA39BC" w:rsidRPr="00C05074" w:rsidRDefault="006A648A" w:rsidP="00C0507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Del uno al trece de mayo de dos mil veinticinco:</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 xml:space="preserve">Actas de Cabildo </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Citatorios</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Versiones estenográficas</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Audio y video</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Listas de asistencia</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Justificante de integrantes que no asistieron</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Fotografías</w:t>
      </w:r>
    </w:p>
    <w:p w:rsidR="00BA39BC" w:rsidRPr="00C05074" w:rsidRDefault="00BA39BC" w:rsidP="00C05074">
      <w:pPr>
        <w:jc w:val="center"/>
        <w:rPr>
          <w:rFonts w:ascii="Palatino Linotype" w:eastAsia="Palatino Linotype" w:hAnsi="Palatino Linotype" w:cs="Palatino Linotype"/>
          <w:b/>
          <w:color w:val="000000" w:themeColor="text1"/>
        </w:rPr>
      </w:pPr>
    </w:p>
    <w:p w:rsidR="00BA39BC" w:rsidRPr="00C05074" w:rsidRDefault="006A648A" w:rsidP="00C0507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En respuesta, el </w:t>
      </w:r>
      <w:r w:rsidRPr="00C05074">
        <w:rPr>
          <w:rFonts w:ascii="Palatino Linotype" w:eastAsia="Palatino Linotype" w:hAnsi="Palatino Linotype" w:cs="Palatino Linotype"/>
          <w:b/>
          <w:color w:val="000000" w:themeColor="text1"/>
        </w:rPr>
        <w:t>SUJETO OBLIGADO</w:t>
      </w:r>
      <w:r w:rsidRPr="00C05074">
        <w:rPr>
          <w:rFonts w:ascii="Palatino Linotype" w:eastAsia="Palatino Linotype" w:hAnsi="Palatino Linotype" w:cs="Palatino Linotype"/>
          <w:color w:val="000000" w:themeColor="text1"/>
        </w:rPr>
        <w:t>, remitió tres archivos electrónicos en formato PDF, cuyo contenido se desglosa en el numeral dos del presente.</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Por lo que, el particular se inconformó por la negativa a la entrega de la  información  por parte del  </w:t>
      </w:r>
      <w:r w:rsidRPr="00C05074">
        <w:rPr>
          <w:rFonts w:ascii="Palatino Linotype" w:eastAsia="Palatino Linotype" w:hAnsi="Palatino Linotype" w:cs="Palatino Linotype"/>
          <w:b/>
          <w:color w:val="000000" w:themeColor="text1"/>
        </w:rPr>
        <w:t>SUJETO OBLIGADO.</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En dichas condiciones, la </w:t>
      </w:r>
      <w:r w:rsidRPr="00C05074">
        <w:rPr>
          <w:rFonts w:ascii="Palatino Linotype" w:eastAsia="Palatino Linotype" w:hAnsi="Palatino Linotype" w:cs="Palatino Linotype"/>
          <w:i/>
          <w:color w:val="000000" w:themeColor="text1"/>
        </w:rPr>
        <w:t>Litis</w:t>
      </w:r>
      <w:r w:rsidRPr="00C05074">
        <w:rPr>
          <w:rFonts w:ascii="Palatino Linotype" w:eastAsia="Palatino Linotype" w:hAnsi="Palatino Linotype" w:cs="Palatino Linotype"/>
          <w:color w:val="000000" w:themeColor="text1"/>
        </w:rPr>
        <w:t xml:space="preserve"> a resolver en este recurso se circunscribe a determinar si se actualizan las causales de procedencia previstas en el artículo 179, </w:t>
      </w:r>
      <w:r w:rsidRPr="00C05074">
        <w:rPr>
          <w:rFonts w:ascii="Palatino Linotype" w:eastAsia="Palatino Linotype" w:hAnsi="Palatino Linotype" w:cs="Palatino Linotype"/>
          <w:b/>
          <w:color w:val="000000" w:themeColor="text1"/>
        </w:rPr>
        <w:t xml:space="preserve">fracción I </w:t>
      </w:r>
      <w:r w:rsidRPr="00C05074">
        <w:rPr>
          <w:rFonts w:ascii="Palatino Linotype" w:eastAsia="Palatino Linotype" w:hAnsi="Palatino Linotype" w:cs="Palatino Linotype"/>
          <w:color w:val="000000" w:themeColor="text1"/>
        </w:rPr>
        <w:t xml:space="preserve">de la </w:t>
      </w:r>
      <w:r w:rsidRPr="00C05074">
        <w:rPr>
          <w:rFonts w:ascii="Palatino Linotype" w:eastAsia="Palatino Linotype" w:hAnsi="Palatino Linotype" w:cs="Palatino Linotype"/>
          <w:b/>
          <w:color w:val="000000" w:themeColor="text1"/>
        </w:rPr>
        <w:t>Ley de Transparencia y Acceso a la Información Pública del Estado de México y Municipios</w:t>
      </w:r>
      <w:r w:rsidRP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color w:val="000000" w:themeColor="text1"/>
        </w:rPr>
        <w:lastRenderedPageBreak/>
        <w:t xml:space="preserve">fracción que determina la entrega incompleta de la información solicitada; contexto del  cual se dolió </w:t>
      </w:r>
      <w:r w:rsidRPr="00C05074">
        <w:rPr>
          <w:rFonts w:ascii="Palatino Linotype" w:eastAsia="Palatino Linotype" w:hAnsi="Palatino Linotype" w:cs="Palatino Linotype"/>
          <w:b/>
          <w:color w:val="000000" w:themeColor="text1"/>
        </w:rPr>
        <w:t xml:space="preserve">EL RECURRENTE </w:t>
      </w:r>
      <w:r w:rsidRPr="00C05074">
        <w:rPr>
          <w:rFonts w:ascii="Palatino Linotype" w:eastAsia="Palatino Linotype" w:hAnsi="Palatino Linotype" w:cs="Palatino Linotype"/>
          <w:color w:val="000000" w:themeColor="text1"/>
        </w:rPr>
        <w:t xml:space="preserve">al momento de interponer su inconformidad. </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De modo tal que el presente recurso de revisión se abocará en determinar si el </w:t>
      </w:r>
      <w:r w:rsidRPr="00C05074">
        <w:rPr>
          <w:rFonts w:ascii="Palatino Linotype" w:eastAsia="Palatino Linotype" w:hAnsi="Palatino Linotype" w:cs="Palatino Linotype"/>
          <w:b/>
          <w:color w:val="000000" w:themeColor="text1"/>
        </w:rPr>
        <w:t>SUJETO</w:t>
      </w:r>
      <w:r w:rsidRP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b/>
          <w:color w:val="000000" w:themeColor="text1"/>
        </w:rPr>
        <w:t>OBLIGADO</w:t>
      </w:r>
      <w:r w:rsidRPr="00C05074">
        <w:rPr>
          <w:rFonts w:ascii="Palatino Linotype" w:eastAsia="Palatino Linotype" w:hAnsi="Palatino Linotype" w:cs="Palatino Linotype"/>
          <w:color w:val="000000" w:themeColor="text1"/>
        </w:rPr>
        <w:t xml:space="preserve"> con su respuesta ciertamente actualiza las causales de procedencia</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antes señalada; asimismo, determinar si se vulnera el derecho de acceso a la información de la particular por la inobservancia a los principios contenidos en el artículo 11 de la Ley de Transparencia y Acceso a la Información Pública del Estado de México y Municipios, los cuales señala entre otros, que en la generación y entrega de información se deberá garantizar que sea oportuna, expedita, completa e integral.</w:t>
      </w:r>
    </w:p>
    <w:p w:rsidR="00BA39BC" w:rsidRPr="00C05074" w:rsidRDefault="00BA39BC" w:rsidP="00C05074">
      <w:pPr>
        <w:pStyle w:val="Ttulo2"/>
        <w:spacing w:before="0" w:line="360" w:lineRule="auto"/>
        <w:rPr>
          <w:rFonts w:ascii="Palatino Linotype" w:eastAsia="Palatino Linotype" w:hAnsi="Palatino Linotype" w:cs="Palatino Linotype"/>
          <w:b/>
          <w:color w:val="000000" w:themeColor="text1"/>
          <w:sz w:val="24"/>
          <w:szCs w:val="24"/>
        </w:rPr>
      </w:pPr>
    </w:p>
    <w:p w:rsidR="00BA39BC" w:rsidRPr="00C05074" w:rsidRDefault="006A648A" w:rsidP="00C05074">
      <w:pPr>
        <w:pStyle w:val="Ttulo2"/>
        <w:spacing w:before="0" w:line="360" w:lineRule="auto"/>
        <w:rPr>
          <w:rFonts w:ascii="Palatino Linotype" w:eastAsia="Palatino Linotype" w:hAnsi="Palatino Linotype" w:cs="Palatino Linotype"/>
          <w:b/>
          <w:color w:val="000000" w:themeColor="text1"/>
          <w:sz w:val="24"/>
          <w:szCs w:val="24"/>
          <w:highlight w:val="white"/>
        </w:rPr>
      </w:pPr>
      <w:r w:rsidRPr="00C05074">
        <w:rPr>
          <w:rFonts w:ascii="Palatino Linotype" w:eastAsia="Palatino Linotype" w:hAnsi="Palatino Linotype" w:cs="Palatino Linotype"/>
          <w:b/>
          <w:color w:val="000000" w:themeColor="text1"/>
          <w:sz w:val="24"/>
          <w:szCs w:val="24"/>
          <w:highlight w:val="white"/>
        </w:rPr>
        <w:t>CUARTO. Del estudio y resolución del asunto.</w:t>
      </w:r>
    </w:p>
    <w:p w:rsidR="00BA39BC" w:rsidRPr="00C05074" w:rsidRDefault="006A648A" w:rsidP="00C05074">
      <w:pPr>
        <w:pStyle w:val="Ttulo1"/>
        <w:numPr>
          <w:ilvl w:val="0"/>
          <w:numId w:val="10"/>
        </w:numPr>
        <w:spacing w:before="0" w:after="240" w:line="360" w:lineRule="auto"/>
        <w:ind w:left="0" w:firstLine="0"/>
        <w:rPr>
          <w:rFonts w:ascii="Palatino Linotype" w:eastAsia="Palatino Linotype" w:hAnsi="Palatino Linotype" w:cs="Palatino Linotype"/>
          <w:b/>
          <w:color w:val="000000" w:themeColor="text1"/>
          <w:sz w:val="24"/>
          <w:szCs w:val="24"/>
        </w:rPr>
      </w:pPr>
      <w:bookmarkStart w:id="7" w:name="_heading=h.2s8eyo1" w:colFirst="0" w:colLast="0"/>
      <w:bookmarkEnd w:id="7"/>
      <w:r w:rsidRPr="00C05074">
        <w:rPr>
          <w:rFonts w:ascii="Palatino Linotype" w:eastAsia="Palatino Linotype" w:hAnsi="Palatino Linotype" w:cs="Palatino Linotype"/>
          <w:b/>
          <w:color w:val="000000" w:themeColor="text1"/>
          <w:sz w:val="24"/>
          <w:szCs w:val="24"/>
        </w:rPr>
        <w:t>Del derecho de acceso a la información.</w:t>
      </w: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rsidR="00BA39BC" w:rsidRPr="00C05074" w:rsidRDefault="006A648A" w:rsidP="00C05074">
      <w:pPr>
        <w:numPr>
          <w:ilvl w:val="0"/>
          <w:numId w:val="2"/>
        </w:numPr>
        <w:spacing w:before="240"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 xml:space="preserve">Definiendo el Derecho de Acceso a la Información Pública como: </w:t>
      </w:r>
      <w:r w:rsidRPr="00C05074">
        <w:rPr>
          <w:rFonts w:ascii="Palatino Linotype" w:eastAsia="Palatino Linotype" w:hAnsi="Palatino Linotype" w:cs="Palatino Linotype"/>
          <w:i/>
          <w:color w:val="000000" w:themeColor="text1"/>
        </w:rPr>
        <w:t>La igualdad de oportunidades para recibir, buscar e impartir información</w:t>
      </w:r>
      <w:r w:rsidRPr="00C05074">
        <w:rPr>
          <w:rFonts w:ascii="Palatino Linotype" w:eastAsia="Palatino Linotype" w:hAnsi="Palatino Linotype" w:cs="Palatino Linotype"/>
          <w:i/>
          <w:color w:val="000000" w:themeColor="text1"/>
          <w:vertAlign w:val="superscript"/>
        </w:rPr>
        <w:footnoteReference w:id="1"/>
      </w:r>
      <w:r w:rsidRPr="00C05074">
        <w:rPr>
          <w:rFonts w:ascii="Palatino Linotype" w:eastAsia="Palatino Linotype" w:hAnsi="Palatino Linotype" w:cs="Palatino Linotype"/>
          <w:i/>
          <w:color w:val="000000" w:themeColor="text1"/>
        </w:rPr>
        <w:t xml:space="preserve">en posesión de cualquier autoridad, entidad, órgano y organismo de los poderes Ejecutivo, Legislativo y Judicial, órganos autónomos, partidos políticos, fideicomisos y fondos públicos, así como de cualquier persona física, moral o </w:t>
      </w:r>
      <w:r w:rsidRPr="00C05074">
        <w:rPr>
          <w:rFonts w:ascii="Palatino Linotype" w:eastAsia="Palatino Linotype" w:hAnsi="Palatino Linotype" w:cs="Palatino Linotype"/>
          <w:i/>
          <w:color w:val="000000" w:themeColor="text1"/>
        </w:rPr>
        <w:lastRenderedPageBreak/>
        <w:t>sindicato que reciba y ejerza recursos públicos o realice actos de autoridad en el ámbito federal, estatal y municipal,</w:t>
      </w:r>
      <w:r w:rsidRPr="00C05074">
        <w:rPr>
          <w:rFonts w:ascii="Palatino Linotype" w:eastAsia="Palatino Linotype" w:hAnsi="Palatino Linotype" w:cs="Palatino Linotype"/>
          <w:i/>
          <w:color w:val="000000" w:themeColor="text1"/>
          <w:vertAlign w:val="superscript"/>
        </w:rPr>
        <w:footnoteReference w:id="2"/>
      </w:r>
      <w:r w:rsidRPr="00C05074">
        <w:rPr>
          <w:rFonts w:ascii="Palatino Linotype" w:eastAsia="Palatino Linotype" w:hAnsi="Palatino Linotype" w:cs="Palatino Linotype"/>
          <w:color w:val="000000" w:themeColor="text1"/>
        </w:rPr>
        <w:t>que se constituye como una herramienta fundamental para ejercer</w:t>
      </w:r>
      <w:r w:rsidRPr="00C05074">
        <w:rPr>
          <w:rFonts w:ascii="Palatino Linotype" w:eastAsia="Palatino Linotype" w:hAnsi="Palatino Linotype" w:cs="Palatino Linotype"/>
          <w:i/>
          <w:color w:val="000000" w:themeColor="text1"/>
        </w:rPr>
        <w:t xml:space="preserve"> el control democrático de las gestiones estatales, de forma tal que puedan cuestionar, indagar y considerar si se está dando un adecuado cumplimiento a las funciones públicas,</w:t>
      </w:r>
      <w:r w:rsidRPr="00C05074">
        <w:rPr>
          <w:rFonts w:ascii="Palatino Linotype" w:eastAsia="Palatino Linotype" w:hAnsi="Palatino Linotype" w:cs="Palatino Linotype"/>
          <w:i/>
          <w:color w:val="000000" w:themeColor="text1"/>
          <w:vertAlign w:val="superscript"/>
        </w:rPr>
        <w:footnoteReference w:id="3"/>
      </w:r>
      <w:r w:rsidRPr="00C05074">
        <w:rPr>
          <w:rFonts w:ascii="Palatino Linotype" w:eastAsia="Palatino Linotype" w:hAnsi="Palatino Linotype" w:cs="Palatino Linotype"/>
          <w:color w:val="000000" w:themeColor="text1"/>
        </w:rPr>
        <w:t>fomentando</w:t>
      </w:r>
      <w:r w:rsidRPr="00C05074">
        <w:rPr>
          <w:rFonts w:ascii="Palatino Linotype" w:eastAsia="Palatino Linotype" w:hAnsi="Palatino Linotype" w:cs="Palatino Linotype"/>
          <w:i/>
          <w:color w:val="000000" w:themeColor="text1"/>
        </w:rPr>
        <w:t xml:space="preserve"> la transparencia de las actividades estatales y </w:t>
      </w:r>
      <w:r w:rsidRPr="00C05074">
        <w:rPr>
          <w:rFonts w:ascii="Palatino Linotype" w:eastAsia="Palatino Linotype" w:hAnsi="Palatino Linotype" w:cs="Palatino Linotype"/>
          <w:color w:val="000000" w:themeColor="text1"/>
        </w:rPr>
        <w:t>promoviendo</w:t>
      </w:r>
      <w:r w:rsidRPr="00C05074">
        <w:rPr>
          <w:rFonts w:ascii="Palatino Linotype" w:eastAsia="Palatino Linotype" w:hAnsi="Palatino Linotype" w:cs="Palatino Linotype"/>
          <w:i/>
          <w:color w:val="000000" w:themeColor="text1"/>
        </w:rPr>
        <w:t xml:space="preserve"> la responsabilidad de los funcionarios sobre su gestión pública,</w:t>
      </w:r>
      <w:r w:rsidRPr="00C05074">
        <w:rPr>
          <w:rFonts w:ascii="Palatino Linotype" w:eastAsia="Palatino Linotype" w:hAnsi="Palatino Linotype" w:cs="Palatino Linotype"/>
          <w:i/>
          <w:color w:val="000000" w:themeColor="text1"/>
          <w:vertAlign w:val="superscript"/>
        </w:rPr>
        <w:footnoteReference w:id="4"/>
      </w:r>
      <w:r w:rsidRPr="00C05074">
        <w:rPr>
          <w:rFonts w:ascii="Palatino Linotype" w:eastAsia="Palatino Linotype" w:hAnsi="Palatino Linotype" w:cs="Palatino Linotype"/>
          <w:color w:val="000000" w:themeColor="text1"/>
        </w:rPr>
        <w:t>que permite</w:t>
      </w:r>
      <w:r w:rsidRPr="00C05074">
        <w:rPr>
          <w:rFonts w:ascii="Palatino Linotype" w:eastAsia="Palatino Linotype" w:hAnsi="Palatino Linotype" w:cs="Palatino Linotype"/>
          <w:i/>
          <w:color w:val="000000" w:themeColor="text1"/>
        </w:rPr>
        <w:t xml:space="preserve"> saber qué están haciendo los gobiernos por sus pueblos, sin lo cual la verdad languidecería y la participación en el gobierno permanecería fragmentada.</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En México, además de los derechos, están reconocidas las garantías para su protección, en ese sentido el párrafo tercero de artículo primero de la Constitución Política de los Estados Unidos Mexicanos dispone lo siguiente:</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1.-</w:t>
      </w:r>
      <w:r w:rsidRPr="00C05074">
        <w:rPr>
          <w:rFonts w:ascii="Palatino Linotype" w:eastAsia="Palatino Linotype" w:hAnsi="Palatino Linotype" w:cs="Palatino Linotype"/>
          <w:i/>
          <w:color w:val="000000" w:themeColor="text1"/>
        </w:rPr>
        <w:t xml:space="preserve">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Todas las</w:t>
      </w:r>
      <w:r w:rsidRP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i/>
          <w:color w:val="000000" w:themeColor="text1"/>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BA39BC" w:rsidRPr="00C05074" w:rsidRDefault="006A648A" w:rsidP="00C05074">
      <w:pPr>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color w:val="000000" w:themeColor="text1"/>
        </w:rPr>
        <w:t>”.</w:t>
      </w:r>
    </w:p>
    <w:p w:rsidR="00BA39BC" w:rsidRDefault="00BA39BC" w:rsidP="00C05074">
      <w:pPr>
        <w:jc w:val="both"/>
        <w:rPr>
          <w:rFonts w:ascii="Palatino Linotype" w:eastAsia="Palatino Linotype" w:hAnsi="Palatino Linotype" w:cs="Palatino Linotype"/>
          <w:b/>
          <w:color w:val="000000" w:themeColor="text1"/>
        </w:rPr>
      </w:pPr>
    </w:p>
    <w:p w:rsidR="009C2CE3" w:rsidRPr="00C05074" w:rsidRDefault="009C2CE3" w:rsidP="00C05074">
      <w:pPr>
        <w:jc w:val="both"/>
        <w:rPr>
          <w:rFonts w:ascii="Palatino Linotype" w:eastAsia="Palatino Linotype" w:hAnsi="Palatino Linotype" w:cs="Palatino Linotype"/>
          <w:b/>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 xml:space="preserve">Por lo anterior, se deduce que el Derecho de Acceso a la Información Pública es un Derecho Humano de Fuente Internacional y Constitucionalmente reconocido. Además del </w:t>
      </w:r>
      <w:r w:rsidRPr="00C05074">
        <w:rPr>
          <w:rFonts w:ascii="Palatino Linotype" w:eastAsia="Palatino Linotype" w:hAnsi="Palatino Linotype" w:cs="Palatino Linotype"/>
          <w:color w:val="000000" w:themeColor="text1"/>
        </w:rPr>
        <w:lastRenderedPageBreak/>
        <w:t>derecho, también se reconocen garantías para su protección, lo que vincula con el mandato del párrafo tercero del mismo artículo.</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BA39BC" w:rsidRPr="00C05074" w:rsidRDefault="006A648A" w:rsidP="00C05074">
      <w:pPr>
        <w:spacing w:after="240"/>
        <w:jc w:val="both"/>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Constitución Política de los Estados Unidos Mexicanos</w:t>
      </w:r>
    </w:p>
    <w:p w:rsidR="00BA39BC" w:rsidRPr="00C05074" w:rsidRDefault="006A648A" w:rsidP="00C05074">
      <w:pPr>
        <w:spacing w:before="240" w:after="240"/>
        <w:jc w:val="both"/>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“Artículo 6.</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Para efectos de lo dispuesto en el presente artículo se observará lo siguiente:</w:t>
      </w:r>
    </w:p>
    <w:p w:rsidR="00BA39BC" w:rsidRPr="00C05074" w:rsidRDefault="006A648A" w:rsidP="00C05074">
      <w:pPr>
        <w:spacing w:before="240" w:after="240"/>
        <w:jc w:val="both"/>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A</w:t>
      </w:r>
      <w:r w:rsidRPr="00C05074">
        <w:rPr>
          <w:rFonts w:ascii="Palatino Linotype" w:eastAsia="Palatino Linotype" w:hAnsi="Palatino Linotype" w:cs="Palatino Linotype"/>
          <w:i/>
          <w:color w:val="000000" w:themeColor="text1"/>
        </w:rPr>
        <w:t xml:space="preserve">. </w:t>
      </w:r>
      <w:r w:rsidRPr="00C05074">
        <w:rPr>
          <w:rFonts w:ascii="Palatino Linotype" w:eastAsia="Palatino Linotype" w:hAnsi="Palatino Linotype" w:cs="Palatino Linotype"/>
          <w:b/>
          <w:i/>
          <w:color w:val="000000" w:themeColor="text1"/>
        </w:rPr>
        <w:t>Para el ejercicio del derecho de acceso a la información</w:t>
      </w:r>
      <w:r w:rsidRPr="00C05074">
        <w:rPr>
          <w:rFonts w:ascii="Palatino Linotype" w:eastAsia="Palatino Linotype" w:hAnsi="Palatino Linotype" w:cs="Palatino Linotype"/>
          <w:i/>
          <w:color w:val="000000" w:themeColor="text1"/>
        </w:rPr>
        <w:t xml:space="preserve">, la Federación y </w:t>
      </w:r>
      <w:r w:rsidRPr="00C05074">
        <w:rPr>
          <w:rFonts w:ascii="Palatino Linotype" w:eastAsia="Palatino Linotype" w:hAnsi="Palatino Linotype" w:cs="Palatino Linotype"/>
          <w:b/>
          <w:i/>
          <w:color w:val="000000" w:themeColor="text1"/>
        </w:rPr>
        <w:t>las entidades federativas, en el ámbito de sus respectivas competencias, se regirán por los siguientes principios y bases:</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I. </w:t>
      </w:r>
      <w:r w:rsidRPr="00C05074">
        <w:rPr>
          <w:rFonts w:ascii="Palatino Linotype" w:eastAsia="Palatino Linotype" w:hAnsi="Palatino Linotype" w:cs="Palatino Linotype"/>
          <w:b/>
          <w:i/>
          <w:color w:val="000000" w:themeColor="text1"/>
        </w:rPr>
        <w:tab/>
        <w:t>Toda la información en posesión de cualquier</w:t>
      </w:r>
      <w:r w:rsidRPr="00C05074">
        <w:rPr>
          <w:rFonts w:ascii="Palatino Linotype" w:eastAsia="Palatino Linotype" w:hAnsi="Palatino Linotype" w:cs="Palatino Linotype"/>
          <w:i/>
          <w:color w:val="000000" w:themeColor="text1"/>
        </w:rPr>
        <w:t xml:space="preserve"> </w:t>
      </w:r>
      <w:r w:rsidRPr="00C05074">
        <w:rPr>
          <w:rFonts w:ascii="Palatino Linotype" w:eastAsia="Palatino Linotype" w:hAnsi="Palatino Linotype" w:cs="Palatino Linotype"/>
          <w:b/>
          <w:i/>
          <w:color w:val="000000" w:themeColor="text1"/>
        </w:rPr>
        <w:t>autoridad</w:t>
      </w:r>
      <w:r w:rsidRPr="00C05074">
        <w:rPr>
          <w:rFonts w:ascii="Palatino Linotype" w:eastAsia="Palatino Linotype" w:hAnsi="Palatino Linotype" w:cs="Palatino Linotype"/>
          <w:i/>
          <w:color w:val="000000" w:themeColor="text1"/>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C05074">
        <w:rPr>
          <w:rFonts w:ascii="Palatino Linotype" w:eastAsia="Palatino Linotype" w:hAnsi="Palatino Linotype" w:cs="Palatino Linotype"/>
          <w:b/>
          <w:i/>
          <w:color w:val="000000" w:themeColor="text1"/>
        </w:rPr>
        <w:t>municipal</w:t>
      </w:r>
      <w:r w:rsidRPr="00C05074">
        <w:rPr>
          <w:rFonts w:ascii="Palatino Linotype" w:eastAsia="Palatino Linotype" w:hAnsi="Palatino Linotype" w:cs="Palatino Linotype"/>
          <w:i/>
          <w:color w:val="000000" w:themeColor="text1"/>
        </w:rPr>
        <w:t xml:space="preserve">, </w:t>
      </w:r>
      <w:r w:rsidRPr="00C05074">
        <w:rPr>
          <w:rFonts w:ascii="Palatino Linotype" w:eastAsia="Palatino Linotype" w:hAnsi="Palatino Linotype" w:cs="Palatino Linotype"/>
          <w:b/>
          <w:i/>
          <w:color w:val="000000" w:themeColor="text1"/>
        </w:rPr>
        <w:t>es pública</w:t>
      </w:r>
      <w:r w:rsidRPr="00C05074">
        <w:rPr>
          <w:rFonts w:ascii="Palatino Linotype" w:eastAsia="Palatino Linotype" w:hAnsi="Palatino Linotype" w:cs="Palatino Linotype"/>
          <w:i/>
          <w:color w:val="000000" w:themeColor="text1"/>
        </w:rPr>
        <w:t xml:space="preserve"> y sólo podrá ser reservada temporalmente por razones de interés público y seguridad nacional, en los términos que fijen las leyes. </w:t>
      </w:r>
      <w:r w:rsidRPr="00C05074">
        <w:rPr>
          <w:rFonts w:ascii="Palatino Linotype" w:eastAsia="Palatino Linotype" w:hAnsi="Palatino Linotype" w:cs="Palatino Linotype"/>
          <w:b/>
          <w:i/>
          <w:color w:val="000000" w:themeColor="text1"/>
        </w:rPr>
        <w:t>En la interpretación de este derecho deberá prevalecer el principio de máxima publicidad. Los sujetos obligados deberán documentar todo acto que derive del ejercicio de sus facultades, competencias o funciones</w:t>
      </w:r>
      <w:r w:rsidRPr="00C05074">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BA39BC" w:rsidRPr="00C05074" w:rsidRDefault="00BA39BC" w:rsidP="00C05074">
      <w:pPr>
        <w:pBdr>
          <w:top w:val="nil"/>
          <w:left w:val="nil"/>
          <w:bottom w:val="nil"/>
          <w:right w:val="nil"/>
          <w:between w:val="nil"/>
        </w:pBdr>
        <w:tabs>
          <w:tab w:val="left" w:pos="567"/>
        </w:tabs>
        <w:spacing w:before="240" w:after="240"/>
        <w:jc w:val="both"/>
        <w:rPr>
          <w:rFonts w:ascii="Palatino Linotype" w:eastAsia="Palatino Linotype" w:hAnsi="Palatino Linotype" w:cs="Palatino Linotype"/>
          <w:b/>
          <w:i/>
          <w:color w:val="000000" w:themeColor="text1"/>
        </w:rPr>
      </w:pPr>
    </w:p>
    <w:p w:rsidR="00BA39BC" w:rsidRPr="00C05074" w:rsidRDefault="006A648A" w:rsidP="00C05074">
      <w:pPr>
        <w:spacing w:before="240" w:after="240"/>
        <w:jc w:val="both"/>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Constitución Política del Estado Libre y Soberano de México</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lastRenderedPageBreak/>
        <w:t>“Artículo 5</w:t>
      </w:r>
      <w:r w:rsidRPr="00C05074">
        <w:rPr>
          <w:rFonts w:ascii="Palatino Linotype" w:eastAsia="Palatino Linotype" w:hAnsi="Palatino Linotype" w:cs="Palatino Linotype"/>
          <w:i/>
          <w:color w:val="000000" w:themeColor="text1"/>
        </w:rPr>
        <w:t xml:space="preserve">.- </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El derecho a la información será garantizado por el Estado. La ley establecerá las previsiones que permitan asegurar la protección, el respeto y la difusión de este derecho</w:t>
      </w:r>
      <w:r w:rsidRPr="00C05074">
        <w:rPr>
          <w:rFonts w:ascii="Palatino Linotype" w:eastAsia="Palatino Linotype" w:hAnsi="Palatino Linotype" w:cs="Palatino Linotype"/>
          <w:i/>
          <w:color w:val="000000" w:themeColor="text1"/>
        </w:rPr>
        <w:t>.</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Este derecho se regirá por los principios y bases siguientes</w:t>
      </w:r>
      <w:r w:rsidRPr="00C05074">
        <w:rPr>
          <w:rFonts w:ascii="Palatino Linotype" w:eastAsia="Palatino Linotype" w:hAnsi="Palatino Linotype" w:cs="Palatino Linotype"/>
          <w:i/>
          <w:color w:val="000000" w:themeColor="text1"/>
        </w:rPr>
        <w:t>:</w:t>
      </w:r>
    </w:p>
    <w:p w:rsidR="00BA39BC" w:rsidRPr="00C05074" w:rsidRDefault="006A648A" w:rsidP="00C05074">
      <w:pPr>
        <w:spacing w:before="240" w:after="24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I. Toda la información en posesión de cualquier autoridad, entidad, órgano y organismos de los</w:t>
      </w:r>
      <w:r w:rsidRPr="00C05074">
        <w:rPr>
          <w:rFonts w:ascii="Palatino Linotype" w:eastAsia="Palatino Linotype" w:hAnsi="Palatino Linotype" w:cs="Palatino Linotype"/>
          <w:i/>
          <w:color w:val="000000" w:themeColor="text1"/>
        </w:rPr>
        <w:t xml:space="preserve"> Poderes Ejecutivo, Legislativo y Judicial, órganos autónomos, partidos políticos, fideicomisos y fondos públicos estatales y </w:t>
      </w:r>
      <w:r w:rsidRPr="00C05074">
        <w:rPr>
          <w:rFonts w:ascii="Palatino Linotype" w:eastAsia="Palatino Linotype" w:hAnsi="Palatino Linotype" w:cs="Palatino Linotype"/>
          <w:b/>
          <w:i/>
          <w:color w:val="000000" w:themeColor="text1"/>
        </w:rPr>
        <w:t>municipales</w:t>
      </w:r>
      <w:r w:rsidRPr="00C05074">
        <w:rPr>
          <w:rFonts w:ascii="Palatino Linotype" w:eastAsia="Palatino Linotype" w:hAnsi="Palatino Linotype" w:cs="Palatino Linotype"/>
          <w:i/>
          <w:color w:val="000000" w:themeColor="text1"/>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C05074">
        <w:rPr>
          <w:rFonts w:ascii="Palatino Linotype" w:eastAsia="Palatino Linotype" w:hAnsi="Palatino Linotype" w:cs="Palatino Linotype"/>
          <w:b/>
          <w:i/>
          <w:color w:val="000000" w:themeColor="text1"/>
        </w:rPr>
        <w:t>es pública</w:t>
      </w:r>
      <w:r w:rsidRPr="00C05074">
        <w:rPr>
          <w:rFonts w:ascii="Palatino Linotype" w:eastAsia="Palatino Linotype" w:hAnsi="Palatino Linotype" w:cs="Palatino Linotype"/>
          <w:i/>
          <w:color w:val="000000" w:themeColor="text1"/>
        </w:rPr>
        <w:t xml:space="preserve"> y sólo podrá ser reservada temporalmente por razones previstas en la Constitución Política de los Estados Unidos Mexicanos de interés público y seguridad, en los términos que fijen las leyes. </w:t>
      </w:r>
      <w:r w:rsidRPr="00C05074">
        <w:rPr>
          <w:rFonts w:ascii="Palatino Linotype" w:eastAsia="Palatino Linotype" w:hAnsi="Palatino Linotype" w:cs="Palatino Linotype"/>
          <w:b/>
          <w:i/>
          <w:color w:val="000000" w:themeColor="text1"/>
        </w:rPr>
        <w:t>En la interpretación de este derecho deberá prevalecer el principio de máxima publicidad</w:t>
      </w:r>
      <w:r w:rsidRPr="00C05074">
        <w:rPr>
          <w:rFonts w:ascii="Palatino Linotype" w:eastAsia="Palatino Linotype" w:hAnsi="Palatino Linotype" w:cs="Palatino Linotype"/>
          <w:i/>
          <w:color w:val="000000" w:themeColor="text1"/>
        </w:rPr>
        <w:t xml:space="preserve">. </w:t>
      </w:r>
      <w:r w:rsidRPr="00C05074">
        <w:rPr>
          <w:rFonts w:ascii="Palatino Linotype" w:eastAsia="Palatino Linotype" w:hAnsi="Palatino Linotype" w:cs="Palatino Linotype"/>
          <w:b/>
          <w:i/>
          <w:color w:val="000000" w:themeColor="text1"/>
        </w:rPr>
        <w:t>Los sujetos obligados deberán documentar todo acto que derive del ejercicio de sus facultades, competencias o funciones</w:t>
      </w:r>
      <w:r w:rsidRPr="00C05074">
        <w:rPr>
          <w:rFonts w:ascii="Palatino Linotype" w:eastAsia="Palatino Linotype" w:hAnsi="Palatino Linotype" w:cs="Palatino Linotype"/>
          <w:i/>
          <w:color w:val="000000" w:themeColor="text1"/>
        </w:rPr>
        <w:t>, la ley determinará los supuestos específicos bajo los cuales procederá la declaración de inexistencia de la información.”</w:t>
      </w:r>
    </w:p>
    <w:p w:rsidR="00BA39BC" w:rsidRPr="00C05074" w:rsidRDefault="00BA39BC" w:rsidP="00C05074">
      <w:pPr>
        <w:tabs>
          <w:tab w:val="left" w:pos="567"/>
        </w:tabs>
        <w:spacing w:before="240" w:after="240"/>
        <w:jc w:val="both"/>
        <w:rPr>
          <w:rFonts w:ascii="Palatino Linotype" w:eastAsia="Palatino Linotype" w:hAnsi="Palatino Linotype" w:cs="Palatino Linotype"/>
          <w:b/>
          <w:i/>
          <w:color w:val="000000" w:themeColor="text1"/>
        </w:rPr>
      </w:pPr>
    </w:p>
    <w:p w:rsidR="00BA39BC" w:rsidRPr="00C05074" w:rsidRDefault="006A648A" w:rsidP="00C05074">
      <w:pPr>
        <w:numPr>
          <w:ilvl w:val="0"/>
          <w:numId w:val="2"/>
        </w:numPr>
        <w:spacing w:before="240"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 xml:space="preserve">Según el artículo 150 de la Ley de Transparencia del Estado, la solicitud es la garantía primaria del Derecho de Acceso a la Información, además, establece que se regirá </w:t>
      </w:r>
      <w:r w:rsidRPr="00C05074">
        <w:rPr>
          <w:rFonts w:ascii="Palatino Linotype" w:eastAsia="Palatino Linotype" w:hAnsi="Palatino Linotype" w:cs="Palatino Linotype"/>
          <w:i/>
          <w:color w:val="000000" w:themeColor="text1"/>
        </w:rPr>
        <w:t>por los principios de simplicidad, rapidez gratuidad del procedimiento, auxilio y orientación a los particulares</w:t>
      </w:r>
      <w:r w:rsidRPr="00C05074">
        <w:rPr>
          <w:rFonts w:ascii="Palatino Linotype" w:eastAsia="Palatino Linotype" w:hAnsi="Palatino Linotype" w:cs="Palatino Linotype"/>
          <w:color w:val="000000" w:themeColor="text1"/>
        </w:rPr>
        <w:t>, contemplando el derecho de las personas con discapacidad y hablantes de lengua indígena.</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lastRenderedPageBreak/>
        <w:t xml:space="preserve">El Derecho de Acceso a la Información se garantiza y respeta oportunamente, y según lo que dispone la Ley, las </w:t>
      </w:r>
      <w:r w:rsidRPr="00C05074">
        <w:rPr>
          <w:rFonts w:ascii="Palatino Linotype" w:eastAsia="Palatino Linotype" w:hAnsi="Palatino Linotype" w:cs="Palatino Linotype"/>
          <w:i/>
          <w:color w:val="000000" w:themeColor="text1"/>
        </w:rPr>
        <w:t>solicitudes de acceso a la información</w:t>
      </w:r>
      <w:r w:rsidRPr="00C05074">
        <w:rPr>
          <w:rFonts w:ascii="Palatino Linotype" w:eastAsia="Palatino Linotype" w:hAnsi="Palatino Linotype" w:cs="Palatino Linotype"/>
          <w:color w:val="000000" w:themeColor="text1"/>
        </w:rPr>
        <w:t>.</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bookmarkStart w:id="8" w:name="_heading=h.17dp8vu" w:colFirst="0" w:colLast="0"/>
      <w:bookmarkEnd w:id="8"/>
      <w:r w:rsidRPr="00C05074">
        <w:rPr>
          <w:rFonts w:ascii="Palatino Linotype" w:eastAsia="Palatino Linotype" w:hAnsi="Palatino Linotype" w:cs="Palatino Linotype"/>
          <w:color w:val="000000" w:themeColor="text1"/>
        </w:rPr>
        <w:t xml:space="preserve">Así entonces, se procede analizar, en primer lugar, si el </w:t>
      </w:r>
      <w:r w:rsidRPr="00C05074">
        <w:rPr>
          <w:rFonts w:ascii="Palatino Linotype" w:eastAsia="Palatino Linotype" w:hAnsi="Palatino Linotype" w:cs="Palatino Linotype"/>
          <w:b/>
          <w:color w:val="000000" w:themeColor="text1"/>
        </w:rPr>
        <w:t>SUJETO OBLIGADO</w:t>
      </w:r>
      <w:r w:rsidRPr="00C05074">
        <w:rPr>
          <w:rFonts w:ascii="Palatino Linotype" w:eastAsia="Palatino Linotype" w:hAnsi="Palatino Linotype" w:cs="Palatino Linotype"/>
          <w:color w:val="000000" w:themeColor="text1"/>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pStyle w:val="Ttulo1"/>
        <w:spacing w:before="0" w:after="240" w:line="360" w:lineRule="auto"/>
        <w:rPr>
          <w:rFonts w:ascii="Palatino Linotype" w:eastAsia="Palatino Linotype" w:hAnsi="Palatino Linotype" w:cs="Palatino Linotype"/>
          <w:b/>
          <w:color w:val="000000" w:themeColor="text1"/>
          <w:sz w:val="24"/>
          <w:szCs w:val="24"/>
        </w:rPr>
      </w:pPr>
      <w:bookmarkStart w:id="9" w:name="_heading=h.3rdcrjn" w:colFirst="0" w:colLast="0"/>
      <w:bookmarkEnd w:id="9"/>
      <w:r w:rsidRPr="00C05074">
        <w:rPr>
          <w:rFonts w:ascii="Palatino Linotype" w:eastAsia="Palatino Linotype" w:hAnsi="Palatino Linotype" w:cs="Palatino Linotype"/>
          <w:b/>
          <w:color w:val="000000" w:themeColor="text1"/>
          <w:sz w:val="24"/>
          <w:szCs w:val="24"/>
        </w:rPr>
        <w:t>II. De la información solicitada y la respuesta del SUJETO OBLIGADO</w:t>
      </w: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 xml:space="preserve">Acotada la </w:t>
      </w:r>
      <w:r w:rsidRPr="00C05074">
        <w:rPr>
          <w:rFonts w:ascii="Palatino Linotype" w:eastAsia="Palatino Linotype" w:hAnsi="Palatino Linotype" w:cs="Palatino Linotype"/>
          <w:i/>
          <w:color w:val="000000" w:themeColor="text1"/>
        </w:rPr>
        <w:t>Litis</w:t>
      </w:r>
      <w:r w:rsidRPr="00C05074">
        <w:rPr>
          <w:rFonts w:ascii="Palatino Linotype" w:eastAsia="Palatino Linotype" w:hAnsi="Palatino Linotype" w:cs="Palatino Linotype"/>
          <w:color w:val="000000" w:themeColor="text1"/>
        </w:rPr>
        <w:t xml:space="preserve"> del presente asunto, primeramente es menester precisar que del escrito de inconformidad, se observa que el particular se duele por la negativa a la entrega de la información. </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 xml:space="preserve">En ese sentido, es importante recordar la información que fue solicitada por el </w:t>
      </w:r>
      <w:r w:rsidRPr="00C05074">
        <w:rPr>
          <w:rFonts w:ascii="Palatino Linotype" w:eastAsia="Palatino Linotype" w:hAnsi="Palatino Linotype" w:cs="Palatino Linotype"/>
          <w:b/>
          <w:color w:val="000000" w:themeColor="text1"/>
        </w:rPr>
        <w:t xml:space="preserve">RECURRENTE. </w:t>
      </w:r>
    </w:p>
    <w:p w:rsidR="00BA39BC" w:rsidRPr="00C05074" w:rsidRDefault="006A648A" w:rsidP="00C0507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Del uno al trece de mayo de dos mil veinticinco:</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 xml:space="preserve">Actas de Cabildo </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Citatorios</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Versiones estenográficas</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Audio y video</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Listas de asistencia</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Justificante de integrantes que no asistieron</w:t>
      </w:r>
    </w:p>
    <w:p w:rsidR="00BA39BC" w:rsidRPr="00C05074" w:rsidRDefault="006A648A" w:rsidP="00C05074">
      <w:pPr>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Fotografías</w:t>
      </w:r>
    </w:p>
    <w:p w:rsidR="00BA39BC" w:rsidRPr="00C05074" w:rsidRDefault="00BA39BC" w:rsidP="00C05074">
      <w:pPr>
        <w:jc w:val="center"/>
        <w:rPr>
          <w:rFonts w:ascii="Palatino Linotype" w:eastAsia="Times New Roman" w:hAnsi="Palatino Linotype" w:cs="Times New Roman"/>
          <w:i/>
          <w:color w:val="000000" w:themeColor="text1"/>
        </w:rPr>
      </w:pPr>
    </w:p>
    <w:p w:rsidR="00BA39BC" w:rsidRPr="00C05074" w:rsidRDefault="006A648A" w:rsidP="00C05074">
      <w:pPr>
        <w:numPr>
          <w:ilvl w:val="0"/>
          <w:numId w:val="2"/>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lastRenderedPageBreak/>
        <w:t xml:space="preserve">De lo anterior, el </w:t>
      </w:r>
      <w:r w:rsidRPr="00C05074">
        <w:rPr>
          <w:rFonts w:ascii="Palatino Linotype" w:eastAsia="Palatino Linotype" w:hAnsi="Palatino Linotype" w:cs="Palatino Linotype"/>
          <w:b/>
          <w:color w:val="000000" w:themeColor="text1"/>
        </w:rPr>
        <w:t xml:space="preserve">SUJETO OBLIGADO </w:t>
      </w:r>
      <w:r w:rsidRPr="00C05074">
        <w:rPr>
          <w:rFonts w:ascii="Palatino Linotype" w:eastAsia="Palatino Linotype" w:hAnsi="Palatino Linotype" w:cs="Palatino Linotype"/>
          <w:color w:val="000000" w:themeColor="text1"/>
        </w:rPr>
        <w:t>entregó en  respuesta a la solicitud de información tres archivos en formato PDF, cuyo contenido ha sido desglosado en el punto dos de los antecedentes.</w:t>
      </w: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color w:val="000000" w:themeColor="text1"/>
        </w:rPr>
        <w:t xml:space="preserve"> Es preciso observar que el Presidente Municipal como titular del Ejecutivo municipal, es el representante del municipio, el titular o jefe de la administración pública y como tal, ejecutor de las determinaciones del ayuntamiento, además , es el que preside las sesiones de cabildo, por lo que sus atribuciones se pueden clasificar en tres grupos, como representante jurídico y político del municipio, como presidente o líder del cabildo y como jefe o titular de la administración pública municipal, siendo en esa área donde tiene mayor número de atribuciones, mismas que se desprenden del artículo 48 de la Ley Orgánica Municipal del Estado de México.</w:t>
      </w:r>
    </w:p>
    <w:p w:rsidR="00BA39BC" w:rsidRPr="00C05074" w:rsidRDefault="00BA39BC" w:rsidP="00C05074">
      <w:pPr>
        <w:spacing w:line="360" w:lineRule="auto"/>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Por su parte la Ley Orgánica Municipal del estado de México considera a los Síndicos como defensores y procuradores de los derechos e intereses del Municipio, en especial los de carácter patrimonial, ejerciendo en conjunto con el órgano de Control la función de Contraloría Interna.</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Artículo 53.- Los síndicos tendrán las siguientes atribuciones: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 Procurar, defender y promover los derechos e intereses municipales; representar jurídicamente a los integrantes de los ayuntamientos, facultándolos para otorgar y revocar poderes generales y especiales a terceros o mediante oficio para la debida representación jurídica correspondiente, pudiendo convenir en los mismos.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La representación legal de los miembros de los ayuntamientos, sólo se dará en asuntos oficiales;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 Bis. Supervisar a los representantes legales asignados por el Ayuntamiento, en la correcta atención y defensa de los litigios laborales;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 Ter. Informar al presidente, en caso de cualquier irregularidad en la atención y/o defensa de los litigios laborales seguidos ante las autoridades laborales competentes.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 xml:space="preserve">Derogado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II.Revisar y firmar los cortes de caja de la tesorería municipal;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III.Cuidar que la aplicación de los gastos se haga llenando todos los requisitos legales y conforme al presupuesto respectivo;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IV. Vigilar que las multas que impongan las autoridades municipales ingresen a la tesorería, previo comprobante respectivo;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 Asistir a las visitas de inspección que realice el Órgano Superior de Fiscalización del Estado de México a la tesorería e informar de los resultados al ayuntamiento;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VI. Hacer que oportunamente se remitan al Órgano Superior de Fiscalización del Estado de México las cuentas de la tesorería municipal y remitir copia del resumen financiero a los miembros del ayuntamiento;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VII. Intervenir en la formulación del inventario general de los bienes muebles e inmuebles propiedad del municipio, haciendo que se inscriban en el libro especial, con expresión de sus valores y de todas las características de identificación, así como el uso y destino de los mismos;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VIII. Regularizar la propiedad de los bienes inmuebles municipales, para ello tendrán un plazo de ciento veinte días hábiles, contados a partir de la adquisición;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IX. Inscribir los bienes inmuebles municipales en el Registro Público de la Propiedad, para iniciar los trámites correspondientes tendrán un plazo de ciento veinte días hábiles contados a partir de aquel en que concluyo el proceso de regularización;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 Derogada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XI. Participar en los remates públicos en los que tenga interés el municipio, para que se finquen al mejor postor y se guarden los términos y disposiciones prevenidos en las leyes respectivas;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XII. Verificar que los remates públicos se realicen en los términos de las leyes respectivas;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XIII. Verificar que los funcionarios y empleados del municipio cumplan con hacer la manifestación de bienes que prevé la Ley de Responsabilidades Administrativas del Estado de México y Municipios;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XIV. Admitir, tramitar y resolver los recursos administrativos que sean de su competencia;</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XV. Revisar las relaciones de rezagos para que sean liquidados;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XVI. Revisar el informe mensual que le remita el Tesorero, y en su caso formular las observaciones correspondientes.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XVII. Firmar las Actas de Cabildo, y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XVIII. Las demás que les señalen las disposiciones aplicables.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En el caso de que sean dos los síndicos que se elijan, uno estará encargado de los ingresos de la hacienda municipal y el otro de los egresos. El primero tendrá las facultades y obligaciones consignadas en las fracciones I, IV, V, y XVI y el segundo, las contenidas en las fracciones II, III, VI, VII, VIII, IX, X y XII entendiéndose que se ejercerán indistintamente las demás. Derogado. Los síndicos y los presidentes municipales que asuman la representación jurídica del Ayuntamiento, no pueden desistirse, transigir, comprometerse en árbitros, ni hacer cesión de bienes muebles o inmuebles municipales, sin la autorización expresa del Ayuntamiento.</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color w:val="000000" w:themeColor="text1"/>
        </w:rPr>
        <w:t>Así mismo, se encuentra que los regidores quienes al ser funcionarios públicos electos por voto popular y ser representantes de la comunidad en el ayuntamiento  son titulares de las diversas regidurías que les son asignadas  a fin de dar cabal cumplimiento a las atribuciones señaladas por el artículo 55 de la Ley Orgánica Municipal del Estado de México, entre las que se encuentran:</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Artículo 55.- </w:t>
      </w:r>
      <w:r w:rsidRPr="00C05074">
        <w:rPr>
          <w:rFonts w:ascii="Palatino Linotype" w:eastAsia="Palatino Linotype" w:hAnsi="Palatino Linotype" w:cs="Palatino Linotype"/>
          <w:i/>
          <w:color w:val="000000" w:themeColor="text1"/>
        </w:rPr>
        <w:t xml:space="preserve">Son atribuciones de los regidores, las siguientes: </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I.Asistir puntualmente a las sesiones que celebre el ayuntamiento; </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II.Suplir al presidente municipal en sus faltas temporales, en los términos establecidos por este ordenamiento; </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III.Vigilar y atender el sector de la administración municipal que les sea encomendado por el ayuntamiento;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IV. Participar responsablemente en las comisiones conferidas por el ayuntamiento y aquéllas que le designe en forma concreta el presidente municipal;</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V.Proponer al ayuntamiento, alternativas de solución para la debida atención de los diferentes sectores de la administración municipal; </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VI.Promover la participación ciudadana en apoyo a los programas que formule y apruebe el ayuntamiento; </w:t>
      </w:r>
    </w:p>
    <w:p w:rsidR="00BA39BC" w:rsidRPr="00C05074" w:rsidRDefault="006A648A" w:rsidP="00C05074">
      <w:pPr>
        <w:pBdr>
          <w:top w:val="nil"/>
          <w:left w:val="nil"/>
          <w:bottom w:val="nil"/>
          <w:right w:val="nil"/>
          <w:between w:val="nil"/>
        </w:pBd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VII.Firmar las Actas de Cabildo, y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VIII. Las demás que les otorgue esta Ley y otras disposiciones aplicables.</w:t>
      </w:r>
    </w:p>
    <w:p w:rsidR="00BA39BC" w:rsidRPr="00C05074" w:rsidRDefault="00BA39BC" w:rsidP="00C05074">
      <w:pPr>
        <w:spacing w:line="360" w:lineRule="auto"/>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Así también al ser el Ayuntamiento un órgano deliberante que resuelve colegiadamente los asuntos de su competencia que considera al Cabildo como el máximo órgano de autoridad municipal y que se conforma para el caso de Toluca por un Presidente </w:t>
      </w:r>
      <w:r w:rsidRPr="00C05074">
        <w:rPr>
          <w:rFonts w:ascii="Palatino Linotype" w:eastAsia="Palatino Linotype" w:hAnsi="Palatino Linotype" w:cs="Palatino Linotype"/>
          <w:color w:val="000000" w:themeColor="text1"/>
        </w:rPr>
        <w:lastRenderedPageBreak/>
        <w:t>Municipal , dos Sindicaturas y doce regidurías según se observa en lo que determina el Código Reglamentario Municipal en su artículo 2.3:</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Artículo 2.3. De acuerdo a las disposiciones jurídicas aplicables, el Ayuntamiento será integrado por: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 La Presidencia Municipal; </w:t>
      </w:r>
    </w:p>
    <w:p w:rsidR="00BA39BC" w:rsidRPr="00C05074" w:rsidRDefault="006A648A" w:rsidP="00C05074">
      <w:pP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II. Dos Sindicaturas, una de mayoría relativa y uno de representación proporcional; y </w:t>
      </w:r>
    </w:p>
    <w:p w:rsidR="00BA39BC" w:rsidRPr="00C05074" w:rsidRDefault="006A648A" w:rsidP="00C05074">
      <w:pPr>
        <w:numPr>
          <w:ilvl w:val="0"/>
          <w:numId w:val="9"/>
        </w:numPr>
        <w:pBdr>
          <w:top w:val="nil"/>
          <w:left w:val="nil"/>
          <w:bottom w:val="nil"/>
          <w:right w:val="nil"/>
          <w:between w:val="nil"/>
        </w:pBdr>
        <w:spacing w:line="276"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Doce Regidurías, siete de mayoría relativa y cinco de representación proporcional.</w:t>
      </w:r>
    </w:p>
    <w:p w:rsidR="00BA39BC" w:rsidRPr="00C05074" w:rsidRDefault="00BA39BC" w:rsidP="00C05074">
      <w:pPr>
        <w:spacing w:line="276" w:lineRule="auto"/>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Ahora bien, por lo que respecta a las actas de cabildo, tales documentales se resguardan obligatoriamente por la Secretaría del Ayuntamiento, obligación que se consagra dentro Código Reglamentario Municipal de Toluca: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Artículo 2.40. </w:t>
      </w:r>
      <w:r w:rsidRPr="00C05074">
        <w:rPr>
          <w:rFonts w:ascii="Palatino Linotype" w:eastAsia="Palatino Linotype" w:hAnsi="Palatino Linotype" w:cs="Palatino Linotype"/>
          <w:i/>
          <w:color w:val="000000" w:themeColor="text1"/>
        </w:rPr>
        <w:t>Para que los acuerdos de Cabildo sean válidos, se requerirá del voto de la mayoría o de la mayoría de las dos terceras partes de las y los integrantes del Ayuntamiento presentes en la sesión, cuando haya disposición expresa.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Una vez tomado el acuerdo, este será irrevocable, a menos que haya sido tomado en contravención a la Ley, hayan desaparecido las causas que lo motivaron o el interés público así lo exija, para lo cual se tendrá que observar el mismo procedimiento y formalidades que se siguieron al tomar el acuerdo.</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Artículo 2.41. </w:t>
      </w:r>
      <w:r w:rsidRPr="00C05074">
        <w:rPr>
          <w:rFonts w:ascii="Palatino Linotype" w:eastAsia="Palatino Linotype" w:hAnsi="Palatino Linotype" w:cs="Palatino Linotype"/>
          <w:i/>
          <w:color w:val="000000" w:themeColor="text1"/>
        </w:rPr>
        <w:t>La Secretaría del Ayuntamiento, levantará un acta de cada Sesión de Cabildo, cuya fidelidad de lo escrito lo dará la respectiva videograbación que se realice de cada sesión.</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El Acta de Cabildo deberá contener los siguientes elementos:</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 Fecha, lugar y hora en que se celebra la sesión y hora de su clausura;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II. Orden del día;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III. Certificación de la existencia de quórum legal;</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IV. Asuntos tratados, con descripción de sus antecedentes, fundamentos legales, disposiciones que al respecto se hayan aprobado, el resultado de la votación, así como los acuerdos derivados de la aprobación del punto y el extracto de los comentarios o participaciones relativos al punto de que se trate; y</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V. Anexos que formen parte integral del acta.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De cada sesión se levantará grabación video gráfica, siendo parte del apéndice el medio magnético que sea utilizado para contener la grabación; la Secretaría del Ayuntamiento será la responsable de mantener plenamente identificado e intacto el material video gráfico.</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lastRenderedPageBreak/>
        <w:t>Artículo 2.42</w:t>
      </w:r>
      <w:r w:rsidRPr="00C05074">
        <w:rPr>
          <w:rFonts w:ascii="Palatino Linotype" w:eastAsia="Palatino Linotype" w:hAnsi="Palatino Linotype" w:cs="Palatino Linotype"/>
          <w:i/>
          <w:color w:val="000000" w:themeColor="text1"/>
        </w:rPr>
        <w:t>. Las actas de Cabildo firmadas por las y los integrantes del Ayuntamiento, deberán estar integradas en un libro, correspondiendo a la Secretaría del Ayuntamiento llevar y resguardar bajo su más estricta responsabilidad el libro de actas de Cabildo.</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Así mismo será responsabilidad y obligación de las y los integrantes del Ayuntamiento, firmar las actas de Cabildo.</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 Ahora bien, del análisis realizado a las documentales entregadas en respuesta por el Sujeto Obligado, se desglosa para su mejor comprensión en el siguiente cuadro: </w:t>
      </w:r>
    </w:p>
    <w:p w:rsidR="00C05074" w:rsidRPr="00C05074" w:rsidRDefault="00C05074" w:rsidP="00C05074">
      <w:pPr>
        <w:spacing w:line="360" w:lineRule="auto"/>
        <w:jc w:val="both"/>
        <w:rPr>
          <w:rFonts w:ascii="Palatino Linotype" w:eastAsia="Palatino Linotype" w:hAnsi="Palatino Linotype" w:cs="Palatino Linotype"/>
          <w:color w:val="000000" w:themeColor="text1"/>
        </w:rPr>
      </w:pPr>
    </w:p>
    <w:tbl>
      <w:tblPr>
        <w:tblStyle w:val="a4"/>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63"/>
        <w:gridCol w:w="4699"/>
        <w:gridCol w:w="2672"/>
      </w:tblGrid>
      <w:tr w:rsidR="00C05074" w:rsidRPr="00C05074" w:rsidTr="009C2CE3">
        <w:trPr>
          <w:trHeight w:val="378"/>
        </w:trPr>
        <w:tc>
          <w:tcPr>
            <w:tcW w:w="2263" w:type="dxa"/>
            <w:shd w:val="clear" w:color="auto" w:fill="E7E6E6"/>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ARCHIVO</w:t>
            </w:r>
          </w:p>
        </w:tc>
        <w:tc>
          <w:tcPr>
            <w:tcW w:w="4699" w:type="dxa"/>
            <w:shd w:val="clear" w:color="auto" w:fill="E7E6E6"/>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CONTENIDO</w:t>
            </w:r>
          </w:p>
        </w:tc>
        <w:tc>
          <w:tcPr>
            <w:tcW w:w="2672" w:type="dxa"/>
            <w:shd w:val="clear" w:color="auto" w:fill="E7E6E6"/>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CUMPLIMIENTO</w:t>
            </w:r>
          </w:p>
        </w:tc>
      </w:tr>
      <w:tr w:rsidR="00C05074" w:rsidRPr="00C05074" w:rsidTr="009C2CE3">
        <w:tc>
          <w:tcPr>
            <w:tcW w:w="2263" w:type="dxa"/>
            <w:vAlign w:val="center"/>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SA anexo SAIMEX 2782.pdf</w:t>
            </w:r>
          </w:p>
        </w:tc>
        <w:tc>
          <w:tcPr>
            <w:tcW w:w="4699" w:type="dxa"/>
            <w:vAlign w:val="center"/>
          </w:tcPr>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Secretaría del Ayuntamiento informa que entrega actas de cabildo y citatorios en SA  anexo SAIMEX 2782-1 Y 2.</w:t>
            </w:r>
          </w:p>
          <w:p w:rsidR="00BA39BC" w:rsidRPr="00C05074" w:rsidRDefault="00BA39BC" w:rsidP="00C05074">
            <w:pPr>
              <w:rPr>
                <w:rFonts w:ascii="Palatino Linotype" w:eastAsia="Palatino Linotype" w:hAnsi="Palatino Linotype" w:cs="Palatino Linotype"/>
                <w:i/>
                <w:color w:val="000000" w:themeColor="text1"/>
              </w:rPr>
            </w:pP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Con respecto a las Listas de asistencia señala que esta información la puede consultar en cada una de las Actas de las Sesiones de Cabildo del Ayuntamiento de Toluca, Estado de México. </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Con respecto al Justificante de los asistentes que no asistieron no se cuenta con información </w:t>
            </w: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BA39BC" w:rsidP="00C05074">
            <w:pPr>
              <w:jc w:val="both"/>
              <w:rPr>
                <w:rFonts w:ascii="Palatino Linotype" w:eastAsia="Palatino Linotype" w:hAnsi="Palatino Linotype" w:cs="Palatino Linotype"/>
                <w:i/>
                <w:color w:val="000000" w:themeColor="text1"/>
              </w:rPr>
            </w:pP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Por lo que respecta a la versión “escenografía”, audio y video, se hace del conocimiento que de acuerdo a lo establecido en el artículo 30 de la Ley Orgánica Municipal del Estado de México, se deberá contar con una versión estenográfica o videograbada; En este tenor sé informa que se cuenta con la versión videograbada de las Sesiones de Cabildo del Ayuntamiento de Toluca, Administración 2025-2027, mismas que se adjuntan con la fotografía correspondiente.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Finalmente entrega link de la Décimo Sexta Sesión Ordinaria de Cabildo del Ayuntamiento de Toluca 2025 -2027 de </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Fecha 09 de mayo de 2025</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 </w:t>
            </w:r>
            <w:hyperlink r:id="rId9">
              <w:r w:rsidRPr="00C05074">
                <w:rPr>
                  <w:rFonts w:ascii="Palatino Linotype" w:eastAsia="Palatino Linotype" w:hAnsi="Palatino Linotype" w:cs="Palatino Linotype"/>
                  <w:i/>
                  <w:color w:val="000000" w:themeColor="text1"/>
                  <w:u w:val="single"/>
                </w:rPr>
                <w:t>https://www.youtube.com/watch?v=-a-GNbZ_e9A</w:t>
              </w:r>
            </w:hyperlink>
            <w:r w:rsidRPr="00C05074">
              <w:rPr>
                <w:rFonts w:ascii="Palatino Linotype" w:eastAsia="Palatino Linotype" w:hAnsi="Palatino Linotype" w:cs="Palatino Linotype"/>
                <w:i/>
                <w:color w:val="000000" w:themeColor="text1"/>
              </w:rPr>
              <w:t xml:space="preserve"> </w:t>
            </w:r>
          </w:p>
          <w:p w:rsidR="00BA39BC" w:rsidRPr="00C05074" w:rsidRDefault="00BA39BC" w:rsidP="00C05074">
            <w:pPr>
              <w:tabs>
                <w:tab w:val="left" w:pos="426"/>
              </w:tabs>
              <w:jc w:val="both"/>
              <w:rPr>
                <w:rFonts w:ascii="Palatino Linotype" w:eastAsia="Palatino Linotype" w:hAnsi="Palatino Linotype" w:cs="Palatino Linotype"/>
                <w:color w:val="000000" w:themeColor="text1"/>
              </w:rPr>
            </w:pPr>
          </w:p>
        </w:tc>
        <w:tc>
          <w:tcPr>
            <w:tcW w:w="2672" w:type="dxa"/>
          </w:tcPr>
          <w:p w:rsidR="00BA39BC" w:rsidRPr="00C05074" w:rsidRDefault="006A648A" w:rsidP="00C05074">
            <w:pPr>
              <w:tabs>
                <w:tab w:val="left" w:pos="426"/>
              </w:tabs>
              <w:jc w:val="cente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PARCIAL</w:t>
            </w: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No entrega archivo relativo a citatorios señalados.</w:t>
            </w: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Al inicio del acta y firmas se aprecia la conformación de la Sesión de cabildo por los miembros asistentes del Ayuntamiento, para el caso del acta 19/2025 se observa la inasistencia del Presidente y primer Sindico. Colma</w:t>
            </w: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No entrega escrito dirigido a la Secretaría del Ayuntamiento por inasistencia del Presidente y Primer Síndico. No Colma.</w:t>
            </w: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cente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Colma</w:t>
            </w:r>
          </w:p>
        </w:tc>
      </w:tr>
      <w:tr w:rsidR="00C05074" w:rsidRPr="00C05074" w:rsidTr="009C2CE3">
        <w:tc>
          <w:tcPr>
            <w:tcW w:w="2263" w:type="dxa"/>
            <w:vAlign w:val="center"/>
          </w:tcPr>
          <w:p w:rsidR="00BA39BC" w:rsidRPr="00C05074" w:rsidRDefault="006A648A" w:rsidP="00C05074">
            <w:pPr>
              <w:tabs>
                <w:tab w:val="left" w:pos="426"/>
              </w:tabs>
              <w:spacing w:line="360" w:lineRule="auto"/>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lastRenderedPageBreak/>
              <w:t>SA anexo SAIMEX 2782-1.pdf</w:t>
            </w:r>
          </w:p>
        </w:tc>
        <w:tc>
          <w:tcPr>
            <w:tcW w:w="4699" w:type="dxa"/>
            <w:vAlign w:val="center"/>
          </w:tcPr>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Presenta Versión Pública de la décima sexta sesión ordinaria de Cabildo de fecha nueve de mayo de dos mil veinticinco.</w:t>
            </w:r>
          </w:p>
        </w:tc>
        <w:tc>
          <w:tcPr>
            <w:tcW w:w="2672" w:type="dxa"/>
          </w:tcPr>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cente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Colma</w:t>
            </w:r>
          </w:p>
          <w:p w:rsidR="00BA39BC" w:rsidRPr="00C05074" w:rsidRDefault="00BA39BC" w:rsidP="00C05074">
            <w:pPr>
              <w:tabs>
                <w:tab w:val="left" w:pos="426"/>
              </w:tabs>
              <w:jc w:val="center"/>
              <w:rPr>
                <w:rFonts w:ascii="Palatino Linotype" w:eastAsia="Palatino Linotype" w:hAnsi="Palatino Linotype" w:cs="Palatino Linotype"/>
                <w:i/>
                <w:color w:val="000000" w:themeColor="text1"/>
              </w:rPr>
            </w:pPr>
          </w:p>
        </w:tc>
      </w:tr>
      <w:tr w:rsidR="00BA39BC" w:rsidRPr="00C05074" w:rsidTr="009C2CE3">
        <w:tc>
          <w:tcPr>
            <w:tcW w:w="2263" w:type="dxa"/>
            <w:vAlign w:val="center"/>
          </w:tcPr>
          <w:p w:rsidR="00BA39BC" w:rsidRPr="00C05074" w:rsidRDefault="006A648A" w:rsidP="00C05074">
            <w:pPr>
              <w:tabs>
                <w:tab w:val="left" w:pos="426"/>
              </w:tabs>
              <w:jc w:val="center"/>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ACTA SEPTINGÉSIMA SEGUNDA SESIÓN EXTRAORDINARIA 2025.pdf</w:t>
            </w:r>
          </w:p>
        </w:tc>
        <w:tc>
          <w:tcPr>
            <w:tcW w:w="4699" w:type="dxa"/>
            <w:vAlign w:val="center"/>
          </w:tcPr>
          <w:p w:rsidR="00BA39BC" w:rsidRPr="00C05074" w:rsidRDefault="006A648A" w:rsidP="00C05074">
            <w:pPr>
              <w:tabs>
                <w:tab w:val="left" w:pos="426"/>
              </w:tabs>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Donde presenta Acuerdo del Comité de Transparencia donde se clasifica parcialmente nombre, domicilio y clave catastral dentro de las actas de Cabildo del uno al catorce de mayo de la presente anualidad.</w:t>
            </w:r>
          </w:p>
        </w:tc>
        <w:tc>
          <w:tcPr>
            <w:tcW w:w="2672" w:type="dxa"/>
          </w:tcPr>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BA39BC" w:rsidP="00C05074">
            <w:pPr>
              <w:tabs>
                <w:tab w:val="left" w:pos="426"/>
              </w:tabs>
              <w:jc w:val="both"/>
              <w:rPr>
                <w:rFonts w:ascii="Palatino Linotype" w:eastAsia="Palatino Linotype" w:hAnsi="Palatino Linotype" w:cs="Palatino Linotype"/>
                <w:i/>
                <w:color w:val="000000" w:themeColor="text1"/>
              </w:rPr>
            </w:pPr>
          </w:p>
          <w:p w:rsidR="00BA39BC" w:rsidRPr="00C05074" w:rsidRDefault="006A648A" w:rsidP="00C05074">
            <w:pPr>
              <w:tabs>
                <w:tab w:val="left" w:pos="426"/>
              </w:tabs>
              <w:jc w:val="cente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Colma</w:t>
            </w:r>
          </w:p>
        </w:tc>
      </w:tr>
    </w:tbl>
    <w:p w:rsidR="00BA39BC" w:rsidRDefault="00BA39BC" w:rsidP="00C05074">
      <w:pPr>
        <w:spacing w:line="360" w:lineRule="auto"/>
        <w:jc w:val="both"/>
        <w:rPr>
          <w:rFonts w:ascii="Palatino Linotype" w:eastAsia="Palatino Linotype" w:hAnsi="Palatino Linotype" w:cs="Palatino Linotype"/>
          <w:color w:val="000000" w:themeColor="text1"/>
        </w:rPr>
      </w:pPr>
    </w:p>
    <w:p w:rsidR="009C2CE3" w:rsidRPr="00C05074" w:rsidRDefault="009C2CE3"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De la las documentales entregadas en respuesta se aprecia que no entrega el archivo que contiene el citatorio para la Décimo Sexta Sesión Ordinaria a la que hace referencia dentro de la respuesta emitida por el servidor público habilitado de fecha doce de julio de </w:t>
      </w:r>
      <w:r w:rsidRPr="00C05074">
        <w:rPr>
          <w:rFonts w:ascii="Palatino Linotype" w:eastAsia="Palatino Linotype" w:hAnsi="Palatino Linotype" w:cs="Palatino Linotype"/>
          <w:color w:val="000000" w:themeColor="text1"/>
        </w:rPr>
        <w:lastRenderedPageBreak/>
        <w:t xml:space="preserve">la presente anualidad, donde indica la entrega de los archivos </w:t>
      </w:r>
      <w:r w:rsidRPr="00C05074">
        <w:rPr>
          <w:rFonts w:ascii="Palatino Linotype" w:eastAsia="Palatino Linotype" w:hAnsi="Palatino Linotype" w:cs="Palatino Linotype"/>
          <w:b/>
          <w:color w:val="000000" w:themeColor="text1"/>
        </w:rPr>
        <w:t xml:space="preserve">SA anexo SAIMEX 2782-1 y SA anexo SAIMEX 2782-2 </w:t>
      </w:r>
      <w:r w:rsidRPr="00C05074">
        <w:rPr>
          <w:rFonts w:ascii="Palatino Linotype" w:eastAsia="Palatino Linotype" w:hAnsi="Palatino Linotype" w:cs="Palatino Linotype"/>
          <w:color w:val="000000" w:themeColor="text1"/>
        </w:rPr>
        <w:t>como se aprecia de la siguiente captura de SAIMEX:</w:t>
      </w:r>
      <w:r w:rsidRPr="00C05074">
        <w:rPr>
          <w:rFonts w:ascii="Palatino Linotype" w:eastAsia="Palatino Linotype" w:hAnsi="Palatino Linotype" w:cs="Palatino Linotype"/>
          <w:b/>
          <w:color w:val="000000" w:themeColor="text1"/>
        </w:rPr>
        <w:t xml:space="preserve"> </w:t>
      </w:r>
    </w:p>
    <w:p w:rsidR="00C05074" w:rsidRPr="00C05074" w:rsidRDefault="00C05074" w:rsidP="00C05074">
      <w:pPr>
        <w:pBdr>
          <w:top w:val="nil"/>
          <w:left w:val="nil"/>
          <w:bottom w:val="nil"/>
          <w:right w:val="nil"/>
          <w:between w:val="nil"/>
        </w:pBdr>
        <w:tabs>
          <w:tab w:val="left" w:pos="285"/>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tabs>
          <w:tab w:val="left" w:pos="285"/>
        </w:tabs>
        <w:spacing w:line="360" w:lineRule="auto"/>
        <w:jc w:val="center"/>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noProof/>
          <w:color w:val="000000" w:themeColor="text1"/>
          <w:lang w:val="es-MX"/>
        </w:rPr>
        <w:drawing>
          <wp:inline distT="0" distB="0" distL="0" distR="0">
            <wp:extent cx="4051690" cy="3169893"/>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051690" cy="3169893"/>
                    </a:xfrm>
                    <a:prstGeom prst="rect">
                      <a:avLst/>
                    </a:prstGeom>
                    <a:ln/>
                  </pic:spPr>
                </pic:pic>
              </a:graphicData>
            </a:graphic>
          </wp:inline>
        </w:drawing>
      </w:r>
    </w:p>
    <w:p w:rsidR="00BA39BC" w:rsidRPr="00C05074" w:rsidRDefault="00BA39BC" w:rsidP="00C05074">
      <w:pPr>
        <w:tabs>
          <w:tab w:val="left" w:pos="285"/>
        </w:tabs>
        <w:spacing w:line="360" w:lineRule="auto"/>
        <w:jc w:val="center"/>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Ahora bien en cuanto a los citatorios referidos es de señalar que la generación de los mismos es una atribución que  corresponde a la Secretaría del Ayuntamiento, como bien señala el artículo 91 fracción segunda de la Ley orgánica Municipal:</w:t>
      </w:r>
    </w:p>
    <w:p w:rsidR="00BA39BC" w:rsidRPr="00C05074" w:rsidRDefault="006A648A" w:rsidP="00C05074">
      <w:pPr>
        <w:spacing w:before="240"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Artículo 91.-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 </w:t>
      </w:r>
    </w:p>
    <w:p w:rsidR="00BA39BC" w:rsidRPr="00C05074" w:rsidRDefault="006A648A" w:rsidP="00C05074">
      <w:pPr>
        <w:spacing w:before="240"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I. Asistir a las sesiones del ayuntamiento y levantar las actas correspondientes; </w:t>
      </w:r>
    </w:p>
    <w:p w:rsidR="00BA39BC" w:rsidRPr="00C05074" w:rsidRDefault="006A648A" w:rsidP="00C05074">
      <w:pPr>
        <w:spacing w:before="240" w:line="276" w:lineRule="auto"/>
        <w:jc w:val="both"/>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lastRenderedPageBreak/>
        <w:t>II. Emitir los citatorios para la celebración de las sesiones de cabildo, convocadas legalmente;</w:t>
      </w:r>
    </w:p>
    <w:p w:rsidR="00BA39BC" w:rsidRPr="00C05074" w:rsidRDefault="006A648A" w:rsidP="00C05074">
      <w:pPr>
        <w:spacing w:before="240"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(III…XIV)</w:t>
      </w:r>
    </w:p>
    <w:p w:rsidR="00BA39BC" w:rsidRPr="00C05074" w:rsidRDefault="00BA39BC" w:rsidP="00C05074">
      <w:pPr>
        <w:tabs>
          <w:tab w:val="left" w:pos="285"/>
        </w:tabs>
        <w:spacing w:line="360" w:lineRule="auto"/>
        <w:jc w:val="both"/>
        <w:rPr>
          <w:rFonts w:ascii="Palatino Linotype" w:eastAsia="Palatino Linotype" w:hAnsi="Palatino Linotype" w:cs="Palatino Linotype"/>
          <w:color w:val="000000" w:themeColor="text1"/>
        </w:rPr>
      </w:pPr>
    </w:p>
    <w:p w:rsidR="00BA39BC" w:rsidRPr="00C05074" w:rsidRDefault="006A648A" w:rsidP="0020361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Por cuanto hace a las listas de asistencia, la Ley Orgánica Municipal del Estado de México en su artículo 28 párrafo décimo segundo,  señala como requisito previo a la celebración de las sesiones de cabildo entre otras la lista de asistencia que  tiene como objetivos determinar si se conforma el quorum legal a fin de que pueda ser considerada válida y legítima tal sesión; por lo que la existencia de aquellas además constituye la propia sesión al indicar el número, tipo, fecha y hora del acto jurídico, así como registrar las ausencias que pudieran generar el documento que justifique la inasistencia, transparentando con este documento  el control </w:t>
      </w:r>
      <w:r w:rsidR="00ED332D" w:rsidRPr="00C05074">
        <w:rPr>
          <w:rFonts w:ascii="Palatino Linotype" w:eastAsia="Palatino Linotype" w:hAnsi="Palatino Linotype" w:cs="Palatino Linotype"/>
          <w:color w:val="000000" w:themeColor="text1"/>
        </w:rPr>
        <w:t>de ésta actividad gubernamental;</w:t>
      </w:r>
    </w:p>
    <w:p w:rsidR="00BA39BC" w:rsidRPr="00C05074" w:rsidRDefault="00BA39BC" w:rsidP="00C05074">
      <w:pPr>
        <w:tabs>
          <w:tab w:val="left" w:pos="285"/>
        </w:tabs>
        <w:spacing w:line="360" w:lineRule="auto"/>
        <w:jc w:val="both"/>
        <w:rPr>
          <w:rFonts w:ascii="Palatino Linotype" w:eastAsia="Palatino Linotype" w:hAnsi="Palatino Linotype" w:cs="Palatino Linotype"/>
          <w:color w:val="000000" w:themeColor="text1"/>
        </w:rPr>
      </w:pPr>
    </w:p>
    <w:p w:rsidR="00ED332D" w:rsidRPr="00203614" w:rsidRDefault="00ED332D" w:rsidP="00C0507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203614">
        <w:rPr>
          <w:rFonts w:ascii="Palatino Linotype" w:eastAsia="Palatino Linotype" w:hAnsi="Palatino Linotype" w:cs="Palatino Linotype"/>
          <w:color w:val="000000" w:themeColor="text1"/>
        </w:rPr>
        <w:t>De lo anterior se observa que al señalar el servidor público habilitado que las listas de asistencia pueden ser consultadas en cada una de las Actas de las Sesiones de Cabildo del Ayuntamiento se tiene por colmado este punto de la solicitud.</w:t>
      </w:r>
    </w:p>
    <w:p w:rsidR="00ED332D" w:rsidRPr="00C05074" w:rsidRDefault="00ED332D" w:rsidP="00C05074">
      <w:pPr>
        <w:pStyle w:val="Prrafodelista"/>
        <w:ind w:left="0"/>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En el mismo tenor de ideas, del análisis del acta de la sesión décima sexta se aprecian las inasistencias del Presidente y Primer Síndico,  por lo que ambos servidores públicos están a lo que el Código Reglamentario Municipal señala:</w:t>
      </w:r>
    </w:p>
    <w:p w:rsidR="00BA39BC" w:rsidRPr="00C05074" w:rsidRDefault="006A648A" w:rsidP="00C05074">
      <w:pP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Artículo 2.10. </w:t>
      </w:r>
      <w:r w:rsidRPr="00C05074">
        <w:rPr>
          <w:rFonts w:ascii="Palatino Linotype" w:eastAsia="Palatino Linotype" w:hAnsi="Palatino Linotype" w:cs="Palatino Linotype"/>
          <w:i/>
          <w:color w:val="000000" w:themeColor="text1"/>
        </w:rPr>
        <w:t xml:space="preserve">Las inasistencias a las sesiones de Cabildo por parte de las y los integrantes del Ayuntamiento deberán ser justificadas </w:t>
      </w:r>
      <w:r w:rsidRPr="00C05074">
        <w:rPr>
          <w:rFonts w:ascii="Palatino Linotype" w:eastAsia="Palatino Linotype" w:hAnsi="Palatino Linotype" w:cs="Palatino Linotype"/>
          <w:b/>
          <w:i/>
          <w:color w:val="000000" w:themeColor="text1"/>
        </w:rPr>
        <w:t>mediante escrito dirigido a la Secretaría del Ayuntamiento en un término no mayor a 48 horas;</w:t>
      </w:r>
      <w:r w:rsidRPr="00C05074">
        <w:rPr>
          <w:rFonts w:ascii="Palatino Linotype" w:eastAsia="Palatino Linotype" w:hAnsi="Palatino Linotype" w:cs="Palatino Linotype"/>
          <w:i/>
          <w:color w:val="000000" w:themeColor="text1"/>
        </w:rPr>
        <w:t xml:space="preserve"> las </w:t>
      </w:r>
      <w:r w:rsidRPr="00C05074">
        <w:rPr>
          <w:rFonts w:ascii="Palatino Linotype" w:eastAsia="Palatino Linotype" w:hAnsi="Palatino Linotype" w:cs="Palatino Linotype"/>
          <w:b/>
          <w:i/>
          <w:color w:val="000000" w:themeColor="text1"/>
        </w:rPr>
        <w:t>inasistencias injustificadas se harán del conocimiento a la Contraloría del Poder Legislativo del Estado de México.</w:t>
      </w: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Se consideran faltas justificadas las que se presenten con motivo de:</w:t>
      </w: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 Salud, siempre y cuando se cumplan los requisitos establecidos en la Ley del Trabajo de los Servidores Públicos del Estado y Municipios;</w:t>
      </w: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II. Comisión oficial, cuando exista documento en el que conste y esta no se contraponga con las disposiciones jurídicas vigentes; y</w:t>
      </w: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III. Caso fortuito o fuerza mayor. Aquellas contingencias que escapen a su control y que puedan demostrar de manera documental.</w:t>
      </w:r>
    </w:p>
    <w:p w:rsidR="00BA39BC" w:rsidRPr="00C05074" w:rsidRDefault="006A648A" w:rsidP="00C05074">
      <w:pPr>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En caso de inasistencias a las sesiones de las comisiones, la justificación se hará ante la Presidenta o el Presidente de la Comisión</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Por lo que al negar la entrega de tales escritos no colma  la solicitud del Recurrente, toda vez que es obligación de la Secretaría del Ayuntamiento el resguardo de éstos justificantes o en todo caso hacer del conocimiento de tales inasistencias injustificadas a la Contraloría del Poder Legislativo del Estado de México.</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Por lo que respecta a la versión estenográfica, audio y video de las sesiones de cabildo de la temporalidad solicitada, la Ley Orgánica Municipal señala en el párrafo tercero de su artículo treinta:</w:t>
      </w:r>
    </w:p>
    <w:p w:rsidR="00BA39BC" w:rsidRPr="00C05074" w:rsidRDefault="006A648A" w:rsidP="00C05074">
      <w:pPr>
        <w:pBdr>
          <w:top w:val="nil"/>
          <w:left w:val="nil"/>
          <w:bottom w:val="nil"/>
          <w:right w:val="nil"/>
          <w:between w:val="nil"/>
        </w:pBdr>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“Para cada sesión se deberá contar con una </w:t>
      </w:r>
      <w:r w:rsidRPr="00C05074">
        <w:rPr>
          <w:rFonts w:ascii="Palatino Linotype" w:eastAsia="Palatino Linotype" w:hAnsi="Palatino Linotype" w:cs="Palatino Linotype"/>
          <w:b/>
          <w:i/>
          <w:color w:val="000000" w:themeColor="text1"/>
        </w:rPr>
        <w:t>versión estenográfica o videograbada</w:t>
      </w:r>
      <w:r w:rsidRPr="00C05074">
        <w:rPr>
          <w:rFonts w:ascii="Palatino Linotype" w:eastAsia="Palatino Linotype" w:hAnsi="Palatino Linotype" w:cs="Palatino Linotype"/>
          <w:i/>
          <w:color w:val="000000" w:themeColor="text1"/>
        </w:rPr>
        <w:t xml:space="preserve"> que permita hacer las aclaraciones pertinentes, la cual formará parte del acta correspondiente. La versión estenográfica o videograbada deberá estar disponible en la página de internet del Ayuntamiento y en las oficinas de la Secretaría del Ayuntamiento.”</w:t>
      </w:r>
    </w:p>
    <w:p w:rsidR="00BA39BC" w:rsidRPr="00C05074" w:rsidRDefault="00BA39BC" w:rsidP="00C05074">
      <w:pPr>
        <w:pBdr>
          <w:top w:val="nil"/>
          <w:left w:val="nil"/>
          <w:bottom w:val="nil"/>
          <w:right w:val="nil"/>
          <w:between w:val="nil"/>
        </w:pBdr>
        <w:jc w:val="both"/>
        <w:rPr>
          <w:rFonts w:ascii="Palatino Linotype" w:eastAsia="Palatino Linotype" w:hAnsi="Palatino Linotype" w:cs="Palatino Linotype"/>
          <w:i/>
          <w:color w:val="000000" w:themeColor="text1"/>
        </w:rPr>
      </w:pPr>
    </w:p>
    <w:p w:rsidR="00BA39BC" w:rsidRPr="00C05074" w:rsidRDefault="006A648A" w:rsidP="00C05074">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Por lo que al hacer entrega el Sujeto Obligado del link de consulta </w:t>
      </w:r>
      <w:hyperlink r:id="rId11">
        <w:r w:rsidRPr="00C05074">
          <w:rPr>
            <w:rFonts w:ascii="Palatino Linotype" w:eastAsia="Palatino Linotype" w:hAnsi="Palatino Linotype" w:cs="Palatino Linotype"/>
            <w:i/>
            <w:color w:val="000000" w:themeColor="text1"/>
            <w:u w:val="single"/>
          </w:rPr>
          <w:t>https://www.youtube.com/watch?v=-a-GNbZ_e9A</w:t>
        </w:r>
      </w:hyperlink>
      <w:r w:rsidRPr="00C05074">
        <w:rPr>
          <w:rFonts w:ascii="Palatino Linotype" w:eastAsia="Palatino Linotype" w:hAnsi="Palatino Linotype" w:cs="Palatino Linotype"/>
          <w:i/>
          <w:color w:val="000000" w:themeColor="text1"/>
          <w:u w:val="single"/>
        </w:rPr>
        <w:t xml:space="preserve">  </w:t>
      </w:r>
      <w:r w:rsidRPr="00C05074">
        <w:rPr>
          <w:rFonts w:ascii="Palatino Linotype" w:eastAsia="Palatino Linotype" w:hAnsi="Palatino Linotype" w:cs="Palatino Linotype"/>
          <w:color w:val="000000" w:themeColor="text1"/>
        </w:rPr>
        <w:t>que al ser consultado refiere a la grabación de la Décima Sexta Sesión de Cabildo de Toluca como se aprecia de la siguiente captura de pantalla:</w:t>
      </w:r>
    </w:p>
    <w:p w:rsidR="00BA39BC" w:rsidRDefault="006A648A" w:rsidP="00C05074">
      <w:pPr>
        <w:tabs>
          <w:tab w:val="left" w:pos="285"/>
        </w:tabs>
        <w:spacing w:line="360" w:lineRule="auto"/>
        <w:jc w:val="center"/>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noProof/>
          <w:color w:val="000000" w:themeColor="text1"/>
          <w:lang w:val="es-MX"/>
        </w:rPr>
        <w:lastRenderedPageBreak/>
        <w:drawing>
          <wp:inline distT="0" distB="0" distL="0" distR="0">
            <wp:extent cx="3584458" cy="4183582"/>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3584458" cy="4183582"/>
                    </a:xfrm>
                    <a:prstGeom prst="rect">
                      <a:avLst/>
                    </a:prstGeom>
                    <a:ln/>
                  </pic:spPr>
                </pic:pic>
              </a:graphicData>
            </a:graphic>
          </wp:inline>
        </w:drawing>
      </w:r>
    </w:p>
    <w:p w:rsidR="009C2CE3" w:rsidRPr="00C05074" w:rsidRDefault="009C2CE3" w:rsidP="00C05074">
      <w:pPr>
        <w:tabs>
          <w:tab w:val="left" w:pos="285"/>
        </w:tabs>
        <w:spacing w:line="360" w:lineRule="auto"/>
        <w:jc w:val="center"/>
        <w:rPr>
          <w:rFonts w:ascii="Palatino Linotype" w:eastAsia="Palatino Linotype" w:hAnsi="Palatino Linotype" w:cs="Palatino Linotype"/>
          <w:color w:val="000000" w:themeColor="text1"/>
        </w:rPr>
      </w:pPr>
    </w:p>
    <w:p w:rsidR="00BA39BC" w:rsidRPr="00C05074" w:rsidRDefault="006A648A"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De esta forma al ser una liga en formato abierto para la consulta es decir que:</w:t>
      </w:r>
    </w:p>
    <w:p w:rsidR="00BA39BC" w:rsidRPr="00C05074" w:rsidRDefault="006A648A" w:rsidP="00C05074">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La dirección electrónica se debe entregar en formato abierto, para que el Recurrente pueda copiar y pegar sin la necesidad de transcribir la liga electrónica.</w:t>
      </w:r>
    </w:p>
    <w:p w:rsidR="00BA39BC" w:rsidRPr="00C05074" w:rsidRDefault="006A648A"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Dado que la ley permite al Sujeto Obligado generar una versión ya sea estenográfica  o video grabada,  misma que contiene el audio de la sesión, es que se tiene por colmado estos puntos de la solicitud del particular. </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2"/>
        </w:numPr>
        <w:pBdr>
          <w:top w:val="nil"/>
          <w:left w:val="nil"/>
          <w:bottom w:val="nil"/>
          <w:right w:val="nil"/>
          <w:between w:val="nil"/>
        </w:pBdr>
        <w:shd w:val="clear" w:color="auto" w:fill="FDFCFB"/>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Así mismo por cuanto hace a las fotografías solicitadas por el particular, y toda vez que la generación de las mismas no encuentra sustento jurídico o fuente obligacional para </w:t>
      </w:r>
      <w:r w:rsidRPr="00C05074">
        <w:rPr>
          <w:rFonts w:ascii="Palatino Linotype" w:eastAsia="Palatino Linotype" w:hAnsi="Palatino Linotype" w:cs="Palatino Linotype"/>
          <w:color w:val="000000" w:themeColor="text1"/>
        </w:rPr>
        <w:lastRenderedPageBreak/>
        <w:t>generarla, pero que el Sujeto Obligado entrega en respuesta, es importante señalar que el artículo 4, párrafo segundo de la Ley de Transparencia y Acceso a la Información Pública del Estado de México y Municipios, dispone:</w:t>
      </w:r>
    </w:p>
    <w:p w:rsidR="00BA39BC" w:rsidRPr="00C05074" w:rsidRDefault="006A648A" w:rsidP="009C2CE3">
      <w:pPr>
        <w:shd w:val="clear" w:color="auto" w:fill="FDFCFB"/>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w:t>
      </w: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4. …</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BA39BC" w:rsidRPr="00C05074" w:rsidRDefault="006A648A" w:rsidP="00C05074">
      <w:pPr>
        <w:shd w:val="clear" w:color="auto" w:fill="FDFCFB"/>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w:t>
      </w:r>
    </w:p>
    <w:p w:rsidR="00BA39BC" w:rsidRPr="009C2CE3" w:rsidRDefault="006A648A"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w:t>
      </w:r>
    </w:p>
    <w:p w:rsidR="00BA39BC" w:rsidRPr="009C2CE3" w:rsidRDefault="006A648A"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t>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w:t>
      </w:r>
    </w:p>
    <w:p w:rsidR="00BA39BC" w:rsidRPr="00C05074" w:rsidRDefault="006A648A" w:rsidP="009C2CE3">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w:t>
      </w: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12.</w:t>
      </w:r>
      <w:r w:rsidRPr="00C05074">
        <w:rPr>
          <w:rFonts w:ascii="Palatino Linotype" w:eastAsia="Palatino Linotype" w:hAnsi="Palatino Linotype" w:cs="Palatino Linotype"/>
          <w:i/>
          <w:color w:val="000000" w:themeColor="text1"/>
        </w:rPr>
        <w:t> Quienes generen, recopilen, administren, manejen, procesen, archiven o conserven información pública serán responsables de la misma en los términos de las disposiciones jurídicas aplicables.</w:t>
      </w:r>
    </w:p>
    <w:p w:rsidR="00BA39BC" w:rsidRPr="00C05074" w:rsidRDefault="006A648A" w:rsidP="00C05074">
      <w:pPr>
        <w:shd w:val="clear" w:color="auto" w:fill="FDFCFB"/>
        <w:tabs>
          <w:tab w:val="left" w:pos="7371"/>
        </w:tabs>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 </w:t>
      </w:r>
    </w:p>
    <w:p w:rsidR="00BA39BC" w:rsidRPr="00C05074" w:rsidRDefault="006A648A" w:rsidP="00C05074">
      <w:pPr>
        <w:shd w:val="clear" w:color="auto" w:fill="FDFCFB"/>
        <w:tabs>
          <w:tab w:val="left" w:pos="7371"/>
        </w:tabs>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w:t>
      </w:r>
    </w:p>
    <w:p w:rsidR="00BA39BC" w:rsidRPr="009C2CE3" w:rsidRDefault="006A648A"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t xml:space="preserve">En síntesis, el derecho de acceso a la información pública se satisface en aquellos casos en que se entregue el soporte documental en que conste la información pública, toda </w:t>
      </w:r>
      <w:r w:rsidRPr="009C2CE3">
        <w:rPr>
          <w:rFonts w:ascii="Palatino Linotype" w:eastAsia="Palatino Linotype" w:hAnsi="Palatino Linotype" w:cs="Palatino Linotype"/>
          <w:color w:val="000000" w:themeColor="text1"/>
        </w:rPr>
        <w:lastRenderedPageBreak/>
        <w:t>vez que, los Sujetos Obligados no tienen el deber de generar, poseer o administrar la información pública con el grado de detalle solicitado; esto es, que no tienen el deber de generar un documento ad hoc, para satisfacer el derecho de acceso a la información pública.</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w:t>
      </w:r>
    </w:p>
    <w:p w:rsidR="00BA39BC" w:rsidRPr="009C2CE3" w:rsidRDefault="006A648A"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t>Como apoyo a lo anterior, es aplicable el Criterio 03-17, emitido por el Instituto Nacional de Transparencia, Acceso a la Información y Protección de Datos Personales, que dice:</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w:t>
      </w:r>
      <w:r w:rsidRPr="00C05074">
        <w:rPr>
          <w:rFonts w:ascii="Palatino Linotype" w:eastAsia="Palatino Linotype" w:hAnsi="Palatino Linotype" w:cs="Palatino Linotype"/>
          <w:b/>
          <w:i/>
          <w:color w:val="000000" w:themeColor="text1"/>
        </w:rPr>
        <w:t>“No existe obligación de elaborar documentos ad hoc para atender las solicitudes de acceso a la información.</w:t>
      </w:r>
      <w:r w:rsidRPr="00C05074">
        <w:rPr>
          <w:rFonts w:ascii="Palatino Linotype" w:eastAsia="Palatino Linotype" w:hAnsi="Palatino Linotype" w:cs="Palatino Linotype"/>
          <w:i/>
          <w:color w:val="000000" w:themeColor="text1"/>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 </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Resoluciones:</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 RRA 0050/16. Instituto Nacional para la Evaluación de la Educación. 13 julio de 2016. Por unanimidad. Comisionado Ponente: Francisco Javier Acuña Llamas.</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 RRA 0310/16. Instituto Nacional de Transparencia, Acceso a la Información y Protección de Datos Personales. 10 de agosto de 2016. Por unanimidad. Comisionada Ponente. Areli Cano Guadiana.</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 RRA 1889/16. Secretaría de Hacienda y Crédito Público. 05 de octubre de 2016. Por unanimidad. Comisionada Ponente. Ximena Puente de la Mora.”</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w:t>
      </w:r>
    </w:p>
    <w:p w:rsidR="00BA39BC" w:rsidRPr="009C2CE3" w:rsidRDefault="009C2CE3"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A</w:t>
      </w:r>
      <w:r w:rsidR="006A648A" w:rsidRPr="009C2CE3">
        <w:rPr>
          <w:rFonts w:ascii="Palatino Linotype" w:eastAsia="Palatino Linotype" w:hAnsi="Palatino Linotype" w:cs="Palatino Linotype"/>
          <w:color w:val="000000" w:themeColor="text1"/>
        </w:rPr>
        <w:t>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w:t>
      </w:r>
    </w:p>
    <w:p w:rsidR="00BA39BC" w:rsidRPr="009C2CE3" w:rsidRDefault="006A648A"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t xml:space="preserve">En esta misma tesitura, es de subrayar que el derecho de acceso a la información pública, consiste en que la información solicitada conste en un soporte documental en </w:t>
      </w:r>
      <w:r w:rsidRPr="009C2CE3">
        <w:rPr>
          <w:rFonts w:ascii="Palatino Linotype" w:eastAsia="Palatino Linotype" w:hAnsi="Palatino Linotype" w:cs="Palatino Linotype"/>
          <w:color w:val="000000" w:themeColor="text1"/>
        </w:rPr>
        <w:lastRenderedPageBreak/>
        <w:t>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w:t>
      </w:r>
    </w:p>
    <w:p w:rsidR="00BA39BC" w:rsidRPr="00C05074" w:rsidRDefault="006A648A" w:rsidP="009C2CE3">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w:t>
      </w:r>
      <w:r w:rsidRPr="00C05074">
        <w:rPr>
          <w:rFonts w:ascii="Palatino Linotype" w:eastAsia="Palatino Linotype" w:hAnsi="Palatino Linotype" w:cs="Palatino Linotype"/>
          <w:b/>
          <w:i/>
          <w:color w:val="000000" w:themeColor="text1"/>
        </w:rPr>
        <w:t>“Artículo 3.</w:t>
      </w:r>
      <w:r w:rsidRPr="00C05074">
        <w:rPr>
          <w:rFonts w:ascii="Palatino Linotype" w:eastAsia="Palatino Linotype" w:hAnsi="Palatino Linotype" w:cs="Palatino Linotype"/>
          <w:i/>
          <w:color w:val="000000" w:themeColor="text1"/>
        </w:rPr>
        <w:t> Para los efectos de la presente Ley se entenderá por:</w:t>
      </w:r>
    </w:p>
    <w:p w:rsidR="00BA39BC" w:rsidRPr="00C05074" w:rsidRDefault="006A648A" w:rsidP="00C05074">
      <w:pPr>
        <w:shd w:val="clear" w:color="auto" w:fill="FDFCFB"/>
        <w:tabs>
          <w:tab w:val="left" w:pos="7513"/>
        </w:tabs>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shd w:val="clear" w:color="auto" w:fill="FDFCFB"/>
        <w:tabs>
          <w:tab w:val="left" w:pos="7513"/>
        </w:tabs>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i/>
          <w:color w:val="000000" w:themeColor="text1"/>
        </w:rPr>
        <w:t>XI. Documento:</w:t>
      </w:r>
      <w:r w:rsidRPr="00C05074">
        <w:rPr>
          <w:rFonts w:ascii="Palatino Linotype" w:eastAsia="Palatino Linotype" w:hAnsi="Palatino Linotype" w:cs="Palatino Linotype"/>
          <w:i/>
          <w:color w:val="000000" w:themeColor="text1"/>
        </w:rPr>
        <w:t>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C05074">
        <w:rPr>
          <w:rFonts w:ascii="Palatino Linotype" w:eastAsia="Palatino Linotype" w:hAnsi="Palatino Linotype" w:cs="Palatino Linotype"/>
          <w:b/>
          <w:i/>
          <w:color w:val="000000" w:themeColor="text1"/>
        </w:rPr>
        <w:t>Los documentos podrán estar en cualquier medio, sea escrito, impreso, sonoro, visual, electrónico, informático u holográfico;</w:t>
      </w:r>
    </w:p>
    <w:p w:rsidR="00BA39BC" w:rsidRPr="00C05074" w:rsidRDefault="006A648A" w:rsidP="00C05074">
      <w:pPr>
        <w:shd w:val="clear" w:color="auto" w:fill="FDFCFB"/>
        <w:tabs>
          <w:tab w:val="left" w:pos="7513"/>
        </w:tabs>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w:t>
      </w:r>
    </w:p>
    <w:p w:rsidR="00BA39BC" w:rsidRPr="009C2CE3" w:rsidRDefault="009C2CE3" w:rsidP="009C2CE3">
      <w:pPr>
        <w:pStyle w:val="Prrafodelista"/>
        <w:numPr>
          <w:ilvl w:val="0"/>
          <w:numId w:val="2"/>
        </w:numPr>
        <w:shd w:val="clear" w:color="auto" w:fill="FDFCFB"/>
        <w:ind w:left="0" w:firstLine="0"/>
        <w:jc w:val="both"/>
        <w:rPr>
          <w:rFonts w:ascii="Palatino Linotype" w:eastAsia="Palatino Linotype" w:hAnsi="Palatino Linotype" w:cs="Palatino Linotype"/>
          <w:color w:val="000000" w:themeColor="text1"/>
        </w:rPr>
      </w:pPr>
      <w:r>
        <w:rPr>
          <w:rFonts w:ascii="Palatino Linotype" w:eastAsia="Palatino Linotype" w:hAnsi="Palatino Linotype" w:cs="Palatino Linotype"/>
          <w:color w:val="000000" w:themeColor="text1"/>
        </w:rPr>
        <w:t xml:space="preserve"> </w:t>
      </w:r>
      <w:r w:rsidR="006A648A" w:rsidRPr="009C2CE3">
        <w:rPr>
          <w:rFonts w:ascii="Palatino Linotype" w:eastAsia="Palatino Linotype" w:hAnsi="Palatino Linotype" w:cs="Palatino Linotype"/>
          <w:color w:val="000000" w:themeColor="text1"/>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BA39BC" w:rsidRPr="00C05074" w:rsidRDefault="006A648A" w:rsidP="00C05074">
      <w:pPr>
        <w:shd w:val="clear" w:color="auto" w:fill="FDFCFB"/>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w:t>
      </w:r>
      <w:r w:rsidRPr="00C05074">
        <w:rPr>
          <w:rFonts w:ascii="Palatino Linotype" w:eastAsia="Palatino Linotype" w:hAnsi="Palatino Linotype" w:cs="Palatino Linotype"/>
          <w:i/>
          <w:color w:val="000000" w:themeColor="text1"/>
        </w:rPr>
        <w:t>“CRITERIO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BA39BC" w:rsidRPr="00C05074" w:rsidRDefault="00BA39BC" w:rsidP="00C05074">
      <w:pPr>
        <w:jc w:val="both"/>
        <w:rPr>
          <w:rFonts w:ascii="Palatino Linotype" w:eastAsia="Palatino Linotype" w:hAnsi="Palatino Linotype" w:cs="Palatino Linotype"/>
          <w:b/>
          <w:color w:val="000000" w:themeColor="text1"/>
        </w:rPr>
      </w:pPr>
    </w:p>
    <w:p w:rsidR="00BA39BC" w:rsidRPr="009C2CE3" w:rsidRDefault="006A648A" w:rsidP="009C2CE3">
      <w:pPr>
        <w:pStyle w:val="Prrafodelista"/>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lastRenderedPageBreak/>
        <w:t>Por otra vertiente, se menciona que si bien se pidieron, Citatorios, Versiones estenográficas, Audio y video, Listas de asistencia, Justificante de integrantes que no asistieron y Fotografías de las Sesiones de Cabildo celebradas en el mes de mayo de la presente anualidad, aun y cuando la solicitud ingresó en fecha trece del citado mes y año, otorgar la correspondiente a los días catorce al treinta y uno constituye actos futuros.</w:t>
      </w:r>
    </w:p>
    <w:p w:rsidR="00BA39BC" w:rsidRPr="00C05074" w:rsidRDefault="006A648A" w:rsidP="009C2CE3">
      <w:pPr>
        <w:numPr>
          <w:ilvl w:val="0"/>
          <w:numId w:val="2"/>
        </w:numPr>
        <w:pBdr>
          <w:top w:val="nil"/>
          <w:left w:val="nil"/>
          <w:bottom w:val="nil"/>
          <w:right w:val="nil"/>
          <w:between w:val="nil"/>
        </w:pBdr>
        <w:spacing w:before="240"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Bajo este contexto, se destaca que el derecho de acceso a la información estriba respecto de aquellos soportes documentales generados, poseídos o administrados por </w:t>
      </w:r>
      <w:r w:rsidRPr="00C05074">
        <w:rPr>
          <w:rFonts w:ascii="Palatino Linotype" w:eastAsia="Palatino Linotype" w:hAnsi="Palatino Linotype" w:cs="Palatino Linotype"/>
          <w:b/>
          <w:color w:val="000000" w:themeColor="text1"/>
        </w:rPr>
        <w:t xml:space="preserve">El Sujeto Obligado </w:t>
      </w:r>
      <w:r w:rsidRPr="00C05074">
        <w:rPr>
          <w:rFonts w:ascii="Palatino Linotype" w:eastAsia="Palatino Linotype" w:hAnsi="Palatino Linotype" w:cs="Palatino Linotype"/>
          <w:color w:val="000000" w:themeColor="text1"/>
        </w:rPr>
        <w:t>que se encuentren disponibles al momento de ejercer dicha prerrogativa, es decir, excluye los siguientes actos:</w:t>
      </w:r>
    </w:p>
    <w:p w:rsidR="00BA39BC" w:rsidRPr="00C05074" w:rsidRDefault="006A648A" w:rsidP="00C05074">
      <w:pPr>
        <w:spacing w:before="240" w:line="360"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Actos futuros inminentes: </w:t>
      </w:r>
      <w:r w:rsidRPr="00C05074">
        <w:rPr>
          <w:rFonts w:ascii="Palatino Linotype" w:eastAsia="Palatino Linotype" w:hAnsi="Palatino Linotype" w:cs="Palatino Linotype"/>
          <w:i/>
          <w:color w:val="000000" w:themeColor="text1"/>
        </w:rPr>
        <w:t xml:space="preserve">Son aquellos cuyo mandamiento ya se ha dictado y su ejecución puede realizarse de un momento a otro. </w:t>
      </w:r>
    </w:p>
    <w:p w:rsidR="00BA39BC" w:rsidRPr="00C05074" w:rsidRDefault="006A648A" w:rsidP="00C05074">
      <w:pPr>
        <w:spacing w:before="240" w:line="360"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i/>
          <w:color w:val="000000" w:themeColor="text1"/>
        </w:rPr>
        <w:t xml:space="preserve">Actos futuros probables: </w:t>
      </w:r>
      <w:r w:rsidRPr="00C05074">
        <w:rPr>
          <w:rFonts w:ascii="Palatino Linotype" w:eastAsia="Palatino Linotype" w:hAnsi="Palatino Linotype" w:cs="Palatino Linotype"/>
          <w:i/>
          <w:color w:val="000000" w:themeColor="text1"/>
        </w:rPr>
        <w:t xml:space="preserve">Son aquellos que pueden o no suceder, es decir, son de remota realización. </w:t>
      </w:r>
    </w:p>
    <w:p w:rsidR="00BA39BC" w:rsidRPr="00C05074" w:rsidRDefault="00BA39BC" w:rsidP="00C05074">
      <w:pPr>
        <w:spacing w:before="240" w:line="360" w:lineRule="auto"/>
        <w:jc w:val="both"/>
        <w:rPr>
          <w:rFonts w:ascii="Palatino Linotype" w:eastAsia="Palatino Linotype" w:hAnsi="Palatino Linotype" w:cs="Palatino Linotype"/>
          <w:i/>
          <w:color w:val="000000" w:themeColor="text1"/>
        </w:rPr>
      </w:pPr>
    </w:p>
    <w:p w:rsidR="00BA39BC" w:rsidRPr="00C05074" w:rsidRDefault="006A648A" w:rsidP="009C2CE3">
      <w:pPr>
        <w:numPr>
          <w:ilvl w:val="0"/>
          <w:numId w:val="2"/>
        </w:numPr>
        <w:pBdr>
          <w:top w:val="nil"/>
          <w:left w:val="nil"/>
          <w:bottom w:val="nil"/>
          <w:right w:val="nil"/>
          <w:between w:val="nil"/>
        </w:pBdr>
        <w:tabs>
          <w:tab w:val="left" w:pos="285"/>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Finalmente, al hacer entrega del acta de la única Sesión de Cabildo celebrada a la fecha de la solicitud requerida por el hoy Recurrente y a su vez entregar el correspondiente acuerdo del Comité de Transparencia que justifica la clasificación parcial de la información del Acta de referencia, es que se tiene por colmado en este punto la solicitud del Recurrente.</w:t>
      </w:r>
    </w:p>
    <w:p w:rsidR="009C2CE3" w:rsidRDefault="009C2CE3" w:rsidP="009C2CE3">
      <w:pPr>
        <w:spacing w:line="360" w:lineRule="auto"/>
        <w:jc w:val="both"/>
        <w:rPr>
          <w:rFonts w:ascii="Palatino Linotype" w:eastAsia="Palatino Linotype" w:hAnsi="Palatino Linotype" w:cs="Palatino Linotype"/>
          <w:color w:val="000000" w:themeColor="text1"/>
        </w:rPr>
      </w:pPr>
    </w:p>
    <w:p w:rsidR="00BA39BC" w:rsidRPr="009C2CE3" w:rsidRDefault="006A648A" w:rsidP="009C2CE3">
      <w:pPr>
        <w:pStyle w:val="Prrafodelista"/>
        <w:numPr>
          <w:ilvl w:val="0"/>
          <w:numId w:val="2"/>
        </w:numPr>
        <w:spacing w:line="360" w:lineRule="auto"/>
        <w:ind w:left="0" w:firstLine="0"/>
        <w:jc w:val="both"/>
        <w:rPr>
          <w:rFonts w:ascii="Palatino Linotype" w:eastAsia="Palatino Linotype" w:hAnsi="Palatino Linotype" w:cs="Palatino Linotype"/>
          <w:color w:val="000000" w:themeColor="text1"/>
        </w:rPr>
      </w:pPr>
      <w:r w:rsidRPr="009C2CE3">
        <w:rPr>
          <w:rFonts w:ascii="Palatino Linotype" w:eastAsia="Palatino Linotype" w:hAnsi="Palatino Linotype" w:cs="Palatino Linotype"/>
          <w:color w:val="000000" w:themeColor="text1"/>
        </w:rPr>
        <w:t xml:space="preserve">A más de lo anterior, es de explorado derecho que este Instituto no se encuentra facultado para dudar de la veracidad de la información que le fue entregada al hoy </w:t>
      </w:r>
      <w:r w:rsidRPr="009C2CE3">
        <w:rPr>
          <w:rFonts w:ascii="Palatino Linotype" w:eastAsia="Palatino Linotype" w:hAnsi="Palatino Linotype" w:cs="Palatino Linotype"/>
          <w:b/>
          <w:color w:val="000000" w:themeColor="text1"/>
        </w:rPr>
        <w:lastRenderedPageBreak/>
        <w:t>RECURRENTE</w:t>
      </w:r>
      <w:r w:rsidRPr="009C2CE3">
        <w:rPr>
          <w:rFonts w:ascii="Palatino Linotype" w:eastAsia="Palatino Linotype" w:hAnsi="Palatino Linotype" w:cs="Palatino Linotype"/>
          <w:color w:val="000000" w:themeColor="text1"/>
        </w:rPr>
        <w:t xml:space="preserve"> en el presente asunto, ni de las respuestas, ni de las documentales que ponen a disposición de los solicitantes los sujetos obligados, situación que se aleja de las atribuciones de este Instituto </w:t>
      </w:r>
      <w:r w:rsidRPr="009C2CE3">
        <w:rPr>
          <w:rFonts w:ascii="Palatino Linotype" w:eastAsia="Palatino Linotype" w:hAnsi="Palatino Linotype" w:cs="Palatino Linotype"/>
          <w:i/>
          <w:color w:val="000000" w:themeColor="text1"/>
        </w:rPr>
        <w:t>máxime</w:t>
      </w:r>
      <w:r w:rsidRPr="009C2CE3">
        <w:rPr>
          <w:rFonts w:ascii="Palatino Linotype" w:eastAsia="Palatino Linotype" w:hAnsi="Palatino Linotype" w:cs="Palatino Linotype"/>
          <w:color w:val="000000" w:themeColor="text1"/>
        </w:rPr>
        <w:t xml:space="preserve"> que al momento que ponen a disposición ésta, la misma tiene el carácter oficial y se presume veraz, tan es así que la misma queda registrada en el Sistema de Acceso a la Información Mexiquense (SAIMEX).</w:t>
      </w:r>
    </w:p>
    <w:p w:rsidR="00BA39BC" w:rsidRPr="00C05074" w:rsidRDefault="00BA39BC" w:rsidP="00C05074">
      <w:pPr>
        <w:pBdr>
          <w:top w:val="nil"/>
          <w:left w:val="nil"/>
          <w:bottom w:val="nil"/>
          <w:right w:val="nil"/>
          <w:between w:val="nil"/>
        </w:pBdr>
        <w:spacing w:line="360" w:lineRule="auto"/>
        <w:rPr>
          <w:rFonts w:ascii="Palatino Linotype" w:eastAsia="Palatino Linotype" w:hAnsi="Palatino Linotype" w:cs="Palatino Linotype"/>
          <w:color w:val="000000" w:themeColor="text1"/>
        </w:rPr>
      </w:pPr>
    </w:p>
    <w:p w:rsidR="00BA39BC" w:rsidRPr="00C05074" w:rsidRDefault="006A648A" w:rsidP="009C2CE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Sirviendo de apoyo a lo anterior por analogía, el criterio 31-10 emitido por el entonces Instituto Nacional de Transparencia, Acceso a la Información y Protección de Datos Personales, que a la letra dice:</w:t>
      </w:r>
    </w:p>
    <w:p w:rsidR="00BA39BC" w:rsidRPr="00C05074" w:rsidRDefault="006A648A" w:rsidP="00C05074">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“El Instituto Federal de Acceso a la Información y Protección de Datos </w:t>
      </w:r>
      <w:r w:rsidRPr="00C05074">
        <w:rPr>
          <w:rFonts w:ascii="Palatino Linotype" w:eastAsia="Palatino Linotype" w:hAnsi="Palatino Linotype" w:cs="Palatino Linotype"/>
          <w:b/>
          <w:i/>
          <w:color w:val="000000" w:themeColor="text1"/>
        </w:rPr>
        <w:t>no cuenta con facultades para pronunciarse respecto de la veracidad de los documentos proporcionados por los sujetos obligados.</w:t>
      </w:r>
      <w:r w:rsidRPr="00C05074">
        <w:rPr>
          <w:rFonts w:ascii="Palatino Linotype" w:eastAsia="Palatino Linotype" w:hAnsi="Palatino Linotype" w:cs="Palatino Linotype"/>
          <w:i/>
          <w:color w:val="000000" w:themeColor="text1"/>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i/>
          <w:color w:val="000000" w:themeColor="text1"/>
        </w:rPr>
      </w:pPr>
    </w:p>
    <w:p w:rsidR="00BA39BC" w:rsidRPr="00C05074" w:rsidRDefault="006A648A" w:rsidP="009C2CE3">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color w:val="000000" w:themeColor="text1"/>
        </w:rPr>
        <w:t xml:space="preserve">Así como lo dispuesto por la </w:t>
      </w:r>
      <w:r w:rsidRPr="00C05074">
        <w:rPr>
          <w:rFonts w:ascii="Palatino Linotype" w:eastAsia="Palatino Linotype" w:hAnsi="Palatino Linotype" w:cs="Palatino Linotype"/>
          <w:b/>
          <w:color w:val="000000" w:themeColor="text1"/>
        </w:rPr>
        <w:t xml:space="preserve">Ley de Transparencia y Acceso a la Información Pública del </w:t>
      </w:r>
      <w:r w:rsidRPr="00C05074">
        <w:rPr>
          <w:rFonts w:ascii="Palatino Linotype" w:eastAsia="Palatino Linotype" w:hAnsi="Palatino Linotype" w:cs="Palatino Linotype"/>
          <w:color w:val="000000" w:themeColor="text1"/>
        </w:rPr>
        <w:t>Estado</w:t>
      </w:r>
      <w:r w:rsidRPr="00C05074">
        <w:rPr>
          <w:rFonts w:ascii="Palatino Linotype" w:eastAsia="Palatino Linotype" w:hAnsi="Palatino Linotype" w:cs="Palatino Linotype"/>
          <w:b/>
          <w:color w:val="000000" w:themeColor="text1"/>
        </w:rPr>
        <w:t xml:space="preserve"> de México y Municipios</w:t>
      </w:r>
      <w:r w:rsidRPr="00C05074">
        <w:rPr>
          <w:rFonts w:ascii="Palatino Linotype" w:eastAsia="Palatino Linotype" w:hAnsi="Palatino Linotype" w:cs="Palatino Linotype"/>
          <w:color w:val="000000" w:themeColor="text1"/>
        </w:rPr>
        <w:t xml:space="preserve"> en su artículo 3, el cual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w:t>
      </w:r>
      <w:r w:rsidRPr="00C05074">
        <w:rPr>
          <w:rFonts w:ascii="Palatino Linotype" w:eastAsia="Palatino Linotype" w:hAnsi="Palatino Linotype" w:cs="Palatino Linotype"/>
          <w:color w:val="000000" w:themeColor="text1"/>
        </w:rPr>
        <w:lastRenderedPageBreak/>
        <w:t>apegarse en todo momento a los criterios de publicidad, veracidad, oportunidad entre otros, numeral en comento que a la letra señala:</w:t>
      </w:r>
    </w:p>
    <w:p w:rsidR="00BA39BC" w:rsidRPr="00C05074" w:rsidRDefault="006A648A" w:rsidP="00C05074">
      <w:pPr>
        <w:pBdr>
          <w:top w:val="nil"/>
          <w:left w:val="nil"/>
          <w:bottom w:val="nil"/>
          <w:right w:val="nil"/>
          <w:between w:val="nil"/>
        </w:pBdr>
        <w:tabs>
          <w:tab w:val="left" w:pos="7938"/>
        </w:tabs>
        <w:jc w:val="both"/>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i/>
          <w:color w:val="000000" w:themeColor="text1"/>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C05074">
        <w:rPr>
          <w:rFonts w:ascii="Palatino Linotype" w:eastAsia="Palatino Linotype" w:hAnsi="Palatino Linotype" w:cs="Palatino Linotype"/>
          <w:b/>
          <w:i/>
          <w:color w:val="000000" w:themeColor="text1"/>
        </w:rPr>
        <w:t>Los Sujetos Obligados deben poner en práctica, políticas y programas de acceso a la información que se apeguen a criterios de publicidad, veracidad, oportunidad, precisión y suficiencia en beneficio de los solicitantes.</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b/>
          <w:i/>
          <w:color w:val="000000" w:themeColor="text1"/>
        </w:rPr>
      </w:pPr>
    </w:p>
    <w:p w:rsidR="00BA39BC" w:rsidRPr="00C05074" w:rsidRDefault="006A648A" w:rsidP="009C2CE3">
      <w:pPr>
        <w:numPr>
          <w:ilvl w:val="0"/>
          <w:numId w:val="2"/>
        </w:numP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Numerales que compelen al </w:t>
      </w:r>
      <w:r w:rsidRPr="00C05074">
        <w:rPr>
          <w:rFonts w:ascii="Palatino Linotype" w:eastAsia="Palatino Linotype" w:hAnsi="Palatino Linotype" w:cs="Palatino Linotype"/>
          <w:b/>
          <w:color w:val="000000" w:themeColor="text1"/>
        </w:rPr>
        <w:t>SUJETO OBLIGADO</w:t>
      </w:r>
      <w:r w:rsidRPr="00C05074">
        <w:rPr>
          <w:rFonts w:ascii="Palatino Linotype" w:eastAsia="Palatino Linotype" w:hAnsi="Palatino Linotype" w:cs="Palatino Linotype"/>
          <w:color w:val="000000" w:themeColor="text1"/>
        </w:rPr>
        <w:t xml:space="preserve"> apegarse en todo momento a los criterios ya expuestos, impidiendo a este Órgano Colegiado cuestionar la veracidad de la información.</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9C2CE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color w:val="000000" w:themeColor="text1"/>
        </w:rPr>
        <w:t xml:space="preserve">Por último y no menos importante, respecto al agravio </w:t>
      </w:r>
      <w:r w:rsidRPr="00C05074">
        <w:rPr>
          <w:rFonts w:ascii="Palatino Linotype" w:eastAsia="Palatino Linotype" w:hAnsi="Palatino Linotype" w:cs="Palatino Linotype"/>
          <w:b/>
          <w:color w:val="000000" w:themeColor="text1"/>
        </w:rPr>
        <w:t>“una prórroga fuera del pl</w:t>
      </w:r>
      <w:r w:rsidR="009C2CE3">
        <w:rPr>
          <w:rFonts w:ascii="Palatino Linotype" w:eastAsia="Palatino Linotype" w:hAnsi="Palatino Linotype" w:cs="Palatino Linotype"/>
          <w:b/>
          <w:color w:val="000000" w:themeColor="text1"/>
        </w:rPr>
        <w:t>a</w:t>
      </w:r>
      <w:r w:rsidRPr="00C05074">
        <w:rPr>
          <w:rFonts w:ascii="Palatino Linotype" w:eastAsia="Palatino Linotype" w:hAnsi="Palatino Linotype" w:cs="Palatino Linotype"/>
          <w:b/>
          <w:color w:val="000000" w:themeColor="text1"/>
        </w:rPr>
        <w:t xml:space="preserve">zo”, </w:t>
      </w:r>
      <w:r w:rsidRPr="00C05074">
        <w:rPr>
          <w:rFonts w:ascii="Palatino Linotype" w:eastAsia="Palatino Linotype" w:hAnsi="Palatino Linotype" w:cs="Palatino Linotype"/>
          <w:color w:val="000000" w:themeColor="text1"/>
        </w:rPr>
        <w:t>es necesario traer a contexto el artículo 163 de la Ley de Transparencia y Acceso a la Información Pública del Estado de México y Municipios que dispone lo siguiente:</w:t>
      </w:r>
    </w:p>
    <w:p w:rsidR="00BA39BC" w:rsidRPr="00C05074" w:rsidRDefault="006A648A" w:rsidP="00C05074">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Artículo 163. La Unidad de Transparencia deberá notificar la respuesta a la solicitud al interesado en el menor tiempo posible, que no podrá exceder de quince días hábiles, contados a partir del día siguiente a la presentación de aquélla. </w:t>
      </w:r>
    </w:p>
    <w:p w:rsidR="00BA39BC" w:rsidRPr="00C05074" w:rsidRDefault="006A648A" w:rsidP="00C05074">
      <w:pPr>
        <w:pBdr>
          <w:top w:val="nil"/>
          <w:left w:val="nil"/>
          <w:bottom w:val="nil"/>
          <w:right w:val="nil"/>
          <w:between w:val="nil"/>
        </w:pBdr>
        <w:spacing w:line="276" w:lineRule="auto"/>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9C2CE3">
      <w:pPr>
        <w:numPr>
          <w:ilvl w:val="0"/>
          <w:numId w:val="2"/>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El precepto legal citado, establece que, los Sujetos Obligados darán respuesta dentro de los primeros quince días hábiles contados a partir de la presentación de la solicitud y, el plazo podrá ser ampliado hasta por siete días hábiles más. En el presente asunto en </w:t>
      </w:r>
      <w:r w:rsidRPr="00C05074">
        <w:rPr>
          <w:rFonts w:ascii="Palatino Linotype" w:eastAsia="Palatino Linotype" w:hAnsi="Palatino Linotype" w:cs="Palatino Linotype"/>
          <w:color w:val="000000" w:themeColor="text1"/>
        </w:rPr>
        <w:lastRenderedPageBreak/>
        <w:t>particular, se tiene que el Recurrente presentó la solicitud de acceso a la información pública el día trece de mayo, mientras que la prórroga se solicitó el seis de junio, es decir, en el décimo octavo día hábil, lo que notoriamente se encuentra fuera del plazo legal para dar respuesta, en conclusión, tal y como lo señaló el Recurrente, el Sujeto Obligado presentó la prórroga para dar respuesta fuera del plazo legalmente establecido. Por lo que los agravios del Particular resultan fundados.</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9C2CE3">
      <w:pPr>
        <w:numPr>
          <w:ilvl w:val="0"/>
          <w:numId w:val="2"/>
        </w:numPr>
        <w:spacing w:line="360" w:lineRule="auto"/>
        <w:ind w:left="0" w:firstLine="0"/>
        <w:jc w:val="both"/>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color w:val="000000" w:themeColor="text1"/>
        </w:rPr>
        <w:t xml:space="preserve">Por cuanto hace al acto impugnado y señalar el Recurrente </w:t>
      </w:r>
      <w:r w:rsidRPr="00C05074">
        <w:rPr>
          <w:rFonts w:ascii="Palatino Linotype" w:eastAsia="Palatino Linotype" w:hAnsi="Palatino Linotype" w:cs="Palatino Linotype"/>
          <w:i/>
          <w:color w:val="000000" w:themeColor="text1"/>
        </w:rPr>
        <w:t xml:space="preserve">“…ya dejen de ser opacos e inútiles…”, </w:t>
      </w:r>
      <w:r w:rsidRPr="00C05074">
        <w:rPr>
          <w:rFonts w:ascii="Palatino Linotype" w:eastAsia="Palatino Linotype" w:hAnsi="Palatino Linotype" w:cs="Palatino Linotype"/>
          <w:color w:val="000000" w:themeColor="text1"/>
        </w:rPr>
        <w:t xml:space="preserve"> se debe referir que el Derecho Humano de Acceso a la Información Pública debe ser ejercido de forma respetuosa, sin usar lenguaje altisonante, o expresiones insultantes cuya finalidad o intención sea ocasionar agravios en la moral de las personas. </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i/>
          <w:color w:val="000000" w:themeColor="text1"/>
        </w:rPr>
      </w:pPr>
    </w:p>
    <w:p w:rsidR="00BA39BC" w:rsidRPr="00C05074" w:rsidRDefault="006A648A" w:rsidP="009C2CE3">
      <w:pPr>
        <w:numPr>
          <w:ilvl w:val="0"/>
          <w:numId w:val="2"/>
        </w:numPr>
        <w:pBdr>
          <w:top w:val="nil"/>
          <w:left w:val="nil"/>
          <w:bottom w:val="nil"/>
          <w:right w:val="nil"/>
          <w:between w:val="nil"/>
        </w:pBdr>
        <w:tabs>
          <w:tab w:val="left" w:pos="709"/>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Asimismo, se considera que no se puede ejercer el Derecho de acceso a la información ni el recurso de revisión para injuriar e insultar a Servidoras y Servidores Públicos, es decir, faltando al respeto, y que dicha falta de respeto se normalice, se pase por alto como si los insultos, las injurias, las ofensas no estuvieran escritas en las solicitudes de acceso a la información o en el recurso de revisión, máxime que, como se repite su fin es hacer insultar y/o lastimar la moral de las personas relacionadas con la función pública.</w:t>
      </w: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numPr>
          <w:ilvl w:val="0"/>
          <w:numId w:val="7"/>
        </w:numPr>
        <w:pBdr>
          <w:top w:val="nil"/>
          <w:left w:val="nil"/>
          <w:bottom w:val="nil"/>
          <w:right w:val="nil"/>
          <w:between w:val="nil"/>
        </w:pBdr>
        <w:spacing w:line="360" w:lineRule="auto"/>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Corolario a lo anterior es de hacer notar, como referencia concatenada, lo que establece el artículo 8 de la Constitución Política de los Estados Unidos Mexicanos, que para el caso que nos ocupa, reza:</w:t>
      </w:r>
      <w:r w:rsidRPr="00C05074">
        <w:rPr>
          <w:rFonts w:ascii="Palatino Linotype" w:eastAsia="Palatino Linotype" w:hAnsi="Palatino Linotype" w:cs="Palatino Linotype"/>
          <w:i/>
          <w:color w:val="000000" w:themeColor="text1"/>
        </w:rPr>
        <w:tab/>
      </w:r>
    </w:p>
    <w:p w:rsidR="00BA39BC" w:rsidRPr="00C05074" w:rsidRDefault="006A648A" w:rsidP="00C05074">
      <w:pPr>
        <w:pBdr>
          <w:top w:val="nil"/>
          <w:left w:val="nil"/>
          <w:bottom w:val="nil"/>
          <w:right w:val="nil"/>
          <w:between w:val="nil"/>
        </w:pBdr>
        <w:spacing w:before="120" w:after="12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i/>
          <w:color w:val="000000" w:themeColor="text1"/>
        </w:rPr>
        <w:t>“</w:t>
      </w:r>
      <w:r w:rsidRPr="00C05074">
        <w:rPr>
          <w:rFonts w:ascii="Palatino Linotype" w:eastAsia="Palatino Linotype" w:hAnsi="Palatino Linotype" w:cs="Palatino Linotype"/>
          <w:b/>
          <w:i/>
          <w:color w:val="000000" w:themeColor="text1"/>
        </w:rPr>
        <w:t>Artículo 8o</w:t>
      </w:r>
      <w:r w:rsidRPr="00C05074">
        <w:rPr>
          <w:rFonts w:ascii="Palatino Linotype" w:eastAsia="Palatino Linotype" w:hAnsi="Palatino Linotype" w:cs="Palatino Linotype"/>
          <w:i/>
          <w:color w:val="000000" w:themeColor="text1"/>
        </w:rPr>
        <w:t xml:space="preserve">. Los funcionarios y empleados públicos respetarán el ejercicio del derecho de petición, siempre que ésta se formule por escrito, </w:t>
      </w:r>
      <w:r w:rsidRPr="00C05074">
        <w:rPr>
          <w:rFonts w:ascii="Palatino Linotype" w:eastAsia="Palatino Linotype" w:hAnsi="Palatino Linotype" w:cs="Palatino Linotype"/>
          <w:b/>
          <w:i/>
          <w:color w:val="000000" w:themeColor="text1"/>
          <w:u w:val="single"/>
        </w:rPr>
        <w:t>de manera pacífica y respetuosa</w:t>
      </w:r>
      <w:r w:rsidRPr="00C05074">
        <w:rPr>
          <w:rFonts w:ascii="Palatino Linotype" w:eastAsia="Palatino Linotype" w:hAnsi="Palatino Linotype" w:cs="Palatino Linotype"/>
          <w:i/>
          <w:color w:val="000000" w:themeColor="text1"/>
        </w:rPr>
        <w:t>;”</w:t>
      </w:r>
    </w:p>
    <w:p w:rsidR="00BA39BC" w:rsidRPr="00C05074" w:rsidRDefault="00BA39BC" w:rsidP="00C0507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 xml:space="preserve">Por lo tanto, </w:t>
      </w:r>
      <w:r w:rsidRPr="00C05074">
        <w:rPr>
          <w:rFonts w:ascii="Palatino Linotype" w:eastAsia="Palatino Linotype" w:hAnsi="Palatino Linotype" w:cs="Palatino Linotype"/>
          <w:b/>
          <w:color w:val="000000" w:themeColor="text1"/>
        </w:rPr>
        <w:t>se exhorta a la persona solicitante a que se abstenga de usar expresiones peyorativas</w:t>
      </w:r>
      <w:r w:rsidRPr="00C05074">
        <w:rPr>
          <w:rFonts w:ascii="Palatino Linotype" w:eastAsia="Palatino Linotype" w:hAnsi="Palatino Linotype" w:cs="Palatino Linotype"/>
          <w:color w:val="000000" w:themeColor="text1"/>
        </w:rPr>
        <w:t xml:space="preserve"> </w:t>
      </w:r>
      <w:r w:rsidRPr="00C05074">
        <w:rPr>
          <w:rFonts w:ascii="Palatino Linotype" w:eastAsia="Palatino Linotype" w:hAnsi="Palatino Linotype" w:cs="Palatino Linotype"/>
          <w:b/>
          <w:color w:val="000000" w:themeColor="text1"/>
        </w:rPr>
        <w:t>pues de lo contrario, no se podría ejercer el derecho de acceso a la información pública si primigeniamente no hay un lenguaje que respete a las personas servidoras públicas</w:t>
      </w:r>
      <w:r w:rsidRPr="00C05074">
        <w:rPr>
          <w:rFonts w:ascii="Palatino Linotype" w:eastAsia="Palatino Linotype" w:hAnsi="Palatino Linotype" w:cs="Palatino Linotype"/>
          <w:color w:val="000000" w:themeColor="text1"/>
        </w:rPr>
        <w:t>.</w:t>
      </w:r>
    </w:p>
    <w:p w:rsidR="00BA39BC" w:rsidRPr="00C05074" w:rsidRDefault="00BA39BC" w:rsidP="00C05074">
      <w:pPr>
        <w:pBdr>
          <w:top w:val="nil"/>
          <w:left w:val="nil"/>
          <w:bottom w:val="nil"/>
          <w:right w:val="nil"/>
          <w:between w:val="nil"/>
        </w:pBdr>
        <w:tabs>
          <w:tab w:val="left" w:pos="709"/>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color w:val="000000" w:themeColor="text1"/>
        </w:rPr>
        <w:t xml:space="preserve">Es por lo expuesto que resulta dable </w:t>
      </w:r>
      <w:r w:rsidRPr="00C05074">
        <w:rPr>
          <w:rFonts w:ascii="Palatino Linotype" w:eastAsia="Palatino Linotype" w:hAnsi="Palatino Linotype" w:cs="Palatino Linotype"/>
          <w:b/>
          <w:color w:val="000000" w:themeColor="text1"/>
        </w:rPr>
        <w:t xml:space="preserve">MODIFICAR </w:t>
      </w:r>
      <w:r w:rsidRPr="00C05074">
        <w:rPr>
          <w:rFonts w:ascii="Palatino Linotype" w:eastAsia="Palatino Linotype" w:hAnsi="Palatino Linotype" w:cs="Palatino Linotype"/>
          <w:color w:val="000000" w:themeColor="text1"/>
        </w:rPr>
        <w:t xml:space="preserve">la respuesta del </w:t>
      </w:r>
      <w:r w:rsidRPr="00C05074">
        <w:rPr>
          <w:rFonts w:ascii="Palatino Linotype" w:eastAsia="Palatino Linotype" w:hAnsi="Palatino Linotype" w:cs="Palatino Linotype"/>
          <w:b/>
          <w:color w:val="000000" w:themeColor="text1"/>
        </w:rPr>
        <w:t>SUJETO OBLIGADO</w:t>
      </w:r>
      <w:r w:rsidR="00ED332D" w:rsidRPr="00C05074">
        <w:rPr>
          <w:rFonts w:ascii="Palatino Linotype" w:eastAsia="Palatino Linotype" w:hAnsi="Palatino Linotype" w:cs="Palatino Linotype"/>
          <w:color w:val="000000" w:themeColor="text1"/>
        </w:rPr>
        <w:t xml:space="preserve"> y entregar el citatorio</w:t>
      </w:r>
      <w:r w:rsidRPr="00C05074">
        <w:rPr>
          <w:rFonts w:ascii="Palatino Linotype" w:eastAsia="Palatino Linotype" w:hAnsi="Palatino Linotype" w:cs="Palatino Linotype"/>
          <w:color w:val="000000" w:themeColor="text1"/>
        </w:rPr>
        <w:t xml:space="preserve"> y justificantes de inasistencia de la Sesión de Cabildo cuya acta fue entregada en respuesta.</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b/>
          <w:color w:val="000000" w:themeColor="text1"/>
        </w:rPr>
      </w:pPr>
      <w:bookmarkStart w:id="10" w:name="_heading=h.lt0gmckolsc4" w:colFirst="0" w:colLast="0"/>
      <w:bookmarkEnd w:id="10"/>
    </w:p>
    <w:p w:rsidR="00BA39BC" w:rsidRPr="00C05074" w:rsidRDefault="006A648A"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xml:space="preserve">QUINTO. </w:t>
      </w:r>
    </w:p>
    <w:p w:rsidR="00BA39BC" w:rsidRPr="00C05074" w:rsidRDefault="006A648A" w:rsidP="00C05074">
      <w:pPr>
        <w:keepNext/>
        <w:keepLines/>
        <w:spacing w:after="160" w:line="360" w:lineRule="auto"/>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b/>
          <w:color w:val="000000" w:themeColor="text1"/>
        </w:rPr>
        <w:t xml:space="preserve"> De la versión pública.</w:t>
      </w:r>
    </w:p>
    <w:p w:rsidR="00BA39BC" w:rsidRPr="00C05074" w:rsidRDefault="006A648A" w:rsidP="00C05074">
      <w:pPr>
        <w:keepNext/>
        <w:keepLines/>
        <w:numPr>
          <w:ilvl w:val="0"/>
          <w:numId w:val="11"/>
        </w:numPr>
        <w:tabs>
          <w:tab w:val="left" w:pos="284"/>
        </w:tabs>
        <w:spacing w:after="160" w:line="360" w:lineRule="auto"/>
        <w:ind w:left="0" w:firstLine="0"/>
        <w:rPr>
          <w:rFonts w:ascii="Palatino Linotype" w:eastAsia="Palatino Linotype" w:hAnsi="Palatino Linotype" w:cs="Palatino Linotype"/>
          <w:b/>
          <w:color w:val="000000" w:themeColor="text1"/>
        </w:rPr>
      </w:pPr>
      <w:bookmarkStart w:id="11" w:name="_heading=h.8porszv8ww1h" w:colFirst="0" w:colLast="0"/>
      <w:bookmarkEnd w:id="11"/>
      <w:r w:rsidRPr="00C05074">
        <w:rPr>
          <w:rFonts w:ascii="Palatino Linotype" w:eastAsia="Palatino Linotype" w:hAnsi="Palatino Linotype" w:cs="Palatino Linotype"/>
          <w:b/>
          <w:color w:val="000000" w:themeColor="text1"/>
        </w:rPr>
        <w:t xml:space="preserve">Nociones generales. </w:t>
      </w:r>
    </w:p>
    <w:p w:rsidR="00BA39BC" w:rsidRPr="00C05074" w:rsidRDefault="006A648A" w:rsidP="00C05074">
      <w:pPr>
        <w:numPr>
          <w:ilvl w:val="0"/>
          <w:numId w:val="3"/>
        </w:numPr>
        <w:tabs>
          <w:tab w:val="left" w:pos="284"/>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Debe destacarse, que debido a la información solicitada por el </w:t>
      </w:r>
      <w:r w:rsidRPr="00C05074">
        <w:rPr>
          <w:rFonts w:ascii="Palatino Linotype" w:eastAsia="Palatino Linotype" w:hAnsi="Palatino Linotype" w:cs="Palatino Linotype"/>
          <w:b/>
          <w:color w:val="000000" w:themeColor="text1"/>
        </w:rPr>
        <w:t xml:space="preserve">RECURRENTE, </w:t>
      </w:r>
      <w:r w:rsidRPr="00C05074">
        <w:rPr>
          <w:rFonts w:ascii="Palatino Linotype" w:eastAsia="Palatino Linotype" w:hAnsi="Palatino Linotype" w:cs="Palatino Linotype"/>
          <w:color w:val="000000" w:themeColor="text1"/>
        </w:rPr>
        <w:t xml:space="preserve">pueden obrar datos personales susceptibles de protegerse, así como información susceptible de clasificarse como confidencial,  por lo que, el </w:t>
      </w:r>
      <w:r w:rsidRPr="00C05074">
        <w:rPr>
          <w:rFonts w:ascii="Palatino Linotype" w:eastAsia="Palatino Linotype" w:hAnsi="Palatino Linotype" w:cs="Palatino Linotype"/>
          <w:b/>
          <w:color w:val="000000" w:themeColor="text1"/>
        </w:rPr>
        <w:t xml:space="preserve">SUJETO OBLIGADO </w:t>
      </w:r>
      <w:r w:rsidRPr="00C05074">
        <w:rPr>
          <w:rFonts w:ascii="Palatino Linotype" w:eastAsia="Palatino Linotype" w:hAnsi="Palatino Linotype" w:cs="Palatino Linotype"/>
          <w:color w:val="000000" w:themeColor="text1"/>
        </w:rPr>
        <w:t xml:space="preserve">deberá de hacer la adecuada versión pública, protegiendo los datos que no son susceptibles de ser proporcionados. </w:t>
      </w:r>
    </w:p>
    <w:p w:rsidR="00BA39BC" w:rsidRPr="00C05074" w:rsidRDefault="00BA39BC" w:rsidP="00C05074">
      <w:pPr>
        <w:tabs>
          <w:tab w:val="left" w:pos="0"/>
          <w:tab w:val="left" w:pos="284"/>
        </w:tabs>
        <w:spacing w:line="360" w:lineRule="auto"/>
        <w:jc w:val="both"/>
        <w:rPr>
          <w:rFonts w:ascii="Palatino Linotype" w:eastAsia="Palatino Linotype" w:hAnsi="Palatino Linotype" w:cs="Palatino Linotype"/>
          <w:color w:val="000000" w:themeColor="text1"/>
          <w:highlight w:val="yellow"/>
        </w:rPr>
      </w:pPr>
    </w:p>
    <w:p w:rsidR="00BA39BC" w:rsidRPr="00C05074" w:rsidRDefault="006A648A" w:rsidP="00C05074">
      <w:pPr>
        <w:numPr>
          <w:ilvl w:val="0"/>
          <w:numId w:val="3"/>
        </w:numPr>
        <w:tabs>
          <w:tab w:val="left" w:pos="284"/>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No pasa desapercibido para este Órgano Garante que los sujetos obligados</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Style w:val="a5"/>
        <w:tblW w:w="9634"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830"/>
        <w:gridCol w:w="6804"/>
      </w:tblGrid>
      <w:tr w:rsidR="00C05074" w:rsidRPr="00C05074" w:rsidTr="009C2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A39BC" w:rsidRPr="00C05074" w:rsidRDefault="006A648A" w:rsidP="009C2CE3">
            <w:pPr>
              <w:spacing w:line="360" w:lineRule="auto"/>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a) Requisitos previos.</w:t>
            </w:r>
          </w:p>
        </w:tc>
        <w:tc>
          <w:tcPr>
            <w:tcW w:w="6804" w:type="dxa"/>
          </w:tcPr>
          <w:p w:rsidR="00BA39BC" w:rsidRPr="00C05074" w:rsidRDefault="006A648A" w:rsidP="009C2CE3">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val="0"/>
                <w:i/>
                <w:color w:val="000000" w:themeColor="text1"/>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rsidR="00BA39BC" w:rsidRPr="00C05074" w:rsidRDefault="006A648A" w:rsidP="009C2CE3">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val="0"/>
                <w:i/>
                <w:color w:val="000000" w:themeColor="text1"/>
              </w:rPr>
              <w:t>Al hacerlo tienen que precisar de qué información se trata, señalando el supuesto de clasificación (confidencialidad o reserva).</w:t>
            </w:r>
          </w:p>
          <w:p w:rsidR="00BA39BC" w:rsidRPr="00C05074" w:rsidRDefault="006A648A" w:rsidP="009C2CE3">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val="0"/>
                <w:i/>
                <w:color w:val="000000" w:themeColor="text1"/>
              </w:rPr>
              <w:t>Además, se debe señalar el procedimiento, de los tres que establecen los artículos 132 y 106 de la Ley Estatal y General, respectivamente.</w:t>
            </w:r>
          </w:p>
          <w:p w:rsidR="00BA39BC" w:rsidRPr="00C05074" w:rsidRDefault="006A648A" w:rsidP="009C2CE3">
            <w:pPr>
              <w:spacing w:line="276" w:lineRule="auto"/>
              <w:jc w:val="both"/>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b w:val="0"/>
                <w:i/>
                <w:color w:val="000000" w:themeColor="text1"/>
              </w:rPr>
              <w:t xml:space="preserve">El último de estos requisitos previos consiste en que no se pueden emitir acuerdos de carácter general ni particular, esto es, </w:t>
            </w:r>
            <w:r w:rsidRPr="00C05074">
              <w:rPr>
                <w:rFonts w:ascii="Palatino Linotype" w:eastAsia="Palatino Linotype" w:hAnsi="Palatino Linotype" w:cs="Palatino Linotype"/>
                <w:b w:val="0"/>
                <w:i/>
                <w:color w:val="000000" w:themeColor="text1"/>
                <w:u w:val="single"/>
              </w:rPr>
              <w:t>no se puede hacer un acuerdo para clasificar de manera general todos los documentos de un expediente o área, sin</w:t>
            </w:r>
            <w:r w:rsidRPr="00C05074">
              <w:rPr>
                <w:rFonts w:ascii="Palatino Linotype" w:eastAsia="Palatino Linotype" w:hAnsi="Palatino Linotype" w:cs="Palatino Linotype"/>
                <w:b w:val="0"/>
                <w:i/>
                <w:color w:val="000000" w:themeColor="text1"/>
              </w:rPr>
              <w:t xml:space="preserve"> individualizar su análisis y tampoco se puede hacer un acuerdo por cada dato que se vaya a clasificar dentro de un documento con diez datos, por ejemplo, susceptibles de ser clasificados.</w:t>
            </w:r>
          </w:p>
        </w:tc>
      </w:tr>
      <w:tr w:rsidR="00C05074" w:rsidRPr="00C05074" w:rsidTr="009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A39BC" w:rsidRPr="00C05074" w:rsidRDefault="006A648A" w:rsidP="009C2CE3">
            <w:pPr>
              <w:spacing w:line="360" w:lineRule="auto"/>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b) Supuestos de clasificación.</w:t>
            </w:r>
          </w:p>
        </w:tc>
        <w:tc>
          <w:tcPr>
            <w:tcW w:w="6804" w:type="dxa"/>
          </w:tcPr>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Las disposiciones constitucionales y legales en la materia establecen los dos supuestos generales para clasificar la información: por reserva y por confidencialidad.</w:t>
            </w:r>
          </w:p>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El </w:t>
            </w:r>
            <w:r w:rsidRPr="00C05074">
              <w:rPr>
                <w:rFonts w:ascii="Palatino Linotype" w:eastAsia="Palatino Linotype" w:hAnsi="Palatino Linotype" w:cs="Palatino Linotype"/>
                <w:b/>
                <w:i/>
                <w:color w:val="000000" w:themeColor="text1"/>
              </w:rPr>
              <w:t>Sujeto Obligado</w:t>
            </w:r>
            <w:r w:rsidRPr="00C05074">
              <w:rPr>
                <w:rFonts w:ascii="Palatino Linotype" w:eastAsia="Palatino Linotype" w:hAnsi="Palatino Linotype" w:cs="Palatino Linotype"/>
                <w:i/>
                <w:color w:val="000000" w:themeColor="text1"/>
              </w:rPr>
              <w:t xml:space="preserve"> debe identificar claramente el tipo de información y hacer un juicio de subsunción o encaje para acreditar que el supuesto de hecho corresponde estrictamente con la hipótesis </w:t>
            </w:r>
            <w:r w:rsidRPr="00C05074">
              <w:rPr>
                <w:rFonts w:ascii="Palatino Linotype" w:eastAsia="Palatino Linotype" w:hAnsi="Palatino Linotype" w:cs="Palatino Linotype"/>
                <w:i/>
                <w:color w:val="000000" w:themeColor="text1"/>
              </w:rPr>
              <w:lastRenderedPageBreak/>
              <w:t>jurídica. Esto también lo debe de realizar el servidor público habilitado y el titular del área que administra la información.</w:t>
            </w:r>
          </w:p>
        </w:tc>
      </w:tr>
      <w:tr w:rsidR="00C05074" w:rsidRPr="00C05074" w:rsidTr="009C2CE3">
        <w:tc>
          <w:tcPr>
            <w:cnfStyle w:val="001000000000" w:firstRow="0" w:lastRow="0" w:firstColumn="1" w:lastColumn="0" w:oddVBand="0" w:evenVBand="0" w:oddHBand="0" w:evenHBand="0" w:firstRowFirstColumn="0" w:firstRowLastColumn="0" w:lastRowFirstColumn="0" w:lastRowLastColumn="0"/>
            <w:tcW w:w="2830" w:type="dxa"/>
          </w:tcPr>
          <w:p w:rsidR="00BA39BC" w:rsidRPr="00C05074" w:rsidRDefault="006A648A" w:rsidP="009C2CE3">
            <w:pPr>
              <w:spacing w:line="360" w:lineRule="auto"/>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c) Formalidades para emitir el acuerdo de clasificación.</w:t>
            </w:r>
          </w:p>
        </w:tc>
        <w:tc>
          <w:tcPr>
            <w:tcW w:w="6804" w:type="dxa"/>
          </w:tcPr>
          <w:p w:rsidR="00BA39BC" w:rsidRPr="00C05074" w:rsidRDefault="006A648A" w:rsidP="009C2CE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El Comité de Transparencia, según lo dispuesto en los artículos cuenta con las facultades para aprobar, modificar o revocar la clasificación de la información que haya propuesto. </w:t>
            </w:r>
          </w:p>
          <w:p w:rsidR="00BA39BC" w:rsidRPr="00C05074" w:rsidRDefault="006A648A" w:rsidP="009C2CE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Es necesario que </w:t>
            </w:r>
            <w:r w:rsidRPr="00C05074">
              <w:rPr>
                <w:rFonts w:ascii="Palatino Linotype" w:eastAsia="Palatino Linotype" w:hAnsi="Palatino Linotype" w:cs="Palatino Linotype"/>
                <w:b/>
                <w:i/>
                <w:color w:val="000000" w:themeColor="text1"/>
                <w:u w:val="single"/>
              </w:rPr>
              <w:t>el acto reúna con los requisitos elementales</w:t>
            </w:r>
            <w:r w:rsidRPr="00C05074">
              <w:rPr>
                <w:rFonts w:ascii="Palatino Linotype" w:eastAsia="Palatino Linotype" w:hAnsi="Palatino Linotype" w:cs="Palatino Linotype"/>
                <w:i/>
                <w:color w:val="000000" w:themeColor="text1"/>
              </w:rPr>
              <w:t>, entre ellos, que la autoridad que va a emitir el acto de autoridad sea la legalmente facultada para ello.</w:t>
            </w:r>
          </w:p>
          <w:p w:rsidR="00BA39BC" w:rsidRPr="00C05074" w:rsidRDefault="006A648A" w:rsidP="009C2CE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C05074" w:rsidRPr="00C05074" w:rsidTr="009C2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rsidR="00BA39BC" w:rsidRPr="00C05074" w:rsidRDefault="00BA39BC" w:rsidP="009C2CE3">
            <w:pPr>
              <w:spacing w:line="360" w:lineRule="auto"/>
              <w:rPr>
                <w:rFonts w:ascii="Palatino Linotype" w:eastAsia="Palatino Linotype" w:hAnsi="Palatino Linotype" w:cs="Palatino Linotype"/>
                <w:color w:val="000000" w:themeColor="text1"/>
              </w:rPr>
            </w:pPr>
          </w:p>
          <w:p w:rsidR="00BA39BC" w:rsidRPr="00C05074" w:rsidRDefault="006A648A" w:rsidP="009C2CE3">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d) Requisitos de fondo del acuerdo de clasificación. </w:t>
            </w:r>
          </w:p>
        </w:tc>
        <w:tc>
          <w:tcPr>
            <w:tcW w:w="6804" w:type="dxa"/>
          </w:tcPr>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C05074">
              <w:rPr>
                <w:rFonts w:ascii="Palatino Linotype" w:eastAsia="Palatino Linotype" w:hAnsi="Palatino Linotype" w:cs="Palatino Linotype"/>
                <w:b/>
                <w:i/>
                <w:color w:val="000000" w:themeColor="text1"/>
              </w:rPr>
              <w:t>Sujetos Obligados</w:t>
            </w:r>
            <w:r w:rsidRPr="00C05074">
              <w:rPr>
                <w:rFonts w:ascii="Palatino Linotype" w:eastAsia="Palatino Linotype" w:hAnsi="Palatino Linotype" w:cs="Palatino Linotype"/>
                <w:i/>
                <w:color w:val="000000" w:themeColor="text1"/>
              </w:rPr>
              <w:t xml:space="preserve">, por lo que deberán fundar y motivar debidamente la clasificación. </w:t>
            </w:r>
          </w:p>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De lo anterior, se desprende que para una correcta </w:t>
            </w:r>
            <w:r w:rsidRPr="00C05074">
              <w:rPr>
                <w:rFonts w:ascii="Palatino Linotype" w:eastAsia="Palatino Linotype" w:hAnsi="Palatino Linotype" w:cs="Palatino Linotype"/>
                <w:b/>
                <w:i/>
                <w:color w:val="000000" w:themeColor="text1"/>
              </w:rPr>
              <w:t>clasificación total o parcial</w:t>
            </w:r>
            <w:r w:rsidRPr="00C05074">
              <w:rPr>
                <w:rFonts w:ascii="Palatino Linotype" w:eastAsia="Palatino Linotype" w:hAnsi="Palatino Linotype" w:cs="Palatino Linotype"/>
                <w:i/>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En ese mismo sentido, el numeral trigésimo tercero fracción V de los Lineamientos Generales, precisa que para motivar la clasificación se deben acreditar las circunstancias de tiempo, modo y lugar.</w:t>
            </w:r>
          </w:p>
          <w:p w:rsidR="00BA39BC" w:rsidRPr="00C05074" w:rsidRDefault="006A648A" w:rsidP="009C2CE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Ahora bien, </w:t>
            </w:r>
            <w:r w:rsidRPr="00C05074">
              <w:rPr>
                <w:rFonts w:ascii="Palatino Linotype" w:eastAsia="Palatino Linotype" w:hAnsi="Palatino Linotype" w:cs="Palatino Linotype"/>
                <w:b/>
                <w:i/>
                <w:color w:val="000000" w:themeColor="text1"/>
                <w:u w:val="single"/>
              </w:rPr>
              <w:t>para cada caso además de fundar y motivar</w:t>
            </w:r>
            <w:r w:rsidRPr="00C05074">
              <w:rPr>
                <w:rFonts w:ascii="Palatino Linotype" w:eastAsia="Palatino Linotype" w:hAnsi="Palatino Linotype" w:cs="Palatino Linotype"/>
                <w:i/>
                <w:color w:val="000000" w:themeColor="text1"/>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C05074" w:rsidRPr="00C05074" w:rsidTr="009C2CE3">
        <w:tc>
          <w:tcPr>
            <w:cnfStyle w:val="001000000000" w:firstRow="0" w:lastRow="0" w:firstColumn="1" w:lastColumn="0" w:oddVBand="0" w:evenVBand="0" w:oddHBand="0" w:evenHBand="0" w:firstRowFirstColumn="0" w:firstRowLastColumn="0" w:lastRowFirstColumn="0" w:lastRowLastColumn="0"/>
            <w:tcW w:w="2830" w:type="dxa"/>
          </w:tcPr>
          <w:p w:rsidR="00BA39BC" w:rsidRPr="00C05074" w:rsidRDefault="006A648A" w:rsidP="009C2CE3">
            <w:pPr>
              <w:spacing w:line="360" w:lineRule="auto"/>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e) Condiciones especiales de la clasificación de la información como confidencial.</w:t>
            </w:r>
          </w:p>
        </w:tc>
        <w:tc>
          <w:tcPr>
            <w:tcW w:w="6804" w:type="dxa"/>
          </w:tcPr>
          <w:p w:rsidR="00BA39BC" w:rsidRPr="00C05074" w:rsidRDefault="006A648A" w:rsidP="009C2CE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Los artículos 148 y 120 de la Ley Estatal y de la Ley General, respectivamente, establecen que aun tratándose de datos personales, se podrán proporcionar, incluso sin solicitar el consentimiento de su titular. </w:t>
            </w:r>
          </w:p>
          <w:p w:rsidR="00BA39BC" w:rsidRPr="00C05074" w:rsidRDefault="006A648A" w:rsidP="009C2CE3">
            <w:pPr>
              <w:spacing w:line="276" w:lineRule="auto"/>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BA39BC" w:rsidRPr="00C05074" w:rsidRDefault="006A648A" w:rsidP="009C2CE3">
            <w:pPr>
              <w:spacing w:line="276" w:lineRule="auto"/>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i/>
                <w:color w:val="000000" w:themeColor="text1"/>
              </w:rPr>
            </w:pPr>
            <w:r w:rsidRPr="00C05074">
              <w:rPr>
                <w:rFonts w:ascii="Palatino Linotype" w:eastAsia="Palatino Linotype" w:hAnsi="Palatino Linotype" w:cs="Palatino Linotype"/>
                <w:i/>
                <w:color w:val="000000" w:themeColor="text1"/>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BA39BC" w:rsidRPr="00C05074" w:rsidRDefault="006A648A" w:rsidP="00C05074">
      <w:pPr>
        <w:numPr>
          <w:ilvl w:val="0"/>
          <w:numId w:val="3"/>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lastRenderedPageBreak/>
        <w:t>Para tal situación, el Sujeto Obligado deberá seguir el procedimiento establecido en el artículo 168 de la Ley de Transparencia y Acceso a la Información Pública del Estado de México y Municipios; esto es, que el área competente deberá elaborar la versión pública, así como emitir el Acuerdo, por parte del Comité de Transparencia, donde confirme la clasificación de los datos o documentos, fundando y motivando la clasificación.</w:t>
      </w: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3"/>
        </w:numPr>
        <w:tabs>
          <w:tab w:val="left" w:pos="284"/>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 Cabe precisar que por tratarse de actas de entrega recepción, el </w:t>
      </w:r>
      <w:r w:rsidRPr="00C05074">
        <w:rPr>
          <w:rFonts w:ascii="Palatino Linotype" w:eastAsia="Palatino Linotype" w:hAnsi="Palatino Linotype" w:cs="Palatino Linotype"/>
          <w:b/>
          <w:color w:val="000000" w:themeColor="text1"/>
        </w:rPr>
        <w:t xml:space="preserve">SUJETO OBLIGADO </w:t>
      </w:r>
      <w:r w:rsidRPr="00C05074">
        <w:rPr>
          <w:rFonts w:ascii="Palatino Linotype" w:eastAsia="Palatino Linotype" w:hAnsi="Palatino Linotype" w:cs="Palatino Linotype"/>
          <w:color w:val="000000" w:themeColor="text1"/>
        </w:rPr>
        <w:t>tendrá que observar el estudio que hizo en el considerando cuarto respecto de la información que debe de clasificarse como confidencial.</w:t>
      </w:r>
    </w:p>
    <w:p w:rsidR="00BA39BC" w:rsidRPr="00C05074" w:rsidRDefault="00BA39BC" w:rsidP="00C05074">
      <w:pPr>
        <w:rPr>
          <w:rFonts w:ascii="Palatino Linotype" w:eastAsia="Palatino Linotype" w:hAnsi="Palatino Linotype" w:cs="Palatino Linotype"/>
          <w:color w:val="000000" w:themeColor="text1"/>
        </w:rPr>
      </w:pPr>
    </w:p>
    <w:p w:rsidR="00BA39BC" w:rsidRPr="00C05074" w:rsidRDefault="006A648A" w:rsidP="00C05074">
      <w:pPr>
        <w:numPr>
          <w:ilvl w:val="0"/>
          <w:numId w:val="3"/>
        </w:numPr>
        <w:tabs>
          <w:tab w:val="left" w:pos="284"/>
        </w:tabs>
        <w:spacing w:line="360" w:lineRule="auto"/>
        <w:ind w:left="0" w:firstLine="0"/>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Si el servidor público incumple con estas formalidades y entrega la información sin proteger los datos personales incumple con lo que estipula las disposiciones legales establecidas, resulta  lo mismo que si entrega un documento testado sin el debido acuerdo de clasificación.</w:t>
      </w:r>
    </w:p>
    <w:p w:rsidR="00BA39BC" w:rsidRPr="00C05074" w:rsidRDefault="00BA39BC" w:rsidP="00C05074">
      <w:pPr>
        <w:tabs>
          <w:tab w:val="left" w:pos="284"/>
        </w:tabs>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numPr>
          <w:ilvl w:val="0"/>
          <w:numId w:val="4"/>
        </w:numPr>
        <w:spacing w:line="360" w:lineRule="auto"/>
        <w:ind w:left="0" w:firstLine="0"/>
        <w:jc w:val="both"/>
        <w:rPr>
          <w:rFonts w:ascii="Palatino Linotype" w:hAnsi="Palatino Linotype"/>
          <w:color w:val="000000" w:themeColor="text1"/>
        </w:rPr>
      </w:pPr>
      <w:r w:rsidRPr="00C05074">
        <w:rPr>
          <w:rFonts w:ascii="Palatino Linotype" w:eastAsia="Palatino Linotype" w:hAnsi="Palatino Linotype" w:cs="Palatino Linotype"/>
          <w:color w:val="000000" w:themeColor="text1"/>
        </w:rPr>
        <w:t>Por lo anteriormente expuesto, este Órgano Garante considera parcialmente fundadas las razones o motivos de inconformidad que plantea el</w:t>
      </w:r>
      <w:r w:rsidRPr="00C05074">
        <w:rPr>
          <w:rFonts w:ascii="Palatino Linotype" w:eastAsia="Palatino Linotype" w:hAnsi="Palatino Linotype" w:cs="Palatino Linotype"/>
          <w:b/>
          <w:color w:val="000000" w:themeColor="text1"/>
        </w:rPr>
        <w:t xml:space="preserve"> RECURRENTE</w:t>
      </w:r>
      <w:r w:rsidRPr="00C05074">
        <w:rPr>
          <w:rFonts w:ascii="Palatino Linotype" w:eastAsia="Palatino Linotype" w:hAnsi="Palatino Linotype" w:cs="Palatino Linotype"/>
          <w:color w:val="000000" w:themeColor="text1"/>
        </w:rPr>
        <w:t xml:space="preserve">, determinando </w:t>
      </w:r>
      <w:r w:rsidRPr="00C05074">
        <w:rPr>
          <w:rFonts w:ascii="Palatino Linotype" w:eastAsia="Palatino Linotype" w:hAnsi="Palatino Linotype" w:cs="Palatino Linotype"/>
          <w:b/>
          <w:smallCaps/>
          <w:color w:val="000000" w:themeColor="text1"/>
        </w:rPr>
        <w:t xml:space="preserve">MODIFICAR  </w:t>
      </w:r>
      <w:r w:rsidRPr="00C05074">
        <w:rPr>
          <w:rFonts w:ascii="Palatino Linotype" w:eastAsia="Palatino Linotype" w:hAnsi="Palatino Linotype" w:cs="Palatino Linotype"/>
          <w:color w:val="000000" w:themeColor="text1"/>
        </w:rPr>
        <w:t xml:space="preserve">la respuesta del </w:t>
      </w:r>
      <w:r w:rsidRPr="00C05074">
        <w:rPr>
          <w:rFonts w:ascii="Palatino Linotype" w:eastAsia="Palatino Linotype" w:hAnsi="Palatino Linotype" w:cs="Palatino Linotype"/>
          <w:b/>
          <w:color w:val="000000" w:themeColor="text1"/>
        </w:rPr>
        <w:t>SUJETO OBLIGADO</w:t>
      </w:r>
      <w:r w:rsidRPr="00C05074">
        <w:rPr>
          <w:rFonts w:ascii="Palatino Linotype" w:eastAsia="Palatino Linotype" w:hAnsi="Palatino Linotype" w:cs="Palatino Linotype"/>
          <w:color w:val="000000" w:themeColor="text1"/>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este </w:t>
      </w:r>
      <w:r w:rsidRPr="00C05074">
        <w:rPr>
          <w:rFonts w:ascii="Palatino Linotype" w:eastAsia="Palatino Linotype" w:hAnsi="Palatino Linotype" w:cs="Palatino Linotype"/>
          <w:b/>
          <w:color w:val="000000" w:themeColor="text1"/>
        </w:rPr>
        <w:t>ÓRGANO GARANTE</w:t>
      </w:r>
      <w:r w:rsidRPr="00C05074">
        <w:rPr>
          <w:rFonts w:ascii="Palatino Linotype" w:eastAsia="Palatino Linotype" w:hAnsi="Palatino Linotype" w:cs="Palatino Linotype"/>
          <w:color w:val="000000" w:themeColor="text1"/>
        </w:rPr>
        <w:t xml:space="preserve"> emite los siguientes.</w:t>
      </w:r>
      <w:r w:rsidR="009C2CE3">
        <w:rPr>
          <w:rFonts w:ascii="Palatino Linotype" w:eastAsia="Palatino Linotype" w:hAnsi="Palatino Linotype" w:cs="Palatino Linotype"/>
          <w:color w:val="000000" w:themeColor="text1"/>
        </w:rPr>
        <w:t xml:space="preserve"> ---------------------------------------------------------------------------</w:t>
      </w:r>
    </w:p>
    <w:p w:rsidR="00BA39BC" w:rsidRPr="00C05074" w:rsidRDefault="00BA39BC" w:rsidP="00C05074">
      <w:pPr>
        <w:spacing w:line="360" w:lineRule="auto"/>
        <w:jc w:val="both"/>
        <w:rPr>
          <w:rFonts w:ascii="Palatino Linotype" w:eastAsia="Palatino Linotype" w:hAnsi="Palatino Linotype" w:cs="Palatino Linotype"/>
          <w:i/>
          <w:color w:val="000000" w:themeColor="text1"/>
        </w:rPr>
      </w:pPr>
    </w:p>
    <w:p w:rsidR="00BA39BC" w:rsidRPr="00C05074" w:rsidRDefault="00BA39BC" w:rsidP="00C05074">
      <w:pPr>
        <w:pBdr>
          <w:top w:val="nil"/>
          <w:left w:val="nil"/>
          <w:bottom w:val="nil"/>
          <w:right w:val="nil"/>
          <w:between w:val="nil"/>
        </w:pBdr>
        <w:rPr>
          <w:rFonts w:ascii="Palatino Linotype" w:eastAsia="Palatino Linotype" w:hAnsi="Palatino Linotype" w:cs="Palatino Linotype"/>
          <w:color w:val="000000" w:themeColor="text1"/>
        </w:rPr>
      </w:pPr>
    </w:p>
    <w:p w:rsidR="00BA39BC" w:rsidRPr="00C05074" w:rsidRDefault="006A648A" w:rsidP="00C05074">
      <w:pPr>
        <w:pStyle w:val="Ttulo1"/>
        <w:spacing w:before="0" w:line="360" w:lineRule="auto"/>
        <w:jc w:val="center"/>
        <w:rPr>
          <w:rFonts w:ascii="Palatino Linotype" w:eastAsia="Palatino Linotype" w:hAnsi="Palatino Linotype" w:cs="Palatino Linotype"/>
          <w:b/>
          <w:color w:val="000000" w:themeColor="text1"/>
          <w:sz w:val="24"/>
          <w:szCs w:val="24"/>
        </w:rPr>
      </w:pPr>
      <w:r w:rsidRPr="00C05074">
        <w:rPr>
          <w:rFonts w:ascii="Palatino Linotype" w:eastAsia="Palatino Linotype" w:hAnsi="Palatino Linotype" w:cs="Palatino Linotype"/>
          <w:b/>
          <w:color w:val="000000" w:themeColor="text1"/>
          <w:sz w:val="24"/>
          <w:szCs w:val="24"/>
        </w:rPr>
        <w:lastRenderedPageBreak/>
        <w:t>R E S O L U T I V O S</w:t>
      </w: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PRIMERO</w:t>
      </w:r>
      <w:r w:rsidRPr="00C05074">
        <w:rPr>
          <w:rFonts w:ascii="Palatino Linotype" w:eastAsia="Palatino Linotype" w:hAnsi="Palatino Linotype" w:cs="Palatino Linotype"/>
          <w:color w:val="000000" w:themeColor="text1"/>
        </w:rPr>
        <w:t>. Resultan parcialmente fundadas las</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 xml:space="preserve">razones o motivos de inconformidad hechos valer en el Recurso de Revisión </w:t>
      </w:r>
      <w:r w:rsidRPr="00C05074">
        <w:rPr>
          <w:rFonts w:ascii="Palatino Linotype" w:eastAsia="Palatino Linotype" w:hAnsi="Palatino Linotype" w:cs="Palatino Linotype"/>
          <w:b/>
          <w:color w:val="000000" w:themeColor="text1"/>
        </w:rPr>
        <w:t xml:space="preserve">08173/INFOEM/IP/RR/2025, </w:t>
      </w:r>
      <w:r w:rsidRPr="00C05074">
        <w:rPr>
          <w:rFonts w:ascii="Palatino Linotype" w:eastAsia="Palatino Linotype" w:hAnsi="Palatino Linotype" w:cs="Palatino Linotype"/>
          <w:color w:val="000000" w:themeColor="text1"/>
        </w:rPr>
        <w:t xml:space="preserve">en términos del </w:t>
      </w:r>
      <w:r w:rsidRPr="00C05074">
        <w:rPr>
          <w:rFonts w:ascii="Palatino Linotype" w:eastAsia="Palatino Linotype" w:hAnsi="Palatino Linotype" w:cs="Palatino Linotype"/>
          <w:b/>
          <w:color w:val="000000" w:themeColor="text1"/>
        </w:rPr>
        <w:t xml:space="preserve">Considerando Cuarto </w:t>
      </w:r>
      <w:r w:rsidRPr="00C05074">
        <w:rPr>
          <w:rFonts w:ascii="Palatino Linotype" w:eastAsia="Palatino Linotype" w:hAnsi="Palatino Linotype" w:cs="Palatino Linotype"/>
          <w:color w:val="000000" w:themeColor="text1"/>
        </w:rPr>
        <w:t>de la presente resolución.</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SEGUNDO.</w:t>
      </w:r>
      <w:r w:rsidRPr="00C05074">
        <w:rPr>
          <w:rFonts w:ascii="Palatino Linotype" w:eastAsia="Palatino Linotype" w:hAnsi="Palatino Linotype" w:cs="Palatino Linotype"/>
          <w:color w:val="000000" w:themeColor="text1"/>
        </w:rPr>
        <w:t xml:space="preserve"> Se </w:t>
      </w:r>
      <w:r w:rsidRPr="00C05074">
        <w:rPr>
          <w:rFonts w:ascii="Palatino Linotype" w:eastAsia="Palatino Linotype" w:hAnsi="Palatino Linotype" w:cs="Palatino Linotype"/>
          <w:b/>
          <w:color w:val="000000" w:themeColor="text1"/>
        </w:rPr>
        <w:t xml:space="preserve">Modifica </w:t>
      </w:r>
      <w:r w:rsidRPr="00C05074">
        <w:rPr>
          <w:rFonts w:ascii="Palatino Linotype" w:eastAsia="Palatino Linotype" w:hAnsi="Palatino Linotype" w:cs="Palatino Linotype"/>
          <w:color w:val="000000" w:themeColor="text1"/>
        </w:rPr>
        <w:t>la respuesta emitida por el</w:t>
      </w:r>
      <w:r w:rsidRPr="00C05074">
        <w:rPr>
          <w:rFonts w:ascii="Palatino Linotype" w:eastAsia="Palatino Linotype" w:hAnsi="Palatino Linotype" w:cs="Palatino Linotype"/>
          <w:b/>
          <w:color w:val="000000" w:themeColor="text1"/>
        </w:rPr>
        <w:t xml:space="preserve"> Ayuntamiento de Toluca </w:t>
      </w:r>
      <w:r w:rsidRPr="00C05074">
        <w:rPr>
          <w:rFonts w:ascii="Palatino Linotype" w:eastAsia="Palatino Linotype" w:hAnsi="Palatino Linotype" w:cs="Palatino Linotype"/>
          <w:color w:val="000000" w:themeColor="text1"/>
        </w:rPr>
        <w:t xml:space="preserve">y se </w:t>
      </w:r>
      <w:r w:rsidRPr="00C05074">
        <w:rPr>
          <w:rFonts w:ascii="Palatino Linotype" w:eastAsia="Palatino Linotype" w:hAnsi="Palatino Linotype" w:cs="Palatino Linotype"/>
          <w:b/>
          <w:color w:val="000000" w:themeColor="text1"/>
        </w:rPr>
        <w:t>ORDENA</w:t>
      </w:r>
      <w:r w:rsidRPr="00C05074">
        <w:rPr>
          <w:rFonts w:ascii="Palatino Linotype" w:eastAsia="Palatino Linotype" w:hAnsi="Palatino Linotype" w:cs="Palatino Linotype"/>
          <w:color w:val="000000" w:themeColor="text1"/>
        </w:rPr>
        <w:t xml:space="preserve"> entregar vía Sistema de Acceso a la Información Mexiquense </w:t>
      </w:r>
      <w:r w:rsidRPr="00C05074">
        <w:rPr>
          <w:rFonts w:ascii="Palatino Linotype" w:eastAsia="Palatino Linotype" w:hAnsi="Palatino Linotype" w:cs="Palatino Linotype"/>
          <w:b/>
          <w:color w:val="000000" w:themeColor="text1"/>
        </w:rPr>
        <w:t>(SAIMEX)</w:t>
      </w:r>
      <w:r w:rsidRPr="00C05074">
        <w:rPr>
          <w:rFonts w:ascii="Palatino Linotype" w:eastAsia="Palatino Linotype" w:hAnsi="Palatino Linotype" w:cs="Palatino Linotype"/>
          <w:color w:val="000000" w:themeColor="text1"/>
        </w:rPr>
        <w:t xml:space="preserve">, la siguiente información de ser procedente en versión pública, de la Décimo Sexta Sesión Ordinaria de Cabildo: </w:t>
      </w:r>
    </w:p>
    <w:p w:rsidR="00BA39BC" w:rsidRPr="00C05074"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 xml:space="preserve"> </w:t>
      </w:r>
    </w:p>
    <w:p w:rsidR="00BA39BC" w:rsidRPr="00C05074" w:rsidRDefault="006A648A" w:rsidP="00C05074">
      <w:pPr>
        <w:numPr>
          <w:ilvl w:val="3"/>
          <w:numId w:val="4"/>
        </w:numPr>
        <w:pBdr>
          <w:top w:val="nil"/>
          <w:left w:val="nil"/>
          <w:bottom w:val="nil"/>
          <w:right w:val="nil"/>
          <w:between w:val="nil"/>
        </w:pBdr>
        <w:spacing w:line="360" w:lineRule="auto"/>
        <w:ind w:left="0" w:firstLine="0"/>
        <w:rPr>
          <w:rFonts w:ascii="Palatino Linotype" w:eastAsia="Palatino Linotype" w:hAnsi="Palatino Linotype" w:cs="Palatino Linotype"/>
          <w:b/>
          <w:i/>
          <w:color w:val="000000" w:themeColor="text1"/>
        </w:rPr>
      </w:pPr>
      <w:r w:rsidRPr="00C05074">
        <w:rPr>
          <w:rFonts w:ascii="Palatino Linotype" w:eastAsia="Palatino Linotype" w:hAnsi="Palatino Linotype" w:cs="Palatino Linotype"/>
          <w:b/>
          <w:i/>
          <w:color w:val="000000" w:themeColor="text1"/>
        </w:rPr>
        <w:t>Los citatorios</w:t>
      </w:r>
    </w:p>
    <w:p w:rsidR="00BA39BC" w:rsidRPr="00C05074" w:rsidRDefault="006A648A" w:rsidP="00C05074">
      <w:pPr>
        <w:numPr>
          <w:ilvl w:val="3"/>
          <w:numId w:val="4"/>
        </w:numPr>
        <w:pBdr>
          <w:top w:val="nil"/>
          <w:left w:val="nil"/>
          <w:bottom w:val="nil"/>
          <w:right w:val="nil"/>
          <w:between w:val="nil"/>
        </w:pBdr>
        <w:spacing w:line="360" w:lineRule="auto"/>
        <w:ind w:left="0" w:firstLine="0"/>
        <w:rPr>
          <w:rFonts w:ascii="Palatino Linotype" w:eastAsia="Palatino Linotype" w:hAnsi="Palatino Linotype" w:cs="Palatino Linotype"/>
          <w:b/>
          <w:i/>
          <w:color w:val="000000" w:themeColor="text1"/>
        </w:rPr>
      </w:pPr>
      <w:bookmarkStart w:id="12" w:name="_heading=h.t5a2z11g0ce5" w:colFirst="0" w:colLast="0"/>
      <w:bookmarkEnd w:id="12"/>
      <w:r w:rsidRPr="00C05074">
        <w:rPr>
          <w:rFonts w:ascii="Palatino Linotype" w:eastAsia="Palatino Linotype" w:hAnsi="Palatino Linotype" w:cs="Palatino Linotype"/>
          <w:b/>
          <w:i/>
          <w:color w:val="000000" w:themeColor="text1"/>
        </w:rPr>
        <w:t>Documentos donde conste la justificación de inasistencia de los Servidores Públicos que omitieron acudir a la Sesión de Cabildo.</w:t>
      </w:r>
    </w:p>
    <w:p w:rsidR="00BA39BC" w:rsidRPr="00C05074" w:rsidRDefault="00BA39BC" w:rsidP="00C05074">
      <w:pPr>
        <w:spacing w:line="360" w:lineRule="auto"/>
        <w:jc w:val="center"/>
        <w:rPr>
          <w:rFonts w:ascii="Palatino Linotype" w:eastAsia="Palatino Linotype" w:hAnsi="Palatino Linotype" w:cs="Palatino Linotype"/>
          <w:b/>
          <w:i/>
          <w:color w:val="000000" w:themeColor="text1"/>
        </w:rPr>
      </w:pPr>
    </w:p>
    <w:p w:rsidR="00BA39BC" w:rsidRDefault="006A648A" w:rsidP="00C05074">
      <w:pPr>
        <w:spacing w:line="360" w:lineRule="auto"/>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color w:val="000000" w:themeColor="text1"/>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C05074">
        <w:rPr>
          <w:rFonts w:ascii="Palatino Linotype" w:eastAsia="Palatino Linotype" w:hAnsi="Palatino Linotype" w:cs="Palatino Linotype"/>
          <w:b/>
          <w:color w:val="000000" w:themeColor="text1"/>
        </w:rPr>
        <w:t>RECURRENTE.</w:t>
      </w:r>
    </w:p>
    <w:p w:rsidR="00C05074" w:rsidRPr="00C05074" w:rsidRDefault="00C05074" w:rsidP="00C05074">
      <w:pPr>
        <w:spacing w:line="360" w:lineRule="auto"/>
        <w:jc w:val="both"/>
        <w:rPr>
          <w:rFonts w:ascii="Palatino Linotype" w:eastAsia="Palatino Linotype" w:hAnsi="Palatino Linotype" w:cs="Palatino Linotype"/>
          <w:b/>
          <w:color w:val="000000" w:themeColor="text1"/>
        </w:rPr>
      </w:pPr>
    </w:p>
    <w:p w:rsidR="00BA39BC" w:rsidRPr="00C05074" w:rsidRDefault="006A648A" w:rsidP="00C05074">
      <w:pPr>
        <w:spacing w:line="360" w:lineRule="auto"/>
        <w:jc w:val="both"/>
        <w:rPr>
          <w:rFonts w:ascii="Palatino Linotype" w:eastAsia="Palatino Linotype" w:hAnsi="Palatino Linotype" w:cs="Palatino Linotype"/>
          <w:b/>
          <w:color w:val="000000" w:themeColor="text1"/>
        </w:rPr>
      </w:pPr>
      <w:r w:rsidRPr="00C05074">
        <w:rPr>
          <w:rFonts w:ascii="Palatino Linotype" w:eastAsia="Palatino Linotype" w:hAnsi="Palatino Linotype" w:cs="Palatino Linotype"/>
          <w:color w:val="000000" w:themeColor="text1"/>
        </w:rPr>
        <w:t>Por cuanto hace a la Lista de Asistencia, para el</w:t>
      </w:r>
      <w:r w:rsidRPr="00C05074">
        <w:rPr>
          <w:rFonts w:ascii="Palatino Linotype" w:eastAsia="Palatino Linotype" w:hAnsi="Palatino Linotype" w:cs="Palatino Linotype"/>
          <w:b/>
          <w:color w:val="000000" w:themeColor="text1"/>
        </w:rPr>
        <w:t xml:space="preserve"> </w:t>
      </w:r>
      <w:r w:rsidRPr="00C05074">
        <w:rPr>
          <w:rFonts w:ascii="Palatino Linotype" w:eastAsia="Palatino Linotype" w:hAnsi="Palatino Linotype" w:cs="Palatino Linotype"/>
          <w:color w:val="000000" w:themeColor="text1"/>
        </w:rPr>
        <w:t xml:space="preserve">caso en que no se cuente con la información, bastará con que así se haga del conocimiento a </w:t>
      </w:r>
      <w:r w:rsidRPr="00C05074">
        <w:rPr>
          <w:rFonts w:ascii="Palatino Linotype" w:eastAsia="Palatino Linotype" w:hAnsi="Palatino Linotype" w:cs="Palatino Linotype"/>
          <w:b/>
          <w:color w:val="000000" w:themeColor="text1"/>
        </w:rPr>
        <w:t xml:space="preserve">LA PARTE RECURRENTE </w:t>
      </w:r>
      <w:r w:rsidRPr="00C05074">
        <w:rPr>
          <w:rFonts w:ascii="Palatino Linotype" w:eastAsia="Palatino Linotype" w:hAnsi="Palatino Linotype" w:cs="Palatino Linotype"/>
          <w:color w:val="000000" w:themeColor="text1"/>
        </w:rPr>
        <w:lastRenderedPageBreak/>
        <w:t>en términos de lo que establece el artículo 19 segundo párrafo de la Ley de Transparencia Local.</w:t>
      </w:r>
    </w:p>
    <w:p w:rsidR="00BA39BC" w:rsidRPr="00C05074" w:rsidRDefault="00BA39BC" w:rsidP="00C05074">
      <w:pPr>
        <w:spacing w:line="360" w:lineRule="auto"/>
        <w:jc w:val="both"/>
        <w:rPr>
          <w:rFonts w:ascii="Palatino Linotype" w:eastAsia="Palatino Linotype" w:hAnsi="Palatino Linotype" w:cs="Palatino Linotype"/>
          <w:b/>
          <w:color w:val="000000" w:themeColor="text1"/>
        </w:rPr>
      </w:pPr>
    </w:p>
    <w:p w:rsidR="00BA39BC" w:rsidRPr="00C05074" w:rsidRDefault="006A648A" w:rsidP="00C05074">
      <w:pPr>
        <w:tabs>
          <w:tab w:val="left" w:pos="8080"/>
        </w:tabs>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TERCERO. NOTIFÍQUESE</w:t>
      </w:r>
      <w:r w:rsidRPr="00C05074">
        <w:rPr>
          <w:rFonts w:ascii="Palatino Linotype" w:eastAsia="Palatino Linotype" w:hAnsi="Palatino Linotype" w:cs="Palatino Linotype"/>
          <w:color w:val="000000" w:themeColor="text1"/>
        </w:rPr>
        <w:t xml:space="preserv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C05074">
        <w:rPr>
          <w:rFonts w:ascii="Palatino Linotype" w:eastAsia="Palatino Linotype" w:hAnsi="Palatino Linotype" w:cs="Palatino Linotype"/>
          <w:b/>
          <w:color w:val="000000" w:themeColor="text1"/>
        </w:rPr>
        <w:t xml:space="preserve">dé cumplimiento a lo ordenado dentro del plazo de diez días hábiles, </w:t>
      </w:r>
      <w:r w:rsidRPr="00C05074">
        <w:rPr>
          <w:rFonts w:ascii="Palatino Linotype" w:eastAsia="Palatino Linotype" w:hAnsi="Palatino Linotype" w:cs="Palatino Linotype"/>
          <w:color w:val="000000" w:themeColor="text1"/>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xml:space="preserve">CUARTO. </w:t>
      </w:r>
      <w:r w:rsidRPr="00C05074">
        <w:rPr>
          <w:rFonts w:ascii="Palatino Linotype" w:eastAsia="Palatino Linotype" w:hAnsi="Palatino Linotype" w:cs="Palatino Linotype"/>
          <w:color w:val="000000" w:themeColor="text1"/>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 xml:space="preserve">QUINTO. Notifíquese </w:t>
      </w:r>
      <w:r w:rsidRPr="00C05074">
        <w:rPr>
          <w:rFonts w:ascii="Palatino Linotype" w:eastAsia="Palatino Linotype" w:hAnsi="Palatino Linotype" w:cs="Palatino Linotype"/>
          <w:color w:val="000000" w:themeColor="text1"/>
        </w:rPr>
        <w:t>a</w:t>
      </w:r>
      <w:r w:rsidR="00C05074">
        <w:rPr>
          <w:rFonts w:ascii="Palatino Linotype" w:eastAsia="Palatino Linotype" w:hAnsi="Palatino Linotype" w:cs="Palatino Linotype"/>
          <w:color w:val="000000" w:themeColor="text1"/>
        </w:rPr>
        <w:t>l</w:t>
      </w:r>
      <w:r w:rsidRPr="00C05074">
        <w:rPr>
          <w:rFonts w:ascii="Palatino Linotype" w:eastAsia="Palatino Linotype" w:hAnsi="Palatino Linotype" w:cs="Palatino Linotype"/>
          <w:b/>
          <w:color w:val="000000" w:themeColor="text1"/>
        </w:rPr>
        <w:t xml:space="preserve"> RECURRENTE</w:t>
      </w:r>
      <w:r w:rsidRPr="00C05074">
        <w:rPr>
          <w:rFonts w:ascii="Palatino Linotype" w:eastAsia="Palatino Linotype" w:hAnsi="Palatino Linotype" w:cs="Palatino Linotype"/>
          <w:color w:val="000000" w:themeColor="text1"/>
        </w:rPr>
        <w:t xml:space="preserve"> la presente resolución, vía SAIMEX.</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6A648A" w:rsidP="00C05074">
      <w:pPr>
        <w:spacing w:line="360" w:lineRule="auto"/>
        <w:jc w:val="both"/>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b/>
          <w:color w:val="000000" w:themeColor="text1"/>
        </w:rPr>
        <w:t>SEXTO.</w:t>
      </w:r>
      <w:r w:rsidRPr="00C05074">
        <w:rPr>
          <w:rFonts w:ascii="Palatino Linotype" w:eastAsia="Palatino Linotype" w:hAnsi="Palatino Linotype" w:cs="Palatino Linotype"/>
          <w:color w:val="000000" w:themeColor="text1"/>
        </w:rPr>
        <w:t xml:space="preserve"> Se hace del conocimiento de</w:t>
      </w:r>
      <w:r w:rsidR="00C05074">
        <w:rPr>
          <w:rFonts w:ascii="Palatino Linotype" w:eastAsia="Palatino Linotype" w:hAnsi="Palatino Linotype" w:cs="Palatino Linotype"/>
          <w:color w:val="000000" w:themeColor="text1"/>
        </w:rPr>
        <w:t xml:space="preserve">l </w:t>
      </w:r>
      <w:r w:rsidRPr="00C05074">
        <w:rPr>
          <w:rFonts w:ascii="Palatino Linotype" w:eastAsia="Palatino Linotype" w:hAnsi="Palatino Linotype" w:cs="Palatino Linotype"/>
          <w:b/>
          <w:color w:val="000000" w:themeColor="text1"/>
        </w:rPr>
        <w:t>RECURRENTE</w:t>
      </w:r>
      <w:r w:rsidRPr="00C05074">
        <w:rPr>
          <w:rFonts w:ascii="Palatino Linotype" w:eastAsia="Palatino Linotype" w:hAnsi="Palatino Linotype" w:cs="Palatino Linotype"/>
          <w:color w:val="000000" w:themeColor="text1"/>
        </w:rPr>
        <w:t xml:space="preserve"> que, de conformidad con lo establecido en el artículo 196 de la Ley de Transparencia y Acceso a la Información Pública del Estado de México y Municipios, en caso de que considere que la resolución le cause </w:t>
      </w:r>
      <w:r w:rsidRPr="00C05074">
        <w:rPr>
          <w:rFonts w:ascii="Palatino Linotype" w:eastAsia="Palatino Linotype" w:hAnsi="Palatino Linotype" w:cs="Palatino Linotype"/>
          <w:color w:val="000000" w:themeColor="text1"/>
        </w:rPr>
        <w:lastRenderedPageBreak/>
        <w:t>algún perjuicio podrá impugnarla vía juicio de amparo en los términos de las leyes aplicables.</w:t>
      </w:r>
    </w:p>
    <w:p w:rsidR="00BA39BC" w:rsidRDefault="00BA39BC" w:rsidP="00C05074">
      <w:pPr>
        <w:spacing w:line="360" w:lineRule="auto"/>
        <w:jc w:val="both"/>
        <w:rPr>
          <w:rFonts w:ascii="Palatino Linotype" w:eastAsia="Palatino Linotype" w:hAnsi="Palatino Linotype" w:cs="Palatino Linotype"/>
          <w:color w:val="000000" w:themeColor="text1"/>
        </w:rPr>
      </w:pPr>
    </w:p>
    <w:p w:rsidR="00C05074" w:rsidRPr="00444783" w:rsidRDefault="00C05074" w:rsidP="00C05074">
      <w:pPr>
        <w:tabs>
          <w:tab w:val="left" w:pos="5387"/>
        </w:tabs>
        <w:spacing w:line="360" w:lineRule="auto"/>
        <w:ind w:right="49"/>
        <w:jc w:val="both"/>
        <w:rPr>
          <w:rFonts w:ascii="Palatino Linotype" w:eastAsia="Palatino Linotype" w:hAnsi="Palatino Linotype" w:cs="Palatino Linotype"/>
        </w:rPr>
      </w:pPr>
      <w:r w:rsidRPr="0057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Pr>
          <w:rFonts w:ascii="Palatino Linotype" w:eastAsia="Palatino Linotype" w:hAnsi="Palatino Linotype" w:cs="Palatino Linotype"/>
        </w:rPr>
        <w:t xml:space="preserve">QUINTA </w:t>
      </w:r>
      <w:r w:rsidRPr="00575AE2">
        <w:rPr>
          <w:rFonts w:ascii="Palatino Linotype" w:eastAsia="Palatino Linotype" w:hAnsi="Palatino Linotype" w:cs="Palatino Linotype"/>
        </w:rPr>
        <w:t xml:space="preserve">SESIÓN ORDINARIA, CELEBRADA EL </w:t>
      </w:r>
      <w:r>
        <w:rPr>
          <w:rFonts w:ascii="Palatino Linotype" w:eastAsia="Palatino Linotype" w:hAnsi="Palatino Linotype" w:cs="Palatino Linotype"/>
        </w:rPr>
        <w:t>PRIMERO (01</w:t>
      </w:r>
      <w:r w:rsidRPr="00575AE2">
        <w:rPr>
          <w:rFonts w:ascii="Palatino Linotype" w:eastAsia="Palatino Linotype" w:hAnsi="Palatino Linotype" w:cs="Palatino Linotype"/>
        </w:rPr>
        <w:t xml:space="preserve">) DE </w:t>
      </w:r>
      <w:r>
        <w:rPr>
          <w:rFonts w:ascii="Palatino Linotype" w:eastAsia="Palatino Linotype" w:hAnsi="Palatino Linotype" w:cs="Palatino Linotype"/>
        </w:rPr>
        <w:t xml:space="preserve">OCTUBRE </w:t>
      </w:r>
      <w:r w:rsidRPr="00575AE2">
        <w:rPr>
          <w:rFonts w:ascii="Palatino Linotype" w:eastAsia="Palatino Linotype" w:hAnsi="Palatino Linotype" w:cs="Palatino Linotype"/>
        </w:rPr>
        <w:t>DE DOS MIL VEINTICINCO, ANTE EL SECRETARIO TÉCNICO DEL PLENO ALEXIS TAPIA RAMÍREZ.</w:t>
      </w: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pBdr>
          <w:top w:val="nil"/>
          <w:left w:val="nil"/>
          <w:bottom w:val="nil"/>
          <w:right w:val="nil"/>
          <w:between w:val="nil"/>
        </w:pBd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jc w:val="both"/>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BA39BC" w:rsidP="00C05074">
      <w:pPr>
        <w:spacing w:line="360" w:lineRule="auto"/>
        <w:rPr>
          <w:rFonts w:ascii="Palatino Linotype" w:eastAsia="Palatino Linotype" w:hAnsi="Palatino Linotype" w:cs="Palatino Linotype"/>
          <w:color w:val="000000" w:themeColor="text1"/>
        </w:rPr>
      </w:pPr>
    </w:p>
    <w:p w:rsidR="00BA39BC" w:rsidRPr="00C05074" w:rsidRDefault="006A648A" w:rsidP="00C05074">
      <w:pPr>
        <w:tabs>
          <w:tab w:val="left" w:pos="3374"/>
        </w:tabs>
        <w:spacing w:line="360" w:lineRule="auto"/>
        <w:rPr>
          <w:rFonts w:ascii="Palatino Linotype" w:eastAsia="Palatino Linotype" w:hAnsi="Palatino Linotype" w:cs="Palatino Linotype"/>
          <w:color w:val="000000" w:themeColor="text1"/>
        </w:rPr>
      </w:pPr>
      <w:r w:rsidRPr="00C05074">
        <w:rPr>
          <w:rFonts w:ascii="Palatino Linotype" w:eastAsia="Palatino Linotype" w:hAnsi="Palatino Linotype" w:cs="Palatino Linotype"/>
          <w:color w:val="000000" w:themeColor="text1"/>
        </w:rPr>
        <w:tab/>
      </w:r>
    </w:p>
    <w:p w:rsidR="00BA39BC" w:rsidRPr="00C05074" w:rsidRDefault="00BA39BC" w:rsidP="00C05074">
      <w:pPr>
        <w:tabs>
          <w:tab w:val="left" w:pos="3374"/>
        </w:tabs>
        <w:spacing w:line="360" w:lineRule="auto"/>
        <w:rPr>
          <w:rFonts w:ascii="Palatino Linotype" w:eastAsia="Palatino Linotype" w:hAnsi="Palatino Linotype" w:cs="Palatino Linotype"/>
          <w:color w:val="000000" w:themeColor="text1"/>
        </w:rPr>
      </w:pPr>
    </w:p>
    <w:p w:rsidR="00BA39BC" w:rsidRPr="00C05074" w:rsidRDefault="00BA39BC" w:rsidP="00C05074">
      <w:pPr>
        <w:tabs>
          <w:tab w:val="left" w:pos="3374"/>
        </w:tabs>
        <w:spacing w:line="360" w:lineRule="auto"/>
        <w:rPr>
          <w:rFonts w:ascii="Palatino Linotype" w:eastAsia="Palatino Linotype" w:hAnsi="Palatino Linotype" w:cs="Palatino Linotype"/>
          <w:color w:val="000000" w:themeColor="text1"/>
        </w:rPr>
      </w:pPr>
    </w:p>
    <w:p w:rsidR="00BA39BC" w:rsidRPr="00C05074" w:rsidRDefault="00BA39BC" w:rsidP="00C05074">
      <w:pPr>
        <w:tabs>
          <w:tab w:val="left" w:pos="3374"/>
        </w:tabs>
        <w:spacing w:line="360" w:lineRule="auto"/>
        <w:rPr>
          <w:rFonts w:ascii="Palatino Linotype" w:eastAsia="Palatino Linotype" w:hAnsi="Palatino Linotype" w:cs="Palatino Linotype"/>
          <w:color w:val="000000" w:themeColor="text1"/>
        </w:rPr>
      </w:pPr>
    </w:p>
    <w:p w:rsidR="00BA39BC" w:rsidRPr="00C05074" w:rsidRDefault="00BA39BC" w:rsidP="00C05074">
      <w:pPr>
        <w:tabs>
          <w:tab w:val="left" w:pos="3374"/>
        </w:tabs>
        <w:spacing w:line="360" w:lineRule="auto"/>
        <w:rPr>
          <w:rFonts w:ascii="Palatino Linotype" w:eastAsia="Palatino Linotype" w:hAnsi="Palatino Linotype" w:cs="Palatino Linotype"/>
          <w:color w:val="000000" w:themeColor="text1"/>
        </w:rPr>
      </w:pPr>
    </w:p>
    <w:p w:rsidR="00BA39BC" w:rsidRPr="00C05074" w:rsidRDefault="00BA39BC" w:rsidP="00C05074">
      <w:pPr>
        <w:tabs>
          <w:tab w:val="left" w:pos="3374"/>
        </w:tabs>
        <w:spacing w:line="360" w:lineRule="auto"/>
        <w:rPr>
          <w:rFonts w:ascii="Palatino Linotype" w:eastAsia="Palatino Linotype" w:hAnsi="Palatino Linotype" w:cs="Palatino Linotype"/>
          <w:color w:val="000000" w:themeColor="text1"/>
        </w:rPr>
      </w:pPr>
    </w:p>
    <w:p w:rsidR="00BA39BC" w:rsidRPr="00C05074" w:rsidRDefault="00BA39BC" w:rsidP="00C05074">
      <w:pPr>
        <w:tabs>
          <w:tab w:val="left" w:pos="3374"/>
        </w:tabs>
        <w:spacing w:line="360" w:lineRule="auto"/>
        <w:rPr>
          <w:rFonts w:ascii="Palatino Linotype" w:eastAsia="Palatino Linotype" w:hAnsi="Palatino Linotype" w:cs="Palatino Linotype"/>
          <w:color w:val="000000" w:themeColor="text1"/>
        </w:rPr>
      </w:pPr>
    </w:p>
    <w:p w:rsidR="00BA39BC" w:rsidRPr="00C05074" w:rsidRDefault="00BA39BC" w:rsidP="00C05074">
      <w:pPr>
        <w:rPr>
          <w:rFonts w:ascii="Palatino Linotype" w:hAnsi="Palatino Linotype"/>
          <w:color w:val="000000" w:themeColor="text1"/>
        </w:rPr>
      </w:pPr>
    </w:p>
    <w:p w:rsidR="00BA39BC" w:rsidRPr="00C05074" w:rsidRDefault="00BA39BC" w:rsidP="00C05074">
      <w:pPr>
        <w:rPr>
          <w:rFonts w:ascii="Palatino Linotype" w:hAnsi="Palatino Linotype"/>
          <w:color w:val="000000" w:themeColor="text1"/>
        </w:rPr>
      </w:pPr>
    </w:p>
    <w:p w:rsidR="00BA39BC" w:rsidRPr="00C05074" w:rsidRDefault="00BA39BC" w:rsidP="00C05074">
      <w:pPr>
        <w:rPr>
          <w:rFonts w:ascii="Palatino Linotype" w:hAnsi="Palatino Linotype"/>
          <w:color w:val="000000" w:themeColor="text1"/>
        </w:rPr>
      </w:pPr>
    </w:p>
    <w:sectPr w:rsidR="00BA39BC" w:rsidRPr="00C05074" w:rsidSect="009C2CE3">
      <w:headerReference w:type="even" r:id="rId13"/>
      <w:headerReference w:type="default" r:id="rId14"/>
      <w:footerReference w:type="default" r:id="rId15"/>
      <w:headerReference w:type="first" r:id="rId16"/>
      <w:footerReference w:type="first" r:id="rId17"/>
      <w:pgSz w:w="12240" w:h="15840"/>
      <w:pgMar w:top="2269" w:right="1041" w:bottom="1702"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4F11" w:rsidRDefault="00CF4F11">
      <w:r>
        <w:separator/>
      </w:r>
    </w:p>
  </w:endnote>
  <w:endnote w:type="continuationSeparator" w:id="0">
    <w:p w:rsidR="00CF4F11" w:rsidRDefault="00CF4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dica Black">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9BC" w:rsidRDefault="006A648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E1FAA">
      <w:rPr>
        <w:rFonts w:ascii="Palatino Linotype" w:eastAsia="Palatino Linotype" w:hAnsi="Palatino Linotype" w:cs="Palatino Linotype"/>
        <w:noProof/>
        <w:color w:val="000000"/>
        <w:sz w:val="20"/>
        <w:szCs w:val="20"/>
      </w:rPr>
      <w:t>2</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E1FAA">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rsidR="00BA39BC" w:rsidRDefault="00BA39BC">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9BC" w:rsidRDefault="006A648A">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color w:val="000000"/>
        <w:sz w:val="20"/>
        <w:szCs w:val="20"/>
      </w:rPr>
      <w:t xml:space="preserve">Página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PAGE</w:instrText>
    </w:r>
    <w:r>
      <w:rPr>
        <w:rFonts w:ascii="Palatino Linotype" w:eastAsia="Palatino Linotype" w:hAnsi="Palatino Linotype" w:cs="Palatino Linotype"/>
        <w:color w:val="000000"/>
        <w:sz w:val="20"/>
        <w:szCs w:val="20"/>
      </w:rPr>
      <w:fldChar w:fldCharType="separate"/>
    </w:r>
    <w:r w:rsidR="005E1FAA">
      <w:rPr>
        <w:rFonts w:ascii="Palatino Linotype" w:eastAsia="Palatino Linotype" w:hAnsi="Palatino Linotype" w:cs="Palatino Linotype"/>
        <w:noProof/>
        <w:color w:val="000000"/>
        <w:sz w:val="20"/>
        <w:szCs w:val="20"/>
      </w:rPr>
      <w:t>1</w:t>
    </w:r>
    <w:r>
      <w:rPr>
        <w:rFonts w:ascii="Palatino Linotype" w:eastAsia="Palatino Linotype" w:hAnsi="Palatino Linotype" w:cs="Palatino Linotype"/>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color w:val="000000"/>
        <w:sz w:val="20"/>
        <w:szCs w:val="20"/>
      </w:rPr>
      <w:fldChar w:fldCharType="begin"/>
    </w:r>
    <w:r>
      <w:rPr>
        <w:rFonts w:ascii="Palatino Linotype" w:eastAsia="Palatino Linotype" w:hAnsi="Palatino Linotype" w:cs="Palatino Linotype"/>
        <w:color w:val="000000"/>
        <w:sz w:val="20"/>
        <w:szCs w:val="20"/>
      </w:rPr>
      <w:instrText>NUMPAGES</w:instrText>
    </w:r>
    <w:r>
      <w:rPr>
        <w:rFonts w:ascii="Palatino Linotype" w:eastAsia="Palatino Linotype" w:hAnsi="Palatino Linotype" w:cs="Palatino Linotype"/>
        <w:color w:val="000000"/>
        <w:sz w:val="20"/>
        <w:szCs w:val="20"/>
      </w:rPr>
      <w:fldChar w:fldCharType="separate"/>
    </w:r>
    <w:r w:rsidR="005E1FAA">
      <w:rPr>
        <w:rFonts w:ascii="Palatino Linotype" w:eastAsia="Palatino Linotype" w:hAnsi="Palatino Linotype" w:cs="Palatino Linotype"/>
        <w:noProof/>
        <w:color w:val="000000"/>
        <w:sz w:val="20"/>
        <w:szCs w:val="20"/>
      </w:rPr>
      <w:t>40</w:t>
    </w:r>
    <w:r>
      <w:rPr>
        <w:rFonts w:ascii="Palatino Linotype" w:eastAsia="Palatino Linotype" w:hAnsi="Palatino Linotype" w:cs="Palatino Linotype"/>
        <w:color w:val="000000"/>
        <w:sz w:val="20"/>
        <w:szCs w:val="20"/>
      </w:rPr>
      <w:fldChar w:fldCharType="end"/>
    </w:r>
  </w:p>
  <w:p w:rsidR="00BA39BC" w:rsidRDefault="00BA39BC">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4F11" w:rsidRDefault="00CF4F11">
      <w:r>
        <w:separator/>
      </w:r>
    </w:p>
  </w:footnote>
  <w:footnote w:type="continuationSeparator" w:id="0">
    <w:p w:rsidR="00CF4F11" w:rsidRDefault="00CF4F11">
      <w:r>
        <w:continuationSeparator/>
      </w:r>
    </w:p>
  </w:footnote>
  <w:footnote w:id="1">
    <w:p w:rsidR="00BA39BC" w:rsidRDefault="006A64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rsidR="00BA39BC" w:rsidRDefault="006A64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rsidR="00BA39BC" w:rsidRDefault="006A64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rsidR="00BA39BC" w:rsidRDefault="006A648A">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9BC" w:rsidRDefault="00CF4F11">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609.4pt;height:793.75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6"/>
      <w:tblW w:w="6945" w:type="dxa"/>
      <w:tblInd w:w="3402" w:type="dxa"/>
      <w:tblLayout w:type="fixed"/>
      <w:tblLook w:val="0400" w:firstRow="0" w:lastRow="0" w:firstColumn="0" w:lastColumn="0" w:noHBand="0" w:noVBand="1"/>
    </w:tblPr>
    <w:tblGrid>
      <w:gridCol w:w="2976"/>
      <w:gridCol w:w="3969"/>
    </w:tblGrid>
    <w:tr w:rsidR="00BA39BC" w:rsidTr="009C2CE3">
      <w:trPr>
        <w:trHeight w:val="227"/>
      </w:trPr>
      <w:tc>
        <w:tcPr>
          <w:tcW w:w="2976" w:type="dxa"/>
          <w:vAlign w:val="center"/>
        </w:tcPr>
        <w:p w:rsidR="00BA39BC" w:rsidRPr="00C05074" w:rsidRDefault="006A648A" w:rsidP="00C05074">
          <w:pPr>
            <w:ind w:right="34"/>
            <w:jc w:val="right"/>
            <w:rPr>
              <w:rFonts w:ascii="Palatino Linotype" w:eastAsia="Palatino Linotype" w:hAnsi="Palatino Linotype" w:cs="Palatino Linotype"/>
              <w:b/>
            </w:rPr>
          </w:pPr>
          <w:r w:rsidRPr="00C05074">
            <w:rPr>
              <w:rFonts w:ascii="Palatino Linotype" w:eastAsia="Palatino Linotype" w:hAnsi="Palatino Linotype" w:cs="Palatino Linotype"/>
              <w:b/>
            </w:rPr>
            <w:t>Recurso de Revisión:</w:t>
          </w:r>
        </w:p>
      </w:tc>
      <w:tc>
        <w:tcPr>
          <w:tcW w:w="3969" w:type="dxa"/>
          <w:vAlign w:val="center"/>
        </w:tcPr>
        <w:p w:rsidR="00BA39BC" w:rsidRPr="00C05074" w:rsidRDefault="006A648A" w:rsidP="00C05074">
          <w:pPr>
            <w:pBdr>
              <w:top w:val="nil"/>
              <w:left w:val="nil"/>
              <w:bottom w:val="nil"/>
              <w:right w:val="nil"/>
              <w:between w:val="nil"/>
            </w:pBdr>
            <w:tabs>
              <w:tab w:val="center" w:pos="4419"/>
              <w:tab w:val="right" w:pos="8838"/>
            </w:tabs>
            <w:ind w:right="-213"/>
            <w:rPr>
              <w:rFonts w:ascii="Palatino Linotype" w:eastAsia="Palatino Linotype" w:hAnsi="Palatino Linotype" w:cs="Palatino Linotype"/>
              <w:color w:val="000000"/>
            </w:rPr>
          </w:pPr>
          <w:r w:rsidRPr="00C05074">
            <w:rPr>
              <w:rFonts w:ascii="Palatino Linotype" w:eastAsia="Palatino Linotype" w:hAnsi="Palatino Linotype" w:cs="Palatino Linotype"/>
              <w:color w:val="000000"/>
            </w:rPr>
            <w:t>08173/INFOEM/IP/RR/2025</w:t>
          </w:r>
        </w:p>
      </w:tc>
    </w:tr>
    <w:tr w:rsidR="00BA39BC" w:rsidTr="009C2CE3">
      <w:trPr>
        <w:trHeight w:val="242"/>
      </w:trPr>
      <w:tc>
        <w:tcPr>
          <w:tcW w:w="2976" w:type="dxa"/>
          <w:vAlign w:val="center"/>
        </w:tcPr>
        <w:p w:rsidR="00BA39BC" w:rsidRPr="00C05074" w:rsidRDefault="006A648A" w:rsidP="00C05074">
          <w:pPr>
            <w:ind w:right="34"/>
            <w:jc w:val="right"/>
            <w:rPr>
              <w:rFonts w:ascii="Palatino Linotype" w:eastAsia="Palatino Linotype" w:hAnsi="Palatino Linotype" w:cs="Palatino Linotype"/>
              <w:b/>
            </w:rPr>
          </w:pPr>
          <w:r w:rsidRPr="00C05074">
            <w:rPr>
              <w:rFonts w:ascii="Palatino Linotype" w:eastAsia="Palatino Linotype" w:hAnsi="Palatino Linotype" w:cs="Palatino Linotype"/>
              <w:b/>
            </w:rPr>
            <w:t>Sujeto Obligado:</w:t>
          </w:r>
        </w:p>
      </w:tc>
      <w:tc>
        <w:tcPr>
          <w:tcW w:w="3969" w:type="dxa"/>
          <w:vAlign w:val="center"/>
        </w:tcPr>
        <w:p w:rsidR="00BA39BC" w:rsidRPr="00C05074" w:rsidRDefault="006A648A" w:rsidP="00C0507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rPr>
          </w:pPr>
          <w:r w:rsidRPr="00C05074">
            <w:rPr>
              <w:rFonts w:ascii="Palatino Linotype" w:eastAsia="Palatino Linotype" w:hAnsi="Palatino Linotype" w:cs="Palatino Linotype"/>
              <w:color w:val="000000"/>
            </w:rPr>
            <w:t>Ayuntamiento de Toluca</w:t>
          </w:r>
        </w:p>
      </w:tc>
    </w:tr>
    <w:tr w:rsidR="00BA39BC" w:rsidTr="009C2CE3">
      <w:trPr>
        <w:trHeight w:val="342"/>
      </w:trPr>
      <w:tc>
        <w:tcPr>
          <w:tcW w:w="2976" w:type="dxa"/>
          <w:vAlign w:val="center"/>
        </w:tcPr>
        <w:p w:rsidR="00BA39BC" w:rsidRPr="00C05074" w:rsidRDefault="006A648A" w:rsidP="00C05074">
          <w:pPr>
            <w:ind w:right="34"/>
            <w:jc w:val="right"/>
            <w:rPr>
              <w:rFonts w:ascii="Palatino Linotype" w:eastAsia="Palatino Linotype" w:hAnsi="Palatino Linotype" w:cs="Palatino Linotype"/>
              <w:b/>
            </w:rPr>
          </w:pPr>
          <w:r w:rsidRPr="00C05074">
            <w:rPr>
              <w:rFonts w:ascii="Palatino Linotype" w:eastAsia="Palatino Linotype" w:hAnsi="Palatino Linotype" w:cs="Palatino Linotype"/>
              <w:b/>
            </w:rPr>
            <w:t>Comisionada Ponente:</w:t>
          </w:r>
        </w:p>
      </w:tc>
      <w:tc>
        <w:tcPr>
          <w:tcW w:w="3969" w:type="dxa"/>
          <w:vAlign w:val="center"/>
        </w:tcPr>
        <w:p w:rsidR="00BA39BC" w:rsidRPr="00C05074" w:rsidRDefault="006A648A" w:rsidP="00C0507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C05074">
            <w:rPr>
              <w:rFonts w:ascii="Palatino Linotype" w:eastAsia="Palatino Linotype" w:hAnsi="Palatino Linotype" w:cs="Palatino Linotype"/>
              <w:color w:val="000000"/>
            </w:rPr>
            <w:t>María del Rosario Mejía Ayala</w:t>
          </w:r>
        </w:p>
      </w:tc>
    </w:tr>
  </w:tbl>
  <w:p w:rsidR="00BA39BC" w:rsidRDefault="00CF4F11">
    <w:pPr>
      <w:pBdr>
        <w:top w:val="nil"/>
        <w:left w:val="nil"/>
        <w:bottom w:val="nil"/>
        <w:right w:val="nil"/>
        <w:between w:val="nil"/>
      </w:pBdr>
      <w:tabs>
        <w:tab w:val="center" w:pos="4419"/>
        <w:tab w:val="right" w:pos="8838"/>
        <w:tab w:val="left" w:pos="6005"/>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76.15pt;margin-top:-123.65pt;width:609.4pt;height:793.75pt;z-index:-251659776;mso-position-horizontal-relative:margin;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7"/>
      <w:tblW w:w="6946" w:type="dxa"/>
      <w:tblInd w:w="3261" w:type="dxa"/>
      <w:tblLayout w:type="fixed"/>
      <w:tblLook w:val="0400" w:firstRow="0" w:lastRow="0" w:firstColumn="0" w:lastColumn="0" w:noHBand="0" w:noVBand="1"/>
    </w:tblPr>
    <w:tblGrid>
      <w:gridCol w:w="2977"/>
      <w:gridCol w:w="3969"/>
    </w:tblGrid>
    <w:tr w:rsidR="00BA39BC" w:rsidTr="009C2CE3">
      <w:trPr>
        <w:trHeight w:val="227"/>
      </w:trPr>
      <w:tc>
        <w:tcPr>
          <w:tcW w:w="2977" w:type="dxa"/>
          <w:vAlign w:val="center"/>
        </w:tcPr>
        <w:p w:rsidR="00BA39BC" w:rsidRPr="00C05074" w:rsidRDefault="006A648A" w:rsidP="00C05074">
          <w:pPr>
            <w:jc w:val="right"/>
            <w:rPr>
              <w:rFonts w:ascii="Palatino Linotype" w:eastAsia="Palatino Linotype" w:hAnsi="Palatino Linotype" w:cs="Palatino Linotype"/>
              <w:b/>
            </w:rPr>
          </w:pPr>
          <w:r w:rsidRPr="00C05074">
            <w:rPr>
              <w:rFonts w:ascii="Palatino Linotype" w:eastAsia="Palatino Linotype" w:hAnsi="Palatino Linotype" w:cs="Palatino Linotype"/>
              <w:b/>
            </w:rPr>
            <w:t>Recurso de Revisión:</w:t>
          </w:r>
        </w:p>
      </w:tc>
      <w:tc>
        <w:tcPr>
          <w:tcW w:w="3969" w:type="dxa"/>
          <w:vAlign w:val="center"/>
        </w:tcPr>
        <w:p w:rsidR="00BA39BC" w:rsidRPr="00C05074" w:rsidRDefault="006A648A" w:rsidP="00C0507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C05074">
            <w:rPr>
              <w:rFonts w:ascii="Palatino Linotype" w:eastAsia="Palatino Linotype" w:hAnsi="Palatino Linotype" w:cs="Palatino Linotype"/>
              <w:color w:val="000000"/>
            </w:rPr>
            <w:t>08173/INFOEM/IP/RR/2025</w:t>
          </w:r>
        </w:p>
      </w:tc>
    </w:tr>
    <w:tr w:rsidR="00BA39BC" w:rsidTr="009C2CE3">
      <w:trPr>
        <w:trHeight w:val="242"/>
      </w:trPr>
      <w:tc>
        <w:tcPr>
          <w:tcW w:w="2977" w:type="dxa"/>
          <w:vAlign w:val="center"/>
        </w:tcPr>
        <w:p w:rsidR="00BA39BC" w:rsidRPr="00C05074" w:rsidRDefault="006A648A" w:rsidP="00C05074">
          <w:pPr>
            <w:jc w:val="right"/>
            <w:rPr>
              <w:rFonts w:ascii="Palatino Linotype" w:eastAsia="Palatino Linotype" w:hAnsi="Palatino Linotype" w:cs="Palatino Linotype"/>
              <w:b/>
            </w:rPr>
          </w:pPr>
          <w:r w:rsidRPr="00C05074">
            <w:rPr>
              <w:rFonts w:ascii="Palatino Linotype" w:eastAsia="Palatino Linotype" w:hAnsi="Palatino Linotype" w:cs="Palatino Linotype"/>
              <w:b/>
            </w:rPr>
            <w:t>Recurrente:</w:t>
          </w:r>
        </w:p>
      </w:tc>
      <w:tc>
        <w:tcPr>
          <w:tcW w:w="3969" w:type="dxa"/>
        </w:tcPr>
        <w:p w:rsidR="00BA39BC" w:rsidRPr="00C05074" w:rsidRDefault="006A648A" w:rsidP="00C05074">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color w:val="000000"/>
            </w:rPr>
          </w:pPr>
          <w:r w:rsidRPr="00C05074">
            <w:rPr>
              <w:rFonts w:ascii="Palatino Linotype" w:eastAsia="Palatino Linotype" w:hAnsi="Palatino Linotype" w:cs="Palatino Linotype"/>
              <w:color w:val="FF0000"/>
            </w:rPr>
            <w:t> </w:t>
          </w:r>
          <w:r w:rsidRPr="00C05074">
            <w:rPr>
              <w:rFonts w:ascii="Palatino Linotype" w:eastAsia="Palatino Linotype" w:hAnsi="Palatino Linotype" w:cs="Palatino Linotype"/>
              <w:color w:val="000000"/>
            </w:rPr>
            <w:t> </w:t>
          </w:r>
        </w:p>
      </w:tc>
    </w:tr>
    <w:tr w:rsidR="00BA39BC" w:rsidTr="009C2CE3">
      <w:trPr>
        <w:trHeight w:val="342"/>
      </w:trPr>
      <w:tc>
        <w:tcPr>
          <w:tcW w:w="2977" w:type="dxa"/>
          <w:vAlign w:val="center"/>
        </w:tcPr>
        <w:p w:rsidR="00BA39BC" w:rsidRPr="00C05074" w:rsidRDefault="006A648A" w:rsidP="00C05074">
          <w:pPr>
            <w:jc w:val="right"/>
            <w:rPr>
              <w:rFonts w:ascii="Palatino Linotype" w:eastAsia="Palatino Linotype" w:hAnsi="Palatino Linotype" w:cs="Palatino Linotype"/>
              <w:b/>
            </w:rPr>
          </w:pPr>
          <w:r w:rsidRPr="00C05074">
            <w:rPr>
              <w:rFonts w:ascii="Palatino Linotype" w:eastAsia="Palatino Linotype" w:hAnsi="Palatino Linotype" w:cs="Palatino Linotype"/>
              <w:b/>
            </w:rPr>
            <w:t>Sujeto Obligado:</w:t>
          </w:r>
        </w:p>
      </w:tc>
      <w:tc>
        <w:tcPr>
          <w:tcW w:w="3969" w:type="dxa"/>
          <w:vAlign w:val="center"/>
        </w:tcPr>
        <w:p w:rsidR="00BA39BC" w:rsidRPr="00C05074" w:rsidRDefault="006A648A" w:rsidP="00C05074">
          <w:pPr>
            <w:pBdr>
              <w:top w:val="nil"/>
              <w:left w:val="nil"/>
              <w:bottom w:val="nil"/>
              <w:right w:val="nil"/>
              <w:between w:val="nil"/>
            </w:pBdr>
            <w:tabs>
              <w:tab w:val="center" w:pos="4419"/>
              <w:tab w:val="right" w:pos="8838"/>
            </w:tabs>
            <w:jc w:val="both"/>
            <w:rPr>
              <w:rFonts w:ascii="Palatino Linotype" w:eastAsia="Palatino Linotype" w:hAnsi="Palatino Linotype" w:cs="Palatino Linotype"/>
              <w:color w:val="000000"/>
            </w:rPr>
          </w:pPr>
          <w:r w:rsidRPr="00C05074">
            <w:rPr>
              <w:rFonts w:ascii="Palatino Linotype" w:eastAsia="Palatino Linotype" w:hAnsi="Palatino Linotype" w:cs="Palatino Linotype"/>
              <w:color w:val="000000"/>
            </w:rPr>
            <w:t>Ayuntamiento de Toluca</w:t>
          </w:r>
        </w:p>
      </w:tc>
    </w:tr>
    <w:tr w:rsidR="00BA39BC" w:rsidTr="009C2CE3">
      <w:trPr>
        <w:trHeight w:val="342"/>
      </w:trPr>
      <w:tc>
        <w:tcPr>
          <w:tcW w:w="2977" w:type="dxa"/>
          <w:vAlign w:val="center"/>
        </w:tcPr>
        <w:p w:rsidR="00BA39BC" w:rsidRPr="00C05074" w:rsidRDefault="006A648A" w:rsidP="00C05074">
          <w:pPr>
            <w:jc w:val="right"/>
            <w:rPr>
              <w:rFonts w:ascii="Palatino Linotype" w:eastAsia="Palatino Linotype" w:hAnsi="Palatino Linotype" w:cs="Palatino Linotype"/>
              <w:b/>
            </w:rPr>
          </w:pPr>
          <w:r w:rsidRPr="00C05074">
            <w:rPr>
              <w:rFonts w:ascii="Palatino Linotype" w:eastAsia="Palatino Linotype" w:hAnsi="Palatino Linotype" w:cs="Palatino Linotype"/>
              <w:b/>
            </w:rPr>
            <w:t>Comisionada Ponente:</w:t>
          </w:r>
        </w:p>
      </w:tc>
      <w:tc>
        <w:tcPr>
          <w:tcW w:w="3969" w:type="dxa"/>
          <w:vAlign w:val="center"/>
        </w:tcPr>
        <w:p w:rsidR="00BA39BC" w:rsidRPr="00C05074" w:rsidRDefault="006A648A" w:rsidP="00C05074">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rPr>
          </w:pPr>
          <w:r w:rsidRPr="00C05074">
            <w:rPr>
              <w:rFonts w:ascii="Palatino Linotype" w:eastAsia="Palatino Linotype" w:hAnsi="Palatino Linotype" w:cs="Palatino Linotype"/>
              <w:color w:val="000000"/>
            </w:rPr>
            <w:t>María del Rosario Mejía Ayala</w:t>
          </w:r>
        </w:p>
      </w:tc>
    </w:tr>
  </w:tbl>
  <w:p w:rsidR="00BA39BC" w:rsidRDefault="00CF4F11">
    <w:pPr>
      <w:pBdr>
        <w:top w:val="nil"/>
        <w:left w:val="nil"/>
        <w:bottom w:val="nil"/>
        <w:right w:val="nil"/>
        <w:between w:val="nil"/>
      </w:pBdr>
      <w:tabs>
        <w:tab w:val="center" w:pos="4419"/>
        <w:tab w:val="right" w:pos="8838"/>
      </w:tabs>
      <w:rPr>
        <w:color w:val="000000"/>
        <w:sz w:val="16"/>
        <w:szCs w:val="16"/>
      </w:rPr>
    </w:pPr>
    <w:r>
      <w:rPr>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84.55pt;margin-top:-122.3pt;width:609.4pt;height:793.75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60D01"/>
    <w:multiLevelType w:val="multilevel"/>
    <w:tmpl w:val="02BEA5AC"/>
    <w:lvl w:ilvl="0">
      <w:start w:val="56"/>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D84536"/>
    <w:multiLevelType w:val="multilevel"/>
    <w:tmpl w:val="ECF287A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2" w15:restartNumberingAfterBreak="0">
    <w:nsid w:val="0ECF4D82"/>
    <w:multiLevelType w:val="multilevel"/>
    <w:tmpl w:val="9250B4A8"/>
    <w:lvl w:ilvl="0">
      <w:start w:val="11"/>
      <w:numFmt w:val="decimal"/>
      <w:lvlText w:val="%1."/>
      <w:lvlJc w:val="left"/>
      <w:pPr>
        <w:ind w:left="644" w:hanging="357"/>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9E1543"/>
    <w:multiLevelType w:val="multilevel"/>
    <w:tmpl w:val="CF04562A"/>
    <w:lvl w:ilvl="0">
      <w:start w:val="59"/>
      <w:numFmt w:val="decimal"/>
      <w:lvlText w:val="%1."/>
      <w:lvlJc w:val="left"/>
      <w:pPr>
        <w:ind w:left="502"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87A2A16"/>
    <w:multiLevelType w:val="multilevel"/>
    <w:tmpl w:val="A776EF50"/>
    <w:lvl w:ilvl="0">
      <w:start w:val="67"/>
      <w:numFmt w:val="decimal"/>
      <w:lvlText w:val="%1."/>
      <w:lvlJc w:val="left"/>
      <w:pPr>
        <w:ind w:left="0" w:firstLine="0"/>
      </w:pPr>
      <w:rPr>
        <w:rFonts w:ascii="Palatino Linotype" w:eastAsia="Palatino Linotype" w:hAnsi="Palatino Linotype" w:cs="Palatino Linotype"/>
        <w:b/>
        <w:i w:val="0"/>
        <w:sz w:val="24"/>
        <w:szCs w:val="24"/>
      </w:rPr>
    </w:lvl>
    <w:lvl w:ilvl="1">
      <w:start w:val="1"/>
      <w:numFmt w:val="bullet"/>
      <w:lvlText w:val="●"/>
      <w:lvlJc w:val="left"/>
      <w:pPr>
        <w:ind w:left="1440" w:hanging="360"/>
      </w:pPr>
      <w:rPr>
        <w:rFonts w:ascii="Noto Sans Symbols" w:eastAsia="Noto Sans Symbols" w:hAnsi="Noto Sans Symbols" w:cs="Noto Sans Symbols"/>
        <w:b/>
        <w:i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3016597"/>
    <w:multiLevelType w:val="multilevel"/>
    <w:tmpl w:val="46CEC260"/>
    <w:lvl w:ilvl="0">
      <w:start w:val="1"/>
      <w:numFmt w:val="decimal"/>
      <w:pStyle w:val="Listaconvieta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349C7178"/>
    <w:multiLevelType w:val="multilevel"/>
    <w:tmpl w:val="A10CD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BBE00A6"/>
    <w:multiLevelType w:val="multilevel"/>
    <w:tmpl w:val="10AE2050"/>
    <w:lvl w:ilvl="0">
      <w:start w:val="74"/>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09E0A0D"/>
    <w:multiLevelType w:val="multilevel"/>
    <w:tmpl w:val="69BA5CD4"/>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7A51541"/>
    <w:multiLevelType w:val="multilevel"/>
    <w:tmpl w:val="0AFE136C"/>
    <w:lvl w:ilvl="0">
      <w:start w:val="68"/>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B4F388E"/>
    <w:multiLevelType w:val="multilevel"/>
    <w:tmpl w:val="A4D40032"/>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B78518A"/>
    <w:multiLevelType w:val="multilevel"/>
    <w:tmpl w:val="D54A0D5A"/>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C742A7B"/>
    <w:multiLevelType w:val="multilevel"/>
    <w:tmpl w:val="FBE632AA"/>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C9A511F"/>
    <w:multiLevelType w:val="hybridMultilevel"/>
    <w:tmpl w:val="1D6E7D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3697109"/>
    <w:multiLevelType w:val="multilevel"/>
    <w:tmpl w:val="872E5DBE"/>
    <w:lvl w:ilvl="0">
      <w:start w:val="13"/>
      <w:numFmt w:val="decimal"/>
      <w:lvlText w:val="%1."/>
      <w:lvlJc w:val="left"/>
      <w:pPr>
        <w:ind w:left="359" w:hanging="359"/>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14"/>
  </w:num>
  <w:num w:numId="3">
    <w:abstractNumId w:val="9"/>
  </w:num>
  <w:num w:numId="4">
    <w:abstractNumId w:val="7"/>
  </w:num>
  <w:num w:numId="5">
    <w:abstractNumId w:val="3"/>
  </w:num>
  <w:num w:numId="6">
    <w:abstractNumId w:val="0"/>
  </w:num>
  <w:num w:numId="7">
    <w:abstractNumId w:val="4"/>
  </w:num>
  <w:num w:numId="8">
    <w:abstractNumId w:val="6"/>
  </w:num>
  <w:num w:numId="9">
    <w:abstractNumId w:val="11"/>
  </w:num>
  <w:num w:numId="10">
    <w:abstractNumId w:val="10"/>
  </w:num>
  <w:num w:numId="11">
    <w:abstractNumId w:val="12"/>
  </w:num>
  <w:num w:numId="12">
    <w:abstractNumId w:val="2"/>
  </w:num>
  <w:num w:numId="13">
    <w:abstractNumId w:val="1"/>
  </w:num>
  <w:num w:numId="14">
    <w:abstractNumId w:val="5"/>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39BC"/>
    <w:rsid w:val="00203614"/>
    <w:rsid w:val="00305506"/>
    <w:rsid w:val="005E1FAA"/>
    <w:rsid w:val="006675E4"/>
    <w:rsid w:val="006A648A"/>
    <w:rsid w:val="007E0B6A"/>
    <w:rsid w:val="009C2CE3"/>
    <w:rsid w:val="00A86295"/>
    <w:rsid w:val="00AA6684"/>
    <w:rsid w:val="00BA39BC"/>
    <w:rsid w:val="00C05074"/>
    <w:rsid w:val="00CF4F11"/>
    <w:rsid w:val="00ED332D"/>
    <w:rsid w:val="00F34D66"/>
    <w:rsid w:val="00F702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DA4D7BF0-AF0F-4364-BD1F-5393A3CCF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outlineLvl w:val="0"/>
    </w:pPr>
    <w:rPr>
      <w:color w:val="2E75B5"/>
      <w:sz w:val="32"/>
      <w:szCs w:val="32"/>
    </w:rPr>
  </w:style>
  <w:style w:type="paragraph" w:styleId="Ttulo2">
    <w:name w:val="heading 2"/>
    <w:basedOn w:val="Normal"/>
    <w:next w:val="Normal"/>
    <w:pPr>
      <w:keepNext/>
      <w:keepLines/>
      <w:spacing w:before="40"/>
      <w:outlineLvl w:val="1"/>
    </w:pPr>
    <w:rPr>
      <w:color w:val="2E75B5"/>
      <w:sz w:val="26"/>
      <w:szCs w:val="2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Ttulo1Car">
    <w:name w:val="Título 1 Car"/>
    <w:basedOn w:val="Fuentedeprrafopredeter"/>
    <w:uiPriority w:val="9"/>
    <w:rsid w:val="00685D5F"/>
    <w:rPr>
      <w:rFonts w:asciiTheme="majorHAnsi" w:eastAsiaTheme="majorEastAsia" w:hAnsiTheme="majorHAnsi" w:cstheme="majorBidi"/>
      <w:color w:val="2E74B5" w:themeColor="accent1" w:themeShade="BF"/>
      <w:sz w:val="32"/>
      <w:szCs w:val="32"/>
      <w:lang w:val="es-ES_tradnl" w:eastAsia="es-ES"/>
    </w:rPr>
  </w:style>
  <w:style w:type="character" w:customStyle="1" w:styleId="Ttulo2Car">
    <w:name w:val="Título 2 Car"/>
    <w:basedOn w:val="Fuentedeprrafopredeter"/>
    <w:uiPriority w:val="9"/>
    <w:rsid w:val="00685D5F"/>
    <w:rPr>
      <w:rFonts w:asciiTheme="majorHAnsi" w:eastAsiaTheme="majorEastAsia" w:hAnsiTheme="majorHAnsi" w:cstheme="majorBidi"/>
      <w:color w:val="2E74B5" w:themeColor="accent1" w:themeShade="BF"/>
      <w:sz w:val="26"/>
      <w:szCs w:val="26"/>
      <w:lang w:val="es-ES_tradnl" w:eastAsia="es-ES"/>
    </w:rPr>
  </w:style>
  <w:style w:type="paragraph" w:styleId="Encabezado">
    <w:name w:val="header"/>
    <w:basedOn w:val="Normal"/>
    <w:link w:val="EncabezadoCar"/>
    <w:uiPriority w:val="99"/>
    <w:unhideWhenUsed/>
    <w:rsid w:val="00685D5F"/>
    <w:pPr>
      <w:tabs>
        <w:tab w:val="center" w:pos="4419"/>
        <w:tab w:val="right" w:pos="8838"/>
      </w:tabs>
    </w:pPr>
  </w:style>
  <w:style w:type="character" w:customStyle="1" w:styleId="EncabezadoCar">
    <w:name w:val="Encabezado Car"/>
    <w:basedOn w:val="Fuentedeprrafopredeter"/>
    <w:link w:val="Encabezado"/>
    <w:uiPriority w:val="99"/>
    <w:rsid w:val="00685D5F"/>
    <w:rPr>
      <w:rFonts w:eastAsiaTheme="minorEastAsia"/>
      <w:sz w:val="24"/>
      <w:szCs w:val="24"/>
      <w:lang w:val="es-ES_tradnl" w:eastAsia="es-ES"/>
    </w:rPr>
  </w:style>
  <w:style w:type="paragraph" w:styleId="Piedepgina">
    <w:name w:val="footer"/>
    <w:basedOn w:val="Normal"/>
    <w:link w:val="PiedepginaCar"/>
    <w:uiPriority w:val="99"/>
    <w:unhideWhenUsed/>
    <w:rsid w:val="00685D5F"/>
    <w:pPr>
      <w:tabs>
        <w:tab w:val="center" w:pos="4419"/>
        <w:tab w:val="right" w:pos="8838"/>
      </w:tabs>
    </w:pPr>
  </w:style>
  <w:style w:type="character" w:customStyle="1" w:styleId="PiedepginaCar">
    <w:name w:val="Pie de página Car"/>
    <w:basedOn w:val="Fuentedeprrafopredeter"/>
    <w:link w:val="Piedepgina"/>
    <w:uiPriority w:val="99"/>
    <w:rsid w:val="00685D5F"/>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685D5F"/>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685D5F"/>
    <w:rPr>
      <w:rFonts w:eastAsiaTheme="minorEastAsia"/>
      <w:sz w:val="24"/>
      <w:szCs w:val="24"/>
      <w:lang w:val="es-ES_tradnl" w:eastAsia="es-ES"/>
    </w:rPr>
  </w:style>
  <w:style w:type="character" w:styleId="Hipervnculo">
    <w:name w:val="Hyperlink"/>
    <w:basedOn w:val="Fuentedeprrafopredeter"/>
    <w:uiPriority w:val="99"/>
    <w:unhideWhenUsed/>
    <w:rsid w:val="00685D5F"/>
    <w:rPr>
      <w:color w:val="0563C1" w:themeColor="hyperlink"/>
      <w:u w:val="single"/>
    </w:rPr>
  </w:style>
  <w:style w:type="table" w:styleId="Tablanormal1">
    <w:name w:val="Plain Table 1"/>
    <w:basedOn w:val="Tablanormal"/>
    <w:uiPriority w:val="41"/>
    <w:rsid w:val="00685D5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A2">
    <w:name w:val="A2"/>
    <w:uiPriority w:val="99"/>
    <w:rsid w:val="002C5318"/>
    <w:rPr>
      <w:rFonts w:cs="Modica Black"/>
      <w:color w:val="000000"/>
      <w:sz w:val="20"/>
      <w:szCs w:val="20"/>
    </w:rPr>
  </w:style>
  <w:style w:type="paragraph" w:customStyle="1" w:styleId="Pa2">
    <w:name w:val="Pa2"/>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Pa5">
    <w:name w:val="Pa5"/>
    <w:basedOn w:val="Normal"/>
    <w:next w:val="Normal"/>
    <w:uiPriority w:val="99"/>
    <w:rsid w:val="002C5318"/>
    <w:pPr>
      <w:autoSpaceDE w:val="0"/>
      <w:autoSpaceDN w:val="0"/>
      <w:adjustRightInd w:val="0"/>
      <w:spacing w:line="221" w:lineRule="atLeast"/>
    </w:pPr>
    <w:rPr>
      <w:rFonts w:ascii="Modica Black" w:eastAsiaTheme="minorHAnsi" w:hAnsi="Modica Black"/>
      <w:lang w:val="es-MX" w:eastAsia="en-US"/>
    </w:rPr>
  </w:style>
  <w:style w:type="paragraph" w:customStyle="1" w:styleId="Default">
    <w:name w:val="Default"/>
    <w:qFormat/>
    <w:rsid w:val="00525732"/>
    <w:pPr>
      <w:autoSpaceDE w:val="0"/>
      <w:autoSpaceDN w:val="0"/>
      <w:adjustRightInd w:val="0"/>
    </w:pPr>
    <w:rPr>
      <w:rFonts w:ascii="Bookman Old Style" w:hAnsi="Bookman Old Style" w:cs="Bookman Old Style"/>
      <w:color w:val="000000"/>
    </w:rPr>
  </w:style>
  <w:style w:type="table" w:customStyle="1" w:styleId="a">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styleId="Tablaconcuadrcula">
    <w:name w:val="Table Grid"/>
    <w:basedOn w:val="Tablanormal"/>
    <w:uiPriority w:val="39"/>
    <w:qFormat/>
    <w:rsid w:val="003D3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C2096"/>
    <w:rPr>
      <w:color w:val="954F72" w:themeColor="followedHyperlink"/>
      <w:u w:val="single"/>
    </w:rPr>
  </w:style>
  <w:style w:type="paragraph" w:customStyle="1" w:styleId="Citas">
    <w:name w:val="Citas"/>
    <w:basedOn w:val="Normal"/>
    <w:qFormat/>
    <w:rsid w:val="00FA6101"/>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NormalWeb">
    <w:name w:val="Normal (Web)"/>
    <w:basedOn w:val="Normal"/>
    <w:uiPriority w:val="99"/>
    <w:unhideWhenUsed/>
    <w:rsid w:val="007D1060"/>
    <w:pPr>
      <w:spacing w:before="100" w:beforeAutospacing="1" w:after="100" w:afterAutospacing="1"/>
    </w:pPr>
    <w:rPr>
      <w:rFonts w:ascii="Times New Roman" w:eastAsia="Times New Roman" w:hAnsi="Times New Roman" w:cs="Times New Roman"/>
      <w:lang w:val="es-MX"/>
    </w:rPr>
  </w:style>
  <w:style w:type="paragraph" w:styleId="Listaconvietas2">
    <w:name w:val="List Bullet 2"/>
    <w:basedOn w:val="Normal"/>
    <w:uiPriority w:val="99"/>
    <w:unhideWhenUsed/>
    <w:rsid w:val="00E30A07"/>
    <w:pPr>
      <w:numPr>
        <w:numId w:val="14"/>
      </w:numPr>
      <w:contextualSpacing/>
    </w:pPr>
    <w:rPr>
      <w:rFonts w:ascii="Times New Roman" w:eastAsia="Times New Roman" w:hAnsi="Times New Roman" w:cs="Times New Roman"/>
      <w:sz w:val="20"/>
      <w:szCs w:val="20"/>
      <w:lang w:val="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a-GNbZ_e9A"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a-GNbZ_e9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a-GNbZ_e9A"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rKBgWUqLXApXHKXWcWymQf1d9Q==">CgMxLjAyDmguaGcxdGh1NzhjdGIyMg5oLmkwYmY1cW0zc3lpZTIOaC5lMzR3YjFsN2xjZXMyDmgucnA2NzNjYXdxN3kwMg5oLnR2Z3Y3dDVnZjQxNjIOaC42cXlhYWhoMDVpeWgyCWguMnM4ZXlvMTIJaC4xN2RwOHZ1MgloLjNyZGNyam4yDmgubHQwZ21ja29sc2M0Mg5oLjhwb3JzenY4d3cxaDIOaC50NWEyejExZzBjZTU4AHIhMTQxc3BmWnU5M2kzRGVxN0lMTldiYWR1NFViRTE0cUV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40</Pages>
  <Words>10253</Words>
  <Characters>56392</Characters>
  <Application>Microsoft Office Word</Application>
  <DocSecurity>0</DocSecurity>
  <Lines>469</Lines>
  <Paragraphs>133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INFOEM399</dc:creator>
  <cp:lastModifiedBy>Cuenta Microsoft</cp:lastModifiedBy>
  <cp:revision>9</cp:revision>
  <cp:lastPrinted>2025-10-03T00:13:00Z</cp:lastPrinted>
  <dcterms:created xsi:type="dcterms:W3CDTF">2025-09-18T01:05:00Z</dcterms:created>
  <dcterms:modified xsi:type="dcterms:W3CDTF">2025-11-06T19:58:00Z</dcterms:modified>
</cp:coreProperties>
</file>