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415" w:rsidRPr="00F83F00" w:rsidRDefault="007873F4" w:rsidP="00272DC5">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F83F0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83F00">
        <w:rPr>
          <w:rFonts w:ascii="Palatino Linotype" w:eastAsia="Palatino Linotype" w:hAnsi="Palatino Linotype" w:cs="Palatino Linotype"/>
          <w:b/>
          <w:color w:val="000000" w:themeColor="text1"/>
        </w:rPr>
        <w:t>de</w:t>
      </w:r>
      <w:r w:rsidR="005D5FE7">
        <w:rPr>
          <w:rFonts w:ascii="Palatino Linotype" w:eastAsia="Palatino Linotype" w:hAnsi="Palatino Linotype" w:cs="Palatino Linotype"/>
          <w:b/>
          <w:color w:val="000000" w:themeColor="text1"/>
        </w:rPr>
        <w:t xml:space="preserve"> fecha</w:t>
      </w:r>
      <w:r w:rsidRPr="00F83F00">
        <w:rPr>
          <w:rFonts w:ascii="Palatino Linotype" w:eastAsia="Palatino Linotype" w:hAnsi="Palatino Linotype" w:cs="Palatino Linotype"/>
          <w:b/>
          <w:color w:val="000000" w:themeColor="text1"/>
        </w:rPr>
        <w:t xml:space="preserve"> dos </w:t>
      </w:r>
      <w:r w:rsidR="005D5FE7">
        <w:rPr>
          <w:rFonts w:ascii="Palatino Linotype" w:eastAsia="Palatino Linotype" w:hAnsi="Palatino Linotype" w:cs="Palatino Linotype"/>
          <w:b/>
          <w:color w:val="000000" w:themeColor="text1"/>
        </w:rPr>
        <w:t xml:space="preserve">(02) </w:t>
      </w:r>
      <w:r w:rsidRPr="00F83F00">
        <w:rPr>
          <w:rFonts w:ascii="Palatino Linotype" w:eastAsia="Palatino Linotype" w:hAnsi="Palatino Linotype" w:cs="Palatino Linotype"/>
          <w:b/>
          <w:color w:val="000000" w:themeColor="text1"/>
        </w:rPr>
        <w:t>de julio de dos mil veinticinco.</w:t>
      </w:r>
      <w:r w:rsidRPr="00F83F00">
        <w:rPr>
          <w:rFonts w:ascii="Palatino Linotype" w:eastAsia="Palatino Linotype" w:hAnsi="Palatino Linotype" w:cs="Palatino Linotype"/>
          <w:color w:val="000000" w:themeColor="text1"/>
        </w:rPr>
        <w:t xml:space="preserve"> </w:t>
      </w:r>
    </w:p>
    <w:p w:rsidR="001E4415" w:rsidRPr="00F83F00" w:rsidRDefault="001E4415" w:rsidP="00272DC5">
      <w:pP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VISTO</w:t>
      </w:r>
      <w:r w:rsidRPr="00F83F00">
        <w:rPr>
          <w:rFonts w:ascii="Palatino Linotype" w:eastAsia="Palatino Linotype" w:hAnsi="Palatino Linotype" w:cs="Palatino Linotype"/>
          <w:color w:val="000000" w:themeColor="text1"/>
        </w:rPr>
        <w:t xml:space="preserve"> el expediente electrónico formado con motivo del recurso de revisión </w:t>
      </w:r>
      <w:r w:rsidRPr="00F83F00">
        <w:rPr>
          <w:rFonts w:ascii="Palatino Linotype" w:eastAsia="Palatino Linotype" w:hAnsi="Palatino Linotype" w:cs="Palatino Linotype"/>
          <w:b/>
          <w:color w:val="000000" w:themeColor="text1"/>
        </w:rPr>
        <w:t xml:space="preserve">01443/INFOEM/IP/RR/2025, </w:t>
      </w:r>
      <w:r w:rsidRPr="00F83F00">
        <w:rPr>
          <w:rFonts w:ascii="Palatino Linotype" w:eastAsia="Palatino Linotype" w:hAnsi="Palatino Linotype" w:cs="Palatino Linotype"/>
          <w:color w:val="000000" w:themeColor="text1"/>
        </w:rPr>
        <w:t xml:space="preserve">promovido por </w:t>
      </w:r>
      <w:r w:rsidR="005D5FE7">
        <w:rPr>
          <w:rFonts w:ascii="Palatino Linotype" w:eastAsia="Palatino Linotype" w:hAnsi="Palatino Linotype" w:cs="Palatino Linotype"/>
          <w:b/>
          <w:color w:val="000000" w:themeColor="text1"/>
        </w:rPr>
        <w:t>XXXX</w:t>
      </w:r>
      <w:r w:rsidRPr="00F83F00">
        <w:rPr>
          <w:rFonts w:ascii="Palatino Linotype" w:eastAsia="Palatino Linotype" w:hAnsi="Palatino Linotype" w:cs="Palatino Linotype"/>
          <w:color w:val="000000" w:themeColor="text1"/>
        </w:rPr>
        <w:t xml:space="preserve">, quien en lo sucesivo se le identificara como </w:t>
      </w:r>
      <w:r w:rsidR="00A32F93" w:rsidRPr="00F83F00">
        <w:rPr>
          <w:rFonts w:ascii="Palatino Linotype" w:eastAsia="Palatino Linotype" w:hAnsi="Palatino Linotype" w:cs="Palatino Linotype"/>
          <w:b/>
          <w:color w:val="000000" w:themeColor="text1"/>
        </w:rPr>
        <w:t xml:space="preserve">EL </w:t>
      </w:r>
      <w:r w:rsidRPr="00F83F00">
        <w:rPr>
          <w:rFonts w:ascii="Palatino Linotype" w:eastAsia="Palatino Linotype" w:hAnsi="Palatino Linotype" w:cs="Palatino Linotype"/>
          <w:b/>
          <w:color w:val="000000" w:themeColor="text1"/>
        </w:rPr>
        <w:t>RECURRENTE</w:t>
      </w:r>
      <w:r w:rsidRPr="00F83F00">
        <w:rPr>
          <w:rFonts w:ascii="Palatino Linotype" w:eastAsia="Palatino Linotype" w:hAnsi="Palatino Linotype" w:cs="Palatino Linotype"/>
          <w:color w:val="000000" w:themeColor="text1"/>
        </w:rPr>
        <w:t xml:space="preserve">, en contra de la respuesta del </w:t>
      </w:r>
      <w:r w:rsidRPr="00F83F00">
        <w:rPr>
          <w:rFonts w:ascii="Palatino Linotype" w:eastAsia="Palatino Linotype" w:hAnsi="Palatino Linotype" w:cs="Palatino Linotype"/>
          <w:b/>
          <w:color w:val="000000" w:themeColor="text1"/>
        </w:rPr>
        <w:t xml:space="preserve">Ayuntamiento de Ixtapaluca, </w:t>
      </w:r>
      <w:r w:rsidRPr="00F83F00">
        <w:rPr>
          <w:rFonts w:ascii="Palatino Linotype" w:eastAsia="Palatino Linotype" w:hAnsi="Palatino Linotype" w:cs="Palatino Linotype"/>
          <w:color w:val="000000" w:themeColor="text1"/>
        </w:rPr>
        <w:t>en lo sucesivo el</w:t>
      </w:r>
      <w:r w:rsidRPr="00F83F00">
        <w:rPr>
          <w:rFonts w:ascii="Palatino Linotype" w:eastAsia="Palatino Linotype" w:hAnsi="Palatino Linotype" w:cs="Palatino Linotype"/>
          <w:b/>
          <w:color w:val="000000" w:themeColor="text1"/>
        </w:rPr>
        <w:t xml:space="preserve"> SUJETO OBLIGADO, </w:t>
      </w:r>
      <w:r w:rsidRPr="00F83F00">
        <w:rPr>
          <w:rFonts w:ascii="Palatino Linotype" w:eastAsia="Palatino Linotype" w:hAnsi="Palatino Linotype" w:cs="Palatino Linotype"/>
          <w:color w:val="000000" w:themeColor="text1"/>
        </w:rPr>
        <w:t xml:space="preserve">se procede a dictar la presente resolución, con base en los siguientes: </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hv53mlup3r3p" w:colFirst="0" w:colLast="0"/>
      <w:bookmarkEnd w:id="1"/>
      <w:r w:rsidRPr="00F83F00">
        <w:rPr>
          <w:rFonts w:ascii="Palatino Linotype" w:eastAsia="Palatino Linotype" w:hAnsi="Palatino Linotype" w:cs="Palatino Linotype"/>
          <w:b/>
          <w:color w:val="000000" w:themeColor="text1"/>
        </w:rPr>
        <w:t>A</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N</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T</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E</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C</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E</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D</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E</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N</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T</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E</w:t>
      </w:r>
      <w:r w:rsidR="00A32F93"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S</w:t>
      </w:r>
    </w:p>
    <w:p w:rsidR="001E4415" w:rsidRPr="00F83F00" w:rsidRDefault="001E4415" w:rsidP="00272DC5">
      <w:pPr>
        <w:keepNext/>
        <w:keepLines/>
        <w:tabs>
          <w:tab w:val="left" w:pos="0"/>
        </w:tabs>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El </w:t>
      </w:r>
      <w:r w:rsidRPr="00F83F00">
        <w:rPr>
          <w:rFonts w:ascii="Palatino Linotype" w:eastAsia="Palatino Linotype" w:hAnsi="Palatino Linotype" w:cs="Palatino Linotype"/>
          <w:b/>
          <w:color w:val="000000" w:themeColor="text1"/>
        </w:rPr>
        <w:t>cuatro de febrero de dos mil veinticinco</w:t>
      </w:r>
      <w:r w:rsidRPr="00F83F00">
        <w:rPr>
          <w:rFonts w:ascii="Palatino Linotype" w:eastAsia="Palatino Linotype" w:hAnsi="Palatino Linotype" w:cs="Palatino Linotype"/>
          <w:color w:val="000000" w:themeColor="text1"/>
        </w:rPr>
        <w:t>, el</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solicitante</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presentó</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 xml:space="preserve">ante 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F83F00">
        <w:rPr>
          <w:rFonts w:ascii="Palatino Linotype" w:eastAsia="Palatino Linotype" w:hAnsi="Palatino Linotype" w:cs="Palatino Linotype"/>
          <w:b/>
          <w:color w:val="000000" w:themeColor="text1"/>
        </w:rPr>
        <w:t> 00041/IXTAPALU/IP/2025</w:t>
      </w:r>
      <w:r w:rsidRPr="00F83F00">
        <w:rPr>
          <w:rFonts w:ascii="Palatino Linotype" w:eastAsia="Palatino Linotype" w:hAnsi="Palatino Linotype" w:cs="Palatino Linotype"/>
          <w:color w:val="000000" w:themeColor="text1"/>
        </w:rPr>
        <w:t xml:space="preserve">, </w:t>
      </w:r>
      <w:r w:rsidR="005D5FE7">
        <w:rPr>
          <w:rFonts w:ascii="Palatino Linotype" w:eastAsia="Palatino Linotype" w:hAnsi="Palatino Linotype" w:cs="Palatino Linotype"/>
          <w:color w:val="000000" w:themeColor="text1"/>
        </w:rPr>
        <w:t xml:space="preserve">en la que </w:t>
      </w:r>
      <w:r w:rsidRPr="00F83F00">
        <w:rPr>
          <w:rFonts w:ascii="Palatino Linotype" w:eastAsia="Palatino Linotype" w:hAnsi="Palatino Linotype" w:cs="Palatino Linotype"/>
          <w:color w:val="000000" w:themeColor="text1"/>
        </w:rPr>
        <w:t>se solicitó:</w:t>
      </w:r>
    </w:p>
    <w:p w:rsidR="001E4415" w:rsidRPr="00F83F00" w:rsidRDefault="001E4415" w:rsidP="00272DC5">
      <w:pP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tabs>
          <w:tab w:val="left" w:pos="0"/>
        </w:tabs>
        <w:spacing w:line="360" w:lineRule="auto"/>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“Solicitó al Gobierno Municipal de ixtapaluca el presupuesto asignado a las Direcciones de Turismo, Cultura, Ecología, Educación y Fomento Económico durante los años 2022, 2023 y 2024, así como la forma que se aplicó dicho presupuesto durante estos tres años, todo esto en versión pública” (Sic)</w:t>
      </w:r>
    </w:p>
    <w:p w:rsidR="001E4415" w:rsidRPr="00F83F00" w:rsidRDefault="001E4415" w:rsidP="00272DC5">
      <w:pP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F83F00">
        <w:rPr>
          <w:rFonts w:ascii="Palatino Linotype" w:eastAsia="Palatino Linotype" w:hAnsi="Palatino Linotype" w:cs="Palatino Linotype"/>
          <w:color w:val="000000" w:themeColor="text1"/>
        </w:rPr>
        <w:t xml:space="preserve">Se hace constar que se señaló como modalidad de entrega de la información a través de </w:t>
      </w:r>
      <w:r w:rsidRPr="00F83F00">
        <w:rPr>
          <w:rFonts w:ascii="Palatino Linotype" w:eastAsia="Palatino Linotype" w:hAnsi="Palatino Linotype" w:cs="Palatino Linotype"/>
          <w:b/>
          <w:color w:val="000000" w:themeColor="text1"/>
        </w:rPr>
        <w:t>SAIMEX.</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color w:val="000000" w:themeColor="text1"/>
        </w:rPr>
        <w:lastRenderedPageBreak/>
        <w:t xml:space="preserve">El </w:t>
      </w:r>
      <w:r w:rsidRPr="00F83F00">
        <w:rPr>
          <w:rFonts w:ascii="Palatino Linotype" w:eastAsia="Palatino Linotype" w:hAnsi="Palatino Linotype" w:cs="Palatino Linotype"/>
          <w:b/>
          <w:color w:val="000000" w:themeColor="text1"/>
        </w:rPr>
        <w:t>seis de febrero de dos mil veinticinco</w:t>
      </w:r>
      <w:r w:rsidRPr="00F83F00">
        <w:rPr>
          <w:rFonts w:ascii="Palatino Linotype" w:eastAsia="Palatino Linotype" w:hAnsi="Palatino Linotype" w:cs="Palatino Linotype"/>
          <w:color w:val="000000" w:themeColor="text1"/>
        </w:rPr>
        <w:t xml:space="preserve">, se realizó un requerimiento de información al servidor público habilitado. </w:t>
      </w:r>
    </w:p>
    <w:p w:rsidR="00A32F93" w:rsidRPr="00F83F00" w:rsidRDefault="00A32F93" w:rsidP="00A32F9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E4415" w:rsidRPr="00F83F00" w:rsidRDefault="007873F4" w:rsidP="00272DC5">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El </w:t>
      </w:r>
      <w:r w:rsidRPr="00F83F00">
        <w:rPr>
          <w:rFonts w:ascii="Palatino Linotype" w:eastAsia="Palatino Linotype" w:hAnsi="Palatino Linotype" w:cs="Palatino Linotype"/>
          <w:b/>
          <w:color w:val="000000" w:themeColor="text1"/>
        </w:rPr>
        <w:t>catorce de febrero de dos mil veinticinco</w:t>
      </w:r>
      <w:r w:rsidRPr="00F83F00">
        <w:rPr>
          <w:rFonts w:ascii="Palatino Linotype" w:eastAsia="Palatino Linotype" w:hAnsi="Palatino Linotype" w:cs="Palatino Linotype"/>
          <w:color w:val="000000" w:themeColor="text1"/>
        </w:rPr>
        <w:t>, el Sujeto Obligado dio respuesta a la solicitud de información en el siguiente sentido:</w:t>
      </w:r>
    </w:p>
    <w:p w:rsidR="001E4415" w:rsidRPr="00F83F00" w:rsidRDefault="007873F4" w:rsidP="00272DC5">
      <w:pPr>
        <w:tabs>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E4415" w:rsidRPr="00F83F00" w:rsidRDefault="001E4415" w:rsidP="00272DC5">
      <w:pPr>
        <w:tabs>
          <w:tab w:val="left" w:pos="567"/>
        </w:tabs>
        <w:jc w:val="both"/>
        <w:rPr>
          <w:rFonts w:ascii="Palatino Linotype" w:eastAsia="Palatino Linotype" w:hAnsi="Palatino Linotype" w:cs="Palatino Linotype"/>
          <w:i/>
          <w:color w:val="000000" w:themeColor="text1"/>
        </w:rPr>
      </w:pPr>
    </w:p>
    <w:p w:rsidR="001E4415" w:rsidRPr="00F83F00" w:rsidRDefault="007873F4" w:rsidP="00272DC5">
      <w:pPr>
        <w:tabs>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EN RELACIÓN A LA SOLICITUD CON FOLIO 00041/IXTAPALU/IP/2025 ANEXO RESPUESTA</w:t>
      </w:r>
    </w:p>
    <w:p w:rsidR="001E4415" w:rsidRPr="00F83F00" w:rsidRDefault="001E4415" w:rsidP="00272DC5">
      <w:pP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9"/>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bookmarkStart w:id="2" w:name="_heading=h.8c4izs8klrt7" w:colFirst="0" w:colLast="0"/>
      <w:bookmarkEnd w:id="2"/>
      <w:r w:rsidRPr="00F83F00">
        <w:rPr>
          <w:rFonts w:ascii="Palatino Linotype" w:eastAsia="Palatino Linotype" w:hAnsi="Palatino Linotype" w:cs="Palatino Linotype"/>
          <w:color w:val="000000" w:themeColor="text1"/>
        </w:rPr>
        <w:t xml:space="preserve">A la respuesta se adjuntó el archivo </w:t>
      </w:r>
      <w:hyperlink r:id="rId8">
        <w:r w:rsidRPr="00F83F00">
          <w:rPr>
            <w:rFonts w:ascii="Palatino Linotype" w:eastAsia="Palatino Linotype" w:hAnsi="Palatino Linotype" w:cs="Palatino Linotype"/>
            <w:b/>
            <w:color w:val="000000" w:themeColor="text1"/>
          </w:rPr>
          <w:t>RESP</w:t>
        </w:r>
      </w:hyperlink>
      <w:r w:rsidRPr="00F83F00">
        <w:rPr>
          <w:rFonts w:ascii="Palatino Linotype" w:eastAsia="Palatino Linotype" w:hAnsi="Palatino Linotype" w:cs="Palatino Linotype"/>
          <w:b/>
          <w:color w:val="000000" w:themeColor="text1"/>
        </w:rPr>
        <w:t xml:space="preserve"> SI 41 TESORERIA</w:t>
      </w:r>
      <w:r w:rsidRPr="00F83F00">
        <w:rPr>
          <w:rFonts w:ascii="Palatino Linotype" w:eastAsia="Palatino Linotype" w:hAnsi="Palatino Linotype" w:cs="Palatino Linotype"/>
          <w:color w:val="000000" w:themeColor="text1"/>
        </w:rPr>
        <w:t>.pdf: Oficio IXTA/TESO/0065/2025, de fecha doce de febrero de dos mil veinticinco, suscrito por el Tesorero Municipal del Ayuntamiento de Ixtapaluca, a través del cual informa lo siguiente:</w:t>
      </w:r>
    </w:p>
    <w:p w:rsidR="001E4415" w:rsidRPr="00F83F00" w:rsidRDefault="001E4415" w:rsidP="00272DC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en atención a su petición le proporciono el reporte Estado Analítico del Ejercicio del Presupuesto de Egresos Clasificación Administrativa, donde se refleja el presupuesto aprobado a las Dependencias Generales solicitadas, así mismo anexo formato 08c Avance Trimestral de Metas de Actividad por Proyecto donde se muestra el alcance de las acciones programadas; correspondientes al ejercicio fiscal 2022,2023 y 2024”</w:t>
      </w:r>
    </w:p>
    <w:p w:rsidR="001E4415" w:rsidRPr="00F83F00" w:rsidRDefault="001E4415" w:rsidP="00272DC5">
      <w:pP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En lo sucesivo el </w:t>
      </w:r>
      <w:r w:rsidRPr="00F83F00">
        <w:rPr>
          <w:rFonts w:ascii="Palatino Linotype" w:eastAsia="Palatino Linotype" w:hAnsi="Palatino Linotype" w:cs="Palatino Linotype"/>
          <w:b/>
          <w:color w:val="000000" w:themeColor="text1"/>
        </w:rPr>
        <w:t>catorce de febrero de dos mil veinticinco,</w:t>
      </w:r>
      <w:r w:rsidRPr="00F83F00">
        <w:rPr>
          <w:rFonts w:ascii="Palatino Linotype" w:eastAsia="Palatino Linotype" w:hAnsi="Palatino Linotype" w:cs="Palatino Linotype"/>
          <w:color w:val="000000" w:themeColor="text1"/>
        </w:rPr>
        <w:t xml:space="preserve"> </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el solicitante interpuso el recurso de revisión, señalando como:</w:t>
      </w:r>
    </w:p>
    <w:p w:rsidR="001E4415" w:rsidRPr="005D5FE7" w:rsidRDefault="007873F4" w:rsidP="005D5FE7">
      <w:pPr>
        <w:pStyle w:val="Prrafodelista"/>
        <w:numPr>
          <w:ilvl w:val="0"/>
          <w:numId w:val="10"/>
        </w:numPr>
        <w:tabs>
          <w:tab w:val="left" w:pos="851"/>
          <w:tab w:val="left" w:pos="8222"/>
        </w:tabs>
        <w:spacing w:line="360" w:lineRule="auto"/>
        <w:jc w:val="both"/>
        <w:rPr>
          <w:rFonts w:ascii="Palatino Linotype" w:eastAsia="Palatino Linotype" w:hAnsi="Palatino Linotype" w:cs="Palatino Linotype"/>
          <w:i/>
          <w:color w:val="000000" w:themeColor="text1"/>
          <w:sz w:val="24"/>
        </w:rPr>
      </w:pPr>
      <w:r w:rsidRPr="005D5FE7">
        <w:rPr>
          <w:rFonts w:ascii="Palatino Linotype" w:eastAsia="Palatino Linotype" w:hAnsi="Palatino Linotype" w:cs="Palatino Linotype"/>
          <w:b/>
          <w:color w:val="000000" w:themeColor="text1"/>
          <w:sz w:val="24"/>
        </w:rPr>
        <w:t>Acto impugnado:</w:t>
      </w:r>
      <w:r w:rsidRPr="005D5FE7">
        <w:rPr>
          <w:rFonts w:ascii="Palatino Linotype" w:eastAsia="Palatino Linotype" w:hAnsi="Palatino Linotype" w:cs="Palatino Linotype"/>
          <w:i/>
          <w:color w:val="000000" w:themeColor="text1"/>
          <w:sz w:val="24"/>
        </w:rPr>
        <w:t xml:space="preserve"> </w:t>
      </w:r>
    </w:p>
    <w:p w:rsidR="001E4415" w:rsidRPr="00F83F00" w:rsidRDefault="005D5FE7" w:rsidP="00272DC5">
      <w:pPr>
        <w:tabs>
          <w:tab w:val="left" w:pos="851"/>
          <w:tab w:val="left" w:pos="8222"/>
        </w:tabs>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 xml:space="preserve">            </w:t>
      </w:r>
      <w:r w:rsidR="007873F4" w:rsidRPr="00F83F00">
        <w:rPr>
          <w:rFonts w:ascii="Palatino Linotype" w:eastAsia="Palatino Linotype" w:hAnsi="Palatino Linotype" w:cs="Palatino Linotype"/>
          <w:color w:val="000000" w:themeColor="text1"/>
        </w:rPr>
        <w:t>“</w:t>
      </w:r>
      <w:r w:rsidR="007873F4" w:rsidRPr="00F83F00">
        <w:rPr>
          <w:rFonts w:ascii="Palatino Linotype" w:eastAsia="Palatino Linotype" w:hAnsi="Palatino Linotype" w:cs="Palatino Linotype"/>
          <w:i/>
          <w:color w:val="000000" w:themeColor="text1"/>
        </w:rPr>
        <w:t xml:space="preserve">El documento presentado como respuesta es ilegible.” (Sic) </w:t>
      </w:r>
    </w:p>
    <w:p w:rsidR="001E4415" w:rsidRPr="005D5FE7" w:rsidRDefault="007873F4" w:rsidP="005D5FE7">
      <w:pPr>
        <w:pStyle w:val="Prrafodelista"/>
        <w:numPr>
          <w:ilvl w:val="0"/>
          <w:numId w:val="10"/>
        </w:numPr>
        <w:tabs>
          <w:tab w:val="left" w:pos="851"/>
        </w:tabs>
        <w:jc w:val="both"/>
        <w:rPr>
          <w:rFonts w:ascii="Palatino Linotype" w:eastAsia="Palatino Linotype" w:hAnsi="Palatino Linotype" w:cs="Palatino Linotype"/>
          <w:i/>
          <w:color w:val="000000" w:themeColor="text1"/>
          <w:sz w:val="24"/>
        </w:rPr>
      </w:pPr>
      <w:r w:rsidRPr="005D5FE7">
        <w:rPr>
          <w:rFonts w:ascii="Palatino Linotype" w:eastAsia="Palatino Linotype" w:hAnsi="Palatino Linotype" w:cs="Palatino Linotype"/>
          <w:b/>
          <w:color w:val="000000" w:themeColor="text1"/>
          <w:sz w:val="24"/>
        </w:rPr>
        <w:lastRenderedPageBreak/>
        <w:t xml:space="preserve">Razones o Motivos de inconformidad: </w:t>
      </w:r>
      <w:r w:rsidRPr="005D5FE7">
        <w:rPr>
          <w:rFonts w:ascii="Palatino Linotype" w:eastAsia="Palatino Linotype" w:hAnsi="Palatino Linotype" w:cs="Palatino Linotype"/>
          <w:i/>
          <w:color w:val="000000" w:themeColor="text1"/>
          <w:sz w:val="24"/>
        </w:rPr>
        <w:t>“Me están negando el acceso a la información al proporcionar un documento ilegible. Según la Ley General de Transparencia y Acceso a la Información Pública, las instituciones están obligadas a garantizar la accesibilidad de la información pública, lo que en el presente caso no ha realizado” (sic)</w:t>
      </w:r>
    </w:p>
    <w:p w:rsidR="001E4415" w:rsidRPr="005D5FE7" w:rsidRDefault="001E4415" w:rsidP="00272DC5">
      <w:pPr>
        <w:tabs>
          <w:tab w:val="left" w:pos="851"/>
        </w:tabs>
        <w:spacing w:line="360" w:lineRule="auto"/>
        <w:jc w:val="both"/>
        <w:rPr>
          <w:rFonts w:ascii="Palatino Linotype" w:eastAsia="Palatino Linotype" w:hAnsi="Palatino Linotype" w:cs="Palatino Linotype"/>
          <w:color w:val="000000" w:themeColor="text1"/>
          <w:sz w:val="28"/>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F83F00">
        <w:rPr>
          <w:rFonts w:ascii="Palatino Linotype" w:eastAsia="Palatino Linotype" w:hAnsi="Palatino Linotype" w:cs="Palatino Linotype"/>
          <w:b/>
          <w:color w:val="000000" w:themeColor="text1"/>
        </w:rPr>
        <w:t>Comisionada María del Rosario Mejía Ayala</w:t>
      </w:r>
      <w:r w:rsidR="005D5FE7">
        <w:rPr>
          <w:rFonts w:ascii="Palatino Linotype" w:eastAsia="Palatino Linotype" w:hAnsi="Palatino Linotype" w:cs="Palatino Linotype"/>
          <w:b/>
          <w:color w:val="000000" w:themeColor="text1"/>
        </w:rPr>
        <w:t>,</w:t>
      </w:r>
      <w:r w:rsidRPr="00F83F00">
        <w:rPr>
          <w:rFonts w:ascii="Palatino Linotype" w:eastAsia="Palatino Linotype" w:hAnsi="Palatino Linotype" w:cs="Palatino Linotype"/>
          <w:color w:val="000000" w:themeColor="text1"/>
        </w:rPr>
        <w:t xml:space="preserve"> </w:t>
      </w:r>
      <w:r w:rsidR="005D5FE7">
        <w:rPr>
          <w:rFonts w:ascii="Palatino Linotype" w:eastAsia="Palatino Linotype" w:hAnsi="Palatino Linotype" w:cs="Palatino Linotype"/>
          <w:color w:val="000000" w:themeColor="text1"/>
        </w:rPr>
        <w:t>para</w:t>
      </w:r>
      <w:r w:rsidRPr="00F83F00">
        <w:rPr>
          <w:rFonts w:ascii="Palatino Linotype" w:eastAsia="Palatino Linotype" w:hAnsi="Palatino Linotype" w:cs="Palatino Linotype"/>
          <w:color w:val="000000" w:themeColor="text1"/>
        </w:rPr>
        <w:t xml:space="preserve"> su análisis.</w:t>
      </w:r>
    </w:p>
    <w:p w:rsidR="001E4415" w:rsidRPr="00F83F00" w:rsidRDefault="001E4415" w:rsidP="00272DC5">
      <w:pPr>
        <w:spacing w:line="360" w:lineRule="auto"/>
        <w:jc w:val="both"/>
        <w:rPr>
          <w:rFonts w:ascii="Palatino Linotype" w:eastAsia="Palatino Linotype" w:hAnsi="Palatino Linotype" w:cs="Palatino Linotype"/>
          <w:i/>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F83F00">
        <w:rPr>
          <w:rFonts w:ascii="Palatino Linotype" w:eastAsia="Palatino Linotype" w:hAnsi="Palatino Linotype" w:cs="Palatino Linotype"/>
          <w:b/>
          <w:color w:val="000000" w:themeColor="text1"/>
        </w:rPr>
        <w:t>diecisiete de febrero de dos mil veinticinco</w:t>
      </w:r>
      <w:r w:rsidRPr="00F83F00">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F83F00">
        <w:rPr>
          <w:rFonts w:ascii="Palatino Linotype" w:eastAsia="Palatino Linotype" w:hAnsi="Palatino Linotype" w:cs="Palatino Linotype"/>
          <w:b/>
          <w:color w:val="000000" w:themeColor="text1"/>
        </w:rPr>
        <w:t xml:space="preserve">(SAIMEX) </w:t>
      </w:r>
      <w:r w:rsidRPr="00F83F00">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presentara el Informe Justificado procedente.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El </w:t>
      </w:r>
      <w:r w:rsidRPr="00F83F00">
        <w:rPr>
          <w:rFonts w:ascii="Palatino Linotype" w:eastAsia="Palatino Linotype" w:hAnsi="Palatino Linotype" w:cs="Palatino Linotype"/>
          <w:b/>
          <w:color w:val="000000" w:themeColor="text1"/>
        </w:rPr>
        <w:t xml:space="preserve">veintiuno de febrero de dos mil veinticinco, </w:t>
      </w:r>
      <w:r w:rsidRPr="00F83F00">
        <w:rPr>
          <w:rFonts w:ascii="Palatino Linotype" w:eastAsia="Palatino Linotype" w:hAnsi="Palatino Linotype" w:cs="Palatino Linotype"/>
          <w:color w:val="000000" w:themeColor="text1"/>
        </w:rPr>
        <w:t xml:space="preserve">en la etapa de manifestaciones,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remitió informe justificado a través de los siguientes documentos:</w:t>
      </w:r>
    </w:p>
    <w:p w:rsidR="005D5FE7"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5D5FE7">
        <w:rPr>
          <w:rFonts w:ascii="Palatino Linotype" w:eastAsia="Palatino Linotype" w:hAnsi="Palatino Linotype" w:cs="Palatino Linotype"/>
          <w:b/>
          <w:color w:val="000000" w:themeColor="text1"/>
          <w:sz w:val="24"/>
        </w:rPr>
        <w:t xml:space="preserve">10 Estado Analítico del Ejercicio del Presupuesto de Egresos (Administrativa)_2022.pdf: </w:t>
      </w:r>
      <w:r w:rsidRPr="005D5FE7">
        <w:rPr>
          <w:rFonts w:ascii="Palatino Linotype" w:eastAsia="Palatino Linotype" w:hAnsi="Palatino Linotype" w:cs="Palatino Linotype"/>
          <w:color w:val="000000" w:themeColor="text1"/>
          <w:sz w:val="24"/>
        </w:rPr>
        <w:t xml:space="preserve">Documento que advierte el Estado Analítico del Ejercicio del Presupuesto de Egresos Clasificación Administrativa, correspondiente del 1 de enero al 31 de diciembre de 2022, en donde se advierte la Dirección de Ecología y Educación Cultural y Bienestar Social.   </w:t>
      </w:r>
    </w:p>
    <w:p w:rsidR="005D5FE7"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8"/>
        </w:rPr>
      </w:pPr>
      <w:r w:rsidRPr="005D5FE7">
        <w:rPr>
          <w:rFonts w:ascii="Palatino Linotype" w:eastAsia="Palatino Linotype" w:hAnsi="Palatino Linotype" w:cs="Palatino Linotype"/>
          <w:b/>
          <w:color w:val="000000" w:themeColor="text1"/>
          <w:sz w:val="24"/>
        </w:rPr>
        <w:lastRenderedPageBreak/>
        <w:t xml:space="preserve">Avance de Metas Cuarto trimestre 08c_2023.pdf: </w:t>
      </w:r>
      <w:r w:rsidRPr="005D5FE7">
        <w:rPr>
          <w:rFonts w:ascii="Palatino Linotype" w:eastAsia="Palatino Linotype" w:hAnsi="Palatino Linotype" w:cs="Palatino Linotype"/>
          <w:color w:val="000000" w:themeColor="text1"/>
          <w:sz w:val="24"/>
        </w:rPr>
        <w:t>Documento constante de veintitrés fojas, del cual se desprende la Guía Metodológica para el Seguimiento y Evaluación del Plan de Desarrollo Municipal Vigente, Seguimiento y Evaluación del Presupuesto Basado en Resultados Municipales. Correspondiente al cuarto trimestre (octubre-diciembre) 2023.</w:t>
      </w:r>
    </w:p>
    <w:p w:rsidR="005D5FE7"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32"/>
        </w:rPr>
      </w:pPr>
      <w:r w:rsidRPr="005D5FE7">
        <w:rPr>
          <w:rFonts w:ascii="Palatino Linotype" w:eastAsia="Palatino Linotype" w:hAnsi="Palatino Linotype" w:cs="Palatino Linotype"/>
          <w:b/>
          <w:color w:val="000000" w:themeColor="text1"/>
          <w:sz w:val="24"/>
        </w:rPr>
        <w:t xml:space="preserve">AVANCE TRIMESTRAL DE METAS DE ACTIVIDADES POR PROYECTO_2024. pdf: </w:t>
      </w:r>
      <w:r w:rsidRPr="005D5FE7">
        <w:rPr>
          <w:rFonts w:ascii="Palatino Linotype" w:eastAsia="Palatino Linotype" w:hAnsi="Palatino Linotype" w:cs="Palatino Linotype"/>
          <w:color w:val="000000" w:themeColor="text1"/>
          <w:sz w:val="24"/>
        </w:rPr>
        <w:t>Documento constante de quince fojas, del que se advierte la Guía Metodológica para el seguimiento y Evaluación del Plan de Desarrollo Municipal Vigente, Seguimiento y Evaluación del Presupuesto Basado en Resultados Municipales, correspondiente al tercer trimestre de 2024.</w:t>
      </w:r>
    </w:p>
    <w:p w:rsidR="001E4415"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36"/>
        </w:rPr>
      </w:pPr>
      <w:r w:rsidRPr="005D5FE7">
        <w:rPr>
          <w:rFonts w:ascii="Palatino Linotype" w:eastAsia="Palatino Linotype" w:hAnsi="Palatino Linotype" w:cs="Palatino Linotype"/>
          <w:b/>
          <w:color w:val="000000" w:themeColor="text1"/>
          <w:sz w:val="24"/>
        </w:rPr>
        <w:t xml:space="preserve">RESP SI 41 RR 1443 tesorería.pdf: </w:t>
      </w:r>
      <w:r w:rsidRPr="005D5FE7">
        <w:rPr>
          <w:rFonts w:ascii="Palatino Linotype" w:eastAsia="Palatino Linotype" w:hAnsi="Palatino Linotype" w:cs="Palatino Linotype"/>
          <w:color w:val="000000" w:themeColor="text1"/>
          <w:sz w:val="24"/>
        </w:rPr>
        <w:t>Oficio IXTA/TESO/0076/2025, de fecha veinte de febrero de dos mil veinticinco, suscrito por el Tesorero Municipal, a través del cual informa que proporciona el reporte Estado Analítico del Ejercicio del Presupuesto de Egresos Clasificación Administrativa; donde se refleja el presupuesto aprobado a las Dependencias Generales solicitadas, así mismo anexo formato 08c Avance Trimestral de Metas de Actividad por Proyecto donde se muestra el alcance de las acciones programadas, correspondientes al ejercicio fiscal 2022, 2023 y 2024.</w:t>
      </w:r>
    </w:p>
    <w:p w:rsidR="005D5FE7"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5D5FE7">
        <w:rPr>
          <w:rFonts w:ascii="Palatino Linotype" w:eastAsia="Palatino Linotype" w:hAnsi="Palatino Linotype" w:cs="Palatino Linotype"/>
          <w:b/>
          <w:color w:val="000000" w:themeColor="text1"/>
          <w:sz w:val="24"/>
        </w:rPr>
        <w:t xml:space="preserve">3.10 Estado Analítico del Ejercicio del Presupuesto de Egresos (Administrativa)_2024.pdf: </w:t>
      </w:r>
      <w:r w:rsidRPr="005D5FE7">
        <w:rPr>
          <w:rFonts w:ascii="Palatino Linotype" w:eastAsia="Palatino Linotype" w:hAnsi="Palatino Linotype" w:cs="Palatino Linotype"/>
          <w:color w:val="000000" w:themeColor="text1"/>
          <w:sz w:val="24"/>
        </w:rPr>
        <w:t>Documento constante de do fojas en el que se aprecia el Estado Analítico del Ejercicio del Presupuesto de Egresos Clasificación Administrativa constante del 1 de enero al 31 de diciembre de 2024.</w:t>
      </w:r>
    </w:p>
    <w:p w:rsidR="005D5FE7"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8"/>
        </w:rPr>
      </w:pPr>
      <w:r w:rsidRPr="005D5FE7">
        <w:rPr>
          <w:rFonts w:ascii="Palatino Linotype" w:eastAsia="Palatino Linotype" w:hAnsi="Palatino Linotype" w:cs="Palatino Linotype"/>
          <w:b/>
          <w:color w:val="000000" w:themeColor="text1"/>
          <w:sz w:val="24"/>
        </w:rPr>
        <w:t xml:space="preserve">AVANCE TRIMESTRAL DE METAS POR PROYECTO_2022.pdf: </w:t>
      </w:r>
      <w:r w:rsidRPr="005D5FE7">
        <w:rPr>
          <w:rFonts w:ascii="Palatino Linotype" w:eastAsia="Palatino Linotype" w:hAnsi="Palatino Linotype" w:cs="Palatino Linotype"/>
          <w:color w:val="000000" w:themeColor="text1"/>
          <w:sz w:val="24"/>
        </w:rPr>
        <w:t xml:space="preserve">Documento constante de dieciocho fojas, del que se advierte la Guía Metodológica para el </w:t>
      </w:r>
      <w:r w:rsidRPr="005D5FE7">
        <w:rPr>
          <w:rFonts w:ascii="Palatino Linotype" w:eastAsia="Palatino Linotype" w:hAnsi="Palatino Linotype" w:cs="Palatino Linotype"/>
          <w:color w:val="000000" w:themeColor="text1"/>
          <w:sz w:val="24"/>
        </w:rPr>
        <w:lastRenderedPageBreak/>
        <w:t>Seguimiento y Evaluación del Plan de Desarrollo Municipal Vigente, Seguimiento y Evaluación del Presupuesto Basado en Resultados Municipales, correspondiente al cuarto trimestre de 2022</w:t>
      </w:r>
    </w:p>
    <w:p w:rsidR="001E4415" w:rsidRPr="005D5FE7" w:rsidRDefault="007873F4" w:rsidP="005D5FE7">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32"/>
        </w:rPr>
      </w:pPr>
      <w:r w:rsidRPr="005D5FE7">
        <w:rPr>
          <w:rFonts w:ascii="Palatino Linotype" w:eastAsia="Palatino Linotype" w:hAnsi="Palatino Linotype" w:cs="Palatino Linotype"/>
          <w:b/>
          <w:color w:val="000000" w:themeColor="text1"/>
          <w:sz w:val="24"/>
        </w:rPr>
        <w:t xml:space="preserve">2.10 Estado  Analítico del Ejercicio del Presupuesto de Egresos (Administrativa)_2023.pdf: </w:t>
      </w:r>
      <w:r w:rsidRPr="005D5FE7">
        <w:rPr>
          <w:rFonts w:ascii="Palatino Linotype" w:eastAsia="Palatino Linotype" w:hAnsi="Palatino Linotype" w:cs="Palatino Linotype"/>
          <w:color w:val="000000" w:themeColor="text1"/>
          <w:sz w:val="24"/>
        </w:rPr>
        <w:t>Documento constante de do fojas en el que se aprecia el Estado Analítico del Ejercicio del Presupuesto de Egresos Clasificación Administrativa constante del 1 de enero al 31 de diciembre de 2023.</w:t>
      </w:r>
    </w:p>
    <w:p w:rsidR="005D5FE7" w:rsidRPr="005D5FE7" w:rsidRDefault="005D5FE7" w:rsidP="005D5FE7">
      <w:pPr>
        <w:pStyle w:val="Prrafodelista"/>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32"/>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En fecha </w:t>
      </w:r>
      <w:r w:rsidRPr="00F83F00">
        <w:rPr>
          <w:rFonts w:ascii="Palatino Linotype" w:eastAsia="Palatino Linotype" w:hAnsi="Palatino Linotype" w:cs="Palatino Linotype"/>
          <w:b/>
          <w:color w:val="000000" w:themeColor="text1"/>
        </w:rPr>
        <w:t>veintiséis de mayo de dos mil veinticinco</w:t>
      </w:r>
      <w:r w:rsidRPr="00F83F00">
        <w:rPr>
          <w:rFonts w:ascii="Palatino Linotype" w:eastAsia="Palatino Linotype" w:hAnsi="Palatino Linotype" w:cs="Palatino Linotype"/>
          <w:color w:val="000000" w:themeColor="text1"/>
        </w:rPr>
        <w:t xml:space="preserve">, el </w:t>
      </w:r>
      <w:r w:rsidRPr="00F83F00">
        <w:rPr>
          <w:rFonts w:ascii="Palatino Linotype" w:eastAsia="Palatino Linotype" w:hAnsi="Palatino Linotype" w:cs="Palatino Linotype"/>
          <w:b/>
          <w:color w:val="000000" w:themeColor="text1"/>
        </w:rPr>
        <w:t xml:space="preserve">RECURRENTE, </w:t>
      </w:r>
      <w:r w:rsidRPr="00F83F00">
        <w:rPr>
          <w:rFonts w:ascii="Palatino Linotype" w:eastAsia="Palatino Linotype" w:hAnsi="Palatino Linotype" w:cs="Palatino Linotype"/>
          <w:color w:val="000000" w:themeColor="text1"/>
        </w:rPr>
        <w:t xml:space="preserve">agrega a la etapa de manifestaciones el documento remitido en respuesta por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argumentando que “</w:t>
      </w:r>
      <w:r w:rsidRPr="00F83F00">
        <w:rPr>
          <w:rFonts w:ascii="Palatino Linotype" w:eastAsia="Palatino Linotype" w:hAnsi="Palatino Linotype" w:cs="Palatino Linotype"/>
          <w:i/>
          <w:color w:val="000000" w:themeColor="text1"/>
        </w:rPr>
        <w:t>la información no es visible en el documento entregado” (Sic.)</w:t>
      </w:r>
      <w:r w:rsidRPr="00F83F00">
        <w:rPr>
          <w:rFonts w:ascii="Palatino Linotype" w:eastAsia="Palatino Linotype" w:hAnsi="Palatino Linotype" w:cs="Palatino Linotype"/>
          <w:color w:val="000000" w:themeColor="text1"/>
        </w:rPr>
        <w:t xml:space="preserve"> </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color w:val="000000" w:themeColor="text1"/>
        </w:rPr>
        <w:t xml:space="preserve">El </w:t>
      </w:r>
      <w:r w:rsidRPr="00F83F00">
        <w:rPr>
          <w:rFonts w:ascii="Palatino Linotype" w:eastAsia="Palatino Linotype" w:hAnsi="Palatino Linotype" w:cs="Palatino Linotype"/>
          <w:b/>
          <w:color w:val="000000" w:themeColor="text1"/>
        </w:rPr>
        <w:t>veintiséis de junio de dos mil veinticinco</w:t>
      </w:r>
      <w:r w:rsidRPr="00F83F00">
        <w:rPr>
          <w:rFonts w:ascii="Palatino Linotype" w:eastAsia="Palatino Linotype" w:hAnsi="Palatino Linotype" w:cs="Palatino Linotype"/>
          <w:color w:val="000000" w:themeColor="text1"/>
        </w:rPr>
        <w:t xml:space="preserve">, se notificó el acuerdo a través del cual se aprobó la ampliación de plazo para emitir la resolución por un periodo de quince días. </w:t>
      </w:r>
    </w:p>
    <w:p w:rsidR="001E4415" w:rsidRPr="00F83F00" w:rsidRDefault="001E4415" w:rsidP="00272DC5">
      <w:pPr>
        <w:spacing w:line="360" w:lineRule="auto"/>
        <w:jc w:val="both"/>
        <w:rPr>
          <w:rFonts w:ascii="Palatino Linotype" w:eastAsia="Palatino Linotype" w:hAnsi="Palatino Linotype" w:cs="Palatino Linotype"/>
          <w:i/>
          <w:color w:val="000000" w:themeColor="text1"/>
        </w:rPr>
      </w:pPr>
    </w:p>
    <w:p w:rsidR="005D5FE7" w:rsidRPr="005D5FE7" w:rsidRDefault="007873F4" w:rsidP="005D5FE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color w:val="000000" w:themeColor="text1"/>
        </w:rPr>
        <w:t xml:space="preserve">El </w:t>
      </w:r>
      <w:r w:rsidRPr="00F83F00">
        <w:rPr>
          <w:rFonts w:ascii="Palatino Linotype" w:eastAsia="Palatino Linotype" w:hAnsi="Palatino Linotype" w:cs="Palatino Linotype"/>
          <w:b/>
          <w:color w:val="000000" w:themeColor="text1"/>
        </w:rPr>
        <w:t>dos de junio de dos mil veinticinco,</w:t>
      </w:r>
      <w:r w:rsidRPr="00F83F00">
        <w:rPr>
          <w:rFonts w:ascii="Palatino Linotype" w:eastAsia="Palatino Linotype" w:hAnsi="Palatino Linotype" w:cs="Palatino Linotype"/>
          <w:color w:val="000000" w:themeColor="text1"/>
        </w:rPr>
        <w:t xml:space="preserve"> se notificó acuerdo mediante el cual se decretó el cierre de instrucción. </w:t>
      </w:r>
      <w:r w:rsidR="005D5FE7">
        <w:rPr>
          <w:rFonts w:ascii="Palatino Linotype" w:eastAsia="Palatino Linotype" w:hAnsi="Palatino Linotype" w:cs="Palatino Linotype"/>
          <w:color w:val="000000" w:themeColor="text1"/>
        </w:rPr>
        <w:t>--------------------------------------------------------------------------</w:t>
      </w:r>
      <w:bookmarkStart w:id="3" w:name="_heading=h.72cbugz9sq58" w:colFirst="0" w:colLast="0"/>
      <w:bookmarkEnd w:id="3"/>
    </w:p>
    <w:p w:rsidR="005D5FE7" w:rsidRDefault="005D5FE7" w:rsidP="00272DC5">
      <w:pPr>
        <w:keepNext/>
        <w:keepLines/>
        <w:spacing w:line="360" w:lineRule="auto"/>
        <w:jc w:val="center"/>
        <w:rPr>
          <w:rFonts w:ascii="Palatino Linotype" w:eastAsia="Palatino Linotype" w:hAnsi="Palatino Linotype" w:cs="Palatino Linotype"/>
          <w:b/>
          <w:color w:val="000000" w:themeColor="text1"/>
        </w:rPr>
      </w:pPr>
    </w:p>
    <w:p w:rsidR="001E4415" w:rsidRPr="00F83F00" w:rsidRDefault="007873F4" w:rsidP="00272DC5">
      <w:pPr>
        <w:keepNext/>
        <w:keepLines/>
        <w:spacing w:line="360" w:lineRule="auto"/>
        <w:jc w:val="center"/>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C</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O</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N</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S</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I</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D</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E</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R</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A</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N</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D</w:t>
      </w:r>
      <w:r w:rsidR="005D5FE7">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b/>
          <w:color w:val="000000" w:themeColor="text1"/>
        </w:rPr>
        <w:t>O</w:t>
      </w:r>
    </w:p>
    <w:p w:rsidR="001E4415" w:rsidRPr="00F83F00" w:rsidRDefault="001E4415" w:rsidP="00272DC5">
      <w:pPr>
        <w:keepNext/>
        <w:keepLines/>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keepNext/>
        <w:keepLines/>
        <w:spacing w:line="360" w:lineRule="auto"/>
        <w:jc w:val="both"/>
        <w:rPr>
          <w:rFonts w:ascii="Palatino Linotype" w:eastAsia="Palatino Linotype" w:hAnsi="Palatino Linotype" w:cs="Palatino Linotype"/>
          <w:b/>
          <w:color w:val="000000" w:themeColor="text1"/>
        </w:rPr>
      </w:pPr>
      <w:bookmarkStart w:id="4" w:name="_heading=h.nkgdhhsv2diq" w:colFirst="0" w:colLast="0"/>
      <w:bookmarkEnd w:id="4"/>
      <w:r w:rsidRPr="00F83F00">
        <w:rPr>
          <w:rFonts w:ascii="Palatino Linotype" w:eastAsia="Palatino Linotype" w:hAnsi="Palatino Linotype" w:cs="Palatino Linotype"/>
          <w:b/>
          <w:color w:val="000000" w:themeColor="text1"/>
        </w:rPr>
        <w:t>PRIMERO. De la competencia.</w:t>
      </w:r>
    </w:p>
    <w:p w:rsidR="001E4415" w:rsidRPr="00F83F00" w:rsidRDefault="007873F4" w:rsidP="00272DC5">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3F00">
        <w:rPr>
          <w:rFonts w:ascii="Palatino Linotype" w:eastAsia="Palatino Linotype" w:hAnsi="Palatino Linotype" w:cs="Palatino Linotype"/>
          <w:b/>
          <w:color w:val="000000" w:themeColor="text1"/>
        </w:rPr>
        <w:t>Constitución Política de los Estados Unidos Mexicanos</w:t>
      </w:r>
      <w:r w:rsidRPr="00F83F00">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F83F00">
        <w:rPr>
          <w:rFonts w:ascii="Palatino Linotype" w:eastAsia="Palatino Linotype" w:hAnsi="Palatino Linotype" w:cs="Palatino Linotype"/>
          <w:b/>
          <w:color w:val="000000" w:themeColor="text1"/>
        </w:rPr>
        <w:t>Constitución Política del Estado Libre y Soberano de México</w:t>
      </w:r>
      <w:r w:rsidRPr="00F83F00">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F83F00">
        <w:rPr>
          <w:rFonts w:ascii="Palatino Linotype" w:eastAsia="Palatino Linotype" w:hAnsi="Palatino Linotype" w:cs="Palatino Linotype"/>
          <w:b/>
          <w:color w:val="000000" w:themeColor="text1"/>
        </w:rPr>
        <w:t>Ley de Transparencia y Acceso a la Información Pública del Estado de México y Municipios</w:t>
      </w:r>
      <w:r w:rsidRPr="00F83F00">
        <w:rPr>
          <w:rFonts w:ascii="Palatino Linotype" w:eastAsia="Palatino Linotype" w:hAnsi="Palatino Linotype" w:cs="Palatino Linotype"/>
          <w:color w:val="000000" w:themeColor="text1"/>
        </w:rPr>
        <w:t xml:space="preserve">; y 7, 9 fracciones I y XXIII, y 11 del </w:t>
      </w:r>
      <w:r w:rsidRPr="00F83F00">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1E4415" w:rsidRPr="00F83F00" w:rsidRDefault="007873F4" w:rsidP="00272DC5">
      <w:pPr>
        <w:keepNext/>
        <w:keepLines/>
        <w:spacing w:line="360" w:lineRule="auto"/>
        <w:jc w:val="both"/>
        <w:rPr>
          <w:rFonts w:ascii="Palatino Linotype" w:eastAsia="Palatino Linotype" w:hAnsi="Palatino Linotype" w:cs="Palatino Linotype"/>
          <w:b/>
          <w:color w:val="000000" w:themeColor="text1"/>
        </w:rPr>
      </w:pPr>
      <w:bookmarkStart w:id="5" w:name="_heading=h.gsrlfzeixcqs" w:colFirst="0" w:colLast="0"/>
      <w:bookmarkEnd w:id="5"/>
      <w:r w:rsidRPr="00F83F00">
        <w:rPr>
          <w:rFonts w:ascii="Palatino Linotype" w:eastAsia="Palatino Linotype" w:hAnsi="Palatino Linotype" w:cs="Palatino Linotype"/>
          <w:b/>
          <w:color w:val="000000" w:themeColor="text1"/>
        </w:rPr>
        <w:t>SEGUNDO. De la oportunidad y procedencia.</w:t>
      </w: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El medio de impugnación fue presentado a través del </w:t>
      </w:r>
      <w:r w:rsidRPr="00F83F00">
        <w:rPr>
          <w:rFonts w:ascii="Palatino Linotype" w:eastAsia="Palatino Linotype" w:hAnsi="Palatino Linotype" w:cs="Palatino Linotype"/>
          <w:b/>
          <w:color w:val="000000" w:themeColor="text1"/>
        </w:rPr>
        <w:t>SAIMEX,</w:t>
      </w:r>
      <w:r w:rsidRPr="00F83F0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entregó respuesta el día </w:t>
      </w:r>
      <w:r w:rsidRPr="00F83F00">
        <w:rPr>
          <w:rFonts w:ascii="Palatino Linotype" w:eastAsia="Palatino Linotype" w:hAnsi="Palatino Linotype" w:cs="Palatino Linotype"/>
          <w:b/>
          <w:color w:val="000000" w:themeColor="text1"/>
        </w:rPr>
        <w:t>catorce de febrero de dos mil veinticinco</w:t>
      </w:r>
      <w:r w:rsidRPr="00F83F00">
        <w:rPr>
          <w:rFonts w:ascii="Palatino Linotype" w:eastAsia="Palatino Linotype" w:hAnsi="Palatino Linotype" w:cs="Palatino Linotype"/>
          <w:color w:val="000000" w:themeColor="text1"/>
        </w:rPr>
        <w:t xml:space="preserve">, de tal forma que el plazo para interponer el recurso transcurrió del </w:t>
      </w:r>
      <w:r w:rsidRPr="00F83F00">
        <w:rPr>
          <w:rFonts w:ascii="Palatino Linotype" w:eastAsia="Palatino Linotype" w:hAnsi="Palatino Linotype" w:cs="Palatino Linotype"/>
          <w:b/>
          <w:color w:val="000000" w:themeColor="text1"/>
        </w:rPr>
        <w:t>diecisiete de febrero al diez de marzo de dos mil veinticinco</w:t>
      </w:r>
      <w:r w:rsidRPr="00F83F00">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F83F00">
        <w:rPr>
          <w:rFonts w:ascii="Palatino Linotype" w:eastAsia="Palatino Linotype" w:hAnsi="Palatino Linotype" w:cs="Palatino Linotype"/>
          <w:b/>
          <w:color w:val="000000" w:themeColor="text1"/>
        </w:rPr>
        <w:t>catorce de febrero de dos mil veinticinco</w:t>
      </w:r>
      <w:r w:rsidRPr="00F83F00">
        <w:rPr>
          <w:rFonts w:ascii="Palatino Linotype" w:eastAsia="Palatino Linotype" w:hAnsi="Palatino Linotype" w:cs="Palatino Linotype"/>
          <w:color w:val="000000" w:themeColor="text1"/>
        </w:rPr>
        <w:t xml:space="preserve">, se encuentra dentro de los márgenes </w:t>
      </w:r>
      <w:r w:rsidRPr="00F83F00">
        <w:rPr>
          <w:rFonts w:ascii="Palatino Linotype" w:eastAsia="Palatino Linotype" w:hAnsi="Palatino Linotype" w:cs="Palatino Linotype"/>
          <w:color w:val="000000" w:themeColor="text1"/>
        </w:rPr>
        <w:lastRenderedPageBreak/>
        <w:t xml:space="preserve">temporales previstos en el artículo 178 de la </w:t>
      </w:r>
      <w:r w:rsidRPr="00F83F0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83F00">
        <w:rPr>
          <w:rFonts w:ascii="Palatino Linotype" w:eastAsia="Palatino Linotype" w:hAnsi="Palatino Linotype" w:cs="Palatino Linotype"/>
          <w:color w:val="000000" w:themeColor="text1"/>
        </w:rPr>
        <w:t>vigente.</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b/>
          <w:color w:val="000000" w:themeColor="text1"/>
        </w:rPr>
      </w:pPr>
    </w:p>
    <w:p w:rsidR="001E4415" w:rsidRPr="00F83F00" w:rsidRDefault="007873F4" w:rsidP="00272DC5">
      <w:pPr>
        <w:pStyle w:val="Ttulo2"/>
        <w:spacing w:before="0" w:line="360" w:lineRule="auto"/>
        <w:jc w:val="both"/>
        <w:rPr>
          <w:rFonts w:ascii="Palatino Linotype" w:eastAsia="Palatino Linotype" w:hAnsi="Palatino Linotype" w:cs="Palatino Linotype"/>
          <w:b/>
          <w:color w:val="000000" w:themeColor="text1"/>
          <w:sz w:val="24"/>
          <w:szCs w:val="24"/>
        </w:rPr>
      </w:pPr>
      <w:r w:rsidRPr="00F83F00">
        <w:rPr>
          <w:rFonts w:ascii="Palatino Linotype" w:eastAsia="Palatino Linotype" w:hAnsi="Palatino Linotype" w:cs="Palatino Linotype"/>
          <w:b/>
          <w:color w:val="000000" w:themeColor="text1"/>
          <w:sz w:val="24"/>
          <w:szCs w:val="24"/>
        </w:rPr>
        <w:t>TERCERO. Del Planteamiento de la Litis</w:t>
      </w:r>
    </w:p>
    <w:p w:rsidR="001E4415" w:rsidRPr="00F83F00" w:rsidRDefault="007873F4" w:rsidP="00272DC5">
      <w:pPr>
        <w:numPr>
          <w:ilvl w:val="0"/>
          <w:numId w:val="1"/>
        </w:numPr>
        <w:spacing w:line="360" w:lineRule="auto"/>
        <w:ind w:left="0" w:firstLine="0"/>
        <w:jc w:val="both"/>
        <w:rPr>
          <w:rFonts w:ascii="Palatino Linotype" w:hAnsi="Palatino Linotype"/>
          <w:color w:val="000000" w:themeColor="text1"/>
        </w:rPr>
      </w:pPr>
      <w:r w:rsidRPr="00F83F00">
        <w:rPr>
          <w:rFonts w:ascii="Palatino Linotype" w:eastAsia="Palatino Linotype" w:hAnsi="Palatino Linotype" w:cs="Palatino Linotype"/>
          <w:color w:val="000000" w:themeColor="text1"/>
        </w:rPr>
        <w:t xml:space="preserve">El particular solicitó el presupuesto asignado a las Direcciones de Turismo, Cultura, Ecología y Educación y Fomento Económico de los ejercicios fiscales 2022, 2023 y 2024; así como la forma en que se aplicó dicho presupuesto. </w:t>
      </w:r>
    </w:p>
    <w:p w:rsidR="001E4415" w:rsidRPr="00F83F00" w:rsidRDefault="001E4415" w:rsidP="00272DC5">
      <w:pPr>
        <w:spacing w:line="360" w:lineRule="auto"/>
        <w:jc w:val="both"/>
        <w:rPr>
          <w:rFonts w:ascii="Palatino Linotype" w:eastAsia="Palatino Linotype" w:hAnsi="Palatino Linotype" w:cs="Palatino Linotype"/>
          <w:i/>
          <w:color w:val="000000" w:themeColor="text1"/>
        </w:rPr>
      </w:pPr>
    </w:p>
    <w:p w:rsidR="001E4415" w:rsidRPr="00F83F00" w:rsidRDefault="007873F4" w:rsidP="00272DC5">
      <w:pPr>
        <w:numPr>
          <w:ilvl w:val="0"/>
          <w:numId w:val="1"/>
        </w:numPr>
        <w:spacing w:line="360" w:lineRule="auto"/>
        <w:ind w:left="0" w:firstLine="0"/>
        <w:jc w:val="both"/>
        <w:rPr>
          <w:rFonts w:ascii="Palatino Linotype" w:hAnsi="Palatino Linotype"/>
          <w:color w:val="000000" w:themeColor="text1"/>
        </w:rPr>
      </w:pPr>
      <w:r w:rsidRPr="00F83F00">
        <w:rPr>
          <w:rFonts w:ascii="Palatino Linotype" w:eastAsia="Palatino Linotype" w:hAnsi="Palatino Linotype" w:cs="Palatino Linotype"/>
          <w:color w:val="000000" w:themeColor="text1"/>
        </w:rPr>
        <w:t xml:space="preserve">En respuesta, 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adjuntó el Reporte Estado Analítico del Ejercicio del Presupuesto de Egresos Clasificación Administrativa; donde se refleja el presupuesto probado a las Dependencias Generales solicitadas, así mismo anexo formato 08c Avance Trimestral de Metas de Actividad por Proyecto donde se muestra el alcance de las acciones programadas; correspondientes al ejercicio fiscal 2022, 2023 y 2024; sin embargo la documentación que agregan no es visible.</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hAnsi="Palatino Linotype"/>
          <w:color w:val="000000" w:themeColor="text1"/>
        </w:rPr>
      </w:pPr>
      <w:r w:rsidRPr="00F83F00">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VI de la Ley de Transparencia y Acceso a la Información Pública del Estado de México y Municipios; que establece la entrega de la información que no corresponde con lo solicitado. </w:t>
      </w:r>
    </w:p>
    <w:p w:rsidR="001E4415" w:rsidRPr="00F83F00" w:rsidRDefault="007873F4" w:rsidP="00272DC5">
      <w:pPr>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lastRenderedPageBreak/>
        <w:t>CUARTO. Estudio y resolución del asunto</w:t>
      </w:r>
    </w:p>
    <w:p w:rsidR="001E4415" w:rsidRPr="00F83F00" w:rsidRDefault="007873F4" w:rsidP="00272DC5">
      <w:pPr>
        <w:numPr>
          <w:ilvl w:val="0"/>
          <w:numId w:val="1"/>
        </w:numPr>
        <w:spacing w:line="360" w:lineRule="auto"/>
        <w:ind w:left="0" w:firstLine="0"/>
        <w:jc w:val="both"/>
        <w:rPr>
          <w:rFonts w:ascii="Palatino Linotype" w:hAnsi="Palatino Linotype"/>
          <w:color w:val="000000" w:themeColor="text1"/>
        </w:rPr>
      </w:pPr>
      <w:bookmarkStart w:id="6" w:name="_heading=h.30j0zll" w:colFirst="0" w:colLast="0"/>
      <w:bookmarkEnd w:id="6"/>
      <w:r w:rsidRPr="00F83F00">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En ese sentido, debemos recapitular que el </w:t>
      </w:r>
      <w:r w:rsidRPr="00F83F00">
        <w:rPr>
          <w:rFonts w:ascii="Palatino Linotype" w:eastAsia="Palatino Linotype" w:hAnsi="Palatino Linotype" w:cs="Palatino Linotype"/>
          <w:b/>
          <w:color w:val="000000" w:themeColor="text1"/>
        </w:rPr>
        <w:t>RECURRENTE</w:t>
      </w:r>
      <w:r w:rsidRPr="00F83F00">
        <w:rPr>
          <w:rFonts w:ascii="Palatino Linotype" w:eastAsia="Palatino Linotype" w:hAnsi="Palatino Linotype" w:cs="Palatino Linotype"/>
          <w:color w:val="000000" w:themeColor="text1"/>
        </w:rPr>
        <w:t xml:space="preserve"> solicitó el presupuesto asignado a las Direcciones de Turismo, Cultura, Ecología y Educación y Fomento Económico de los Ejercicios Fiscales 2022, 2023 y 2024; así como la forma en que se aplicó dicho presupuesto. </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A lo que 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informó que proporcionaría documentos consistentes en el Reporte Estado Analítico del Ejercicio del Presupuesto de Egresos Clasificación Administrativa; donde se refleja el presupuesto probado a las Dependencias Generales solicitadas, así mismo el formato 08c Avance Trimestral de Metas de Actividad por Proyecto donde se muestra el alcance de las acciones programadas; correspondientes al ejercicio fiscal 2022, 2023 y 2024; sin embargo la documentación que agregan no es visible, situación de la que se duele el particular, dando origen al expediente en que se actúa.</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No obstante, mediante informe justificado remitió el Estado Analítico del Ejercicio del Presupuesto de Egresos (Administrativa), correspondiente al 2022, 2023 y 2024, donde se aprecia la Unidad Administrativa a la que corresponde, el presupuesto </w:t>
      </w:r>
      <w:r w:rsidRPr="00F83F00">
        <w:rPr>
          <w:rFonts w:ascii="Palatino Linotype" w:eastAsia="Palatino Linotype" w:hAnsi="Palatino Linotype" w:cs="Palatino Linotype"/>
          <w:color w:val="000000" w:themeColor="text1"/>
        </w:rPr>
        <w:lastRenderedPageBreak/>
        <w:t xml:space="preserve">aprobado, los egresos Aprobados, Ampliaciones y reducciones, modificados, devengados, pagados y los subejercicio. </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Descrito lo anterior es cabal referir que dentro del Estado Analítico correspondiente al Ejercicio Fiscal 2022, se entrega la información referente a las Unidades Administrativas de Ecología y Educación Cultural y Bienestar Social, sin embargo no se aprecia información referente a la Dirección de Turismo, Cultura y fomento Económico, ni mucho menos se vislumbra que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se haya pronunciado al respecto.</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b/>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Mientras que para el Ejercicio Fiscal 2023 y 2024,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informó el presupuesto otorgado, respeto a la Dirección de Turismo, Ecología y Educación Cultural y Bienestar Social; sin embargo omitió pronunciarse en relación a la Dirección de Cultura y Fomento Económico..</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Por lo antepuesto, conviene señalar las Unidades Administrativas que pertenecientes a la Administración Pública Municipal, del periodo que se solicita.</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402"/>
        <w:gridCol w:w="2835"/>
      </w:tblGrid>
      <w:tr w:rsidR="00D31D5F" w:rsidRPr="00F83F00" w:rsidTr="005D5FE7">
        <w:tc>
          <w:tcPr>
            <w:tcW w:w="3256" w:type="dxa"/>
          </w:tcPr>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2022</w:t>
            </w:r>
          </w:p>
        </w:tc>
        <w:tc>
          <w:tcPr>
            <w:tcW w:w="3402" w:type="dxa"/>
          </w:tcPr>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2023</w:t>
            </w:r>
          </w:p>
        </w:tc>
        <w:tc>
          <w:tcPr>
            <w:tcW w:w="2835" w:type="dxa"/>
          </w:tcPr>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2024</w:t>
            </w:r>
          </w:p>
        </w:tc>
      </w:tr>
      <w:tr w:rsidR="001E4415" w:rsidRPr="00F83F00" w:rsidTr="005D5FE7">
        <w:tc>
          <w:tcPr>
            <w:tcW w:w="3256" w:type="dxa"/>
          </w:tcPr>
          <w:p w:rsidR="001E4415" w:rsidRPr="00F83F00" w:rsidRDefault="005D5FE7" w:rsidP="00272DC5">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I.</w:t>
            </w:r>
            <w:r w:rsidR="007873F4" w:rsidRPr="00F83F00">
              <w:rPr>
                <w:rFonts w:ascii="Palatino Linotype" w:eastAsia="Palatino Linotype" w:hAnsi="Palatino Linotype" w:cs="Palatino Linotype"/>
                <w:color w:val="000000" w:themeColor="text1"/>
              </w:rPr>
              <w:t xml:space="preserve"> Direcciones: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a. La Oficina de la Presidencia; (…)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i. </w:t>
            </w:r>
            <w:r w:rsidRPr="00F83F00">
              <w:rPr>
                <w:rFonts w:ascii="Palatino Linotype" w:eastAsia="Palatino Linotype" w:hAnsi="Palatino Linotype" w:cs="Palatino Linotype"/>
                <w:b/>
                <w:color w:val="000000" w:themeColor="text1"/>
                <w:u w:val="single"/>
              </w:rPr>
              <w:t>Dirección de Ecología.</w:t>
            </w: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j. </w:t>
            </w:r>
            <w:r w:rsidRPr="00F83F00">
              <w:rPr>
                <w:rFonts w:ascii="Palatino Linotype" w:eastAsia="Palatino Linotype" w:hAnsi="Palatino Linotype" w:cs="Palatino Linotype"/>
                <w:b/>
                <w:color w:val="000000" w:themeColor="text1"/>
                <w:u w:val="single"/>
              </w:rPr>
              <w:t>La Dirección de Fomento y Desarrollo Económico;</w:t>
            </w: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 xml:space="preserve">k. La Dirección de Turismo.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n. La Dirección de Asuntos Jurídicos;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 xml:space="preserve">ñ. </w:t>
            </w:r>
            <w:r w:rsidRPr="00F83F00">
              <w:rPr>
                <w:rFonts w:ascii="Palatino Linotype" w:eastAsia="Palatino Linotype" w:hAnsi="Palatino Linotype" w:cs="Palatino Linotype"/>
                <w:b/>
                <w:color w:val="000000" w:themeColor="text1"/>
                <w:u w:val="single"/>
              </w:rPr>
              <w:t>La Dirección de Educación;</w:t>
            </w:r>
          </w:p>
          <w:p w:rsidR="001E4415" w:rsidRPr="00F83F00" w:rsidRDefault="007873F4" w:rsidP="00272DC5">
            <w:pPr>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color w:val="000000" w:themeColor="text1"/>
              </w:rPr>
              <w:t xml:space="preserve"> o. </w:t>
            </w:r>
            <w:r w:rsidRPr="00F83F00">
              <w:rPr>
                <w:rFonts w:ascii="Palatino Linotype" w:eastAsia="Palatino Linotype" w:hAnsi="Palatino Linotype" w:cs="Palatino Linotype"/>
                <w:b/>
                <w:color w:val="000000" w:themeColor="text1"/>
                <w:u w:val="single"/>
              </w:rPr>
              <w:t xml:space="preserve">La Dirección de Cultura;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p. La Dirección de Salud;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p>
        </w:tc>
        <w:tc>
          <w:tcPr>
            <w:tcW w:w="3402" w:type="dxa"/>
          </w:tcPr>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I. Direcciones:</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 La Oficina de la Presidencia;</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p>
          <w:p w:rsidR="001E4415" w:rsidRPr="00F83F00" w:rsidRDefault="007873F4" w:rsidP="00272DC5">
            <w:pPr>
              <w:shd w:val="clear" w:color="auto" w:fill="FFFFFF"/>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I.La Dirección de Ecología.</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r w:rsidRPr="00F83F00">
              <w:rPr>
                <w:rFonts w:ascii="Palatino Linotype" w:eastAsia="Palatino Linotype" w:hAnsi="Palatino Linotype" w:cs="Palatino Linotype"/>
                <w:b/>
                <w:color w:val="000000" w:themeColor="text1"/>
                <w:u w:val="single"/>
              </w:rPr>
              <w:t>La Dirección de Fomento y Desarrollo Económico;</w:t>
            </w:r>
          </w:p>
          <w:p w:rsidR="001E4415" w:rsidRPr="00F83F00" w:rsidRDefault="007873F4" w:rsidP="00272DC5">
            <w:pPr>
              <w:shd w:val="clear" w:color="auto" w:fill="FFFFFF"/>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K. La Dirección de Turismo</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M. La Dirección de Asuntos Jurídicos;</w:t>
            </w:r>
          </w:p>
          <w:p w:rsidR="001E4415" w:rsidRPr="00F83F00" w:rsidRDefault="007873F4" w:rsidP="00272DC5">
            <w:pPr>
              <w:shd w:val="clear" w:color="auto" w:fill="FFFFFF"/>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N. La Dirección de Educación;</w:t>
            </w:r>
          </w:p>
          <w:p w:rsidR="001E4415" w:rsidRPr="00F83F00" w:rsidRDefault="007873F4" w:rsidP="00272DC5">
            <w:pPr>
              <w:shd w:val="clear" w:color="auto" w:fill="FFFFFF"/>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O. La Dirección de Cultura;</w:t>
            </w:r>
          </w:p>
          <w:p w:rsidR="001E4415" w:rsidRPr="00F83F00" w:rsidRDefault="007873F4" w:rsidP="00272DC5">
            <w:pPr>
              <w:shd w:val="clear" w:color="auto" w:fill="FFFFFF"/>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p>
        </w:tc>
        <w:tc>
          <w:tcPr>
            <w:tcW w:w="2835" w:type="dxa"/>
          </w:tcPr>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 xml:space="preserve">I. Direcciones: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 La Oficina de la Presidencia;</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u w:val="single"/>
              </w:rPr>
              <w:t>i. La Dirección de Ecología</w:t>
            </w:r>
            <w:r w:rsidRPr="00F83F00">
              <w:rPr>
                <w:rFonts w:ascii="Palatino Linotype" w:eastAsia="Palatino Linotype" w:hAnsi="Palatino Linotype" w:cs="Palatino Linotype"/>
                <w:color w:val="000000" w:themeColor="text1"/>
              </w:rPr>
              <w:t xml:space="preserve">; </w:t>
            </w:r>
            <w:r w:rsidRPr="00F83F00">
              <w:rPr>
                <w:rFonts w:ascii="Palatino Linotype" w:eastAsia="Palatino Linotype" w:hAnsi="Palatino Linotype" w:cs="Palatino Linotype"/>
                <w:b/>
                <w:color w:val="000000" w:themeColor="text1"/>
                <w:u w:val="single"/>
              </w:rPr>
              <w:t>j. La Dirección de Fomento y Desarrollo Económico;</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u w:val="single"/>
              </w:rPr>
              <w:t>k. La Dirección de Turismo;</w:t>
            </w: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m. La Dirección de Asuntos Jurídicos; </w:t>
            </w:r>
          </w:p>
          <w:p w:rsidR="001E4415" w:rsidRPr="00F83F00" w:rsidRDefault="007873F4" w:rsidP="00272DC5">
            <w:pPr>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b/>
                <w:color w:val="000000" w:themeColor="text1"/>
                <w:u w:val="single"/>
              </w:rPr>
              <w:t xml:space="preserve">n. La Dirección de Educación;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u w:val="single"/>
              </w:rPr>
              <w:t>o. La Dirección de Cultura;</w:t>
            </w:r>
            <w:r w:rsidRPr="00F83F00">
              <w:rPr>
                <w:rFonts w:ascii="Palatino Linotype" w:eastAsia="Palatino Linotype" w:hAnsi="Palatino Linotype" w:cs="Palatino Linotype"/>
                <w:color w:val="000000" w:themeColor="text1"/>
              </w:rPr>
              <w:t xml:space="preserve"> </w:t>
            </w:r>
          </w:p>
          <w:p w:rsidR="001E4415" w:rsidRPr="00F83F00" w:rsidRDefault="007873F4" w:rsidP="00272DC5">
            <w:pPr>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p>
        </w:tc>
      </w:tr>
    </w:tbl>
    <w:p w:rsidR="001E4415" w:rsidRPr="00F83F00" w:rsidRDefault="001E4415" w:rsidP="00272DC5">
      <w:pPr>
        <w:pBdr>
          <w:top w:val="nil"/>
          <w:left w:val="nil"/>
          <w:bottom w:val="nil"/>
          <w:right w:val="nil"/>
          <w:between w:val="nil"/>
        </w:pBdr>
        <w:rPr>
          <w:rFonts w:ascii="Palatino Linotype" w:eastAsia="Palatino Linotype" w:hAnsi="Palatino Linotype" w:cs="Palatino Linotype"/>
          <w:b/>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Como se observa en el cuadro anterior, en los tres periodos Fiscales de los que se requiere la información, se contaba con las Unidades Administrativas a las que hace alusión el solicitante; sin embargo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omitió pronunciarse respecto a diversas, áreas, lo que vislumbra que no se llevó a cabo la búsqueda exhaustiva, exigida por la ley de la materia.</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Ahora bien,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 xml:space="preserve">Es así que, su obligación es </w:t>
      </w:r>
      <w:r w:rsidRPr="00F83F00">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F83F00">
        <w:rPr>
          <w:rFonts w:ascii="Palatino Linotype" w:eastAsia="Palatino Linotype" w:hAnsi="Palatino Linotype" w:cs="Palatino Linotype"/>
          <w:color w:val="000000" w:themeColor="text1"/>
          <w:vertAlign w:val="superscript"/>
        </w:rPr>
        <w:footnoteReference w:id="1"/>
      </w:r>
      <w:r w:rsidRPr="00F83F00">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50. </w:t>
      </w:r>
      <w:r w:rsidRPr="00F83F00">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1E4415" w:rsidRPr="00F83F00" w:rsidRDefault="001E4415" w:rsidP="00272DC5">
      <w:pPr>
        <w:jc w:val="both"/>
        <w:rPr>
          <w:rFonts w:ascii="Palatino Linotype" w:eastAsia="Palatino Linotype" w:hAnsi="Palatino Linotype" w:cs="Palatino Linotype"/>
          <w:i/>
          <w:color w:val="000000" w:themeColor="text1"/>
        </w:rPr>
      </w:pP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53. </w:t>
      </w:r>
      <w:r w:rsidRPr="00F83F00">
        <w:rPr>
          <w:rFonts w:ascii="Palatino Linotype" w:eastAsia="Palatino Linotype" w:hAnsi="Palatino Linotype" w:cs="Palatino Linotype"/>
          <w:i/>
          <w:color w:val="000000" w:themeColor="text1"/>
        </w:rPr>
        <w:t>Las Unidades de Transparencia tendrán las siguientes funciones:</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II.</w:t>
      </w:r>
      <w:r w:rsidRPr="00F83F00">
        <w:rPr>
          <w:rFonts w:ascii="Palatino Linotype" w:eastAsia="Palatino Linotype" w:hAnsi="Palatino Linotype" w:cs="Palatino Linotype"/>
          <w:i/>
          <w:color w:val="000000" w:themeColor="text1"/>
        </w:rPr>
        <w:t xml:space="preserve"> Recibir, tramitar y dar respuesta a las solicitudes de acceso a la información;</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IV.</w:t>
      </w:r>
      <w:r w:rsidRPr="00F83F00">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V.</w:t>
      </w:r>
      <w:r w:rsidRPr="00F83F00">
        <w:rPr>
          <w:rFonts w:ascii="Palatino Linotype" w:eastAsia="Palatino Linotype" w:hAnsi="Palatino Linotype" w:cs="Palatino Linotype"/>
          <w:i/>
          <w:color w:val="000000" w:themeColor="text1"/>
        </w:rPr>
        <w:t xml:space="preserve"> Entregar, en su caso, a los particulares la información solicitada;</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1E4415" w:rsidP="00272DC5">
      <w:pPr>
        <w:jc w:val="both"/>
        <w:rPr>
          <w:rFonts w:ascii="Palatino Linotype" w:eastAsia="Palatino Linotype" w:hAnsi="Palatino Linotype" w:cs="Palatino Linotype"/>
          <w:i/>
          <w:color w:val="000000" w:themeColor="text1"/>
        </w:rPr>
      </w:pP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58. </w:t>
      </w:r>
      <w:r w:rsidRPr="00F83F00">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1E4415" w:rsidRPr="00F83F00" w:rsidRDefault="001E4415" w:rsidP="00272DC5">
      <w:pPr>
        <w:jc w:val="both"/>
        <w:rPr>
          <w:rFonts w:ascii="Palatino Linotype" w:eastAsia="Palatino Linotype" w:hAnsi="Palatino Linotype" w:cs="Palatino Linotype"/>
          <w:i/>
          <w:color w:val="000000" w:themeColor="text1"/>
        </w:rPr>
      </w:pP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59. </w:t>
      </w:r>
      <w:r w:rsidRPr="00F83F00">
        <w:rPr>
          <w:rFonts w:ascii="Palatino Linotype" w:eastAsia="Palatino Linotype" w:hAnsi="Palatino Linotype" w:cs="Palatino Linotype"/>
          <w:i/>
          <w:color w:val="000000" w:themeColor="text1"/>
        </w:rPr>
        <w:t>Los servidores públicos habilitados tendrán las funciones siguientes:</w:t>
      </w:r>
    </w:p>
    <w:p w:rsidR="001E4415" w:rsidRPr="00F83F00" w:rsidRDefault="001E4415" w:rsidP="00272DC5">
      <w:pPr>
        <w:jc w:val="both"/>
        <w:rPr>
          <w:rFonts w:ascii="Palatino Linotype" w:eastAsia="Palatino Linotype" w:hAnsi="Palatino Linotype" w:cs="Palatino Linotype"/>
          <w:i/>
          <w:color w:val="000000" w:themeColor="text1"/>
        </w:rPr>
      </w:pP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w:t>
      </w:r>
      <w:r w:rsidRPr="00F83F00">
        <w:rPr>
          <w:rFonts w:ascii="Palatino Linotype" w:eastAsia="Palatino Linotype" w:hAnsi="Palatino Linotype" w:cs="Palatino Linotype"/>
          <w:i/>
          <w:color w:val="000000" w:themeColor="text1"/>
        </w:rPr>
        <w:t xml:space="preserve"> Localizar la información que le solicite la Unidad de Transparencia;</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II.</w:t>
      </w:r>
      <w:r w:rsidRPr="00F83F00">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1E4415" w:rsidP="00272DC5">
      <w:pPr>
        <w:jc w:val="both"/>
        <w:rPr>
          <w:rFonts w:ascii="Palatino Linotype" w:eastAsia="Palatino Linotype" w:hAnsi="Palatino Linotype" w:cs="Palatino Linotype"/>
          <w:i/>
          <w:color w:val="000000" w:themeColor="text1"/>
        </w:rPr>
      </w:pPr>
    </w:p>
    <w:p w:rsidR="001E4415" w:rsidRPr="00F83F00" w:rsidRDefault="007873F4" w:rsidP="00272DC5">
      <w:pP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162. </w:t>
      </w:r>
      <w:r w:rsidRPr="00F83F00">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w:t>
      </w:r>
      <w:r w:rsidRPr="00F83F00">
        <w:rPr>
          <w:rFonts w:ascii="Palatino Linotype" w:eastAsia="Palatino Linotype" w:hAnsi="Palatino Linotype" w:cs="Palatino Linotype"/>
          <w:i/>
          <w:color w:val="000000" w:themeColor="text1"/>
        </w:rPr>
        <w:lastRenderedPageBreak/>
        <w:t>facultades, competencias y funciones, con el objeto de que realicen una búsqueda exhaustiva y razonable de la información solicitada.</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En el caso que se resuelve, la respuesta fue emitida por la Tesorería Municipal, quien de acuerdo al artículo 72 del Bando Municipal de Ixtapaluca, tiene la atribución de administrar la hacienda pública municipal; así como llevar a cabo la administración de los ingresos y egresos de la Administración Pública Municipal, por tanto, se advierte que la respuesta fue emitida por el servidor público habilitado con facultades para generar, poseer y administrar la información solicitada, sin embargo no garantizó el derecho de </w:t>
      </w:r>
      <w:r w:rsidRPr="00F83F00">
        <w:rPr>
          <w:rFonts w:ascii="Palatino Linotype" w:eastAsia="Palatino Linotype" w:hAnsi="Palatino Linotype" w:cs="Palatino Linotype"/>
          <w:color w:val="000000" w:themeColor="text1"/>
        </w:rPr>
        <w:lastRenderedPageBreak/>
        <w:t xml:space="preserve">acceso a la información, toda vez que como ya se refirió en líneas anteriores, omitió pronunciarse respecto a las Direcciones de Cultura y Fomento Económico, para los tres periodos que se solicitan; así como de la Dirección de Cultura para el Ejercicio Fiscal 2022. </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Ahora bien, es importante señalar que el artículo 4, párrafo segundo de la Ley de Transparencia y Acceso a la Información Pública del Estado de México y Municipios, dispone:</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r w:rsidRPr="00F83F00">
        <w:rPr>
          <w:rFonts w:ascii="Palatino Linotype" w:eastAsia="Palatino Linotype" w:hAnsi="Palatino Linotype" w:cs="Palatino Linotype"/>
          <w:b/>
          <w:i/>
          <w:color w:val="000000" w:themeColor="text1"/>
        </w:rPr>
        <w:t>Artículo 4. …</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E4415" w:rsidRPr="00F83F00" w:rsidRDefault="001E4415" w:rsidP="00272DC5">
      <w:pPr>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lastRenderedPageBreak/>
        <w:t>“</w:t>
      </w:r>
      <w:r w:rsidRPr="00F83F00">
        <w:rPr>
          <w:rFonts w:ascii="Palatino Linotype" w:eastAsia="Palatino Linotype" w:hAnsi="Palatino Linotype" w:cs="Palatino Linotype"/>
          <w:b/>
          <w:i/>
          <w:color w:val="000000" w:themeColor="text1"/>
        </w:rPr>
        <w:t>Artículo 12.</w:t>
      </w:r>
      <w:r w:rsidRPr="00F83F00">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1E4415" w:rsidRPr="00F83F00" w:rsidRDefault="001E4415" w:rsidP="00272DC5">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1E4415" w:rsidRPr="00F83F00" w:rsidRDefault="007873F4" w:rsidP="00272DC5">
      <w:pPr>
        <w:tabs>
          <w:tab w:val="left" w:pos="1134"/>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E4415" w:rsidRPr="00F83F00" w:rsidRDefault="001E4415" w:rsidP="00272DC5">
      <w:pPr>
        <w:tabs>
          <w:tab w:val="left" w:pos="1134"/>
        </w:tabs>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1E4415" w:rsidRPr="00F83F00" w:rsidRDefault="007873F4" w:rsidP="00272DC5">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F83F00">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E4415" w:rsidRPr="00F83F00" w:rsidRDefault="001E4415" w:rsidP="00272DC5">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Resoluciones: </w:t>
      </w:r>
    </w:p>
    <w:p w:rsidR="001E4415" w:rsidRPr="00F83F00" w:rsidRDefault="007873F4" w:rsidP="00272DC5">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lastRenderedPageBreak/>
        <w:t xml:space="preserve">∙ RRA 0050/16. Instituto Nacional para la Evaluación de la Educación. 13 julio de 2016. Por unanimidad. Comisionado Ponente: Francisco Javier Acuña Llamas. </w:t>
      </w:r>
    </w:p>
    <w:p w:rsidR="001E4415" w:rsidRPr="00F83F00" w:rsidRDefault="007873F4" w:rsidP="00272DC5">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1E4415" w:rsidRPr="00F83F00" w:rsidRDefault="007873F4" w:rsidP="00272DC5">
      <w:pPr>
        <w:tabs>
          <w:tab w:val="left" w:pos="709"/>
          <w:tab w:val="left" w:pos="1985"/>
        </w:tabs>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i/>
          <w:color w:val="000000" w:themeColor="text1"/>
        </w:rPr>
        <w:t>∙ RRA 1889/16. Secretaría de Hacienda y Crédito Público. 05 de octubre de 2016. Por unanimidad. Comisionada Ponente. Ximena Puente de la Mora.”</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“Artículo 3.</w:t>
      </w:r>
      <w:r w:rsidRPr="00F83F00">
        <w:rPr>
          <w:rFonts w:ascii="Palatino Linotype" w:eastAsia="Palatino Linotype" w:hAnsi="Palatino Linotype" w:cs="Palatino Linotype"/>
          <w:i/>
          <w:color w:val="000000" w:themeColor="text1"/>
        </w:rPr>
        <w:t xml:space="preserve"> Para los efectos de la presente Ley se entenderá por: </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 </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F83F00">
        <w:rPr>
          <w:rFonts w:ascii="Palatino Linotype" w:eastAsia="Palatino Linotype" w:hAnsi="Palatino Linotype" w:cs="Palatino Linotype"/>
          <w:b/>
          <w:i/>
          <w:color w:val="000000" w:themeColor="text1"/>
        </w:rPr>
        <w:t>XI. Documento:</w:t>
      </w:r>
      <w:r w:rsidRPr="00F83F0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F83F00">
        <w:rPr>
          <w:rFonts w:ascii="Palatino Linotype" w:eastAsia="Palatino Linotype" w:hAnsi="Palatino Linotype" w:cs="Palatino Linotype"/>
          <w:i/>
          <w:color w:val="000000" w:themeColor="text1"/>
        </w:rPr>
        <w:lastRenderedPageBreak/>
        <w:t xml:space="preserve">sin importar su fuente o fecha de elaboración. </w:t>
      </w:r>
      <w:r w:rsidRPr="00F83F00">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E4415" w:rsidRPr="00F83F00" w:rsidRDefault="007873F4" w:rsidP="00272DC5">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7" w:name="_heading=h.zbhunuclbxk9" w:colFirst="0" w:colLast="0"/>
      <w:bookmarkEnd w:id="7"/>
      <w:r w:rsidRPr="00F83F00">
        <w:rPr>
          <w:rFonts w:ascii="Palatino Linotype" w:eastAsia="Palatino Linotype" w:hAnsi="Palatino Linotype" w:cs="Palatino Linotype"/>
          <w:color w:val="000000" w:themeColor="text1"/>
        </w:rPr>
        <w:t>Precisado lo anterior, es conveniente citar los artículos 31 fracciones XVIII y XIX y 95 fracciones I y IV de la Ley Orgánica Municipal del Estado de México, que disponen como atribuciones de los ayuntamientos, lo siguiente:</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r w:rsidRPr="00F83F00">
        <w:rPr>
          <w:rFonts w:ascii="Palatino Linotype" w:eastAsia="Palatino Linotype" w:hAnsi="Palatino Linotype" w:cs="Palatino Linotype"/>
          <w:b/>
          <w:i/>
          <w:color w:val="000000" w:themeColor="text1"/>
        </w:rPr>
        <w:t>Artículo 31.-</w:t>
      </w:r>
      <w:r w:rsidRPr="00F83F00">
        <w:rPr>
          <w:rFonts w:ascii="Palatino Linotype" w:eastAsia="Palatino Linotype" w:hAnsi="Palatino Linotype" w:cs="Palatino Linotype"/>
          <w:i/>
          <w:color w:val="000000" w:themeColor="text1"/>
        </w:rPr>
        <w:t>Son atribuciones de los ayuntamientos:</w:t>
      </w:r>
    </w:p>
    <w:p w:rsidR="001E4415" w:rsidRPr="00F83F00" w:rsidRDefault="007873F4" w:rsidP="00272DC5">
      <w:pPr>
        <w:spacing w:after="120"/>
        <w:jc w:val="both"/>
        <w:rPr>
          <w:rFonts w:ascii="Palatino Linotype" w:eastAsia="Palatino Linotype" w:hAnsi="Palatino Linotype" w:cs="Palatino Linotype"/>
          <w:b/>
          <w:i/>
          <w:color w:val="000000" w:themeColor="text1"/>
        </w:rPr>
      </w:pPr>
      <w:r w:rsidRPr="00F83F00">
        <w:rPr>
          <w:rFonts w:ascii="Palatino Linotype" w:eastAsia="Palatino Linotype" w:hAnsi="Palatino Linotype" w:cs="Palatino Linotype"/>
          <w:b/>
          <w:i/>
          <w:color w:val="000000" w:themeColor="text1"/>
        </w:rPr>
        <w:t>(…)</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XVIII.</w:t>
      </w:r>
      <w:r w:rsidRPr="00F83F00">
        <w:rPr>
          <w:rFonts w:ascii="Palatino Linotype" w:eastAsia="Palatino Linotype" w:hAnsi="Palatino Linotype" w:cs="Palatino Linotype"/>
          <w:i/>
          <w:color w:val="000000" w:themeColor="text1"/>
        </w:rPr>
        <w:tab/>
        <w:t>Administrar su hacienda en términos de ley, y controlar a través del presidente y síndico la aplicación del presupuesto de egresos del municipio;</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lastRenderedPageBreak/>
        <w:t>(…)</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XIX.</w:t>
      </w:r>
      <w:r w:rsidRPr="00F83F00">
        <w:rPr>
          <w:rFonts w:ascii="Palatino Linotype" w:eastAsia="Palatino Linotype" w:hAnsi="Palatino Linotype" w:cs="Palatino Linotype"/>
          <w:i/>
          <w:color w:val="000000" w:themeColor="text1"/>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Los ayuntamientos podrán promover el financiamiento de proyectos productivos de las mujeres emprendedoras.</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Artículo 95</w:t>
      </w:r>
      <w:r w:rsidRPr="00F83F00">
        <w:rPr>
          <w:rFonts w:ascii="Palatino Linotype" w:eastAsia="Palatino Linotype" w:hAnsi="Palatino Linotype" w:cs="Palatino Linotype"/>
          <w:i/>
          <w:color w:val="000000" w:themeColor="text1"/>
        </w:rPr>
        <w:t xml:space="preserve">.-Son atribuciones del tesorero municipal: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w:t>
      </w:r>
      <w:r w:rsidRPr="00F83F00">
        <w:rPr>
          <w:rFonts w:ascii="Palatino Linotype" w:eastAsia="Palatino Linotype" w:hAnsi="Palatino Linotype" w:cs="Palatino Linotype"/>
          <w:i/>
          <w:color w:val="000000" w:themeColor="text1"/>
        </w:rPr>
        <w:t xml:space="preserve"> Administrar la hacienda pública municipal, de conformidad con las disposiciones legales aplicables;</w:t>
      </w:r>
    </w:p>
    <w:p w:rsidR="001E4415" w:rsidRPr="00F83F00" w:rsidRDefault="007873F4" w:rsidP="00272DC5">
      <w:pPr>
        <w:spacing w:after="120"/>
        <w:jc w:val="both"/>
        <w:rPr>
          <w:rFonts w:ascii="Palatino Linotype" w:eastAsia="Palatino Linotype" w:hAnsi="Palatino Linotype" w:cs="Palatino Linotype"/>
          <w:b/>
          <w:i/>
          <w:color w:val="000000" w:themeColor="text1"/>
        </w:rPr>
      </w:pPr>
      <w:r w:rsidRPr="00F83F00">
        <w:rPr>
          <w:rFonts w:ascii="Palatino Linotype" w:eastAsia="Palatino Linotype" w:hAnsi="Palatino Linotype" w:cs="Palatino Linotype"/>
          <w:b/>
          <w:i/>
          <w:color w:val="000000" w:themeColor="text1"/>
        </w:rPr>
        <w:t>(…)</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IV.</w:t>
      </w:r>
      <w:r w:rsidRPr="00F83F00">
        <w:rPr>
          <w:rFonts w:ascii="Palatino Linotype" w:eastAsia="Palatino Linotype" w:hAnsi="Palatino Linotype" w:cs="Palatino Linotype"/>
          <w:i/>
          <w:color w:val="000000" w:themeColor="text1"/>
        </w:rPr>
        <w:t xml:space="preserve"> Llevar los registros contables, financieros y administrativos de los ingresos, egresos, e inventarios;</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w:t>
      </w:r>
      <w:r w:rsidRPr="00F83F00">
        <w:rPr>
          <w:rFonts w:ascii="Palatino Linotype" w:eastAsia="Palatino Linotype" w:hAnsi="Palatino Linotype" w:cs="Palatino Linotype"/>
          <w:i/>
          <w:color w:val="000000" w:themeColor="text1"/>
        </w:rPr>
        <w:t>…)”</w:t>
      </w:r>
    </w:p>
    <w:p w:rsidR="001E4415" w:rsidRPr="00F83F00" w:rsidRDefault="001E4415" w:rsidP="00272DC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De los preceptos normativos citados con anterioridad, se advierte que los Ayuntamientos tienen la atribución de administrar libremente su hacienda y controlar la aplicación del presupuesto de egresos aprobado por dicho cuerpo colegiado a más tardar </w:t>
      </w:r>
      <w:r w:rsidRPr="00F83F00">
        <w:rPr>
          <w:rFonts w:ascii="Palatino Linotype" w:eastAsia="Palatino Linotype" w:hAnsi="Palatino Linotype" w:cs="Palatino Linotype"/>
          <w:color w:val="000000" w:themeColor="text1"/>
        </w:rPr>
        <w:lastRenderedPageBreak/>
        <w:t xml:space="preserve">el veinte de diciembre del año del año inmediato anterior, por lo que señala que será atribución del Tesorero Municipal, el llevar los registros contables, financieros y administrativos de los ingresos, egresos e inventarios. </w:t>
      </w:r>
    </w:p>
    <w:p w:rsidR="001E4415" w:rsidRPr="00F83F00" w:rsidRDefault="001E4415" w:rsidP="00272DC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Por su parte, en los artículos 343, 344 y 345 del Código Financiero del Estado de México y Municipios, se reconoce el sistema y las políticas que deben seguir para llevar el registro contable de efecto patrimonial y presupuestal de las operaciones financieras que llevan a cabo los Municipios del Estado de México en armonía con el Sistema de Coordinación Hacendaria del Estado y con las disposiciones que se aprueben en materia de planeación, programación, presupuestación, evaluación y contabilidad gubernamental</w:t>
      </w:r>
      <w:r w:rsidRPr="00F83F00">
        <w:rPr>
          <w:rFonts w:ascii="Palatino Linotype" w:eastAsia="Century Gothic" w:hAnsi="Palatino Linotype" w:cs="Century Gothic"/>
          <w:color w:val="000000" w:themeColor="text1"/>
          <w:vertAlign w:val="superscript"/>
        </w:rPr>
        <w:footnoteReference w:id="2"/>
      </w:r>
      <w:r w:rsidRPr="00F83F00">
        <w:rPr>
          <w:rFonts w:ascii="Palatino Linotype" w:eastAsia="Palatino Linotype" w:hAnsi="Palatino Linotype" w:cs="Palatino Linotype"/>
          <w:color w:val="000000" w:themeColor="text1"/>
        </w:rPr>
        <w:t>, en los siguientes términos:</w:t>
      </w: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Artículo 343.-</w:t>
      </w:r>
      <w:r w:rsidRPr="00F83F00">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 </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Artículo 344.-</w:t>
      </w:r>
      <w:r w:rsidRPr="00F83F00">
        <w:rPr>
          <w:rFonts w:ascii="Palatino Linotype" w:eastAsia="Palatino Linotype" w:hAnsi="Palatino Linotype" w:cs="Palatino Linotype"/>
          <w:i/>
          <w:color w:val="000000" w:themeColor="text1"/>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r w:rsidRPr="00F83F00">
        <w:rPr>
          <w:rFonts w:ascii="Palatino Linotype" w:eastAsia="Palatino Linotype" w:hAnsi="Palatino Linotype" w:cs="Palatino Linotype"/>
          <w:i/>
          <w:color w:val="000000" w:themeColor="text1"/>
        </w:rPr>
        <w:lastRenderedPageBreak/>
        <w:t>Tratándose de documentos de carácter histórico, se estará a lo dispuesto por la legislación de la materia.</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Artículo 345.-</w:t>
      </w:r>
      <w:r w:rsidRPr="00F83F00">
        <w:rPr>
          <w:rFonts w:ascii="Palatino Linotype" w:eastAsia="Palatino Linotype" w:hAnsi="Palatino Linotype" w:cs="Palatino Linotype"/>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De una interpretación sistemática de los artículos transcritos, se desprende primeramente que el sistema de contabilidad debe diseñarse de tal forma que facilite la fiscalización de los pasivos, activos, ingresos y egresos en general para que se pueda medir la eficacia del gasto público, es decir que se pueda tener un control de los recursos que permita la vigilancia de los mismos y medir su grado de efectividad en su aplicación.</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Para ello, las dependencias, entidades y unidades administrativas deberán registrar todas las operaciones financieras que realicen en el momento que ocurran, que para el caso del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será a través del su Tesorería, documentación que se deberá de conservar del año en curso y la de los ejercicios anteriores cuyas cuentas públicas ya hayan sido revisadas y fiscalizadas.</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Al respecto, si bien es cierto que el Código Financiero del Estado de México y Municipios crea la obligación de los Municipios para llevar los registros contables y presupuestales, también lo es que dicho ordenamiento jurídico no establece lo que </w:t>
      </w:r>
      <w:r w:rsidRPr="00F83F00">
        <w:rPr>
          <w:rFonts w:ascii="Palatino Linotype" w:eastAsia="Palatino Linotype" w:hAnsi="Palatino Linotype" w:cs="Palatino Linotype"/>
          <w:color w:val="000000" w:themeColor="text1"/>
        </w:rPr>
        <w:lastRenderedPageBreak/>
        <w:t>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5D5FE7" w:rsidRDefault="007873F4" w:rsidP="005D5FE7">
      <w:pPr>
        <w:pStyle w:val="Prrafodelista"/>
        <w:numPr>
          <w:ilvl w:val="0"/>
          <w:numId w:val="11"/>
        </w:numPr>
        <w:spacing w:after="120"/>
        <w:jc w:val="both"/>
        <w:rPr>
          <w:rFonts w:ascii="Palatino Linotype" w:eastAsia="Palatino Linotype" w:hAnsi="Palatino Linotype" w:cs="Palatino Linotype"/>
          <w:i/>
          <w:color w:val="000000" w:themeColor="text1"/>
        </w:rPr>
      </w:pPr>
      <w:r w:rsidRPr="005D5FE7">
        <w:rPr>
          <w:rFonts w:ascii="Palatino Linotype" w:eastAsia="Palatino Linotype" w:hAnsi="Palatino Linotype" w:cs="Palatino Linotype"/>
          <w:b/>
          <w:i/>
          <w:color w:val="000000" w:themeColor="text1"/>
        </w:rPr>
        <w:t>REGISTRO CONTABLE</w:t>
      </w:r>
      <w:r w:rsidRPr="005D5FE7">
        <w:rPr>
          <w:rFonts w:ascii="Palatino Linotype" w:eastAsia="Palatino Linotype" w:hAnsi="Palatino Linotype" w:cs="Palatino Linotype"/>
          <w:i/>
          <w:color w:val="000000" w:themeColor="text1"/>
        </w:rPr>
        <w:t xml:space="preserve">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1E4415" w:rsidRPr="00F83F00" w:rsidRDefault="001E4415" w:rsidP="00272DC5">
      <w:pPr>
        <w:spacing w:after="120"/>
        <w:jc w:val="both"/>
        <w:rPr>
          <w:rFonts w:ascii="Palatino Linotype" w:eastAsia="Palatino Linotype" w:hAnsi="Palatino Linotype" w:cs="Palatino Linotype"/>
          <w:i/>
          <w:color w:val="000000" w:themeColor="text1"/>
        </w:rPr>
      </w:pPr>
    </w:p>
    <w:p w:rsidR="001E4415" w:rsidRPr="005D5FE7" w:rsidRDefault="007873F4" w:rsidP="005D5FE7">
      <w:pPr>
        <w:pStyle w:val="Prrafodelista"/>
        <w:numPr>
          <w:ilvl w:val="0"/>
          <w:numId w:val="11"/>
        </w:numPr>
        <w:spacing w:after="120"/>
        <w:jc w:val="both"/>
        <w:rPr>
          <w:rFonts w:ascii="Palatino Linotype" w:eastAsia="Palatino Linotype" w:hAnsi="Palatino Linotype" w:cs="Palatino Linotype"/>
          <w:b/>
          <w:i/>
          <w:color w:val="000000" w:themeColor="text1"/>
        </w:rPr>
      </w:pPr>
      <w:r w:rsidRPr="005D5FE7">
        <w:rPr>
          <w:rFonts w:ascii="Palatino Linotype" w:eastAsia="Palatino Linotype" w:hAnsi="Palatino Linotype" w:cs="Palatino Linotype"/>
          <w:b/>
          <w:i/>
          <w:color w:val="000000" w:themeColor="text1"/>
        </w:rPr>
        <w:t>REGISTRO PRESUPUESTARIO</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Por otro lado, el Órgano Superior de Fiscalización del Estado de México, emite anualmente los Lineamientos para definir los criterios, formatos y documentación necesaria para presentar los informes trimestrales, donde se detalla la información que deberán entregarse al OSFEM.</w:t>
      </w:r>
    </w:p>
    <w:p w:rsidR="001E4415" w:rsidRPr="00F83F00" w:rsidRDefault="001E4415" w:rsidP="00272DC5">
      <w:pPr>
        <w:tabs>
          <w:tab w:val="left" w:pos="426"/>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Dichos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w:t>
      </w:r>
      <w:r w:rsidRPr="00F83F00">
        <w:rPr>
          <w:rFonts w:ascii="Palatino Linotype" w:eastAsia="Palatino Linotype" w:hAnsi="Palatino Linotype" w:cs="Palatino Linotype"/>
          <w:color w:val="000000" w:themeColor="text1"/>
        </w:rPr>
        <w:lastRenderedPageBreak/>
        <w:t>al Órgano Superior de Fiscalización dentro de los 20 días posteriores al término del mes correspondiente de acuerdo a lo establecido en el artículo 32 de la Ley de Fiscalización Superior del Estado de México, que a la letra dice:</w:t>
      </w: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b/>
          <w:i/>
          <w:color w:val="000000" w:themeColor="text1"/>
        </w:rPr>
        <w:t xml:space="preserve">Artículo 32. </w:t>
      </w:r>
      <w:r w:rsidRPr="00F83F00">
        <w:rPr>
          <w:rFonts w:ascii="Palatino Linotype" w:eastAsia="Palatino Linotype" w:hAnsi="Palatino Linotype" w:cs="Palatino Linotype"/>
          <w:i/>
          <w:color w:val="000000" w:themeColor="text1"/>
        </w:rPr>
        <w:t xml:space="preserve">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 </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El Gobernador del Estado, por conducto del titular de la dependencia competente, presentará a la Legislatura la cuenta pública del Gobierno del Estado del ejercicio fiscal inmediato anterior, a más tardar el treinta de abril de cada año. </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Los presidentes municipales presentarán a la Legislatura las cuentas públicas de sus respectivos municipios, del ejercicio fiscal inmediato anterior, dentro de los quince primeros días del mes de marzo de cada año. Si el día del vencimiento de los plazos señalados, corresponde a un día inhábil, se podrá presentar al día hábil inmediato siguiente.</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color w:val="000000" w:themeColor="text1"/>
        </w:rPr>
        <w:t xml:space="preserve">Por lo anterior, se aprecia que la información documental comprobatoria, deberá conservarse en los archivos de la entidad fiscalizada –Municipio-, en original y debidamente integrada en términos de los lineamientos de referencia, pues son susceptibles de revisión directa por el Órgano Superior de Fiscalización del Estado, que si bien es cierto los informes se entregan cada trimestre, también lo es que esta información se debe ir recabando por el </w:t>
      </w:r>
      <w:r w:rsidRPr="00F83F00">
        <w:rPr>
          <w:rFonts w:ascii="Palatino Linotype" w:eastAsia="Palatino Linotype" w:hAnsi="Palatino Linotype" w:cs="Palatino Linotype"/>
          <w:b/>
          <w:color w:val="000000" w:themeColor="text1"/>
        </w:rPr>
        <w:t xml:space="preserve">SUJETO OBLIGADO, </w:t>
      </w:r>
      <w:r w:rsidRPr="00F83F00">
        <w:rPr>
          <w:rFonts w:ascii="Palatino Linotype" w:eastAsia="Palatino Linotype" w:hAnsi="Palatino Linotype" w:cs="Palatino Linotype"/>
          <w:color w:val="000000" w:themeColor="text1"/>
        </w:rPr>
        <w:t>a fin de presentar el informe en tiempo y forma.</w:t>
      </w:r>
    </w:p>
    <w:p w:rsidR="001E4415" w:rsidRPr="00F83F00" w:rsidRDefault="001E4415" w:rsidP="00272DC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u w:val="single"/>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Así, el Manual para la Planeación, Programación y Presupuesto de Egresos Municipal, establece que el Presupuesto es la estimación financiera anticipada de los ingresos y egresos del gobierno, necesarios para cumplir con los objetivos establecidos; </w:t>
      </w:r>
      <w:r w:rsidRPr="00F83F00">
        <w:rPr>
          <w:rFonts w:ascii="Palatino Linotype" w:eastAsia="Palatino Linotype" w:hAnsi="Palatino Linotype" w:cs="Palatino Linotype"/>
          <w:color w:val="000000" w:themeColor="text1"/>
        </w:rPr>
        <w:lastRenderedPageBreak/>
        <w:t>además, que el mismo involucra planes, políticas, programas, proyectos, estrategias y objetivos del municipio.</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Asimismo, el Glosario de Términos, de dichos Manuales, establecen que el presupuesto es la estimación financiera anticipada de los egresos e ingresos del gobierno, necesario para cumplir con los propósitos de un programa determinado; por otra parte, establece lo siguiente:</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 xml:space="preserve">Presupuesto Autorizado: </w:t>
      </w:r>
      <w:r w:rsidRPr="00F83F00">
        <w:rPr>
          <w:rFonts w:ascii="Palatino Linotype" w:eastAsia="Palatino Linotype" w:hAnsi="Palatino Linotype" w:cs="Palatino Linotype"/>
          <w:color w:val="000000" w:themeColor="text1"/>
        </w:rPr>
        <w:t>Es el monto de recursos que se autoriza ejercer en un ejercicio fiscal, a través del Decreto del Presupuesto de Egresos.</w:t>
      </w:r>
    </w:p>
    <w:p w:rsidR="001E4415" w:rsidRPr="00F83F00" w:rsidRDefault="007873F4" w:rsidP="00272DC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 </w:t>
      </w:r>
      <w:r w:rsidRPr="00F83F00">
        <w:rPr>
          <w:rFonts w:ascii="Palatino Linotype" w:eastAsia="Palatino Linotype" w:hAnsi="Palatino Linotype" w:cs="Palatino Linotype"/>
          <w:b/>
          <w:color w:val="000000" w:themeColor="text1"/>
        </w:rPr>
        <w:t>Presupuesto Ejercido</w:t>
      </w:r>
      <w:r w:rsidRPr="00F83F00">
        <w:rPr>
          <w:rFonts w:ascii="Palatino Linotype" w:eastAsia="Palatino Linotype" w:hAnsi="Palatino Linotype" w:cs="Palatino Linotype"/>
          <w:color w:val="000000" w:themeColor="text1"/>
        </w:rPr>
        <w:t>: Es el importe de erogaciones realizadas, respaldadas por los documentos comprobatorios presentados a la dependencia una vez autorizadas para su pago, con cargo al presupuesto autorizado.</w:t>
      </w:r>
    </w:p>
    <w:p w:rsidR="001E4415" w:rsidRPr="00F83F00" w:rsidRDefault="001E4415" w:rsidP="00272DC5">
      <w:pPr>
        <w:tabs>
          <w:tab w:val="left" w:pos="4962"/>
        </w:tabs>
        <w:spacing w:line="360" w:lineRule="auto"/>
        <w:jc w:val="both"/>
        <w:rPr>
          <w:rFonts w:ascii="Palatino Linotype" w:eastAsia="Palatino Linotype" w:hAnsi="Palatino Linotype" w:cs="Palatino Linotype"/>
          <w:color w:val="000000" w:themeColor="text1"/>
        </w:rPr>
      </w:pPr>
    </w:p>
    <w:p w:rsidR="001E4415"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Además, los Manuales citados, contienen el Clasificador por Objeto del Gasto Estatal y Municipal, la cual establece la estructura del Clasificador por Objeto del Gasto, que se conforma de la siguiente manera:</w:t>
      </w:r>
    </w:p>
    <w:p w:rsidR="005D5FE7" w:rsidRPr="00F83F00" w:rsidRDefault="005D5FE7" w:rsidP="005D5FE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3"/>
        </w:numPr>
        <w:pBdr>
          <w:top w:val="nil"/>
          <w:left w:val="nil"/>
          <w:bottom w:val="nil"/>
          <w:right w:val="nil"/>
          <w:between w:val="nil"/>
        </w:pBdr>
        <w:spacing w:line="360" w:lineRule="auto"/>
        <w:ind w:left="0" w:hanging="1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 xml:space="preserve">Capítulo: </w:t>
      </w:r>
      <w:r w:rsidRPr="00F83F00">
        <w:rPr>
          <w:rFonts w:ascii="Palatino Linotype" w:eastAsia="Palatino Linotype" w:hAnsi="Palatino Linotype" w:cs="Palatino Linotype"/>
          <w:color w:val="000000" w:themeColor="text1"/>
        </w:rPr>
        <w:t>Es el mayor nivel de agregación que identifica el conjunto homogéneo y ordenado de los bienes y servicios requeridos por los entes públicos, es el primer dígito de la codificación;</w:t>
      </w:r>
    </w:p>
    <w:p w:rsidR="001E4415" w:rsidRPr="00F83F00" w:rsidRDefault="007873F4" w:rsidP="00272DC5">
      <w:pPr>
        <w:numPr>
          <w:ilvl w:val="0"/>
          <w:numId w:val="3"/>
        </w:numPr>
        <w:pBdr>
          <w:top w:val="nil"/>
          <w:left w:val="nil"/>
          <w:bottom w:val="nil"/>
          <w:right w:val="nil"/>
          <w:between w:val="nil"/>
        </w:pBdr>
        <w:spacing w:line="360" w:lineRule="auto"/>
        <w:ind w:left="0" w:hanging="1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 xml:space="preserve">Concepto (Subcapítulo): </w:t>
      </w:r>
      <w:r w:rsidRPr="00F83F00">
        <w:rPr>
          <w:rFonts w:ascii="Palatino Linotype" w:eastAsia="Palatino Linotype" w:hAnsi="Palatino Linotype" w:cs="Palatino Linotype"/>
          <w:color w:val="000000" w:themeColor="text1"/>
        </w:rPr>
        <w:t>Son los subconjuntos homogéneos y ordenados en forma específica, producto de la desagregación de los bienes y servicios, incluidos en cada capítulo, por lo que, es el segundo dígito de la estructura, y</w:t>
      </w:r>
    </w:p>
    <w:p w:rsidR="001E4415" w:rsidRPr="00F83F00" w:rsidRDefault="001E4415" w:rsidP="00272DC5">
      <w:pPr>
        <w:pBdr>
          <w:top w:val="nil"/>
          <w:left w:val="nil"/>
          <w:bottom w:val="nil"/>
          <w:right w:val="nil"/>
          <w:between w:val="nil"/>
        </w:pBdr>
        <w:spacing w:line="360" w:lineRule="auto"/>
        <w:ind w:hanging="10"/>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3"/>
        </w:numPr>
        <w:pBdr>
          <w:top w:val="nil"/>
          <w:left w:val="nil"/>
          <w:bottom w:val="nil"/>
          <w:right w:val="nil"/>
          <w:between w:val="nil"/>
        </w:pBdr>
        <w:spacing w:line="360" w:lineRule="auto"/>
        <w:ind w:left="0" w:hanging="1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lastRenderedPageBreak/>
        <w:t xml:space="preserve">Partida: </w:t>
      </w:r>
      <w:r w:rsidRPr="00F83F00">
        <w:rPr>
          <w:rFonts w:ascii="Palatino Linotype" w:eastAsia="Palatino Linotype" w:hAnsi="Palatino Linotype" w:cs="Palatino Linotype"/>
          <w:color w:val="000000" w:themeColor="text1"/>
        </w:rPr>
        <w:t>Corresponde al nivel de agregación más específico en el cual se describen las expresiones concretas y detalladas de los bienes y servicios que se adquieren, el cual se subdivide en:</w:t>
      </w:r>
    </w:p>
    <w:p w:rsidR="001E4415" w:rsidRPr="00F83F00" w:rsidRDefault="007873F4" w:rsidP="00272DC5">
      <w:pPr>
        <w:numPr>
          <w:ilvl w:val="0"/>
          <w:numId w:val="4"/>
        </w:numPr>
        <w:pBdr>
          <w:top w:val="nil"/>
          <w:left w:val="nil"/>
          <w:bottom w:val="nil"/>
          <w:right w:val="nil"/>
          <w:between w:val="nil"/>
        </w:pBdr>
        <w:spacing w:line="360" w:lineRule="auto"/>
        <w:ind w:left="0" w:hanging="1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 xml:space="preserve">Genérica: </w:t>
      </w:r>
      <w:r w:rsidRPr="00F83F00">
        <w:rPr>
          <w:rFonts w:ascii="Palatino Linotype" w:eastAsia="Palatino Linotype" w:hAnsi="Palatino Linotype" w:cs="Palatino Linotype"/>
          <w:color w:val="000000" w:themeColor="text1"/>
        </w:rPr>
        <w:t>Se refiere al tercer dígito, el cual busca la armonización de todos los niveles de gobierno, y</w:t>
      </w:r>
    </w:p>
    <w:p w:rsidR="001E4415" w:rsidRPr="00F83F00" w:rsidRDefault="007873F4" w:rsidP="00272DC5">
      <w:pPr>
        <w:numPr>
          <w:ilvl w:val="0"/>
          <w:numId w:val="4"/>
        </w:numPr>
        <w:pBdr>
          <w:top w:val="nil"/>
          <w:left w:val="nil"/>
          <w:bottom w:val="nil"/>
          <w:right w:val="nil"/>
          <w:between w:val="nil"/>
        </w:pBdr>
        <w:spacing w:line="360" w:lineRule="auto"/>
        <w:ind w:left="0" w:hanging="1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 xml:space="preserve">Específica: </w:t>
      </w:r>
      <w:r w:rsidRPr="00F83F00">
        <w:rPr>
          <w:rFonts w:ascii="Palatino Linotype" w:eastAsia="Palatino Linotype" w:hAnsi="Palatino Linotype" w:cs="Palatino Linotype"/>
          <w:color w:val="000000" w:themeColor="text1"/>
        </w:rPr>
        <w:t>Es el cuarto digito, mismo que permite a las unidades administrativas, generar su apertura, conservando la estructura básica, con el fin de mantener la armonización contable.</w:t>
      </w:r>
    </w:p>
    <w:p w:rsidR="001E4415" w:rsidRPr="00F83F00" w:rsidRDefault="007873F4" w:rsidP="00272DC5">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Ahora bien, resulta necesario señalar que de conformidad con el artículo 293 del Código Financiero del Estado de México, los capítulos de gasto se dividirán en concepto, partida genérica y partida específica, que representarán las autorizaciones específicas del presupuesto, las cuales se encuentran contenidas en el clasificador por objeto de gasto que debe emitir la Tesorería, mismo que debe guardar congruencia con el clasificador que emita el Consejo Nacional de Armonización Contable y el Consejo de Armonización Contable del Estado de México, a saber:</w:t>
      </w:r>
    </w:p>
    <w:p w:rsidR="001E4415" w:rsidRPr="00F83F00" w:rsidRDefault="007873F4" w:rsidP="00272DC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r w:rsidRPr="00F83F00">
        <w:rPr>
          <w:rFonts w:ascii="Palatino Linotype" w:eastAsia="Palatino Linotype" w:hAnsi="Palatino Linotype" w:cs="Palatino Linotype"/>
          <w:b/>
          <w:i/>
          <w:color w:val="000000" w:themeColor="text1"/>
        </w:rPr>
        <w:t>Artículo 293.-</w:t>
      </w:r>
      <w:r w:rsidRPr="00F83F00">
        <w:rPr>
          <w:rFonts w:ascii="Palatino Linotype" w:eastAsia="Palatino Linotype" w:hAnsi="Palatino Linotype" w:cs="Palatino Linotype"/>
          <w:i/>
          <w:color w:val="000000" w:themeColor="text1"/>
        </w:rPr>
        <w:t xml:space="preserve"> Los capítulos de gasto se dividirán en concepto, partida genérica y partida específica, que representarán las autorizaciones específicas del presupuesto, las cuales se encuentran contenidas en el clasificador por objeto de gasto que emita el Consejo Nacional de Armonización Contable y el Consejo de Armonización Contable del Estado de México. </w:t>
      </w:r>
    </w:p>
    <w:p w:rsidR="001E4415" w:rsidRPr="00F83F00" w:rsidRDefault="001E4415" w:rsidP="00272DC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1E4415" w:rsidRPr="00F83F00" w:rsidRDefault="007873F4" w:rsidP="00272DC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En el caso de los municipios, corresponderá a su Tesorería emitir el Clasificador por Objeto del Gasto, el cual deberá guardar congruencia y homogeneidad con el señalado en el párrafo anterior.”</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Con base en lo anterior el Clasificador por Objeto del Gasto, es el que se estableció en cumplimiento al artículo cuarto transitorio de la Ley General de Contabilidad </w:t>
      </w:r>
      <w:r w:rsidRPr="00F83F00">
        <w:rPr>
          <w:rFonts w:ascii="Palatino Linotype" w:eastAsia="Palatino Linotype" w:hAnsi="Palatino Linotype" w:cs="Palatino Linotype"/>
          <w:color w:val="000000" w:themeColor="text1"/>
        </w:rPr>
        <w:lastRenderedPageBreak/>
        <w:t>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Ofrecer información valiosa de la demanda de bienes y servicios que realiza el Sector Público.</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Permite identificar con claridad y transparencia los bienes y servicios que se adquieren, las transferencias que se realizan y las aplicaciones previstas en el presupuesto.</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Facilitar la programación de las adquisiciones de bienes y servicios y otras acciones relacionadas con administración de bienes del Estado.</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En el marco del sistema de cuentas gubernamentales, integradas e interrelacionadas, el Clasificador por Objeto del Gasto es uno de los principales elementos para obtener clasificaciones agregadas.</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Facilitar el ejercicio del control interno y externo de las transacciones de los entes públicos.</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lastRenderedPageBreak/>
        <w:t>Promover el desarrollo y aplicación de los sistemas de programación y gestión del gasto público.</w:t>
      </w:r>
    </w:p>
    <w:p w:rsidR="001E4415" w:rsidRPr="00F83F00" w:rsidRDefault="007873F4" w:rsidP="00272DC5">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Permitir el análisis de los efectos del gasto público y la proyección del mismo.</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Asimismo, cabe señalar que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 es de observancia obligatoria para las dependencias, entidades públicas y los Municipios, por lo que para la integración de la clave presupuestaria debe considerarse el Clasificador.</w:t>
      </w:r>
    </w:p>
    <w:p w:rsidR="005D5FE7" w:rsidRPr="00F83F00" w:rsidRDefault="005D5FE7" w:rsidP="005D5FE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Consecuentemente para identificar el gasto público por su naturaleza económica, durante el proceso de programación e integración del Anteproyecto de Presupuesto, así como para su ejercicio, las unidades ejecutoras deben establecer el vínculo, por capítulo, subcapítulo, partida de gasto genérica y partida de gasto específica, con el componente de la clave presupuestaria correspondiente.</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Para tal efecto, el Manual para la Planeación, Programación y Presupuesto de Egresos Municipal para el Ejercicio Fiscal, integra como anexo el “Clasificador por objeto del gasto”, el cual se constituye un elemento fundamental del sistema general de cuentas </w:t>
      </w:r>
      <w:r w:rsidRPr="00F83F00">
        <w:rPr>
          <w:rFonts w:ascii="Palatino Linotype" w:eastAsia="Palatino Linotype" w:hAnsi="Palatino Linotype" w:cs="Palatino Linotype"/>
          <w:color w:val="000000" w:themeColor="text1"/>
        </w:rPr>
        <w:lastRenderedPageBreak/>
        <w:t>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drawing>
          <wp:inline distT="0" distB="0" distL="0" distR="0">
            <wp:extent cx="5324475" cy="962025"/>
            <wp:effectExtent l="0" t="0" r="0" b="0"/>
            <wp:docPr id="192234148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324475" cy="962025"/>
                    </a:xfrm>
                    <a:prstGeom prst="rect">
                      <a:avLst/>
                    </a:prstGeom>
                    <a:ln/>
                  </pic:spPr>
                </pic:pic>
              </a:graphicData>
            </a:graphic>
          </wp:inline>
        </w:drawing>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Debiendo definir cada una de las partes que lo integran como sigue:</w:t>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r w:rsidRPr="00F83F00">
        <w:rPr>
          <w:rFonts w:ascii="Palatino Linotype" w:eastAsia="Palatino Linotype" w:hAnsi="Palatino Linotype" w:cs="Palatino Linotype"/>
          <w:color w:val="000000" w:themeColor="text1"/>
        </w:rPr>
        <w:tab/>
      </w:r>
      <w:r w:rsidRPr="00F83F00">
        <w:rPr>
          <w:rFonts w:ascii="Palatino Linotype" w:eastAsia="Palatino Linotype" w:hAnsi="Palatino Linotype" w:cs="Palatino Linotype"/>
          <w:b/>
          <w:color w:val="000000" w:themeColor="text1"/>
        </w:rPr>
        <w:t>Capítulo:</w:t>
      </w:r>
      <w:r w:rsidRPr="00F83F00">
        <w:rPr>
          <w:rFonts w:ascii="Palatino Linotype" w:eastAsia="Palatino Linotype" w:hAnsi="Palatino Linotype" w:cs="Palatino Linotype"/>
          <w:color w:val="000000" w:themeColor="text1"/>
        </w:rPr>
        <w:t xml:space="preserve"> Es el mayor nivel de agregación que identifica el conjunto homogéneo y ordenado de los bienes y servicios requeridos por los entes públicos. </w:t>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r w:rsidRPr="00F83F00">
        <w:rPr>
          <w:rFonts w:ascii="Palatino Linotype" w:eastAsia="Palatino Linotype" w:hAnsi="Palatino Linotype" w:cs="Palatino Linotype"/>
          <w:color w:val="000000" w:themeColor="text1"/>
        </w:rPr>
        <w:tab/>
      </w:r>
      <w:r w:rsidRPr="00F83F00">
        <w:rPr>
          <w:rFonts w:ascii="Palatino Linotype" w:eastAsia="Palatino Linotype" w:hAnsi="Palatino Linotype" w:cs="Palatino Linotype"/>
          <w:b/>
          <w:color w:val="000000" w:themeColor="text1"/>
        </w:rPr>
        <w:t>Concepto:</w:t>
      </w:r>
      <w:r w:rsidRPr="00F83F00">
        <w:rPr>
          <w:rFonts w:ascii="Palatino Linotype" w:eastAsia="Palatino Linotype" w:hAnsi="Palatino Linotype" w:cs="Palatino Linotype"/>
          <w:color w:val="000000" w:themeColor="text1"/>
        </w:rPr>
        <w:t xml:space="preserve"> Son subconjuntos homogéneos y ordenados en forma específica, producto de la desagregación de los bienes y servicios, incluidos en cada capítulo. </w:t>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w:t>
      </w:r>
      <w:r w:rsidRPr="00F83F00">
        <w:rPr>
          <w:rFonts w:ascii="Palatino Linotype" w:eastAsia="Palatino Linotype" w:hAnsi="Palatino Linotype" w:cs="Palatino Linotype"/>
          <w:color w:val="000000" w:themeColor="text1"/>
        </w:rPr>
        <w:tab/>
      </w:r>
      <w:r w:rsidRPr="00F83F00">
        <w:rPr>
          <w:rFonts w:ascii="Palatino Linotype" w:eastAsia="Palatino Linotype" w:hAnsi="Palatino Linotype" w:cs="Palatino Linotype"/>
          <w:b/>
          <w:color w:val="000000" w:themeColor="text1"/>
        </w:rPr>
        <w:t>Partida:</w:t>
      </w:r>
      <w:r w:rsidRPr="00F83F00">
        <w:rPr>
          <w:rFonts w:ascii="Palatino Linotype" w:eastAsia="Palatino Linotype" w:hAnsi="Palatino Linotype" w:cs="Palatino Linotype"/>
          <w:color w:val="000000" w:themeColor="text1"/>
        </w:rPr>
        <w:t xml:space="preserve"> Es el nivel de agregación más específico en el cual se describen las expresiones concretas y detalladas de los bienes y servicios que se adquieren y se compone de: </w:t>
      </w:r>
    </w:p>
    <w:p w:rsidR="001E4415" w:rsidRPr="00F83F00" w:rsidRDefault="007873F4" w:rsidP="005D5FE7">
      <w:pPr>
        <w:pBdr>
          <w:top w:val="nil"/>
          <w:left w:val="nil"/>
          <w:bottom w:val="nil"/>
          <w:right w:val="nil"/>
          <w:between w:val="nil"/>
        </w:pBdr>
        <w:spacing w:line="360" w:lineRule="auto"/>
        <w:ind w:firstLine="709"/>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color w:val="000000" w:themeColor="text1"/>
        </w:rPr>
        <w:lastRenderedPageBreak/>
        <w:t>a)</w:t>
      </w:r>
      <w:r w:rsidRPr="00F83F00">
        <w:rPr>
          <w:rFonts w:ascii="Palatino Linotype" w:eastAsia="Palatino Linotype" w:hAnsi="Palatino Linotype" w:cs="Palatino Linotype"/>
          <w:color w:val="000000" w:themeColor="text1"/>
        </w:rPr>
        <w:tab/>
        <w:t>La Partida Genérica se refiere al tercer dígito, el cual logrará la armonización a todos los niveles de gobierno.</w:t>
      </w:r>
    </w:p>
    <w:p w:rsidR="001E4415" w:rsidRPr="00F83F00" w:rsidRDefault="007873F4" w:rsidP="005D5FE7">
      <w:pPr>
        <w:pBdr>
          <w:top w:val="nil"/>
          <w:left w:val="nil"/>
          <w:bottom w:val="nil"/>
          <w:right w:val="nil"/>
          <w:between w:val="nil"/>
        </w:pBdr>
        <w:spacing w:line="360" w:lineRule="auto"/>
        <w:ind w:firstLine="709"/>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color w:val="000000" w:themeColor="text1"/>
        </w:rPr>
        <w:t>b)</w:t>
      </w:r>
      <w:r w:rsidRPr="00F83F00">
        <w:rPr>
          <w:rFonts w:ascii="Palatino Linotype" w:eastAsia="Palatino Linotype" w:hAnsi="Palatino Linotype" w:cs="Palatino Linotype"/>
          <w:color w:val="000000" w:themeColor="text1"/>
        </w:rPr>
        <w:tab/>
        <w:t>La Partida Específica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De acuerdo con este nivel de desagregación del Clasificador por Objeto del Gasto Estatal y Municipal, la definición de los Capítulos de gasto es la siguiente: </w:t>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1000 SERVICIOS PERSONALES.</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2000 MATERIALES Y SUMINISTROS.</w:t>
      </w:r>
      <w:r w:rsidRPr="00F83F00">
        <w:rPr>
          <w:rFonts w:ascii="Palatino Linotype" w:eastAsia="Palatino Linotype" w:hAnsi="Palatino Linotype" w:cs="Palatino Linotype"/>
          <w:color w:val="000000" w:themeColor="text1"/>
        </w:rPr>
        <w:t xml:space="preserve"> Agrupa las asignaciones destinadas a la adquisición de toda clase de insumos y suministros requeridos para la prestación de bienes y servicios públicos y para el desempeño de las actividades administrativas.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3000 SERVICIOS GENERALES.</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5D5FE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lastRenderedPageBreak/>
        <w:t>4000 TRANSFERENCIAS, ASIGNACIONES, SUBSIDIOS Y OTRAS AYUDAS.</w:t>
      </w:r>
      <w:r w:rsidRPr="00F83F00">
        <w:rPr>
          <w:rFonts w:ascii="Palatino Linotype" w:eastAsia="Palatino Linotype" w:hAnsi="Palatino Linotype" w:cs="Palatino Linotype"/>
          <w:color w:val="000000" w:themeColor="text1"/>
        </w:rPr>
        <w:t xml:space="preserve">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5000 BIENES MUEBLES, INMUEBLES E INTANGIBLES.</w:t>
      </w:r>
      <w:r w:rsidRPr="005D5FE7">
        <w:rPr>
          <w:rFonts w:ascii="Palatino Linotype" w:eastAsia="Palatino Linotype" w:hAnsi="Palatino Linotype" w:cs="Palatino Linotype"/>
          <w:i/>
          <w:color w:val="000000" w:themeColor="text1"/>
        </w:rPr>
        <w:t xml:space="preserve"> </w:t>
      </w:r>
      <w:r w:rsidRPr="00F83F00">
        <w:rPr>
          <w:rFonts w:ascii="Palatino Linotype" w:eastAsia="Palatino Linotype" w:hAnsi="Palatino Linotype" w:cs="Palatino Linotype"/>
          <w:color w:val="000000" w:themeColor="text1"/>
        </w:rPr>
        <w:t xml:space="preserve">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6000 INVERSIÓN PÚBLICA.</w:t>
      </w:r>
      <w:r w:rsidRPr="00F83F00">
        <w:rPr>
          <w:rFonts w:ascii="Palatino Linotype" w:eastAsia="Palatino Linotype" w:hAnsi="Palatino Linotype" w:cs="Palatino Linotype"/>
          <w:color w:val="000000" w:themeColor="text1"/>
        </w:rPr>
        <w:t xml:space="preserve"> Asignaciones destinadas a obras por contrato y proyectos productivos y acciones de fomento. Incluye los gastos en estudios de pre‐inversión y preparación del proyecto.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7000 INVERSIONES FINANCIERAS Y OTRAS PROVISIONES.</w:t>
      </w:r>
      <w:r w:rsidRPr="00F83F00">
        <w:rPr>
          <w:rFonts w:ascii="Palatino Linotype" w:eastAsia="Palatino Linotype" w:hAnsi="Palatino Linotype" w:cs="Palatino Linotype"/>
          <w:color w:val="000000" w:themeColor="text1"/>
        </w:rPr>
        <w:t xml:space="preserve"> 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8000 PARTICIPACIONES Y APORTACIONES.</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w:t>
      </w:r>
      <w:r w:rsidRPr="00F83F00">
        <w:rPr>
          <w:rFonts w:ascii="Palatino Linotype" w:eastAsia="Palatino Linotype" w:hAnsi="Palatino Linotype" w:cs="Palatino Linotype"/>
          <w:color w:val="000000" w:themeColor="text1"/>
        </w:rPr>
        <w:lastRenderedPageBreak/>
        <w:t xml:space="preserve">Federal con el Estado. Incluye las asignaciones a cubrir las aportaciones federales provenientes del Ramo General 33 Aportaciones Federales para Entidades Federativas y Municipios a favor de los Municipios.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D5FE7">
        <w:rPr>
          <w:rFonts w:ascii="Palatino Linotype" w:eastAsia="Palatino Linotype" w:hAnsi="Palatino Linotype" w:cs="Palatino Linotype"/>
          <w:b/>
          <w:i/>
          <w:color w:val="000000" w:themeColor="text1"/>
        </w:rPr>
        <w:t>9000 DEUDA PÚBLICA.</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De la estructura de codificación, se derivan subcapítulos, partidas genéricas y partidas específicas como se ejemplifica a continuación, para mejor referencia:</w:t>
      </w:r>
    </w:p>
    <w:p w:rsidR="001E4415" w:rsidRPr="00F83F00" w:rsidRDefault="005D5FE7"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2336" behindDoc="0" locked="0" layoutInCell="1" allowOverlap="1" wp14:anchorId="7CE3E2C5" wp14:editId="4D7F8D30">
                <wp:simplePos x="0" y="0"/>
                <wp:positionH relativeFrom="margin">
                  <wp:align>left</wp:align>
                </wp:positionH>
                <wp:positionV relativeFrom="paragraph">
                  <wp:posOffset>11394</wp:posOffset>
                </wp:positionV>
                <wp:extent cx="5805265" cy="3812169"/>
                <wp:effectExtent l="0" t="0" r="24130" b="36195"/>
                <wp:wrapNone/>
                <wp:docPr id="2" name="Conector recto 2"/>
                <wp:cNvGraphicFramePr/>
                <a:graphic xmlns:a="http://schemas.openxmlformats.org/drawingml/2006/main">
                  <a:graphicData uri="http://schemas.microsoft.com/office/word/2010/wordprocessingShape">
                    <wps:wsp>
                      <wps:cNvCnPr/>
                      <wps:spPr>
                        <a:xfrm>
                          <a:off x="0" y="0"/>
                          <a:ext cx="5805265" cy="38121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206F2" id="Conector recto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57.1pt,3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" strokecolor="black [3200]" strokeweight=".5pt">
                <v:stroke joinstyle="miter"/>
                <w10:wrap anchorx="margin"/>
              </v:line>
            </w:pict>
          </mc:Fallback>
        </mc:AlternateContent>
      </w:r>
    </w:p>
    <w:p w:rsidR="001E4415" w:rsidRPr="00F83F00" w:rsidRDefault="007873F4" w:rsidP="00272DC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lastRenderedPageBreak/>
        <w:drawing>
          <wp:inline distT="0" distB="0" distL="0" distR="0">
            <wp:extent cx="5237783" cy="3783322"/>
            <wp:effectExtent l="0" t="0" r="0" b="0"/>
            <wp:docPr id="192234148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b="13317"/>
                    <a:stretch>
                      <a:fillRect/>
                    </a:stretch>
                  </pic:blipFill>
                  <pic:spPr>
                    <a:xfrm>
                      <a:off x="0" y="0"/>
                      <a:ext cx="5237783" cy="3783322"/>
                    </a:xfrm>
                    <a:prstGeom prst="rect">
                      <a:avLst/>
                    </a:prstGeom>
                    <a:ln/>
                  </pic:spPr>
                </pic:pic>
              </a:graphicData>
            </a:graphic>
          </wp:inline>
        </w:drawing>
      </w:r>
    </w:p>
    <w:p w:rsidR="001E4415" w:rsidRPr="00F83F00" w:rsidRDefault="007873F4" w:rsidP="00272DC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drawing>
          <wp:inline distT="0" distB="0" distL="0" distR="0">
            <wp:extent cx="5263470" cy="2845405"/>
            <wp:effectExtent l="0" t="0" r="0" b="0"/>
            <wp:docPr id="19223414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6875"/>
                    <a:stretch>
                      <a:fillRect/>
                    </a:stretch>
                  </pic:blipFill>
                  <pic:spPr>
                    <a:xfrm>
                      <a:off x="0" y="0"/>
                      <a:ext cx="5263470" cy="2845405"/>
                    </a:xfrm>
                    <a:prstGeom prst="rect">
                      <a:avLst/>
                    </a:prstGeom>
                    <a:ln/>
                  </pic:spPr>
                </pic:pic>
              </a:graphicData>
            </a:graphic>
          </wp:inline>
        </w:drawing>
      </w:r>
    </w:p>
    <w:p w:rsidR="001E4415" w:rsidRPr="00F83F00" w:rsidRDefault="007873F4" w:rsidP="00272DC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lastRenderedPageBreak/>
        <w:drawing>
          <wp:inline distT="0" distB="0" distL="0" distR="0">
            <wp:extent cx="5278987" cy="2155664"/>
            <wp:effectExtent l="0" t="0" r="0" b="0"/>
            <wp:docPr id="19223414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42552"/>
                    <a:stretch>
                      <a:fillRect/>
                    </a:stretch>
                  </pic:blipFill>
                  <pic:spPr>
                    <a:xfrm>
                      <a:off x="0" y="0"/>
                      <a:ext cx="5278987" cy="2155664"/>
                    </a:xfrm>
                    <a:prstGeom prst="rect">
                      <a:avLst/>
                    </a:prstGeom>
                    <a:ln/>
                  </pic:spPr>
                </pic:pic>
              </a:graphicData>
            </a:graphic>
          </wp:inline>
        </w:drawing>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De las imágenes anteriores podemos advertir, por ejemplo, que la erogación por concepto de Sueldos base, se encuentra contemplado en la partida específica 1131, que pertenece a la partida genérica 1130 Sueldos base al personal permanente, del subcapítulo 1100 Remuneraciones al Personal de Carácter Permanente, del capítulo 1000 Servicios Personales.</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5D5FE7"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2150457</wp:posOffset>
                </wp:positionV>
                <wp:extent cx="5891685" cy="1078075"/>
                <wp:effectExtent l="0" t="0" r="33020" b="27305"/>
                <wp:wrapNone/>
                <wp:docPr id="1" name="Conector recto 1"/>
                <wp:cNvGraphicFramePr/>
                <a:graphic xmlns:a="http://schemas.openxmlformats.org/drawingml/2006/main">
                  <a:graphicData uri="http://schemas.microsoft.com/office/word/2010/wordprocessingShape">
                    <wps:wsp>
                      <wps:cNvCnPr/>
                      <wps:spPr>
                        <a:xfrm>
                          <a:off x="0" y="0"/>
                          <a:ext cx="5891685" cy="1078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E0B5"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9.35pt" to="463.9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" strokecolor="black [3200]" strokeweight=".5pt">
                <v:stroke joinstyle="miter"/>
                <w10:wrap anchorx="margin"/>
              </v:line>
            </w:pict>
          </mc:Fallback>
        </mc:AlternateContent>
      </w:r>
      <w:r w:rsidR="007873F4" w:rsidRPr="00F83F00">
        <w:rPr>
          <w:rFonts w:ascii="Palatino Linotype" w:eastAsia="Palatino Linotype" w:hAnsi="Palatino Linotype" w:cs="Palatino Linotype"/>
          <w:color w:val="000000" w:themeColor="text1"/>
        </w:rPr>
        <w:t xml:space="preserve">A mayor abundamiento, conviene traer a contexto que los Lineamientos para la Integración y Entrega de los Informes Trimestrales Municipales, refiere que el </w:t>
      </w:r>
      <w:r w:rsidR="007873F4" w:rsidRPr="00F83F00">
        <w:rPr>
          <w:rFonts w:ascii="Palatino Linotype" w:eastAsia="Palatino Linotype" w:hAnsi="Palatino Linotype" w:cs="Palatino Linotype"/>
          <w:b/>
          <w:color w:val="000000" w:themeColor="text1"/>
        </w:rPr>
        <w:t>Estado Analítico del Ejercicio del Presupuesto de Egresos Clasificación por Objeto del Gasto (Capítulo y Concepto),</w:t>
      </w:r>
      <w:r w:rsidR="007873F4" w:rsidRPr="00F83F00">
        <w:rPr>
          <w:rFonts w:ascii="Palatino Linotype" w:eastAsia="Palatino Linotype" w:hAnsi="Palatino Linotype" w:cs="Palatino Linotype"/>
          <w:color w:val="000000" w:themeColor="text1"/>
        </w:rPr>
        <w:t xml:space="preserve"> forma parte del Módulo 2 de la Información presupuestaria que se integra dentro de los Informes Trimestrales Municipales y </w:t>
      </w:r>
      <w:r w:rsidR="007873F4" w:rsidRPr="00F83F00">
        <w:rPr>
          <w:rFonts w:ascii="Palatino Linotype" w:eastAsia="Palatino Linotype" w:hAnsi="Palatino Linotype" w:cs="Palatino Linotype"/>
          <w:b/>
          <w:color w:val="000000" w:themeColor="text1"/>
        </w:rPr>
        <w:t>cuya periodicidad de elaboración es mensual</w:t>
      </w:r>
      <w:r w:rsidR="007873F4" w:rsidRPr="00F83F00">
        <w:rPr>
          <w:rFonts w:ascii="Palatino Linotype" w:eastAsia="Palatino Linotype" w:hAnsi="Palatino Linotype" w:cs="Palatino Linotype"/>
          <w:color w:val="000000" w:themeColor="text1"/>
        </w:rPr>
        <w:t>, tal y como a continuación se observa de la Matriz de documentos, firmas y archivos siguiente:</w:t>
      </w:r>
    </w:p>
    <w:p w:rsidR="001E4415" w:rsidRPr="00F83F00" w:rsidRDefault="007873F4" w:rsidP="005D5FE7">
      <w:pPr>
        <w:pBdr>
          <w:top w:val="nil"/>
          <w:left w:val="nil"/>
          <w:bottom w:val="nil"/>
          <w:right w:val="nil"/>
          <w:between w:val="nil"/>
        </w:pBdr>
        <w:tabs>
          <w:tab w:val="right" w:pos="9327"/>
        </w:tabs>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lastRenderedPageBreak/>
        <w:drawing>
          <wp:inline distT="0" distB="0" distL="0" distR="0">
            <wp:extent cx="5395120" cy="5966743"/>
            <wp:effectExtent l="0" t="0" r="0" b="0"/>
            <wp:docPr id="19223414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395120" cy="5966743"/>
                    </a:xfrm>
                    <a:prstGeom prst="rect">
                      <a:avLst/>
                    </a:prstGeom>
                    <a:ln/>
                  </pic:spPr>
                </pic:pic>
              </a:graphicData>
            </a:graphic>
          </wp:inline>
        </w:drawing>
      </w:r>
      <w:r w:rsidRPr="00F83F00">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774700</wp:posOffset>
                </wp:positionH>
                <wp:positionV relativeFrom="paragraph">
                  <wp:posOffset>1282700</wp:posOffset>
                </wp:positionV>
                <wp:extent cx="4513305" cy="251963"/>
                <wp:effectExtent l="0" t="0" r="0" b="0"/>
                <wp:wrapNone/>
                <wp:docPr id="1922341485" name="Rectángulo 1922341485"/>
                <wp:cNvGraphicFramePr/>
                <a:graphic xmlns:a="http://schemas.openxmlformats.org/drawingml/2006/main">
                  <a:graphicData uri="http://schemas.microsoft.com/office/word/2010/wordprocessingShape">
                    <wps:wsp>
                      <wps:cNvSpPr/>
                      <wps:spPr>
                        <a:xfrm>
                          <a:off x="3098873" y="3663544"/>
                          <a:ext cx="4494255" cy="232913"/>
                        </a:xfrm>
                        <a:prstGeom prst="rect">
                          <a:avLst/>
                        </a:prstGeom>
                        <a:noFill/>
                        <a:ln w="19050" cap="flat" cmpd="sng">
                          <a:solidFill>
                            <a:srgbClr val="FF0000"/>
                          </a:solidFill>
                          <a:prstDash val="solid"/>
                          <a:miter lim="800000"/>
                          <a:headEnd type="none" w="sm" len="sm"/>
                          <a:tailEnd type="none" w="sm" len="sm"/>
                        </a:ln>
                      </wps:spPr>
                      <wps:txbx>
                        <w:txbxContent>
                          <w:p w:rsidR="001E4415" w:rsidRDefault="001E4415">
                            <w:pPr>
                              <w:textDirection w:val="btLr"/>
                            </w:pPr>
                          </w:p>
                        </w:txbxContent>
                      </wps:txbx>
                      <wps:bodyPr spcFirstLastPara="1" wrap="square" lIns="91425" tIns="91425" rIns="91425" bIns="91425" anchor="ctr" anchorCtr="0">
                        <a:noAutofit/>
                      </wps:bodyPr>
                    </wps:wsp>
                  </a:graphicData>
                </a:graphic>
              </wp:anchor>
            </w:drawing>
          </mc:Choice>
          <mc:Fallback>
            <w:pict>
              <v:rect id="Rectángulo 1922341485" o:spid="_x0000_s1026" style="position:absolute;left:0;text-align:left;margin-left:61pt;margin-top:101pt;width:355.4pt;height:19.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" filled="f" strokecolor="red" strokeweight="1.5pt">
                <v:stroke startarrowwidth="narrow" startarrowlength="short" endarrowwidth="narrow" endarrowlength="short"/>
                <v:textbox inset="2.53958mm,2.53958mm,2.53958mm,2.53958mm">
                  <w:txbxContent>
                    <w:p w:rsidR="001E4415" w:rsidRDefault="001E4415">
                      <w:pPr>
                        <w:textDirection w:val="btLr"/>
                      </w:pPr>
                    </w:p>
                  </w:txbxContent>
                </v:textbox>
              </v:rect>
            </w:pict>
          </mc:Fallback>
        </mc:AlternateContent>
      </w:r>
      <w:r w:rsidR="005D5FE7">
        <w:rPr>
          <w:rFonts w:ascii="Palatino Linotype" w:eastAsia="Palatino Linotype" w:hAnsi="Palatino Linotype" w:cs="Palatino Linotype"/>
          <w:color w:val="000000" w:themeColor="text1"/>
        </w:rPr>
        <w:tab/>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Aunado a ello, el Manual de Contabilidad Gubernamental en su numeral II, inciso b), referente al Estado Analítico del Ejercicio del Presupuesto de Egresos del Consejo Nacional de Armonización Contable (CONAC), establece como finalidad realizar periódicamente el seguimiento del ejercicio de los egresos presupuestarios. </w:t>
      </w:r>
      <w:r w:rsidRPr="00F83F00">
        <w:rPr>
          <w:rFonts w:ascii="Palatino Linotype" w:eastAsia="Palatino Linotype" w:hAnsi="Palatino Linotype" w:cs="Palatino Linotype"/>
          <w:b/>
          <w:color w:val="000000" w:themeColor="text1"/>
        </w:rPr>
        <w:t xml:space="preserve">Dichos </w:t>
      </w:r>
      <w:r w:rsidRPr="00F83F00">
        <w:rPr>
          <w:rFonts w:ascii="Palatino Linotype" w:eastAsia="Palatino Linotype" w:hAnsi="Palatino Linotype" w:cs="Palatino Linotype"/>
          <w:b/>
          <w:color w:val="000000" w:themeColor="text1"/>
        </w:rPr>
        <w:lastRenderedPageBreak/>
        <w:t xml:space="preserve">Estados deben mostrar, a una fecha determinada del ejercicio del Presupuesto de Egresos, </w:t>
      </w:r>
      <w:r w:rsidRPr="00F83F00">
        <w:rPr>
          <w:rFonts w:ascii="Palatino Linotype" w:eastAsia="Palatino Linotype" w:hAnsi="Palatino Linotype" w:cs="Palatino Linotype"/>
          <w:b/>
          <w:color w:val="000000" w:themeColor="text1"/>
          <w:u w:val="single"/>
        </w:rPr>
        <w:t>los movimientos y la situación de cada cuenta de las distintas clasificaciones,</w:t>
      </w:r>
      <w:r w:rsidRPr="00F83F00">
        <w:rPr>
          <w:rFonts w:ascii="Palatino Linotype" w:eastAsia="Palatino Linotype" w:hAnsi="Palatino Linotype" w:cs="Palatino Linotype"/>
          <w:b/>
          <w:color w:val="000000" w:themeColor="text1"/>
        </w:rPr>
        <w:t xml:space="preserve"> de acuerdo con los diferentes grados de desagregación de las mismas que se requiera.</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rsidR="001E4415" w:rsidRPr="00F83F00" w:rsidRDefault="001E4415" w:rsidP="00272DC5">
      <w:pPr>
        <w:pBdr>
          <w:top w:val="nil"/>
          <w:left w:val="nil"/>
          <w:bottom w:val="nil"/>
          <w:right w:val="nil"/>
          <w:between w:val="nil"/>
        </w:pBdr>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La clasificación de la información presupuestaria a generar será al menos la siguiente:</w:t>
      </w:r>
    </w:p>
    <w:p w:rsidR="001E4415" w:rsidRPr="00F83F00" w:rsidRDefault="007873F4" w:rsidP="00272DC5">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Clasificación por Objeto del Gasto (Capítulo y Concepto).</w:t>
      </w:r>
    </w:p>
    <w:p w:rsidR="001E4415" w:rsidRPr="00F83F00" w:rsidRDefault="007873F4" w:rsidP="00272DC5">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Clasificación Económica (por Tipo de Gasto).</w:t>
      </w:r>
    </w:p>
    <w:p w:rsidR="001E4415" w:rsidRPr="00F83F00" w:rsidRDefault="007873F4" w:rsidP="00272DC5">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Clasificación Administrativa.</w:t>
      </w:r>
    </w:p>
    <w:p w:rsidR="001E4415" w:rsidRPr="00F83F00" w:rsidRDefault="007873F4" w:rsidP="00272DC5">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Clasificación Funcional (Finalidad y Función)</w:t>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lastRenderedPageBreak/>
        <w:drawing>
          <wp:inline distT="0" distB="0" distL="0" distR="0">
            <wp:extent cx="5640636" cy="7139749"/>
            <wp:effectExtent l="0" t="0" r="0" b="0"/>
            <wp:docPr id="19223414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40636" cy="7139749"/>
                    </a:xfrm>
                    <a:prstGeom prst="rect">
                      <a:avLst/>
                    </a:prstGeom>
                    <a:ln/>
                  </pic:spPr>
                </pic:pic>
              </a:graphicData>
            </a:graphic>
          </wp:inline>
        </w:drawing>
      </w:r>
    </w:p>
    <w:p w:rsidR="001E4415" w:rsidRPr="00F83F00" w:rsidRDefault="007873F4"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noProof/>
          <w:color w:val="000000" w:themeColor="text1"/>
        </w:rPr>
        <w:lastRenderedPageBreak/>
        <w:drawing>
          <wp:inline distT="0" distB="0" distL="0" distR="0">
            <wp:extent cx="5612130" cy="5878195"/>
            <wp:effectExtent l="0" t="0" r="0" b="0"/>
            <wp:docPr id="192234149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612130" cy="5878195"/>
                    </a:xfrm>
                    <a:prstGeom prst="rect">
                      <a:avLst/>
                    </a:prstGeom>
                    <a:ln/>
                  </pic:spPr>
                </pic:pic>
              </a:graphicData>
            </a:graphic>
          </wp:inline>
        </w:drawing>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1fob9te" w:colFirst="0" w:colLast="0"/>
      <w:bookmarkEnd w:id="8"/>
      <w:r w:rsidRPr="00F83F00">
        <w:rPr>
          <w:rFonts w:ascii="Palatino Linotype" w:eastAsia="Palatino Linotype" w:hAnsi="Palatino Linotype" w:cs="Palatino Linotype"/>
          <w:color w:val="000000" w:themeColor="text1"/>
        </w:rPr>
        <w:t xml:space="preserve">De las imágenes insertas se puede advertir que, el Avance de Metas por trimestre, otorgado en informe justificado, no contiene la información que es del interés del solicitante; sin embargo, de manera enunciativa más no limitativa la </w:t>
      </w:r>
      <w:r w:rsidRPr="00F83F00">
        <w:rPr>
          <w:rFonts w:ascii="Palatino Linotype" w:eastAsia="Palatino Linotype" w:hAnsi="Palatino Linotype" w:cs="Palatino Linotype"/>
          <w:b/>
          <w:color w:val="000000" w:themeColor="text1"/>
        </w:rPr>
        <w:t>Clasificación por Objeto del Gasto (Capítulo y Concepto)</w:t>
      </w:r>
      <w:r w:rsidRPr="00F83F00">
        <w:rPr>
          <w:rFonts w:ascii="Palatino Linotype" w:eastAsia="Palatino Linotype" w:hAnsi="Palatino Linotype" w:cs="Palatino Linotype"/>
          <w:color w:val="000000" w:themeColor="text1"/>
        </w:rPr>
        <w:t xml:space="preserve">, es el </w:t>
      </w:r>
      <w:r w:rsidRPr="00F83F00">
        <w:rPr>
          <w:rFonts w:ascii="Palatino Linotype" w:eastAsia="Palatino Linotype" w:hAnsi="Palatino Linotype" w:cs="Palatino Linotype"/>
          <w:color w:val="000000" w:themeColor="text1"/>
          <w:u w:val="single"/>
        </w:rPr>
        <w:t xml:space="preserve">documento mensual armonizado que </w:t>
      </w:r>
      <w:r w:rsidRPr="00F83F00">
        <w:rPr>
          <w:rFonts w:ascii="Palatino Linotype" w:eastAsia="Palatino Linotype" w:hAnsi="Palatino Linotype" w:cs="Palatino Linotype"/>
          <w:color w:val="000000" w:themeColor="text1"/>
          <w:u w:val="single"/>
        </w:rPr>
        <w:lastRenderedPageBreak/>
        <w:t xml:space="preserve">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w:t>
      </w:r>
      <w:r w:rsidRPr="00F83F00">
        <w:rPr>
          <w:rFonts w:ascii="Palatino Linotype" w:eastAsia="Palatino Linotype" w:hAnsi="Palatino Linotype" w:cs="Palatino Linotype"/>
          <w:color w:val="000000" w:themeColor="text1"/>
        </w:rPr>
        <w:t>pública, que requieren las dependencias, entidades públicas, así como</w:t>
      </w:r>
      <w:r w:rsidRPr="00F83F00">
        <w:rPr>
          <w:rFonts w:ascii="Palatino Linotype" w:eastAsia="Palatino Linotype" w:hAnsi="Palatino Linotype" w:cs="Palatino Linotype"/>
          <w:color w:val="000000" w:themeColor="text1"/>
          <w:u w:val="single"/>
        </w:rPr>
        <w:t xml:space="preserve"> los Municipios</w:t>
      </w:r>
      <w:r w:rsidRPr="00F83F00">
        <w:rPr>
          <w:rFonts w:ascii="Palatino Linotype" w:eastAsia="Palatino Linotype" w:hAnsi="Palatino Linotype" w:cs="Palatino Linotype"/>
          <w:color w:val="000000" w:themeColor="text1"/>
        </w:rPr>
        <w:t xml:space="preserve">, para cumplir con los objetivos y programas señalados en el Plan de Desarrollo del Estado de México vigente y en el Plan de Desarrollo Municipal; por lo que, lo procedente es ordenar la entrega del documento donde conste el presupuesto autorizado a la Direcciones de Turismo, Cultura, Ecología, Educación y Fomento Económico, por capítulo, partida presupuestal y proyecto para los ejercicios fiscales 2022, 2023 y 2024.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5D5FE7" w:rsidRDefault="007873F4" w:rsidP="005D5FE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5D5FE7">
        <w:rPr>
          <w:rFonts w:ascii="Palatino Linotype" w:eastAsia="Palatino Linotype" w:hAnsi="Palatino Linotype" w:cs="Palatino Linotype"/>
          <w:color w:val="000000" w:themeColor="text1"/>
          <w:sz w:val="24"/>
        </w:rPr>
        <w:t xml:space="preserve">Ahora bien respecto al presupuesto ejercido por dependencia, es menester precisar que, de acuerdo con el Manual, dentro del sistema de evaluación de la gestión pública municipal, existen cuatro tipos de reportes que los ayuntamientos deben presentar: el Informe de Ejecución del Plan de Desarrollo Municipal, Informe de Gobierno, el Reporte de Avance Trimestral, y la Cuenta Pública, los cuales son instrumentos para el seguimiento, evaluación de avances y rendición de cuentas. </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5D5FE7" w:rsidRDefault="007873F4" w:rsidP="005D5FE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5D5FE7">
        <w:rPr>
          <w:rFonts w:ascii="Palatino Linotype" w:eastAsia="Palatino Linotype" w:hAnsi="Palatino Linotype" w:cs="Palatino Linotype"/>
          <w:color w:val="000000" w:themeColor="text1"/>
          <w:sz w:val="24"/>
        </w:rPr>
        <w:t xml:space="preserve">En ese sentido, cabe mencionar que para la integración del Informe de Gobierno, se servirá de soporte las fichas técnicas de los indicadores de evaluación del desempeño que integran la Matriz de Indicadores para Resultados (MIR) y los formatos de evaluación PbRM 08b; PbRM 08c; PbRM 09b; PbRM 10a; PbRM 10b; PbRM 10c; PbRM 11, de los cuales, </w:t>
      </w:r>
      <w:r w:rsidRPr="005D5FE7">
        <w:rPr>
          <w:rFonts w:ascii="Palatino Linotype" w:eastAsia="Palatino Linotype" w:hAnsi="Palatino Linotype" w:cs="Palatino Linotype"/>
          <w:b/>
          <w:color w:val="000000" w:themeColor="text1"/>
          <w:sz w:val="24"/>
          <w:u w:val="single"/>
        </w:rPr>
        <w:t>podemos destacar el PbRM 10a</w:t>
      </w:r>
      <w:r w:rsidRPr="005D5FE7">
        <w:rPr>
          <w:rFonts w:ascii="Palatino Linotype" w:eastAsia="Palatino Linotype" w:hAnsi="Palatino Linotype" w:cs="Palatino Linotype"/>
          <w:color w:val="000000" w:themeColor="text1"/>
          <w:sz w:val="24"/>
        </w:rPr>
        <w:t xml:space="preserve">, que de acuerdo con el Instructivo de llenado este permite conocer el avance presupuestal de los egresos de forma completa, </w:t>
      </w:r>
      <w:r w:rsidRPr="005D5FE7">
        <w:rPr>
          <w:rFonts w:ascii="Palatino Linotype" w:eastAsia="Palatino Linotype" w:hAnsi="Palatino Linotype" w:cs="Palatino Linotype"/>
          <w:color w:val="000000" w:themeColor="text1"/>
          <w:sz w:val="24"/>
        </w:rPr>
        <w:lastRenderedPageBreak/>
        <w:t xml:space="preserve">además de permitir visualizar el avance del presupuesto anual, así </w:t>
      </w:r>
      <w:r w:rsidRPr="005D5FE7">
        <w:rPr>
          <w:rFonts w:ascii="Palatino Linotype" w:eastAsia="Palatino Linotype" w:hAnsi="Palatino Linotype" w:cs="Palatino Linotype"/>
          <w:b/>
          <w:color w:val="000000" w:themeColor="text1"/>
          <w:sz w:val="24"/>
          <w:u w:val="single"/>
        </w:rPr>
        <w:t>como el presupuesto del mes (autorizado y ejercido)</w:t>
      </w:r>
      <w:r w:rsidRPr="005D5FE7">
        <w:rPr>
          <w:rFonts w:ascii="Palatino Linotype" w:eastAsia="Palatino Linotype" w:hAnsi="Palatino Linotype" w:cs="Palatino Linotype"/>
          <w:b/>
          <w:color w:val="000000" w:themeColor="text1"/>
          <w:sz w:val="24"/>
        </w:rPr>
        <w:t xml:space="preserve">; </w:t>
      </w:r>
      <w:r w:rsidRPr="005D5FE7">
        <w:rPr>
          <w:rFonts w:ascii="Palatino Linotype" w:eastAsia="Palatino Linotype" w:hAnsi="Palatino Linotype" w:cs="Palatino Linotype"/>
          <w:color w:val="000000" w:themeColor="text1"/>
          <w:sz w:val="24"/>
        </w:rPr>
        <w:t>y el presupuesto acumulado de dependencias generales (DG), dependencias auxiliares (DA).</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5D5FE7" w:rsidRDefault="007873F4" w:rsidP="005D5FE7">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5D5FE7">
        <w:rPr>
          <w:rFonts w:ascii="Palatino Linotype" w:eastAsia="Palatino Linotype" w:hAnsi="Palatino Linotype" w:cs="Palatino Linotype"/>
          <w:color w:val="000000" w:themeColor="text1"/>
          <w:sz w:val="24"/>
        </w:rPr>
        <w:t xml:space="preserve">Por otro lado, de conformidad con los ya referidos Lineamientos para la integración y entrega del Informe Trimestral Municipal del Órgano Superior de Fiscalización del Estado de México, señalan que estos se integran trimestralmente al OSFEM, es actualizado de manera mensual por parte del ente público y el cual también da cuenta del avance presupuestal de este. </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5D5FE7" w:rsidRDefault="007873F4" w:rsidP="005D5FE7">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u w:val="single"/>
        </w:rPr>
      </w:pPr>
      <w:r w:rsidRPr="005D5FE7">
        <w:rPr>
          <w:rFonts w:ascii="Palatino Linotype" w:eastAsia="Palatino Linotype" w:hAnsi="Palatino Linotype" w:cs="Palatino Linotype"/>
          <w:color w:val="000000" w:themeColor="text1"/>
          <w:sz w:val="24"/>
        </w:rPr>
        <w:t xml:space="preserve">En esos términos tenemos que la información remitida no colma lo solicitado por la parte </w:t>
      </w:r>
      <w:r w:rsidRPr="005D5FE7">
        <w:rPr>
          <w:rFonts w:ascii="Palatino Linotype" w:eastAsia="Palatino Linotype" w:hAnsi="Palatino Linotype" w:cs="Palatino Linotype"/>
          <w:b/>
          <w:color w:val="000000" w:themeColor="text1"/>
          <w:sz w:val="24"/>
        </w:rPr>
        <w:t xml:space="preserve">Recurrente, </w:t>
      </w:r>
      <w:r w:rsidRPr="005D5FE7">
        <w:rPr>
          <w:rFonts w:ascii="Palatino Linotype" w:eastAsia="Palatino Linotype" w:hAnsi="Palatino Linotype" w:cs="Palatino Linotype"/>
          <w:color w:val="000000" w:themeColor="text1"/>
          <w:sz w:val="24"/>
        </w:rPr>
        <w:t>pues no se visualizan los datos requeridos, en ese sentido, lo conveniente es ordenar la entrega del documento donde conste el presupuesto autorizado a la Direcciones de Turismo, Cultura, Ecología, Educación y Fomento Económico, por capítulo, partida presupuestal y proyecto para los ejercicios fiscales 2022, 2023 y 2024.</w:t>
      </w:r>
    </w:p>
    <w:p w:rsidR="001E4415" w:rsidRPr="00F83F00" w:rsidRDefault="001E4415" w:rsidP="00272DC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u w:val="single"/>
        </w:rPr>
      </w:pPr>
    </w:p>
    <w:p w:rsidR="001E4415" w:rsidRPr="00F83F00" w:rsidRDefault="007873F4" w:rsidP="00272DC5">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color w:val="000000" w:themeColor="text1"/>
        </w:rPr>
        <w:t xml:space="preserve">Derivado de lo anterior, se considera que existe fuente obligacional por parte del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para generar, poseer y administrar la información solicitada, de conformidad con el artículo 18 de la Ley de Transparencia y Acceso a la Información Pública del Estado de México y Municipios, que a la letra dice: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r w:rsidRPr="00F83F00">
        <w:rPr>
          <w:rFonts w:ascii="Palatino Linotype" w:eastAsia="Palatino Linotype" w:hAnsi="Palatino Linotype" w:cs="Palatino Linotype"/>
          <w:b/>
          <w:i/>
          <w:color w:val="000000" w:themeColor="text1"/>
        </w:rPr>
        <w:t>Artículo 18.</w:t>
      </w:r>
      <w:r w:rsidRPr="00F83F00">
        <w:rPr>
          <w:rFonts w:ascii="Palatino Linotype" w:eastAsia="Palatino Linotype" w:hAnsi="Palatino Linotype" w:cs="Palatino Linotype"/>
          <w:i/>
          <w:color w:val="000000" w:themeColor="text1"/>
        </w:rPr>
        <w:t xml:space="preserve"> Los sujetos obligados deberán documentar todo acto que derive del ejercicio de sus facultades, competencias o funciones, considerando desde su origen la eventual publicidad y reutilización de la información que generen”</w:t>
      </w:r>
    </w:p>
    <w:p w:rsidR="001E4415" w:rsidRPr="00F83F00" w:rsidRDefault="001E4415" w:rsidP="00272DC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tabs>
          <w:tab w:val="left" w:pos="142"/>
        </w:tabs>
        <w:spacing w:line="360" w:lineRule="auto"/>
        <w:ind w:left="0" w:firstLine="0"/>
        <w:jc w:val="both"/>
        <w:rPr>
          <w:rFonts w:ascii="Palatino Linotype" w:eastAsia="Palatino Linotype" w:hAnsi="Palatino Linotype" w:cs="Palatino Linotype"/>
          <w:b/>
          <w:color w:val="000000" w:themeColor="text1"/>
          <w:u w:val="single"/>
        </w:rPr>
      </w:pPr>
      <w:r w:rsidRPr="00F83F00">
        <w:rPr>
          <w:rFonts w:ascii="Palatino Linotype" w:eastAsia="Palatino Linotype" w:hAnsi="Palatino Linotype" w:cs="Palatino Linotype"/>
          <w:color w:val="000000" w:themeColor="text1"/>
        </w:rPr>
        <w:lastRenderedPageBreak/>
        <w:t xml:space="preserve">Aunado a lo anterior, de conformidad con las obligaciones de transparencia comunes, señaladas en el artículo 92, fracciones XXV y XXXV de la Ley de Transparencia y Acceso a la Información Pública del Estado de México y Municipios, que a la letra señala: </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r w:rsidRPr="00F83F00">
        <w:rPr>
          <w:rFonts w:ascii="Palatino Linotype" w:eastAsia="Palatino Linotype" w:hAnsi="Palatino Linotype" w:cs="Palatino Linotype"/>
          <w:b/>
          <w:i/>
          <w:color w:val="000000" w:themeColor="text1"/>
        </w:rPr>
        <w:t>Artículo 92.</w:t>
      </w:r>
      <w:r w:rsidRPr="00F83F00">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XXV. La </w:t>
      </w:r>
      <w:r w:rsidRPr="00F83F00">
        <w:rPr>
          <w:rFonts w:ascii="Palatino Linotype" w:eastAsia="Palatino Linotype" w:hAnsi="Palatino Linotype" w:cs="Palatino Linotype"/>
          <w:i/>
          <w:color w:val="000000" w:themeColor="text1"/>
          <w:u w:val="single"/>
        </w:rPr>
        <w:t>información financiera sobre el presupuesto asignado</w:t>
      </w:r>
      <w:r w:rsidRPr="00F83F00">
        <w:rPr>
          <w:rFonts w:ascii="Palatino Linotype" w:eastAsia="Palatino Linotype" w:hAnsi="Palatino Linotype" w:cs="Palatino Linotype"/>
          <w:i/>
          <w:color w:val="000000" w:themeColor="text1"/>
        </w:rPr>
        <w:t>, así como los informes del ejercicio trimestral del gasto, en términos de la Ley General de Contabilidad Gubernamental y demás disposiciones jurídicas aplicables;</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1E4415" w:rsidRPr="00F83F00"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 xml:space="preserve">XXXV. </w:t>
      </w:r>
      <w:r w:rsidRPr="00F83F00">
        <w:rPr>
          <w:rFonts w:ascii="Palatino Linotype" w:eastAsia="Palatino Linotype" w:hAnsi="Palatino Linotype" w:cs="Palatino Linotype"/>
          <w:i/>
          <w:color w:val="000000" w:themeColor="text1"/>
          <w:u w:val="single"/>
        </w:rPr>
        <w:t>Informes de avances</w:t>
      </w:r>
      <w:r w:rsidRPr="00F83F00">
        <w:rPr>
          <w:rFonts w:ascii="Palatino Linotype" w:eastAsia="Palatino Linotype" w:hAnsi="Palatino Linotype" w:cs="Palatino Linotype"/>
          <w:i/>
          <w:color w:val="000000" w:themeColor="text1"/>
        </w:rPr>
        <w:t xml:space="preserve"> programáticos o </w:t>
      </w:r>
      <w:r w:rsidRPr="00F83F00">
        <w:rPr>
          <w:rFonts w:ascii="Palatino Linotype" w:eastAsia="Palatino Linotype" w:hAnsi="Palatino Linotype" w:cs="Palatino Linotype"/>
          <w:i/>
          <w:color w:val="000000" w:themeColor="text1"/>
          <w:u w:val="single"/>
        </w:rPr>
        <w:t>presupuestales</w:t>
      </w:r>
      <w:r w:rsidRPr="00F83F00">
        <w:rPr>
          <w:rFonts w:ascii="Palatino Linotype" w:eastAsia="Palatino Linotype" w:hAnsi="Palatino Linotype" w:cs="Palatino Linotype"/>
          <w:i/>
          <w:color w:val="000000" w:themeColor="text1"/>
        </w:rPr>
        <w:t>, balances generales y estado financiero;</w:t>
      </w:r>
    </w:p>
    <w:p w:rsidR="001E4415" w:rsidRDefault="007873F4" w:rsidP="00272DC5">
      <w:pPr>
        <w:spacing w:after="120"/>
        <w:jc w:val="both"/>
        <w:rPr>
          <w:rFonts w:ascii="Palatino Linotype" w:eastAsia="Palatino Linotype" w:hAnsi="Palatino Linotype" w:cs="Palatino Linotype"/>
          <w:i/>
          <w:color w:val="000000" w:themeColor="text1"/>
        </w:rPr>
      </w:pPr>
      <w:r w:rsidRPr="00F83F00">
        <w:rPr>
          <w:rFonts w:ascii="Palatino Linotype" w:eastAsia="Palatino Linotype" w:hAnsi="Palatino Linotype" w:cs="Palatino Linotype"/>
          <w:i/>
          <w:color w:val="000000" w:themeColor="text1"/>
        </w:rPr>
        <w:t>(…)”</w:t>
      </w:r>
    </w:p>
    <w:p w:rsidR="005D5FE7" w:rsidRPr="00F83F00" w:rsidRDefault="005D5FE7" w:rsidP="00272DC5">
      <w:pPr>
        <w:spacing w:after="120"/>
        <w:jc w:val="both"/>
        <w:rPr>
          <w:rFonts w:ascii="Palatino Linotype" w:eastAsia="Palatino Linotype" w:hAnsi="Palatino Linotype" w:cs="Palatino Linotype"/>
          <w:i/>
          <w:color w:val="000000" w:themeColor="text1"/>
        </w:rPr>
      </w:pPr>
    </w:p>
    <w:p w:rsidR="001E4415" w:rsidRPr="00F83F00" w:rsidRDefault="007873F4" w:rsidP="00272DC5">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color w:val="000000" w:themeColor="text1"/>
        </w:rPr>
        <w:t xml:space="preserve">De ahí que, existe una clara atribución del </w:t>
      </w:r>
      <w:r w:rsidRPr="00F83F00">
        <w:rPr>
          <w:rFonts w:ascii="Palatino Linotype" w:eastAsia="Palatino Linotype" w:hAnsi="Palatino Linotype" w:cs="Palatino Linotype"/>
          <w:b/>
          <w:color w:val="000000" w:themeColor="text1"/>
        </w:rPr>
        <w:t>SUJETO OBLIGADO</w:t>
      </w:r>
      <w:r w:rsidRPr="00F83F00">
        <w:rPr>
          <w:rFonts w:ascii="Palatino Linotype" w:eastAsia="Palatino Linotype" w:hAnsi="Palatino Linotype" w:cs="Palatino Linotype"/>
          <w:color w:val="000000" w:themeColor="text1"/>
        </w:rPr>
        <w:t xml:space="preserve"> de remitir </w:t>
      </w:r>
      <w:r w:rsidRPr="00F83F00">
        <w:rPr>
          <w:rFonts w:ascii="Palatino Linotype" w:eastAsia="Palatino Linotype" w:hAnsi="Palatino Linotype" w:cs="Palatino Linotype"/>
          <w:b/>
          <w:color w:val="000000" w:themeColor="text1"/>
        </w:rPr>
        <w:t xml:space="preserve">el o los documentos donde conste </w:t>
      </w:r>
      <w:r w:rsidRPr="00F83F00">
        <w:rPr>
          <w:rFonts w:ascii="Palatino Linotype" w:eastAsia="Palatino Linotype" w:hAnsi="Palatino Linotype" w:cs="Palatino Linotype"/>
          <w:color w:val="000000" w:themeColor="text1"/>
        </w:rPr>
        <w:t xml:space="preserve">por lo que, lo procedente </w:t>
      </w:r>
      <w:r w:rsidRPr="00F83F00">
        <w:rPr>
          <w:rFonts w:ascii="Palatino Linotype" w:eastAsia="Palatino Linotype" w:hAnsi="Palatino Linotype" w:cs="Palatino Linotype"/>
          <w:b/>
          <w:color w:val="000000" w:themeColor="text1"/>
        </w:rPr>
        <w:t>es ordenar la entrega del documento donde conste el presupuesto autorizado a la Direcciones de Turismo, Cultura, Ecología, Educación y Fomento Económico, por capítulo, partida presupuestal y proyecto para los ejercicios fiscales 2022, 2023 y 2024.</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En consecuencia, una vez analizadas las constancias que integran el expediente electrónico, y en mérito de lo expuesto en líneas anteriores, resultan fundadas las razones o motivos de inconformidad hechos valer por el </w:t>
      </w:r>
      <w:r w:rsidRPr="00F83F00">
        <w:rPr>
          <w:rFonts w:ascii="Palatino Linotype" w:eastAsia="Palatino Linotype" w:hAnsi="Palatino Linotype" w:cs="Palatino Linotype"/>
          <w:b/>
          <w:color w:val="000000" w:themeColor="text1"/>
        </w:rPr>
        <w:t>RECURRENTE</w:t>
      </w:r>
      <w:r w:rsidRPr="00F83F00">
        <w:rPr>
          <w:rFonts w:ascii="Palatino Linotype" w:eastAsia="Palatino Linotype" w:hAnsi="Palatino Linotype" w:cs="Palatino Linotype"/>
          <w:color w:val="000000" w:themeColor="text1"/>
        </w:rPr>
        <w:t xml:space="preserve"> dentro del recurso de revisión </w:t>
      </w:r>
      <w:r w:rsidRPr="00F83F00">
        <w:rPr>
          <w:rFonts w:ascii="Palatino Linotype" w:eastAsia="Palatino Linotype" w:hAnsi="Palatino Linotype" w:cs="Palatino Linotype"/>
          <w:b/>
          <w:color w:val="000000" w:themeColor="text1"/>
        </w:rPr>
        <w:t>01443/INFOEM/IP/RR/2025</w:t>
      </w:r>
      <w:r w:rsidRPr="00F83F00">
        <w:rPr>
          <w:rFonts w:ascii="Palatino Linotype" w:eastAsia="Palatino Linotype" w:hAnsi="Palatino Linotype" w:cs="Palatino Linotype"/>
          <w:color w:val="000000" w:themeColor="text1"/>
        </w:rPr>
        <w:t xml:space="preserve">; por ello, y con fundamento en la fracción III del </w:t>
      </w:r>
      <w:r w:rsidRPr="00F83F00">
        <w:rPr>
          <w:rFonts w:ascii="Palatino Linotype" w:eastAsia="Palatino Linotype" w:hAnsi="Palatino Linotype" w:cs="Palatino Linotype"/>
          <w:color w:val="000000" w:themeColor="text1"/>
        </w:rPr>
        <w:lastRenderedPageBreak/>
        <w:t xml:space="preserve">numeral 186 de la Ley de Transparencia y Acceso a la Información Pública del Estado de México y Municipios, se </w:t>
      </w:r>
      <w:r w:rsidRPr="00F83F00">
        <w:rPr>
          <w:rFonts w:ascii="Palatino Linotype" w:eastAsia="Palatino Linotype" w:hAnsi="Palatino Linotype" w:cs="Palatino Linotype"/>
          <w:b/>
          <w:color w:val="000000" w:themeColor="text1"/>
        </w:rPr>
        <w:t>MODIFICAR</w:t>
      </w:r>
      <w:r w:rsidRPr="00F83F00">
        <w:rPr>
          <w:rFonts w:ascii="Palatino Linotype" w:eastAsia="Palatino Linotype" w:hAnsi="Palatino Linotype" w:cs="Palatino Linotype"/>
          <w:color w:val="000000" w:themeColor="text1"/>
        </w:rPr>
        <w:t xml:space="preserve"> la respuesta del Sujeto Obligado. </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Por lo anteriormente expuesto y fundado, este </w:t>
      </w:r>
      <w:r w:rsidRPr="00F83F00">
        <w:rPr>
          <w:rFonts w:ascii="Palatino Linotype" w:eastAsia="Palatino Linotype" w:hAnsi="Palatino Linotype" w:cs="Palatino Linotype"/>
          <w:b/>
          <w:color w:val="000000" w:themeColor="text1"/>
        </w:rPr>
        <w:t>ÓRGANO GARANTE</w:t>
      </w:r>
      <w:r w:rsidRPr="00F83F00">
        <w:rPr>
          <w:rFonts w:ascii="Palatino Linotype" w:eastAsia="Palatino Linotype" w:hAnsi="Palatino Linotype" w:cs="Palatino Linotype"/>
          <w:color w:val="000000" w:themeColor="text1"/>
        </w:rPr>
        <w:t xml:space="preserve"> emite los siguientes:</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keepNext/>
        <w:keepLines/>
        <w:spacing w:line="360" w:lineRule="auto"/>
        <w:jc w:val="center"/>
        <w:rPr>
          <w:rFonts w:ascii="Palatino Linotype" w:eastAsia="Palatino Linotype" w:hAnsi="Palatino Linotype" w:cs="Palatino Linotype"/>
          <w:b/>
          <w:color w:val="000000" w:themeColor="text1"/>
        </w:rPr>
      </w:pPr>
      <w:bookmarkStart w:id="9" w:name="_heading=h.c846mf9j2vir" w:colFirst="0" w:colLast="0"/>
      <w:bookmarkEnd w:id="9"/>
      <w:r w:rsidRPr="00F83F00">
        <w:rPr>
          <w:rFonts w:ascii="Palatino Linotype" w:eastAsia="Palatino Linotype" w:hAnsi="Palatino Linotype" w:cs="Palatino Linotype"/>
          <w:b/>
          <w:color w:val="000000" w:themeColor="text1"/>
        </w:rPr>
        <w:t>R E S O L U T I V O S</w:t>
      </w:r>
    </w:p>
    <w:p w:rsidR="001E4415" w:rsidRPr="00F83F00" w:rsidRDefault="001E4415" w:rsidP="00272DC5">
      <w:pPr>
        <w:keepNext/>
        <w:keepLines/>
        <w:spacing w:line="360" w:lineRule="auto"/>
        <w:jc w:val="center"/>
        <w:rPr>
          <w:rFonts w:ascii="Palatino Linotype" w:eastAsia="Palatino Linotype" w:hAnsi="Palatino Linotype" w:cs="Palatino Linotype"/>
          <w:b/>
          <w:color w:val="000000" w:themeColor="text1"/>
        </w:rPr>
      </w:pPr>
    </w:p>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 xml:space="preserve">PRIMERO. </w:t>
      </w:r>
      <w:r w:rsidRPr="00F83F00">
        <w:rPr>
          <w:rFonts w:ascii="Palatino Linotype" w:eastAsia="Palatino Linotype" w:hAnsi="Palatino Linotype" w:cs="Palatino Linotype"/>
          <w:color w:val="000000" w:themeColor="text1"/>
        </w:rPr>
        <w:t>Resultan parcialmente fundadas las</w:t>
      </w:r>
      <w:r w:rsidRPr="00F83F00">
        <w:rPr>
          <w:rFonts w:ascii="Palatino Linotype" w:eastAsia="Palatino Linotype" w:hAnsi="Palatino Linotype" w:cs="Palatino Linotype"/>
          <w:b/>
          <w:color w:val="000000" w:themeColor="text1"/>
        </w:rPr>
        <w:t xml:space="preserve"> </w:t>
      </w:r>
      <w:r w:rsidRPr="00F83F00">
        <w:rPr>
          <w:rFonts w:ascii="Palatino Linotype" w:eastAsia="Palatino Linotype" w:hAnsi="Palatino Linotype" w:cs="Palatino Linotype"/>
          <w:color w:val="000000" w:themeColor="text1"/>
        </w:rPr>
        <w:t xml:space="preserve">razones o motivos de inconformidad hechos valer en el recurso de revisión </w:t>
      </w:r>
      <w:r w:rsidRPr="00F83F00">
        <w:rPr>
          <w:rFonts w:ascii="Palatino Linotype" w:eastAsia="Palatino Linotype" w:hAnsi="Palatino Linotype" w:cs="Palatino Linotype"/>
          <w:b/>
          <w:color w:val="000000" w:themeColor="text1"/>
        </w:rPr>
        <w:t xml:space="preserve">01443/INFOEM/IP/RR/2025, </w:t>
      </w:r>
      <w:r w:rsidRPr="00F83F00">
        <w:rPr>
          <w:rFonts w:ascii="Palatino Linotype" w:eastAsia="Palatino Linotype" w:hAnsi="Palatino Linotype" w:cs="Palatino Linotype"/>
          <w:color w:val="000000" w:themeColor="text1"/>
        </w:rPr>
        <w:t xml:space="preserve">en términos del </w:t>
      </w:r>
      <w:r w:rsidRPr="00F83F00">
        <w:rPr>
          <w:rFonts w:ascii="Palatino Linotype" w:eastAsia="Palatino Linotype" w:hAnsi="Palatino Linotype" w:cs="Palatino Linotype"/>
          <w:b/>
          <w:color w:val="000000" w:themeColor="text1"/>
        </w:rPr>
        <w:t>Considerando</w:t>
      </w:r>
      <w:r w:rsidRPr="00F83F00">
        <w:rPr>
          <w:rFonts w:ascii="Palatino Linotype" w:eastAsia="Palatino Linotype" w:hAnsi="Palatino Linotype" w:cs="Palatino Linotype"/>
          <w:color w:val="000000" w:themeColor="text1"/>
        </w:rPr>
        <w:t xml:space="preserve"> </w:t>
      </w:r>
      <w:r w:rsidRPr="00F83F00">
        <w:rPr>
          <w:rFonts w:ascii="Palatino Linotype" w:eastAsia="Palatino Linotype" w:hAnsi="Palatino Linotype" w:cs="Palatino Linotype"/>
          <w:b/>
          <w:color w:val="000000" w:themeColor="text1"/>
        </w:rPr>
        <w:t xml:space="preserve">CUARTO </w:t>
      </w:r>
      <w:r w:rsidRPr="00F83F00">
        <w:rPr>
          <w:rFonts w:ascii="Palatino Linotype" w:eastAsia="Palatino Linotype" w:hAnsi="Palatino Linotype" w:cs="Palatino Linotype"/>
          <w:color w:val="000000" w:themeColor="text1"/>
        </w:rPr>
        <w:t>de la presente resolución.</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spacing w:line="360" w:lineRule="auto"/>
        <w:jc w:val="both"/>
        <w:rPr>
          <w:rFonts w:ascii="Palatino Linotype" w:eastAsia="Palatino Linotype" w:hAnsi="Palatino Linotype" w:cs="Palatino Linotype"/>
          <w:color w:val="000000" w:themeColor="text1"/>
        </w:rPr>
      </w:pPr>
      <w:bookmarkStart w:id="10" w:name="_heading=h.t6wjhe7jw81x" w:colFirst="0" w:colLast="0"/>
      <w:bookmarkEnd w:id="10"/>
      <w:r w:rsidRPr="00F83F00">
        <w:rPr>
          <w:rFonts w:ascii="Palatino Linotype" w:eastAsia="Palatino Linotype" w:hAnsi="Palatino Linotype" w:cs="Palatino Linotype"/>
          <w:b/>
          <w:color w:val="000000" w:themeColor="text1"/>
        </w:rPr>
        <w:t>SEGUNDO.</w:t>
      </w:r>
      <w:r w:rsidRPr="00F83F00">
        <w:rPr>
          <w:rFonts w:ascii="Palatino Linotype" w:eastAsia="Palatino Linotype" w:hAnsi="Palatino Linotype" w:cs="Palatino Linotype"/>
          <w:color w:val="000000" w:themeColor="text1"/>
        </w:rPr>
        <w:t xml:space="preserve"> Se</w:t>
      </w:r>
      <w:r w:rsidRPr="00F83F00">
        <w:rPr>
          <w:rFonts w:ascii="Palatino Linotype" w:eastAsia="Palatino Linotype" w:hAnsi="Palatino Linotype" w:cs="Palatino Linotype"/>
          <w:b/>
          <w:color w:val="000000" w:themeColor="text1"/>
        </w:rPr>
        <w:t xml:space="preserve"> MODIFICA </w:t>
      </w:r>
      <w:r w:rsidRPr="00F83F00">
        <w:rPr>
          <w:rFonts w:ascii="Palatino Linotype" w:eastAsia="Palatino Linotype" w:hAnsi="Palatino Linotype" w:cs="Palatino Linotype"/>
          <w:color w:val="000000" w:themeColor="text1"/>
        </w:rPr>
        <w:t xml:space="preserve">la respuesta emitida por el </w:t>
      </w:r>
      <w:r w:rsidRPr="00F83F00">
        <w:rPr>
          <w:rFonts w:ascii="Palatino Linotype" w:eastAsia="Palatino Linotype" w:hAnsi="Palatino Linotype" w:cs="Palatino Linotype"/>
          <w:b/>
          <w:color w:val="000000" w:themeColor="text1"/>
        </w:rPr>
        <w:t xml:space="preserve">Ayuntamiento de Ixtapaluca </w:t>
      </w:r>
      <w:r w:rsidRPr="00F83F00">
        <w:rPr>
          <w:rFonts w:ascii="Palatino Linotype" w:eastAsia="Palatino Linotype" w:hAnsi="Palatino Linotype" w:cs="Palatino Linotype"/>
          <w:color w:val="000000" w:themeColor="text1"/>
        </w:rPr>
        <w:t>y se</w:t>
      </w:r>
      <w:r w:rsidRPr="00F83F00">
        <w:rPr>
          <w:rFonts w:ascii="Palatino Linotype" w:eastAsia="Palatino Linotype" w:hAnsi="Palatino Linotype" w:cs="Palatino Linotype"/>
          <w:b/>
          <w:color w:val="000000" w:themeColor="text1"/>
        </w:rPr>
        <w:t xml:space="preserve"> ORDENA </w:t>
      </w:r>
      <w:r w:rsidRPr="00F83F00">
        <w:rPr>
          <w:rFonts w:ascii="Palatino Linotype" w:eastAsia="Palatino Linotype" w:hAnsi="Palatino Linotype" w:cs="Palatino Linotype"/>
          <w:color w:val="000000" w:themeColor="text1"/>
        </w:rPr>
        <w:t>entregar vía Sistema de Accesos a la Información Mexiquense (SAIMEX), la siguiente información de los Periodos Fiscales 2022, 2023 y 2024:</w:t>
      </w:r>
    </w:p>
    <w:p w:rsidR="001E4415" w:rsidRPr="00F83F00" w:rsidRDefault="001E4415" w:rsidP="00272DC5">
      <w:pP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3F00">
        <w:rPr>
          <w:rFonts w:ascii="Palatino Linotype" w:eastAsia="Palatino Linotype" w:hAnsi="Palatino Linotype" w:cs="Palatino Linotype"/>
          <w:b/>
          <w:color w:val="000000" w:themeColor="text1"/>
        </w:rPr>
        <w:t>El o los documentos donde conste el presupuesto autorizado a las Direcciones de Turismo, Cultura, Ecología, Educación y de Desarrollo y Fomento Económico, y como se ejerció.</w:t>
      </w:r>
    </w:p>
    <w:p w:rsidR="001E4415" w:rsidRPr="00F83F00" w:rsidRDefault="001E4415" w:rsidP="00272DC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tabs>
          <w:tab w:val="left" w:pos="8080"/>
        </w:tabs>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 xml:space="preserve">TERCERO. Notifíquese </w:t>
      </w:r>
      <w:r w:rsidRPr="00F83F00">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83F00">
        <w:rPr>
          <w:rFonts w:ascii="Palatino Linotype" w:eastAsia="Palatino Linotype" w:hAnsi="Palatino Linotype" w:cs="Palatino Linotype"/>
          <w:b/>
          <w:color w:val="000000" w:themeColor="text1"/>
        </w:rPr>
        <w:t>dé cumplimiento a lo ordenado dentro del plazo de diez días hábiles</w:t>
      </w:r>
      <w:r w:rsidRPr="00F83F00">
        <w:rPr>
          <w:rFonts w:ascii="Palatino Linotype" w:eastAsia="Palatino Linotype" w:hAnsi="Palatino Linotype" w:cs="Palatino Linotype"/>
          <w:color w:val="000000" w:themeColor="text1"/>
        </w:rPr>
        <w:t xml:space="preserve">, e informe a este Instituto en un plazo de tres días hábiles siguientes </w:t>
      </w:r>
      <w:r w:rsidRPr="00F83F00">
        <w:rPr>
          <w:rFonts w:ascii="Palatino Linotype" w:eastAsia="Palatino Linotype" w:hAnsi="Palatino Linotype" w:cs="Palatino Linotype"/>
          <w:color w:val="000000" w:themeColor="text1"/>
        </w:rPr>
        <w:lastRenderedPageBreak/>
        <w:t>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E4415" w:rsidRPr="00F83F00" w:rsidRDefault="001E4415" w:rsidP="00272DC5">
      <w:pPr>
        <w:tabs>
          <w:tab w:val="left" w:pos="8080"/>
        </w:tabs>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shd w:val="clear" w:color="auto" w:fill="FFFFFF"/>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CUARTO. Notifíquese al RECURRENTE</w:t>
      </w:r>
      <w:r w:rsidRPr="00F83F00">
        <w:rPr>
          <w:rFonts w:ascii="Palatino Linotype" w:eastAsia="Palatino Linotype" w:hAnsi="Palatino Linotype" w:cs="Palatino Linotype"/>
          <w:color w:val="000000" w:themeColor="text1"/>
        </w:rPr>
        <w:t xml:space="preserve"> la presente resolución vía SAIMEX.</w:t>
      </w:r>
    </w:p>
    <w:p w:rsidR="001E4415" w:rsidRPr="00F83F00" w:rsidRDefault="001E4415" w:rsidP="00272DC5">
      <w:pPr>
        <w:shd w:val="clear" w:color="auto" w:fill="FFFFFF"/>
        <w:spacing w:line="360" w:lineRule="auto"/>
        <w:jc w:val="both"/>
        <w:rPr>
          <w:rFonts w:ascii="Palatino Linotype" w:eastAsia="Palatino Linotype" w:hAnsi="Palatino Linotype" w:cs="Palatino Linotype"/>
          <w:b/>
          <w:color w:val="000000" w:themeColor="text1"/>
        </w:rPr>
      </w:pPr>
    </w:p>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QUINTO.</w:t>
      </w:r>
      <w:r w:rsidRPr="00F83F00">
        <w:rPr>
          <w:rFonts w:ascii="Palatino Linotype" w:eastAsia="Palatino Linotype" w:hAnsi="Palatino Linotype" w:cs="Palatino Linotype"/>
          <w:color w:val="000000" w:themeColor="text1"/>
        </w:rPr>
        <w:t xml:space="preserve"> Se hace del conocimiento del </w:t>
      </w:r>
      <w:r w:rsidRPr="00F83F00">
        <w:rPr>
          <w:rFonts w:ascii="Palatino Linotype" w:eastAsia="Palatino Linotype" w:hAnsi="Palatino Linotype" w:cs="Palatino Linotype"/>
          <w:b/>
          <w:color w:val="000000" w:themeColor="text1"/>
        </w:rPr>
        <w:t>RECURRENTE</w:t>
      </w:r>
      <w:r w:rsidRPr="00F83F0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E4415" w:rsidRPr="00F83F00" w:rsidRDefault="001E4415" w:rsidP="00272DC5">
      <w:pPr>
        <w:spacing w:line="360" w:lineRule="auto"/>
        <w:jc w:val="both"/>
        <w:rPr>
          <w:rFonts w:ascii="Palatino Linotype" w:eastAsia="Palatino Linotype" w:hAnsi="Palatino Linotype" w:cs="Palatino Linotype"/>
          <w:color w:val="000000" w:themeColor="text1"/>
        </w:rPr>
      </w:pPr>
    </w:p>
    <w:p w:rsidR="001E4415" w:rsidRPr="00F83F00" w:rsidRDefault="007873F4" w:rsidP="00272DC5">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b/>
          <w:color w:val="000000" w:themeColor="text1"/>
        </w:rPr>
        <w:t xml:space="preserve">SEXTO. </w:t>
      </w:r>
      <w:r w:rsidRPr="00F83F00">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4415" w:rsidRPr="00F83F00" w:rsidRDefault="001E4415" w:rsidP="00272DC5">
      <w:pPr>
        <w:pBdr>
          <w:top w:val="nil"/>
          <w:left w:val="nil"/>
          <w:bottom w:val="nil"/>
          <w:right w:val="nil"/>
          <w:between w:val="nil"/>
        </w:pBdr>
        <w:jc w:val="both"/>
        <w:rPr>
          <w:rFonts w:ascii="Palatino Linotype" w:eastAsia="Palatino Linotype" w:hAnsi="Palatino Linotype" w:cs="Palatino Linotype"/>
          <w:b/>
          <w:color w:val="000000" w:themeColor="text1"/>
        </w:rPr>
      </w:pPr>
    </w:p>
    <w:p w:rsidR="005C7156" w:rsidRPr="00F83F00" w:rsidRDefault="005C7156" w:rsidP="00272DC5">
      <w:pPr>
        <w:spacing w:line="360" w:lineRule="auto"/>
        <w:ind w:firstLine="1"/>
        <w:jc w:val="both"/>
        <w:rPr>
          <w:rFonts w:ascii="Palatino Linotype" w:eastAsia="Palatino Linotype" w:hAnsi="Palatino Linotype" w:cs="Palatino Linotype"/>
          <w:color w:val="000000" w:themeColor="text1"/>
        </w:rPr>
      </w:pPr>
    </w:p>
    <w:p w:rsidR="00D46A19" w:rsidRDefault="00F83F00" w:rsidP="00E73894">
      <w:pPr>
        <w:spacing w:line="360" w:lineRule="auto"/>
        <w:jc w:val="both"/>
        <w:rPr>
          <w:rFonts w:ascii="Palatino Linotype" w:eastAsia="Palatino Linotype" w:hAnsi="Palatino Linotype" w:cs="Palatino Linotype"/>
          <w:color w:val="000000" w:themeColor="text1"/>
        </w:rPr>
      </w:pPr>
      <w:r w:rsidRPr="00F83F00">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F83F00">
        <w:rPr>
          <w:rFonts w:ascii="Palatino Linotype" w:eastAsia="Palatino Linotype" w:hAnsi="Palatino Linotype" w:cs="Palatino Linotype"/>
          <w:color w:val="000000" w:themeColor="text1"/>
        </w:rPr>
        <w:lastRenderedPageBreak/>
        <w:t>PARRA NORIEGA Y GUADALUPE RAMÍREZ PEÑA CON AUSENCIA JUSTIFICADA; EN LA VIGÉSIMA CUARTA SESIÓN ORDINARIA, CELEBRADA EL DOS (02) DE JULIO DE DOS MIL VEINTICINCO, ANTE EL SECRETARIO TÉCNICO DEL PLENO ALEXIS TAPIA RAMÍREZ</w:t>
      </w:r>
      <w:r w:rsidR="00E73894" w:rsidRPr="00F83F00">
        <w:rPr>
          <w:rFonts w:ascii="Palatino Linotype" w:eastAsia="Palatino Linotype" w:hAnsi="Palatino Linotype" w:cs="Palatino Linotype"/>
          <w:color w:val="000000" w:themeColor="text1"/>
        </w:rPr>
        <w:t>.</w:t>
      </w: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Default="005D5FE7" w:rsidP="00E73894">
      <w:pPr>
        <w:spacing w:line="360" w:lineRule="auto"/>
        <w:jc w:val="both"/>
        <w:rPr>
          <w:rFonts w:ascii="Palatino Linotype" w:eastAsia="Palatino Linotype" w:hAnsi="Palatino Linotype" w:cs="Palatino Linotype"/>
          <w:color w:val="000000" w:themeColor="text1"/>
        </w:rPr>
      </w:pPr>
    </w:p>
    <w:p w:rsidR="005D5FE7" w:rsidRPr="00D31D5F" w:rsidRDefault="005D5FE7" w:rsidP="00E73894">
      <w:pPr>
        <w:spacing w:line="360" w:lineRule="auto"/>
        <w:jc w:val="both"/>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D46A19" w:rsidRPr="00D31D5F" w:rsidRDefault="00D46A19" w:rsidP="00D46A19">
      <w:pPr>
        <w:rPr>
          <w:rFonts w:ascii="Palatino Linotype" w:eastAsia="Palatino Linotype" w:hAnsi="Palatino Linotype" w:cs="Palatino Linotype"/>
          <w:color w:val="000000" w:themeColor="text1"/>
        </w:rPr>
      </w:pPr>
    </w:p>
    <w:p w:rsidR="001E4415" w:rsidRPr="00D31D5F" w:rsidRDefault="00D46A19" w:rsidP="00D46A19">
      <w:pPr>
        <w:tabs>
          <w:tab w:val="left" w:pos="2070"/>
        </w:tabs>
        <w:rPr>
          <w:rFonts w:ascii="Palatino Linotype" w:eastAsia="Palatino Linotype" w:hAnsi="Palatino Linotype" w:cs="Palatino Linotype"/>
          <w:color w:val="000000" w:themeColor="text1"/>
        </w:rPr>
      </w:pPr>
      <w:r w:rsidRPr="00D31D5F">
        <w:rPr>
          <w:rFonts w:ascii="Palatino Linotype" w:eastAsia="Palatino Linotype" w:hAnsi="Palatino Linotype" w:cs="Palatino Linotype"/>
          <w:color w:val="000000" w:themeColor="text1"/>
        </w:rPr>
        <w:tab/>
      </w: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p w:rsidR="00D46A19" w:rsidRPr="00D31D5F" w:rsidRDefault="00D46A19" w:rsidP="00D46A19">
      <w:pPr>
        <w:tabs>
          <w:tab w:val="left" w:pos="2070"/>
        </w:tabs>
        <w:rPr>
          <w:rFonts w:ascii="Palatino Linotype" w:eastAsia="Palatino Linotype" w:hAnsi="Palatino Linotype" w:cs="Palatino Linotype"/>
          <w:color w:val="000000" w:themeColor="text1"/>
        </w:rPr>
      </w:pPr>
    </w:p>
    <w:sectPr w:rsidR="00D46A19" w:rsidRPr="00D31D5F" w:rsidSect="00272DC5">
      <w:headerReference w:type="even" r:id="rId16"/>
      <w:headerReference w:type="default" r:id="rId17"/>
      <w:footerReference w:type="default" r:id="rId18"/>
      <w:headerReference w:type="first" r:id="rId19"/>
      <w:footerReference w:type="first" r:id="rId20"/>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DC" w:rsidRDefault="001E31DC">
      <w:r>
        <w:separator/>
      </w:r>
    </w:p>
  </w:endnote>
  <w:endnote w:type="continuationSeparator" w:id="0">
    <w:p w:rsidR="001E31DC" w:rsidRDefault="001E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15" w:rsidRDefault="007873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D5FE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D5FE7">
      <w:rPr>
        <w:b/>
        <w:noProof/>
        <w:color w:val="000000"/>
      </w:rPr>
      <w:t>42</w:t>
    </w:r>
    <w:r>
      <w:rPr>
        <w:b/>
        <w:color w:val="000000"/>
      </w:rPr>
      <w:fldChar w:fldCharType="end"/>
    </w:r>
  </w:p>
  <w:p w:rsidR="001E4415" w:rsidRDefault="001E441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15" w:rsidRDefault="007873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D5FE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D5FE7">
      <w:rPr>
        <w:b/>
        <w:noProof/>
        <w:color w:val="000000"/>
      </w:rPr>
      <w:t>42</w:t>
    </w:r>
    <w:r>
      <w:rPr>
        <w:b/>
        <w:color w:val="000000"/>
      </w:rPr>
      <w:fldChar w:fldCharType="end"/>
    </w:r>
  </w:p>
  <w:p w:rsidR="001E4415" w:rsidRDefault="001E441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DC" w:rsidRDefault="001E31DC">
      <w:r>
        <w:separator/>
      </w:r>
    </w:p>
  </w:footnote>
  <w:footnote w:type="continuationSeparator" w:id="0">
    <w:p w:rsidR="001E31DC" w:rsidRDefault="001E31DC">
      <w:r>
        <w:continuationSeparator/>
      </w:r>
    </w:p>
  </w:footnote>
  <w:footnote w:id="1">
    <w:p w:rsidR="001E4415" w:rsidRDefault="007873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2">
    <w:p w:rsidR="001E4415" w:rsidRDefault="007873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Artículo 342 del Código Financiero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15" w:rsidRDefault="001E31D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781" w:type="dxa"/>
      <w:tblInd w:w="0" w:type="dxa"/>
      <w:tblLayout w:type="fixed"/>
      <w:tblLook w:val="0400" w:firstRow="0" w:lastRow="0" w:firstColumn="0" w:lastColumn="0" w:noHBand="0" w:noVBand="1"/>
    </w:tblPr>
    <w:tblGrid>
      <w:gridCol w:w="2268"/>
      <w:gridCol w:w="7513"/>
    </w:tblGrid>
    <w:tr w:rsidR="001E4415" w:rsidTr="005D5FE7">
      <w:trPr>
        <w:trHeight w:val="1435"/>
      </w:trPr>
      <w:tc>
        <w:tcPr>
          <w:tcW w:w="2268" w:type="dxa"/>
          <w:shd w:val="clear" w:color="auto" w:fill="auto"/>
        </w:tcPr>
        <w:p w:rsidR="001E4415" w:rsidRDefault="001E4415">
          <w:pPr>
            <w:tabs>
              <w:tab w:val="right" w:pos="4273"/>
            </w:tabs>
            <w:rPr>
              <w:rFonts w:ascii="Garamond" w:eastAsia="Garamond" w:hAnsi="Garamond" w:cs="Garamond"/>
              <w:sz w:val="16"/>
              <w:szCs w:val="16"/>
            </w:rPr>
          </w:pPr>
        </w:p>
      </w:tc>
      <w:tc>
        <w:tcPr>
          <w:tcW w:w="7513" w:type="dxa"/>
          <w:shd w:val="clear" w:color="auto" w:fill="auto"/>
        </w:tcPr>
        <w:tbl>
          <w:tblPr>
            <w:tblStyle w:val="a1"/>
            <w:tblW w:w="7655" w:type="dxa"/>
            <w:tblInd w:w="878" w:type="dxa"/>
            <w:tblLayout w:type="fixed"/>
            <w:tblLook w:val="0400" w:firstRow="0" w:lastRow="0" w:firstColumn="0" w:lastColumn="0" w:noHBand="0" w:noVBand="1"/>
          </w:tblPr>
          <w:tblGrid>
            <w:gridCol w:w="2977"/>
            <w:gridCol w:w="4678"/>
          </w:tblGrid>
          <w:tr w:rsidR="001E4415" w:rsidRPr="00A32F93" w:rsidTr="005D5FE7">
            <w:trPr>
              <w:trHeight w:val="150"/>
            </w:trPr>
            <w:tc>
              <w:tcPr>
                <w:tcW w:w="2977" w:type="dxa"/>
                <w:shd w:val="clear" w:color="auto" w:fill="auto"/>
              </w:tcPr>
              <w:p w:rsidR="001E4415" w:rsidRPr="00A32F93" w:rsidRDefault="007873F4" w:rsidP="00A32F93">
                <w:pPr>
                  <w:tabs>
                    <w:tab w:val="right" w:pos="8838"/>
                  </w:tabs>
                  <w:ind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Recurso de Revisión:</w:t>
                </w:r>
              </w:p>
            </w:tc>
            <w:tc>
              <w:tcPr>
                <w:tcW w:w="4678" w:type="dxa"/>
                <w:shd w:val="clear" w:color="auto" w:fill="auto"/>
              </w:tcPr>
              <w:p w:rsidR="001E4415" w:rsidRPr="00A32F93" w:rsidRDefault="007873F4" w:rsidP="00A32F93">
                <w:pPr>
                  <w:tabs>
                    <w:tab w:val="right" w:pos="8838"/>
                  </w:tabs>
                  <w:ind w:left="26" w:right="-102"/>
                  <w:jc w:val="both"/>
                  <w:rPr>
                    <w:rFonts w:ascii="Palatino Linotype" w:eastAsia="Palatino Linotype" w:hAnsi="Palatino Linotype" w:cs="Palatino Linotype"/>
                  </w:rPr>
                </w:pPr>
                <w:r w:rsidRPr="00A32F93">
                  <w:rPr>
                    <w:rFonts w:ascii="Palatino Linotype" w:eastAsia="Palatino Linotype" w:hAnsi="Palatino Linotype" w:cs="Palatino Linotype"/>
                  </w:rPr>
                  <w:t>01443/INFOEM/IP/RR/2025</w:t>
                </w:r>
              </w:p>
            </w:tc>
          </w:tr>
          <w:tr w:rsidR="001E4415" w:rsidRPr="00A32F93" w:rsidTr="005D5FE7">
            <w:trPr>
              <w:trHeight w:val="295"/>
            </w:trPr>
            <w:tc>
              <w:tcPr>
                <w:tcW w:w="2977" w:type="dxa"/>
                <w:shd w:val="clear" w:color="auto" w:fill="auto"/>
              </w:tcPr>
              <w:p w:rsidR="001E4415" w:rsidRPr="00A32F93" w:rsidRDefault="007873F4" w:rsidP="00A32F93">
                <w:pPr>
                  <w:tabs>
                    <w:tab w:val="right" w:pos="8838"/>
                  </w:tabs>
                  <w:ind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Sujeto Obligado:</w:t>
                </w:r>
              </w:p>
            </w:tc>
            <w:tc>
              <w:tcPr>
                <w:tcW w:w="4678" w:type="dxa"/>
                <w:shd w:val="clear" w:color="auto" w:fill="auto"/>
              </w:tcPr>
              <w:p w:rsidR="001E4415" w:rsidRPr="00A32F93" w:rsidRDefault="007873F4" w:rsidP="00A32F93">
                <w:pPr>
                  <w:tabs>
                    <w:tab w:val="left" w:pos="2834"/>
                    <w:tab w:val="right" w:pos="8838"/>
                  </w:tabs>
                  <w:ind w:left="26" w:right="-102"/>
                  <w:jc w:val="both"/>
                  <w:rPr>
                    <w:rFonts w:ascii="Palatino Linotype" w:eastAsia="Palatino Linotype" w:hAnsi="Palatino Linotype" w:cs="Palatino Linotype"/>
                  </w:rPr>
                </w:pPr>
                <w:r w:rsidRPr="00A32F93">
                  <w:rPr>
                    <w:rFonts w:ascii="Palatino Linotype" w:eastAsia="Palatino Linotype" w:hAnsi="Palatino Linotype" w:cs="Palatino Linotype"/>
                  </w:rPr>
                  <w:t>Ayuntamiento de Ixtapaluca</w:t>
                </w:r>
              </w:p>
            </w:tc>
          </w:tr>
          <w:tr w:rsidR="001E4415" w:rsidRPr="00A32F93" w:rsidTr="005D5FE7">
            <w:trPr>
              <w:trHeight w:val="295"/>
            </w:trPr>
            <w:tc>
              <w:tcPr>
                <w:tcW w:w="2977" w:type="dxa"/>
                <w:shd w:val="clear" w:color="auto" w:fill="auto"/>
              </w:tcPr>
              <w:p w:rsidR="001E4415" w:rsidRPr="00A32F93" w:rsidRDefault="007873F4" w:rsidP="00A32F93">
                <w:pPr>
                  <w:tabs>
                    <w:tab w:val="right" w:pos="8838"/>
                  </w:tabs>
                  <w:ind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Comisionada ponente:</w:t>
                </w:r>
              </w:p>
            </w:tc>
            <w:tc>
              <w:tcPr>
                <w:tcW w:w="4678" w:type="dxa"/>
                <w:shd w:val="clear" w:color="auto" w:fill="auto"/>
              </w:tcPr>
              <w:p w:rsidR="001E4415" w:rsidRPr="00A32F93" w:rsidRDefault="005D5FE7" w:rsidP="005D5FE7">
                <w:pPr>
                  <w:tabs>
                    <w:tab w:val="right" w:pos="8838"/>
                  </w:tabs>
                  <w:ind w:left="26" w:right="-102"/>
                  <w:jc w:val="both"/>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1E4415" w:rsidRDefault="001E4415">
          <w:pPr>
            <w:tabs>
              <w:tab w:val="right" w:pos="8838"/>
            </w:tabs>
            <w:ind w:left="-28"/>
            <w:jc w:val="both"/>
            <w:rPr>
              <w:rFonts w:ascii="Arial" w:eastAsia="Arial" w:hAnsi="Arial" w:cs="Arial"/>
              <w:b/>
              <w:sz w:val="22"/>
              <w:szCs w:val="22"/>
            </w:rPr>
          </w:pPr>
        </w:p>
      </w:tc>
    </w:tr>
  </w:tbl>
  <w:p w:rsidR="001E4415" w:rsidRDefault="005D5FE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pt;margin-top:-126.8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9781" w:type="dxa"/>
      <w:tblInd w:w="0" w:type="dxa"/>
      <w:tblLayout w:type="fixed"/>
      <w:tblLook w:val="0400" w:firstRow="0" w:lastRow="0" w:firstColumn="0" w:lastColumn="0" w:noHBand="0" w:noVBand="1"/>
    </w:tblPr>
    <w:tblGrid>
      <w:gridCol w:w="2268"/>
      <w:gridCol w:w="7513"/>
    </w:tblGrid>
    <w:tr w:rsidR="001E4415" w:rsidTr="005D5FE7">
      <w:trPr>
        <w:trHeight w:val="1435"/>
      </w:trPr>
      <w:tc>
        <w:tcPr>
          <w:tcW w:w="2268" w:type="dxa"/>
          <w:shd w:val="clear" w:color="auto" w:fill="auto"/>
        </w:tcPr>
        <w:p w:rsidR="001E4415" w:rsidRDefault="001E4415">
          <w:pPr>
            <w:tabs>
              <w:tab w:val="right" w:pos="4273"/>
            </w:tabs>
            <w:rPr>
              <w:rFonts w:ascii="Garamond" w:eastAsia="Garamond" w:hAnsi="Garamond" w:cs="Garamond"/>
              <w:sz w:val="22"/>
              <w:szCs w:val="22"/>
            </w:rPr>
          </w:pPr>
        </w:p>
      </w:tc>
      <w:tc>
        <w:tcPr>
          <w:tcW w:w="7513" w:type="dxa"/>
          <w:shd w:val="clear" w:color="auto" w:fill="auto"/>
        </w:tcPr>
        <w:tbl>
          <w:tblPr>
            <w:tblStyle w:val="a3"/>
            <w:tblW w:w="7216" w:type="dxa"/>
            <w:tblInd w:w="1303" w:type="dxa"/>
            <w:tblLayout w:type="fixed"/>
            <w:tblLook w:val="0400" w:firstRow="0" w:lastRow="0" w:firstColumn="0" w:lastColumn="0" w:noHBand="0" w:noVBand="1"/>
          </w:tblPr>
          <w:tblGrid>
            <w:gridCol w:w="2539"/>
            <w:gridCol w:w="4677"/>
          </w:tblGrid>
          <w:tr w:rsidR="001E4415" w:rsidRPr="00A32F93" w:rsidTr="005D5FE7">
            <w:trPr>
              <w:trHeight w:val="144"/>
            </w:trPr>
            <w:tc>
              <w:tcPr>
                <w:tcW w:w="2539" w:type="dxa"/>
                <w:shd w:val="clear" w:color="auto" w:fill="auto"/>
              </w:tcPr>
              <w:p w:rsidR="001E4415" w:rsidRPr="00A32F93" w:rsidRDefault="007873F4" w:rsidP="00A32F93">
                <w:pPr>
                  <w:tabs>
                    <w:tab w:val="right" w:pos="8838"/>
                  </w:tabs>
                  <w:ind w:left="-264" w:right="-105" w:firstLine="195"/>
                  <w:jc w:val="right"/>
                  <w:rPr>
                    <w:rFonts w:ascii="Palatino Linotype" w:eastAsia="Palatino Linotype" w:hAnsi="Palatino Linotype" w:cs="Palatino Linotype"/>
                    <w:b/>
                  </w:rPr>
                </w:pPr>
                <w:r w:rsidRPr="00A32F93">
                  <w:rPr>
                    <w:rFonts w:ascii="Palatino Linotype" w:eastAsia="Palatino Linotype" w:hAnsi="Palatino Linotype" w:cs="Palatino Linotype"/>
                    <w:b/>
                  </w:rPr>
                  <w:t>Recurso de Revisión:</w:t>
                </w:r>
              </w:p>
            </w:tc>
            <w:tc>
              <w:tcPr>
                <w:tcW w:w="4677" w:type="dxa"/>
                <w:shd w:val="clear" w:color="auto" w:fill="auto"/>
              </w:tcPr>
              <w:p w:rsidR="001E4415" w:rsidRPr="00A32F93" w:rsidRDefault="007873F4" w:rsidP="00A32F93">
                <w:pPr>
                  <w:tabs>
                    <w:tab w:val="right" w:pos="8838"/>
                  </w:tabs>
                  <w:ind w:left="39" w:right="-105"/>
                  <w:jc w:val="both"/>
                  <w:rPr>
                    <w:rFonts w:ascii="Palatino Linotype" w:eastAsia="Palatino Linotype" w:hAnsi="Palatino Linotype" w:cs="Palatino Linotype"/>
                  </w:rPr>
                </w:pPr>
                <w:r w:rsidRPr="00A32F93">
                  <w:rPr>
                    <w:rFonts w:ascii="Palatino Linotype" w:eastAsia="Palatino Linotype" w:hAnsi="Palatino Linotype" w:cs="Palatino Linotype"/>
                  </w:rPr>
                  <w:t>01443/INFOEM/IP/RR/2025</w:t>
                </w:r>
              </w:p>
            </w:tc>
          </w:tr>
          <w:tr w:rsidR="001E4415" w:rsidRPr="00A32F93" w:rsidTr="005D5FE7">
            <w:trPr>
              <w:trHeight w:val="144"/>
            </w:trPr>
            <w:tc>
              <w:tcPr>
                <w:tcW w:w="2539" w:type="dxa"/>
                <w:shd w:val="clear" w:color="auto" w:fill="auto"/>
              </w:tcPr>
              <w:p w:rsidR="001E4415" w:rsidRPr="00A32F93" w:rsidRDefault="007873F4" w:rsidP="00A32F93">
                <w:pPr>
                  <w:tabs>
                    <w:tab w:val="right" w:pos="8838"/>
                  </w:tabs>
                  <w:ind w:left="-74"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Recurrente:</w:t>
                </w:r>
              </w:p>
            </w:tc>
            <w:tc>
              <w:tcPr>
                <w:tcW w:w="4677" w:type="dxa"/>
                <w:shd w:val="clear" w:color="auto" w:fill="auto"/>
              </w:tcPr>
              <w:p w:rsidR="001E4415" w:rsidRPr="00A32F93" w:rsidRDefault="005D5FE7" w:rsidP="00A32F93">
                <w:pPr>
                  <w:tabs>
                    <w:tab w:val="left" w:pos="3122"/>
                    <w:tab w:val="right" w:pos="8838"/>
                  </w:tabs>
                  <w:ind w:left="39"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1E4415" w:rsidRPr="00A32F93" w:rsidTr="005D5FE7">
            <w:trPr>
              <w:trHeight w:val="283"/>
            </w:trPr>
            <w:tc>
              <w:tcPr>
                <w:tcW w:w="2539" w:type="dxa"/>
                <w:shd w:val="clear" w:color="auto" w:fill="auto"/>
              </w:tcPr>
              <w:p w:rsidR="001E4415" w:rsidRPr="00A32F93" w:rsidRDefault="007873F4" w:rsidP="00A32F93">
                <w:pPr>
                  <w:tabs>
                    <w:tab w:val="right" w:pos="8838"/>
                  </w:tabs>
                  <w:ind w:left="-74"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Sujeto Obligado:</w:t>
                </w:r>
              </w:p>
            </w:tc>
            <w:tc>
              <w:tcPr>
                <w:tcW w:w="4677" w:type="dxa"/>
                <w:shd w:val="clear" w:color="auto" w:fill="auto"/>
              </w:tcPr>
              <w:p w:rsidR="001E4415" w:rsidRPr="00A32F93" w:rsidRDefault="007873F4" w:rsidP="00A32F93">
                <w:pPr>
                  <w:tabs>
                    <w:tab w:val="left" w:pos="2834"/>
                    <w:tab w:val="right" w:pos="8838"/>
                  </w:tabs>
                  <w:ind w:left="39" w:right="-105"/>
                  <w:jc w:val="both"/>
                  <w:rPr>
                    <w:rFonts w:ascii="Palatino Linotype" w:eastAsia="Palatino Linotype" w:hAnsi="Palatino Linotype" w:cs="Palatino Linotype"/>
                  </w:rPr>
                </w:pPr>
                <w:r w:rsidRPr="00A32F93">
                  <w:rPr>
                    <w:rFonts w:ascii="Palatino Linotype" w:eastAsia="Palatino Linotype" w:hAnsi="Palatino Linotype" w:cs="Palatino Linotype"/>
                  </w:rPr>
                  <w:t>Ayuntamiento de Ixtapaluca</w:t>
                </w:r>
              </w:p>
            </w:tc>
          </w:tr>
          <w:tr w:rsidR="001E4415" w:rsidRPr="00A32F93" w:rsidTr="005D5FE7">
            <w:trPr>
              <w:trHeight w:val="283"/>
            </w:trPr>
            <w:tc>
              <w:tcPr>
                <w:tcW w:w="2539" w:type="dxa"/>
                <w:shd w:val="clear" w:color="auto" w:fill="auto"/>
              </w:tcPr>
              <w:p w:rsidR="001E4415" w:rsidRPr="00A32F93" w:rsidRDefault="007873F4" w:rsidP="00A32F93">
                <w:pPr>
                  <w:tabs>
                    <w:tab w:val="right" w:pos="8838"/>
                  </w:tabs>
                  <w:ind w:left="-74" w:right="-105"/>
                  <w:jc w:val="right"/>
                  <w:rPr>
                    <w:rFonts w:ascii="Palatino Linotype" w:eastAsia="Palatino Linotype" w:hAnsi="Palatino Linotype" w:cs="Palatino Linotype"/>
                    <w:b/>
                  </w:rPr>
                </w:pPr>
                <w:r w:rsidRPr="00A32F93">
                  <w:rPr>
                    <w:rFonts w:ascii="Palatino Linotype" w:eastAsia="Palatino Linotype" w:hAnsi="Palatino Linotype" w:cs="Palatino Linotype"/>
                    <w:b/>
                  </w:rPr>
                  <w:t>Comisionada ponente:</w:t>
                </w:r>
              </w:p>
            </w:tc>
            <w:tc>
              <w:tcPr>
                <w:tcW w:w="4677" w:type="dxa"/>
                <w:shd w:val="clear" w:color="auto" w:fill="auto"/>
              </w:tcPr>
              <w:p w:rsidR="001E4415" w:rsidRPr="00A32F93" w:rsidRDefault="007873F4" w:rsidP="00A32F93">
                <w:pPr>
                  <w:tabs>
                    <w:tab w:val="right" w:pos="8838"/>
                  </w:tabs>
                  <w:ind w:left="39" w:right="-105"/>
                  <w:jc w:val="both"/>
                  <w:rPr>
                    <w:rFonts w:ascii="Palatino Linotype" w:eastAsia="Palatino Linotype" w:hAnsi="Palatino Linotype" w:cs="Palatino Linotype"/>
                  </w:rPr>
                </w:pPr>
                <w:r w:rsidRPr="00A32F93">
                  <w:rPr>
                    <w:rFonts w:ascii="Palatino Linotype" w:eastAsia="Palatino Linotype" w:hAnsi="Palatino Linotype" w:cs="Palatino Linotype"/>
                  </w:rPr>
                  <w:t>María del Rosario Mejía Ayala</w:t>
                </w:r>
              </w:p>
              <w:p w:rsidR="001E4415" w:rsidRPr="00A32F93" w:rsidRDefault="001E4415" w:rsidP="00A32F93">
                <w:pPr>
                  <w:tabs>
                    <w:tab w:val="right" w:pos="8838"/>
                  </w:tabs>
                  <w:ind w:left="39" w:right="-105"/>
                  <w:jc w:val="both"/>
                  <w:rPr>
                    <w:rFonts w:ascii="Palatino Linotype" w:eastAsia="Palatino Linotype" w:hAnsi="Palatino Linotype" w:cs="Palatino Linotype"/>
                  </w:rPr>
                </w:pPr>
              </w:p>
            </w:tc>
          </w:tr>
        </w:tbl>
        <w:p w:rsidR="001E4415" w:rsidRDefault="001E4415">
          <w:pPr>
            <w:tabs>
              <w:tab w:val="right" w:pos="8838"/>
            </w:tabs>
            <w:ind w:left="-28"/>
            <w:jc w:val="both"/>
            <w:rPr>
              <w:rFonts w:ascii="Arial" w:eastAsia="Arial" w:hAnsi="Arial" w:cs="Arial"/>
              <w:b/>
              <w:sz w:val="22"/>
              <w:szCs w:val="22"/>
            </w:rPr>
          </w:pPr>
        </w:p>
      </w:tc>
    </w:tr>
  </w:tbl>
  <w:p w:rsidR="001E4415" w:rsidRDefault="005D5FE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2.2pt;margin-top:-116.75pt;width:589.8pt;height:768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2845"/>
    <w:multiLevelType w:val="multilevel"/>
    <w:tmpl w:val="35BE1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D078D5"/>
    <w:multiLevelType w:val="multilevel"/>
    <w:tmpl w:val="A27E61C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0AA4566E"/>
    <w:multiLevelType w:val="multilevel"/>
    <w:tmpl w:val="E5023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B26AE0"/>
    <w:multiLevelType w:val="multilevel"/>
    <w:tmpl w:val="AF9A12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F84FED"/>
    <w:multiLevelType w:val="hybridMultilevel"/>
    <w:tmpl w:val="33581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BC4706"/>
    <w:multiLevelType w:val="hybridMultilevel"/>
    <w:tmpl w:val="F3908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F44A86"/>
    <w:multiLevelType w:val="multilevel"/>
    <w:tmpl w:val="5896C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EE0039"/>
    <w:multiLevelType w:val="multilevel"/>
    <w:tmpl w:val="750023C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65814168"/>
    <w:multiLevelType w:val="multilevel"/>
    <w:tmpl w:val="D324C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3F4D3E"/>
    <w:multiLevelType w:val="multilevel"/>
    <w:tmpl w:val="212ACDD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81A5DE0"/>
    <w:multiLevelType w:val="multilevel"/>
    <w:tmpl w:val="2AA46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8"/>
  </w:num>
  <w:num w:numId="4">
    <w:abstractNumId w:val="9"/>
  </w:num>
  <w:num w:numId="5">
    <w:abstractNumId w:val="7"/>
  </w:num>
  <w:num w:numId="6">
    <w:abstractNumId w:val="1"/>
  </w:num>
  <w:num w:numId="7">
    <w:abstractNumId w:val="2"/>
  </w:num>
  <w:num w:numId="8">
    <w:abstractNumId w:val="10"/>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15"/>
    <w:rsid w:val="001E31DC"/>
    <w:rsid w:val="001E4415"/>
    <w:rsid w:val="00272DC5"/>
    <w:rsid w:val="005C7156"/>
    <w:rsid w:val="005D5FE7"/>
    <w:rsid w:val="007873F4"/>
    <w:rsid w:val="00A32F93"/>
    <w:rsid w:val="00B16F3D"/>
    <w:rsid w:val="00BE75B7"/>
    <w:rsid w:val="00C50F3D"/>
    <w:rsid w:val="00D31D5F"/>
    <w:rsid w:val="00D46A19"/>
    <w:rsid w:val="00E7206F"/>
    <w:rsid w:val="00E73894"/>
    <w:rsid w:val="00F83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F3BE17-43EC-4C0A-A07A-87EE3E60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B4293"/>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B4293"/>
    <w:pPr>
      <w:tabs>
        <w:tab w:val="center" w:pos="4419"/>
        <w:tab w:val="right" w:pos="8838"/>
      </w:tabs>
    </w:pPr>
  </w:style>
  <w:style w:type="character" w:customStyle="1" w:styleId="EncabezadoCar">
    <w:name w:val="Encabezado Car"/>
    <w:basedOn w:val="Fuentedeprrafopredeter"/>
    <w:link w:val="Encabezado"/>
    <w:uiPriority w:val="99"/>
    <w:rsid w:val="007B429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B4293"/>
    <w:pPr>
      <w:tabs>
        <w:tab w:val="center" w:pos="4419"/>
        <w:tab w:val="right" w:pos="8838"/>
      </w:tabs>
    </w:pPr>
  </w:style>
  <w:style w:type="character" w:customStyle="1" w:styleId="PiedepginaCar">
    <w:name w:val="Pie de página Car"/>
    <w:basedOn w:val="Fuentedeprrafopredeter"/>
    <w:link w:val="Piedepgina"/>
    <w:uiPriority w:val="99"/>
    <w:rsid w:val="007B429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429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B4293"/>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B4293"/>
    <w:rPr>
      <w:color w:val="0563C1"/>
      <w:u w:val="single"/>
    </w:rPr>
  </w:style>
  <w:style w:type="character" w:styleId="Hipervnculovisitado">
    <w:name w:val="FollowedHyperlink"/>
    <w:basedOn w:val="Fuentedeprrafopredeter"/>
    <w:uiPriority w:val="99"/>
    <w:semiHidden/>
    <w:unhideWhenUsed/>
    <w:rsid w:val="0029287C"/>
    <w:rPr>
      <w:color w:val="954F72" w:themeColor="followedHyperlink"/>
      <w:u w:val="single"/>
    </w:rPr>
  </w:style>
  <w:style w:type="character" w:customStyle="1" w:styleId="Ttulo2Car">
    <w:name w:val="Título 2 Car"/>
    <w:basedOn w:val="Fuentedeprrafopredeter"/>
    <w:uiPriority w:val="9"/>
    <w:rsid w:val="0029287C"/>
    <w:rPr>
      <w:rFonts w:asciiTheme="majorHAnsi" w:eastAsiaTheme="majorEastAsia" w:hAnsiTheme="majorHAnsi" w:cstheme="majorBidi"/>
      <w:color w:val="2E74B5" w:themeColor="accent1" w:themeShade="BF"/>
      <w:sz w:val="26"/>
      <w:szCs w:val="2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FA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5FA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35FAD"/>
    <w:rPr>
      <w:vertAlign w:val="superscript"/>
    </w:rPr>
  </w:style>
  <w:style w:type="paragraph" w:styleId="Sangradetextonormal">
    <w:name w:val="Body Text Indent"/>
    <w:basedOn w:val="Normal"/>
    <w:link w:val="SangradetextonormalCar"/>
    <w:unhideWhenUsed/>
    <w:rsid w:val="00744CEC"/>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744CEC"/>
    <w:rPr>
      <w:rFonts w:ascii="Calibri" w:eastAsia="Calibri" w:hAnsi="Calibri" w:cs="Times New Roman"/>
      <w:lang w:val="x-none"/>
    </w:rPr>
  </w:style>
  <w:style w:type="table" w:styleId="Tablaconcuadrcula">
    <w:name w:val="Table Grid"/>
    <w:basedOn w:val="Tablanormal"/>
    <w:uiPriority w:val="39"/>
    <w:rsid w:val="00A1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0001.page"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idp7l0sUvpnR50jOUulxiqt6g==">CgMxLjAyDmguaHY1M21sdXAzcjNwMg5oLjhjNGl6czhrbHJ0NzIOaC43MmNidWd6OXNxNTgyDmgubmtnZGhoc3YyZGlxMg5oLmdzcmxmemVpeGNxczIJaC4zMGowemxsMg5oLnpiaHVudWNsYnhrOTIJaC4xZm9iOXRlMg5oLmM4NDZtZjlqMnZpcjIOaC50NndqaGU3anc4MXg4AHIhMVNsRURuQmJPZFRyaU5MX2lNQmNsRHE1VU9iYWpIQklL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9178</Words>
  <Characters>50481</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2025-07-04T16:29:00Z</cp:lastPrinted>
  <dcterms:created xsi:type="dcterms:W3CDTF">2025-06-26T16:02:00Z</dcterms:created>
  <dcterms:modified xsi:type="dcterms:W3CDTF">2025-07-07T19:36:00Z</dcterms:modified>
</cp:coreProperties>
</file>