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sz w:val="22"/>
          <w:szCs w:val="22"/>
          <w:lang w:val="es-ES" w:eastAsia="es-ES"/>
        </w:rPr>
        <w:id w:val="-1350334537"/>
        <w:docPartObj>
          <w:docPartGallery w:val="Table of Contents"/>
          <w:docPartUnique/>
        </w:docPartObj>
      </w:sdtPr>
      <w:sdtEndPr>
        <w:rPr>
          <w:lang w:eastAsia="es-MX"/>
        </w:rPr>
      </w:sdtEndPr>
      <w:sdtContent>
        <w:p w14:paraId="699E02C7" w14:textId="77777777" w:rsidR="005E609A" w:rsidRPr="005E609A" w:rsidRDefault="005E609A" w:rsidP="005E609A">
          <w:pPr>
            <w:pStyle w:val="TtulodeTDC"/>
            <w:spacing w:line="276" w:lineRule="auto"/>
            <w:ind w:left="567" w:right="567"/>
            <w:rPr>
              <w:rFonts w:ascii="Palatino Linotype" w:hAnsi="Palatino Linotype"/>
              <w:sz w:val="22"/>
              <w:szCs w:val="22"/>
            </w:rPr>
          </w:pPr>
          <w:r w:rsidRPr="005E609A">
            <w:rPr>
              <w:rFonts w:ascii="Palatino Linotype" w:hAnsi="Palatino Linotype"/>
              <w:sz w:val="22"/>
              <w:szCs w:val="22"/>
              <w:lang w:val="es-ES"/>
            </w:rPr>
            <w:t>Contenido</w:t>
          </w:r>
        </w:p>
        <w:p w14:paraId="2FCCB78F" w14:textId="1A24A0E9" w:rsidR="005E609A" w:rsidRPr="005E609A" w:rsidRDefault="005E609A">
          <w:pPr>
            <w:pStyle w:val="TDC1"/>
            <w:rPr>
              <w:rFonts w:ascii="Palatino Linotype" w:eastAsiaTheme="minorEastAsia" w:hAnsi="Palatino Linotype" w:cstheme="minorBidi"/>
              <w:noProof/>
              <w:sz w:val="22"/>
              <w:szCs w:val="22"/>
            </w:rPr>
          </w:pPr>
          <w:r w:rsidRPr="005E609A">
            <w:rPr>
              <w:rFonts w:ascii="Palatino Linotype" w:hAnsi="Palatino Linotype"/>
              <w:sz w:val="22"/>
              <w:szCs w:val="22"/>
              <w:lang w:val="es-ES"/>
            </w:rPr>
            <w:fldChar w:fldCharType="begin"/>
          </w:r>
          <w:r w:rsidRPr="005E609A">
            <w:rPr>
              <w:rFonts w:ascii="Palatino Linotype" w:hAnsi="Palatino Linotype"/>
              <w:sz w:val="22"/>
              <w:szCs w:val="22"/>
              <w:lang w:val="es-ES"/>
            </w:rPr>
            <w:instrText xml:space="preserve"> TOC \o "1-3" \h \z \u </w:instrText>
          </w:r>
          <w:r w:rsidRPr="005E609A">
            <w:rPr>
              <w:rFonts w:ascii="Palatino Linotype" w:hAnsi="Palatino Linotype"/>
              <w:sz w:val="22"/>
              <w:szCs w:val="22"/>
              <w:lang w:val="es-ES"/>
            </w:rPr>
            <w:fldChar w:fldCharType="separate"/>
          </w:r>
          <w:hyperlink w:anchor="_Toc213945147" w:history="1">
            <w:r w:rsidRPr="005E609A">
              <w:rPr>
                <w:rStyle w:val="Hipervnculo"/>
                <w:rFonts w:ascii="Palatino Linotype" w:hAnsi="Palatino Linotype"/>
                <w:noProof/>
                <w:sz w:val="22"/>
                <w:szCs w:val="22"/>
              </w:rPr>
              <w:t>A N T E C E D E N T E S</w:t>
            </w:r>
            <w:r w:rsidRPr="005E609A">
              <w:rPr>
                <w:rFonts w:ascii="Palatino Linotype" w:hAnsi="Palatino Linotype"/>
                <w:noProof/>
                <w:webHidden/>
                <w:sz w:val="22"/>
                <w:szCs w:val="22"/>
              </w:rPr>
              <w:tab/>
            </w:r>
            <w:r w:rsidRPr="005E609A">
              <w:rPr>
                <w:rFonts w:ascii="Palatino Linotype" w:hAnsi="Palatino Linotype"/>
                <w:noProof/>
                <w:webHidden/>
                <w:sz w:val="22"/>
                <w:szCs w:val="22"/>
              </w:rPr>
              <w:fldChar w:fldCharType="begin"/>
            </w:r>
            <w:r w:rsidRPr="005E609A">
              <w:rPr>
                <w:rFonts w:ascii="Palatino Linotype" w:hAnsi="Palatino Linotype"/>
                <w:noProof/>
                <w:webHidden/>
                <w:sz w:val="22"/>
                <w:szCs w:val="22"/>
              </w:rPr>
              <w:instrText xml:space="preserve"> PAGEREF _Toc213945147 \h </w:instrText>
            </w:r>
            <w:r w:rsidRPr="005E609A">
              <w:rPr>
                <w:rFonts w:ascii="Palatino Linotype" w:hAnsi="Palatino Linotype"/>
                <w:noProof/>
                <w:webHidden/>
                <w:sz w:val="22"/>
                <w:szCs w:val="22"/>
              </w:rPr>
            </w:r>
            <w:r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2</w:t>
            </w:r>
            <w:r w:rsidRPr="005E609A">
              <w:rPr>
                <w:rFonts w:ascii="Palatino Linotype" w:hAnsi="Palatino Linotype"/>
                <w:noProof/>
                <w:webHidden/>
                <w:sz w:val="22"/>
                <w:szCs w:val="22"/>
              </w:rPr>
              <w:fldChar w:fldCharType="end"/>
            </w:r>
          </w:hyperlink>
        </w:p>
        <w:p w14:paraId="5BAABC1E" w14:textId="4193B707"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48" w:history="1">
            <w:r w:rsidR="005E609A" w:rsidRPr="005E609A">
              <w:rPr>
                <w:rStyle w:val="Hipervnculo"/>
                <w:rFonts w:ascii="Palatino Linotype" w:hAnsi="Palatino Linotype"/>
                <w:noProof/>
                <w:sz w:val="22"/>
                <w:szCs w:val="22"/>
              </w:rPr>
              <w:t>I. Presentación de la solicitud de información</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_Toc213945148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2</w:t>
            </w:r>
            <w:r w:rsidR="005E609A" w:rsidRPr="005E609A">
              <w:rPr>
                <w:rFonts w:ascii="Palatino Linotype" w:hAnsi="Palatino Linotype"/>
                <w:noProof/>
                <w:webHidden/>
                <w:sz w:val="22"/>
                <w:szCs w:val="22"/>
              </w:rPr>
              <w:fldChar w:fldCharType="end"/>
            </w:r>
          </w:hyperlink>
        </w:p>
        <w:p w14:paraId="3FFFBC91" w14:textId="106240CE"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49" w:history="1">
            <w:r w:rsidR="005E609A" w:rsidRPr="005E609A">
              <w:rPr>
                <w:rStyle w:val="Hipervnculo"/>
                <w:rFonts w:ascii="Palatino Linotype" w:hAnsi="Palatino Linotype"/>
                <w:noProof/>
                <w:sz w:val="22"/>
                <w:szCs w:val="22"/>
              </w:rPr>
              <w:t>II. Respuesta del Sujeto Obligado</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_Toc213945149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3</w:t>
            </w:r>
            <w:r w:rsidR="005E609A" w:rsidRPr="005E609A">
              <w:rPr>
                <w:rFonts w:ascii="Palatino Linotype" w:hAnsi="Palatino Linotype"/>
                <w:noProof/>
                <w:webHidden/>
                <w:sz w:val="22"/>
                <w:szCs w:val="22"/>
              </w:rPr>
              <w:fldChar w:fldCharType="end"/>
            </w:r>
          </w:hyperlink>
        </w:p>
        <w:p w14:paraId="50F1CF35" w14:textId="1BD70C61"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50" w:history="1">
            <w:r w:rsidR="005E609A" w:rsidRPr="005E609A">
              <w:rPr>
                <w:rStyle w:val="Hipervnculo"/>
                <w:rFonts w:ascii="Palatino Linotype" w:hAnsi="Palatino Linotype"/>
                <w:noProof/>
                <w:sz w:val="22"/>
                <w:szCs w:val="22"/>
              </w:rPr>
              <w:t>III. Interposición del Recurso de Revisión</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_Toc213945150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3</w:t>
            </w:r>
            <w:r w:rsidR="005E609A" w:rsidRPr="005E609A">
              <w:rPr>
                <w:rFonts w:ascii="Palatino Linotype" w:hAnsi="Palatino Linotype"/>
                <w:noProof/>
                <w:webHidden/>
                <w:sz w:val="22"/>
                <w:szCs w:val="22"/>
              </w:rPr>
              <w:fldChar w:fldCharType="end"/>
            </w:r>
          </w:hyperlink>
        </w:p>
        <w:p w14:paraId="67A6F77F" w14:textId="137B4CB7"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51" w:history="1">
            <w:r w:rsidR="005E609A" w:rsidRPr="005E609A">
              <w:rPr>
                <w:rStyle w:val="Hipervnculo"/>
                <w:rFonts w:ascii="Palatino Linotype" w:hAnsi="Palatino Linotype"/>
                <w:noProof/>
                <w:sz w:val="22"/>
                <w:szCs w:val="22"/>
              </w:rPr>
              <w:t>IV. Trámite del Recurso de Revisión ante el Instituto</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_Toc213945151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8</w:t>
            </w:r>
            <w:r w:rsidR="005E609A" w:rsidRPr="005E609A">
              <w:rPr>
                <w:rFonts w:ascii="Palatino Linotype" w:hAnsi="Palatino Linotype"/>
                <w:noProof/>
                <w:webHidden/>
                <w:sz w:val="22"/>
                <w:szCs w:val="22"/>
              </w:rPr>
              <w:fldChar w:fldCharType="end"/>
            </w:r>
          </w:hyperlink>
        </w:p>
        <w:p w14:paraId="0B71BBC6" w14:textId="75210DF9" w:rsidR="005E609A" w:rsidRPr="005E609A" w:rsidRDefault="009A634D">
          <w:pPr>
            <w:pStyle w:val="TDC1"/>
            <w:rPr>
              <w:rFonts w:ascii="Palatino Linotype" w:eastAsiaTheme="minorEastAsia" w:hAnsi="Palatino Linotype" w:cstheme="minorBidi"/>
              <w:noProof/>
              <w:sz w:val="22"/>
              <w:szCs w:val="22"/>
            </w:rPr>
          </w:pPr>
          <w:hyperlink w:anchor="_Toc213945152" w:history="1">
            <w:r w:rsidR="005E609A" w:rsidRPr="005E609A">
              <w:rPr>
                <w:rStyle w:val="Hipervnculo"/>
                <w:rFonts w:ascii="Palatino Linotype" w:hAnsi="Palatino Linotype"/>
                <w:noProof/>
                <w:sz w:val="22"/>
                <w:szCs w:val="22"/>
              </w:rPr>
              <w:t>C O N S I D E R A N D O S</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_Toc213945152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9</w:t>
            </w:r>
            <w:r w:rsidR="005E609A" w:rsidRPr="005E609A">
              <w:rPr>
                <w:rFonts w:ascii="Palatino Linotype" w:hAnsi="Palatino Linotype"/>
                <w:noProof/>
                <w:webHidden/>
                <w:sz w:val="22"/>
                <w:szCs w:val="22"/>
              </w:rPr>
              <w:fldChar w:fldCharType="end"/>
            </w:r>
          </w:hyperlink>
        </w:p>
        <w:p w14:paraId="253D5F57" w14:textId="0477AE8B"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53" w:history="1">
            <w:r w:rsidR="005E609A" w:rsidRPr="005E609A">
              <w:rPr>
                <w:rStyle w:val="Hipervnculo"/>
                <w:rFonts w:ascii="Palatino Linotype" w:hAnsi="Palatino Linotype"/>
                <w:noProof/>
                <w:sz w:val="22"/>
                <w:szCs w:val="22"/>
              </w:rPr>
              <w:t>PRIMERO. Competencia</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_Toc213945153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9</w:t>
            </w:r>
            <w:r w:rsidR="005E609A" w:rsidRPr="005E609A">
              <w:rPr>
                <w:rFonts w:ascii="Palatino Linotype" w:hAnsi="Palatino Linotype"/>
                <w:noProof/>
                <w:webHidden/>
                <w:sz w:val="22"/>
                <w:szCs w:val="22"/>
              </w:rPr>
              <w:fldChar w:fldCharType="end"/>
            </w:r>
          </w:hyperlink>
        </w:p>
        <w:p w14:paraId="3E7F603A" w14:textId="1ED236E6"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54" w:history="1">
            <w:r w:rsidR="005E609A" w:rsidRPr="005E609A">
              <w:rPr>
                <w:rStyle w:val="Hipervnculo"/>
                <w:rFonts w:ascii="Palatino Linotype" w:hAnsi="Palatino Linotype"/>
                <w:noProof/>
                <w:sz w:val="22"/>
                <w:szCs w:val="22"/>
              </w:rPr>
              <w:t>SEGUNDO. Causales de improcedencia y Sobreseimiento</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_Toc213945154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10</w:t>
            </w:r>
            <w:r w:rsidR="005E609A" w:rsidRPr="005E609A">
              <w:rPr>
                <w:rFonts w:ascii="Palatino Linotype" w:hAnsi="Palatino Linotype"/>
                <w:noProof/>
                <w:webHidden/>
                <w:sz w:val="22"/>
                <w:szCs w:val="22"/>
              </w:rPr>
              <w:fldChar w:fldCharType="end"/>
            </w:r>
          </w:hyperlink>
        </w:p>
        <w:p w14:paraId="379B5FD2" w14:textId="2EE3D6E2"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55" w:history="1">
            <w:r w:rsidR="005E609A" w:rsidRPr="005E609A">
              <w:rPr>
                <w:rStyle w:val="Hipervnculo"/>
                <w:rFonts w:ascii="Palatino Linotype" w:hAnsi="Palatino Linotype"/>
                <w:noProof/>
                <w:sz w:val="22"/>
                <w:szCs w:val="22"/>
              </w:rPr>
              <w:t>TERCERO. Determinación de la Controversia</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_Toc213945155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12</w:t>
            </w:r>
            <w:r w:rsidR="005E609A" w:rsidRPr="005E609A">
              <w:rPr>
                <w:rFonts w:ascii="Palatino Linotype" w:hAnsi="Palatino Linotype"/>
                <w:noProof/>
                <w:webHidden/>
                <w:sz w:val="22"/>
                <w:szCs w:val="22"/>
              </w:rPr>
              <w:fldChar w:fldCharType="end"/>
            </w:r>
          </w:hyperlink>
        </w:p>
        <w:p w14:paraId="5EB7D174" w14:textId="198243BF"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56" w:history="1">
            <w:r w:rsidR="005E609A" w:rsidRPr="005E609A">
              <w:rPr>
                <w:rStyle w:val="Hipervnculo"/>
                <w:rFonts w:ascii="Palatino Linotype" w:hAnsi="Palatino Linotype"/>
                <w:noProof/>
                <w:sz w:val="22"/>
                <w:szCs w:val="22"/>
              </w:rPr>
              <w:t>CUARTO. Marco normativo aplicable en materia de transparencia y acceso a la información pública</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_Toc213945156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13</w:t>
            </w:r>
            <w:r w:rsidR="005E609A" w:rsidRPr="005E609A">
              <w:rPr>
                <w:rFonts w:ascii="Palatino Linotype" w:hAnsi="Palatino Linotype"/>
                <w:noProof/>
                <w:webHidden/>
                <w:sz w:val="22"/>
                <w:szCs w:val="22"/>
              </w:rPr>
              <w:fldChar w:fldCharType="end"/>
            </w:r>
          </w:hyperlink>
        </w:p>
        <w:p w14:paraId="4CEB4AFF" w14:textId="4B4852E3"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57" w:history="1">
            <w:r w:rsidR="005E609A" w:rsidRPr="005E609A">
              <w:rPr>
                <w:rStyle w:val="Hipervnculo"/>
                <w:rFonts w:ascii="Palatino Linotype" w:hAnsi="Palatino Linotype"/>
                <w:noProof/>
                <w:sz w:val="22"/>
                <w:szCs w:val="22"/>
              </w:rPr>
              <w:t>QUINTO. Estudio de Fondo</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_Toc213945157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14</w:t>
            </w:r>
            <w:r w:rsidR="005E609A" w:rsidRPr="005E609A">
              <w:rPr>
                <w:rFonts w:ascii="Palatino Linotype" w:hAnsi="Palatino Linotype"/>
                <w:noProof/>
                <w:webHidden/>
                <w:sz w:val="22"/>
                <w:szCs w:val="22"/>
              </w:rPr>
              <w:fldChar w:fldCharType="end"/>
            </w:r>
          </w:hyperlink>
        </w:p>
        <w:p w14:paraId="79A8FC23" w14:textId="1FF2382A"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58" w:history="1">
            <w:r w:rsidR="005E609A" w:rsidRPr="005E609A">
              <w:rPr>
                <w:rStyle w:val="Hipervnculo"/>
                <w:rFonts w:ascii="Palatino Linotype" w:hAnsi="Palatino Linotype"/>
                <w:noProof/>
                <w:sz w:val="22"/>
                <w:szCs w:val="22"/>
              </w:rPr>
              <w:t>SEXTO. Decisión</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_Toc213945158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19</w:t>
            </w:r>
            <w:r w:rsidR="005E609A" w:rsidRPr="005E609A">
              <w:rPr>
                <w:rFonts w:ascii="Palatino Linotype" w:hAnsi="Palatino Linotype"/>
                <w:noProof/>
                <w:webHidden/>
                <w:sz w:val="22"/>
                <w:szCs w:val="22"/>
              </w:rPr>
              <w:fldChar w:fldCharType="end"/>
            </w:r>
          </w:hyperlink>
        </w:p>
        <w:p w14:paraId="62DDD34F" w14:textId="743AB11A" w:rsidR="005E609A" w:rsidRPr="005E609A" w:rsidRDefault="009A634D">
          <w:pPr>
            <w:pStyle w:val="TDC2"/>
            <w:tabs>
              <w:tab w:val="right" w:leader="dot" w:pos="9034"/>
            </w:tabs>
            <w:rPr>
              <w:rFonts w:ascii="Palatino Linotype" w:eastAsiaTheme="minorEastAsia" w:hAnsi="Palatino Linotype" w:cstheme="minorBidi"/>
              <w:noProof/>
              <w:sz w:val="22"/>
              <w:szCs w:val="22"/>
            </w:rPr>
          </w:pPr>
          <w:hyperlink w:anchor="_Toc213945159" w:history="1">
            <w:r w:rsidR="005E609A" w:rsidRPr="005E609A">
              <w:rPr>
                <w:rStyle w:val="Hipervnculo"/>
                <w:rFonts w:ascii="Palatino Linotype" w:hAnsi="Palatino Linotype"/>
                <w:noProof/>
                <w:sz w:val="22"/>
                <w:szCs w:val="22"/>
              </w:rPr>
              <w:t>SÉPTIMO. Vista a la Secretaría Técnica del Pleno</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_Toc213945159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20</w:t>
            </w:r>
            <w:r w:rsidR="005E609A" w:rsidRPr="005E609A">
              <w:rPr>
                <w:rFonts w:ascii="Palatino Linotype" w:hAnsi="Palatino Linotype"/>
                <w:noProof/>
                <w:webHidden/>
                <w:sz w:val="22"/>
                <w:szCs w:val="22"/>
              </w:rPr>
              <w:fldChar w:fldCharType="end"/>
            </w:r>
          </w:hyperlink>
        </w:p>
        <w:p w14:paraId="73005CA1" w14:textId="17D51E62" w:rsidR="005E609A" w:rsidRPr="005E609A" w:rsidRDefault="009A634D">
          <w:pPr>
            <w:pStyle w:val="TDC1"/>
            <w:rPr>
              <w:rFonts w:ascii="Palatino Linotype" w:eastAsiaTheme="minorEastAsia" w:hAnsi="Palatino Linotype" w:cstheme="minorBidi"/>
              <w:noProof/>
              <w:sz w:val="22"/>
              <w:szCs w:val="22"/>
            </w:rPr>
          </w:pPr>
          <w:hyperlink w:anchor="_Toc213945160" w:history="1">
            <w:r w:rsidR="005E609A" w:rsidRPr="005E609A">
              <w:rPr>
                <w:rStyle w:val="Hipervnculo"/>
                <w:rFonts w:ascii="Palatino Linotype" w:hAnsi="Palatino Linotype"/>
                <w:noProof/>
                <w:sz w:val="22"/>
                <w:szCs w:val="22"/>
              </w:rPr>
              <w:t>R E S U E L V E</w:t>
            </w:r>
            <w:r w:rsidR="005E609A" w:rsidRPr="005E609A">
              <w:rPr>
                <w:rFonts w:ascii="Palatino Linotype" w:hAnsi="Palatino Linotype"/>
                <w:noProof/>
                <w:webHidden/>
                <w:sz w:val="22"/>
                <w:szCs w:val="22"/>
              </w:rPr>
              <w:tab/>
            </w:r>
            <w:r w:rsidR="005E609A" w:rsidRPr="005E609A">
              <w:rPr>
                <w:rFonts w:ascii="Palatino Linotype" w:hAnsi="Palatino Linotype"/>
                <w:noProof/>
                <w:webHidden/>
                <w:sz w:val="22"/>
                <w:szCs w:val="22"/>
              </w:rPr>
              <w:fldChar w:fldCharType="begin"/>
            </w:r>
            <w:r w:rsidR="005E609A" w:rsidRPr="005E609A">
              <w:rPr>
                <w:rFonts w:ascii="Palatino Linotype" w:hAnsi="Palatino Linotype"/>
                <w:noProof/>
                <w:webHidden/>
                <w:sz w:val="22"/>
                <w:szCs w:val="22"/>
              </w:rPr>
              <w:instrText xml:space="preserve"> PAGEREF _Toc213945160 \h </w:instrText>
            </w:r>
            <w:r w:rsidR="005E609A" w:rsidRPr="005E609A">
              <w:rPr>
                <w:rFonts w:ascii="Palatino Linotype" w:hAnsi="Palatino Linotype"/>
                <w:noProof/>
                <w:webHidden/>
                <w:sz w:val="22"/>
                <w:szCs w:val="22"/>
              </w:rPr>
            </w:r>
            <w:r w:rsidR="005E609A" w:rsidRPr="005E609A">
              <w:rPr>
                <w:rFonts w:ascii="Palatino Linotype" w:hAnsi="Palatino Linotype"/>
                <w:noProof/>
                <w:webHidden/>
                <w:sz w:val="22"/>
                <w:szCs w:val="22"/>
              </w:rPr>
              <w:fldChar w:fldCharType="separate"/>
            </w:r>
            <w:r w:rsidR="00F25F49">
              <w:rPr>
                <w:rFonts w:ascii="Palatino Linotype" w:hAnsi="Palatino Linotype"/>
                <w:noProof/>
                <w:webHidden/>
                <w:sz w:val="22"/>
                <w:szCs w:val="22"/>
              </w:rPr>
              <w:t>22</w:t>
            </w:r>
            <w:r w:rsidR="005E609A" w:rsidRPr="005E609A">
              <w:rPr>
                <w:rFonts w:ascii="Palatino Linotype" w:hAnsi="Palatino Linotype"/>
                <w:noProof/>
                <w:webHidden/>
                <w:sz w:val="22"/>
                <w:szCs w:val="22"/>
              </w:rPr>
              <w:fldChar w:fldCharType="end"/>
            </w:r>
          </w:hyperlink>
        </w:p>
        <w:p w14:paraId="5D8ECB23" w14:textId="77777777" w:rsidR="005E609A" w:rsidRPr="005E609A" w:rsidRDefault="005E609A" w:rsidP="005E609A">
          <w:pPr>
            <w:spacing w:line="276" w:lineRule="auto"/>
            <w:ind w:left="567" w:right="567"/>
            <w:rPr>
              <w:rFonts w:ascii="Palatino Linotype" w:hAnsi="Palatino Linotype"/>
              <w:sz w:val="22"/>
              <w:szCs w:val="22"/>
            </w:rPr>
          </w:pPr>
          <w:r w:rsidRPr="005E609A">
            <w:rPr>
              <w:rFonts w:ascii="Palatino Linotype" w:hAnsi="Palatino Linotype"/>
              <w:sz w:val="22"/>
              <w:szCs w:val="22"/>
              <w:lang w:val="es-ES"/>
            </w:rPr>
            <w:fldChar w:fldCharType="end"/>
          </w:r>
        </w:p>
      </w:sdtContent>
    </w:sdt>
    <w:p w14:paraId="36CD9617" w14:textId="77777777" w:rsidR="00027663" w:rsidRDefault="005E609A">
      <w:pPr>
        <w:spacing w:line="360" w:lineRule="auto"/>
        <w:jc w:val="both"/>
        <w:rPr>
          <w:rFonts w:ascii="Palatino Linotype" w:hAnsi="Palatino Linotype"/>
          <w:sz w:val="22"/>
          <w:szCs w:val="22"/>
        </w:rPr>
      </w:pPr>
      <w:r w:rsidRPr="005E609A">
        <w:rPr>
          <w:rFonts w:ascii="Palatino Linotype" w:hAnsi="Palatino Linotype"/>
          <w:sz w:val="22"/>
          <w:szCs w:val="22"/>
        </w:rPr>
        <w:t xml:space="preserve"> </w:t>
      </w:r>
      <w:r w:rsidR="004D5CC5" w:rsidRPr="005E609A">
        <w:rPr>
          <w:rFonts w:ascii="Palatino Linotype" w:hAnsi="Palatino Linotype"/>
          <w:sz w:val="22"/>
          <w:szCs w:val="22"/>
        </w:rPr>
        <w:br w:type="column"/>
      </w:r>
    </w:p>
    <w:p w14:paraId="52E5B01A" w14:textId="54D2A445" w:rsidR="003A5EAB" w:rsidRDefault="004D5CC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w:t>
      </w:r>
      <w:r w:rsidR="00A70981">
        <w:rPr>
          <w:rFonts w:ascii="Palatino Linotype" w:eastAsia="Palatino Linotype" w:hAnsi="Palatino Linotype" w:cs="Palatino Linotype"/>
          <w:sz w:val="22"/>
          <w:szCs w:val="22"/>
        </w:rPr>
        <w:t xml:space="preserve">doce de noviembre </w:t>
      </w:r>
      <w:r>
        <w:rPr>
          <w:rFonts w:ascii="Palatino Linotype" w:eastAsia="Palatino Linotype" w:hAnsi="Palatino Linotype" w:cs="Palatino Linotype"/>
          <w:sz w:val="22"/>
          <w:szCs w:val="22"/>
        </w:rPr>
        <w:t xml:space="preserve">de dos mil veinticinco. </w:t>
      </w:r>
    </w:p>
    <w:p w14:paraId="50A1A757" w14:textId="77777777" w:rsidR="003A5EAB" w:rsidRDefault="003A5EAB">
      <w:pPr>
        <w:spacing w:line="360" w:lineRule="auto"/>
        <w:jc w:val="both"/>
        <w:rPr>
          <w:rFonts w:ascii="Palatino Linotype" w:eastAsia="Palatino Linotype" w:hAnsi="Palatino Linotype" w:cs="Palatino Linotype"/>
          <w:color w:val="000000"/>
          <w:sz w:val="22"/>
          <w:szCs w:val="22"/>
        </w:rPr>
      </w:pPr>
    </w:p>
    <w:p w14:paraId="649DA2E6" w14:textId="7B9415D4" w:rsidR="003A5EAB" w:rsidRDefault="004D5CC5">
      <w:pPr>
        <w:spacing w:line="360" w:lineRule="auto"/>
        <w:jc w:val="both"/>
        <w:rPr>
          <w:rFonts w:ascii="Palatino Linotype" w:eastAsia="Palatino Linotype" w:hAnsi="Palatino Linotype" w:cs="Palatino Linotype"/>
          <w:color w:val="000000"/>
          <w:sz w:val="22"/>
          <w:szCs w:val="22"/>
        </w:rPr>
      </w:pPr>
      <w:r w:rsidRPr="005E609A">
        <w:rPr>
          <w:rFonts w:ascii="Palatino Linotype" w:eastAsia="Palatino Linotype" w:hAnsi="Palatino Linotype" w:cs="Palatino Linotype"/>
          <w:b/>
          <w:color w:val="000000"/>
          <w:sz w:val="22"/>
          <w:szCs w:val="22"/>
        </w:rPr>
        <w:t xml:space="preserve">VISTO </w:t>
      </w:r>
      <w:r w:rsidRPr="005E609A">
        <w:rPr>
          <w:rFonts w:ascii="Palatino Linotype" w:eastAsia="Palatino Linotype" w:hAnsi="Palatino Linotype" w:cs="Palatino Linotype"/>
          <w:color w:val="000000"/>
          <w:sz w:val="22"/>
          <w:szCs w:val="22"/>
        </w:rPr>
        <w:t xml:space="preserve">el expediente conformado con motivo del Recurso de Revisión </w:t>
      </w:r>
      <w:r w:rsidRPr="00027663">
        <w:rPr>
          <w:rFonts w:ascii="Palatino Linotype" w:eastAsia="Palatino Linotype" w:hAnsi="Palatino Linotype" w:cs="Palatino Linotype"/>
          <w:b/>
          <w:sz w:val="22"/>
          <w:szCs w:val="22"/>
        </w:rPr>
        <w:t>11331/INFOEM/IP/RR/2025</w:t>
      </w:r>
      <w:r w:rsidRPr="005E609A">
        <w:rPr>
          <w:rFonts w:ascii="Palatino Linotype" w:eastAsia="Palatino Linotype" w:hAnsi="Palatino Linotype" w:cs="Palatino Linotype"/>
          <w:color w:val="000000"/>
          <w:sz w:val="22"/>
          <w:szCs w:val="22"/>
        </w:rPr>
        <w:t xml:space="preserve">, interpuesto por </w:t>
      </w:r>
      <w:bookmarkStart w:id="0" w:name="_GoBack"/>
      <w:bookmarkEnd w:id="0"/>
      <w:r w:rsidR="00F87C13" w:rsidRPr="00F87C13">
        <w:rPr>
          <w:rFonts w:ascii="Palatino Linotype" w:eastAsia="Palatino Linotype" w:hAnsi="Palatino Linotype" w:cs="Palatino Linotype"/>
          <w:sz w:val="22"/>
          <w:szCs w:val="22"/>
          <w:highlight w:val="black"/>
        </w:rPr>
        <w:t>XXXXXXXXXXXXXXXXXXXXXXXXXXXXX XXXXXXXXXXXXXXXX</w:t>
      </w:r>
      <w:r w:rsidRPr="005E609A">
        <w:rPr>
          <w:rFonts w:ascii="Palatino Linotype" w:eastAsia="Palatino Linotype" w:hAnsi="Palatino Linotype" w:cs="Palatino Linotype"/>
          <w:color w:val="000000"/>
          <w:sz w:val="22"/>
          <w:szCs w:val="22"/>
        </w:rPr>
        <w:t xml:space="preserve">, quien será la persona </w:t>
      </w:r>
      <w:r w:rsidRPr="005E609A">
        <w:rPr>
          <w:rFonts w:ascii="Palatino Linotype" w:eastAsia="Palatino Linotype" w:hAnsi="Palatino Linotype" w:cs="Palatino Linotype"/>
          <w:color w:val="0D0D0D"/>
          <w:sz w:val="22"/>
          <w:szCs w:val="22"/>
        </w:rPr>
        <w:t>Recurrente o Particular</w:t>
      </w:r>
      <w:r w:rsidRPr="005E609A">
        <w:rPr>
          <w:rFonts w:ascii="Palatino Linotype" w:eastAsia="Palatino Linotype" w:hAnsi="Palatino Linotype" w:cs="Palatino Linotype"/>
          <w:color w:val="000000"/>
          <w:sz w:val="22"/>
          <w:szCs w:val="22"/>
        </w:rPr>
        <w:t>, en contra de la falta de respuesta del Sujeto Obligado</w:t>
      </w:r>
      <w:r>
        <w:rPr>
          <w:rFonts w:ascii="Palatino Linotype" w:eastAsia="Palatino Linotype" w:hAnsi="Palatino Linotype" w:cs="Palatino Linotype"/>
          <w:color w:val="000000"/>
          <w:sz w:val="22"/>
          <w:szCs w:val="22"/>
        </w:rPr>
        <w:t xml:space="preserve">, </w:t>
      </w:r>
      <w:r w:rsidRPr="007854F0">
        <w:rPr>
          <w:rFonts w:ascii="Palatino Linotype" w:eastAsia="Palatino Linotype" w:hAnsi="Palatino Linotype" w:cs="Palatino Linotype"/>
          <w:b/>
          <w:bCs/>
          <w:color w:val="000000"/>
          <w:sz w:val="22"/>
          <w:szCs w:val="22"/>
        </w:rPr>
        <w:t>Sistema Municipal para el Desarrollo Integral de la Familia de Ixtapaluca,</w:t>
      </w:r>
      <w:r>
        <w:rPr>
          <w:rFonts w:ascii="Palatino Linotype" w:eastAsia="Palatino Linotype" w:hAnsi="Palatino Linotype" w:cs="Palatino Linotype"/>
          <w:color w:val="000000"/>
          <w:sz w:val="22"/>
          <w:szCs w:val="22"/>
        </w:rPr>
        <w:t xml:space="preserve"> a la solicitud de acceso a la información pública 00105/DIFIXTAPAL/IP/2025, se emite la presente Resolución, con base en los Antecedentes y Considerandos que a continuación se exponen:</w:t>
      </w:r>
    </w:p>
    <w:p w14:paraId="0E7F39C9" w14:textId="77777777" w:rsidR="003A5EAB" w:rsidRDefault="003A5EAB">
      <w:pPr>
        <w:pStyle w:val="Subttulo"/>
        <w:spacing w:after="0" w:line="360" w:lineRule="auto"/>
      </w:pPr>
    </w:p>
    <w:p w14:paraId="41D87A88" w14:textId="77777777" w:rsidR="003A5EAB" w:rsidRDefault="004D5CC5">
      <w:pPr>
        <w:pStyle w:val="Ttulo1"/>
      </w:pPr>
      <w:bookmarkStart w:id="1" w:name="_heading=h.k72hd8cjo8u9" w:colFirst="0" w:colLast="0"/>
      <w:bookmarkStart w:id="2" w:name="_Toc213945147"/>
      <w:bookmarkEnd w:id="1"/>
      <w:r>
        <w:t>A N T E C E D E N T E S</w:t>
      </w:r>
      <w:bookmarkEnd w:id="2"/>
    </w:p>
    <w:p w14:paraId="28E19B2F" w14:textId="77777777" w:rsidR="003A5EAB" w:rsidRDefault="003A5EAB">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p>
    <w:p w14:paraId="720B2380" w14:textId="77777777" w:rsidR="003A5EAB" w:rsidRDefault="004D5CC5">
      <w:pPr>
        <w:pStyle w:val="Ttulo2"/>
      </w:pPr>
      <w:bookmarkStart w:id="3" w:name="_heading=h.1ssepabjc6v8" w:colFirst="0" w:colLast="0"/>
      <w:bookmarkStart w:id="4" w:name="_Toc213945148"/>
      <w:bookmarkEnd w:id="3"/>
      <w:r>
        <w:t>I. Presentación de la solicitud de información</w:t>
      </w:r>
      <w:bookmarkEnd w:id="4"/>
    </w:p>
    <w:p w14:paraId="305DE601" w14:textId="77777777" w:rsidR="003A5EAB" w:rsidRDefault="003A5EAB">
      <w:pPr>
        <w:tabs>
          <w:tab w:val="left" w:pos="567"/>
        </w:tabs>
        <w:spacing w:line="360" w:lineRule="auto"/>
        <w:jc w:val="both"/>
        <w:rPr>
          <w:rFonts w:ascii="Palatino Linotype" w:eastAsia="Palatino Linotype" w:hAnsi="Palatino Linotype" w:cs="Palatino Linotype"/>
          <w:sz w:val="22"/>
          <w:szCs w:val="22"/>
        </w:rPr>
      </w:pPr>
    </w:p>
    <w:p w14:paraId="1D4D7B9F" w14:textId="77777777" w:rsidR="003A5EAB" w:rsidRDefault="004D5CC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ocho de septiembre de dos mil veinticinco</w:t>
      </w:r>
      <w:r>
        <w:rPr>
          <w:rFonts w:ascii="Palatino Linotype" w:eastAsia="Palatino Linotype" w:hAnsi="Palatino Linotype" w:cs="Palatino Linotype"/>
          <w:sz w:val="22"/>
          <w:szCs w:val="22"/>
        </w:rPr>
        <w:t>, el Particular presentó una solicitud de acceso a la información pública, a través del Sistema de Acceso a la Información Mexiquense (SAIMEX), ante el</w:t>
      </w:r>
      <w:r>
        <w:rPr>
          <w:rFonts w:ascii="Palatino Linotype" w:eastAsia="Palatino Linotype" w:hAnsi="Palatino Linotype" w:cs="Palatino Linotype"/>
          <w:color w:val="000000"/>
          <w:sz w:val="22"/>
          <w:szCs w:val="22"/>
        </w:rPr>
        <w:t xml:space="preserve"> Sistema Municipal para el Desarrollo Integral de la Familia de Ixtapaluca</w:t>
      </w:r>
      <w:r>
        <w:rPr>
          <w:rFonts w:ascii="Palatino Linotype" w:eastAsia="Palatino Linotype" w:hAnsi="Palatino Linotype" w:cs="Palatino Linotype"/>
          <w:sz w:val="22"/>
          <w:szCs w:val="22"/>
        </w:rPr>
        <w:t>, en los siguientes términos:</w:t>
      </w:r>
    </w:p>
    <w:p w14:paraId="408C52A3" w14:textId="77777777" w:rsidR="003A5EAB" w:rsidRDefault="003A5EAB">
      <w:pPr>
        <w:spacing w:line="360" w:lineRule="auto"/>
        <w:jc w:val="both"/>
        <w:rPr>
          <w:rFonts w:ascii="Palatino Linotype" w:eastAsia="Palatino Linotype" w:hAnsi="Palatino Linotype" w:cs="Palatino Linotype"/>
          <w:sz w:val="22"/>
          <w:szCs w:val="22"/>
        </w:rPr>
      </w:pPr>
    </w:p>
    <w:p w14:paraId="624B02D1" w14:textId="77777777" w:rsidR="003A5EAB" w:rsidRDefault="004D5CC5">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“DESCRIPCIÓN CLARA Y PRECISA DE LA INFORMACIÓN SOLICITADA</w:t>
      </w:r>
    </w:p>
    <w:p w14:paraId="72B7F054" w14:textId="77777777" w:rsidR="003A5EAB" w:rsidRDefault="004D5CC5">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Requiero que se me proporcione el comparativo entre el presupuesto autorizado y el presupuesto ejercido por el DIF Ixtapaluca en los años 2022, 2023 y 2024. 5.” (Sic.)</w:t>
      </w:r>
    </w:p>
    <w:p w14:paraId="158BAFA5" w14:textId="77777777" w:rsidR="003A5EAB" w:rsidRDefault="003A5EAB">
      <w:pPr>
        <w:tabs>
          <w:tab w:val="left" w:pos="4667"/>
        </w:tabs>
        <w:spacing w:line="360" w:lineRule="auto"/>
        <w:ind w:left="567" w:right="567"/>
        <w:jc w:val="both"/>
        <w:rPr>
          <w:rFonts w:ascii="Palatino Linotype" w:eastAsia="Palatino Linotype" w:hAnsi="Palatino Linotype" w:cs="Palatino Linotype"/>
          <w:i/>
        </w:rPr>
      </w:pPr>
    </w:p>
    <w:p w14:paraId="2ADDFA6D" w14:textId="77777777" w:rsidR="003A5EAB" w:rsidRDefault="004D5CC5">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“MODALIDAD DE ENTREGA</w:t>
      </w:r>
    </w:p>
    <w:p w14:paraId="20DCE4E4" w14:textId="77777777" w:rsidR="003A5EAB" w:rsidRDefault="004D5CC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A través del SAIMEX” </w:t>
      </w:r>
    </w:p>
    <w:p w14:paraId="5545C8A2" w14:textId="77777777" w:rsidR="003A5EAB" w:rsidRDefault="003A5EAB">
      <w:pPr>
        <w:spacing w:line="360" w:lineRule="auto"/>
        <w:jc w:val="both"/>
        <w:rPr>
          <w:rFonts w:ascii="Palatino Linotype" w:eastAsia="Palatino Linotype" w:hAnsi="Palatino Linotype" w:cs="Palatino Linotype"/>
          <w:sz w:val="22"/>
          <w:szCs w:val="22"/>
        </w:rPr>
      </w:pPr>
    </w:p>
    <w:p w14:paraId="712EC577" w14:textId="77777777" w:rsidR="003A5EAB" w:rsidRDefault="004D5CC5">
      <w:pPr>
        <w:pStyle w:val="Ttulo2"/>
      </w:pPr>
      <w:bookmarkStart w:id="5" w:name="_heading=h.cz3g1wv5twlu" w:colFirst="0" w:colLast="0"/>
      <w:bookmarkStart w:id="6" w:name="_Toc213945149"/>
      <w:bookmarkEnd w:id="5"/>
      <w:r>
        <w:t>II. Respuesta del Sujeto Obligado</w:t>
      </w:r>
      <w:bookmarkEnd w:id="6"/>
    </w:p>
    <w:p w14:paraId="2A5A6589" w14:textId="77777777" w:rsidR="003A5EAB" w:rsidRDefault="003A5EAB">
      <w:pPr>
        <w:spacing w:line="360" w:lineRule="auto"/>
        <w:jc w:val="both"/>
        <w:rPr>
          <w:rFonts w:ascii="Palatino Linotype" w:eastAsia="Palatino Linotype" w:hAnsi="Palatino Linotype" w:cs="Palatino Linotype"/>
          <w:color w:val="000000"/>
          <w:sz w:val="22"/>
          <w:szCs w:val="22"/>
        </w:rPr>
      </w:pPr>
    </w:p>
    <w:p w14:paraId="68F6039F" w14:textId="77777777" w:rsidR="003A5EAB" w:rsidRDefault="004D5CC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163, párrafo primero de la Ley de Transparencia y Acceso a</w:t>
      </w:r>
    </w:p>
    <w:p w14:paraId="40F5D636" w14:textId="77777777" w:rsidR="003A5EAB" w:rsidRDefault="004D5CC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color w:val="000000"/>
          <w:sz w:val="22"/>
          <w:szCs w:val="22"/>
        </w:rPr>
        <w:t xml:space="preserve"> Sistema Municipal para el Desarrollo Integral de la Familia de Ixtapaluca</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32279B3A" w14:textId="77777777" w:rsidR="003A5EAB" w:rsidRDefault="003A5EAB">
      <w:pPr>
        <w:spacing w:line="360" w:lineRule="auto"/>
        <w:jc w:val="both"/>
        <w:rPr>
          <w:rFonts w:ascii="Palatino Linotype" w:eastAsia="Palatino Linotype" w:hAnsi="Palatino Linotype" w:cs="Palatino Linotype"/>
          <w:color w:val="000000"/>
          <w:sz w:val="22"/>
          <w:szCs w:val="22"/>
        </w:rPr>
      </w:pPr>
    </w:p>
    <w:p w14:paraId="347AD018" w14:textId="77777777" w:rsidR="003A5EAB" w:rsidRDefault="004D5CC5">
      <w:pPr>
        <w:pStyle w:val="Ttulo2"/>
      </w:pPr>
      <w:bookmarkStart w:id="7" w:name="_heading=h.1cviwg7ragfs" w:colFirst="0" w:colLast="0"/>
      <w:bookmarkStart w:id="8" w:name="_Toc213945150"/>
      <w:bookmarkEnd w:id="7"/>
      <w:r>
        <w:t>III. Interposición del Recurso de Revisión</w:t>
      </w:r>
      <w:bookmarkEnd w:id="8"/>
    </w:p>
    <w:p w14:paraId="668E0242" w14:textId="77777777" w:rsidR="003A5EAB" w:rsidRDefault="003A5EAB">
      <w:pPr>
        <w:spacing w:line="360" w:lineRule="auto"/>
        <w:jc w:val="both"/>
        <w:rPr>
          <w:rFonts w:ascii="Palatino Linotype" w:eastAsia="Palatino Linotype" w:hAnsi="Palatino Linotype" w:cs="Palatino Linotype"/>
          <w:b/>
          <w:color w:val="000000"/>
          <w:sz w:val="22"/>
          <w:szCs w:val="22"/>
        </w:rPr>
      </w:pPr>
    </w:p>
    <w:p w14:paraId="70F97A23"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dos de octubre de dos mil veinticinco, el Particular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2DCF7A97" w14:textId="77777777" w:rsidR="003A5EAB" w:rsidRDefault="003A5EAB">
      <w:pPr>
        <w:spacing w:line="360" w:lineRule="auto"/>
        <w:jc w:val="both"/>
        <w:rPr>
          <w:rFonts w:ascii="Palatino Linotype" w:eastAsia="Palatino Linotype" w:hAnsi="Palatino Linotype" w:cs="Palatino Linotype"/>
          <w:color w:val="000000"/>
          <w:sz w:val="22"/>
          <w:szCs w:val="22"/>
        </w:rPr>
      </w:pPr>
    </w:p>
    <w:p w14:paraId="0B9EBFA9" w14:textId="77777777" w:rsidR="003A5EAB" w:rsidRDefault="004D5CC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“ACTO IMPUGNADO</w:t>
      </w:r>
    </w:p>
    <w:p w14:paraId="642B70D6" w14:textId="77777777" w:rsidR="003A5EAB" w:rsidRDefault="004D5CC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Quien comparece en calidad de solicitante anónimo, con fundamento en el artículo 163 de la Ley de Transparencia y Acceso a la Información Pública del Estado de México y Municipios, interpone formalmente RECURSO DE REVISIÓN en contra del Sistema Municipal para el Desarrollo Integral de la Familia de Ixtapaluca (DIF Ixtapaluca), a través de su Unidad de Transparencia, con base en las siguientes consideraciones de hecho y de derecho: I. ANTECEDENTES Con fecha 08 de septiembre de 2025, presenté diversas solicitudes de acceso a la información pública mediante el Sistema de Acceso a la Información Mexiquense (SAIMEX), dirigidas al DIF Ixtapaluca. Las solicitudes fueron admitidas por la plataforma y cuentan con sus respectivos acuses de recepción, lo cual acredita su debida presentación. Al día de hoy, y habiendo transcurrido con exceso los plazos previstos en la Ley, no he recibido respuesta alguna, lo que configura una omisión absoluta y sistemática por parte de la Unidad de Transparencia del DIF Ixtapaluca. Este hecho no es un simple retraso administrativo, sino una conducta reiterada de opacidad institucional que demuestra la falta de interés de dicha Unidad en cumplir con los principios de legalidad, transparencia y rendición de cuentas que justifican su existencia. II. AGRAVIOS El incumplimiento descrito me causa los siguientes agravios: a) Violación a la Ley: El silencio administrativo constituye un incumplimiento del artículo 163 de la Ley de Transparencia, que establece la obligación de dar respuesta a las solicitudes dentro del plazo legal. b) Responsabilidad administrativa: La conducta de la Unidad de Transparencia encuadra en lo previsto por el artículo 122, fracciones I y II, al no atender las solicitudes y al actuar con negligencia grave en el desempeño de sus funciones. c) Afectación al derecho humano de acceso a la información: Esta omisión implica una vulneración directa al derecho reconocido en los artículos 6º de la Constitución Política de los Estados Unidos Mexicanos y 12 de la Constitución Política del Estado Libre y Soberano de México, los cuales garantizan el acceso pleno a la información pública gubernamental. d) Patrón de opacidad e inoperancia institucional: El incumplimiento sistemático convierte a la Unidad de Transparencia del DIF Ixtapaluca en un órgano meramente decorativo, que consume recursos sin cumplir su finalidad. La ciudadanía desconoce el destino real de los fondos públicos destinados al área, lo que plantea la sospecha de un uso simulado del presupuesto. e) Burla al principio de máxima publicidad: La ausencia de respuesta </w:t>
      </w:r>
      <w:r>
        <w:rPr>
          <w:rFonts w:ascii="Palatino Linotype" w:eastAsia="Palatino Linotype" w:hAnsi="Palatino Linotype" w:cs="Palatino Linotype"/>
          <w:i/>
          <w:color w:val="000000"/>
        </w:rPr>
        <w:lastRenderedPageBreak/>
        <w:t xml:space="preserve">constituye una afrenta directa al principio de máxima publicidad previsto en la Ley, generando la percepción de que la Unidad de Transparencia no garantiza derechos, sino que los bloquea. f) Desconfianza ciudadana: Al incumplir sistemáticamente con la Ley, el DIF Ixtapaluca erosiona la confianza de la ciudadanía en las instituciones públicas, promoviendo un entorno de opacidad que impide la fiscalización social. III. PETITORIOS Por lo anteriormente expuesto y fundado, solicito respetuosamente a este H. Instituto: Se admita y tramite el presente recurso de revisión en términos de la Ley. Se declare fundado y se ordene al DIF Ixtapaluca emitir respuestas claras, completas y dentro del marco legal a cada una de las solicitudes de información presentadas mediante SAIMEX. Se determine la responsabilidad administrativa de la persona titular de la Unidad de Transparencia del DIF Ixtapaluca, conforme al artículo 122 de la Ley de Transparencia, y se dé vista al Órgano de Control Interno para los efectos conducentes. Se impongan medidas de apremio ejemplares que garanticen no solo el cumplimiento del presente recurso, sino que inhiban la reincidencia de estas prácticas de omisión. Se ordene la implementación de mecanismos de supervisión permanente sobre la Unidad de Transparencia del DIF Ixtapaluca, a fin de garantizar que cumpla con la función para la cual fue creada. Se realice una revisión exhaustiva del uso del presupuesto asignado a la Unidad de Transparencia, para determinar si los recursos públicos han sido aplicados de manera adecuada o si existe un uso simulado de los mismos. IV. PRUEBAS a) Copias de las solicitudes de información presentadas mediante SAIMEX el día 08 de septiembre de 2025. b) Acuses de recepción generados por la plataforma. c) Constancias de la falta de respuesta dentro del término legal. d) En su caso, copia certificada del historial de solicitudes no atendidas por el DIF Ixtapaluca, como indicio de un patrón de opacidad sistemática. V. CONCLUSIÓN La omisión absoluta por parte de la Unidad de Transparencia del DIF Ixtapaluca constituye una violación directa a la Ley y a los derechos humanos fundamentales de acceso a la información. La conducta descrita revela que esta Unidad se encuentra inoperante, reducida a un órgano que únicamente consume recursos públicos sin cumplir su misión legal ni social. La ausencia de respuestas configura una burla al ciudadano, un desvío en la finalidad del presupuesto asignado y un daño directo al principio democrático de rendición de cuentas. Por ello, solicito a este H. Instituto actuar con toda firmeza, emitir una resolución ejemplar y garantizar </w:t>
      </w:r>
      <w:r>
        <w:rPr>
          <w:rFonts w:ascii="Palatino Linotype" w:eastAsia="Palatino Linotype" w:hAnsi="Palatino Linotype" w:cs="Palatino Linotype"/>
          <w:i/>
          <w:color w:val="000000"/>
        </w:rPr>
        <w:lastRenderedPageBreak/>
        <w:t>que la transparencia no sea un concepto vacío en el municipio de Ixtapaluca, sino un derecho efectivo y exigible para la ciudadanía.” (Sic.)</w:t>
      </w:r>
    </w:p>
    <w:p w14:paraId="7194B5A7" w14:textId="77777777" w:rsidR="003A5EAB" w:rsidRDefault="003A5EAB">
      <w:pPr>
        <w:spacing w:line="360" w:lineRule="auto"/>
        <w:ind w:left="567" w:right="567"/>
        <w:jc w:val="both"/>
        <w:rPr>
          <w:rFonts w:ascii="Palatino Linotype" w:eastAsia="Palatino Linotype" w:hAnsi="Palatino Linotype" w:cs="Palatino Linotype"/>
          <w:i/>
          <w:color w:val="000000"/>
        </w:rPr>
      </w:pPr>
    </w:p>
    <w:p w14:paraId="7109C7CB" w14:textId="77777777" w:rsidR="003A5EAB" w:rsidRDefault="004D5CC5">
      <w:pPr>
        <w:spacing w:line="360" w:lineRule="auto"/>
        <w:ind w:left="567" w:right="567"/>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14:paraId="1F42A7F7" w14:textId="77777777" w:rsidR="003A5EAB" w:rsidRDefault="004D5CC5">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Quien comparece en calidad de solicitante anónimo, con fundamento en el artículo 163 de la Ley de Transparencia y Acceso a la Información Pública del Estado de México y Municipios, interpone formalmente RECURSO DE REVISIÓN en contra del Sistema Municipal para el Desarrollo Integral de la Familia de Ixtapaluca (DIF Ixtapaluca), a través de su Unidad de Transparencia, con base en las siguientes consideraciones de hecho y de derecho: I. ANTECEDENTES Con fecha 08 de septiembre de 2025, presenté diversas solicitudes de acceso a la información pública mediante el Sistema de Acceso a la Información Mexiquense (SAIMEX), dirigidas al DIF Ixtapaluca. Las solicitudes fueron admitidas por la plataforma y cuentan con sus respectivos acuses de recepción, lo cual acredita su debida presentación. Al día de hoy, y habiendo transcurrido con exceso los plazos previstos en la Ley, no he recibido respuesta alguna, lo que configura una omisión absoluta y sistemática por parte de la Unidad de Transparencia del DIF Ixtapaluca. Este hecho no es un simple retraso administrativo, sino una conducta reiterada de opacidad institucional que demuestra la falta de interés de dicha Unidad en cumplir con los principios de legalidad, transparencia y rendición de cuentas que justifican su existencia. II. AGRAVIOS El incumplimiento descrito me causa los siguientes agravios: a) Violación a la Ley: El silencio administrativo constituye un incumplimiento del artículo 163 de la Ley de Transparencia, que establece la obligación de dar respuesta a las solicitudes dentro del plazo legal. b) Responsabilidad administrativa: La conducta de la Unidad de Transparencia encuadra en lo previsto por el artículo 122, fracciones I y II, al no atender las solicitudes y al actuar con negligencia grave en el desempeño de sus funciones. c) Afectación al derecho humano de acceso a la información: Esta omisión implica una vulneración directa al derecho reconocido en los artículos 6º de la Constitución Política de los Estados Unidos Mexicanos y 12 de la Constitución Política del Estado Libre y Soberano de México, los cuales garantizan el acceso pleno a la información pública gubernamental. d) Patrón de opacidad e inoperancia institucional: El </w:t>
      </w:r>
      <w:r>
        <w:rPr>
          <w:rFonts w:ascii="Palatino Linotype" w:eastAsia="Palatino Linotype" w:hAnsi="Palatino Linotype" w:cs="Palatino Linotype"/>
          <w:i/>
          <w:color w:val="000000"/>
        </w:rPr>
        <w:lastRenderedPageBreak/>
        <w:t xml:space="preserve">incumplimiento sistemático convierte a la Unidad de Transparencia del DIF Ixtapaluca en un órgano meramente decorativo, que consume recursos sin cumplir su finalidad. La ciudadanía desconoce el destino real de los fondos públicos destinados al área, lo que plantea la sospecha de un uso simulado del presupuesto. e) Burla al principio de máxima publicidad: La ausencia de respuesta constituye una afrenta directa al principio de máxima publicidad previsto en la Ley, generando la percepción de que la Unidad de Transparencia no garantiza derechos, sino que los bloquea. f) Desconfianza ciudadana: Al incumplir sistemáticamente con la Ley, el DIF Ixtapaluca erosiona la confianza de la ciudadanía en las instituciones públicas, promoviendo un entorno de opacidad que impide la fiscalización social. III. PETITORIOS Por lo anteriormente expuesto y fundado, solicito respetuosamente a este H. Instituto: Se admita y tramite el presente recurso de revisión en términos de la Ley. Se declare fundado y se ordene al DIF Ixtapaluca emitir respuestas claras, completas y dentro del marco legal a cada una de las solicitudes de información presentadas mediante SAIMEX. Se determine la responsabilidad administrativa de la persona titular de la Unidad de Transparencia del DIF Ixtapaluca, conforme al artículo 122 de la Ley de Transparencia, y se dé vista al Órgano de Control Interno para los efectos conducentes. Se impongan medidas de apremio ejemplares que garanticen no solo el cumplimiento del presente recurso, sino que inhiban la reincidencia de estas prácticas de omisión. Se ordene la implementación de mecanismos de supervisión permanente sobre la Unidad de Transparencia del DIF Ixtapaluca, a fin de garantizar que cumpla con la función para la cual fue creada. Se realice una revisión exhaustiva del uso del presupuesto asignado a la Unidad de Transparencia, para determinar si los recursos públicos han sido aplicados de manera adecuada o si existe un uso simulado de los mismos. IV. PRUEBAS a) Copias de las solicitudes de información presentadas mediante SAIMEX el día 08 de septiembre de 2025. b) Acuses de recepción generados por la plataforma. c) Constancias de la falta de respuesta dentro del término legal. d) En su caso, copia certificada del historial de solicitudes no atendidas por el DIF Ixtapaluca, como indicio de un patrón de opacidad sistemática. V. CONCLUSIÓN La omisión absoluta por parte de la Unidad de Transparencia del DIF Ixtapaluca constituye una violación directa a la Ley y a los derechos humanos fundamentales de acceso a la información. La conducta descrita revela que esta Unidad se encuentra </w:t>
      </w:r>
      <w:r>
        <w:rPr>
          <w:rFonts w:ascii="Palatino Linotype" w:eastAsia="Palatino Linotype" w:hAnsi="Palatino Linotype" w:cs="Palatino Linotype"/>
          <w:i/>
          <w:color w:val="000000"/>
        </w:rPr>
        <w:lastRenderedPageBreak/>
        <w:t>inoperante, reducida a un órgano que únicamente consume recursos públicos sin cumplir su misión legal ni social. La ausencia de respuestas configura una burla al ciudadano, un desvío en la finalidad del presupuesto asignado y un daño directo al principio democrático de rendición de cuentas. Por ello, solicito a este H. Instituto actuar con toda firmeza, emitir una resolución ejemplar y garantizar que la transparencia no sea un concepto vacío en el municipio de Ixtapaluca, sino un derecho efectivo y exigible para la ciudadanía.” (Sic.)</w:t>
      </w:r>
    </w:p>
    <w:p w14:paraId="5B3273E3" w14:textId="77777777" w:rsidR="003A5EAB" w:rsidRDefault="003A5EAB">
      <w:pPr>
        <w:spacing w:line="360" w:lineRule="auto"/>
        <w:jc w:val="both"/>
        <w:rPr>
          <w:rFonts w:ascii="Palatino Linotype" w:eastAsia="Palatino Linotype" w:hAnsi="Palatino Linotype" w:cs="Palatino Linotype"/>
          <w:color w:val="000000"/>
          <w:sz w:val="22"/>
          <w:szCs w:val="22"/>
        </w:rPr>
      </w:pPr>
    </w:p>
    <w:p w14:paraId="3994BE68" w14:textId="77777777" w:rsidR="003A5EAB" w:rsidRDefault="004D5CC5">
      <w:pPr>
        <w:pStyle w:val="Ttulo2"/>
      </w:pPr>
      <w:bookmarkStart w:id="9" w:name="_heading=h.itxw8vb610cx" w:colFirst="0" w:colLast="0"/>
      <w:bookmarkStart w:id="10" w:name="_Toc213945151"/>
      <w:bookmarkEnd w:id="9"/>
      <w:r>
        <w:t>IV. Trámite del Recurso de Revisión ante el Instituto</w:t>
      </w:r>
      <w:bookmarkEnd w:id="10"/>
    </w:p>
    <w:p w14:paraId="1A5967B0" w14:textId="77777777" w:rsidR="003A5EAB" w:rsidRDefault="003A5EAB">
      <w:pPr>
        <w:spacing w:line="360" w:lineRule="auto"/>
        <w:jc w:val="both"/>
        <w:rPr>
          <w:rFonts w:ascii="Palatino Linotype" w:eastAsia="Palatino Linotype" w:hAnsi="Palatino Linotype" w:cs="Palatino Linotype"/>
          <w:b/>
          <w:color w:val="000000"/>
          <w:sz w:val="22"/>
          <w:szCs w:val="22"/>
        </w:rPr>
      </w:pPr>
    </w:p>
    <w:p w14:paraId="72EB7E7C" w14:textId="77777777" w:rsidR="003A5EAB" w:rsidRDefault="004D5CC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 Turno del Recurso de </w:t>
      </w:r>
      <w:r w:rsidRPr="005E609A">
        <w:rPr>
          <w:rFonts w:ascii="Palatino Linotype" w:eastAsia="Palatino Linotype" w:hAnsi="Palatino Linotype" w:cs="Palatino Linotype"/>
          <w:b/>
          <w:color w:val="000000"/>
          <w:sz w:val="22"/>
          <w:szCs w:val="22"/>
        </w:rPr>
        <w:t xml:space="preserve">Revisión. </w:t>
      </w:r>
      <w:r w:rsidRPr="005E609A">
        <w:rPr>
          <w:rFonts w:ascii="Palatino Linotype" w:eastAsia="Palatino Linotype" w:hAnsi="Palatino Linotype" w:cs="Palatino Linotype"/>
          <w:color w:val="000000"/>
          <w:sz w:val="22"/>
          <w:szCs w:val="22"/>
        </w:rPr>
        <w:t xml:space="preserve">El </w:t>
      </w:r>
      <w:r w:rsidR="00E14F0A" w:rsidRPr="005E609A">
        <w:rPr>
          <w:rFonts w:ascii="Palatino Linotype" w:eastAsia="Palatino Linotype" w:hAnsi="Palatino Linotype" w:cs="Palatino Linotype"/>
          <w:color w:val="000000"/>
          <w:sz w:val="22"/>
          <w:szCs w:val="22"/>
        </w:rPr>
        <w:t>dos</w:t>
      </w:r>
      <w:r w:rsidRPr="005E609A">
        <w:rPr>
          <w:rFonts w:ascii="Palatino Linotype" w:eastAsia="Palatino Linotype" w:hAnsi="Palatino Linotype" w:cs="Palatino Linotype"/>
          <w:color w:val="000000"/>
          <w:sz w:val="22"/>
          <w:szCs w:val="22"/>
        </w:rPr>
        <w:t xml:space="preserve"> de </w:t>
      </w:r>
      <w:r w:rsidR="00E14F0A" w:rsidRPr="005E609A">
        <w:rPr>
          <w:rFonts w:ascii="Palatino Linotype" w:eastAsia="Palatino Linotype" w:hAnsi="Palatino Linotype" w:cs="Palatino Linotype"/>
          <w:color w:val="000000"/>
          <w:sz w:val="22"/>
          <w:szCs w:val="22"/>
        </w:rPr>
        <w:t>octubre</w:t>
      </w:r>
      <w:r w:rsidRPr="005E609A">
        <w:rPr>
          <w:rFonts w:ascii="Palatino Linotype" w:eastAsia="Palatino Linotype" w:hAnsi="Palatino Linotype" w:cs="Palatino Linotype"/>
          <w:color w:val="000000"/>
          <w:sz w:val="22"/>
          <w:szCs w:val="22"/>
        </w:rPr>
        <w:t xml:space="preserve"> de dos</w:t>
      </w:r>
      <w:r>
        <w:rPr>
          <w:rFonts w:ascii="Palatino Linotype" w:eastAsia="Palatino Linotype" w:hAnsi="Palatino Linotype" w:cs="Palatino Linotype"/>
          <w:color w:val="000000"/>
          <w:sz w:val="22"/>
          <w:szCs w:val="22"/>
        </w:rPr>
        <w:t xml:space="preserve"> mil veinticinco, el Sistema de Acceso a la Información Mexiquense (SAIMEX), asignó el número de expediente </w:t>
      </w:r>
      <w:r>
        <w:rPr>
          <w:rFonts w:ascii="Palatino Linotype" w:eastAsia="Palatino Linotype" w:hAnsi="Palatino Linotype" w:cs="Palatino Linotype"/>
          <w:b/>
          <w:color w:val="000000"/>
          <w:sz w:val="22"/>
          <w:szCs w:val="22"/>
        </w:rPr>
        <w:t>11331/INFOEM/IP/RR/2025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4F605A0D" w14:textId="77777777" w:rsidR="003A5EAB" w:rsidRDefault="003A5EAB">
      <w:pPr>
        <w:spacing w:line="360" w:lineRule="auto"/>
        <w:jc w:val="both"/>
        <w:rPr>
          <w:rFonts w:ascii="Palatino Linotype" w:eastAsia="Palatino Linotype" w:hAnsi="Palatino Linotype" w:cs="Palatino Linotype"/>
          <w:b/>
          <w:color w:val="000000"/>
          <w:sz w:val="22"/>
          <w:szCs w:val="22"/>
        </w:rPr>
      </w:pPr>
    </w:p>
    <w:p w14:paraId="3E6B7A11" w14:textId="77777777" w:rsidR="003A5EAB" w:rsidRDefault="004D5CC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b) Admisión del Recurso de Revisión. </w:t>
      </w:r>
      <w:r>
        <w:rPr>
          <w:rFonts w:ascii="Palatino Linotype" w:eastAsia="Palatino Linotype" w:hAnsi="Palatino Linotype" w:cs="Palatino Linotype"/>
          <w:color w:val="000000"/>
          <w:sz w:val="22"/>
          <w:szCs w:val="22"/>
        </w:rPr>
        <w:t>El siete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3C36B3BF" w14:textId="77777777" w:rsidR="003A5EAB" w:rsidRDefault="003A5EAB">
      <w:pPr>
        <w:spacing w:line="360" w:lineRule="auto"/>
        <w:jc w:val="both"/>
        <w:rPr>
          <w:rFonts w:ascii="Palatino Linotype" w:eastAsia="Palatino Linotype" w:hAnsi="Palatino Linotype" w:cs="Palatino Linotype"/>
          <w:color w:val="000000"/>
          <w:sz w:val="22"/>
          <w:szCs w:val="22"/>
        </w:rPr>
      </w:pPr>
    </w:p>
    <w:p w14:paraId="199A6A80"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lastRenderedPageBreak/>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sz w:val="22"/>
          <w:szCs w:val="22"/>
        </w:rPr>
        <w:t xml:space="preserve"> Informe Justificado y Manifestaciones. </w:t>
      </w:r>
      <w:r>
        <w:rPr>
          <w:rFonts w:ascii="Palatino Linotype" w:eastAsia="Palatino Linotype" w:hAnsi="Palatino Linotype" w:cs="Palatino Linotype"/>
          <w:sz w:val="22"/>
          <w:szCs w:val="22"/>
        </w:rPr>
        <w:t>Las partes fueron omisas en emitir manifestaciones o alegatos, dentro del plazo otorgado para estos efectos.</w:t>
      </w:r>
    </w:p>
    <w:p w14:paraId="53F4683F" w14:textId="77777777" w:rsidR="003A5EAB" w:rsidRDefault="003A5EAB">
      <w:pPr>
        <w:spacing w:line="360" w:lineRule="auto"/>
        <w:jc w:val="both"/>
        <w:rPr>
          <w:rFonts w:ascii="Palatino Linotype" w:eastAsia="Palatino Linotype" w:hAnsi="Palatino Linotype" w:cs="Palatino Linotype"/>
          <w:b/>
          <w:sz w:val="18"/>
          <w:szCs w:val="18"/>
        </w:rPr>
      </w:pPr>
    </w:p>
    <w:p w14:paraId="6250181E" w14:textId="77777777" w:rsidR="003A5EAB" w:rsidRDefault="004D5CC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d) Cierre de instrucción. </w:t>
      </w:r>
      <w:r>
        <w:rPr>
          <w:rFonts w:ascii="Palatino Linotype" w:eastAsia="Palatino Linotype" w:hAnsi="Palatino Linotype" w:cs="Palatino Linotype"/>
          <w:sz w:val="22"/>
          <w:szCs w:val="22"/>
        </w:rPr>
        <w:t xml:space="preserve">El veinte de octubre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5BA31EF" w14:textId="77777777" w:rsidR="003A5EAB" w:rsidRDefault="003A5EAB">
      <w:pPr>
        <w:spacing w:line="360" w:lineRule="auto"/>
        <w:jc w:val="both"/>
        <w:rPr>
          <w:rFonts w:ascii="Palatino Linotype" w:eastAsia="Palatino Linotype" w:hAnsi="Palatino Linotype" w:cs="Palatino Linotype"/>
          <w:b/>
          <w:sz w:val="18"/>
          <w:szCs w:val="18"/>
        </w:rPr>
      </w:pPr>
    </w:p>
    <w:p w14:paraId="431A5B0A" w14:textId="77777777" w:rsidR="003A5EAB" w:rsidRDefault="004D5CC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652377D5" w14:textId="77777777" w:rsidR="003A5EAB" w:rsidRDefault="003A5EAB">
      <w:pPr>
        <w:spacing w:line="360" w:lineRule="auto"/>
        <w:jc w:val="both"/>
        <w:rPr>
          <w:rFonts w:ascii="Palatino Linotype" w:eastAsia="Palatino Linotype" w:hAnsi="Palatino Linotype" w:cs="Palatino Linotype"/>
          <w:color w:val="000000"/>
          <w:sz w:val="22"/>
          <w:szCs w:val="22"/>
        </w:rPr>
      </w:pPr>
    </w:p>
    <w:p w14:paraId="1CB9011F" w14:textId="77777777" w:rsidR="003A5EAB" w:rsidRDefault="004D5CC5">
      <w:pPr>
        <w:pStyle w:val="Ttulo1"/>
      </w:pPr>
      <w:bookmarkStart w:id="11" w:name="_heading=h.n5p33pgfeda4" w:colFirst="0" w:colLast="0"/>
      <w:bookmarkStart w:id="12" w:name="_Toc213945152"/>
      <w:bookmarkEnd w:id="11"/>
      <w:r>
        <w:t>C O N S I D E R A N D O S</w:t>
      </w:r>
      <w:bookmarkEnd w:id="12"/>
    </w:p>
    <w:p w14:paraId="006CB478" w14:textId="77777777" w:rsidR="003A5EAB" w:rsidRDefault="003A5EAB">
      <w:pPr>
        <w:spacing w:line="360" w:lineRule="auto"/>
        <w:jc w:val="both"/>
        <w:rPr>
          <w:rFonts w:ascii="Palatino Linotype" w:eastAsia="Palatino Linotype" w:hAnsi="Palatino Linotype" w:cs="Palatino Linotype"/>
          <w:b/>
          <w:sz w:val="22"/>
          <w:szCs w:val="22"/>
        </w:rPr>
      </w:pPr>
    </w:p>
    <w:p w14:paraId="65540787" w14:textId="77777777" w:rsidR="003A5EAB" w:rsidRDefault="004D5CC5">
      <w:pPr>
        <w:pStyle w:val="Ttulo2"/>
      </w:pPr>
      <w:bookmarkStart w:id="13" w:name="_heading=h.ojhpqyocffe0" w:colFirst="0" w:colLast="0"/>
      <w:bookmarkStart w:id="14" w:name="_Toc213945153"/>
      <w:bookmarkEnd w:id="13"/>
      <w:r>
        <w:t>PRIMERO. Competencia</w:t>
      </w:r>
      <w:bookmarkEnd w:id="14"/>
    </w:p>
    <w:p w14:paraId="63B1BF20" w14:textId="77777777" w:rsidR="003A5EAB" w:rsidRDefault="003A5EAB">
      <w:pPr>
        <w:spacing w:line="360" w:lineRule="auto"/>
        <w:jc w:val="both"/>
        <w:rPr>
          <w:rFonts w:ascii="Palatino Linotype" w:eastAsia="Palatino Linotype" w:hAnsi="Palatino Linotype" w:cs="Palatino Linotype"/>
          <w:b/>
          <w:sz w:val="22"/>
          <w:szCs w:val="22"/>
        </w:rPr>
      </w:pPr>
    </w:p>
    <w:p w14:paraId="155D37F1" w14:textId="79EFD713" w:rsidR="003A5EAB" w:rsidRDefault="00027663">
      <w:pPr>
        <w:spacing w:line="360" w:lineRule="auto"/>
        <w:jc w:val="both"/>
        <w:rPr>
          <w:rFonts w:ascii="Palatino Linotype" w:eastAsia="Palatino Linotype" w:hAnsi="Palatino Linotype" w:cs="Palatino Linotype"/>
          <w:sz w:val="22"/>
          <w:szCs w:val="22"/>
        </w:rPr>
      </w:pPr>
      <w:bookmarkStart w:id="15" w:name="_heading=h.tyhlvrsn83vq" w:colFirst="0" w:colLast="0"/>
      <w:bookmarkEnd w:id="15"/>
      <w:r w:rsidRPr="00027663">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w:t>
      </w:r>
      <w:r w:rsidRPr="00027663">
        <w:rPr>
          <w:rFonts w:ascii="Palatino Linotype" w:eastAsia="Palatino Linotype" w:hAnsi="Palatino Linotype" w:cs="Palatino Linotype"/>
          <w:sz w:val="22"/>
          <w:szCs w:val="22"/>
        </w:rPr>
        <w:lastRenderedPageBreak/>
        <w:t>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7CAD963" w14:textId="77777777" w:rsidR="005E609A" w:rsidRDefault="005E609A">
      <w:pPr>
        <w:spacing w:line="360" w:lineRule="auto"/>
        <w:jc w:val="both"/>
        <w:rPr>
          <w:rFonts w:ascii="Palatino Linotype" w:eastAsia="Palatino Linotype" w:hAnsi="Palatino Linotype" w:cs="Palatino Linotype"/>
          <w:color w:val="000000"/>
          <w:sz w:val="22"/>
          <w:szCs w:val="22"/>
        </w:rPr>
      </w:pPr>
    </w:p>
    <w:p w14:paraId="3437D8D7" w14:textId="77777777" w:rsidR="003A5EAB" w:rsidRDefault="004D5CC5">
      <w:pPr>
        <w:pStyle w:val="Ttulo2"/>
      </w:pPr>
      <w:bookmarkStart w:id="16" w:name="_heading=h.nkauzuitrs6" w:colFirst="0" w:colLast="0"/>
      <w:bookmarkStart w:id="17" w:name="_Toc213945154"/>
      <w:bookmarkEnd w:id="16"/>
      <w:r>
        <w:t>SEGUNDO. Causales de improcedencia y Sobreseimiento</w:t>
      </w:r>
      <w:bookmarkEnd w:id="17"/>
    </w:p>
    <w:p w14:paraId="5D868419" w14:textId="77777777" w:rsidR="003A5EAB" w:rsidRDefault="003A5EAB">
      <w:pPr>
        <w:spacing w:line="360" w:lineRule="auto"/>
        <w:jc w:val="both"/>
        <w:rPr>
          <w:rFonts w:ascii="Palatino Linotype" w:eastAsia="Palatino Linotype" w:hAnsi="Palatino Linotype" w:cs="Palatino Linotype"/>
          <w:sz w:val="22"/>
          <w:szCs w:val="22"/>
        </w:rPr>
      </w:pPr>
    </w:p>
    <w:p w14:paraId="0C86A4AD"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24684269" w14:textId="77777777" w:rsidR="003A5EAB" w:rsidRDefault="003A5EAB">
      <w:pPr>
        <w:spacing w:line="360" w:lineRule="auto"/>
        <w:jc w:val="both"/>
        <w:rPr>
          <w:rFonts w:ascii="Palatino Linotype" w:eastAsia="Palatino Linotype" w:hAnsi="Palatino Linotype" w:cs="Palatino Linotype"/>
          <w:sz w:val="22"/>
          <w:szCs w:val="22"/>
        </w:rPr>
      </w:pPr>
    </w:p>
    <w:p w14:paraId="4EC88D83" w14:textId="77777777" w:rsidR="003A5EAB" w:rsidRDefault="004D5CC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improcedencia</w:t>
      </w:r>
    </w:p>
    <w:p w14:paraId="7EE9AC7C" w14:textId="77777777" w:rsidR="003A5EAB" w:rsidRDefault="003A5EAB">
      <w:pPr>
        <w:spacing w:line="360" w:lineRule="auto"/>
        <w:jc w:val="both"/>
        <w:rPr>
          <w:rFonts w:ascii="Palatino Linotype" w:eastAsia="Palatino Linotype" w:hAnsi="Palatino Linotype" w:cs="Palatino Linotype"/>
          <w:sz w:val="22"/>
          <w:szCs w:val="22"/>
        </w:rPr>
      </w:pPr>
    </w:p>
    <w:p w14:paraId="658AFF57"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07294D5" w14:textId="77777777" w:rsidR="003A5EAB" w:rsidRDefault="003A5EAB">
      <w:pPr>
        <w:spacing w:line="360" w:lineRule="auto"/>
        <w:jc w:val="both"/>
        <w:rPr>
          <w:rFonts w:ascii="Palatino Linotype" w:eastAsia="Palatino Linotype" w:hAnsi="Palatino Linotype" w:cs="Palatino Linotype"/>
          <w:sz w:val="22"/>
          <w:szCs w:val="22"/>
        </w:rPr>
      </w:pPr>
    </w:p>
    <w:p w14:paraId="66C47C41"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sz w:val="22"/>
          <w:szCs w:val="22"/>
        </w:rPr>
        <w:t>no se actualiza ninguna de las causales de improcedencia</w:t>
      </w:r>
      <w:r>
        <w:rPr>
          <w:rFonts w:ascii="Palatino Linotype" w:eastAsia="Palatino Linotype" w:hAnsi="Palatino Linotype" w:cs="Palatino Linotype"/>
          <w:sz w:val="22"/>
          <w:szCs w:val="22"/>
        </w:rPr>
        <w:t xml:space="preserve"> establecidas en el ordenamiento jurídico previamente señalado, toda vez que: este Instituto no tiene </w:t>
      </w:r>
      <w:r>
        <w:rPr>
          <w:rFonts w:ascii="Palatino Linotype" w:eastAsia="Palatino Linotype" w:hAnsi="Palatino Linotype" w:cs="Palatino Linotype"/>
          <w:sz w:val="22"/>
          <w:szCs w:val="22"/>
        </w:rPr>
        <w:lastRenderedPageBreak/>
        <w:t>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ADFB164" w14:textId="77777777" w:rsidR="003A5EAB" w:rsidRDefault="003A5EAB">
      <w:pPr>
        <w:spacing w:line="360" w:lineRule="auto"/>
        <w:jc w:val="both"/>
        <w:rPr>
          <w:rFonts w:ascii="Palatino Linotype" w:eastAsia="Palatino Linotype" w:hAnsi="Palatino Linotype" w:cs="Palatino Linotype"/>
          <w:sz w:val="22"/>
          <w:szCs w:val="22"/>
        </w:rPr>
      </w:pPr>
    </w:p>
    <w:p w14:paraId="12A512C3"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61CD769D" w14:textId="77777777" w:rsidR="003A5EAB" w:rsidRDefault="003A5EAB">
      <w:pPr>
        <w:spacing w:line="360" w:lineRule="auto"/>
        <w:jc w:val="both"/>
        <w:rPr>
          <w:rFonts w:ascii="Palatino Linotype" w:eastAsia="Palatino Linotype" w:hAnsi="Palatino Linotype" w:cs="Palatino Linotype"/>
          <w:sz w:val="22"/>
          <w:szCs w:val="22"/>
        </w:rPr>
      </w:pPr>
    </w:p>
    <w:p w14:paraId="224C5295"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14:paraId="6508E708" w14:textId="77777777" w:rsidR="003A5EAB" w:rsidRDefault="003A5EAB">
      <w:pPr>
        <w:spacing w:line="360" w:lineRule="auto"/>
        <w:jc w:val="both"/>
        <w:rPr>
          <w:rFonts w:ascii="Palatino Linotype" w:eastAsia="Palatino Linotype" w:hAnsi="Palatino Linotype" w:cs="Palatino Linotype"/>
          <w:sz w:val="22"/>
          <w:szCs w:val="22"/>
        </w:rPr>
      </w:pPr>
    </w:p>
    <w:p w14:paraId="219413FF" w14:textId="77777777" w:rsidR="003A5EAB" w:rsidRDefault="004D5CC5">
      <w:pPr>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b/>
          <w:color w:val="0D0D0D"/>
          <w:sz w:val="22"/>
          <w:szCs w:val="22"/>
        </w:rPr>
        <w:t>Causales de sobreseimiento</w:t>
      </w:r>
    </w:p>
    <w:p w14:paraId="48CFDB4D" w14:textId="77777777" w:rsidR="003A5EAB" w:rsidRDefault="003A5EAB">
      <w:pPr>
        <w:spacing w:line="360" w:lineRule="auto"/>
        <w:jc w:val="both"/>
        <w:rPr>
          <w:rFonts w:ascii="Palatino Linotype" w:eastAsia="Palatino Linotype" w:hAnsi="Palatino Linotype" w:cs="Palatino Linotype"/>
          <w:color w:val="0D0D0D"/>
          <w:sz w:val="22"/>
          <w:szCs w:val="22"/>
        </w:rPr>
      </w:pPr>
    </w:p>
    <w:p w14:paraId="691D059E" w14:textId="77777777" w:rsidR="003A5EAB" w:rsidRDefault="004D5CC5">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196D66C7" w14:textId="77777777" w:rsidR="003A5EAB" w:rsidRDefault="003A5EAB">
      <w:pPr>
        <w:spacing w:line="360" w:lineRule="auto"/>
        <w:jc w:val="both"/>
        <w:rPr>
          <w:rFonts w:ascii="Palatino Linotype" w:eastAsia="Palatino Linotype" w:hAnsi="Palatino Linotype" w:cs="Palatino Linotype"/>
          <w:color w:val="0D0D0D"/>
          <w:sz w:val="22"/>
          <w:szCs w:val="22"/>
        </w:rPr>
      </w:pPr>
    </w:p>
    <w:p w14:paraId="150C94BF"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192 de la Ley Transparencia y Acceso a la Información Pública del Estado de México y Municipios, señala las causales por las cuales se puede sobreseer en todo o en parte, el </w:t>
      </w:r>
      <w:r>
        <w:rPr>
          <w:rFonts w:ascii="Palatino Linotype" w:eastAsia="Palatino Linotype" w:hAnsi="Palatino Linotype" w:cs="Palatino Linotype"/>
          <w:sz w:val="22"/>
          <w:szCs w:val="22"/>
        </w:rPr>
        <w:lastRenderedPageBreak/>
        <w:t>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EB31C8F" w14:textId="77777777" w:rsidR="003A5EAB" w:rsidRDefault="003A5EAB">
      <w:pPr>
        <w:spacing w:line="360" w:lineRule="auto"/>
        <w:jc w:val="both"/>
        <w:rPr>
          <w:rFonts w:ascii="Palatino Linotype" w:eastAsia="Palatino Linotype" w:hAnsi="Palatino Linotype" w:cs="Palatino Linotype"/>
          <w:sz w:val="22"/>
          <w:szCs w:val="22"/>
        </w:rPr>
      </w:pPr>
    </w:p>
    <w:p w14:paraId="585B6421" w14:textId="77777777" w:rsidR="003A5EAB" w:rsidRDefault="004D5CC5">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451D1915" w14:textId="77777777" w:rsidR="003A5EAB" w:rsidRDefault="003A5EAB">
      <w:pPr>
        <w:spacing w:line="360" w:lineRule="auto"/>
        <w:jc w:val="both"/>
        <w:rPr>
          <w:rFonts w:ascii="Palatino Linotype" w:eastAsia="Palatino Linotype" w:hAnsi="Palatino Linotype" w:cs="Palatino Linotype"/>
          <w:color w:val="0D0D0D"/>
          <w:sz w:val="22"/>
          <w:szCs w:val="22"/>
        </w:rPr>
      </w:pPr>
    </w:p>
    <w:p w14:paraId="08582555" w14:textId="77777777" w:rsidR="003A5EAB" w:rsidRDefault="004D5CC5">
      <w:pPr>
        <w:pStyle w:val="Ttulo2"/>
      </w:pPr>
      <w:bookmarkStart w:id="18" w:name="_heading=h.fk9clyt1tng4" w:colFirst="0" w:colLast="0"/>
      <w:bookmarkStart w:id="19" w:name="_Toc213945155"/>
      <w:bookmarkEnd w:id="18"/>
      <w:r>
        <w:t>TERCERO. Determinación de la Controversia</w:t>
      </w:r>
      <w:bookmarkEnd w:id="19"/>
    </w:p>
    <w:p w14:paraId="389CD42B" w14:textId="77777777" w:rsidR="003A5EAB" w:rsidRDefault="003A5EAB">
      <w:pPr>
        <w:spacing w:line="360" w:lineRule="auto"/>
        <w:jc w:val="both"/>
        <w:rPr>
          <w:rFonts w:ascii="Palatino Linotype" w:eastAsia="Palatino Linotype" w:hAnsi="Palatino Linotype" w:cs="Palatino Linotype"/>
          <w:color w:val="000000"/>
          <w:sz w:val="22"/>
          <w:szCs w:val="22"/>
        </w:rPr>
      </w:pPr>
    </w:p>
    <w:p w14:paraId="7384487D" w14:textId="77777777" w:rsidR="003A5EAB" w:rsidRDefault="004D5CC5">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el Particular requirió, el comparativo entre el presupuesto autorizado y el presupuesto ejercido por el DIF Ixtapaluca en los años 2022, 2023 y 2024.</w:t>
      </w:r>
    </w:p>
    <w:p w14:paraId="34DDDF91" w14:textId="77777777" w:rsidR="003A5EAB" w:rsidRDefault="003A5EAB">
      <w:pPr>
        <w:pBdr>
          <w:top w:val="nil"/>
          <w:left w:val="nil"/>
          <w:bottom w:val="nil"/>
          <w:right w:val="nil"/>
          <w:between w:val="nil"/>
        </w:pBdr>
        <w:tabs>
          <w:tab w:val="left" w:pos="4962"/>
        </w:tabs>
        <w:spacing w:line="360" w:lineRule="auto"/>
        <w:ind w:left="720"/>
        <w:jc w:val="both"/>
        <w:rPr>
          <w:rFonts w:ascii="Palatino Linotype" w:eastAsia="Palatino Linotype" w:hAnsi="Palatino Linotype" w:cs="Palatino Linotype"/>
          <w:color w:val="000000"/>
          <w:sz w:val="22"/>
          <w:szCs w:val="22"/>
        </w:rPr>
      </w:pPr>
    </w:p>
    <w:p w14:paraId="3ED696C4" w14:textId="77777777" w:rsidR="003A5EAB" w:rsidRDefault="004D5CC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14:paraId="4962B5EB" w14:textId="77777777" w:rsidR="003A5EAB" w:rsidRDefault="003A5EAB">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6AE9D49B" w14:textId="77777777" w:rsidR="003A5EAB" w:rsidRDefault="004D5CC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xml:space="preserve">; instrumentales que se toman en cuenta a efecto de resolver el presente medio </w:t>
      </w:r>
      <w:r>
        <w:rPr>
          <w:rFonts w:ascii="Palatino Linotype" w:eastAsia="Palatino Linotype" w:hAnsi="Palatino Linotype" w:cs="Palatino Linotype"/>
          <w:sz w:val="22"/>
          <w:szCs w:val="22"/>
        </w:rPr>
        <w:lastRenderedPageBreak/>
        <w:t>de impugnación, conforme a lo dispuesto por el artículo 185, fracción IV, de la Ley de Transparencia y Acceso a la Información Pública del Estado de México y Municipios.</w:t>
      </w:r>
    </w:p>
    <w:p w14:paraId="278E2F27" w14:textId="77777777" w:rsidR="003A5EAB" w:rsidRDefault="003A5EAB">
      <w:pPr>
        <w:tabs>
          <w:tab w:val="left" w:pos="4962"/>
        </w:tabs>
        <w:spacing w:line="360" w:lineRule="auto"/>
        <w:jc w:val="both"/>
        <w:rPr>
          <w:rFonts w:ascii="Palatino Linotype" w:eastAsia="Palatino Linotype" w:hAnsi="Palatino Linotype" w:cs="Palatino Linotype"/>
          <w:sz w:val="22"/>
          <w:szCs w:val="22"/>
        </w:rPr>
      </w:pPr>
    </w:p>
    <w:p w14:paraId="14B3B3ED" w14:textId="77777777" w:rsidR="003A5EAB" w:rsidRDefault="004D5CC5">
      <w:pPr>
        <w:pStyle w:val="Ttulo2"/>
        <w:jc w:val="both"/>
      </w:pPr>
      <w:bookmarkStart w:id="20" w:name="_heading=h.rw3ievb71sec" w:colFirst="0" w:colLast="0"/>
      <w:bookmarkStart w:id="21" w:name="_Toc213945156"/>
      <w:bookmarkEnd w:id="20"/>
      <w:r>
        <w:t>CUARTO. Marco normativo aplicable en materia de transparencia y acceso a la información pública</w:t>
      </w:r>
      <w:bookmarkEnd w:id="21"/>
    </w:p>
    <w:p w14:paraId="4D0A4CE2" w14:textId="77777777" w:rsidR="003A5EAB" w:rsidRDefault="003A5EAB">
      <w:pPr>
        <w:spacing w:line="360" w:lineRule="auto"/>
        <w:jc w:val="both"/>
        <w:rPr>
          <w:rFonts w:ascii="Palatino Linotype" w:eastAsia="Palatino Linotype" w:hAnsi="Palatino Linotype" w:cs="Palatino Linotype"/>
          <w:sz w:val="22"/>
          <w:szCs w:val="22"/>
        </w:rPr>
      </w:pPr>
    </w:p>
    <w:p w14:paraId="1F346660"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8483669" w14:textId="77777777" w:rsidR="003A5EAB" w:rsidRDefault="003A5EAB">
      <w:pPr>
        <w:spacing w:line="360" w:lineRule="auto"/>
        <w:jc w:val="both"/>
        <w:rPr>
          <w:rFonts w:ascii="Palatino Linotype" w:eastAsia="Palatino Linotype" w:hAnsi="Palatino Linotype" w:cs="Palatino Linotype"/>
          <w:sz w:val="22"/>
          <w:szCs w:val="22"/>
        </w:rPr>
      </w:pPr>
    </w:p>
    <w:p w14:paraId="455C2333"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ABF392F" w14:textId="77777777" w:rsidR="003A5EAB" w:rsidRDefault="003A5EAB">
      <w:pPr>
        <w:spacing w:line="360" w:lineRule="auto"/>
        <w:jc w:val="both"/>
        <w:rPr>
          <w:rFonts w:ascii="Palatino Linotype" w:eastAsia="Palatino Linotype" w:hAnsi="Palatino Linotype" w:cs="Palatino Linotype"/>
          <w:sz w:val="22"/>
          <w:szCs w:val="22"/>
        </w:rPr>
      </w:pPr>
    </w:p>
    <w:p w14:paraId="1501C23A"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7F84F22C" w14:textId="77777777" w:rsidR="003A5EAB" w:rsidRDefault="003A5EAB">
      <w:pPr>
        <w:spacing w:line="360" w:lineRule="auto"/>
        <w:jc w:val="both"/>
        <w:rPr>
          <w:rFonts w:ascii="Palatino Linotype" w:eastAsia="Palatino Linotype" w:hAnsi="Palatino Linotype" w:cs="Palatino Linotype"/>
          <w:sz w:val="22"/>
          <w:szCs w:val="22"/>
        </w:rPr>
      </w:pPr>
    </w:p>
    <w:p w14:paraId="2A4B90A6"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2FF90427" w14:textId="77777777" w:rsidR="003A5EAB" w:rsidRDefault="003A5EAB">
      <w:pPr>
        <w:spacing w:line="360" w:lineRule="auto"/>
        <w:jc w:val="both"/>
        <w:rPr>
          <w:rFonts w:ascii="Palatino Linotype" w:eastAsia="Palatino Linotype" w:hAnsi="Palatino Linotype" w:cs="Palatino Linotype"/>
          <w:sz w:val="22"/>
          <w:szCs w:val="22"/>
        </w:rPr>
      </w:pPr>
    </w:p>
    <w:p w14:paraId="7F210975"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3174BDAC" w14:textId="77777777" w:rsidR="003A5EAB" w:rsidRDefault="003A5EAB">
      <w:pPr>
        <w:spacing w:line="360" w:lineRule="auto"/>
        <w:jc w:val="both"/>
        <w:rPr>
          <w:rFonts w:ascii="Palatino Linotype" w:eastAsia="Palatino Linotype" w:hAnsi="Palatino Linotype" w:cs="Palatino Linotype"/>
          <w:sz w:val="22"/>
          <w:szCs w:val="22"/>
        </w:rPr>
      </w:pPr>
    </w:p>
    <w:p w14:paraId="669D462D"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A9A0C42" w14:textId="77777777" w:rsidR="003A5EAB" w:rsidRDefault="003A5EAB">
      <w:pPr>
        <w:spacing w:line="360" w:lineRule="auto"/>
        <w:jc w:val="both"/>
        <w:rPr>
          <w:rFonts w:ascii="Palatino Linotype" w:eastAsia="Palatino Linotype" w:hAnsi="Palatino Linotype" w:cs="Palatino Linotype"/>
          <w:sz w:val="22"/>
          <w:szCs w:val="22"/>
        </w:rPr>
      </w:pPr>
    </w:p>
    <w:p w14:paraId="42D506A2" w14:textId="77777777" w:rsidR="003A5EAB" w:rsidRDefault="004D5CC5">
      <w:pPr>
        <w:pStyle w:val="Ttulo2"/>
      </w:pPr>
      <w:bookmarkStart w:id="22" w:name="_heading=h.octikaabnppj" w:colFirst="0" w:colLast="0"/>
      <w:bookmarkStart w:id="23" w:name="_Toc213945157"/>
      <w:bookmarkEnd w:id="22"/>
      <w:r>
        <w:t>QUINTO. Estudio de Fondo</w:t>
      </w:r>
      <w:bookmarkEnd w:id="23"/>
    </w:p>
    <w:p w14:paraId="016C59B6" w14:textId="77777777" w:rsidR="003A5EAB" w:rsidRDefault="003A5EAB">
      <w:pPr>
        <w:spacing w:line="360" w:lineRule="auto"/>
        <w:jc w:val="both"/>
        <w:rPr>
          <w:rFonts w:ascii="Palatino Linotype" w:eastAsia="Palatino Linotype" w:hAnsi="Palatino Linotype" w:cs="Palatino Linotype"/>
          <w:sz w:val="22"/>
          <w:szCs w:val="22"/>
        </w:rPr>
      </w:pPr>
    </w:p>
    <w:p w14:paraId="34BA3AF6"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Sistema Municipal para el Desarrollo Integral de la Familia de Ixtapaluca a la solicitud de información.</w:t>
      </w:r>
    </w:p>
    <w:p w14:paraId="6774D0C6" w14:textId="77777777" w:rsidR="003A5EAB" w:rsidRDefault="003A5EAB">
      <w:pPr>
        <w:spacing w:line="360" w:lineRule="auto"/>
        <w:jc w:val="both"/>
        <w:rPr>
          <w:rFonts w:ascii="Palatino Linotype" w:eastAsia="Palatino Linotype" w:hAnsi="Palatino Linotype" w:cs="Palatino Linotype"/>
          <w:sz w:val="22"/>
          <w:szCs w:val="22"/>
        </w:rPr>
      </w:pPr>
    </w:p>
    <w:p w14:paraId="077A265E"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741EABA1" w14:textId="77777777" w:rsidR="003A5EAB" w:rsidRDefault="003A5EAB">
      <w:pPr>
        <w:spacing w:line="360" w:lineRule="auto"/>
        <w:jc w:val="both"/>
        <w:rPr>
          <w:rFonts w:ascii="Palatino Linotype" w:eastAsia="Palatino Linotype" w:hAnsi="Palatino Linotype" w:cs="Palatino Linotype"/>
          <w:sz w:val="22"/>
          <w:szCs w:val="22"/>
        </w:rPr>
      </w:pPr>
    </w:p>
    <w:p w14:paraId="57AB2444" w14:textId="77777777" w:rsidR="003A5EAB" w:rsidRDefault="004D5CC5">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5B9B2A61" w14:textId="77777777" w:rsidR="003A5EAB" w:rsidRDefault="003A5EAB">
      <w:pPr>
        <w:spacing w:line="360" w:lineRule="auto"/>
        <w:ind w:left="720"/>
        <w:jc w:val="both"/>
        <w:rPr>
          <w:rFonts w:ascii="Palatino Linotype" w:eastAsia="Palatino Linotype" w:hAnsi="Palatino Linotype" w:cs="Palatino Linotype"/>
          <w:sz w:val="22"/>
          <w:szCs w:val="22"/>
        </w:rPr>
      </w:pPr>
    </w:p>
    <w:p w14:paraId="6AB5B7BB" w14:textId="77777777" w:rsidR="003A5EAB" w:rsidRDefault="004D5CC5">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Transparentar la gestión pública, mediante la difusión de la información generada por los Sujetos Obligados, y</w:t>
      </w:r>
    </w:p>
    <w:p w14:paraId="585681BC" w14:textId="77777777" w:rsidR="003A5EAB" w:rsidRDefault="003A5EAB">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09BBEC5B" w14:textId="77777777" w:rsidR="003A5EAB" w:rsidRDefault="004D5CC5">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0967177C" w14:textId="77777777" w:rsidR="003A5EAB" w:rsidRDefault="003A5EAB">
      <w:pPr>
        <w:spacing w:line="360" w:lineRule="auto"/>
        <w:jc w:val="both"/>
        <w:rPr>
          <w:rFonts w:ascii="Palatino Linotype" w:eastAsia="Palatino Linotype" w:hAnsi="Palatino Linotype" w:cs="Palatino Linotype"/>
          <w:sz w:val="22"/>
          <w:szCs w:val="22"/>
        </w:rPr>
      </w:pPr>
    </w:p>
    <w:p w14:paraId="52FC9AE8"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FCF8C39" w14:textId="77777777" w:rsidR="003A5EAB" w:rsidRDefault="003A5EAB">
      <w:pPr>
        <w:spacing w:line="360" w:lineRule="auto"/>
        <w:jc w:val="both"/>
        <w:rPr>
          <w:rFonts w:ascii="Palatino Linotype" w:eastAsia="Palatino Linotype" w:hAnsi="Palatino Linotype" w:cs="Palatino Linotype"/>
          <w:sz w:val="22"/>
          <w:szCs w:val="22"/>
        </w:rPr>
      </w:pPr>
    </w:p>
    <w:p w14:paraId="18434DA9"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90715E6" w14:textId="77777777" w:rsidR="003A5EAB" w:rsidRDefault="003A5EAB">
      <w:pPr>
        <w:spacing w:line="360" w:lineRule="auto"/>
        <w:jc w:val="both"/>
        <w:rPr>
          <w:rFonts w:ascii="Palatino Linotype" w:eastAsia="Palatino Linotype" w:hAnsi="Palatino Linotype" w:cs="Palatino Linotype"/>
          <w:sz w:val="22"/>
          <w:szCs w:val="22"/>
        </w:rPr>
      </w:pPr>
    </w:p>
    <w:p w14:paraId="4FDFF9A9"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5E79B1D1" w14:textId="77777777" w:rsidR="003A5EAB" w:rsidRDefault="003A5EAB">
      <w:pPr>
        <w:spacing w:line="360" w:lineRule="auto"/>
        <w:jc w:val="both"/>
        <w:rPr>
          <w:rFonts w:ascii="Palatino Linotype" w:eastAsia="Palatino Linotype" w:hAnsi="Palatino Linotype" w:cs="Palatino Linotype"/>
          <w:sz w:val="22"/>
          <w:szCs w:val="22"/>
        </w:rPr>
      </w:pPr>
    </w:p>
    <w:p w14:paraId="7DA78E91" w14:textId="77777777" w:rsidR="003A5EAB" w:rsidRDefault="004D5CC5">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015433E" w14:textId="77777777" w:rsidR="003A5EAB" w:rsidRDefault="003A5EAB">
      <w:pPr>
        <w:spacing w:line="360" w:lineRule="auto"/>
        <w:ind w:left="720"/>
        <w:jc w:val="both"/>
        <w:rPr>
          <w:rFonts w:ascii="Palatino Linotype" w:eastAsia="Palatino Linotype" w:hAnsi="Palatino Linotype" w:cs="Palatino Linotype"/>
          <w:sz w:val="22"/>
          <w:szCs w:val="22"/>
        </w:rPr>
      </w:pPr>
    </w:p>
    <w:p w14:paraId="6AC17105" w14:textId="77777777" w:rsidR="003A5EAB" w:rsidRDefault="004D5CC5">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A19C24E" w14:textId="77777777" w:rsidR="003A5EAB" w:rsidRDefault="003A5EAB">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93FFCFB" w14:textId="77777777" w:rsidR="003A5EAB" w:rsidRDefault="004D5CC5">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56D9106F" w14:textId="77777777" w:rsidR="003A5EAB" w:rsidRDefault="003A5EAB">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05857B3" w14:textId="77777777" w:rsidR="003A5EAB" w:rsidRDefault="004D5CC5">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Pr>
          <w:rFonts w:ascii="Palatino Linotype" w:eastAsia="Palatino Linotype" w:hAnsi="Palatino Linotype" w:cs="Palatino Linotype"/>
          <w:sz w:val="22"/>
          <w:szCs w:val="22"/>
        </w:rPr>
        <w:lastRenderedPageBreak/>
        <w:t>expresiones documentales que se encuentren en sus archivos o que estén constreñidos a elaborar;</w:t>
      </w:r>
    </w:p>
    <w:p w14:paraId="38296504" w14:textId="77777777" w:rsidR="003A5EAB" w:rsidRDefault="003A5EAB">
      <w:pPr>
        <w:spacing w:line="360" w:lineRule="auto"/>
        <w:rPr>
          <w:rFonts w:ascii="Palatino Linotype" w:eastAsia="Palatino Linotype" w:hAnsi="Palatino Linotype" w:cs="Palatino Linotype"/>
        </w:rPr>
      </w:pPr>
    </w:p>
    <w:p w14:paraId="27150F04" w14:textId="77777777" w:rsidR="003A5EAB" w:rsidRDefault="004D5CC5">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DEDC7A5" w14:textId="77777777" w:rsidR="003A5EAB" w:rsidRDefault="003A5EAB">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5610F1D0" w14:textId="77777777" w:rsidR="003A5EAB" w:rsidRDefault="004D5CC5">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3198F8D" w14:textId="77777777" w:rsidR="003A5EAB" w:rsidRDefault="003A5EAB">
      <w:pPr>
        <w:spacing w:line="360" w:lineRule="auto"/>
        <w:jc w:val="both"/>
        <w:rPr>
          <w:rFonts w:ascii="Palatino Linotype" w:eastAsia="Palatino Linotype" w:hAnsi="Palatino Linotype" w:cs="Palatino Linotype"/>
          <w:sz w:val="22"/>
          <w:szCs w:val="22"/>
        </w:rPr>
      </w:pPr>
    </w:p>
    <w:p w14:paraId="66A51001"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w:t>
      </w:r>
      <w:r>
        <w:rPr>
          <w:rFonts w:ascii="Palatino Linotype" w:eastAsia="Palatino Linotype" w:hAnsi="Palatino Linotype" w:cs="Palatino Linotype"/>
          <w:color w:val="000000"/>
          <w:sz w:val="22"/>
          <w:szCs w:val="22"/>
        </w:rPr>
        <w:t xml:space="preserve"> Sistema Municipal para el Desarrollo Integral de la Familia de Ixtapaluca</w:t>
      </w:r>
      <w:r>
        <w:rPr>
          <w:rFonts w:ascii="Palatino Linotype" w:eastAsia="Palatino Linotype" w:hAnsi="Palatino Linotype" w:cs="Palatino Linotype"/>
          <w:sz w:val="22"/>
          <w:szCs w:val="22"/>
        </w:rPr>
        <w:t xml:space="preserve">, no había registrado respuesta al requerimiento de acceso a la información, el cual se presentó, el ocho de septiembre de dos mil veinticinco. </w:t>
      </w:r>
    </w:p>
    <w:p w14:paraId="6563D2E6" w14:textId="77777777" w:rsidR="003A5EAB" w:rsidRDefault="003A5EAB">
      <w:pPr>
        <w:spacing w:line="360" w:lineRule="auto"/>
        <w:jc w:val="both"/>
        <w:rPr>
          <w:rFonts w:ascii="Palatino Linotype" w:eastAsia="Palatino Linotype" w:hAnsi="Palatino Linotype" w:cs="Palatino Linotype"/>
          <w:sz w:val="22"/>
          <w:szCs w:val="22"/>
        </w:rPr>
      </w:pPr>
    </w:p>
    <w:p w14:paraId="419EA7E8" w14:textId="77777777" w:rsidR="003A5EAB" w:rsidRDefault="004D5CC5">
      <w:pPr>
        <w:spacing w:line="360" w:lineRule="auto"/>
        <w:jc w:val="both"/>
        <w:rPr>
          <w:rFonts w:ascii="Palatino Linotype" w:eastAsia="Palatino Linotype" w:hAnsi="Palatino Linotype" w:cs="Palatino Linotype"/>
          <w:sz w:val="22"/>
          <w:szCs w:val="22"/>
        </w:rPr>
      </w:pPr>
      <w:bookmarkStart w:id="24" w:name="_heading=h.hxjimft1ugaf" w:colFirst="0" w:colLast="0"/>
      <w:bookmarkEnd w:id="24"/>
      <w:r>
        <w:rPr>
          <w:rFonts w:ascii="Palatino Linotype" w:eastAsia="Palatino Linotype" w:hAnsi="Palatino Linotype" w:cs="Palatino Linotype"/>
          <w:sz w:val="22"/>
          <w:szCs w:val="22"/>
        </w:rPr>
        <w:t xml:space="preserve">En ese orden de ideas, el plazo con el que contaba el Sujeto Obligado para emitir contestación al requerimiento informativo comenzó a correr el tres y feneció el veintitrés de junio de dos mil veinticinco; lo anterior, sin contar los días, siete, ocho, catorce, quince, veintiuno y veintidós de junio de dos mil veinticinco, al ser inhábiles, de conformidad con el artículo, 3°, </w:t>
      </w:r>
      <w:r>
        <w:rPr>
          <w:rFonts w:ascii="Palatino Linotype" w:eastAsia="Palatino Linotype" w:hAnsi="Palatino Linotype" w:cs="Palatino Linotype"/>
          <w:sz w:val="22"/>
          <w:szCs w:val="22"/>
        </w:rPr>
        <w:lastRenderedPageBreak/>
        <w:t>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7E9C4DC3" w14:textId="77777777" w:rsidR="003A5EAB" w:rsidRDefault="003A5EAB">
      <w:pPr>
        <w:spacing w:line="360" w:lineRule="auto"/>
        <w:jc w:val="both"/>
        <w:rPr>
          <w:rFonts w:ascii="Palatino Linotype" w:eastAsia="Palatino Linotype" w:hAnsi="Palatino Linotype" w:cs="Palatino Linotype"/>
          <w:sz w:val="22"/>
          <w:szCs w:val="22"/>
        </w:rPr>
      </w:pPr>
    </w:p>
    <w:p w14:paraId="4D6033EA"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7EB47E6E" w14:textId="77777777" w:rsidR="003A5EAB" w:rsidRDefault="003A5EAB">
      <w:pPr>
        <w:spacing w:line="360" w:lineRule="auto"/>
        <w:jc w:val="both"/>
        <w:rPr>
          <w:rFonts w:ascii="Palatino Linotype" w:eastAsia="Palatino Linotype" w:hAnsi="Palatino Linotype" w:cs="Palatino Linotype"/>
          <w:sz w:val="22"/>
          <w:szCs w:val="22"/>
        </w:rPr>
      </w:pPr>
    </w:p>
    <w:p w14:paraId="6D634DC6" w14:textId="77777777" w:rsidR="003A5EAB" w:rsidRDefault="004D5CC5">
      <w:pPr>
        <w:spacing w:line="360" w:lineRule="auto"/>
        <w:jc w:val="center"/>
        <w:rPr>
          <w:rFonts w:ascii="Palatino Linotype" w:eastAsia="Palatino Linotype" w:hAnsi="Palatino Linotype" w:cs="Palatino Linotype"/>
          <w:sz w:val="22"/>
          <w:szCs w:val="22"/>
        </w:rPr>
      </w:pPr>
      <w:r>
        <w:rPr>
          <w:noProof/>
        </w:rPr>
        <w:drawing>
          <wp:inline distT="0" distB="0" distL="0" distR="0" wp14:anchorId="291E1371" wp14:editId="01DC8D21">
            <wp:extent cx="3140271" cy="245512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7698" t="33910" r="54058" b="40731"/>
                    <a:stretch>
                      <a:fillRect/>
                    </a:stretch>
                  </pic:blipFill>
                  <pic:spPr>
                    <a:xfrm>
                      <a:off x="0" y="0"/>
                      <a:ext cx="3140271" cy="2455121"/>
                    </a:xfrm>
                    <a:prstGeom prst="rect">
                      <a:avLst/>
                    </a:prstGeom>
                    <a:ln/>
                  </pic:spPr>
                </pic:pic>
              </a:graphicData>
            </a:graphic>
          </wp:inline>
        </w:drawing>
      </w:r>
    </w:p>
    <w:p w14:paraId="15ABA309" w14:textId="77777777" w:rsidR="003A5EAB" w:rsidRDefault="003A5EAB">
      <w:pPr>
        <w:spacing w:line="360" w:lineRule="auto"/>
        <w:jc w:val="both"/>
        <w:rPr>
          <w:rFonts w:ascii="Palatino Linotype" w:eastAsia="Palatino Linotype" w:hAnsi="Palatino Linotype" w:cs="Palatino Linotype"/>
          <w:sz w:val="22"/>
          <w:szCs w:val="22"/>
        </w:rPr>
      </w:pPr>
    </w:p>
    <w:p w14:paraId="749A5EB7"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colige que, tal como lo precisó la persona Recurrente, el</w:t>
      </w:r>
      <w:r>
        <w:rPr>
          <w:rFonts w:ascii="Palatino Linotype" w:eastAsia="Palatino Linotype" w:hAnsi="Palatino Linotype" w:cs="Palatino Linotype"/>
          <w:color w:val="000000"/>
          <w:sz w:val="22"/>
          <w:szCs w:val="22"/>
        </w:rPr>
        <w:t xml:space="preserve"> Sistema Municipal para el Desarrollo Integral de la Familia de Ixtapaluca</w:t>
      </w:r>
      <w:r>
        <w:rPr>
          <w:rFonts w:ascii="Palatino Linotype" w:eastAsia="Palatino Linotype" w:hAnsi="Palatino Linotype" w:cs="Palatino Linotype"/>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tenía hasta el treinta de septiembre de dos mil veinticinco, para realizar dicha situación, por lo que es evidente que el agravio es </w:t>
      </w:r>
      <w:r>
        <w:rPr>
          <w:rFonts w:ascii="Palatino Linotype" w:eastAsia="Palatino Linotype" w:hAnsi="Palatino Linotype" w:cs="Palatino Linotype"/>
          <w:b/>
          <w:sz w:val="22"/>
          <w:szCs w:val="22"/>
        </w:rPr>
        <w:t>FUNDADO</w:t>
      </w:r>
      <w:r>
        <w:rPr>
          <w:rFonts w:ascii="Palatino Linotype" w:eastAsia="Palatino Linotype" w:hAnsi="Palatino Linotype" w:cs="Palatino Linotype"/>
          <w:sz w:val="22"/>
          <w:szCs w:val="22"/>
        </w:rPr>
        <w:t xml:space="preserve">. </w:t>
      </w:r>
    </w:p>
    <w:p w14:paraId="61309980" w14:textId="77777777" w:rsidR="003A5EAB" w:rsidRDefault="003A5EAB">
      <w:pPr>
        <w:spacing w:line="360" w:lineRule="auto"/>
        <w:jc w:val="both"/>
        <w:rPr>
          <w:rFonts w:ascii="Palatino Linotype" w:eastAsia="Palatino Linotype" w:hAnsi="Palatino Linotype" w:cs="Palatino Linotype"/>
          <w:sz w:val="22"/>
          <w:szCs w:val="22"/>
        </w:rPr>
      </w:pPr>
    </w:p>
    <w:p w14:paraId="207DA9A1" w14:textId="77777777" w:rsidR="003A5EAB" w:rsidRDefault="004D5CC5">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expuesto, es procedente </w:t>
      </w:r>
      <w:r>
        <w:rPr>
          <w:rFonts w:ascii="Palatino Linotype" w:eastAsia="Palatino Linotype" w:hAnsi="Palatino Linotype" w:cs="Palatino Linotype"/>
          <w:b/>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0FE14F12" w14:textId="77777777" w:rsidR="003A5EAB" w:rsidRDefault="003A5EAB">
      <w:pPr>
        <w:tabs>
          <w:tab w:val="left" w:pos="4962"/>
        </w:tabs>
        <w:spacing w:line="360" w:lineRule="auto"/>
        <w:jc w:val="both"/>
        <w:rPr>
          <w:rFonts w:ascii="Palatino Linotype" w:eastAsia="Palatino Linotype" w:hAnsi="Palatino Linotype" w:cs="Palatino Linotype"/>
          <w:sz w:val="22"/>
          <w:szCs w:val="22"/>
        </w:rPr>
      </w:pPr>
    </w:p>
    <w:p w14:paraId="51A32740"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Presupuesto de Egresos del Sistema Municipal para el Desarrollo Integral de la Familia (DIF) de Ixtlahuaca es el instrumento jurídico, administrativo y financiero mediante el cual se autorizan, programan y controlan los recursos económicos destinados al cumplimiento de los programas, acciones y servicios asistenciales a cargo del organismo, durante un ejercicio fiscal determinado.</w:t>
      </w:r>
    </w:p>
    <w:p w14:paraId="7B25A78D" w14:textId="77777777" w:rsidR="003A5EAB" w:rsidRDefault="003A5EAB">
      <w:pPr>
        <w:spacing w:line="360" w:lineRule="auto"/>
        <w:jc w:val="both"/>
        <w:rPr>
          <w:rFonts w:ascii="Palatino Linotype" w:eastAsia="Palatino Linotype" w:hAnsi="Palatino Linotype" w:cs="Palatino Linotype"/>
          <w:sz w:val="22"/>
          <w:szCs w:val="22"/>
        </w:rPr>
      </w:pPr>
    </w:p>
    <w:p w14:paraId="6E99BC3D"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 información se regula desde su elaboración por el MANUAL PARA LA PLANEACIÓN, PROGRAMACIÓN Y PRESUPUESTO DE EGRESOS MUNICIPAL PARA EL EJERCICIO FISCAL 2025, que contempla la obligación de elaborar programas presupuestarios para el Desarrollo Integral de la Familia.</w:t>
      </w:r>
    </w:p>
    <w:p w14:paraId="1AD75F48" w14:textId="77777777" w:rsidR="003A5EAB" w:rsidRDefault="003A5EAB">
      <w:pPr>
        <w:spacing w:line="360" w:lineRule="auto"/>
        <w:jc w:val="both"/>
        <w:rPr>
          <w:rFonts w:ascii="Palatino Linotype" w:eastAsia="Palatino Linotype" w:hAnsi="Palatino Linotype" w:cs="Palatino Linotype"/>
          <w:sz w:val="22"/>
          <w:szCs w:val="22"/>
        </w:rPr>
      </w:pPr>
    </w:p>
    <w:p w14:paraId="536F0F04"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presupuesto municipal, al ser basado en resultados, contempla el deber de elaborar documentos que permeen conocer el avance presupuestal de los egresos municipales y de sus organismos descentralizados.</w:t>
      </w:r>
    </w:p>
    <w:p w14:paraId="669FFFB1" w14:textId="77777777" w:rsidR="003A5EAB" w:rsidRDefault="003A5EAB">
      <w:pPr>
        <w:spacing w:line="360" w:lineRule="auto"/>
        <w:jc w:val="both"/>
        <w:rPr>
          <w:rFonts w:ascii="Palatino Linotype" w:eastAsia="Palatino Linotype" w:hAnsi="Palatino Linotype" w:cs="Palatino Linotype"/>
          <w:sz w:val="22"/>
          <w:szCs w:val="22"/>
        </w:rPr>
      </w:pPr>
    </w:p>
    <w:p w14:paraId="23211114"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sentido, ante la falta de respuesta del Sujeto Obligado, deberá pronunciarse al respecto. </w:t>
      </w:r>
    </w:p>
    <w:p w14:paraId="4698F5B2" w14:textId="77777777" w:rsidR="003A5EAB" w:rsidRDefault="003A5EAB">
      <w:pPr>
        <w:spacing w:line="360" w:lineRule="auto"/>
        <w:jc w:val="both"/>
        <w:rPr>
          <w:rFonts w:ascii="Palatino Linotype" w:eastAsia="Palatino Linotype" w:hAnsi="Palatino Linotype" w:cs="Palatino Linotype"/>
          <w:sz w:val="22"/>
          <w:szCs w:val="22"/>
        </w:rPr>
      </w:pPr>
    </w:p>
    <w:p w14:paraId="751687CD" w14:textId="77777777" w:rsidR="003A5EAB" w:rsidRDefault="004D5CC5">
      <w:pPr>
        <w:pStyle w:val="Ttulo2"/>
      </w:pPr>
      <w:bookmarkStart w:id="25" w:name="_heading=h.xqne12mo0227" w:colFirst="0" w:colLast="0"/>
      <w:bookmarkStart w:id="26" w:name="_Toc213945158"/>
      <w:bookmarkEnd w:id="25"/>
      <w:r>
        <w:t>SEXTO. Decisión</w:t>
      </w:r>
      <w:bookmarkEnd w:id="26"/>
    </w:p>
    <w:p w14:paraId="7C64B104" w14:textId="77777777" w:rsidR="003A5EAB" w:rsidRDefault="003A5EAB">
      <w:pPr>
        <w:spacing w:line="360" w:lineRule="auto"/>
        <w:jc w:val="both"/>
        <w:rPr>
          <w:rFonts w:ascii="Palatino Linotype" w:eastAsia="Palatino Linotype" w:hAnsi="Palatino Linotype" w:cs="Palatino Linotype"/>
          <w:sz w:val="22"/>
          <w:szCs w:val="22"/>
        </w:rPr>
      </w:pPr>
    </w:p>
    <w:p w14:paraId="3DE7D5DF" w14:textId="77777777" w:rsidR="003A5EAB" w:rsidRDefault="004D5CC5">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lastRenderedPageBreak/>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00105/DIFIXTAPAL/IP/2025.</w:t>
      </w:r>
    </w:p>
    <w:p w14:paraId="0204A9C0" w14:textId="77777777" w:rsidR="003A5EAB" w:rsidRDefault="003A5EAB">
      <w:pPr>
        <w:spacing w:line="360" w:lineRule="auto"/>
        <w:jc w:val="both"/>
        <w:rPr>
          <w:rFonts w:ascii="Palatino Linotype" w:eastAsia="Palatino Linotype" w:hAnsi="Palatino Linotype" w:cs="Palatino Linotype"/>
          <w:sz w:val="22"/>
          <w:szCs w:val="22"/>
        </w:rPr>
      </w:pPr>
    </w:p>
    <w:p w14:paraId="07F0E725" w14:textId="77777777" w:rsidR="003A5EAB" w:rsidRDefault="004D5CC5">
      <w:pPr>
        <w:pStyle w:val="Ttulo2"/>
      </w:pPr>
      <w:bookmarkStart w:id="27" w:name="_heading=h.sohvdaak6cw" w:colFirst="0" w:colLast="0"/>
      <w:bookmarkStart w:id="28" w:name="_Toc213945159"/>
      <w:bookmarkEnd w:id="27"/>
      <w:r>
        <w:t>SÉPTIMO. Vista a la Secretaría Técnica del Pleno</w:t>
      </w:r>
      <w:bookmarkEnd w:id="28"/>
    </w:p>
    <w:p w14:paraId="3FE0395B" w14:textId="77777777" w:rsidR="003A5EAB" w:rsidRDefault="003A5EAB">
      <w:pPr>
        <w:spacing w:line="360" w:lineRule="auto"/>
        <w:jc w:val="both"/>
        <w:rPr>
          <w:rFonts w:ascii="Palatino Linotype" w:eastAsia="Palatino Linotype" w:hAnsi="Palatino Linotype" w:cs="Palatino Linotype"/>
          <w:sz w:val="22"/>
          <w:szCs w:val="22"/>
        </w:rPr>
      </w:pPr>
    </w:p>
    <w:p w14:paraId="18052A66" w14:textId="77777777" w:rsidR="003A5EAB" w:rsidRDefault="004D5CC5">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Sistema Municipal para el Desarrollo Integral de la Familia de Ixtapaluca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19384726" w14:textId="77777777" w:rsidR="003A5EAB" w:rsidRDefault="003A5EAB">
      <w:pPr>
        <w:spacing w:line="360" w:lineRule="auto"/>
        <w:ind w:right="-93"/>
        <w:jc w:val="both"/>
        <w:rPr>
          <w:rFonts w:ascii="Palatino Linotype" w:eastAsia="Palatino Linotype" w:hAnsi="Palatino Linotype" w:cs="Palatino Linotype"/>
          <w:sz w:val="22"/>
          <w:szCs w:val="22"/>
        </w:rPr>
      </w:pPr>
    </w:p>
    <w:p w14:paraId="1F0E4A35" w14:textId="77777777" w:rsidR="003A5EAB" w:rsidRDefault="004D5CC5">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2419F16" w14:textId="77777777" w:rsidR="003A5EAB" w:rsidRDefault="003A5EAB">
      <w:pPr>
        <w:spacing w:line="360" w:lineRule="auto"/>
        <w:ind w:right="-93"/>
        <w:jc w:val="both"/>
        <w:rPr>
          <w:rFonts w:ascii="Palatino Linotype" w:eastAsia="Palatino Linotype" w:hAnsi="Palatino Linotype" w:cs="Palatino Linotype"/>
          <w:sz w:val="22"/>
          <w:szCs w:val="22"/>
        </w:rPr>
      </w:pPr>
    </w:p>
    <w:p w14:paraId="2A80BB93" w14:textId="77777777" w:rsidR="003A5EAB" w:rsidRDefault="004D5CC5">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7A8D32B" w14:textId="77777777" w:rsidR="003A5EAB" w:rsidRDefault="003A5EAB">
      <w:pPr>
        <w:spacing w:line="360" w:lineRule="auto"/>
        <w:ind w:right="-93"/>
        <w:jc w:val="both"/>
        <w:rPr>
          <w:rFonts w:ascii="Palatino Linotype" w:eastAsia="Palatino Linotype" w:hAnsi="Palatino Linotype" w:cs="Palatino Linotype"/>
          <w:sz w:val="22"/>
          <w:szCs w:val="22"/>
        </w:rPr>
      </w:pPr>
    </w:p>
    <w:p w14:paraId="12B9DE28" w14:textId="77777777" w:rsidR="003A5EAB" w:rsidRDefault="004D5CC5">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7F8C6D95" w14:textId="77777777" w:rsidR="003A5EAB" w:rsidRDefault="003A5EAB">
      <w:pPr>
        <w:spacing w:line="360" w:lineRule="auto"/>
        <w:ind w:right="-93"/>
        <w:jc w:val="both"/>
        <w:rPr>
          <w:rFonts w:ascii="Palatino Linotype" w:eastAsia="Palatino Linotype" w:hAnsi="Palatino Linotype" w:cs="Palatino Linotype"/>
          <w:sz w:val="22"/>
          <w:szCs w:val="22"/>
        </w:rPr>
      </w:pPr>
    </w:p>
    <w:p w14:paraId="4954F127" w14:textId="77777777" w:rsidR="003A5EAB" w:rsidRDefault="004D5CC5">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5AB4411B" w14:textId="77777777" w:rsidR="003A5EAB" w:rsidRDefault="003A5EAB">
      <w:pPr>
        <w:spacing w:line="360" w:lineRule="auto"/>
        <w:jc w:val="both"/>
        <w:rPr>
          <w:rFonts w:ascii="Palatino Linotype" w:eastAsia="Palatino Linotype" w:hAnsi="Palatino Linotype" w:cs="Palatino Linotype"/>
          <w:sz w:val="22"/>
          <w:szCs w:val="22"/>
        </w:rPr>
      </w:pPr>
    </w:p>
    <w:p w14:paraId="50327DC7" w14:textId="77777777" w:rsidR="003A5EAB" w:rsidRDefault="004D5CC5">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Términos de la Resolución para conocimiento del Particular</w:t>
      </w:r>
    </w:p>
    <w:p w14:paraId="3C101462" w14:textId="77777777" w:rsidR="003A5EAB" w:rsidRDefault="003A5EAB">
      <w:pPr>
        <w:spacing w:line="360" w:lineRule="auto"/>
        <w:jc w:val="both"/>
        <w:rPr>
          <w:rFonts w:ascii="Palatino Linotype" w:eastAsia="Palatino Linotype" w:hAnsi="Palatino Linotype" w:cs="Palatino Linotype"/>
          <w:b/>
          <w:sz w:val="22"/>
          <w:szCs w:val="22"/>
        </w:rPr>
      </w:pPr>
    </w:p>
    <w:p w14:paraId="4FEACC51"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unas búsqueda exhaustiva y razonable en sus archivos, y en su caso, entregarle la documentación que corresponda.  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7DAD1BA9" w14:textId="77777777" w:rsidR="003A5EAB" w:rsidRDefault="003A5EAB">
      <w:pPr>
        <w:spacing w:line="360" w:lineRule="auto"/>
        <w:jc w:val="both"/>
        <w:rPr>
          <w:rFonts w:ascii="Palatino Linotype" w:eastAsia="Palatino Linotype" w:hAnsi="Palatino Linotype" w:cs="Palatino Linotype"/>
          <w:sz w:val="22"/>
          <w:szCs w:val="22"/>
        </w:rPr>
      </w:pPr>
    </w:p>
    <w:p w14:paraId="750B133C" w14:textId="77777777" w:rsidR="003A5EAB" w:rsidRDefault="004D5CC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44EDD3EA" w14:textId="77777777" w:rsidR="003A5EAB" w:rsidRDefault="003A5EAB">
      <w:pPr>
        <w:spacing w:line="360" w:lineRule="auto"/>
        <w:jc w:val="both"/>
        <w:rPr>
          <w:rFonts w:ascii="Palatino Linotype" w:eastAsia="Palatino Linotype" w:hAnsi="Palatino Linotype" w:cs="Palatino Linotype"/>
          <w:color w:val="000000"/>
          <w:sz w:val="22"/>
          <w:szCs w:val="22"/>
        </w:rPr>
      </w:pPr>
    </w:p>
    <w:p w14:paraId="72E7A03B"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3AFAEAAD" w14:textId="77777777" w:rsidR="003A5EAB" w:rsidRDefault="003A5EAB">
      <w:pPr>
        <w:spacing w:line="360" w:lineRule="auto"/>
        <w:jc w:val="both"/>
        <w:rPr>
          <w:rFonts w:ascii="Palatino Linotype" w:eastAsia="Palatino Linotype" w:hAnsi="Palatino Linotype" w:cs="Palatino Linotype"/>
          <w:sz w:val="22"/>
          <w:szCs w:val="22"/>
        </w:rPr>
      </w:pPr>
    </w:p>
    <w:p w14:paraId="4709B069" w14:textId="77777777" w:rsidR="003A5EAB" w:rsidRDefault="004D5CC5">
      <w:pPr>
        <w:pStyle w:val="Ttulo1"/>
      </w:pPr>
      <w:bookmarkStart w:id="29" w:name="_heading=h.rc8t3isprvg0" w:colFirst="0" w:colLast="0"/>
      <w:bookmarkStart w:id="30" w:name="_Toc213945160"/>
      <w:bookmarkEnd w:id="29"/>
      <w:r>
        <w:t>R E S U E L V E</w:t>
      </w:r>
      <w:bookmarkEnd w:id="30"/>
    </w:p>
    <w:p w14:paraId="59C18382" w14:textId="77777777" w:rsidR="003A5EAB" w:rsidRDefault="003A5EAB">
      <w:pPr>
        <w:spacing w:line="360" w:lineRule="auto"/>
        <w:jc w:val="both"/>
        <w:rPr>
          <w:rFonts w:ascii="Palatino Linotype" w:eastAsia="Palatino Linotype" w:hAnsi="Palatino Linotype" w:cs="Palatino Linotype"/>
          <w:b/>
          <w:sz w:val="22"/>
          <w:szCs w:val="22"/>
        </w:rPr>
      </w:pPr>
    </w:p>
    <w:p w14:paraId="6FDF0A7C"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11331/INFOEM/IP/RR/2025,</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en términos de los considerandos QUINTO y SEXTO de la presente Resolución.</w:t>
      </w:r>
    </w:p>
    <w:p w14:paraId="5AA22557" w14:textId="77777777" w:rsidR="003A5EAB" w:rsidRDefault="003A5EAB">
      <w:pPr>
        <w:spacing w:line="360" w:lineRule="auto"/>
        <w:jc w:val="both"/>
        <w:rPr>
          <w:rFonts w:ascii="Palatino Linotype" w:eastAsia="Palatino Linotype" w:hAnsi="Palatino Linotype" w:cs="Palatino Linotype"/>
          <w:sz w:val="22"/>
          <w:szCs w:val="22"/>
        </w:rPr>
      </w:pPr>
    </w:p>
    <w:p w14:paraId="197F62D5" w14:textId="77777777" w:rsidR="003A5EAB" w:rsidRDefault="004D5CC5">
      <w:pPr>
        <w:spacing w:line="360" w:lineRule="auto"/>
        <w:jc w:val="both"/>
        <w:rPr>
          <w:b/>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w:t>
      </w:r>
      <w:r>
        <w:rPr>
          <w:rFonts w:ascii="Palatino Linotype" w:eastAsia="Palatino Linotype" w:hAnsi="Palatino Linotype" w:cs="Palatino Linotype"/>
          <w:color w:val="0D0D0D"/>
          <w:sz w:val="22"/>
          <w:szCs w:val="22"/>
        </w:rPr>
        <w:t xml:space="preserve"> 00105/DIFIXTAPAL/IP/2025 </w:t>
      </w:r>
      <w:r>
        <w:rPr>
          <w:rFonts w:ascii="Palatino Linotype" w:eastAsia="Palatino Linotype" w:hAnsi="Palatino Linotype" w:cs="Palatino Linotype"/>
          <w:sz w:val="22"/>
          <w:szCs w:val="22"/>
        </w:rPr>
        <w:t>y, a través del Sistema de Acceso a la Información Mexiquense (SAIMEX), dé la respuesta que conforme a derecho corresponda</w:t>
      </w:r>
      <w:r>
        <w:rPr>
          <w:b/>
        </w:rPr>
        <w:t xml:space="preserve">. </w:t>
      </w:r>
    </w:p>
    <w:p w14:paraId="46FF5241" w14:textId="77777777" w:rsidR="003A5EAB" w:rsidRDefault="003A5EAB">
      <w:pPr>
        <w:spacing w:line="360" w:lineRule="auto"/>
        <w:jc w:val="both"/>
        <w:rPr>
          <w:rFonts w:ascii="Palatino Linotype" w:eastAsia="Palatino Linotype" w:hAnsi="Palatino Linotype" w:cs="Palatino Linotype"/>
          <w:sz w:val="22"/>
          <w:szCs w:val="22"/>
        </w:rPr>
      </w:pPr>
    </w:p>
    <w:p w14:paraId="4C036F63"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3AD518C2" w14:textId="77777777" w:rsidR="003A5EAB" w:rsidRDefault="003A5EAB">
      <w:pPr>
        <w:spacing w:line="360" w:lineRule="auto"/>
        <w:jc w:val="both"/>
        <w:rPr>
          <w:rFonts w:ascii="Palatino Linotype" w:eastAsia="Palatino Linotype" w:hAnsi="Palatino Linotype" w:cs="Palatino Linotype"/>
          <w:sz w:val="22"/>
          <w:szCs w:val="22"/>
        </w:rPr>
      </w:pPr>
    </w:p>
    <w:p w14:paraId="1C23A49E"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E6F0895" w14:textId="77777777" w:rsidR="003A5EAB" w:rsidRDefault="003A5EAB">
      <w:pPr>
        <w:spacing w:line="360" w:lineRule="auto"/>
        <w:jc w:val="both"/>
        <w:rPr>
          <w:rFonts w:ascii="Palatino Linotype" w:eastAsia="Palatino Linotype" w:hAnsi="Palatino Linotype" w:cs="Palatino Linotype"/>
          <w:sz w:val="22"/>
          <w:szCs w:val="22"/>
        </w:rPr>
      </w:pPr>
    </w:p>
    <w:p w14:paraId="24A90509"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332F9FF" w14:textId="77777777" w:rsidR="003A5EAB" w:rsidRDefault="003A5EAB">
      <w:pPr>
        <w:spacing w:line="360" w:lineRule="auto"/>
        <w:jc w:val="both"/>
        <w:rPr>
          <w:rFonts w:ascii="Palatino Linotype" w:eastAsia="Palatino Linotype" w:hAnsi="Palatino Linotype" w:cs="Palatino Linotype"/>
          <w:sz w:val="22"/>
          <w:szCs w:val="22"/>
        </w:rPr>
      </w:pPr>
    </w:p>
    <w:p w14:paraId="55AD694D" w14:textId="77777777" w:rsidR="003A5EAB" w:rsidRDefault="004D5CC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78AD9B9E" w14:textId="77777777" w:rsidR="003A5EAB" w:rsidRDefault="003A5EAB">
      <w:pPr>
        <w:spacing w:line="360" w:lineRule="auto"/>
        <w:jc w:val="both"/>
        <w:rPr>
          <w:rFonts w:ascii="Palatino Linotype" w:eastAsia="Palatino Linotype" w:hAnsi="Palatino Linotype" w:cs="Palatino Linotype"/>
          <w:b/>
          <w:sz w:val="22"/>
          <w:szCs w:val="22"/>
        </w:rPr>
      </w:pPr>
    </w:p>
    <w:p w14:paraId="3737FBC7" w14:textId="641A4E01" w:rsidR="003A5EAB" w:rsidRDefault="004D5CC5">
      <w:pPr>
        <w:spacing w:line="360" w:lineRule="auto"/>
        <w:jc w:val="both"/>
        <w:rPr>
          <w:rFonts w:ascii="Palatino Linotype" w:eastAsia="Palatino Linotype" w:hAnsi="Palatino Linotype" w:cs="Palatino Linotype"/>
          <w:sz w:val="22"/>
          <w:szCs w:val="22"/>
        </w:rPr>
      </w:pPr>
      <w:bookmarkStart w:id="31" w:name="_heading=h.go6u27bs6lln" w:colFirst="0" w:colLast="0"/>
      <w:bookmarkEnd w:id="31"/>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w:t>
      </w:r>
      <w:r>
        <w:rPr>
          <w:rFonts w:ascii="Palatino Linotype" w:eastAsia="Palatino Linotype" w:hAnsi="Palatino Linotype" w:cs="Palatino Linotype"/>
          <w:sz w:val="22"/>
          <w:szCs w:val="22"/>
        </w:rPr>
        <w:lastRenderedPageBreak/>
        <w:t xml:space="preserve">LOS COMISIONADOS JOSÉ MARTÍNEZ VILCHIS, MARÍA DEL ROSARIO MEJÍA AYALA, SHARON CRISTINA MORALES MARTÍNEZ, LUIS GUSTAVO PARRA NORIEGA Y GUADALUPE RAMÍREZ PEÑA, EN LA </w:t>
      </w:r>
      <w:r w:rsidR="00A70981">
        <w:rPr>
          <w:rFonts w:ascii="Palatino Linotype" w:eastAsia="Palatino Linotype" w:hAnsi="Palatino Linotype" w:cs="Palatino Linotype"/>
          <w:sz w:val="22"/>
          <w:szCs w:val="22"/>
        </w:rPr>
        <w:t xml:space="preserve">CUADRAGÉSIMA </w:t>
      </w:r>
      <w:r>
        <w:rPr>
          <w:rFonts w:ascii="Palatino Linotype" w:eastAsia="Palatino Linotype" w:hAnsi="Palatino Linotype" w:cs="Palatino Linotype"/>
          <w:sz w:val="22"/>
          <w:szCs w:val="22"/>
        </w:rPr>
        <w:t xml:space="preserve">SESIÓN ORDINARIA, CELEBRADA EL </w:t>
      </w:r>
      <w:r w:rsidR="00A70981">
        <w:rPr>
          <w:rFonts w:ascii="Palatino Linotype" w:eastAsia="Palatino Linotype" w:hAnsi="Palatino Linotype" w:cs="Palatino Linotype"/>
          <w:sz w:val="22"/>
          <w:szCs w:val="22"/>
        </w:rPr>
        <w:t xml:space="preserve">DOCE DE NOVIEMBRE </w:t>
      </w:r>
      <w:r>
        <w:rPr>
          <w:rFonts w:ascii="Palatino Linotype" w:eastAsia="Palatino Linotype" w:hAnsi="Palatino Linotype" w:cs="Palatino Linotype"/>
          <w:sz w:val="22"/>
          <w:szCs w:val="22"/>
        </w:rPr>
        <w:t>DE DOS MIL VEINTICINCO, ANTE EL SECRETARIO TÉCNICO DEL PLENO, ALEXIS TAPIA RAMÍREZ.</w:t>
      </w:r>
    </w:p>
    <w:p w14:paraId="79C2D309" w14:textId="77777777" w:rsidR="003A5EAB" w:rsidRDefault="003A5EAB">
      <w:pPr>
        <w:spacing w:line="360" w:lineRule="auto"/>
        <w:jc w:val="both"/>
        <w:rPr>
          <w:rFonts w:ascii="Palatino Linotype" w:eastAsia="Palatino Linotype" w:hAnsi="Palatino Linotype" w:cs="Palatino Linotype"/>
          <w:sz w:val="22"/>
          <w:szCs w:val="22"/>
        </w:rPr>
      </w:pPr>
    </w:p>
    <w:p w14:paraId="422706FE" w14:textId="77777777" w:rsidR="003A5EAB" w:rsidRDefault="003A5EAB">
      <w:pPr>
        <w:spacing w:line="360" w:lineRule="auto"/>
        <w:jc w:val="both"/>
        <w:rPr>
          <w:rFonts w:ascii="Palatino Linotype" w:eastAsia="Palatino Linotype" w:hAnsi="Palatino Linotype" w:cs="Palatino Linotype"/>
          <w:sz w:val="22"/>
          <w:szCs w:val="22"/>
        </w:rPr>
      </w:pPr>
    </w:p>
    <w:p w14:paraId="6E440886" w14:textId="77777777" w:rsidR="003A5EAB" w:rsidRDefault="003A5EAB">
      <w:pPr>
        <w:spacing w:line="360" w:lineRule="auto"/>
        <w:jc w:val="both"/>
        <w:rPr>
          <w:rFonts w:ascii="Palatino Linotype" w:eastAsia="Palatino Linotype" w:hAnsi="Palatino Linotype" w:cs="Palatino Linotype"/>
          <w:sz w:val="22"/>
          <w:szCs w:val="22"/>
        </w:rPr>
      </w:pPr>
    </w:p>
    <w:p w14:paraId="4307FD1B" w14:textId="77777777" w:rsidR="003A5EAB" w:rsidRDefault="003A5EAB">
      <w:pPr>
        <w:spacing w:line="360" w:lineRule="auto"/>
        <w:jc w:val="both"/>
        <w:rPr>
          <w:rFonts w:ascii="Palatino Linotype" w:eastAsia="Palatino Linotype" w:hAnsi="Palatino Linotype" w:cs="Palatino Linotype"/>
          <w:sz w:val="22"/>
          <w:szCs w:val="22"/>
        </w:rPr>
      </w:pPr>
    </w:p>
    <w:p w14:paraId="2485DB8A" w14:textId="77777777" w:rsidR="003A5EAB" w:rsidRDefault="003A5EAB">
      <w:pPr>
        <w:spacing w:line="360" w:lineRule="auto"/>
        <w:jc w:val="both"/>
        <w:rPr>
          <w:rFonts w:ascii="Palatino Linotype" w:eastAsia="Palatino Linotype" w:hAnsi="Palatino Linotype" w:cs="Palatino Linotype"/>
          <w:sz w:val="22"/>
          <w:szCs w:val="22"/>
        </w:rPr>
      </w:pPr>
    </w:p>
    <w:p w14:paraId="3E43F1BC" w14:textId="77777777" w:rsidR="003A5EAB" w:rsidRDefault="003A5EAB">
      <w:pPr>
        <w:spacing w:line="360" w:lineRule="auto"/>
        <w:jc w:val="both"/>
        <w:rPr>
          <w:rFonts w:ascii="Palatino Linotype" w:eastAsia="Palatino Linotype" w:hAnsi="Palatino Linotype" w:cs="Palatino Linotype"/>
          <w:sz w:val="22"/>
          <w:szCs w:val="22"/>
        </w:rPr>
      </w:pPr>
    </w:p>
    <w:p w14:paraId="4F9D8067" w14:textId="77777777" w:rsidR="003A5EAB" w:rsidRDefault="003A5EAB">
      <w:pPr>
        <w:spacing w:line="360" w:lineRule="auto"/>
        <w:jc w:val="both"/>
        <w:rPr>
          <w:rFonts w:ascii="Palatino Linotype" w:eastAsia="Palatino Linotype" w:hAnsi="Palatino Linotype" w:cs="Palatino Linotype"/>
          <w:sz w:val="22"/>
          <w:szCs w:val="22"/>
        </w:rPr>
      </w:pPr>
    </w:p>
    <w:p w14:paraId="6853D7B7" w14:textId="77777777" w:rsidR="003A5EAB" w:rsidRDefault="003A5EAB">
      <w:pPr>
        <w:spacing w:line="360" w:lineRule="auto"/>
        <w:jc w:val="both"/>
        <w:rPr>
          <w:rFonts w:ascii="Palatino Linotype" w:eastAsia="Palatino Linotype" w:hAnsi="Palatino Linotype" w:cs="Palatino Linotype"/>
          <w:sz w:val="22"/>
          <w:szCs w:val="22"/>
        </w:rPr>
      </w:pPr>
    </w:p>
    <w:p w14:paraId="738781B0" w14:textId="77777777" w:rsidR="003A5EAB" w:rsidRDefault="003A5EAB">
      <w:pPr>
        <w:spacing w:line="360" w:lineRule="auto"/>
        <w:jc w:val="both"/>
        <w:rPr>
          <w:rFonts w:ascii="Palatino Linotype" w:eastAsia="Palatino Linotype" w:hAnsi="Palatino Linotype" w:cs="Palatino Linotype"/>
          <w:sz w:val="22"/>
          <w:szCs w:val="22"/>
        </w:rPr>
      </w:pPr>
    </w:p>
    <w:p w14:paraId="30872098" w14:textId="77777777" w:rsidR="003A5EAB" w:rsidRDefault="003A5EAB">
      <w:pPr>
        <w:spacing w:line="360" w:lineRule="auto"/>
        <w:jc w:val="both"/>
        <w:rPr>
          <w:rFonts w:ascii="Palatino Linotype" w:eastAsia="Palatino Linotype" w:hAnsi="Palatino Linotype" w:cs="Palatino Linotype"/>
          <w:sz w:val="22"/>
          <w:szCs w:val="22"/>
        </w:rPr>
      </w:pPr>
    </w:p>
    <w:p w14:paraId="4AFA312C" w14:textId="77777777" w:rsidR="003A5EAB" w:rsidRDefault="003A5EAB">
      <w:pPr>
        <w:spacing w:line="360" w:lineRule="auto"/>
        <w:jc w:val="both"/>
        <w:rPr>
          <w:rFonts w:ascii="Palatino Linotype" w:eastAsia="Palatino Linotype" w:hAnsi="Palatino Linotype" w:cs="Palatino Linotype"/>
          <w:sz w:val="22"/>
          <w:szCs w:val="22"/>
        </w:rPr>
      </w:pPr>
    </w:p>
    <w:p w14:paraId="7B3D4989" w14:textId="77777777" w:rsidR="003A5EAB" w:rsidRDefault="003A5EAB">
      <w:pPr>
        <w:spacing w:line="360" w:lineRule="auto"/>
        <w:jc w:val="both"/>
        <w:rPr>
          <w:rFonts w:ascii="Palatino Linotype" w:eastAsia="Palatino Linotype" w:hAnsi="Palatino Linotype" w:cs="Palatino Linotype"/>
          <w:sz w:val="22"/>
          <w:szCs w:val="22"/>
        </w:rPr>
      </w:pPr>
    </w:p>
    <w:p w14:paraId="793B03D4" w14:textId="77777777" w:rsidR="003A5EAB" w:rsidRDefault="003A5EAB">
      <w:pPr>
        <w:spacing w:line="360" w:lineRule="auto"/>
        <w:jc w:val="both"/>
        <w:rPr>
          <w:rFonts w:ascii="Palatino Linotype" w:eastAsia="Palatino Linotype" w:hAnsi="Palatino Linotype" w:cs="Palatino Linotype"/>
          <w:sz w:val="22"/>
          <w:szCs w:val="22"/>
        </w:rPr>
      </w:pPr>
    </w:p>
    <w:p w14:paraId="680ECDFB" w14:textId="77777777" w:rsidR="003A5EAB" w:rsidRDefault="003A5EAB">
      <w:pPr>
        <w:spacing w:line="360" w:lineRule="auto"/>
        <w:jc w:val="both"/>
        <w:rPr>
          <w:rFonts w:ascii="Palatino Linotype" w:eastAsia="Palatino Linotype" w:hAnsi="Palatino Linotype" w:cs="Palatino Linotype"/>
          <w:sz w:val="22"/>
          <w:szCs w:val="22"/>
        </w:rPr>
      </w:pPr>
    </w:p>
    <w:p w14:paraId="1B00FAAA" w14:textId="77777777" w:rsidR="003A5EAB" w:rsidRDefault="003A5EAB">
      <w:pPr>
        <w:spacing w:line="360" w:lineRule="auto"/>
        <w:jc w:val="both"/>
        <w:rPr>
          <w:rFonts w:ascii="Palatino Linotype" w:eastAsia="Palatino Linotype" w:hAnsi="Palatino Linotype" w:cs="Palatino Linotype"/>
          <w:sz w:val="22"/>
          <w:szCs w:val="22"/>
        </w:rPr>
      </w:pPr>
    </w:p>
    <w:p w14:paraId="0F9D157E" w14:textId="77777777" w:rsidR="003A5EAB" w:rsidRDefault="003A5EAB">
      <w:pPr>
        <w:spacing w:line="360" w:lineRule="auto"/>
        <w:jc w:val="both"/>
        <w:rPr>
          <w:rFonts w:ascii="Palatino Linotype" w:eastAsia="Palatino Linotype" w:hAnsi="Palatino Linotype" w:cs="Palatino Linotype"/>
          <w:sz w:val="22"/>
          <w:szCs w:val="22"/>
        </w:rPr>
      </w:pPr>
    </w:p>
    <w:p w14:paraId="184E2C10" w14:textId="77777777" w:rsidR="003A5EAB" w:rsidRDefault="003A5EAB">
      <w:pPr>
        <w:spacing w:line="360" w:lineRule="auto"/>
        <w:jc w:val="both"/>
        <w:rPr>
          <w:rFonts w:ascii="Palatino Linotype" w:eastAsia="Palatino Linotype" w:hAnsi="Palatino Linotype" w:cs="Palatino Linotype"/>
          <w:sz w:val="22"/>
          <w:szCs w:val="22"/>
        </w:rPr>
      </w:pPr>
    </w:p>
    <w:p w14:paraId="09FD1884" w14:textId="77777777" w:rsidR="003A5EAB" w:rsidRDefault="003A5EAB">
      <w:pPr>
        <w:spacing w:line="360" w:lineRule="auto"/>
        <w:jc w:val="both"/>
        <w:rPr>
          <w:rFonts w:ascii="Palatino Linotype" w:eastAsia="Palatino Linotype" w:hAnsi="Palatino Linotype" w:cs="Palatino Linotype"/>
          <w:sz w:val="22"/>
          <w:szCs w:val="22"/>
        </w:rPr>
      </w:pPr>
    </w:p>
    <w:p w14:paraId="4DA223FE" w14:textId="77777777" w:rsidR="003A5EAB" w:rsidRDefault="003A5EAB">
      <w:pPr>
        <w:spacing w:line="360" w:lineRule="auto"/>
        <w:jc w:val="both"/>
        <w:rPr>
          <w:rFonts w:ascii="Palatino Linotype" w:eastAsia="Palatino Linotype" w:hAnsi="Palatino Linotype" w:cs="Palatino Linotype"/>
          <w:sz w:val="22"/>
          <w:szCs w:val="22"/>
        </w:rPr>
      </w:pPr>
    </w:p>
    <w:p w14:paraId="604BAF46" w14:textId="77777777" w:rsidR="003A5EAB" w:rsidRDefault="003A5EAB">
      <w:pPr>
        <w:spacing w:line="360" w:lineRule="auto"/>
        <w:jc w:val="both"/>
        <w:rPr>
          <w:rFonts w:ascii="Palatino Linotype" w:eastAsia="Palatino Linotype" w:hAnsi="Palatino Linotype" w:cs="Palatino Linotype"/>
          <w:sz w:val="22"/>
          <w:szCs w:val="22"/>
        </w:rPr>
      </w:pPr>
    </w:p>
    <w:p w14:paraId="528FEEC3" w14:textId="77777777" w:rsidR="003A5EAB" w:rsidRDefault="003A5EAB">
      <w:pPr>
        <w:spacing w:line="360" w:lineRule="auto"/>
        <w:jc w:val="both"/>
        <w:rPr>
          <w:rFonts w:ascii="Palatino Linotype" w:eastAsia="Palatino Linotype" w:hAnsi="Palatino Linotype" w:cs="Palatino Linotype"/>
          <w:sz w:val="22"/>
          <w:szCs w:val="22"/>
        </w:rPr>
      </w:pPr>
    </w:p>
    <w:p w14:paraId="76C7A2FA" w14:textId="77777777" w:rsidR="003A5EAB" w:rsidRDefault="003A5EAB">
      <w:pPr>
        <w:spacing w:line="360" w:lineRule="auto"/>
        <w:jc w:val="both"/>
        <w:rPr>
          <w:rFonts w:ascii="Palatino Linotype" w:eastAsia="Palatino Linotype" w:hAnsi="Palatino Linotype" w:cs="Palatino Linotype"/>
          <w:sz w:val="22"/>
          <w:szCs w:val="22"/>
        </w:rPr>
      </w:pPr>
    </w:p>
    <w:p w14:paraId="63C43F7D" w14:textId="77777777" w:rsidR="003A5EAB" w:rsidRDefault="003A5EAB">
      <w:pPr>
        <w:spacing w:line="360" w:lineRule="auto"/>
        <w:jc w:val="both"/>
        <w:rPr>
          <w:rFonts w:ascii="Palatino Linotype" w:eastAsia="Palatino Linotype" w:hAnsi="Palatino Linotype" w:cs="Palatino Linotype"/>
          <w:sz w:val="22"/>
          <w:szCs w:val="22"/>
        </w:rPr>
      </w:pPr>
    </w:p>
    <w:p w14:paraId="7AC4832F" w14:textId="77777777" w:rsidR="003A5EAB" w:rsidRDefault="003A5EAB">
      <w:pPr>
        <w:spacing w:line="360" w:lineRule="auto"/>
        <w:jc w:val="both"/>
        <w:rPr>
          <w:rFonts w:ascii="Palatino Linotype" w:eastAsia="Palatino Linotype" w:hAnsi="Palatino Linotype" w:cs="Palatino Linotype"/>
          <w:sz w:val="22"/>
          <w:szCs w:val="22"/>
        </w:rPr>
      </w:pPr>
    </w:p>
    <w:p w14:paraId="5FE9AE0A" w14:textId="77777777" w:rsidR="003A5EAB" w:rsidRDefault="003A5EAB">
      <w:pPr>
        <w:spacing w:line="360" w:lineRule="auto"/>
        <w:jc w:val="both"/>
        <w:rPr>
          <w:rFonts w:ascii="Palatino Linotype" w:eastAsia="Palatino Linotype" w:hAnsi="Palatino Linotype" w:cs="Palatino Linotype"/>
          <w:sz w:val="22"/>
          <w:szCs w:val="22"/>
        </w:rPr>
      </w:pPr>
    </w:p>
    <w:p w14:paraId="22C69B2A" w14:textId="77777777" w:rsidR="003A5EAB" w:rsidRDefault="003A5EAB">
      <w:pPr>
        <w:spacing w:line="360" w:lineRule="auto"/>
        <w:jc w:val="both"/>
        <w:rPr>
          <w:rFonts w:ascii="Palatino Linotype" w:eastAsia="Palatino Linotype" w:hAnsi="Palatino Linotype" w:cs="Palatino Linotype"/>
          <w:sz w:val="22"/>
          <w:szCs w:val="22"/>
        </w:rPr>
      </w:pPr>
    </w:p>
    <w:p w14:paraId="383B5274" w14:textId="77777777" w:rsidR="003A5EAB" w:rsidRDefault="003A5EAB">
      <w:pPr>
        <w:spacing w:line="360" w:lineRule="auto"/>
        <w:jc w:val="both"/>
        <w:rPr>
          <w:rFonts w:ascii="Palatino Linotype" w:eastAsia="Palatino Linotype" w:hAnsi="Palatino Linotype" w:cs="Palatino Linotype"/>
          <w:b/>
          <w:sz w:val="22"/>
          <w:szCs w:val="22"/>
        </w:rPr>
      </w:pPr>
    </w:p>
    <w:p w14:paraId="56D70ED2" w14:textId="77777777" w:rsidR="003A5EAB" w:rsidRDefault="003A5EAB">
      <w:pPr>
        <w:spacing w:line="360" w:lineRule="auto"/>
        <w:jc w:val="both"/>
        <w:rPr>
          <w:rFonts w:ascii="Palatino Linotype" w:eastAsia="Palatino Linotype" w:hAnsi="Palatino Linotype" w:cs="Palatino Linotype"/>
          <w:sz w:val="22"/>
          <w:szCs w:val="22"/>
        </w:rPr>
      </w:pPr>
    </w:p>
    <w:p w14:paraId="13607099" w14:textId="77777777" w:rsidR="003A5EAB" w:rsidRDefault="003A5EAB">
      <w:pPr>
        <w:spacing w:line="360" w:lineRule="auto"/>
        <w:jc w:val="both"/>
        <w:rPr>
          <w:rFonts w:ascii="Palatino Linotype" w:eastAsia="Palatino Linotype" w:hAnsi="Palatino Linotype" w:cs="Palatino Linotype"/>
          <w:sz w:val="22"/>
          <w:szCs w:val="22"/>
        </w:rPr>
      </w:pPr>
    </w:p>
    <w:p w14:paraId="75CC5D0B" w14:textId="77777777" w:rsidR="003A5EAB" w:rsidRDefault="003A5EAB">
      <w:pPr>
        <w:spacing w:line="360" w:lineRule="auto"/>
        <w:jc w:val="both"/>
        <w:rPr>
          <w:rFonts w:ascii="Palatino Linotype" w:eastAsia="Palatino Linotype" w:hAnsi="Palatino Linotype" w:cs="Palatino Linotype"/>
          <w:sz w:val="22"/>
          <w:szCs w:val="22"/>
        </w:rPr>
      </w:pPr>
    </w:p>
    <w:p w14:paraId="3C1A696E" w14:textId="77777777" w:rsidR="003A5EAB" w:rsidRDefault="003A5EAB">
      <w:pPr>
        <w:spacing w:line="360" w:lineRule="auto"/>
        <w:ind w:right="-93"/>
        <w:jc w:val="both"/>
        <w:rPr>
          <w:rFonts w:ascii="Palatino Linotype" w:eastAsia="Palatino Linotype" w:hAnsi="Palatino Linotype" w:cs="Palatino Linotype"/>
          <w:sz w:val="22"/>
          <w:szCs w:val="22"/>
        </w:rPr>
      </w:pPr>
    </w:p>
    <w:p w14:paraId="5C4B734E" w14:textId="77777777" w:rsidR="003A5EAB" w:rsidRDefault="003A5EAB">
      <w:pPr>
        <w:spacing w:line="360" w:lineRule="auto"/>
        <w:jc w:val="both"/>
        <w:rPr>
          <w:rFonts w:ascii="Palatino Linotype" w:eastAsia="Palatino Linotype" w:hAnsi="Palatino Linotype" w:cs="Palatino Linotype"/>
          <w:sz w:val="22"/>
          <w:szCs w:val="22"/>
        </w:rPr>
      </w:pPr>
    </w:p>
    <w:p w14:paraId="55936913" w14:textId="77777777" w:rsidR="003A5EAB" w:rsidRDefault="003A5EAB">
      <w:pPr>
        <w:spacing w:line="360" w:lineRule="auto"/>
        <w:jc w:val="both"/>
        <w:rPr>
          <w:rFonts w:ascii="Palatino Linotype" w:eastAsia="Palatino Linotype" w:hAnsi="Palatino Linotype" w:cs="Palatino Linotype"/>
          <w:sz w:val="22"/>
          <w:szCs w:val="22"/>
        </w:rPr>
      </w:pPr>
    </w:p>
    <w:p w14:paraId="1332F3C5" w14:textId="77777777" w:rsidR="003A5EAB" w:rsidRDefault="003A5EAB">
      <w:pPr>
        <w:spacing w:line="360" w:lineRule="auto"/>
      </w:pPr>
    </w:p>
    <w:p w14:paraId="24BE7554" w14:textId="77777777" w:rsidR="003A5EAB" w:rsidRDefault="003A5EAB">
      <w:pPr>
        <w:spacing w:line="360" w:lineRule="auto"/>
      </w:pPr>
    </w:p>
    <w:p w14:paraId="39A7EA2A" w14:textId="77777777" w:rsidR="003A5EAB" w:rsidRDefault="003A5EAB">
      <w:pPr>
        <w:spacing w:line="360" w:lineRule="auto"/>
      </w:pPr>
    </w:p>
    <w:p w14:paraId="79CF0E24" w14:textId="77777777" w:rsidR="003A5EAB" w:rsidRDefault="003A5EAB">
      <w:pPr>
        <w:spacing w:line="360" w:lineRule="auto"/>
      </w:pPr>
    </w:p>
    <w:p w14:paraId="175E86D2" w14:textId="77777777" w:rsidR="003A5EAB" w:rsidRDefault="003A5EAB">
      <w:pPr>
        <w:spacing w:line="360" w:lineRule="auto"/>
      </w:pPr>
    </w:p>
    <w:p w14:paraId="2066F6FD" w14:textId="77777777" w:rsidR="003A5EAB" w:rsidRDefault="003A5EAB">
      <w:pPr>
        <w:spacing w:line="360" w:lineRule="auto"/>
        <w:jc w:val="both"/>
        <w:rPr>
          <w:rFonts w:ascii="Palatino Linotype" w:eastAsia="Palatino Linotype" w:hAnsi="Palatino Linotype" w:cs="Palatino Linotype"/>
          <w:color w:val="000000"/>
          <w:sz w:val="22"/>
          <w:szCs w:val="22"/>
        </w:rPr>
      </w:pPr>
    </w:p>
    <w:sectPr w:rsidR="003A5EAB">
      <w:headerReference w:type="default" r:id="rId9"/>
      <w:footerReference w:type="default" r:id="rId10"/>
      <w:headerReference w:type="first" r:id="rId11"/>
      <w:footerReference w:type="first" r:id="rId12"/>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9B620" w14:textId="77777777" w:rsidR="009A634D" w:rsidRDefault="009A634D">
      <w:r>
        <w:separator/>
      </w:r>
    </w:p>
  </w:endnote>
  <w:endnote w:type="continuationSeparator" w:id="0">
    <w:p w14:paraId="4BCAEA98" w14:textId="77777777" w:rsidR="009A634D" w:rsidRDefault="009A6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A0E21531-22D6-4D94-84E1-E67627A208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C7254E2-704E-4AA5-B2C8-00F7B0167D80}"/>
    <w:embedBold r:id="rId3" w:fontKey="{DDCD5351-5CD7-466D-BC8A-CCA545BF2B78}"/>
    <w:embedItalic r:id="rId4" w:fontKey="{F128923F-1A88-42E6-BB46-798626607535}"/>
    <w:embedBoldItalic r:id="rId5" w:fontKey="{5FD7B2AB-CA00-40FE-B6F9-2AEEDEC36802}"/>
  </w:font>
  <w:font w:name="Calibri">
    <w:panose1 w:val="020F0502020204030204"/>
    <w:charset w:val="00"/>
    <w:family w:val="swiss"/>
    <w:pitch w:val="variable"/>
    <w:sig w:usb0="E4002EFF" w:usb1="C200247B" w:usb2="00000009" w:usb3="00000000" w:csb0="000001FF" w:csb1="00000000"/>
    <w:embedRegular r:id="rId6" w:fontKey="{2D6F8501-B94D-4EF1-9BB7-0D879EBE26F0}"/>
    <w:embedBold r:id="rId7" w:fontKey="{91284174-B0FC-4A48-BF7F-938E18CDB8BD}"/>
  </w:font>
  <w:font w:name="Century Gothic">
    <w:panose1 w:val="020B0502020202020204"/>
    <w:charset w:val="00"/>
    <w:family w:val="swiss"/>
    <w:pitch w:val="variable"/>
    <w:sig w:usb0="00000287" w:usb1="00000000" w:usb2="00000000" w:usb3="00000000" w:csb0="0000009F" w:csb1="00000000"/>
    <w:embedRegular r:id="rId8" w:fontKey="{29984A71-DA95-4AC4-9C2D-55399C1DE2DB}"/>
  </w:font>
  <w:font w:name="Segoe UI">
    <w:panose1 w:val="020B0502040204020203"/>
    <w:charset w:val="00"/>
    <w:family w:val="swiss"/>
    <w:pitch w:val="variable"/>
    <w:sig w:usb0="E4002EFF" w:usb1="C000E47F" w:usb2="00000009" w:usb3="00000000" w:csb0="000001FF" w:csb1="00000000"/>
    <w:embedRegular r:id="rId9" w:fontKey="{0FBE20DE-FF11-4994-B2E6-4575DF18568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4555DB5F-E3BC-45ED-9E65-8FA30A9FE653}"/>
  </w:font>
  <w:font w:name="Tahoma">
    <w:panose1 w:val="020B0604030504040204"/>
    <w:charset w:val="00"/>
    <w:family w:val="swiss"/>
    <w:pitch w:val="variable"/>
    <w:sig w:usb0="E1002EFF" w:usb1="C000605B" w:usb2="00000029" w:usb3="00000000" w:csb0="000101FF" w:csb1="00000000"/>
    <w:embedBold r:id="rId11" w:fontKey="{EA6FE16D-0932-42D4-B523-8A4F9FD4C2E2}"/>
  </w:font>
  <w:font w:name="Garamond">
    <w:panose1 w:val="02020404030301010803"/>
    <w:charset w:val="00"/>
    <w:family w:val="roman"/>
    <w:pitch w:val="variable"/>
    <w:sig w:usb0="00000287" w:usb1="00000000" w:usb2="00000000" w:usb3="00000000" w:csb0="0000009F" w:csb1="00000000"/>
    <w:embedRegular r:id="rId12" w:fontKey="{F6FA9C1B-4563-445F-B3E7-3353BBBBC4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9D7F1" w14:textId="77777777" w:rsidR="003A5EAB" w:rsidRDefault="003A5EAB">
    <w:pPr>
      <w:pBdr>
        <w:top w:val="nil"/>
        <w:left w:val="nil"/>
        <w:bottom w:val="nil"/>
        <w:right w:val="nil"/>
        <w:between w:val="nil"/>
      </w:pBdr>
      <w:tabs>
        <w:tab w:val="center" w:pos="4419"/>
        <w:tab w:val="right" w:pos="8838"/>
      </w:tabs>
      <w:jc w:val="right"/>
      <w:rPr>
        <w:color w:val="000000"/>
        <w:sz w:val="26"/>
        <w:szCs w:val="26"/>
      </w:rPr>
    </w:pPr>
  </w:p>
  <w:p w14:paraId="535E330F" w14:textId="77777777" w:rsidR="003A5EAB" w:rsidRDefault="004D5CC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87C13">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87C13">
      <w:rPr>
        <w:b/>
        <w:noProof/>
        <w:color w:val="000000"/>
        <w:sz w:val="24"/>
        <w:szCs w:val="24"/>
      </w:rPr>
      <w:t>25</w:t>
    </w:r>
    <w:r>
      <w:rPr>
        <w:b/>
        <w:color w:val="000000"/>
        <w:sz w:val="24"/>
        <w:szCs w:val="24"/>
      </w:rPr>
      <w:fldChar w:fldCharType="end"/>
    </w:r>
  </w:p>
  <w:p w14:paraId="5FD99FB0" w14:textId="77777777" w:rsidR="003A5EAB" w:rsidRDefault="003A5EA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446AE" w14:textId="77777777" w:rsidR="003A5EAB" w:rsidRDefault="003A5EAB">
    <w:pPr>
      <w:pBdr>
        <w:top w:val="nil"/>
        <w:left w:val="nil"/>
        <w:bottom w:val="nil"/>
        <w:right w:val="nil"/>
        <w:between w:val="nil"/>
      </w:pBdr>
      <w:tabs>
        <w:tab w:val="center" w:pos="4419"/>
        <w:tab w:val="right" w:pos="8838"/>
      </w:tabs>
      <w:jc w:val="right"/>
      <w:rPr>
        <w:color w:val="000000"/>
      </w:rPr>
    </w:pPr>
  </w:p>
  <w:p w14:paraId="06F83750" w14:textId="77777777" w:rsidR="003A5EAB" w:rsidRDefault="004D5CC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87C1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87C13">
      <w:rPr>
        <w:b/>
        <w:noProof/>
        <w:color w:val="000000"/>
        <w:sz w:val="24"/>
        <w:szCs w:val="24"/>
      </w:rPr>
      <w:t>25</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1AB95" w14:textId="77777777" w:rsidR="009A634D" w:rsidRDefault="009A634D">
      <w:r>
        <w:separator/>
      </w:r>
    </w:p>
  </w:footnote>
  <w:footnote w:type="continuationSeparator" w:id="0">
    <w:p w14:paraId="34EBB8EE" w14:textId="77777777" w:rsidR="009A634D" w:rsidRDefault="009A6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FD8C" w14:textId="77777777" w:rsidR="003A5EAB" w:rsidRDefault="003A5EA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3A5EAB" w14:paraId="0792F586" w14:textId="77777777">
      <w:trPr>
        <w:trHeight w:val="1412"/>
      </w:trPr>
      <w:tc>
        <w:tcPr>
          <w:tcW w:w="8222" w:type="dxa"/>
        </w:tcPr>
        <w:p w14:paraId="0C33D77A" w14:textId="77777777" w:rsidR="003A5EAB" w:rsidRDefault="003A5EAB"/>
        <w:tbl>
          <w:tblPr>
            <w:tblStyle w:val="a0"/>
            <w:tblW w:w="6700"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3A5EAB" w14:paraId="1ABEF7BE" w14:textId="77777777">
            <w:trPr>
              <w:trHeight w:val="144"/>
            </w:trPr>
            <w:tc>
              <w:tcPr>
                <w:tcW w:w="2552" w:type="dxa"/>
              </w:tcPr>
              <w:p w14:paraId="3BDE2149" w14:textId="77777777" w:rsidR="003A5EAB" w:rsidRDefault="004D5CC5">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49" w:type="dxa"/>
              </w:tcPr>
              <w:p w14:paraId="53AFCFAD" w14:textId="77777777" w:rsidR="003A5EAB" w:rsidRDefault="004D5CC5">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11331/INFOEM/IP/RR/2025</w:t>
                </w:r>
              </w:p>
            </w:tc>
          </w:tr>
          <w:tr w:rsidR="003A5EAB" w14:paraId="454976C4" w14:textId="77777777">
            <w:trPr>
              <w:trHeight w:val="144"/>
            </w:trPr>
            <w:tc>
              <w:tcPr>
                <w:tcW w:w="2552" w:type="dxa"/>
              </w:tcPr>
              <w:p w14:paraId="2B32E9F9" w14:textId="77777777" w:rsidR="003A5EAB" w:rsidRDefault="004D5CC5">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49" w:type="dxa"/>
              </w:tcPr>
              <w:p w14:paraId="5B46C6E7" w14:textId="77777777" w:rsidR="003A5EAB" w:rsidRDefault="004D5CC5">
                <w:pPr>
                  <w:tabs>
                    <w:tab w:val="left" w:pos="1735"/>
                    <w:tab w:val="right" w:pos="8838"/>
                  </w:tabs>
                  <w:spacing w:line="276" w:lineRule="auto"/>
                  <w:ind w:left="-28" w:right="92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3A5EAB" w14:paraId="6BACE66A" w14:textId="77777777">
            <w:trPr>
              <w:trHeight w:val="138"/>
            </w:trPr>
            <w:tc>
              <w:tcPr>
                <w:tcW w:w="2552" w:type="dxa"/>
              </w:tcPr>
              <w:p w14:paraId="2E5E17CB" w14:textId="77777777" w:rsidR="003A5EAB" w:rsidRDefault="004D5CC5">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49" w:type="dxa"/>
              </w:tcPr>
              <w:p w14:paraId="6AC3915F" w14:textId="77777777" w:rsidR="003A5EAB" w:rsidRDefault="004D5CC5">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631068D7" w14:textId="77777777" w:rsidR="003A5EAB" w:rsidRDefault="003A5EAB">
          <w:pPr>
            <w:tabs>
              <w:tab w:val="right" w:pos="8838"/>
            </w:tabs>
            <w:ind w:left="-28"/>
            <w:jc w:val="both"/>
            <w:rPr>
              <w:rFonts w:ascii="Arial" w:eastAsia="Arial" w:hAnsi="Arial" w:cs="Arial"/>
              <w:b/>
              <w:sz w:val="22"/>
              <w:szCs w:val="22"/>
            </w:rPr>
          </w:pPr>
        </w:p>
      </w:tc>
    </w:tr>
  </w:tbl>
  <w:p w14:paraId="2BE1BAFF" w14:textId="304A5D77" w:rsidR="003A5EAB" w:rsidRDefault="005E609A">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noProof/>
        <w:color w:val="000000"/>
        <w:sz w:val="16"/>
        <w:szCs w:val="16"/>
      </w:rPr>
      <w:drawing>
        <wp:anchor distT="0" distB="0" distL="114300" distR="114300" simplePos="0" relativeHeight="251657216" behindDoc="1" locked="0" layoutInCell="0" allowOverlap="1" wp14:anchorId="02AEBA23" wp14:editId="2E0927D8">
          <wp:simplePos x="0" y="0"/>
          <wp:positionH relativeFrom="margin">
            <wp:posOffset>-998855</wp:posOffset>
          </wp:positionH>
          <wp:positionV relativeFrom="margin">
            <wp:posOffset>-1550670</wp:posOffset>
          </wp:positionV>
          <wp:extent cx="8426450" cy="10972800"/>
          <wp:effectExtent l="0" t="0" r="0" b="0"/>
          <wp:wrapNone/>
          <wp:docPr id="1" name="Imagen 1" descr="MARCA DE AGUA - HOJA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 HOJA 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CB9D9" w14:textId="77777777" w:rsidR="003A5EAB" w:rsidRDefault="009A634D">
    <w:r>
      <w:rPr>
        <w:rFonts w:ascii="Palatino Linotype" w:eastAsia="Palatino Linotype" w:hAnsi="Palatino Linotype" w:cs="Palatino Linotype"/>
        <w:b/>
        <w:sz w:val="22"/>
        <w:szCs w:val="22"/>
      </w:rPr>
      <w:pict w14:anchorId="04279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9.7pt;margin-top:-124.7pt;width:663.5pt;height:12in;z-index:-251658240;mso-position-horizontal:absolute;mso-position-horizontal-relative:margin;mso-position-vertical:absolute;mso-position-vertical-relative:margin">
          <v:imagedata r:id="rId1" o:title="image3"/>
          <w10:wrap anchorx="margin" anchory="margin"/>
        </v:shape>
      </w:pict>
    </w:r>
  </w:p>
  <w:tbl>
    <w:tblPr>
      <w:tblStyle w:val="a1"/>
      <w:tblpPr w:leftFromText="141" w:rightFromText="141" w:vertAnchor="page" w:horzAnchor="margin" w:tblpY="556"/>
      <w:tblW w:w="97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19"/>
      <w:gridCol w:w="2405"/>
      <w:gridCol w:w="4257"/>
    </w:tblGrid>
    <w:tr w:rsidR="003A5EAB" w14:paraId="401BCE3D" w14:textId="77777777">
      <w:trPr>
        <w:trHeight w:val="466"/>
      </w:trPr>
      <w:tc>
        <w:tcPr>
          <w:tcW w:w="3119" w:type="dxa"/>
          <w:vAlign w:val="bottom"/>
        </w:tcPr>
        <w:p w14:paraId="3542AB6D" w14:textId="77777777" w:rsidR="003A5EAB" w:rsidRDefault="003A5EAB">
          <w:pPr>
            <w:tabs>
              <w:tab w:val="right" w:pos="8838"/>
            </w:tabs>
            <w:ind w:right="-105"/>
            <w:rPr>
              <w:rFonts w:ascii="Palatino Linotype" w:eastAsia="Palatino Linotype" w:hAnsi="Palatino Linotype" w:cs="Palatino Linotype"/>
              <w:b/>
              <w:sz w:val="22"/>
              <w:szCs w:val="22"/>
            </w:rPr>
          </w:pPr>
        </w:p>
      </w:tc>
      <w:tc>
        <w:tcPr>
          <w:tcW w:w="2405" w:type="dxa"/>
          <w:vAlign w:val="bottom"/>
        </w:tcPr>
        <w:p w14:paraId="59B73629" w14:textId="77777777" w:rsidR="003A5EAB" w:rsidRDefault="004D5CC5">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7" w:type="dxa"/>
          <w:vAlign w:val="bottom"/>
        </w:tcPr>
        <w:p w14:paraId="64A59A42" w14:textId="77777777" w:rsidR="003A5EAB" w:rsidRDefault="004D5CC5">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11331/INFOEM/IP/RR/2025</w:t>
          </w:r>
        </w:p>
      </w:tc>
    </w:tr>
    <w:tr w:rsidR="003A5EAB" w14:paraId="18617F24" w14:textId="77777777">
      <w:trPr>
        <w:trHeight w:val="119"/>
      </w:trPr>
      <w:tc>
        <w:tcPr>
          <w:tcW w:w="3119" w:type="dxa"/>
        </w:tcPr>
        <w:p w14:paraId="05C3C218" w14:textId="77777777" w:rsidR="003A5EAB" w:rsidRDefault="003A5EAB">
          <w:pPr>
            <w:tabs>
              <w:tab w:val="right" w:pos="8838"/>
            </w:tabs>
            <w:ind w:right="-105"/>
            <w:rPr>
              <w:rFonts w:ascii="Palatino Linotype" w:eastAsia="Palatino Linotype" w:hAnsi="Palatino Linotype" w:cs="Palatino Linotype"/>
              <w:b/>
              <w:sz w:val="22"/>
              <w:szCs w:val="22"/>
            </w:rPr>
          </w:pPr>
        </w:p>
      </w:tc>
      <w:tc>
        <w:tcPr>
          <w:tcW w:w="2405" w:type="dxa"/>
        </w:tcPr>
        <w:p w14:paraId="41F9D495" w14:textId="77777777" w:rsidR="003A5EAB" w:rsidRDefault="004D5CC5">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4257" w:type="dxa"/>
        </w:tcPr>
        <w:p w14:paraId="285D2502" w14:textId="1954359A" w:rsidR="003A5EAB" w:rsidRPr="005E609A" w:rsidRDefault="00F87C13" w:rsidP="000D47C1">
          <w:pPr>
            <w:tabs>
              <w:tab w:val="right" w:pos="8838"/>
            </w:tabs>
            <w:spacing w:line="276" w:lineRule="auto"/>
            <w:ind w:right="459"/>
            <w:jc w:val="both"/>
            <w:rPr>
              <w:rFonts w:ascii="Palatino Linotype" w:eastAsia="Palatino Linotype" w:hAnsi="Palatino Linotype" w:cs="Palatino Linotype"/>
              <w:sz w:val="22"/>
              <w:szCs w:val="22"/>
            </w:rPr>
          </w:pPr>
          <w:r w:rsidRPr="00F87C13">
            <w:rPr>
              <w:rFonts w:ascii="Palatino Linotype" w:eastAsia="Palatino Linotype" w:hAnsi="Palatino Linotype" w:cs="Palatino Linotype"/>
              <w:sz w:val="22"/>
              <w:szCs w:val="22"/>
              <w:highlight w:val="black"/>
            </w:rPr>
            <w:t>XXXXXXXXXXXXXXXXXXXXXXXXXXXXXXXXXXXXXXXXXXXXXXXXXXXXXXX</w:t>
          </w:r>
        </w:p>
      </w:tc>
    </w:tr>
    <w:tr w:rsidR="003A5EAB" w14:paraId="2DCD00A8" w14:textId="77777777">
      <w:trPr>
        <w:trHeight w:val="234"/>
      </w:trPr>
      <w:tc>
        <w:tcPr>
          <w:tcW w:w="3119" w:type="dxa"/>
        </w:tcPr>
        <w:p w14:paraId="6F575181" w14:textId="77777777" w:rsidR="003A5EAB" w:rsidRDefault="003A5EAB">
          <w:pPr>
            <w:tabs>
              <w:tab w:val="right" w:pos="8838"/>
            </w:tabs>
            <w:ind w:right="-105"/>
            <w:rPr>
              <w:rFonts w:ascii="Palatino Linotype" w:eastAsia="Palatino Linotype" w:hAnsi="Palatino Linotype" w:cs="Palatino Linotype"/>
              <w:b/>
              <w:sz w:val="22"/>
              <w:szCs w:val="22"/>
            </w:rPr>
          </w:pPr>
        </w:p>
      </w:tc>
      <w:tc>
        <w:tcPr>
          <w:tcW w:w="2405" w:type="dxa"/>
        </w:tcPr>
        <w:p w14:paraId="03DEC25F" w14:textId="77777777" w:rsidR="003A5EAB" w:rsidRDefault="004D5CC5">
          <w:pPr>
            <w:tabs>
              <w:tab w:val="right" w:pos="8838"/>
            </w:tabs>
            <w:spacing w:line="276" w:lineRule="auto"/>
            <w:ind w:right="17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7" w:type="dxa"/>
        </w:tcPr>
        <w:p w14:paraId="13D35769" w14:textId="77777777" w:rsidR="003A5EAB" w:rsidRPr="005E609A" w:rsidRDefault="004D5CC5">
          <w:pPr>
            <w:tabs>
              <w:tab w:val="right" w:pos="8838"/>
            </w:tabs>
            <w:spacing w:line="276" w:lineRule="auto"/>
            <w:ind w:right="601"/>
            <w:jc w:val="both"/>
            <w:rPr>
              <w:rFonts w:ascii="Palatino Linotype" w:eastAsia="Palatino Linotype" w:hAnsi="Palatino Linotype" w:cs="Palatino Linotype"/>
              <w:sz w:val="22"/>
              <w:szCs w:val="22"/>
            </w:rPr>
          </w:pPr>
          <w:r w:rsidRPr="005E609A">
            <w:rPr>
              <w:rFonts w:ascii="Palatino Linotype" w:eastAsia="Palatino Linotype" w:hAnsi="Palatino Linotype" w:cs="Palatino Linotype"/>
              <w:sz w:val="22"/>
              <w:szCs w:val="22"/>
            </w:rPr>
            <w:t>Sistema Municipal para el Desarrollo Integral de la Familia de Ixtapaluca</w:t>
          </w:r>
        </w:p>
      </w:tc>
    </w:tr>
    <w:tr w:rsidR="003A5EAB" w14:paraId="1DD00F6F" w14:textId="77777777">
      <w:trPr>
        <w:trHeight w:val="234"/>
      </w:trPr>
      <w:tc>
        <w:tcPr>
          <w:tcW w:w="3119" w:type="dxa"/>
        </w:tcPr>
        <w:p w14:paraId="2C9EF8A3" w14:textId="77777777" w:rsidR="003A5EAB" w:rsidRDefault="003A5EAB">
          <w:pPr>
            <w:tabs>
              <w:tab w:val="right" w:pos="8838"/>
            </w:tabs>
            <w:ind w:right="-105"/>
            <w:rPr>
              <w:rFonts w:ascii="Palatino Linotype" w:eastAsia="Palatino Linotype" w:hAnsi="Palatino Linotype" w:cs="Palatino Linotype"/>
              <w:b/>
              <w:sz w:val="22"/>
              <w:szCs w:val="22"/>
            </w:rPr>
          </w:pPr>
        </w:p>
      </w:tc>
      <w:tc>
        <w:tcPr>
          <w:tcW w:w="2405" w:type="dxa"/>
        </w:tcPr>
        <w:p w14:paraId="69B54341" w14:textId="77777777" w:rsidR="003A5EAB" w:rsidRDefault="004D5CC5">
          <w:pPr>
            <w:tabs>
              <w:tab w:val="right" w:pos="8838"/>
            </w:tabs>
            <w:spacing w:line="276" w:lineRule="auto"/>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257" w:type="dxa"/>
        </w:tcPr>
        <w:p w14:paraId="69E1FDBC" w14:textId="77777777" w:rsidR="003A5EAB" w:rsidRDefault="004D5CC5">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1ECCBA5" w14:textId="77777777" w:rsidR="003A5EAB" w:rsidRDefault="003A5EAB">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E490D"/>
    <w:multiLevelType w:val="multilevel"/>
    <w:tmpl w:val="7F682986"/>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A726ED"/>
    <w:multiLevelType w:val="multilevel"/>
    <w:tmpl w:val="2CB8E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EAB"/>
    <w:rsid w:val="00027663"/>
    <w:rsid w:val="000D47C1"/>
    <w:rsid w:val="001750DA"/>
    <w:rsid w:val="003A5EAB"/>
    <w:rsid w:val="004D5CC5"/>
    <w:rsid w:val="00593063"/>
    <w:rsid w:val="005E609A"/>
    <w:rsid w:val="007854F0"/>
    <w:rsid w:val="00791AAC"/>
    <w:rsid w:val="007F5751"/>
    <w:rsid w:val="009366DC"/>
    <w:rsid w:val="009A634D"/>
    <w:rsid w:val="00A70981"/>
    <w:rsid w:val="00B11378"/>
    <w:rsid w:val="00E14F0A"/>
    <w:rsid w:val="00E80571"/>
    <w:rsid w:val="00EA7F32"/>
    <w:rsid w:val="00F25F49"/>
    <w:rsid w:val="00F87C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82589D4"/>
  <w15:docId w15:val="{CA6548D1-94C0-4BE1-8FC9-5F113B53C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color w:val="000000"/>
      <w:sz w:val="22"/>
      <w:szCs w:val="2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paragraph" w:styleId="TDC3">
    <w:name w:val="toc 3"/>
    <w:basedOn w:val="Normal"/>
    <w:next w:val="Normal"/>
    <w:autoRedefine/>
    <w:uiPriority w:val="39"/>
    <w:unhideWhenUsed/>
    <w:rsid w:val="005E609A"/>
    <w:pPr>
      <w:spacing w:after="100"/>
      <w:ind w:left="400"/>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14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2Mha0gAkQKb96caJxss7s0QTLg==">CgMxLjAyDmguazcyaGQ4Y2pvOHU5Mg5oLjFzc2VwYWJqYzZ2ODIOaC5jejNnMXd2NXR3bHUyDmguMWN2aXdnN3JhZ2ZzMg5oLml0eHc4dmI2MTBjeDIOaC5uNXAzM3BnZmVkYTQyDmgub2pocHF5b2NmZmUwMg5oLnR5aGx2cnNuODN2cTINaC5ua2F1enVpdHJzNjIOaC5mazljbHl0MXRuZzQyDmgucnczaWV2Yjcxc2VjMg5oLm9jdGlrYWFibnBwajIOaC5oeGppbWZ0MXVnYWYyDmgueHFuZTEybW8wMjI3Mg1oLnNvaHZkYWFrNmN3Mg5oLnJjOHQzaXNwcnZnMDIOaC5nbzZ1MjdiczZsbG44AHIhMVZtNWtWd3VnWFY1eWRzaEJoU0FyVmVfY0JxY2ZZbG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5881</Words>
  <Characters>32348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Cuenta Microsoft</cp:lastModifiedBy>
  <cp:revision>5</cp:revision>
  <cp:lastPrinted>2025-11-14T12:17:00Z</cp:lastPrinted>
  <dcterms:created xsi:type="dcterms:W3CDTF">2025-11-14T12:16:00Z</dcterms:created>
  <dcterms:modified xsi:type="dcterms:W3CDTF">2025-12-09T00:31:00Z</dcterms:modified>
</cp:coreProperties>
</file>