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84B7B" w14:textId="77777777" w:rsidR="0090658A" w:rsidRDefault="0090658A">
      <w:pPr>
        <w:widowControl w:val="0"/>
        <w:pBdr>
          <w:top w:val="nil"/>
          <w:left w:val="nil"/>
          <w:bottom w:val="nil"/>
          <w:right w:val="nil"/>
          <w:between w:val="nil"/>
        </w:pBdr>
        <w:spacing w:after="0" w:line="276" w:lineRule="auto"/>
        <w:jc w:val="left"/>
      </w:pPr>
    </w:p>
    <w:p w14:paraId="17449011" w14:textId="77777777" w:rsidR="0090658A" w:rsidRDefault="00F739B5">
      <w:pPr>
        <w:keepNext/>
        <w:keepLines/>
        <w:pBdr>
          <w:top w:val="nil"/>
          <w:left w:val="nil"/>
          <w:bottom w:val="nil"/>
          <w:right w:val="nil"/>
          <w:between w:val="nil"/>
        </w:pBdr>
        <w:spacing w:after="0" w:line="360" w:lineRule="auto"/>
        <w:jc w:val="center"/>
        <w:rPr>
          <w:color w:val="000000"/>
        </w:rPr>
      </w:pPr>
      <w:r>
        <w:rPr>
          <w:color w:val="000000"/>
        </w:rPr>
        <w:t>RESOLUCIÓN DEL RECURSO DE REVISIÓN 07551/INFOEM/IP/RR/2024</w:t>
      </w:r>
    </w:p>
    <w:sdt>
      <w:sdtPr>
        <w:id w:val="-1850632632"/>
        <w:docPartObj>
          <w:docPartGallery w:val="Table of Contents"/>
          <w:docPartUnique/>
        </w:docPartObj>
      </w:sdtPr>
      <w:sdtContent>
        <w:p w14:paraId="3C57A29C" w14:textId="77777777" w:rsidR="0090658A" w:rsidRDefault="00F739B5">
          <w:pPr>
            <w:pBdr>
              <w:top w:val="nil"/>
              <w:left w:val="nil"/>
              <w:bottom w:val="nil"/>
              <w:right w:val="nil"/>
              <w:between w:val="nil"/>
            </w:pBdr>
            <w:tabs>
              <w:tab w:val="right" w:pos="9072"/>
            </w:tabs>
            <w:spacing w:after="0" w:line="360" w:lineRule="auto"/>
            <w:jc w:val="left"/>
            <w:rPr>
              <w:color w:val="000000"/>
            </w:rPr>
          </w:pPr>
          <w:r>
            <w:fldChar w:fldCharType="begin"/>
          </w:r>
          <w:r>
            <w:instrText xml:space="preserve"> TOC \h \u \z \t "Heading 1,1,Heading 2,2,Heading 3,3,"</w:instrText>
          </w:r>
          <w:r>
            <w:fldChar w:fldCharType="separate"/>
          </w:r>
          <w:hyperlink w:anchor="_heading=h.gjdgxs">
            <w:r>
              <w:rPr>
                <w:color w:val="000000"/>
              </w:rPr>
              <w:t>A N T E C E D E N T E S:</w:t>
            </w:r>
            <w:r>
              <w:rPr>
                <w:color w:val="000000"/>
              </w:rPr>
              <w:tab/>
              <w:t>2</w:t>
            </w:r>
          </w:hyperlink>
        </w:p>
        <w:p w14:paraId="09060AA0"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30j0zll">
            <w:r>
              <w:rPr>
                <w:color w:val="000000"/>
              </w:rPr>
              <w:t>I. Presentación de la solicitud de información:</w:t>
            </w:r>
          </w:hyperlink>
          <w:hyperlink w:anchor="_heading=h.30j0zll">
            <w:r>
              <w:rPr>
                <w:rFonts w:ascii="Times New Roman" w:eastAsia="Times New Roman" w:hAnsi="Times New Roman" w:cs="Times New Roman"/>
                <w:color w:val="000000"/>
                <w:sz w:val="20"/>
                <w:szCs w:val="20"/>
              </w:rPr>
              <w:tab/>
              <w:t>2</w:t>
            </w:r>
          </w:hyperlink>
        </w:p>
        <w:p w14:paraId="47D24855"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1fob9te">
            <w:r>
              <w:rPr>
                <w:color w:val="000000"/>
              </w:rPr>
              <w:t>II. Respuesta del Sujeto Obligado.</w:t>
            </w:r>
          </w:hyperlink>
          <w:hyperlink w:anchor="_heading=h.1fob9te">
            <w:r>
              <w:rPr>
                <w:rFonts w:ascii="Times New Roman" w:eastAsia="Times New Roman" w:hAnsi="Times New Roman" w:cs="Times New Roman"/>
                <w:color w:val="000000"/>
                <w:sz w:val="20"/>
                <w:szCs w:val="20"/>
              </w:rPr>
              <w:tab/>
              <w:t>3</w:t>
            </w:r>
          </w:hyperlink>
        </w:p>
        <w:p w14:paraId="692DC529"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3znysh7">
            <w:r>
              <w:rPr>
                <w:color w:val="000000"/>
              </w:rPr>
              <w:t>III. Interposición del Recurso de Revisión.</w:t>
            </w:r>
          </w:hyperlink>
          <w:hyperlink w:anchor="_heading=h.3znysh7">
            <w:r>
              <w:rPr>
                <w:rFonts w:ascii="Times New Roman" w:eastAsia="Times New Roman" w:hAnsi="Times New Roman" w:cs="Times New Roman"/>
                <w:color w:val="000000"/>
                <w:sz w:val="20"/>
                <w:szCs w:val="20"/>
              </w:rPr>
              <w:tab/>
              <w:t>4</w:t>
            </w:r>
          </w:hyperlink>
        </w:p>
        <w:p w14:paraId="1BF19F65"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2et92p0">
            <w:r>
              <w:rPr>
                <w:color w:val="000000"/>
              </w:rPr>
              <w:t>IV. Trámite del Recurso de Revisión ante este Instituto.</w:t>
            </w:r>
          </w:hyperlink>
          <w:hyperlink w:anchor="_heading=h.2et92p0">
            <w:r>
              <w:rPr>
                <w:rFonts w:ascii="Times New Roman" w:eastAsia="Times New Roman" w:hAnsi="Times New Roman" w:cs="Times New Roman"/>
                <w:color w:val="000000"/>
                <w:sz w:val="20"/>
                <w:szCs w:val="20"/>
              </w:rPr>
              <w:tab/>
              <w:t>4</w:t>
            </w:r>
          </w:hyperlink>
        </w:p>
        <w:p w14:paraId="1F7CB5F1"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tyjcwt">
            <w:r>
              <w:rPr>
                <w:color w:val="000000"/>
              </w:rPr>
              <w:t>a) Turno del Medio de Impugnación.</w:t>
            </w:r>
          </w:hyperlink>
          <w:hyperlink w:anchor="_heading=h.tyjcwt">
            <w:r>
              <w:rPr>
                <w:rFonts w:ascii="Times New Roman" w:eastAsia="Times New Roman" w:hAnsi="Times New Roman" w:cs="Times New Roman"/>
                <w:color w:val="000000"/>
                <w:sz w:val="20"/>
                <w:szCs w:val="20"/>
              </w:rPr>
              <w:tab/>
              <w:t>4</w:t>
            </w:r>
          </w:hyperlink>
        </w:p>
        <w:p w14:paraId="0E5CA6A3"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3dy6vkm">
            <w:r>
              <w:rPr>
                <w:color w:val="000000"/>
              </w:rPr>
              <w:t>b) Admisión del Recurso de Revisión.</w:t>
            </w:r>
          </w:hyperlink>
          <w:hyperlink w:anchor="_heading=h.3dy6vkm">
            <w:r>
              <w:rPr>
                <w:rFonts w:ascii="Times New Roman" w:eastAsia="Times New Roman" w:hAnsi="Times New Roman" w:cs="Times New Roman"/>
                <w:color w:val="000000"/>
                <w:sz w:val="20"/>
                <w:szCs w:val="20"/>
              </w:rPr>
              <w:tab/>
              <w:t>5</w:t>
            </w:r>
          </w:hyperlink>
        </w:p>
        <w:p w14:paraId="137164A7"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1t3h5sf">
            <w:r>
              <w:rPr>
                <w:color w:val="000000"/>
              </w:rPr>
              <w:t>c) Informe Justificado o Manifestaciones.</w:t>
            </w:r>
          </w:hyperlink>
          <w:hyperlink w:anchor="_heading=h.1t3h5sf">
            <w:r>
              <w:rPr>
                <w:rFonts w:ascii="Times New Roman" w:eastAsia="Times New Roman" w:hAnsi="Times New Roman" w:cs="Times New Roman"/>
                <w:color w:val="000000"/>
                <w:sz w:val="20"/>
                <w:szCs w:val="20"/>
              </w:rPr>
              <w:tab/>
              <w:t>5</w:t>
            </w:r>
          </w:hyperlink>
        </w:p>
        <w:p w14:paraId="002F1F4E"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4d34og8">
            <w:r>
              <w:rPr>
                <w:color w:val="000000"/>
              </w:rPr>
              <w:t>d) Cierre de instrucción.</w:t>
            </w:r>
          </w:hyperlink>
          <w:hyperlink w:anchor="_heading=h.4d34og8">
            <w:r>
              <w:rPr>
                <w:rFonts w:ascii="Times New Roman" w:eastAsia="Times New Roman" w:hAnsi="Times New Roman" w:cs="Times New Roman"/>
                <w:color w:val="000000"/>
                <w:sz w:val="20"/>
                <w:szCs w:val="20"/>
              </w:rPr>
              <w:tab/>
              <w:t>5</w:t>
            </w:r>
          </w:hyperlink>
        </w:p>
        <w:p w14:paraId="2AD0B580" w14:textId="77777777" w:rsidR="0090658A" w:rsidRDefault="00F739B5">
          <w:pPr>
            <w:pBdr>
              <w:top w:val="nil"/>
              <w:left w:val="nil"/>
              <w:bottom w:val="nil"/>
              <w:right w:val="nil"/>
              <w:between w:val="nil"/>
            </w:pBdr>
            <w:tabs>
              <w:tab w:val="right" w:pos="9072"/>
            </w:tabs>
            <w:spacing w:after="0" w:line="360" w:lineRule="auto"/>
            <w:jc w:val="left"/>
            <w:rPr>
              <w:color w:val="000000"/>
            </w:rPr>
          </w:pPr>
          <w:hyperlink w:anchor="_heading=h.2s8eyo1">
            <w:r>
              <w:rPr>
                <w:color w:val="000000"/>
              </w:rPr>
              <w:t>C O N S I D E R A N D O S:</w:t>
            </w:r>
            <w:r>
              <w:rPr>
                <w:color w:val="000000"/>
              </w:rPr>
              <w:tab/>
              <w:t>6</w:t>
            </w:r>
          </w:hyperlink>
        </w:p>
        <w:p w14:paraId="23CFB1E4"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17dp8vu">
            <w:r>
              <w:rPr>
                <w:color w:val="000000"/>
              </w:rPr>
              <w:t>PRIMERO. Competencia.</w:t>
            </w:r>
          </w:hyperlink>
          <w:hyperlink w:anchor="_heading=h.17dp8vu">
            <w:r>
              <w:rPr>
                <w:rFonts w:ascii="Times New Roman" w:eastAsia="Times New Roman" w:hAnsi="Times New Roman" w:cs="Times New Roman"/>
                <w:color w:val="000000"/>
                <w:sz w:val="20"/>
                <w:szCs w:val="20"/>
              </w:rPr>
              <w:tab/>
              <w:t>6</w:t>
            </w:r>
          </w:hyperlink>
        </w:p>
        <w:p w14:paraId="71E83724"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3rdcrjn">
            <w:r>
              <w:rPr>
                <w:color w:val="000000"/>
              </w:rPr>
              <w:t>SEGUNDO. Causales de improcedencia y sobreseimiento.</w:t>
            </w:r>
          </w:hyperlink>
          <w:hyperlink w:anchor="_heading=h.3rdcrjn">
            <w:r>
              <w:rPr>
                <w:rFonts w:ascii="Times New Roman" w:eastAsia="Times New Roman" w:hAnsi="Times New Roman" w:cs="Times New Roman"/>
                <w:color w:val="000000"/>
                <w:sz w:val="20"/>
                <w:szCs w:val="20"/>
              </w:rPr>
              <w:tab/>
              <w:t>6</w:t>
            </w:r>
          </w:hyperlink>
        </w:p>
        <w:p w14:paraId="74984C92"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26in1rg">
            <w:r>
              <w:rPr>
                <w:color w:val="000000"/>
              </w:rPr>
              <w:t>TERCERO. Determinación de la Controversia.</w:t>
            </w:r>
          </w:hyperlink>
          <w:hyperlink w:anchor="_heading=h.26in1rg">
            <w:r>
              <w:rPr>
                <w:rFonts w:ascii="Times New Roman" w:eastAsia="Times New Roman" w:hAnsi="Times New Roman" w:cs="Times New Roman"/>
                <w:color w:val="000000"/>
                <w:sz w:val="20"/>
                <w:szCs w:val="20"/>
              </w:rPr>
              <w:tab/>
              <w:t>8</w:t>
            </w:r>
          </w:hyperlink>
        </w:p>
        <w:p w14:paraId="11BE7DD8"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lnxbz9">
            <w:r>
              <w:rPr>
                <w:color w:val="000000"/>
              </w:rPr>
              <w:t>CUARTO. Marco normativo aplicable en materia de transparencia y acceso a la información pública.</w:t>
            </w:r>
          </w:hyperlink>
          <w:hyperlink w:anchor="_heading=h.lnxbz9">
            <w:r>
              <w:rPr>
                <w:rFonts w:ascii="Times New Roman" w:eastAsia="Times New Roman" w:hAnsi="Times New Roman" w:cs="Times New Roman"/>
                <w:color w:val="000000"/>
                <w:sz w:val="20"/>
                <w:szCs w:val="20"/>
              </w:rPr>
              <w:tab/>
              <w:t>9</w:t>
            </w:r>
          </w:hyperlink>
        </w:p>
        <w:p w14:paraId="53EE843C"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35nkun2">
            <w:r>
              <w:rPr>
                <w:color w:val="000000"/>
              </w:rPr>
              <w:t>QUINTO. Estudio de Fondo.</w:t>
            </w:r>
          </w:hyperlink>
          <w:hyperlink w:anchor="_heading=h.35nkun2">
            <w:r>
              <w:rPr>
                <w:rFonts w:ascii="Times New Roman" w:eastAsia="Times New Roman" w:hAnsi="Times New Roman" w:cs="Times New Roman"/>
                <w:color w:val="000000"/>
                <w:sz w:val="20"/>
                <w:szCs w:val="20"/>
              </w:rPr>
              <w:tab/>
              <w:t>10</w:t>
            </w:r>
          </w:hyperlink>
        </w:p>
        <w:p w14:paraId="0053D78E" w14:textId="77777777" w:rsidR="0090658A" w:rsidRDefault="00F739B5">
          <w:pPr>
            <w:pBdr>
              <w:top w:val="nil"/>
              <w:left w:val="nil"/>
              <w:bottom w:val="nil"/>
              <w:right w:val="nil"/>
              <w:between w:val="nil"/>
            </w:pBdr>
            <w:tabs>
              <w:tab w:val="right" w:pos="9111"/>
            </w:tabs>
            <w:spacing w:after="0" w:line="360" w:lineRule="auto"/>
            <w:ind w:left="200"/>
            <w:rPr>
              <w:rFonts w:ascii="Times New Roman" w:eastAsia="Times New Roman" w:hAnsi="Times New Roman" w:cs="Times New Roman"/>
              <w:color w:val="000000"/>
              <w:sz w:val="20"/>
              <w:szCs w:val="20"/>
            </w:rPr>
          </w:pPr>
          <w:hyperlink w:anchor="_heading=h.1ksv4uv">
            <w:r>
              <w:rPr>
                <w:color w:val="000000"/>
              </w:rPr>
              <w:t>SEXTO. Decisión.</w:t>
            </w:r>
          </w:hyperlink>
          <w:hyperlink w:anchor="_heading=h.1ksv4uv">
            <w:r>
              <w:rPr>
                <w:rFonts w:ascii="Times New Roman" w:eastAsia="Times New Roman" w:hAnsi="Times New Roman" w:cs="Times New Roman"/>
                <w:color w:val="000000"/>
                <w:sz w:val="20"/>
                <w:szCs w:val="20"/>
              </w:rPr>
              <w:tab/>
              <w:t>20</w:t>
            </w:r>
          </w:hyperlink>
        </w:p>
        <w:p w14:paraId="2B810953" w14:textId="77777777" w:rsidR="0090658A" w:rsidRDefault="00F739B5">
          <w:pPr>
            <w:pBdr>
              <w:top w:val="nil"/>
              <w:left w:val="nil"/>
              <w:bottom w:val="nil"/>
              <w:right w:val="nil"/>
              <w:between w:val="nil"/>
            </w:pBdr>
            <w:tabs>
              <w:tab w:val="right" w:pos="9072"/>
            </w:tabs>
            <w:spacing w:after="0" w:line="360" w:lineRule="auto"/>
            <w:jc w:val="left"/>
            <w:rPr>
              <w:color w:val="000000"/>
            </w:rPr>
          </w:pPr>
          <w:hyperlink w:anchor="_heading=h.44sinio">
            <w:r>
              <w:rPr>
                <w:color w:val="000000"/>
              </w:rPr>
              <w:t>R E S U E L V E:</w:t>
            </w:r>
            <w:r>
              <w:rPr>
                <w:color w:val="000000"/>
              </w:rPr>
              <w:tab/>
              <w:t>21</w:t>
            </w:r>
          </w:hyperlink>
        </w:p>
        <w:p w14:paraId="104F8B79" w14:textId="77777777" w:rsidR="0090658A" w:rsidRDefault="00F739B5">
          <w:pPr>
            <w:spacing w:after="0" w:line="360" w:lineRule="auto"/>
            <w:jc w:val="left"/>
          </w:pPr>
          <w:r>
            <w:fldChar w:fldCharType="end"/>
          </w:r>
        </w:p>
      </w:sdtContent>
    </w:sdt>
    <w:p w14:paraId="56A66C69" w14:textId="77777777" w:rsidR="0090658A" w:rsidRDefault="0090658A">
      <w:pPr>
        <w:spacing w:after="0" w:line="360" w:lineRule="auto"/>
        <w:rPr>
          <w:color w:val="000000"/>
        </w:rPr>
      </w:pPr>
    </w:p>
    <w:p w14:paraId="4999CE9D" w14:textId="77777777" w:rsidR="0090658A" w:rsidRDefault="00F739B5">
      <w:pPr>
        <w:spacing w:after="0" w:line="360" w:lineRule="auto"/>
        <w:jc w:val="left"/>
        <w:rPr>
          <w:color w:val="000000"/>
        </w:rPr>
      </w:pPr>
      <w:r>
        <w:br w:type="page"/>
      </w:r>
    </w:p>
    <w:p w14:paraId="2C98280A" w14:textId="77777777" w:rsidR="0090658A" w:rsidRDefault="00F739B5">
      <w:pPr>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veintinueve de enero de dos mil veinticinco. </w:t>
      </w:r>
    </w:p>
    <w:p w14:paraId="6444DAA7" w14:textId="77777777" w:rsidR="0090658A" w:rsidRDefault="0090658A">
      <w:pPr>
        <w:spacing w:after="0" w:line="360" w:lineRule="auto"/>
        <w:rPr>
          <w:b/>
        </w:rPr>
      </w:pPr>
    </w:p>
    <w:p w14:paraId="40851C66" w14:textId="77777777" w:rsidR="0090658A" w:rsidRDefault="00F739B5">
      <w:pPr>
        <w:spacing w:after="0" w:line="360" w:lineRule="auto"/>
      </w:pPr>
      <w:r>
        <w:rPr>
          <w:b/>
        </w:rPr>
        <w:t>VISTO</w:t>
      </w:r>
      <w:r>
        <w:t xml:space="preserve"> el expediente conformado con motivo del Recurso de Revisión </w:t>
      </w:r>
      <w:r w:rsidRPr="007D72AB">
        <w:rPr>
          <w:b/>
        </w:rPr>
        <w:t>07551/INFOEM/IP/RR/2024</w:t>
      </w:r>
      <w:r>
        <w:t xml:space="preserve">, interpuesto por </w:t>
      </w:r>
      <w:r w:rsidR="00DE731C" w:rsidRPr="00DE731C">
        <w:rPr>
          <w:b/>
          <w:highlight w:val="black"/>
        </w:rPr>
        <w:t>XXXXXXXXXXXXXXXXXXXXXX</w:t>
      </w:r>
      <w:r>
        <w:t xml:space="preserve">, en lo sucesivo la persona Recurrente o Particular, en contra de la respuesta del Sujeto Obligado, </w:t>
      </w:r>
      <w:r w:rsidRPr="007D72AB">
        <w:rPr>
          <w:b/>
        </w:rPr>
        <w:t>Ayuntamiento de Calimaya</w:t>
      </w:r>
      <w:r>
        <w:t xml:space="preserve">, a la solicitud de acceso a la información </w:t>
      </w:r>
      <w:r>
        <w:rPr>
          <w:color w:val="0D0D0D"/>
        </w:rPr>
        <w:t>00207/CALIMAYA/IP/2024</w:t>
      </w:r>
      <w:r>
        <w:t>, se emite la presente Resolución, con base en los Antecedentes y Considerandos que se exponen a continuación:</w:t>
      </w:r>
    </w:p>
    <w:p w14:paraId="4D9F45D4" w14:textId="77777777" w:rsidR="0090658A" w:rsidRDefault="0090658A">
      <w:pPr>
        <w:spacing w:after="0" w:line="360" w:lineRule="auto"/>
        <w:rPr>
          <w:color w:val="000000"/>
        </w:rPr>
      </w:pPr>
    </w:p>
    <w:p w14:paraId="7246A882" w14:textId="77777777" w:rsidR="0090658A" w:rsidRDefault="0022573F">
      <w:pPr>
        <w:pStyle w:val="Ttulo1"/>
        <w:spacing w:before="0" w:line="360" w:lineRule="auto"/>
        <w:jc w:val="center"/>
        <w:rPr>
          <w:rFonts w:ascii="Palatino Linotype" w:eastAsia="Palatino Linotype" w:hAnsi="Palatino Linotype" w:cs="Palatino Linotype"/>
          <w:b/>
          <w:color w:val="000000"/>
          <w:sz w:val="22"/>
          <w:szCs w:val="22"/>
        </w:rPr>
      </w:pPr>
      <w:bookmarkStart w:id="0" w:name="_heading=h.gjdgxs" w:colFirst="0" w:colLast="0"/>
      <w:bookmarkEnd w:id="0"/>
      <w:r>
        <w:rPr>
          <w:rFonts w:ascii="Palatino Linotype" w:eastAsia="Palatino Linotype" w:hAnsi="Palatino Linotype" w:cs="Palatino Linotype"/>
          <w:b/>
          <w:color w:val="000000"/>
          <w:sz w:val="22"/>
          <w:szCs w:val="22"/>
        </w:rPr>
        <w:t>A N T E C E D E N T E S</w:t>
      </w:r>
    </w:p>
    <w:p w14:paraId="1BBB82E8" w14:textId="77777777" w:rsidR="0090658A" w:rsidRDefault="0090658A">
      <w:pPr>
        <w:spacing w:after="0" w:line="360" w:lineRule="auto"/>
      </w:pPr>
    </w:p>
    <w:p w14:paraId="0399C58B" w14:textId="77777777" w:rsidR="0090658A" w:rsidRDefault="00F739B5">
      <w:pPr>
        <w:pStyle w:val="Ttulo2"/>
        <w:spacing w:before="0" w:line="360" w:lineRule="auto"/>
        <w:rPr>
          <w:rFonts w:ascii="Palatino Linotype" w:eastAsia="Palatino Linotype" w:hAnsi="Palatino Linotype" w:cs="Palatino Linotype"/>
          <w:b/>
          <w:color w:val="000000"/>
          <w:sz w:val="22"/>
          <w:szCs w:val="22"/>
        </w:rPr>
      </w:pPr>
      <w:bookmarkStart w:id="1" w:name="_heading=h.30j0zll" w:colFirst="0" w:colLast="0"/>
      <w:bookmarkEnd w:id="1"/>
      <w:r>
        <w:rPr>
          <w:rFonts w:ascii="Palatino Linotype" w:eastAsia="Palatino Linotype" w:hAnsi="Palatino Linotype" w:cs="Palatino Linotype"/>
          <w:b/>
          <w:color w:val="000000"/>
          <w:sz w:val="22"/>
          <w:szCs w:val="22"/>
        </w:rPr>
        <w:t>I. Presentación</w:t>
      </w:r>
      <w:r w:rsidR="0022573F">
        <w:rPr>
          <w:rFonts w:ascii="Palatino Linotype" w:eastAsia="Palatino Linotype" w:hAnsi="Palatino Linotype" w:cs="Palatino Linotype"/>
          <w:b/>
          <w:color w:val="000000"/>
          <w:sz w:val="22"/>
          <w:szCs w:val="22"/>
        </w:rPr>
        <w:t xml:space="preserve"> de la solicitud de información</w:t>
      </w:r>
    </w:p>
    <w:p w14:paraId="3D3C0F02" w14:textId="77777777" w:rsidR="0090658A" w:rsidRDefault="0090658A">
      <w:pPr>
        <w:tabs>
          <w:tab w:val="left" w:pos="567"/>
        </w:tabs>
        <w:spacing w:after="0" w:line="360" w:lineRule="auto"/>
        <w:rPr>
          <w:color w:val="000000"/>
        </w:rPr>
      </w:pPr>
    </w:p>
    <w:p w14:paraId="44188B54" w14:textId="77777777" w:rsidR="0090658A" w:rsidRDefault="00F739B5">
      <w:pPr>
        <w:spacing w:after="0" w:line="360" w:lineRule="auto"/>
      </w:pPr>
      <w:r>
        <w:t xml:space="preserve">Con fecha trece de noviembre de dos mil veinticuatro, el Particular presentó una solicitud de acceso a la información pública, a través del Sistema de Acceso a la Información Mexiquense (SAIMEX), ante el Ayuntamiento de Calimaya, en los siguientes términos: </w:t>
      </w:r>
    </w:p>
    <w:p w14:paraId="7CA5F9EB" w14:textId="77777777" w:rsidR="0090658A" w:rsidRDefault="0090658A">
      <w:pPr>
        <w:spacing w:after="0" w:line="360" w:lineRule="auto"/>
      </w:pPr>
    </w:p>
    <w:p w14:paraId="06719580" w14:textId="77777777" w:rsidR="0090658A" w:rsidRDefault="00F739B5">
      <w:pPr>
        <w:tabs>
          <w:tab w:val="left" w:pos="4667"/>
        </w:tabs>
        <w:spacing w:after="0" w:line="360" w:lineRule="auto"/>
        <w:ind w:left="567" w:right="567"/>
        <w:rPr>
          <w:b/>
          <w:i/>
          <w:sz w:val="20"/>
          <w:szCs w:val="20"/>
        </w:rPr>
      </w:pPr>
      <w:r>
        <w:rPr>
          <w:b/>
          <w:i/>
          <w:sz w:val="20"/>
          <w:szCs w:val="20"/>
        </w:rPr>
        <w:t>“DESCRIPCIÓN CLARA Y PRECISA DE LA INFORMACIÓN SOLICITADA.</w:t>
      </w:r>
    </w:p>
    <w:p w14:paraId="4E80FCFB" w14:textId="77777777" w:rsidR="0090658A" w:rsidRDefault="00F739B5">
      <w:pPr>
        <w:tabs>
          <w:tab w:val="left" w:pos="4667"/>
        </w:tabs>
        <w:spacing w:after="0" w:line="360" w:lineRule="auto"/>
        <w:ind w:left="567" w:right="567"/>
        <w:rPr>
          <w:i/>
          <w:sz w:val="20"/>
          <w:szCs w:val="20"/>
        </w:rPr>
      </w:pPr>
      <w:r>
        <w:rPr>
          <w:i/>
          <w:sz w:val="20"/>
          <w:szCs w:val="20"/>
        </w:rPr>
        <w:t xml:space="preserve">Que por medio del presente ocurso, con fundamento en lo establecido en los artículos 8, y 35 fracción V; artículo XXIV de la Declaración Americana de los Deberes y Derechos del Hombre; solicito respetuosamente se me entregue de forma clara, precisa y completa la información pública en lo que a continuación se cita en el numeral romano I y II. I. ¿A qué cantidad asciende el presupuesto asignado para el Municipio de Calimaya para el año 2024.? II. ¿Cuál ha sido el gasto mensual del mes de enero al mes de noviembre del Municipio de Calimaya y cuánto presupuesto del asignado para el año 2024 queda?” </w:t>
      </w:r>
      <w:r>
        <w:rPr>
          <w:i/>
          <w:sz w:val="16"/>
          <w:szCs w:val="16"/>
        </w:rPr>
        <w:t>(</w:t>
      </w:r>
      <w:r>
        <w:rPr>
          <w:i/>
          <w:sz w:val="20"/>
          <w:szCs w:val="20"/>
        </w:rPr>
        <w:t xml:space="preserve">Sic) </w:t>
      </w:r>
    </w:p>
    <w:p w14:paraId="45760CD7" w14:textId="77777777" w:rsidR="0090658A" w:rsidRDefault="0090658A">
      <w:pPr>
        <w:tabs>
          <w:tab w:val="left" w:pos="4667"/>
        </w:tabs>
        <w:spacing w:after="0" w:line="360" w:lineRule="auto"/>
        <w:ind w:right="567"/>
        <w:rPr>
          <w:b/>
          <w:i/>
          <w:sz w:val="20"/>
          <w:szCs w:val="20"/>
        </w:rPr>
      </w:pPr>
    </w:p>
    <w:p w14:paraId="5CD75DE9" w14:textId="77777777" w:rsidR="0090658A" w:rsidRDefault="0090658A">
      <w:pPr>
        <w:tabs>
          <w:tab w:val="left" w:pos="4667"/>
        </w:tabs>
        <w:spacing w:after="0" w:line="360" w:lineRule="auto"/>
        <w:ind w:right="567"/>
        <w:rPr>
          <w:b/>
          <w:i/>
          <w:sz w:val="20"/>
          <w:szCs w:val="20"/>
        </w:rPr>
      </w:pPr>
    </w:p>
    <w:p w14:paraId="4D3A8A43" w14:textId="77777777" w:rsidR="0090658A" w:rsidRDefault="00F739B5">
      <w:pPr>
        <w:tabs>
          <w:tab w:val="left" w:pos="4667"/>
        </w:tabs>
        <w:spacing w:after="0" w:line="360" w:lineRule="auto"/>
        <w:ind w:left="567" w:right="567"/>
        <w:rPr>
          <w:b/>
          <w:i/>
          <w:sz w:val="20"/>
          <w:szCs w:val="20"/>
        </w:rPr>
      </w:pPr>
      <w:r>
        <w:rPr>
          <w:b/>
          <w:i/>
          <w:sz w:val="20"/>
          <w:szCs w:val="20"/>
        </w:rPr>
        <w:t>“MODALIDAD DE ENTREGA</w:t>
      </w:r>
    </w:p>
    <w:p w14:paraId="59D70547" w14:textId="77777777" w:rsidR="0090658A" w:rsidRDefault="00F739B5">
      <w:pPr>
        <w:spacing w:after="0" w:line="360" w:lineRule="auto"/>
        <w:ind w:left="567" w:right="567"/>
        <w:rPr>
          <w:i/>
          <w:sz w:val="20"/>
          <w:szCs w:val="20"/>
        </w:rPr>
      </w:pPr>
      <w:r>
        <w:rPr>
          <w:i/>
          <w:sz w:val="20"/>
          <w:szCs w:val="20"/>
        </w:rPr>
        <w:t>A través del SAIMEX”</w:t>
      </w:r>
    </w:p>
    <w:p w14:paraId="28F265F0" w14:textId="77777777" w:rsidR="0090658A" w:rsidRDefault="0090658A">
      <w:pPr>
        <w:spacing w:after="0" w:line="360" w:lineRule="auto"/>
        <w:ind w:left="567" w:right="567"/>
        <w:rPr>
          <w:i/>
          <w:sz w:val="20"/>
          <w:szCs w:val="20"/>
        </w:rPr>
      </w:pPr>
    </w:p>
    <w:p w14:paraId="763D664D" w14:textId="77777777" w:rsidR="0090658A" w:rsidRDefault="00F739B5">
      <w:pPr>
        <w:pStyle w:val="Ttulo2"/>
        <w:spacing w:before="0" w:line="360" w:lineRule="auto"/>
        <w:rPr>
          <w:rFonts w:ascii="Palatino Linotype" w:eastAsia="Palatino Linotype" w:hAnsi="Palatino Linotype" w:cs="Palatino Linotype"/>
          <w:b/>
          <w:color w:val="000000"/>
          <w:sz w:val="22"/>
          <w:szCs w:val="22"/>
        </w:rPr>
      </w:pPr>
      <w:bookmarkStart w:id="2" w:name="_heading=h.1fob9te" w:colFirst="0" w:colLast="0"/>
      <w:bookmarkEnd w:id="2"/>
      <w:r>
        <w:rPr>
          <w:rFonts w:ascii="Palatino Linotype" w:eastAsia="Palatino Linotype" w:hAnsi="Palatino Linotype" w:cs="Palatino Linotype"/>
          <w:b/>
          <w:color w:val="000000"/>
          <w:sz w:val="22"/>
          <w:szCs w:val="22"/>
        </w:rPr>
        <w:t>II</w:t>
      </w:r>
      <w:r w:rsidR="0022573F">
        <w:rPr>
          <w:rFonts w:ascii="Palatino Linotype" w:eastAsia="Palatino Linotype" w:hAnsi="Palatino Linotype" w:cs="Palatino Linotype"/>
          <w:b/>
          <w:color w:val="000000"/>
          <w:sz w:val="22"/>
          <w:szCs w:val="22"/>
        </w:rPr>
        <w:t>. Respuesta del Sujeto Obligado</w:t>
      </w:r>
      <w:r>
        <w:rPr>
          <w:rFonts w:ascii="Palatino Linotype" w:eastAsia="Palatino Linotype" w:hAnsi="Palatino Linotype" w:cs="Palatino Linotype"/>
          <w:b/>
          <w:color w:val="000000"/>
          <w:sz w:val="22"/>
          <w:szCs w:val="22"/>
        </w:rPr>
        <w:t xml:space="preserve"> </w:t>
      </w:r>
    </w:p>
    <w:p w14:paraId="2C8A8811" w14:textId="77777777" w:rsidR="0090658A" w:rsidRDefault="0090658A">
      <w:pPr>
        <w:spacing w:after="0" w:line="360" w:lineRule="auto"/>
        <w:rPr>
          <w:b/>
        </w:rPr>
      </w:pPr>
    </w:p>
    <w:p w14:paraId="5992C3D3" w14:textId="77777777" w:rsidR="0090658A" w:rsidRDefault="00F739B5">
      <w:pPr>
        <w:spacing w:after="0" w:line="360" w:lineRule="auto"/>
      </w:pPr>
      <w:r>
        <w:t xml:space="preserve">Con fecha seis de diciembre de dos mil veinticuatro, el Sujeto Obligado notificó, a través del Sistema de Acceso a la Información Mexiquense (SAIMEX), la respuesta a la solicitud de acceso a la información pública, a través del Titular de la Unidad de Transparencia, por medio del cual menciona lo siguiente: </w:t>
      </w:r>
    </w:p>
    <w:p w14:paraId="6E6F52B6" w14:textId="77777777" w:rsidR="0090658A" w:rsidRDefault="0090658A">
      <w:pPr>
        <w:spacing w:after="0" w:line="360" w:lineRule="auto"/>
        <w:ind w:right="567"/>
      </w:pPr>
    </w:p>
    <w:p w14:paraId="3FC500E2" w14:textId="77777777" w:rsidR="0090658A" w:rsidRDefault="00F739B5">
      <w:pPr>
        <w:spacing w:after="0" w:line="360" w:lineRule="auto"/>
        <w:ind w:left="567" w:right="567"/>
        <w:rPr>
          <w:i/>
          <w:sz w:val="20"/>
          <w:szCs w:val="20"/>
        </w:rPr>
      </w:pPr>
      <w:r>
        <w:rPr>
          <w:i/>
          <w:sz w:val="20"/>
          <w:szCs w:val="20"/>
        </w:rPr>
        <w:t>“…</w:t>
      </w:r>
    </w:p>
    <w:p w14:paraId="03BFC62E" w14:textId="77777777" w:rsidR="0090658A" w:rsidRDefault="00F739B5">
      <w:pPr>
        <w:spacing w:after="0" w:line="360" w:lineRule="auto"/>
        <w:ind w:left="567" w:right="567"/>
        <w:rPr>
          <w:i/>
          <w:sz w:val="20"/>
          <w:szCs w:val="20"/>
        </w:rPr>
      </w:pPr>
      <w:r>
        <w:rPr>
          <w:i/>
          <w:sz w:val="20"/>
          <w:szCs w:val="20"/>
        </w:rPr>
        <w:t>ESTIMADO SOLICITANTE: EN ATENCIÓN A SU SOLICITUD DE INFORMACIÓN CON NÚMERO DE FOLIO 00207/CALIMAYA/IP/2024 POR ESTE MEDIO ME PERMITO HACER DE SU CONOCIMIENTO QUE SU SOLICITUD FUE TURNADA A LOS SERVIDORES PÚBLICOS HABILITADOS QUE A CONTINUACIÓN SE ENLISTAN, QUIENES EMITIERON LAS SIGUIENTES RESPUESTAS Y DOCUMENTOS ADJUNTOS QUE SE ENTREGAN A TRAVÉS DEL SAIMEX, DE CONFORMIDAD A LO ESTABLECIDO EN LOS ARTÍCULOS 53 FRACCIÓN II Y IV, 59, 158, 159, 161, 162 Y 163 DE LA LEY DE TRANSPARENCIA Y ACCESO A LA INFORMACIÓN PÚBLICA DEL ESTADO DE MÉXICO Y MUNICIPIOS: “ SE ANEXA DOCUMENTO.”(TESORERIA MUNICIPAL) https://www.calimaya.gob.mx/svc/link/ayuntamiento _sevac_2024_3t_6-edo-analit-egre-det-ldf-obj-del-gasto_051124173615.pdf SIN OTRO ASUNTO, DEJANDO A SALVO SUS PRERROGATIVAS DE INCONFORMIDAD ESTABLECIDAS EN EL TÍTULO OCTAVO DE LA LEY DE TRANSPARENCIA Y ACCESO A LA INFORMACIÓN PÚBLICA DEL ESTADO DE MÉXICO Y MUNICIPIOS, INFORMANDO QUE CUENTA, EN SU CASO, CON 15 DÍAS PARA PROMOVERLA, QUEDO DE USTED.</w:t>
      </w:r>
    </w:p>
    <w:p w14:paraId="6F2291A6" w14:textId="77777777" w:rsidR="0090658A" w:rsidRDefault="00F739B5">
      <w:pPr>
        <w:spacing w:after="0" w:line="360" w:lineRule="auto"/>
        <w:ind w:left="567" w:right="567"/>
        <w:rPr>
          <w:i/>
          <w:sz w:val="20"/>
          <w:szCs w:val="20"/>
        </w:rPr>
      </w:pPr>
      <w:r>
        <w:rPr>
          <w:i/>
          <w:sz w:val="20"/>
          <w:szCs w:val="20"/>
        </w:rPr>
        <w:t>…”</w:t>
      </w:r>
    </w:p>
    <w:p w14:paraId="1C3A7D53" w14:textId="77777777" w:rsidR="0090658A" w:rsidRDefault="0090658A">
      <w:pPr>
        <w:spacing w:after="0" w:line="360" w:lineRule="auto"/>
        <w:ind w:right="567"/>
      </w:pPr>
    </w:p>
    <w:p w14:paraId="0AE6A1E9" w14:textId="77777777" w:rsidR="0090658A" w:rsidRDefault="00F739B5">
      <w:pPr>
        <w:spacing w:after="0" w:line="360" w:lineRule="auto"/>
        <w:ind w:right="567"/>
      </w:pPr>
      <w:r>
        <w:lastRenderedPageBreak/>
        <w:t xml:space="preserve">El Sujeto Obligado adjuntó la digitalización del oficio número PMC/TM/397/2024 del cuatro de diciembre de dos mil veinticuatro, suscrito por el Tesorero Municipal y dirigido a la Titular de la Unidad de Transparencia por medio del cual proporcionó dos ligas electrónicas para consultar la información solicitada, además precisó que la información era generada de forma trimestral, motivo por el cual correspondía hasta el mes de septiembre.  </w:t>
      </w:r>
    </w:p>
    <w:p w14:paraId="4CDE296E" w14:textId="77777777" w:rsidR="0090658A" w:rsidRDefault="0090658A">
      <w:pPr>
        <w:spacing w:after="0" w:line="360" w:lineRule="auto"/>
        <w:ind w:left="567" w:right="567"/>
        <w:rPr>
          <w:i/>
          <w:sz w:val="20"/>
          <w:szCs w:val="20"/>
        </w:rPr>
      </w:pPr>
    </w:p>
    <w:p w14:paraId="01E84D3D" w14:textId="77777777" w:rsidR="0090658A" w:rsidRDefault="00F739B5">
      <w:pPr>
        <w:pStyle w:val="Ttulo2"/>
        <w:spacing w:before="0" w:line="360" w:lineRule="auto"/>
        <w:rPr>
          <w:rFonts w:ascii="Palatino Linotype" w:eastAsia="Palatino Linotype" w:hAnsi="Palatino Linotype" w:cs="Palatino Linotype"/>
          <w:b/>
          <w:color w:val="000000"/>
          <w:sz w:val="22"/>
          <w:szCs w:val="22"/>
        </w:rPr>
      </w:pPr>
      <w:bookmarkStart w:id="3" w:name="_heading=h.3znysh7" w:colFirst="0" w:colLast="0"/>
      <w:bookmarkEnd w:id="3"/>
      <w:r>
        <w:rPr>
          <w:rFonts w:ascii="Palatino Linotype" w:eastAsia="Palatino Linotype" w:hAnsi="Palatino Linotype" w:cs="Palatino Linotype"/>
          <w:b/>
          <w:color w:val="000000"/>
          <w:sz w:val="22"/>
          <w:szCs w:val="22"/>
        </w:rPr>
        <w:t>III. Interposición del Recurso d</w:t>
      </w:r>
      <w:r w:rsidR="0022573F">
        <w:rPr>
          <w:rFonts w:ascii="Palatino Linotype" w:eastAsia="Palatino Linotype" w:hAnsi="Palatino Linotype" w:cs="Palatino Linotype"/>
          <w:b/>
          <w:color w:val="000000"/>
          <w:sz w:val="22"/>
          <w:szCs w:val="22"/>
        </w:rPr>
        <w:t>e Revisión</w:t>
      </w:r>
    </w:p>
    <w:p w14:paraId="47E7BC55" w14:textId="77777777" w:rsidR="0090658A" w:rsidRDefault="0090658A">
      <w:pPr>
        <w:spacing w:after="0" w:line="360" w:lineRule="auto"/>
      </w:pPr>
    </w:p>
    <w:p w14:paraId="2030D1F0" w14:textId="77777777" w:rsidR="0090658A" w:rsidRDefault="00F739B5">
      <w:pPr>
        <w:spacing w:after="0" w:line="360" w:lineRule="auto"/>
      </w:pPr>
      <w:r>
        <w:t>Con fecha seis de diciembre de dos mil veinticuatro, 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0BF2B27E" w14:textId="77777777" w:rsidR="0090658A" w:rsidRDefault="0090658A">
      <w:pPr>
        <w:spacing w:after="0" w:line="360" w:lineRule="auto"/>
      </w:pPr>
    </w:p>
    <w:p w14:paraId="78B63821" w14:textId="77777777" w:rsidR="0090658A" w:rsidRDefault="00F739B5">
      <w:pPr>
        <w:spacing w:after="0" w:line="360" w:lineRule="auto"/>
        <w:ind w:left="567" w:right="567"/>
        <w:rPr>
          <w:i/>
          <w:sz w:val="20"/>
          <w:szCs w:val="20"/>
        </w:rPr>
      </w:pPr>
      <w:r>
        <w:rPr>
          <w:b/>
          <w:i/>
          <w:sz w:val="20"/>
          <w:szCs w:val="20"/>
        </w:rPr>
        <w:t>“ACTO IMPUGNADO”</w:t>
      </w:r>
    </w:p>
    <w:p w14:paraId="01943836" w14:textId="77777777" w:rsidR="0090658A" w:rsidRDefault="00F739B5">
      <w:pPr>
        <w:spacing w:after="0" w:line="360" w:lineRule="auto"/>
        <w:ind w:left="567" w:right="567"/>
        <w:rPr>
          <w:i/>
          <w:sz w:val="20"/>
          <w:szCs w:val="20"/>
        </w:rPr>
      </w:pPr>
      <w:r>
        <w:rPr>
          <w:i/>
          <w:color w:val="000000"/>
          <w:sz w:val="20"/>
          <w:szCs w:val="20"/>
        </w:rPr>
        <w:t>00207/CALIMAYA/IP/2024</w:t>
      </w:r>
      <w:r>
        <w:rPr>
          <w:i/>
          <w:sz w:val="20"/>
          <w:szCs w:val="20"/>
        </w:rPr>
        <w:t>” (Sic.)</w:t>
      </w:r>
    </w:p>
    <w:p w14:paraId="2E3D2A96" w14:textId="77777777" w:rsidR="0090658A" w:rsidRDefault="0090658A">
      <w:pPr>
        <w:spacing w:after="0" w:line="360" w:lineRule="auto"/>
        <w:ind w:left="567" w:right="567"/>
        <w:rPr>
          <w:i/>
          <w:sz w:val="20"/>
          <w:szCs w:val="20"/>
        </w:rPr>
      </w:pPr>
    </w:p>
    <w:p w14:paraId="7B979475" w14:textId="77777777" w:rsidR="0090658A" w:rsidRDefault="00F739B5">
      <w:pPr>
        <w:spacing w:after="0" w:line="360" w:lineRule="auto"/>
        <w:ind w:left="567" w:right="567"/>
        <w:rPr>
          <w:b/>
          <w:i/>
          <w:sz w:val="20"/>
          <w:szCs w:val="20"/>
        </w:rPr>
      </w:pPr>
      <w:r>
        <w:rPr>
          <w:b/>
          <w:i/>
          <w:sz w:val="20"/>
          <w:szCs w:val="20"/>
        </w:rPr>
        <w:t>“RAZONES O MOTIVOS DE LA INCONFORMIDAD”</w:t>
      </w:r>
    </w:p>
    <w:p w14:paraId="01273B4A" w14:textId="77777777" w:rsidR="0090658A" w:rsidRDefault="00F739B5">
      <w:pPr>
        <w:spacing w:after="0" w:line="360" w:lineRule="auto"/>
        <w:ind w:left="567" w:right="567"/>
        <w:rPr>
          <w:i/>
          <w:sz w:val="20"/>
          <w:szCs w:val="20"/>
        </w:rPr>
      </w:pPr>
      <w:r>
        <w:rPr>
          <w:i/>
          <w:color w:val="000000"/>
          <w:sz w:val="20"/>
          <w:szCs w:val="20"/>
        </w:rPr>
        <w:t>Si bien la autoridad comparte un enlace, no da contestación a lo solicitado de manera clara, añadiendo que el enlace al ingresar aparece el texto de que no existe.</w:t>
      </w:r>
      <w:r>
        <w:rPr>
          <w:i/>
          <w:sz w:val="20"/>
          <w:szCs w:val="20"/>
        </w:rPr>
        <w:t>” (Sic.)</w:t>
      </w:r>
    </w:p>
    <w:p w14:paraId="591A3B9B" w14:textId="77777777" w:rsidR="0090658A" w:rsidRDefault="0090658A">
      <w:pPr>
        <w:spacing w:after="0" w:line="360" w:lineRule="auto"/>
      </w:pPr>
    </w:p>
    <w:p w14:paraId="5E6D8C37" w14:textId="77777777" w:rsidR="0090658A" w:rsidRDefault="00F739B5">
      <w:pPr>
        <w:spacing w:after="0" w:line="360" w:lineRule="auto"/>
      </w:pPr>
      <w:r>
        <w:t xml:space="preserve">Asimismo, el Particular, adjuntó la digitalización de una captura de pantalla en la que se visualiza que la liga proporcionada no existe. </w:t>
      </w:r>
    </w:p>
    <w:p w14:paraId="2BA8F64B" w14:textId="77777777" w:rsidR="0090658A" w:rsidRDefault="0090658A">
      <w:pPr>
        <w:spacing w:after="0" w:line="360" w:lineRule="auto"/>
      </w:pPr>
    </w:p>
    <w:p w14:paraId="0BFD6CB2" w14:textId="77777777" w:rsidR="0090658A" w:rsidRDefault="00F739B5">
      <w:pPr>
        <w:pStyle w:val="Ttulo2"/>
        <w:spacing w:before="0" w:line="360" w:lineRule="auto"/>
        <w:rPr>
          <w:rFonts w:ascii="Palatino Linotype" w:eastAsia="Palatino Linotype" w:hAnsi="Palatino Linotype" w:cs="Palatino Linotype"/>
          <w:b/>
          <w:color w:val="000000"/>
          <w:sz w:val="22"/>
          <w:szCs w:val="22"/>
        </w:rPr>
      </w:pPr>
      <w:bookmarkStart w:id="4" w:name="_heading=h.2et92p0" w:colFirst="0" w:colLast="0"/>
      <w:bookmarkEnd w:id="4"/>
      <w:r>
        <w:rPr>
          <w:rFonts w:ascii="Palatino Linotype" w:eastAsia="Palatino Linotype" w:hAnsi="Palatino Linotype" w:cs="Palatino Linotype"/>
          <w:b/>
          <w:color w:val="000000"/>
          <w:sz w:val="22"/>
          <w:szCs w:val="22"/>
        </w:rPr>
        <w:t xml:space="preserve">IV. Trámite del Recurso </w:t>
      </w:r>
      <w:r w:rsidR="0022573F">
        <w:rPr>
          <w:rFonts w:ascii="Palatino Linotype" w:eastAsia="Palatino Linotype" w:hAnsi="Palatino Linotype" w:cs="Palatino Linotype"/>
          <w:b/>
          <w:color w:val="000000"/>
          <w:sz w:val="22"/>
          <w:szCs w:val="22"/>
        </w:rPr>
        <w:t>de Revisión ante este Instituto</w:t>
      </w:r>
    </w:p>
    <w:p w14:paraId="143FAD27" w14:textId="77777777" w:rsidR="0090658A" w:rsidRDefault="0090658A">
      <w:pPr>
        <w:spacing w:after="0" w:line="360" w:lineRule="auto"/>
        <w:rPr>
          <w:b/>
        </w:rPr>
      </w:pPr>
    </w:p>
    <w:p w14:paraId="69E26564" w14:textId="77777777" w:rsidR="0090658A" w:rsidRDefault="00F739B5">
      <w:pPr>
        <w:spacing w:after="0" w:line="360" w:lineRule="auto"/>
      </w:pPr>
      <w:bookmarkStart w:id="5" w:name="_heading=h.tyjcwt" w:colFirst="0" w:colLast="0"/>
      <w:bookmarkEnd w:id="5"/>
      <w:r>
        <w:rPr>
          <w:b/>
          <w:color w:val="000000"/>
        </w:rPr>
        <w:t xml:space="preserve">a) Turno del Medio de Impugnación. </w:t>
      </w:r>
      <w:r>
        <w:t xml:space="preserve">El seis de diciembre de dos mil veinticuatro, el Sistema de Acceso a la Información Mexiquense (SAIMEX), asignó el número de expediente </w:t>
      </w:r>
      <w:r>
        <w:rPr>
          <w:b/>
        </w:rPr>
        <w:lastRenderedPageBreak/>
        <w:t>07551/INFOEM/IP/RR/2024</w:t>
      </w:r>
      <w: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2D589E52" w14:textId="77777777" w:rsidR="0090658A" w:rsidRDefault="0090658A">
      <w:pPr>
        <w:spacing w:after="0" w:line="360" w:lineRule="auto"/>
        <w:rPr>
          <w:b/>
        </w:rPr>
      </w:pPr>
    </w:p>
    <w:p w14:paraId="3BBE8655" w14:textId="77777777" w:rsidR="0090658A" w:rsidRDefault="00F739B5">
      <w:pPr>
        <w:spacing w:after="0" w:line="360" w:lineRule="auto"/>
      </w:pPr>
      <w:bookmarkStart w:id="6" w:name="_heading=h.3dy6vkm" w:colFirst="0" w:colLast="0"/>
      <w:bookmarkEnd w:id="6"/>
      <w:r>
        <w:rPr>
          <w:b/>
          <w:color w:val="000000"/>
        </w:rPr>
        <w:t xml:space="preserve">b) Admisión del Recurso de Revisión. </w:t>
      </w:r>
      <w:r>
        <w:t>El once de diciembre de dos mil veinticuatro,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17343CDA" w14:textId="77777777" w:rsidR="0090658A" w:rsidRDefault="0090658A">
      <w:pPr>
        <w:spacing w:after="0" w:line="360" w:lineRule="auto"/>
      </w:pPr>
    </w:p>
    <w:p w14:paraId="4A0F4618" w14:textId="77777777" w:rsidR="0090658A" w:rsidRDefault="00F739B5">
      <w:pPr>
        <w:spacing w:after="0" w:line="360" w:lineRule="auto"/>
        <w:rPr>
          <w:color w:val="000000"/>
        </w:rPr>
      </w:pPr>
      <w:bookmarkStart w:id="7" w:name="_heading=h.1t3h5sf" w:colFirst="0" w:colLast="0"/>
      <w:bookmarkEnd w:id="7"/>
      <w:r>
        <w:rPr>
          <w:b/>
          <w:color w:val="000000"/>
        </w:rPr>
        <w:t xml:space="preserve">c) Informe Justificado o Manifestaciones. </w:t>
      </w:r>
      <w:r>
        <w:t>Las partes fueron omisas en emitir manifestaciones o alegatos.</w:t>
      </w:r>
    </w:p>
    <w:p w14:paraId="4700EAD3" w14:textId="77777777" w:rsidR="0090658A" w:rsidRDefault="0090658A">
      <w:pPr>
        <w:spacing w:after="0" w:line="360" w:lineRule="auto"/>
        <w:rPr>
          <w:b/>
        </w:rPr>
      </w:pPr>
    </w:p>
    <w:p w14:paraId="093D6DE8" w14:textId="77777777" w:rsidR="0090658A" w:rsidRDefault="00F739B5">
      <w:pPr>
        <w:spacing w:after="0" w:line="360" w:lineRule="auto"/>
        <w:rPr>
          <w:b/>
        </w:rPr>
      </w:pPr>
      <w:bookmarkStart w:id="8" w:name="_heading=h.4d34og8" w:colFirst="0" w:colLast="0"/>
      <w:bookmarkEnd w:id="8"/>
      <w:r>
        <w:rPr>
          <w:b/>
          <w:color w:val="000000"/>
        </w:rPr>
        <w:t>d) Cierre de instrucción.</w:t>
      </w:r>
      <w:r>
        <w:rPr>
          <w:color w:val="000000"/>
        </w:rPr>
        <w:t xml:space="preserve"> </w:t>
      </w:r>
      <w:r>
        <w:t xml:space="preserve">El catorce de enero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el quince de enero del mismo mes y año, mediante el Sistema de Acceso a la Información Mexiquense (SAIMEX). </w:t>
      </w:r>
    </w:p>
    <w:p w14:paraId="14AE1B2D" w14:textId="77777777" w:rsidR="0090658A" w:rsidRDefault="0090658A">
      <w:pPr>
        <w:spacing w:after="0" w:line="360" w:lineRule="auto"/>
        <w:rPr>
          <w:color w:val="000000"/>
        </w:rPr>
      </w:pPr>
    </w:p>
    <w:p w14:paraId="7655422B" w14:textId="77777777" w:rsidR="0090658A" w:rsidRDefault="00F739B5">
      <w:pPr>
        <w:spacing w:after="0" w:line="360" w:lineRule="auto"/>
        <w:rPr>
          <w:color w:val="000000"/>
        </w:rPr>
      </w:pPr>
      <w:r>
        <w:rPr>
          <w:color w:val="000000"/>
        </w:rPr>
        <w:t xml:space="preserve">En razón de que fue debidamente sustanciado e integrado el expediente electrónico y no existe diligencia pendiente de desahogo, se emite la resolución que conforme a Derecho proceda, de acuerdo a los siguientes: </w:t>
      </w:r>
    </w:p>
    <w:p w14:paraId="3FD86DFF" w14:textId="77777777" w:rsidR="0090658A" w:rsidRDefault="0022573F">
      <w:pPr>
        <w:pStyle w:val="Ttulo1"/>
        <w:spacing w:before="0" w:line="360" w:lineRule="auto"/>
        <w:jc w:val="center"/>
        <w:rPr>
          <w:rFonts w:ascii="Palatino Linotype" w:eastAsia="Palatino Linotype" w:hAnsi="Palatino Linotype" w:cs="Palatino Linotype"/>
          <w:b/>
          <w:color w:val="000000"/>
          <w:sz w:val="22"/>
          <w:szCs w:val="22"/>
        </w:rPr>
      </w:pPr>
      <w:bookmarkStart w:id="9" w:name="_heading=h.2s8eyo1" w:colFirst="0" w:colLast="0"/>
      <w:bookmarkEnd w:id="9"/>
      <w:r>
        <w:rPr>
          <w:rFonts w:ascii="Palatino Linotype" w:eastAsia="Palatino Linotype" w:hAnsi="Palatino Linotype" w:cs="Palatino Linotype"/>
          <w:b/>
          <w:color w:val="000000"/>
          <w:sz w:val="22"/>
          <w:szCs w:val="22"/>
        </w:rPr>
        <w:lastRenderedPageBreak/>
        <w:t>C O N S I D E R A N D O S</w:t>
      </w:r>
    </w:p>
    <w:p w14:paraId="6D00AB92" w14:textId="77777777" w:rsidR="0090658A" w:rsidRDefault="0090658A">
      <w:pPr>
        <w:spacing w:after="0" w:line="360" w:lineRule="auto"/>
        <w:rPr>
          <w:b/>
        </w:rPr>
      </w:pPr>
    </w:p>
    <w:p w14:paraId="4DC2FB5F" w14:textId="77777777" w:rsidR="0090658A" w:rsidRDefault="0022573F">
      <w:pPr>
        <w:pStyle w:val="Ttulo2"/>
        <w:spacing w:before="0" w:line="360" w:lineRule="auto"/>
        <w:rPr>
          <w:rFonts w:ascii="Palatino Linotype" w:eastAsia="Palatino Linotype" w:hAnsi="Palatino Linotype" w:cs="Palatino Linotype"/>
          <w:b/>
          <w:color w:val="000000"/>
          <w:sz w:val="22"/>
          <w:szCs w:val="22"/>
        </w:rPr>
      </w:pPr>
      <w:bookmarkStart w:id="10" w:name="_heading=h.17dp8vu" w:colFirst="0" w:colLast="0"/>
      <w:bookmarkEnd w:id="10"/>
      <w:r>
        <w:rPr>
          <w:rFonts w:ascii="Palatino Linotype" w:eastAsia="Palatino Linotype" w:hAnsi="Palatino Linotype" w:cs="Palatino Linotype"/>
          <w:b/>
          <w:color w:val="000000"/>
          <w:sz w:val="22"/>
          <w:szCs w:val="22"/>
        </w:rPr>
        <w:t>PRIMERO. Competencia</w:t>
      </w:r>
    </w:p>
    <w:p w14:paraId="4C3244C0" w14:textId="77777777" w:rsidR="0090658A" w:rsidRDefault="0090658A">
      <w:pPr>
        <w:spacing w:after="0" w:line="360" w:lineRule="auto"/>
        <w:rPr>
          <w:b/>
          <w:color w:val="000000"/>
        </w:rPr>
      </w:pPr>
    </w:p>
    <w:p w14:paraId="3F846067" w14:textId="77777777" w:rsidR="0090658A" w:rsidRDefault="00F739B5">
      <w:pPr>
        <w:spacing w:after="0" w:line="360" w:lineRule="auto"/>
        <w:rPr>
          <w:color w:val="000000"/>
        </w:rPr>
      </w:pPr>
      <w:r>
        <w:rPr>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54732369" w14:textId="77777777" w:rsidR="0090658A" w:rsidRDefault="0090658A">
      <w:pPr>
        <w:spacing w:after="0" w:line="360" w:lineRule="auto"/>
        <w:rPr>
          <w:color w:val="000000"/>
        </w:rPr>
      </w:pPr>
    </w:p>
    <w:p w14:paraId="602264BC" w14:textId="77777777" w:rsidR="0090658A" w:rsidRDefault="00F739B5">
      <w:pPr>
        <w:pStyle w:val="Ttulo2"/>
        <w:spacing w:before="0" w:line="360" w:lineRule="auto"/>
        <w:rPr>
          <w:rFonts w:ascii="Palatino Linotype" w:eastAsia="Palatino Linotype" w:hAnsi="Palatino Linotype" w:cs="Palatino Linotype"/>
          <w:b/>
          <w:color w:val="000000"/>
          <w:sz w:val="22"/>
          <w:szCs w:val="22"/>
        </w:rPr>
      </w:pPr>
      <w:bookmarkStart w:id="11" w:name="_heading=h.3rdcrjn" w:colFirst="0" w:colLast="0"/>
      <w:bookmarkEnd w:id="11"/>
      <w:r>
        <w:rPr>
          <w:rFonts w:ascii="Palatino Linotype" w:eastAsia="Palatino Linotype" w:hAnsi="Palatino Linotype" w:cs="Palatino Linotype"/>
          <w:b/>
          <w:color w:val="000000"/>
          <w:sz w:val="22"/>
          <w:szCs w:val="22"/>
        </w:rPr>
        <w:t xml:space="preserve">SEGUNDO. Causales de </w:t>
      </w:r>
      <w:r w:rsidR="0022573F">
        <w:rPr>
          <w:rFonts w:ascii="Palatino Linotype" w:eastAsia="Palatino Linotype" w:hAnsi="Palatino Linotype" w:cs="Palatino Linotype"/>
          <w:b/>
          <w:color w:val="000000"/>
          <w:sz w:val="22"/>
          <w:szCs w:val="22"/>
        </w:rPr>
        <w:t>improcedencia y sobreseimiento</w:t>
      </w:r>
    </w:p>
    <w:p w14:paraId="227F6839" w14:textId="77777777" w:rsidR="0090658A" w:rsidRDefault="0090658A">
      <w:pPr>
        <w:spacing w:after="0" w:line="360" w:lineRule="auto"/>
        <w:rPr>
          <w:color w:val="000000"/>
        </w:rPr>
      </w:pPr>
    </w:p>
    <w:p w14:paraId="0CCE2A14" w14:textId="77777777" w:rsidR="0090658A" w:rsidRDefault="00F739B5">
      <w:pPr>
        <w:spacing w:after="0" w:line="360" w:lineRule="auto"/>
        <w:rPr>
          <w:color w:val="000000"/>
        </w:rPr>
      </w:pPr>
      <w:r>
        <w:rPr>
          <w:color w:val="000000"/>
        </w:rPr>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5C30ECCC" w14:textId="77777777" w:rsidR="0090658A" w:rsidRDefault="0090658A">
      <w:pPr>
        <w:spacing w:after="0" w:line="360" w:lineRule="auto"/>
        <w:rPr>
          <w:color w:val="000000"/>
        </w:rPr>
      </w:pPr>
    </w:p>
    <w:p w14:paraId="5BF93C67" w14:textId="77777777" w:rsidR="0090658A" w:rsidRDefault="0022573F">
      <w:pPr>
        <w:spacing w:after="0" w:line="360" w:lineRule="auto"/>
        <w:rPr>
          <w:color w:val="000000"/>
        </w:rPr>
      </w:pPr>
      <w:r>
        <w:rPr>
          <w:b/>
          <w:color w:val="000000"/>
        </w:rPr>
        <w:t>Causales de improcedencia</w:t>
      </w:r>
    </w:p>
    <w:p w14:paraId="038F23A6" w14:textId="77777777" w:rsidR="0090658A" w:rsidRDefault="0090658A">
      <w:pPr>
        <w:spacing w:after="0" w:line="360" w:lineRule="auto"/>
        <w:rPr>
          <w:color w:val="000000"/>
        </w:rPr>
      </w:pPr>
    </w:p>
    <w:p w14:paraId="25573DD2" w14:textId="77777777" w:rsidR="0090658A" w:rsidRDefault="00F739B5">
      <w:pPr>
        <w:spacing w:after="0" w:line="360" w:lineRule="auto"/>
        <w:rPr>
          <w:color w:val="000000"/>
        </w:rPr>
      </w:pPr>
      <w:r>
        <w:rPr>
          <w:color w:val="000000"/>
        </w:rPr>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w:t>
      </w:r>
      <w:r>
        <w:rPr>
          <w:color w:val="000000"/>
        </w:rPr>
        <w:lastRenderedPageBreak/>
        <w:t>1a./J. 163/2005</w:t>
      </w:r>
      <w:r>
        <w:rPr>
          <w:b/>
          <w:color w:val="000000"/>
        </w:rPr>
        <w:t xml:space="preserve"> </w:t>
      </w:r>
      <w:r>
        <w:rPr>
          <w:color w:val="000000"/>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1EEB62B4" w14:textId="77777777" w:rsidR="0090658A" w:rsidRDefault="0090658A">
      <w:pPr>
        <w:spacing w:after="0" w:line="360" w:lineRule="auto"/>
        <w:rPr>
          <w:color w:val="000000"/>
        </w:rPr>
      </w:pPr>
    </w:p>
    <w:p w14:paraId="47365CD2" w14:textId="77777777" w:rsidR="0090658A" w:rsidRDefault="00F739B5">
      <w:pPr>
        <w:spacing w:after="0" w:line="360" w:lineRule="auto"/>
        <w:rPr>
          <w:color w:val="000000"/>
        </w:rPr>
      </w:pPr>
      <w:r>
        <w:rPr>
          <w:color w:val="000000"/>
        </w:rPr>
        <w:t xml:space="preserve">En el presente caso, </w:t>
      </w:r>
      <w:r>
        <w:rPr>
          <w:b/>
          <w:color w:val="000000"/>
        </w:rPr>
        <w:t>no se actualiza ninguna de las causales de improcedencia</w:t>
      </w:r>
      <w:r>
        <w:rPr>
          <w:color w:val="000000"/>
        </w:rPr>
        <w:t xml:space="preserve">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0B93BE6E" w14:textId="77777777" w:rsidR="0090658A" w:rsidRDefault="0090658A">
      <w:pPr>
        <w:spacing w:after="0" w:line="360" w:lineRule="auto"/>
        <w:rPr>
          <w:color w:val="000000"/>
        </w:rPr>
      </w:pPr>
    </w:p>
    <w:p w14:paraId="3DFD4925" w14:textId="77777777" w:rsidR="0090658A" w:rsidRDefault="00F739B5">
      <w:pPr>
        <w:spacing w:after="0" w:line="360" w:lineRule="auto"/>
        <w:rPr>
          <w:color w:val="000000"/>
        </w:rPr>
      </w:pPr>
      <w:r>
        <w:rPr>
          <w:color w:val="000000"/>
        </w:rPr>
        <w:t xml:space="preserve">Conforme a lo anterior, se actualiza la causal de procedencia señalada en el artículo 179, fracción VI, de la Ley de la materia, toda vez que el Solicitante se inconformó de la entrega de información que no corresponde con lo solicitado. </w:t>
      </w:r>
    </w:p>
    <w:p w14:paraId="38EBD959" w14:textId="77777777" w:rsidR="0090658A" w:rsidRDefault="0090658A">
      <w:pPr>
        <w:spacing w:after="0" w:line="360" w:lineRule="auto"/>
        <w:rPr>
          <w:color w:val="000000"/>
        </w:rPr>
      </w:pPr>
    </w:p>
    <w:p w14:paraId="4AFDFB0E" w14:textId="77777777" w:rsidR="0090658A" w:rsidRDefault="00F739B5">
      <w:pPr>
        <w:spacing w:after="0" w:line="360" w:lineRule="auto"/>
        <w:rPr>
          <w:b/>
          <w:color w:val="000000"/>
        </w:rPr>
      </w:pPr>
      <w:r>
        <w:rPr>
          <w:b/>
          <w:color w:val="000000"/>
        </w:rPr>
        <w:t>Causales de sobr</w:t>
      </w:r>
      <w:r w:rsidR="0022573F">
        <w:rPr>
          <w:b/>
          <w:color w:val="000000"/>
        </w:rPr>
        <w:t>eseimiento</w:t>
      </w:r>
    </w:p>
    <w:p w14:paraId="0C952C1E" w14:textId="77777777" w:rsidR="0090658A" w:rsidRDefault="0090658A">
      <w:pPr>
        <w:spacing w:after="0" w:line="360" w:lineRule="auto"/>
        <w:rPr>
          <w:b/>
          <w:color w:val="000000"/>
        </w:rPr>
      </w:pPr>
    </w:p>
    <w:p w14:paraId="51CA412E" w14:textId="77777777" w:rsidR="0090658A" w:rsidRDefault="00F739B5">
      <w:pPr>
        <w:spacing w:after="0" w:line="360" w:lineRule="auto"/>
        <w:rPr>
          <w:color w:val="000000"/>
        </w:rPr>
      </w:pPr>
      <w:r>
        <w:rPr>
          <w:color w:val="000000"/>
        </w:rPr>
        <w:t>Por ser de previo y especial pronunciamiento, este Instituto analiza si se actualiza alguna causal de sobreseimiento.</w:t>
      </w:r>
    </w:p>
    <w:p w14:paraId="57336A16" w14:textId="77777777" w:rsidR="0090658A" w:rsidRDefault="0090658A">
      <w:pPr>
        <w:spacing w:after="0" w:line="360" w:lineRule="auto"/>
        <w:rPr>
          <w:color w:val="000000"/>
        </w:rPr>
      </w:pPr>
    </w:p>
    <w:p w14:paraId="6A79A8CE" w14:textId="77777777" w:rsidR="0090658A" w:rsidRDefault="00F739B5">
      <w:pPr>
        <w:spacing w:after="0" w:line="360" w:lineRule="auto"/>
        <w:rPr>
          <w:color w:val="000000"/>
        </w:rPr>
      </w:pPr>
      <w:r>
        <w:rPr>
          <w:color w:val="000000"/>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w:t>
      </w:r>
      <w:r>
        <w:rPr>
          <w:color w:val="000000"/>
        </w:rPr>
        <w:lastRenderedPageBreak/>
        <w:t>sobreviniera alguna causal de improcedencia, que el Sujeto Obligado hubiese modificado o revocado el acto impugnado o bien, haya quedado sin materia.</w:t>
      </w:r>
    </w:p>
    <w:p w14:paraId="584DC65E" w14:textId="77777777" w:rsidR="0090658A" w:rsidRDefault="0090658A">
      <w:pPr>
        <w:spacing w:after="0" w:line="360" w:lineRule="auto"/>
        <w:rPr>
          <w:color w:val="000000"/>
        </w:rPr>
      </w:pPr>
    </w:p>
    <w:p w14:paraId="3ABFF4B1" w14:textId="77777777" w:rsidR="0090658A" w:rsidRDefault="00F739B5">
      <w:pPr>
        <w:spacing w:after="0" w:line="360" w:lineRule="auto"/>
        <w:rPr>
          <w:color w:val="000000"/>
        </w:rPr>
      </w:pPr>
      <w:r>
        <w:rPr>
          <w:color w:val="000000"/>
        </w:rPr>
        <w:t>Por tales motivos, se considera procedente entrar al fondo del presente asunto.</w:t>
      </w:r>
    </w:p>
    <w:p w14:paraId="711AFD65" w14:textId="77777777" w:rsidR="0090658A" w:rsidRDefault="0090658A">
      <w:pPr>
        <w:spacing w:after="0" w:line="360" w:lineRule="auto"/>
      </w:pPr>
    </w:p>
    <w:p w14:paraId="3377F664" w14:textId="77777777" w:rsidR="0090658A" w:rsidRDefault="00F739B5">
      <w:pPr>
        <w:pStyle w:val="Ttulo2"/>
        <w:spacing w:before="0" w:line="360" w:lineRule="auto"/>
        <w:rPr>
          <w:rFonts w:ascii="Palatino Linotype" w:eastAsia="Palatino Linotype" w:hAnsi="Palatino Linotype" w:cs="Palatino Linotype"/>
          <w:b/>
          <w:color w:val="000000"/>
          <w:sz w:val="22"/>
          <w:szCs w:val="22"/>
        </w:rPr>
      </w:pPr>
      <w:bookmarkStart w:id="12" w:name="_heading=h.26in1rg" w:colFirst="0" w:colLast="0"/>
      <w:bookmarkEnd w:id="12"/>
      <w:r>
        <w:rPr>
          <w:rFonts w:ascii="Palatino Linotype" w:eastAsia="Palatino Linotype" w:hAnsi="Palatino Linotype" w:cs="Palatino Linotype"/>
          <w:b/>
          <w:color w:val="000000"/>
          <w:sz w:val="22"/>
          <w:szCs w:val="22"/>
        </w:rPr>
        <w:t>TERCERO. D</w:t>
      </w:r>
      <w:r w:rsidR="0022573F">
        <w:rPr>
          <w:rFonts w:ascii="Palatino Linotype" w:eastAsia="Palatino Linotype" w:hAnsi="Palatino Linotype" w:cs="Palatino Linotype"/>
          <w:b/>
          <w:color w:val="000000"/>
          <w:sz w:val="22"/>
          <w:szCs w:val="22"/>
        </w:rPr>
        <w:t>eterminación de la Controversia</w:t>
      </w:r>
      <w:r>
        <w:rPr>
          <w:rFonts w:ascii="Palatino Linotype" w:eastAsia="Palatino Linotype" w:hAnsi="Palatino Linotype" w:cs="Palatino Linotype"/>
          <w:b/>
          <w:color w:val="000000"/>
          <w:sz w:val="22"/>
          <w:szCs w:val="22"/>
        </w:rPr>
        <w:t xml:space="preserve"> </w:t>
      </w:r>
    </w:p>
    <w:p w14:paraId="1C3426FB" w14:textId="77777777" w:rsidR="0090658A" w:rsidRDefault="0090658A">
      <w:pPr>
        <w:spacing w:after="0" w:line="360" w:lineRule="auto"/>
        <w:rPr>
          <w:color w:val="000000"/>
        </w:rPr>
      </w:pPr>
    </w:p>
    <w:p w14:paraId="17C83E0F" w14:textId="77777777" w:rsidR="0090658A" w:rsidRDefault="00F739B5">
      <w:pPr>
        <w:spacing w:after="0" w:line="360" w:lineRule="auto"/>
        <w:rPr>
          <w:color w:val="FF0000"/>
        </w:rPr>
      </w:pPr>
      <w:r>
        <w:rPr>
          <w:color w:val="000000"/>
        </w:rPr>
        <w:t xml:space="preserve">Una vez realizado el estudio de las constancias que integran el expediente en que se actúa, se desprende que el Recurrente requirió, el monto del presupuesto asignado al Municipio de Calimaya para el ejercicio fiscal dos mil veinticuatro, el gasto mensual de enero a noviembre de dos mil veinticuatro; así como, el monto asignado que quedaba al trece de noviembre de dos mil veinticuatro. </w:t>
      </w:r>
    </w:p>
    <w:p w14:paraId="780174E0" w14:textId="77777777" w:rsidR="0090658A" w:rsidRDefault="0090658A">
      <w:pPr>
        <w:spacing w:after="0" w:line="360" w:lineRule="auto"/>
        <w:ind w:left="720"/>
        <w:rPr>
          <w:rFonts w:ascii="Century Gothic" w:eastAsia="Century Gothic" w:hAnsi="Century Gothic" w:cs="Century Gothic"/>
          <w:color w:val="FF0000"/>
        </w:rPr>
      </w:pPr>
    </w:p>
    <w:p w14:paraId="6AEDB4C0" w14:textId="77777777" w:rsidR="0090658A" w:rsidRDefault="00F739B5">
      <w:pPr>
        <w:spacing w:after="0" w:line="360" w:lineRule="auto"/>
        <w:ind w:right="-28"/>
        <w:rPr>
          <w:color w:val="000000"/>
        </w:rPr>
      </w:pPr>
      <w:r>
        <w:rPr>
          <w:color w:val="000000"/>
        </w:rPr>
        <w:t>En respuesta, el Sujeto Obligado, por medio del Tesorero Municipal proporcionó dos ligas electrónicas para consultar la información solicitada edemas precisó que la información era generada de forma trimestral, motivo por el cual correspondía hasta el mes de septiembre; ante dicha circunstancia, el Particular se inconformó de la entrega de información que no corresponde con lo solicitado, al señalar que no presentaban la información pública de forma clara, lo cual actualiza la causal de procedencia prevista en la fracción VI, del artículo 179 de la Ley de Transparencia y Acceso a la Información Pública del Estado de México y Municipios. Así las cosas, una vez admitido y notificado el Recurso de Revisión a las partes, estas fueron omisas en realizar manifestaciones o alegatos.</w:t>
      </w:r>
    </w:p>
    <w:p w14:paraId="3C3C21DC" w14:textId="77777777" w:rsidR="0090658A" w:rsidRDefault="00F739B5">
      <w:pPr>
        <w:spacing w:after="0" w:line="360" w:lineRule="auto"/>
        <w:ind w:right="-28"/>
        <w:rPr>
          <w:color w:val="000000"/>
        </w:rPr>
      </w:pPr>
      <w:r>
        <w:rPr>
          <w:color w:val="000000"/>
        </w:rPr>
        <w:t xml:space="preserve"> </w:t>
      </w:r>
    </w:p>
    <w:p w14:paraId="69EBD55A" w14:textId="77777777" w:rsidR="0090658A" w:rsidRDefault="00F739B5">
      <w:pPr>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la respuesta y el escrito </w:t>
      </w:r>
      <w:proofErr w:type="spellStart"/>
      <w:r>
        <w:rPr>
          <w:color w:val="000000"/>
        </w:rPr>
        <w:t>recursal</w:t>
      </w:r>
      <w:proofErr w:type="spellEnd"/>
      <w:r>
        <w:rPr>
          <w:color w:val="000000"/>
        </w:rPr>
        <w:t xml:space="preserve">; instrumentales que se toman en cuenta a efecto de resolver el </w:t>
      </w:r>
      <w:r>
        <w:rPr>
          <w:color w:val="000000"/>
        </w:rPr>
        <w:lastRenderedPageBreak/>
        <w:t>presente medio de impugnación, conforme a lo dispuesto por el artículo 185, fracción IV, de la Ley de Transparencia y Acceso a la Información Pública del Estado de México y Municipios.</w:t>
      </w:r>
    </w:p>
    <w:p w14:paraId="1764D522" w14:textId="77777777" w:rsidR="0090658A" w:rsidRDefault="0090658A">
      <w:pPr>
        <w:spacing w:after="0" w:line="360" w:lineRule="auto"/>
      </w:pPr>
    </w:p>
    <w:p w14:paraId="1251415C" w14:textId="77777777" w:rsidR="0090658A" w:rsidRDefault="00F739B5">
      <w:pPr>
        <w:pStyle w:val="Ttulo2"/>
        <w:spacing w:before="0" w:line="360" w:lineRule="auto"/>
        <w:rPr>
          <w:rFonts w:ascii="Palatino Linotype" w:eastAsia="Palatino Linotype" w:hAnsi="Palatino Linotype" w:cs="Palatino Linotype"/>
          <w:b/>
          <w:color w:val="000000"/>
          <w:sz w:val="22"/>
          <w:szCs w:val="22"/>
        </w:rPr>
      </w:pPr>
      <w:bookmarkStart w:id="13" w:name="_heading=h.lnxbz9" w:colFirst="0" w:colLast="0"/>
      <w:bookmarkEnd w:id="13"/>
      <w:r>
        <w:rPr>
          <w:rFonts w:ascii="Palatino Linotype" w:eastAsia="Palatino Linotype" w:hAnsi="Palatino Linotype" w:cs="Palatino Linotype"/>
          <w:b/>
          <w:color w:val="000000"/>
          <w:sz w:val="22"/>
          <w:szCs w:val="22"/>
        </w:rPr>
        <w:t xml:space="preserve">CUARTO. Marco normativo aplicable en materia de transparencia y </w:t>
      </w:r>
      <w:r w:rsidR="0022573F">
        <w:rPr>
          <w:rFonts w:ascii="Palatino Linotype" w:eastAsia="Palatino Linotype" w:hAnsi="Palatino Linotype" w:cs="Palatino Linotype"/>
          <w:b/>
          <w:color w:val="000000"/>
          <w:sz w:val="22"/>
          <w:szCs w:val="22"/>
        </w:rPr>
        <w:t>acceso a la información pública</w:t>
      </w:r>
    </w:p>
    <w:p w14:paraId="52452F40" w14:textId="77777777" w:rsidR="0090658A" w:rsidRDefault="0090658A">
      <w:pPr>
        <w:spacing w:after="0" w:line="360" w:lineRule="auto"/>
        <w:rPr>
          <w:b/>
          <w:color w:val="000000"/>
        </w:rPr>
      </w:pPr>
    </w:p>
    <w:p w14:paraId="4332995E" w14:textId="77777777" w:rsidR="0090658A" w:rsidRDefault="00F739B5">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732934D" w14:textId="77777777" w:rsidR="0090658A" w:rsidRDefault="0090658A">
      <w:pPr>
        <w:spacing w:after="0" w:line="360" w:lineRule="auto"/>
        <w:rPr>
          <w:color w:val="000000"/>
        </w:rPr>
      </w:pPr>
    </w:p>
    <w:p w14:paraId="3A49B6E2" w14:textId="77777777" w:rsidR="0090658A" w:rsidRDefault="00F739B5">
      <w:pPr>
        <w:spacing w:after="0" w:line="360" w:lineRule="auto"/>
        <w:rPr>
          <w:color w:val="000000"/>
        </w:rPr>
      </w:pPr>
      <w:r>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38F9C1A3" w14:textId="77777777" w:rsidR="0090658A" w:rsidRDefault="0090658A">
      <w:pPr>
        <w:spacing w:after="0" w:line="360" w:lineRule="auto"/>
        <w:rPr>
          <w:color w:val="000000"/>
        </w:rPr>
      </w:pPr>
    </w:p>
    <w:p w14:paraId="60865345" w14:textId="77777777" w:rsidR="0090658A" w:rsidRDefault="00F739B5">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C355BBB" w14:textId="77777777" w:rsidR="0090658A" w:rsidRDefault="0090658A">
      <w:pPr>
        <w:spacing w:after="0" w:line="360" w:lineRule="auto"/>
        <w:rPr>
          <w:color w:val="000000"/>
        </w:rPr>
      </w:pPr>
    </w:p>
    <w:p w14:paraId="460CCA5C" w14:textId="77777777" w:rsidR="0090658A" w:rsidRDefault="00F739B5">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73BBF273" w14:textId="77777777" w:rsidR="0090658A" w:rsidRDefault="0090658A">
      <w:pPr>
        <w:spacing w:after="0" w:line="360" w:lineRule="auto"/>
        <w:rPr>
          <w:color w:val="000000"/>
        </w:rPr>
      </w:pPr>
    </w:p>
    <w:p w14:paraId="0C512D7A" w14:textId="77777777" w:rsidR="0090658A" w:rsidRDefault="00F739B5">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214A5300" w14:textId="77777777" w:rsidR="0090658A" w:rsidRDefault="0090658A">
      <w:pPr>
        <w:spacing w:after="0" w:line="360" w:lineRule="auto"/>
        <w:rPr>
          <w:color w:val="000000"/>
        </w:rPr>
      </w:pPr>
    </w:p>
    <w:p w14:paraId="3B5EEAE3" w14:textId="77777777" w:rsidR="0090658A" w:rsidRDefault="00F739B5">
      <w:pPr>
        <w:spacing w:after="0" w:line="360" w:lineRule="auto"/>
        <w:rPr>
          <w:color w:val="000000"/>
        </w:rPr>
      </w:pPr>
      <w:r>
        <w:rPr>
          <w:color w:val="000000"/>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4365CFAB" w14:textId="77777777" w:rsidR="0090658A" w:rsidRDefault="0090658A">
      <w:pPr>
        <w:spacing w:after="0" w:line="360" w:lineRule="auto"/>
        <w:rPr>
          <w:color w:val="000000"/>
        </w:rPr>
      </w:pPr>
    </w:p>
    <w:p w14:paraId="33DCBEB8" w14:textId="77777777" w:rsidR="0090658A" w:rsidRDefault="00F739B5">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68D6C64" w14:textId="77777777" w:rsidR="0090658A" w:rsidRDefault="0090658A">
      <w:pPr>
        <w:spacing w:after="0" w:line="360" w:lineRule="auto"/>
        <w:rPr>
          <w:b/>
          <w:color w:val="000000"/>
        </w:rPr>
      </w:pPr>
    </w:p>
    <w:p w14:paraId="6A84001B" w14:textId="77777777" w:rsidR="0090658A" w:rsidRDefault="0022573F">
      <w:pPr>
        <w:pStyle w:val="Ttulo2"/>
        <w:spacing w:before="0" w:line="360" w:lineRule="auto"/>
        <w:rPr>
          <w:rFonts w:ascii="Palatino Linotype" w:eastAsia="Palatino Linotype" w:hAnsi="Palatino Linotype" w:cs="Palatino Linotype"/>
          <w:b/>
          <w:color w:val="000000"/>
          <w:sz w:val="22"/>
          <w:szCs w:val="22"/>
        </w:rPr>
      </w:pPr>
      <w:bookmarkStart w:id="14" w:name="_heading=h.35nkun2" w:colFirst="0" w:colLast="0"/>
      <w:bookmarkEnd w:id="14"/>
      <w:r>
        <w:rPr>
          <w:rFonts w:ascii="Palatino Linotype" w:eastAsia="Palatino Linotype" w:hAnsi="Palatino Linotype" w:cs="Palatino Linotype"/>
          <w:b/>
          <w:color w:val="000000"/>
          <w:sz w:val="22"/>
          <w:szCs w:val="22"/>
        </w:rPr>
        <w:t>QUINTO. Estudio de Fondo</w:t>
      </w:r>
    </w:p>
    <w:p w14:paraId="65050C75" w14:textId="77777777" w:rsidR="0090658A" w:rsidRDefault="0090658A">
      <w:pPr>
        <w:spacing w:after="0" w:line="360" w:lineRule="auto"/>
        <w:rPr>
          <w:color w:val="000000"/>
        </w:rPr>
      </w:pPr>
    </w:p>
    <w:p w14:paraId="0DBBDFFD" w14:textId="77777777" w:rsidR="0090658A" w:rsidRDefault="00F739B5">
      <w:pPr>
        <w:widowControl w:val="0"/>
        <w:spacing w:after="0" w:line="360" w:lineRule="auto"/>
        <w:rPr>
          <w:color w:val="000000"/>
        </w:rPr>
      </w:pPr>
      <w:r>
        <w:rPr>
          <w:color w:val="000000"/>
        </w:rPr>
        <w:t>Expuestas las posturas de las partes, se procede al análisis del agravio hecho valer por el Recurrente, concerniente a la entrega de información que no corresponde con lo solicitado, por lo que, en principio es conveniente contextualizar la solicitud de información.</w:t>
      </w:r>
    </w:p>
    <w:p w14:paraId="7B8CAD92" w14:textId="77777777" w:rsidR="0090658A" w:rsidRDefault="0090658A">
      <w:pPr>
        <w:widowControl w:val="0"/>
        <w:spacing w:after="0" w:line="360" w:lineRule="auto"/>
        <w:rPr>
          <w:b/>
          <w:color w:val="000000"/>
        </w:rPr>
      </w:pPr>
    </w:p>
    <w:p w14:paraId="5EEBB0E0" w14:textId="77777777" w:rsidR="0090658A" w:rsidRDefault="00F739B5">
      <w:pPr>
        <w:spacing w:after="0" w:line="360" w:lineRule="auto"/>
        <w:rPr>
          <w:color w:val="000000"/>
        </w:rPr>
      </w:pPr>
      <w:r>
        <w:rPr>
          <w:color w:val="000000"/>
        </w:rPr>
        <w:t>Al respecto, el artículo 31, fracciones XVIII y XIX, de la Ley Orgánica Municipal del Estado de México, establecen que son atribuciones de los Ayuntamientos administrar su hacienda y aprobar anualmente su Presupuesto de Egresos, en base a los ingresos presupuestados para el ejercicio que corresponda.</w:t>
      </w:r>
    </w:p>
    <w:p w14:paraId="12ED5E84" w14:textId="77777777" w:rsidR="0090658A" w:rsidRDefault="0090658A">
      <w:pPr>
        <w:spacing w:after="0" w:line="360" w:lineRule="auto"/>
        <w:rPr>
          <w:color w:val="000000"/>
        </w:rPr>
      </w:pPr>
    </w:p>
    <w:p w14:paraId="374F98F6" w14:textId="77777777" w:rsidR="0090658A" w:rsidRDefault="00F739B5">
      <w:pPr>
        <w:spacing w:after="0" w:line="360" w:lineRule="auto"/>
        <w:rPr>
          <w:color w:val="000000"/>
        </w:rPr>
      </w:pPr>
      <w:r>
        <w:rPr>
          <w:color w:val="000000"/>
        </w:rPr>
        <w:t>En ese sentido, es necesario traer a colación el Glosario de Términos, del Manual para la Planeación, Programación y Presupuesto de Egresos Municipal para el ejercicio fiscal dos mil veintitrés, que establece que el presupuesto es la estimación financiera anticipada de los egresos e ingresos del gobierno, necesario para cumplir con los propósitos de un programa determinado; por otra parte, establece lo siguiente:</w:t>
      </w:r>
    </w:p>
    <w:p w14:paraId="03ABF940" w14:textId="77777777" w:rsidR="0090658A" w:rsidRDefault="0090658A">
      <w:pPr>
        <w:spacing w:after="0" w:line="360" w:lineRule="auto"/>
        <w:rPr>
          <w:color w:val="000000"/>
        </w:rPr>
      </w:pPr>
    </w:p>
    <w:p w14:paraId="7785C498" w14:textId="77777777" w:rsidR="0090658A" w:rsidRDefault="00F739B5">
      <w:pPr>
        <w:numPr>
          <w:ilvl w:val="0"/>
          <w:numId w:val="2"/>
        </w:numPr>
        <w:pBdr>
          <w:top w:val="nil"/>
          <w:left w:val="nil"/>
          <w:bottom w:val="nil"/>
          <w:right w:val="nil"/>
          <w:between w:val="nil"/>
        </w:pBdr>
        <w:spacing w:after="0" w:line="360" w:lineRule="auto"/>
        <w:rPr>
          <w:color w:val="000000"/>
        </w:rPr>
      </w:pPr>
      <w:r>
        <w:rPr>
          <w:b/>
          <w:color w:val="000000"/>
        </w:rPr>
        <w:lastRenderedPageBreak/>
        <w:t>Presupuesto Autorizado:</w:t>
      </w:r>
      <w:r>
        <w:rPr>
          <w:color w:val="000000"/>
        </w:rPr>
        <w:t xml:space="preserve"> Es el monto de recursos que se autoriza ejercer en un ejercicio fiscal, a través del Decreto del Presupuesto de Egresos.</w:t>
      </w:r>
    </w:p>
    <w:p w14:paraId="61D3EBD6" w14:textId="77777777" w:rsidR="0090658A" w:rsidRDefault="0090658A">
      <w:pPr>
        <w:pBdr>
          <w:top w:val="nil"/>
          <w:left w:val="nil"/>
          <w:bottom w:val="nil"/>
          <w:right w:val="nil"/>
          <w:between w:val="nil"/>
        </w:pBdr>
        <w:spacing w:after="0" w:line="360" w:lineRule="auto"/>
        <w:ind w:left="720"/>
        <w:rPr>
          <w:color w:val="000000"/>
        </w:rPr>
      </w:pPr>
    </w:p>
    <w:p w14:paraId="1A0B4AE2" w14:textId="77777777" w:rsidR="0090658A" w:rsidRDefault="00F739B5">
      <w:pPr>
        <w:numPr>
          <w:ilvl w:val="0"/>
          <w:numId w:val="2"/>
        </w:numPr>
        <w:pBdr>
          <w:top w:val="nil"/>
          <w:left w:val="nil"/>
          <w:bottom w:val="nil"/>
          <w:right w:val="nil"/>
          <w:between w:val="nil"/>
        </w:pBdr>
        <w:spacing w:after="0" w:line="360" w:lineRule="auto"/>
        <w:rPr>
          <w:color w:val="000000"/>
        </w:rPr>
      </w:pPr>
      <w:r>
        <w:rPr>
          <w:b/>
          <w:color w:val="000000"/>
        </w:rPr>
        <w:t>Presupuesto Ejercido:</w:t>
      </w:r>
      <w:r>
        <w:rPr>
          <w:color w:val="000000"/>
        </w:rPr>
        <w:t xml:space="preserve"> Es el importe de erogaciones realizadas, respaldadas por los documentos comprobatorios presentados a la dependencia una vez autorizadas para su pago, con cargo al presupuesto autorizado. </w:t>
      </w:r>
    </w:p>
    <w:p w14:paraId="3E448749" w14:textId="77777777" w:rsidR="0090658A" w:rsidRDefault="0090658A">
      <w:pPr>
        <w:spacing w:after="0" w:line="360" w:lineRule="auto"/>
        <w:rPr>
          <w:color w:val="000000"/>
        </w:rPr>
      </w:pPr>
    </w:p>
    <w:p w14:paraId="6606C46C" w14:textId="77777777" w:rsidR="0090658A" w:rsidRDefault="00F739B5">
      <w:pPr>
        <w:spacing w:after="0" w:line="360" w:lineRule="auto"/>
        <w:rPr>
          <w:color w:val="000000"/>
        </w:rPr>
      </w:pPr>
      <w:r>
        <w:rPr>
          <w:color w:val="000000"/>
        </w:rPr>
        <w:t xml:space="preserve">En ese orden de ideas, la Guía Técnica 7 Elaboración y Ejercicio de Presupuesto de Egresos del Instituto Nacional para el Federalismo y el Desarrollo Municipal, establece que el Presupuesto de Egresos constituye el programa anual de gastos del municipio, que permite al Ayuntamiento: </w:t>
      </w:r>
    </w:p>
    <w:p w14:paraId="2CAA5953" w14:textId="77777777" w:rsidR="0090658A" w:rsidRDefault="0090658A">
      <w:pPr>
        <w:spacing w:after="0" w:line="360" w:lineRule="auto"/>
        <w:rPr>
          <w:color w:val="000000"/>
        </w:rPr>
      </w:pPr>
    </w:p>
    <w:p w14:paraId="1E3182D2" w14:textId="77777777" w:rsidR="0090658A" w:rsidRDefault="00F739B5">
      <w:pPr>
        <w:numPr>
          <w:ilvl w:val="0"/>
          <w:numId w:val="3"/>
        </w:numPr>
        <w:pBdr>
          <w:top w:val="nil"/>
          <w:left w:val="nil"/>
          <w:bottom w:val="nil"/>
          <w:right w:val="nil"/>
          <w:between w:val="nil"/>
        </w:pBdr>
        <w:spacing w:after="0" w:line="360" w:lineRule="auto"/>
        <w:rPr>
          <w:color w:val="000000"/>
        </w:rPr>
      </w:pPr>
      <w:r>
        <w:rPr>
          <w:color w:val="000000"/>
        </w:rPr>
        <w:t xml:space="preserve">Prever los recursos financieros necesarios para la administración municipal; </w:t>
      </w:r>
    </w:p>
    <w:p w14:paraId="6C747892" w14:textId="77777777" w:rsidR="0090658A" w:rsidRDefault="00F739B5">
      <w:pPr>
        <w:numPr>
          <w:ilvl w:val="0"/>
          <w:numId w:val="3"/>
        </w:numPr>
        <w:pBdr>
          <w:top w:val="nil"/>
          <w:left w:val="nil"/>
          <w:bottom w:val="nil"/>
          <w:right w:val="nil"/>
          <w:between w:val="nil"/>
        </w:pBdr>
        <w:spacing w:after="0" w:line="360" w:lineRule="auto"/>
        <w:rPr>
          <w:color w:val="000000"/>
        </w:rPr>
      </w:pPr>
      <w:r>
        <w:rPr>
          <w:color w:val="000000"/>
        </w:rPr>
        <w:t xml:space="preserve">Llevar el control estricto de los gastos de la administración municipal, y </w:t>
      </w:r>
    </w:p>
    <w:p w14:paraId="4B42616A" w14:textId="77777777" w:rsidR="0090658A" w:rsidRDefault="00F739B5">
      <w:pPr>
        <w:numPr>
          <w:ilvl w:val="0"/>
          <w:numId w:val="3"/>
        </w:numPr>
        <w:pBdr>
          <w:top w:val="nil"/>
          <w:left w:val="nil"/>
          <w:bottom w:val="nil"/>
          <w:right w:val="nil"/>
          <w:between w:val="nil"/>
        </w:pBdr>
        <w:spacing w:after="0" w:line="360" w:lineRule="auto"/>
        <w:rPr>
          <w:color w:val="000000"/>
        </w:rPr>
      </w:pPr>
      <w:r>
        <w:rPr>
          <w:color w:val="000000"/>
        </w:rPr>
        <w:t>Manejar adecuada y honestamente los fondos financieros del municipio.</w:t>
      </w:r>
    </w:p>
    <w:p w14:paraId="4C9FFA65" w14:textId="77777777" w:rsidR="0090658A" w:rsidRDefault="0090658A">
      <w:pPr>
        <w:spacing w:after="0" w:line="360" w:lineRule="auto"/>
        <w:rPr>
          <w:color w:val="000000"/>
        </w:rPr>
      </w:pPr>
    </w:p>
    <w:p w14:paraId="3055DB32" w14:textId="77777777" w:rsidR="0090658A" w:rsidRDefault="00F739B5">
      <w:pPr>
        <w:spacing w:after="0" w:line="360" w:lineRule="auto"/>
        <w:rPr>
          <w:color w:val="000000"/>
        </w:rPr>
      </w:pPr>
      <w:r>
        <w:rPr>
          <w:color w:val="000000"/>
        </w:rPr>
        <w:t xml:space="preserve">Además, precisa que dicho documento debe ser elaborado tomando en cuenta el monto disponible de los ingresos del Ayuntamiento; en ese sentido, el artículo 285 del Código Financiero del Estado de México y Municipios, precisa que el Ayuntamiento es el encargado de aprobar el Presupuesto de Egresos del Municipio. </w:t>
      </w:r>
    </w:p>
    <w:p w14:paraId="68C6D338" w14:textId="77777777" w:rsidR="0090658A" w:rsidRDefault="0090658A">
      <w:pPr>
        <w:spacing w:after="0" w:line="360" w:lineRule="auto"/>
        <w:rPr>
          <w:color w:val="000000"/>
        </w:rPr>
      </w:pPr>
    </w:p>
    <w:p w14:paraId="2EA2052E" w14:textId="77777777" w:rsidR="0090658A" w:rsidRDefault="00F739B5">
      <w:pPr>
        <w:spacing w:after="0" w:line="360" w:lineRule="auto"/>
        <w:rPr>
          <w:b/>
          <w:color w:val="000000"/>
        </w:rPr>
      </w:pPr>
      <w:r>
        <w:rPr>
          <w:color w:val="000000"/>
        </w:rPr>
        <w:t xml:space="preserve">Además, el artículo 31, fracción XIX, de la Ley Orgánica Municipal del Estado de México, establece que los </w:t>
      </w:r>
      <w:r>
        <w:rPr>
          <w:b/>
          <w:color w:val="000000"/>
        </w:rPr>
        <w:t xml:space="preserve">Ayuntamientos serán los encargados de aprobar anualmente, el Presupuesto de Egresos, en base a los ingresos presupuestados para el ejercicio de corresponda. </w:t>
      </w:r>
    </w:p>
    <w:p w14:paraId="18AD7687" w14:textId="77777777" w:rsidR="0090658A" w:rsidRDefault="0090658A">
      <w:pPr>
        <w:spacing w:after="0" w:line="360" w:lineRule="auto"/>
        <w:rPr>
          <w:color w:val="000000"/>
        </w:rPr>
      </w:pPr>
    </w:p>
    <w:p w14:paraId="51A8D117" w14:textId="77777777" w:rsidR="0090658A" w:rsidRDefault="00F739B5">
      <w:pPr>
        <w:spacing w:after="0" w:line="360" w:lineRule="auto"/>
        <w:rPr>
          <w:b/>
          <w:color w:val="000000"/>
        </w:rPr>
      </w:pPr>
      <w:r>
        <w:rPr>
          <w:color w:val="000000"/>
        </w:rPr>
        <w:lastRenderedPageBreak/>
        <w:t xml:space="preserve">En ese orden de ideas, de conformidad con el artículo 100 y 101, fracción II, de dicho ordenamiento jurídico, el Presupuesto de Egresos, deberá contener las previsiones de gasto público y se conformará, entre otras cosas, por la </w:t>
      </w:r>
      <w:r>
        <w:rPr>
          <w:b/>
          <w:color w:val="000000"/>
        </w:rPr>
        <w:t xml:space="preserve">estimación de los ingresos y gastos del ejercicio fiscal calendarizados. </w:t>
      </w:r>
    </w:p>
    <w:p w14:paraId="546A3419" w14:textId="77777777" w:rsidR="0090658A" w:rsidRDefault="0090658A">
      <w:pPr>
        <w:spacing w:after="0" w:line="360" w:lineRule="auto"/>
        <w:rPr>
          <w:color w:val="000000"/>
        </w:rPr>
      </w:pPr>
    </w:p>
    <w:p w14:paraId="095D8DA2" w14:textId="77777777" w:rsidR="0090658A" w:rsidRDefault="00F739B5">
      <w:pPr>
        <w:spacing w:after="0" w:line="360" w:lineRule="auto"/>
        <w:rPr>
          <w:color w:val="000000"/>
        </w:rPr>
      </w:pPr>
      <w:r>
        <w:rPr>
          <w:color w:val="000000"/>
        </w:rPr>
        <w:t>Ahora bien, cabe precisar que conforme a los Lineamientos para la Integración, Presentación y Envió de los Informes Trimestrales Municipales del Ejercicio Fiscal 2024, establecen que los Ayuntamientos deben de proporcionar al Órgano Superior de Fiscalización del Estado de México, mediante el Módulo 2 “Información Presupuestaria”, diversos formatos, entre los cuales se encuentra el Estado Analítico del Ejercicio del Presupuesto de Egresos Clasificación por Objeto de Gasto (Capítulo y Concepto) y el Estado Comparativo Presupuestal de Egresos, mismos que deben generar de manera mensual, tal como se logra vislumbrar a continuación:</w:t>
      </w:r>
    </w:p>
    <w:p w14:paraId="650F3E91" w14:textId="77777777" w:rsidR="0090658A" w:rsidRDefault="0090658A">
      <w:pPr>
        <w:spacing w:after="0" w:line="360" w:lineRule="auto"/>
        <w:rPr>
          <w:color w:val="000000"/>
        </w:rPr>
      </w:pPr>
    </w:p>
    <w:p w14:paraId="14E01BCB" w14:textId="77777777" w:rsidR="0090658A" w:rsidRDefault="00F739B5">
      <w:pPr>
        <w:spacing w:after="0" w:line="360" w:lineRule="auto"/>
        <w:jc w:val="center"/>
        <w:rPr>
          <w:color w:val="000000"/>
        </w:rPr>
      </w:pPr>
      <w:r>
        <w:rPr>
          <w:noProof/>
          <w:color w:val="000000"/>
        </w:rPr>
        <w:drawing>
          <wp:inline distT="0" distB="0" distL="0" distR="0" wp14:anchorId="1238EF27" wp14:editId="2D3B5BF3">
            <wp:extent cx="5153063" cy="1676412"/>
            <wp:effectExtent l="0" t="0" r="0" b="0"/>
            <wp:docPr id="21026620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b="63025"/>
                    <a:stretch>
                      <a:fillRect/>
                    </a:stretch>
                  </pic:blipFill>
                  <pic:spPr>
                    <a:xfrm>
                      <a:off x="0" y="0"/>
                      <a:ext cx="5153063" cy="1676412"/>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59433645" wp14:editId="0285C95D">
                <wp:simplePos x="0" y="0"/>
                <wp:positionH relativeFrom="column">
                  <wp:posOffset>1092200</wp:posOffset>
                </wp:positionH>
                <wp:positionV relativeFrom="paragraph">
                  <wp:posOffset>965200</wp:posOffset>
                </wp:positionV>
                <wp:extent cx="4352925" cy="276225"/>
                <wp:effectExtent l="0" t="0" r="0" b="0"/>
                <wp:wrapNone/>
                <wp:docPr id="2102662014" name="Rectángulo 2102662014"/>
                <wp:cNvGraphicFramePr/>
                <a:graphic xmlns:a="http://schemas.openxmlformats.org/drawingml/2006/main">
                  <a:graphicData uri="http://schemas.microsoft.com/office/word/2010/wordprocessingShape">
                    <wps:wsp>
                      <wps:cNvSpPr/>
                      <wps:spPr>
                        <a:xfrm>
                          <a:off x="3188588" y="3660938"/>
                          <a:ext cx="4314825" cy="238125"/>
                        </a:xfrm>
                        <a:prstGeom prst="rect">
                          <a:avLst/>
                        </a:prstGeom>
                        <a:noFill/>
                        <a:ln w="38100" cap="flat" cmpd="sng">
                          <a:solidFill>
                            <a:schemeClr val="dk1"/>
                          </a:solidFill>
                          <a:prstDash val="solid"/>
                          <a:miter lim="800000"/>
                          <a:headEnd type="none" w="sm" len="sm"/>
                          <a:tailEnd type="none" w="sm" len="sm"/>
                        </a:ln>
                      </wps:spPr>
                      <wps:txbx>
                        <w:txbxContent>
                          <w:p w14:paraId="6834C6C8" w14:textId="77777777" w:rsidR="0090658A" w:rsidRDefault="0090658A">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1092200</wp:posOffset>
                </wp:positionH>
                <wp:positionV relativeFrom="paragraph">
                  <wp:posOffset>965200</wp:posOffset>
                </wp:positionV>
                <wp:extent cx="4352925" cy="276225"/>
                <wp:effectExtent b="0" l="0" r="0" t="0"/>
                <wp:wrapNone/>
                <wp:docPr id="2102662014"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4352925" cy="2762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618AB585" wp14:editId="2162AD20">
                <wp:simplePos x="0" y="0"/>
                <wp:positionH relativeFrom="column">
                  <wp:posOffset>1079500</wp:posOffset>
                </wp:positionH>
                <wp:positionV relativeFrom="paragraph">
                  <wp:posOffset>1447800</wp:posOffset>
                </wp:positionV>
                <wp:extent cx="4352925" cy="276225"/>
                <wp:effectExtent l="0" t="0" r="0" b="0"/>
                <wp:wrapNone/>
                <wp:docPr id="2102662015" name="Rectángulo 2102662015"/>
                <wp:cNvGraphicFramePr/>
                <a:graphic xmlns:a="http://schemas.openxmlformats.org/drawingml/2006/main">
                  <a:graphicData uri="http://schemas.microsoft.com/office/word/2010/wordprocessingShape">
                    <wps:wsp>
                      <wps:cNvSpPr/>
                      <wps:spPr>
                        <a:xfrm>
                          <a:off x="3188588" y="3660938"/>
                          <a:ext cx="4314825" cy="238125"/>
                        </a:xfrm>
                        <a:prstGeom prst="rect">
                          <a:avLst/>
                        </a:prstGeom>
                        <a:noFill/>
                        <a:ln w="38100" cap="flat" cmpd="sng">
                          <a:solidFill>
                            <a:schemeClr val="dk1"/>
                          </a:solidFill>
                          <a:prstDash val="solid"/>
                          <a:miter lim="800000"/>
                          <a:headEnd type="none" w="sm" len="sm"/>
                          <a:tailEnd type="none" w="sm" len="sm"/>
                        </a:ln>
                      </wps:spPr>
                      <wps:txbx>
                        <w:txbxContent>
                          <w:p w14:paraId="577D2E0A" w14:textId="77777777" w:rsidR="0090658A" w:rsidRDefault="0090658A">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1079500</wp:posOffset>
                </wp:positionH>
                <wp:positionV relativeFrom="paragraph">
                  <wp:posOffset>1447800</wp:posOffset>
                </wp:positionV>
                <wp:extent cx="4352925" cy="276225"/>
                <wp:effectExtent b="0" l="0" r="0" t="0"/>
                <wp:wrapNone/>
                <wp:docPr id="2102662015"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4352925" cy="276225"/>
                        </a:xfrm>
                        <a:prstGeom prst="rect"/>
                        <a:ln/>
                      </pic:spPr>
                    </pic:pic>
                  </a:graphicData>
                </a:graphic>
              </wp:anchor>
            </w:drawing>
          </mc:Fallback>
        </mc:AlternateContent>
      </w:r>
    </w:p>
    <w:p w14:paraId="7496E96C" w14:textId="77777777" w:rsidR="0090658A" w:rsidRDefault="0090658A">
      <w:pPr>
        <w:spacing w:after="0" w:line="360" w:lineRule="auto"/>
        <w:rPr>
          <w:color w:val="000000"/>
        </w:rPr>
      </w:pPr>
    </w:p>
    <w:p w14:paraId="5C85DAA8" w14:textId="77777777" w:rsidR="0090658A" w:rsidRDefault="00F739B5">
      <w:pPr>
        <w:spacing w:after="0" w:line="360" w:lineRule="auto"/>
        <w:rPr>
          <w:color w:val="000000"/>
        </w:rPr>
      </w:pPr>
      <w:r>
        <w:rPr>
          <w:color w:val="000000"/>
        </w:rPr>
        <w:t xml:space="preserve">En ese orden de ideas, el Instructivo del llenado del Módulo II, precisa que el Estado Analítico del Ejercicio del Presupuesto de Egresos Clasificación por Objeto de Gasto (Capítulo y Concepto) tiene la finalidad de conocer el ejercicio de los egresos presupuestarios de fecha determinada del ejercicio del Presupuesto de Egresos, los movimientos y la situación de cada cuenta de las distintas clasificaciones, con los diferentes grados de desagregación que se requiera, por lo que se observa que contienen la partida presupuestal, el presupuesto </w:t>
      </w:r>
      <w:r>
        <w:rPr>
          <w:color w:val="000000"/>
        </w:rPr>
        <w:lastRenderedPageBreak/>
        <w:t>autorizado, modificado y ejercido; por lo que, dicho formato se conforma de diverso datos, entre los cuales se encuentran los siguientes:</w:t>
      </w:r>
    </w:p>
    <w:p w14:paraId="162233C7" w14:textId="77777777" w:rsidR="0090658A" w:rsidRDefault="0090658A">
      <w:pPr>
        <w:spacing w:after="0" w:line="360" w:lineRule="auto"/>
        <w:rPr>
          <w:color w:val="000000"/>
        </w:rPr>
      </w:pPr>
    </w:p>
    <w:p w14:paraId="39291D7A" w14:textId="77777777" w:rsidR="0090658A" w:rsidRDefault="00F739B5">
      <w:pPr>
        <w:numPr>
          <w:ilvl w:val="0"/>
          <w:numId w:val="4"/>
        </w:numPr>
        <w:pBdr>
          <w:top w:val="nil"/>
          <w:left w:val="nil"/>
          <w:bottom w:val="nil"/>
          <w:right w:val="nil"/>
          <w:between w:val="nil"/>
        </w:pBdr>
        <w:spacing w:after="0" w:line="360" w:lineRule="auto"/>
        <w:rPr>
          <w:b/>
          <w:color w:val="000000"/>
        </w:rPr>
      </w:pPr>
      <w:r>
        <w:rPr>
          <w:b/>
          <w:color w:val="000000"/>
        </w:rPr>
        <w:t xml:space="preserve">Egreso Aprobado: </w:t>
      </w:r>
      <w:r>
        <w:rPr>
          <w:color w:val="000000"/>
        </w:rPr>
        <w:t>Importe de los recursos que fueron autorizados por Cabildo para el ejercicio fiscal, dos mil veinticuatro, por concepto de gasto.</w:t>
      </w:r>
    </w:p>
    <w:p w14:paraId="795CB665" w14:textId="77777777" w:rsidR="0090658A" w:rsidRDefault="00F739B5">
      <w:pPr>
        <w:numPr>
          <w:ilvl w:val="0"/>
          <w:numId w:val="4"/>
        </w:numPr>
        <w:pBdr>
          <w:top w:val="nil"/>
          <w:left w:val="nil"/>
          <w:bottom w:val="nil"/>
          <w:right w:val="nil"/>
          <w:between w:val="nil"/>
        </w:pBdr>
        <w:spacing w:after="0" w:line="360" w:lineRule="auto"/>
        <w:rPr>
          <w:b/>
          <w:color w:val="000000"/>
        </w:rPr>
      </w:pPr>
      <w:r>
        <w:rPr>
          <w:b/>
          <w:color w:val="000000"/>
        </w:rPr>
        <w:t xml:space="preserve">Egreso Modificado: </w:t>
      </w:r>
      <w:r>
        <w:rPr>
          <w:color w:val="000000"/>
        </w:rPr>
        <w:t xml:space="preserve">Importe de las adiciones y reducciones al Presupuesto de Egresos Aprobado. </w:t>
      </w:r>
    </w:p>
    <w:p w14:paraId="74CE422A" w14:textId="77777777" w:rsidR="0090658A" w:rsidRDefault="00F739B5">
      <w:pPr>
        <w:numPr>
          <w:ilvl w:val="0"/>
          <w:numId w:val="4"/>
        </w:numPr>
        <w:pBdr>
          <w:top w:val="nil"/>
          <w:left w:val="nil"/>
          <w:bottom w:val="nil"/>
          <w:right w:val="nil"/>
          <w:between w:val="nil"/>
        </w:pBdr>
        <w:spacing w:after="0" w:line="360" w:lineRule="auto"/>
        <w:rPr>
          <w:b/>
          <w:color w:val="000000"/>
        </w:rPr>
      </w:pPr>
      <w:r>
        <w:rPr>
          <w:b/>
          <w:color w:val="000000"/>
        </w:rPr>
        <w:t>Egreso Devengado:</w:t>
      </w:r>
      <w:r>
        <w:rPr>
          <w:color w:val="000000"/>
        </w:rPr>
        <w:t xml:space="preserve"> Importe del egreso devengado acumulado al mes.</w:t>
      </w:r>
    </w:p>
    <w:p w14:paraId="27CD40AB" w14:textId="77777777" w:rsidR="0090658A" w:rsidRDefault="00F739B5">
      <w:pPr>
        <w:numPr>
          <w:ilvl w:val="0"/>
          <w:numId w:val="4"/>
        </w:numPr>
        <w:pBdr>
          <w:top w:val="nil"/>
          <w:left w:val="nil"/>
          <w:bottom w:val="nil"/>
          <w:right w:val="nil"/>
          <w:between w:val="nil"/>
        </w:pBdr>
        <w:spacing w:after="0" w:line="360" w:lineRule="auto"/>
        <w:rPr>
          <w:b/>
          <w:color w:val="000000"/>
        </w:rPr>
      </w:pPr>
      <w:r>
        <w:rPr>
          <w:b/>
          <w:color w:val="000000"/>
        </w:rPr>
        <w:t xml:space="preserve">Subejercicio: </w:t>
      </w:r>
      <w:r>
        <w:rPr>
          <w:color w:val="000000"/>
        </w:rPr>
        <w:t>Diferencia entre el egreso modificado menos el egreso devengado.</w:t>
      </w:r>
    </w:p>
    <w:p w14:paraId="083699E5" w14:textId="77777777" w:rsidR="0090658A" w:rsidRDefault="0090658A">
      <w:pPr>
        <w:spacing w:after="0" w:line="360" w:lineRule="auto"/>
        <w:rPr>
          <w:color w:val="000000"/>
        </w:rPr>
      </w:pPr>
    </w:p>
    <w:p w14:paraId="31BA9B64" w14:textId="77777777" w:rsidR="0090658A" w:rsidRDefault="00F739B5">
      <w:pPr>
        <w:spacing w:after="0" w:line="360" w:lineRule="auto"/>
        <w:rPr>
          <w:color w:val="000000"/>
        </w:rPr>
      </w:pPr>
      <w:r>
        <w:rPr>
          <w:color w:val="000000"/>
        </w:rPr>
        <w:t>Conforme a lo anterior, se logra vislumbrar que el formato mencionado, contiene tanto el presupuesto autorizado, sus modificaciones al mes que se reporta y lo que queda para ejercer en los siguientes meses.</w:t>
      </w:r>
    </w:p>
    <w:p w14:paraId="5EE823D1" w14:textId="77777777" w:rsidR="0090658A" w:rsidRDefault="0090658A">
      <w:pPr>
        <w:spacing w:after="0" w:line="360" w:lineRule="auto"/>
        <w:rPr>
          <w:color w:val="000000"/>
        </w:rPr>
      </w:pPr>
    </w:p>
    <w:p w14:paraId="0AB2F6A0" w14:textId="77777777" w:rsidR="0090658A" w:rsidRDefault="00F739B5">
      <w:pPr>
        <w:spacing w:after="0" w:line="360" w:lineRule="auto"/>
        <w:rPr>
          <w:color w:val="000000"/>
        </w:rPr>
      </w:pPr>
      <w:r>
        <w:rPr>
          <w:color w:val="000000"/>
        </w:rPr>
        <w:t>Por otra parte, el Instructivo del llenado del Módulo II, precisa que el Estado Comparativo Presupuestal de Egresos, tiene como objetivo conocer el comportamiento del presupuesto modificado y ejercido en forma mensual por concepto del gasto, durante un ejercicio; por lo que se conforma de los siguientes datos:</w:t>
      </w:r>
    </w:p>
    <w:p w14:paraId="0EAC089B" w14:textId="77777777" w:rsidR="0090658A" w:rsidRDefault="0090658A">
      <w:pPr>
        <w:spacing w:after="0" w:line="360" w:lineRule="auto"/>
        <w:rPr>
          <w:color w:val="000000"/>
        </w:rPr>
      </w:pPr>
    </w:p>
    <w:p w14:paraId="78D2E9C9" w14:textId="77777777" w:rsidR="0090658A" w:rsidRDefault="00F739B5">
      <w:pPr>
        <w:numPr>
          <w:ilvl w:val="0"/>
          <w:numId w:val="5"/>
        </w:numPr>
        <w:pBdr>
          <w:top w:val="nil"/>
          <w:left w:val="nil"/>
          <w:bottom w:val="nil"/>
          <w:right w:val="nil"/>
          <w:between w:val="nil"/>
        </w:pBdr>
        <w:spacing w:after="0" w:line="360" w:lineRule="auto"/>
        <w:rPr>
          <w:b/>
          <w:color w:val="000000"/>
        </w:rPr>
      </w:pPr>
      <w:r>
        <w:rPr>
          <w:b/>
          <w:color w:val="000000"/>
        </w:rPr>
        <w:t xml:space="preserve">Presupuesto Autorizado: </w:t>
      </w:r>
      <w:r>
        <w:rPr>
          <w:color w:val="000000"/>
        </w:rPr>
        <w:t>Monto del presupuesto autorizado anual por partida específica del gasto identificando los conceptos globales.</w:t>
      </w:r>
    </w:p>
    <w:p w14:paraId="4E5FCF29" w14:textId="77777777" w:rsidR="0090658A" w:rsidRDefault="00F739B5">
      <w:pPr>
        <w:numPr>
          <w:ilvl w:val="0"/>
          <w:numId w:val="5"/>
        </w:numPr>
        <w:pBdr>
          <w:top w:val="nil"/>
          <w:left w:val="nil"/>
          <w:bottom w:val="nil"/>
          <w:right w:val="nil"/>
          <w:between w:val="nil"/>
        </w:pBdr>
        <w:spacing w:after="0" w:line="360" w:lineRule="auto"/>
        <w:rPr>
          <w:b/>
          <w:color w:val="000000"/>
        </w:rPr>
      </w:pPr>
      <w:r>
        <w:rPr>
          <w:b/>
          <w:color w:val="000000"/>
        </w:rPr>
        <w:t xml:space="preserve">Presupuesto del Mes Modificado: </w:t>
      </w:r>
      <w:r>
        <w:rPr>
          <w:color w:val="000000"/>
        </w:rPr>
        <w:t>Presupuesto autorizado (incluidas las ampliaciones y reducciones) del mes.</w:t>
      </w:r>
    </w:p>
    <w:p w14:paraId="4C9B3D92" w14:textId="77777777" w:rsidR="0090658A" w:rsidRDefault="00F739B5">
      <w:pPr>
        <w:numPr>
          <w:ilvl w:val="0"/>
          <w:numId w:val="5"/>
        </w:numPr>
        <w:pBdr>
          <w:top w:val="nil"/>
          <w:left w:val="nil"/>
          <w:bottom w:val="nil"/>
          <w:right w:val="nil"/>
          <w:between w:val="nil"/>
        </w:pBdr>
        <w:spacing w:after="0" w:line="360" w:lineRule="auto"/>
        <w:rPr>
          <w:b/>
          <w:color w:val="000000"/>
        </w:rPr>
      </w:pPr>
      <w:r>
        <w:rPr>
          <w:b/>
          <w:color w:val="000000"/>
        </w:rPr>
        <w:t xml:space="preserve">Presupuesto del Mes Ejercido: </w:t>
      </w:r>
      <w:r>
        <w:rPr>
          <w:color w:val="000000"/>
        </w:rPr>
        <w:t>Anotar el presupuesto ejercido del mes.</w:t>
      </w:r>
    </w:p>
    <w:p w14:paraId="7A95F688" w14:textId="77777777" w:rsidR="0090658A" w:rsidRDefault="00F739B5">
      <w:pPr>
        <w:numPr>
          <w:ilvl w:val="0"/>
          <w:numId w:val="5"/>
        </w:numPr>
        <w:pBdr>
          <w:top w:val="nil"/>
          <w:left w:val="nil"/>
          <w:bottom w:val="nil"/>
          <w:right w:val="nil"/>
          <w:between w:val="nil"/>
        </w:pBdr>
        <w:spacing w:after="0" w:line="360" w:lineRule="auto"/>
        <w:rPr>
          <w:b/>
          <w:color w:val="000000"/>
        </w:rPr>
      </w:pPr>
      <w:r>
        <w:rPr>
          <w:b/>
          <w:color w:val="000000"/>
        </w:rPr>
        <w:t xml:space="preserve">Presupuesto Acumulado al Mes Modificado: </w:t>
      </w:r>
      <w:r>
        <w:rPr>
          <w:color w:val="000000"/>
        </w:rPr>
        <w:t>En esta columna se refleja el presupuesto autorizado (incluidas las ampliaciones y reducciones) acumulado al mes.</w:t>
      </w:r>
    </w:p>
    <w:p w14:paraId="661FC035" w14:textId="77777777" w:rsidR="0090658A" w:rsidRDefault="00F739B5">
      <w:pPr>
        <w:numPr>
          <w:ilvl w:val="0"/>
          <w:numId w:val="5"/>
        </w:numPr>
        <w:pBdr>
          <w:top w:val="nil"/>
          <w:left w:val="nil"/>
          <w:bottom w:val="nil"/>
          <w:right w:val="nil"/>
          <w:between w:val="nil"/>
        </w:pBdr>
        <w:spacing w:after="0" w:line="360" w:lineRule="auto"/>
        <w:rPr>
          <w:b/>
          <w:color w:val="000000"/>
        </w:rPr>
      </w:pPr>
      <w:r>
        <w:rPr>
          <w:b/>
          <w:color w:val="000000"/>
        </w:rPr>
        <w:lastRenderedPageBreak/>
        <w:t>Presupuesto Acumulado al Mes Ejercido:</w:t>
      </w:r>
      <w:r>
        <w:rPr>
          <w:color w:val="000000"/>
        </w:rPr>
        <w:t xml:space="preserve"> En esta columna se refleja el presupuesto ejercido acumulado al mes.</w:t>
      </w:r>
    </w:p>
    <w:p w14:paraId="6B1D9462" w14:textId="77777777" w:rsidR="0090658A" w:rsidRDefault="0090658A">
      <w:pPr>
        <w:spacing w:after="0" w:line="360" w:lineRule="auto"/>
        <w:rPr>
          <w:color w:val="000000"/>
        </w:rPr>
      </w:pPr>
    </w:p>
    <w:p w14:paraId="68D2595A" w14:textId="77777777" w:rsidR="0090658A" w:rsidRDefault="00F739B5">
      <w:pPr>
        <w:spacing w:after="0" w:line="360" w:lineRule="auto"/>
        <w:rPr>
          <w:color w:val="000000"/>
        </w:rPr>
      </w:pPr>
      <w:r>
        <w:rPr>
          <w:color w:val="000000"/>
        </w:rPr>
        <w:t>Así, se logra vislumbrar que el formato da a conocer la información del presupuesto modificado y ejercido en un determinado mes, así como la acumulación al mes que se reporta, del ejercicio fiscal correspondiente.</w:t>
      </w:r>
    </w:p>
    <w:p w14:paraId="68BAC54F" w14:textId="77777777" w:rsidR="0090658A" w:rsidRDefault="0090658A">
      <w:pPr>
        <w:spacing w:after="0" w:line="360" w:lineRule="auto"/>
        <w:rPr>
          <w:color w:val="000000"/>
        </w:rPr>
      </w:pPr>
    </w:p>
    <w:p w14:paraId="60304BF4" w14:textId="77777777" w:rsidR="0090658A" w:rsidRDefault="00F739B5">
      <w:pPr>
        <w:spacing w:after="0" w:line="360" w:lineRule="auto"/>
        <w:rPr>
          <w:color w:val="000000"/>
        </w:rPr>
      </w:pPr>
      <w:r>
        <w:rPr>
          <w:color w:val="000000"/>
        </w:rPr>
        <w:t>Ahora bien, cabe señalar que el Particular solicitó la información al mes de noviembre de dos mil veinticuatro, es decir, que incluya la información del primero al treinta de dicho mes y año; sobre dicha situación, es necesario precisar que, mediante el derecho de acceso a la información, los ciudadanos tienen derecho acceder a la información generada a la fecha de la solicitud y no aquella que se genere en fechas posteriores, pues esta situación, permite a los Sujetos Obligaos atender de manera correcta las solicitudes.</w:t>
      </w:r>
    </w:p>
    <w:p w14:paraId="37DEAAD4" w14:textId="77777777" w:rsidR="0090658A" w:rsidRDefault="0090658A">
      <w:pPr>
        <w:spacing w:after="0" w:line="360" w:lineRule="auto"/>
        <w:rPr>
          <w:color w:val="000000"/>
        </w:rPr>
      </w:pPr>
    </w:p>
    <w:p w14:paraId="744C6306" w14:textId="77777777" w:rsidR="0090658A" w:rsidRDefault="00F739B5">
      <w:pPr>
        <w:spacing w:after="0" w:line="360" w:lineRule="auto"/>
        <w:rPr>
          <w:color w:val="000000"/>
        </w:rPr>
      </w:pPr>
      <w:r>
        <w:rPr>
          <w:color w:val="000000"/>
        </w:rPr>
        <w:t>De tal suerte, en el presente caso, el Particular si bien solicitó la información hasta el penúltimo mes, lo cierto es que presentó su solicitud, el trece de noviembre de dos mil veinticuatro, con lo cual se logra vislumbrar que no se habían generado los formatos presupuestales de dicho mes; por lo que, este Instituto determina que únicamente resulta procedente ordenar la entrega de enero a octubre de dicho ejercicio fiscal.</w:t>
      </w:r>
    </w:p>
    <w:p w14:paraId="317FDF7B" w14:textId="77777777" w:rsidR="0090658A" w:rsidRDefault="0090658A">
      <w:pPr>
        <w:spacing w:after="0" w:line="360" w:lineRule="auto"/>
        <w:rPr>
          <w:color w:val="000000"/>
        </w:rPr>
      </w:pPr>
    </w:p>
    <w:p w14:paraId="11AD46BB" w14:textId="77777777" w:rsidR="0090658A" w:rsidRDefault="00F739B5">
      <w:pPr>
        <w:spacing w:after="0" w:line="360" w:lineRule="auto"/>
        <w:rPr>
          <w:color w:val="000000"/>
        </w:rPr>
      </w:pPr>
      <w:r>
        <w:rPr>
          <w:color w:val="000000"/>
        </w:rPr>
        <w:t>Así, se concluye que el Sujeto Obligado genera documentos con el nivel de desglose solicitado, sobre el ejercicio del presupuesto de egresos, por lo que, en el presente caso, se advierte que los documentos que dan cuenta de lo requerido son los siguientes:</w:t>
      </w:r>
    </w:p>
    <w:p w14:paraId="3F7F2DA1" w14:textId="77777777" w:rsidR="0090658A" w:rsidRDefault="0090658A">
      <w:pPr>
        <w:spacing w:after="0" w:line="360" w:lineRule="auto"/>
        <w:rPr>
          <w:color w:val="000000"/>
        </w:rPr>
      </w:pPr>
    </w:p>
    <w:p w14:paraId="0D064E16" w14:textId="77777777" w:rsidR="0090658A" w:rsidRDefault="00F739B5">
      <w:pPr>
        <w:numPr>
          <w:ilvl w:val="0"/>
          <w:numId w:val="6"/>
        </w:numPr>
        <w:pBdr>
          <w:top w:val="nil"/>
          <w:left w:val="nil"/>
          <w:bottom w:val="nil"/>
          <w:right w:val="nil"/>
          <w:between w:val="nil"/>
        </w:pBdr>
        <w:spacing w:after="0" w:line="360" w:lineRule="auto"/>
        <w:rPr>
          <w:color w:val="000000"/>
        </w:rPr>
      </w:pPr>
      <w:r>
        <w:rPr>
          <w:color w:val="000000"/>
        </w:rPr>
        <w:t>El Estado Analítico del Ejercicio del Presupuesto de Egresos Clasificación por Objeto de Gasto (Capítulo y Concepto), de octubre de dos mil veinticuatro.</w:t>
      </w:r>
    </w:p>
    <w:p w14:paraId="45EE583E" w14:textId="77777777" w:rsidR="0090658A" w:rsidRDefault="00F739B5">
      <w:pPr>
        <w:numPr>
          <w:ilvl w:val="0"/>
          <w:numId w:val="6"/>
        </w:numPr>
        <w:pBdr>
          <w:top w:val="nil"/>
          <w:left w:val="nil"/>
          <w:bottom w:val="nil"/>
          <w:right w:val="nil"/>
          <w:between w:val="nil"/>
        </w:pBdr>
        <w:spacing w:after="0" w:line="360" w:lineRule="auto"/>
        <w:rPr>
          <w:color w:val="000000"/>
        </w:rPr>
      </w:pPr>
      <w:r>
        <w:rPr>
          <w:color w:val="000000"/>
        </w:rPr>
        <w:lastRenderedPageBreak/>
        <w:t>El Estado Comparativo Presupuestal de Egresos de enero a octubre de dos mil veinticuatro.</w:t>
      </w:r>
    </w:p>
    <w:p w14:paraId="63BC097B" w14:textId="77777777" w:rsidR="0090658A" w:rsidRDefault="0090658A">
      <w:pPr>
        <w:spacing w:after="0" w:line="360" w:lineRule="auto"/>
        <w:rPr>
          <w:color w:val="000000"/>
        </w:rPr>
      </w:pPr>
    </w:p>
    <w:p w14:paraId="3FC48E0C" w14:textId="42E45606" w:rsidR="0090658A" w:rsidRDefault="00F739B5">
      <w:pPr>
        <w:widowControl w:val="0"/>
        <w:spacing w:after="0" w:line="360" w:lineRule="auto"/>
        <w:rPr>
          <w:color w:val="000000"/>
        </w:rPr>
      </w:pPr>
      <w:r>
        <w:rPr>
          <w:color w:val="000000"/>
        </w:rPr>
        <w:t xml:space="preserve">Establecido lo anterior, se procede analizar la respuesta entregada, para lo cual, de las constancias que obran en el </w:t>
      </w:r>
      <w:r w:rsidR="00F73F04">
        <w:rPr>
          <w:color w:val="000000"/>
        </w:rPr>
        <w:t>expediente,</w:t>
      </w:r>
      <w:r w:rsidR="00F73F04">
        <w:t xml:space="preserve"> se</w:t>
      </w:r>
      <w:r>
        <w:t xml:space="preserve"> logra vislumbrar a que el Sujeto Obligado turnó la solicitud a la Tesorería Municipal</w:t>
      </w:r>
      <w:r>
        <w:rPr>
          <w:color w:val="000000"/>
        </w:rPr>
        <w:t>, por lo que, es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728A3E72" w14:textId="77777777" w:rsidR="0090658A" w:rsidRDefault="0090658A">
      <w:pPr>
        <w:widowControl w:val="0"/>
        <w:spacing w:after="0" w:line="360" w:lineRule="auto"/>
        <w:rPr>
          <w:color w:val="000000"/>
        </w:rPr>
      </w:pPr>
    </w:p>
    <w:p w14:paraId="3C8A7E52" w14:textId="77777777" w:rsidR="0090658A" w:rsidRDefault="00F739B5">
      <w:pPr>
        <w:widowControl w:val="0"/>
        <w:spacing w:after="0" w:line="360" w:lineRule="auto"/>
        <w:rPr>
          <w:color w:val="000000"/>
        </w:rPr>
      </w:pPr>
      <w:r>
        <w:rPr>
          <w:color w:val="000000"/>
        </w:rPr>
        <w:t xml:space="preserve">Conforme a lo anterior, es necesario traer a colación los artículos 66, fracción VII y 77 del Bando Municipal, dos mil veinticuatro, de Calimaya, en relación con el Manual de Organización de la Tesorería Municipal, </w:t>
      </w:r>
      <w:r>
        <w:t>que establecen que el Sujeto Obligado cuenta con diversas unidades administrativas para el ejercicio de sus funciones, entre las cuales se encuentra la T</w:t>
      </w:r>
      <w:r>
        <w:rPr>
          <w:b/>
          <w:color w:val="000000"/>
        </w:rPr>
        <w:t xml:space="preserve">esorería Municipal </w:t>
      </w:r>
      <w:r>
        <w:rPr>
          <w:color w:val="000000"/>
        </w:rPr>
        <w:t xml:space="preserve">encargada de la recaudación de los ingresos municipales y responsable de realizar las erogaciones que haga el Ayuntamiento, así como de integrar, revisar y validar los anteproyectos de presupuesto por programas de la dependencias municipales y definir los presupuestos de ingresos y egresos de las diferentes dependencias del Gobierno Municipal y someterlos al Ayuntamiento para su aprobación.  </w:t>
      </w:r>
    </w:p>
    <w:p w14:paraId="281CE0A3" w14:textId="77777777" w:rsidR="0090658A" w:rsidRDefault="0090658A">
      <w:pPr>
        <w:widowControl w:val="0"/>
        <w:spacing w:after="0" w:line="360" w:lineRule="auto"/>
        <w:rPr>
          <w:color w:val="000000"/>
        </w:rPr>
      </w:pPr>
    </w:p>
    <w:p w14:paraId="76E2A6AD" w14:textId="77777777" w:rsidR="0090658A" w:rsidRDefault="00F739B5">
      <w:pPr>
        <w:spacing w:after="0" w:line="360" w:lineRule="auto"/>
        <w:rPr>
          <w:color w:val="000000"/>
        </w:rPr>
      </w:pPr>
      <w:r>
        <w:rPr>
          <w:color w:val="000000"/>
        </w:rPr>
        <w:t xml:space="preserve">Conforme a lo anterior, se logra colegir que el Sujeto Obligado cuenta con un área competente para conocer de la información peticionada, a saber, la Tesorería Municipal, que ve todas las cuestiones relacionadas con la integración del Presupuesto de egresos y autorizar las </w:t>
      </w:r>
      <w:r>
        <w:rPr>
          <w:color w:val="000000"/>
        </w:rPr>
        <w:lastRenderedPageBreak/>
        <w:t xml:space="preserve">erogaciones que sean responsabilidad del municipio; por lo que, es posible advertir que el Sujeto Obligado cumplió con el procedimiento de búsqueda establecido en el artículo 162 de la Ley de Transparencia y Acceso a la Información Pública del Estado de México y Municipios. </w:t>
      </w:r>
    </w:p>
    <w:p w14:paraId="70213667" w14:textId="77777777" w:rsidR="0090658A" w:rsidRDefault="0090658A">
      <w:pPr>
        <w:widowControl w:val="0"/>
        <w:spacing w:after="0" w:line="360" w:lineRule="auto"/>
        <w:rPr>
          <w:color w:val="000000"/>
        </w:rPr>
      </w:pPr>
    </w:p>
    <w:p w14:paraId="4530FB7D" w14:textId="77777777" w:rsidR="0090658A" w:rsidRDefault="00F739B5">
      <w:pPr>
        <w:widowControl w:val="0"/>
        <w:spacing w:after="0" w:line="360" w:lineRule="auto"/>
        <w:rPr>
          <w:color w:val="000000"/>
        </w:rPr>
      </w:pPr>
      <w:r>
        <w:rPr>
          <w:color w:val="000000"/>
        </w:rPr>
        <w:t>Ahora bien, en respuesta el Sujeto Obligado por medio del Sistema de Acceso a la Información Mexiquense, proporcionó una liga el formato abierto, tal como se muestra a continuación:</w:t>
      </w:r>
    </w:p>
    <w:p w14:paraId="032CBDCF" w14:textId="77777777" w:rsidR="0090658A" w:rsidRDefault="0090658A">
      <w:pPr>
        <w:widowControl w:val="0"/>
        <w:spacing w:after="0" w:line="360" w:lineRule="auto"/>
        <w:rPr>
          <w:color w:val="000000"/>
        </w:rPr>
      </w:pPr>
    </w:p>
    <w:p w14:paraId="667A680B" w14:textId="77777777" w:rsidR="0090658A" w:rsidRDefault="00F739B5">
      <w:pPr>
        <w:widowControl w:val="0"/>
        <w:spacing w:after="0" w:line="360" w:lineRule="auto"/>
        <w:rPr>
          <w:color w:val="000000"/>
        </w:rPr>
      </w:pPr>
      <w:r>
        <w:rPr>
          <w:noProof/>
          <w:color w:val="000000"/>
        </w:rPr>
        <w:drawing>
          <wp:inline distT="0" distB="0" distL="0" distR="0" wp14:anchorId="61986E21" wp14:editId="2FC5C919">
            <wp:extent cx="5791835" cy="1555115"/>
            <wp:effectExtent l="0" t="0" r="0" b="0"/>
            <wp:docPr id="21026620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91835" cy="1555115"/>
                    </a:xfrm>
                    <a:prstGeom prst="rect">
                      <a:avLst/>
                    </a:prstGeom>
                    <a:ln/>
                  </pic:spPr>
                </pic:pic>
              </a:graphicData>
            </a:graphic>
          </wp:inline>
        </w:drawing>
      </w:r>
      <w:r>
        <w:rPr>
          <w:color w:val="000000"/>
        </w:rPr>
        <w:t xml:space="preserve"> </w:t>
      </w:r>
    </w:p>
    <w:p w14:paraId="00F65089" w14:textId="77777777" w:rsidR="0090658A" w:rsidRDefault="0090658A">
      <w:pPr>
        <w:widowControl w:val="0"/>
        <w:spacing w:after="0" w:line="360" w:lineRule="auto"/>
        <w:rPr>
          <w:color w:val="000000"/>
        </w:rPr>
      </w:pPr>
    </w:p>
    <w:p w14:paraId="047C366B" w14:textId="77777777" w:rsidR="0090658A" w:rsidRDefault="00F739B5">
      <w:pPr>
        <w:widowControl w:val="0"/>
        <w:spacing w:after="0" w:line="360" w:lineRule="auto"/>
        <w:rPr>
          <w:color w:val="000000"/>
        </w:rPr>
      </w:pPr>
      <w:r>
        <w:rPr>
          <w:color w:val="000000"/>
        </w:rPr>
        <w:t>En ese contexto, este Instituto revisó dicha liga electrónica, de la cual, tal como lo señaló el Recurrente, señala que el documento no existe, tal como se muestra a continuación:</w:t>
      </w:r>
    </w:p>
    <w:p w14:paraId="2C406584" w14:textId="77777777" w:rsidR="0090658A" w:rsidRDefault="0090658A">
      <w:pPr>
        <w:widowControl w:val="0"/>
        <w:spacing w:after="0" w:line="360" w:lineRule="auto"/>
        <w:rPr>
          <w:color w:val="000000"/>
        </w:rPr>
      </w:pPr>
    </w:p>
    <w:p w14:paraId="3D83323B" w14:textId="77777777" w:rsidR="0090658A" w:rsidRDefault="00F739B5">
      <w:pPr>
        <w:widowControl w:val="0"/>
        <w:spacing w:after="0" w:line="360" w:lineRule="auto"/>
        <w:rPr>
          <w:color w:val="000000"/>
        </w:rPr>
      </w:pPr>
      <w:r>
        <w:rPr>
          <w:noProof/>
          <w:color w:val="000000"/>
        </w:rPr>
        <w:drawing>
          <wp:inline distT="0" distB="0" distL="0" distR="0" wp14:anchorId="51C08724" wp14:editId="620D5FB8">
            <wp:extent cx="5791835" cy="768985"/>
            <wp:effectExtent l="0" t="0" r="0" b="0"/>
            <wp:docPr id="21026620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91835" cy="768985"/>
                    </a:xfrm>
                    <a:prstGeom prst="rect">
                      <a:avLst/>
                    </a:prstGeom>
                    <a:ln/>
                  </pic:spPr>
                </pic:pic>
              </a:graphicData>
            </a:graphic>
          </wp:inline>
        </w:drawing>
      </w:r>
    </w:p>
    <w:p w14:paraId="6D2AE19A" w14:textId="77777777" w:rsidR="0090658A" w:rsidRDefault="0090658A">
      <w:pPr>
        <w:widowControl w:val="0"/>
        <w:spacing w:after="0" w:line="360" w:lineRule="auto"/>
        <w:rPr>
          <w:color w:val="000000"/>
        </w:rPr>
      </w:pPr>
    </w:p>
    <w:p w14:paraId="211DC323" w14:textId="77777777" w:rsidR="0090658A" w:rsidRDefault="00F739B5">
      <w:pPr>
        <w:spacing w:after="0" w:line="360" w:lineRule="auto"/>
        <w:rPr>
          <w:color w:val="000000"/>
        </w:rPr>
      </w:pPr>
      <w:r>
        <w:rPr>
          <w:color w:val="000000"/>
        </w:rPr>
        <w:t xml:space="preserve">Conforme a lo anterior, se logra vislumbrar que la primera liga solicitada, no remite a ningún documento y por lo tanto, no da cuenta de lo peticionado; por otra parte, mediante el oficio se respuesta proporcionó dos ligas electrónicas en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w:t>
      </w:r>
      <w:r>
        <w:rPr>
          <w:color w:val="000000"/>
        </w:rPr>
        <w:lastRenderedPageBreak/>
        <w:t>garantizar su interoperabilidad, lo cual se traduce al hecho a que la información contenga datos en formatos y estándares abiertos para su reproducción y reutilización electrónica de manera libre y sin ninguna restricción.</w:t>
      </w:r>
    </w:p>
    <w:p w14:paraId="0DD3E8AA" w14:textId="77777777" w:rsidR="0090658A" w:rsidRDefault="0090658A">
      <w:pPr>
        <w:spacing w:after="0" w:line="360" w:lineRule="auto"/>
        <w:rPr>
          <w:color w:val="000000"/>
        </w:rPr>
      </w:pPr>
    </w:p>
    <w:p w14:paraId="15917829" w14:textId="77777777" w:rsidR="0090658A" w:rsidRDefault="00F739B5">
      <w:pPr>
        <w:spacing w:after="0" w:line="360" w:lineRule="auto"/>
        <w:rPr>
          <w:color w:val="000000"/>
        </w:rPr>
      </w:pPr>
      <w:r>
        <w:rPr>
          <w:color w:val="000000"/>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08BB6B6E" w14:textId="77777777" w:rsidR="0090658A" w:rsidRDefault="0090658A">
      <w:pPr>
        <w:spacing w:after="0" w:line="360" w:lineRule="auto"/>
        <w:rPr>
          <w:color w:val="000000"/>
        </w:rPr>
      </w:pPr>
    </w:p>
    <w:p w14:paraId="191506B9" w14:textId="77777777" w:rsidR="0090658A" w:rsidRDefault="00F739B5">
      <w:pPr>
        <w:spacing w:after="0" w:line="360" w:lineRule="auto"/>
        <w:rPr>
          <w:color w:val="000000"/>
        </w:rPr>
      </w:pPr>
      <w:r>
        <w:rPr>
          <w:color w:val="000000"/>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56AF9DAE" w14:textId="77777777" w:rsidR="0090658A" w:rsidRDefault="0090658A">
      <w:pPr>
        <w:spacing w:after="0" w:line="360" w:lineRule="auto"/>
        <w:rPr>
          <w:color w:val="000000"/>
        </w:rPr>
      </w:pPr>
    </w:p>
    <w:p w14:paraId="2A40F813" w14:textId="77777777" w:rsidR="0090658A" w:rsidRDefault="00F739B5">
      <w:pPr>
        <w:numPr>
          <w:ilvl w:val="0"/>
          <w:numId w:val="7"/>
        </w:numPr>
        <w:spacing w:after="0" w:line="360" w:lineRule="auto"/>
        <w:rPr>
          <w:color w:val="000000"/>
        </w:rPr>
      </w:pPr>
      <w:r>
        <w:rPr>
          <w:b/>
          <w:color w:val="000000"/>
        </w:rPr>
        <w:t>Dato abierto:</w:t>
      </w:r>
      <w:r>
        <w:rPr>
          <w:color w:val="000000"/>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1979BEE8" w14:textId="77777777" w:rsidR="0090658A" w:rsidRDefault="0090658A">
      <w:pPr>
        <w:spacing w:after="0" w:line="360" w:lineRule="auto"/>
        <w:rPr>
          <w:rFonts w:ascii="Calibri" w:eastAsia="Calibri" w:hAnsi="Calibri" w:cs="Calibri"/>
          <w:color w:val="000000"/>
        </w:rPr>
      </w:pPr>
    </w:p>
    <w:p w14:paraId="6E9D8120" w14:textId="77777777" w:rsidR="0090658A" w:rsidRDefault="00F739B5">
      <w:pPr>
        <w:numPr>
          <w:ilvl w:val="0"/>
          <w:numId w:val="7"/>
        </w:numPr>
        <w:spacing w:after="0" w:line="360" w:lineRule="auto"/>
        <w:rPr>
          <w:color w:val="000000"/>
        </w:rPr>
      </w:pPr>
      <w:r>
        <w:rPr>
          <w:b/>
          <w:color w:val="000000"/>
        </w:rPr>
        <w:t>Formato accesible:</w:t>
      </w:r>
      <w:r>
        <w:rPr>
          <w:color w:val="000000"/>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2B6FA755" w14:textId="77777777" w:rsidR="0090658A" w:rsidRDefault="0090658A">
      <w:pPr>
        <w:spacing w:after="0" w:line="360" w:lineRule="auto"/>
        <w:rPr>
          <w:color w:val="000000"/>
        </w:rPr>
      </w:pPr>
    </w:p>
    <w:p w14:paraId="75732159" w14:textId="77777777" w:rsidR="0090658A" w:rsidRDefault="00F739B5">
      <w:pPr>
        <w:spacing w:after="0" w:line="360" w:lineRule="auto"/>
        <w:rPr>
          <w:color w:val="000000"/>
        </w:rPr>
      </w:pPr>
      <w:r>
        <w:rPr>
          <w:color w:val="000000"/>
        </w:rPr>
        <w:t xml:space="preserve">Conforme a lo anterior, se considera que en el caso de que la información peticionada obre en ligas electrónicas, el Sujeto Obligado deberá privilegiar la entrega de estas, en datos abiertos, </w:t>
      </w:r>
      <w:r>
        <w:rPr>
          <w:color w:val="000000"/>
        </w:rPr>
        <w:lastRenderedPageBreak/>
        <w:t>es decir, en un formato que permita la accesibilidad y facilidad a los Particulares, para obtener la información contenida en estas.</w:t>
      </w:r>
    </w:p>
    <w:p w14:paraId="5CD33962" w14:textId="77777777" w:rsidR="0090658A" w:rsidRDefault="0090658A">
      <w:pPr>
        <w:spacing w:after="0" w:line="360" w:lineRule="auto"/>
        <w:rPr>
          <w:color w:val="000000"/>
        </w:rPr>
      </w:pPr>
    </w:p>
    <w:p w14:paraId="2E4D4DBA" w14:textId="77777777" w:rsidR="0090658A" w:rsidRDefault="00F739B5">
      <w:pPr>
        <w:spacing w:after="0" w:line="360" w:lineRule="auto"/>
        <w:rPr>
          <w:color w:val="000000"/>
        </w:rPr>
      </w:pPr>
      <w:r>
        <w:rPr>
          <w:color w:val="000000"/>
        </w:rPr>
        <w:t>En ese sentido,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66ABAC57" w14:textId="77777777" w:rsidR="0090658A" w:rsidRDefault="0090658A">
      <w:pPr>
        <w:spacing w:after="0" w:line="360" w:lineRule="auto"/>
        <w:rPr>
          <w:color w:val="000000"/>
        </w:rPr>
      </w:pPr>
    </w:p>
    <w:p w14:paraId="62FF624A" w14:textId="77777777" w:rsidR="0090658A" w:rsidRDefault="00F739B5">
      <w:pPr>
        <w:spacing w:after="0" w:line="360" w:lineRule="auto"/>
        <w:rPr>
          <w:color w:val="000000"/>
        </w:rPr>
      </w:pPr>
      <w:r>
        <w:rPr>
          <w:color w:val="000000"/>
        </w:rPr>
        <w:t>Como se logra observar, el Sujeto Obligado si bien señaló dos ligas electrónicas mediante oficio, omitió proporcionarla en formato abierto, lo cual implica la dificultad de acceder a la misma, tal como lo indicó la persona Solicitante, pues se traduce al hecho de que esta tendría que colocar cada dígito alfanumérico, y cuya equivocación implicaría no acceder a la información contenida en las misma; por lo que, se considera que incumplió con lo establecido en el artículo 161 de la Ley de Transparencia y Acceso a la Información Pública del Estado de México y Municipios.</w:t>
      </w:r>
    </w:p>
    <w:p w14:paraId="7A6AA52B" w14:textId="77777777" w:rsidR="0090658A" w:rsidRDefault="00F739B5">
      <w:pPr>
        <w:widowControl w:val="0"/>
        <w:spacing w:after="0" w:line="360" w:lineRule="auto"/>
        <w:rPr>
          <w:color w:val="000000"/>
        </w:rPr>
      </w:pPr>
      <w:r>
        <w:rPr>
          <w:color w:val="000000"/>
        </w:rPr>
        <w:t xml:space="preserve"> </w:t>
      </w:r>
    </w:p>
    <w:p w14:paraId="684F5F3A" w14:textId="77777777" w:rsidR="0090658A" w:rsidRDefault="00F739B5">
      <w:pPr>
        <w:widowControl w:val="0"/>
        <w:spacing w:after="0" w:line="360" w:lineRule="auto"/>
        <w:rPr>
          <w:color w:val="000000"/>
        </w:rPr>
      </w:pPr>
      <w:r>
        <w:rPr>
          <w:color w:val="000000"/>
        </w:rPr>
        <w:t>Sin menoscabar lo anterior, este Instituto accedió a las ligas proporcionadas, las cuales dan acceso a la Carátula de Presupuesto de Egresos y el Estado Analítico del Ejercicio del Presupuesto de Egresos Clasificación por Objeto del Gasto (Capítulo y Concepto), tal como se muestra a continuación:</w:t>
      </w:r>
    </w:p>
    <w:p w14:paraId="4805109B" w14:textId="77777777" w:rsidR="0090658A" w:rsidRDefault="0090658A">
      <w:pPr>
        <w:widowControl w:val="0"/>
        <w:spacing w:after="0" w:line="360" w:lineRule="auto"/>
        <w:rPr>
          <w:color w:val="000000"/>
        </w:rPr>
      </w:pPr>
    </w:p>
    <w:p w14:paraId="055AF0AA" w14:textId="77777777" w:rsidR="0090658A" w:rsidRDefault="00F739B5">
      <w:pPr>
        <w:widowControl w:val="0"/>
        <w:spacing w:after="0" w:line="360" w:lineRule="auto"/>
        <w:jc w:val="center"/>
        <w:rPr>
          <w:color w:val="000000"/>
        </w:rPr>
      </w:pPr>
      <w:r>
        <w:rPr>
          <w:noProof/>
          <w:color w:val="000000"/>
        </w:rPr>
        <w:drawing>
          <wp:inline distT="0" distB="0" distL="0" distR="0" wp14:anchorId="361E0869" wp14:editId="39357392">
            <wp:extent cx="5791835" cy="1038225"/>
            <wp:effectExtent l="0" t="0" r="0" b="0"/>
            <wp:docPr id="21026620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b="69513"/>
                    <a:stretch>
                      <a:fillRect/>
                    </a:stretch>
                  </pic:blipFill>
                  <pic:spPr>
                    <a:xfrm>
                      <a:off x="0" y="0"/>
                      <a:ext cx="5791835" cy="1038225"/>
                    </a:xfrm>
                    <a:prstGeom prst="rect">
                      <a:avLst/>
                    </a:prstGeom>
                    <a:ln/>
                  </pic:spPr>
                </pic:pic>
              </a:graphicData>
            </a:graphic>
          </wp:inline>
        </w:drawing>
      </w:r>
    </w:p>
    <w:p w14:paraId="0CCF61E2" w14:textId="77777777" w:rsidR="0090658A" w:rsidRDefault="00F739B5">
      <w:pPr>
        <w:widowControl w:val="0"/>
        <w:spacing w:after="0" w:line="360" w:lineRule="auto"/>
        <w:jc w:val="center"/>
        <w:rPr>
          <w:color w:val="000000"/>
        </w:rPr>
      </w:pPr>
      <w:r>
        <w:rPr>
          <w:noProof/>
          <w:color w:val="000000"/>
        </w:rPr>
        <w:lastRenderedPageBreak/>
        <w:drawing>
          <wp:inline distT="0" distB="0" distL="0" distR="0" wp14:anchorId="529F7032" wp14:editId="49A004EE">
            <wp:extent cx="5791835" cy="866775"/>
            <wp:effectExtent l="0" t="0" r="0" b="0"/>
            <wp:docPr id="21026620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b="79787"/>
                    <a:stretch>
                      <a:fillRect/>
                    </a:stretch>
                  </pic:blipFill>
                  <pic:spPr>
                    <a:xfrm>
                      <a:off x="0" y="0"/>
                      <a:ext cx="5791835" cy="866775"/>
                    </a:xfrm>
                    <a:prstGeom prst="rect">
                      <a:avLst/>
                    </a:prstGeom>
                    <a:ln/>
                  </pic:spPr>
                </pic:pic>
              </a:graphicData>
            </a:graphic>
          </wp:inline>
        </w:drawing>
      </w:r>
    </w:p>
    <w:p w14:paraId="0AEAD074" w14:textId="77777777" w:rsidR="0090658A" w:rsidRDefault="0090658A">
      <w:pPr>
        <w:widowControl w:val="0"/>
        <w:spacing w:after="0" w:line="360" w:lineRule="auto"/>
        <w:rPr>
          <w:color w:val="000000"/>
        </w:rPr>
      </w:pPr>
    </w:p>
    <w:p w14:paraId="6D4BB234" w14:textId="77777777" w:rsidR="0090658A" w:rsidRDefault="00F739B5">
      <w:pPr>
        <w:widowControl w:val="0"/>
        <w:spacing w:after="0" w:line="360" w:lineRule="auto"/>
        <w:rPr>
          <w:color w:val="000000"/>
        </w:rPr>
      </w:pPr>
      <w:r>
        <w:rPr>
          <w:color w:val="000000"/>
        </w:rPr>
        <w:t>Sobre el primer documento, es necesario precisar que, si bien contiene el presupuesto autorizado, no contiene la información de todas las partidas presupuestales, aunado a que no incluye la información mensual, y respecto al segundo documento, solo contiene la información al mes de septiembre, cuando se requiere la información a octubre; por lo que, dichos documentos no dan cuenta de lo peticionado, aunado al hecho de que el Recurrente no pudo acceder a los mismos, al estar en formato cerrado.</w:t>
      </w:r>
    </w:p>
    <w:p w14:paraId="0C005A59" w14:textId="77777777" w:rsidR="0090658A" w:rsidRDefault="0090658A">
      <w:pPr>
        <w:widowControl w:val="0"/>
        <w:spacing w:after="0" w:line="360" w:lineRule="auto"/>
        <w:rPr>
          <w:color w:val="000000"/>
        </w:rPr>
      </w:pPr>
    </w:p>
    <w:p w14:paraId="0496B9B7" w14:textId="77777777" w:rsidR="0090658A" w:rsidRDefault="00F739B5">
      <w:pPr>
        <w:widowControl w:val="0"/>
        <w:spacing w:after="0" w:line="360" w:lineRule="auto"/>
        <w:rPr>
          <w:color w:val="000000"/>
        </w:rPr>
      </w:pPr>
      <w:r>
        <w:rPr>
          <w:color w:val="000000"/>
        </w:rPr>
        <w:t>Finalmente, la Tesorería Municipal indicó que la información únicamente era generada de manera trimestral, lo cual resulta incorrecto; pues como se refirió en los Lineamientos para la Integración, Presentación y Envió de los Informes Trimestrales Municipales del Ejercicio Fiscal 2024, el Sujeto Obligado debe generar algunos documentos presupuestales de manera mensual, tal como se señaló previamente.</w:t>
      </w:r>
    </w:p>
    <w:p w14:paraId="255F497E" w14:textId="77777777" w:rsidR="0090658A" w:rsidRDefault="0090658A">
      <w:pPr>
        <w:widowControl w:val="0"/>
        <w:spacing w:after="0" w:line="360" w:lineRule="auto"/>
        <w:rPr>
          <w:color w:val="000000"/>
        </w:rPr>
      </w:pPr>
    </w:p>
    <w:p w14:paraId="53934076" w14:textId="77777777" w:rsidR="0090658A" w:rsidRDefault="00F739B5">
      <w:pPr>
        <w:widowControl w:val="0"/>
        <w:spacing w:after="0" w:line="360" w:lineRule="auto"/>
      </w:pPr>
      <w:r>
        <w:rPr>
          <w:color w:val="000000"/>
        </w:rPr>
        <w:t xml:space="preserve">Así, se considera que para atender el requerimiento de información, el Sujeto Obligado deberá realizar una búsqueda exhaustiva y razonable en todas la áreas competentes, entre las cuales no podrá omitir a la Tesorería Municipal, en términos del artículo 162 de la Ley de Transparencia y Acceso a la Información Pública del Estado de México y Municipios, a efecto de que proporcione el Estado Analítico del Ejercicio del Presupuesto de Egresos Clasificación por Objeto de Gasto (Capítulo y Concepto) de octubre de dos mil veinticuatro; así como, los </w:t>
      </w:r>
      <w:r>
        <w:t>Estados Comparativos Presupuestal de Egresos mensuales (de enero a octubre).</w:t>
      </w:r>
    </w:p>
    <w:p w14:paraId="531CD8F7" w14:textId="77777777" w:rsidR="0090658A" w:rsidRDefault="0090658A">
      <w:pPr>
        <w:widowControl w:val="0"/>
        <w:spacing w:after="0" w:line="360" w:lineRule="auto"/>
      </w:pPr>
    </w:p>
    <w:p w14:paraId="14BC5D5D" w14:textId="77777777" w:rsidR="0090658A" w:rsidRDefault="0090658A">
      <w:pPr>
        <w:widowControl w:val="0"/>
        <w:spacing w:after="0" w:line="360" w:lineRule="auto"/>
      </w:pPr>
    </w:p>
    <w:p w14:paraId="19568644" w14:textId="77777777" w:rsidR="0090658A" w:rsidRDefault="00F739B5">
      <w:pPr>
        <w:spacing w:after="0" w:line="360" w:lineRule="auto"/>
        <w:ind w:right="-28"/>
      </w:pPr>
      <w:r>
        <w:lastRenderedPageBreak/>
        <w:t xml:space="preserve">Lo anterior, toda vez que dichos documentos dan cuenta del presupuesto autorizado, el presupuesto ejercido de manera mensual, así como, lo que queda en cada partida por ejercer; </w:t>
      </w:r>
      <w:r>
        <w:rPr>
          <w:color w:val="000000"/>
        </w:rPr>
        <w:t>dicha</w:t>
      </w:r>
      <w:r>
        <w:t xml:space="preserve">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7698B23" w14:textId="77777777" w:rsidR="0090658A" w:rsidRDefault="0090658A">
      <w:pPr>
        <w:spacing w:after="0" w:line="360" w:lineRule="auto"/>
        <w:ind w:right="-28"/>
        <w:rPr>
          <w:color w:val="000000"/>
        </w:rPr>
      </w:pPr>
    </w:p>
    <w:p w14:paraId="170B8C8B" w14:textId="77777777" w:rsidR="0090658A" w:rsidRDefault="00F739B5">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rPr>
        <w:t>ad hoc</w:t>
      </w:r>
      <w: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311B6745" w14:textId="77777777" w:rsidR="0090658A" w:rsidRDefault="0090658A">
      <w:pPr>
        <w:spacing w:after="0" w:line="360" w:lineRule="auto"/>
      </w:pPr>
    </w:p>
    <w:p w14:paraId="03559371" w14:textId="77777777" w:rsidR="0090658A" w:rsidRDefault="00F739B5">
      <w:pPr>
        <w:spacing w:after="0" w:line="360" w:lineRule="auto"/>
        <w:ind w:right="-28"/>
        <w:rPr>
          <w:color w:val="000000"/>
        </w:rPr>
      </w:pPr>
      <w:r>
        <w:t xml:space="preserve">De tales circunstancias, se concluye que los sujetos obligados únicamente se encuentran constreñidos a proporcionar los documentos que den cuenta de la información solicitada, como obren en sus archivos, sin tener que elaborarlos a las necesidades de la persona Recurrente; por lo que, en el presente caso, deberá proporcionar los documentos señalados al dar cuenta de lo peticionado. </w:t>
      </w:r>
      <w:r>
        <w:rPr>
          <w:color w:val="000000"/>
        </w:rPr>
        <w:t>Además, este Instituto revisó los formatos analizados y advirtió que no contienen información clasificable, al ser información meramente presupuestal, por lo que, deberá entregarlos en versión íntegra.</w:t>
      </w:r>
    </w:p>
    <w:p w14:paraId="05061392" w14:textId="77777777" w:rsidR="0090658A" w:rsidRDefault="00F739B5">
      <w:pPr>
        <w:spacing w:after="0" w:line="360" w:lineRule="auto"/>
        <w:ind w:right="-93"/>
        <w:rPr>
          <w:color w:val="FF0000"/>
        </w:rPr>
      </w:pPr>
      <w:r>
        <w:rPr>
          <w:color w:val="000000"/>
        </w:rPr>
        <w:t xml:space="preserve"> </w:t>
      </w:r>
    </w:p>
    <w:p w14:paraId="55298062" w14:textId="77777777" w:rsidR="0090658A" w:rsidRDefault="0022573F">
      <w:pPr>
        <w:pStyle w:val="Ttulo2"/>
        <w:spacing w:before="0" w:line="360" w:lineRule="auto"/>
        <w:rPr>
          <w:rFonts w:ascii="Palatino Linotype" w:eastAsia="Palatino Linotype" w:hAnsi="Palatino Linotype" w:cs="Palatino Linotype"/>
          <w:b/>
          <w:color w:val="000000"/>
          <w:sz w:val="22"/>
          <w:szCs w:val="22"/>
        </w:rPr>
      </w:pPr>
      <w:bookmarkStart w:id="15" w:name="_heading=h.1ksv4uv" w:colFirst="0" w:colLast="0"/>
      <w:bookmarkEnd w:id="15"/>
      <w:r>
        <w:rPr>
          <w:rFonts w:ascii="Palatino Linotype" w:eastAsia="Palatino Linotype" w:hAnsi="Palatino Linotype" w:cs="Palatino Linotype"/>
          <w:b/>
          <w:color w:val="000000"/>
          <w:sz w:val="22"/>
          <w:szCs w:val="22"/>
        </w:rPr>
        <w:t>SEXTO. Decisión</w:t>
      </w:r>
    </w:p>
    <w:p w14:paraId="342F2038" w14:textId="77777777" w:rsidR="0090658A" w:rsidRDefault="0090658A">
      <w:pPr>
        <w:spacing w:after="0" w:line="360" w:lineRule="auto"/>
        <w:rPr>
          <w:b/>
        </w:rPr>
      </w:pPr>
    </w:p>
    <w:p w14:paraId="0EF3DE69" w14:textId="77777777" w:rsidR="0090658A" w:rsidRDefault="00F739B5">
      <w:pPr>
        <w:spacing w:after="0" w:line="360" w:lineRule="auto"/>
        <w:ind w:right="-93"/>
        <w:rPr>
          <w:color w:val="000000"/>
        </w:rPr>
      </w:pPr>
      <w:r>
        <w:t xml:space="preserve">Con fundamento en el artículo 186, fracción III, de la Ley de Transparencia y Acceso a la Información Pública del Estado de México y Municipios, este Instituto considera procedente </w:t>
      </w:r>
      <w:r>
        <w:rPr>
          <w:b/>
        </w:rPr>
        <w:lastRenderedPageBreak/>
        <w:t xml:space="preserve">REVOCAR </w:t>
      </w:r>
      <w:r>
        <w:rPr>
          <w:color w:val="000000"/>
        </w:rPr>
        <w:t>la respuesta otorgada a la solicitud de información, toda vez que el Sujeto Obligado, no proporcionó la información completa.</w:t>
      </w:r>
    </w:p>
    <w:p w14:paraId="3CA8225C" w14:textId="77777777" w:rsidR="0090658A" w:rsidRDefault="0090658A">
      <w:pPr>
        <w:spacing w:after="0" w:line="360" w:lineRule="auto"/>
      </w:pPr>
    </w:p>
    <w:p w14:paraId="193AF073" w14:textId="77777777" w:rsidR="0090658A" w:rsidRDefault="0022573F">
      <w:pPr>
        <w:spacing w:after="0" w:line="360" w:lineRule="auto"/>
        <w:rPr>
          <w:b/>
        </w:rPr>
      </w:pPr>
      <w:r>
        <w:rPr>
          <w:b/>
        </w:rPr>
        <w:t>Términos de la Resolución</w:t>
      </w:r>
    </w:p>
    <w:p w14:paraId="05273B21" w14:textId="77777777" w:rsidR="0090658A" w:rsidRDefault="0090658A">
      <w:pPr>
        <w:spacing w:after="0" w:line="360" w:lineRule="auto"/>
      </w:pPr>
    </w:p>
    <w:p w14:paraId="4D14222D" w14:textId="77777777" w:rsidR="0090658A" w:rsidRDefault="00F739B5">
      <w:pPr>
        <w:spacing w:after="0" w:line="360" w:lineRule="auto"/>
      </w:pPr>
      <w:r>
        <w:t xml:space="preserve">Se le hace del conocimiento a la Particular, que, en el presente caso, se le concede la razón, pues el Ayuntamiento de Calimaya, le proporcionó ligas de difícil acceso, aunado a que los documentos que se localizan en estas, no dan cuenta; por lo que, deberá proporcionarle los formatos presupuestales que dan cuenta de lo peticionado. </w:t>
      </w:r>
      <w:r>
        <w:rPr>
          <w:color w:val="000000"/>
        </w:rPr>
        <w:t>Finalmente, la labor del Instituto, es apoyar a la población a acceder a la información pública y garantizar la protección de los datos personales.</w:t>
      </w:r>
    </w:p>
    <w:p w14:paraId="186FF33D" w14:textId="77777777" w:rsidR="0090658A" w:rsidRDefault="0090658A">
      <w:pPr>
        <w:spacing w:after="0" w:line="360" w:lineRule="auto"/>
      </w:pPr>
    </w:p>
    <w:p w14:paraId="19D32B4D" w14:textId="77777777" w:rsidR="0090658A" w:rsidRDefault="00F739B5">
      <w:pPr>
        <w:spacing w:after="0" w:line="360" w:lineRule="auto"/>
        <w:rPr>
          <w:color w:val="000000"/>
        </w:rPr>
      </w:pPr>
      <w:r>
        <w:t>Por</w:t>
      </w:r>
      <w:r>
        <w:rPr>
          <w:color w:val="000000"/>
        </w:rPr>
        <w:t xml:space="preserve"> lo expuesto y fundado, este Pleno:</w:t>
      </w:r>
    </w:p>
    <w:p w14:paraId="5530EF08" w14:textId="77777777" w:rsidR="0090658A" w:rsidRDefault="0090658A">
      <w:pPr>
        <w:spacing w:after="0" w:line="360" w:lineRule="auto"/>
        <w:ind w:right="-28"/>
        <w:rPr>
          <w:b/>
          <w:color w:val="000000"/>
        </w:rPr>
      </w:pPr>
    </w:p>
    <w:p w14:paraId="514ED960" w14:textId="77777777" w:rsidR="0090658A" w:rsidRDefault="0022573F">
      <w:pPr>
        <w:pStyle w:val="Ttulo1"/>
        <w:spacing w:before="0" w:line="360" w:lineRule="auto"/>
        <w:jc w:val="center"/>
        <w:rPr>
          <w:rFonts w:ascii="Palatino Linotype" w:eastAsia="Palatino Linotype" w:hAnsi="Palatino Linotype" w:cs="Palatino Linotype"/>
          <w:b/>
          <w:color w:val="000000"/>
          <w:sz w:val="22"/>
          <w:szCs w:val="22"/>
        </w:rPr>
      </w:pPr>
      <w:bookmarkStart w:id="16" w:name="_heading=h.44sinio" w:colFirst="0" w:colLast="0"/>
      <w:bookmarkEnd w:id="16"/>
      <w:r>
        <w:rPr>
          <w:rFonts w:ascii="Palatino Linotype" w:eastAsia="Palatino Linotype" w:hAnsi="Palatino Linotype" w:cs="Palatino Linotype"/>
          <w:b/>
          <w:color w:val="000000"/>
          <w:sz w:val="22"/>
          <w:szCs w:val="22"/>
        </w:rPr>
        <w:t>R E S U E L V E</w:t>
      </w:r>
    </w:p>
    <w:p w14:paraId="58F61F0D" w14:textId="77777777" w:rsidR="0090658A" w:rsidRDefault="0090658A">
      <w:pPr>
        <w:spacing w:after="0" w:line="360" w:lineRule="auto"/>
        <w:ind w:right="-28"/>
        <w:jc w:val="center"/>
        <w:rPr>
          <w:b/>
          <w:color w:val="000000"/>
        </w:rPr>
      </w:pPr>
    </w:p>
    <w:p w14:paraId="75121421" w14:textId="77777777" w:rsidR="0090658A" w:rsidRDefault="00F739B5">
      <w:pPr>
        <w:spacing w:after="0" w:line="360" w:lineRule="auto"/>
      </w:pPr>
      <w:r>
        <w:rPr>
          <w:b/>
        </w:rPr>
        <w:t xml:space="preserve">PRIMERO. </w:t>
      </w:r>
      <w:r>
        <w:t xml:space="preserve">Se </w:t>
      </w:r>
      <w:r>
        <w:rPr>
          <w:b/>
        </w:rPr>
        <w:t>REVOCA</w:t>
      </w:r>
      <w:r>
        <w:t xml:space="preserve"> la respuesta entregada por el Ayuntamiento de Calimaya, a la solicitud de información 00207/CALIMAYA/IP/2024, por resultar </w:t>
      </w:r>
      <w:r>
        <w:rPr>
          <w:b/>
        </w:rPr>
        <w:t>FUNDADAS</w:t>
      </w:r>
      <w:r>
        <w:t xml:space="preserve"> las razones o motivos de inconformidad hechos valer por la Particular, en términos de los considerandos QUINTO y SEXTO de la presente Resolución.</w:t>
      </w:r>
    </w:p>
    <w:p w14:paraId="519B3118" w14:textId="77777777" w:rsidR="0090658A" w:rsidRDefault="0090658A">
      <w:pPr>
        <w:spacing w:after="0" w:line="360" w:lineRule="auto"/>
      </w:pPr>
    </w:p>
    <w:p w14:paraId="49B75057" w14:textId="77777777" w:rsidR="0090658A" w:rsidRDefault="00F739B5">
      <w:pPr>
        <w:spacing w:after="0" w:line="360" w:lineRule="auto"/>
        <w:rPr>
          <w:color w:val="000000"/>
        </w:rPr>
      </w:pPr>
      <w:r>
        <w:rPr>
          <w:b/>
        </w:rPr>
        <w:t xml:space="preserve">SEGUNDO. </w:t>
      </w:r>
      <w:r>
        <w:t xml:space="preserve">Se </w:t>
      </w:r>
      <w:r>
        <w:rPr>
          <w:b/>
        </w:rPr>
        <w:t xml:space="preserve">ORDENA </w:t>
      </w:r>
      <w:r>
        <w:t xml:space="preserve">al Ente Recurrido, a efecto de que, previa búsqueda exhaustiva y razonable en todas las unidades administrativas competentes, entregue, a través del Sistema de Acceso a la Información Mexiquense (SAIMEX), en versión íntegra, </w:t>
      </w:r>
      <w:r>
        <w:rPr>
          <w:color w:val="000000"/>
        </w:rPr>
        <w:t>lo siguiente:</w:t>
      </w:r>
    </w:p>
    <w:p w14:paraId="189205A8" w14:textId="77777777" w:rsidR="0090658A" w:rsidRDefault="0090658A">
      <w:pPr>
        <w:spacing w:after="0" w:line="360" w:lineRule="auto"/>
        <w:rPr>
          <w:color w:val="000000"/>
        </w:rPr>
      </w:pPr>
    </w:p>
    <w:p w14:paraId="34EFAEA9" w14:textId="77777777" w:rsidR="0090658A" w:rsidRDefault="00F739B5">
      <w:pPr>
        <w:numPr>
          <w:ilvl w:val="0"/>
          <w:numId w:val="1"/>
        </w:numPr>
        <w:pBdr>
          <w:top w:val="nil"/>
          <w:left w:val="nil"/>
          <w:bottom w:val="nil"/>
          <w:right w:val="nil"/>
          <w:between w:val="nil"/>
        </w:pBdr>
        <w:spacing w:after="0" w:line="360" w:lineRule="auto"/>
        <w:rPr>
          <w:color w:val="000000"/>
        </w:rPr>
      </w:pPr>
      <w:r>
        <w:rPr>
          <w:color w:val="000000"/>
        </w:rPr>
        <w:t>El Estado Analítico del Ejercicio del Presupuesto de Egresos Clasificación por objeto del Gasto (Capítulo y Concepto), de octubre de dos mil veinticuatro, y</w:t>
      </w:r>
    </w:p>
    <w:p w14:paraId="6A0C5ECF" w14:textId="77777777" w:rsidR="0090658A" w:rsidRDefault="00F739B5">
      <w:pPr>
        <w:numPr>
          <w:ilvl w:val="0"/>
          <w:numId w:val="1"/>
        </w:numPr>
        <w:pBdr>
          <w:top w:val="nil"/>
          <w:left w:val="nil"/>
          <w:bottom w:val="nil"/>
          <w:right w:val="nil"/>
          <w:between w:val="nil"/>
        </w:pBdr>
        <w:spacing w:after="0" w:line="360" w:lineRule="auto"/>
        <w:rPr>
          <w:color w:val="000000"/>
        </w:rPr>
      </w:pPr>
      <w:r>
        <w:rPr>
          <w:color w:val="000000"/>
        </w:rPr>
        <w:lastRenderedPageBreak/>
        <w:t>El Estado Comparativo Presupuestal de Egresos mensual, de enero a octubre de dos mil veinticuatro.</w:t>
      </w:r>
    </w:p>
    <w:p w14:paraId="779E2E19" w14:textId="77777777" w:rsidR="0090658A" w:rsidRDefault="0090658A">
      <w:pPr>
        <w:spacing w:after="0" w:line="360" w:lineRule="auto"/>
        <w:rPr>
          <w:b/>
        </w:rPr>
      </w:pPr>
    </w:p>
    <w:p w14:paraId="0A5B5B70" w14:textId="77777777" w:rsidR="0090658A" w:rsidRDefault="00F739B5">
      <w:pPr>
        <w:spacing w:after="0" w:line="360" w:lineRule="auto"/>
      </w:pPr>
      <w:r>
        <w:rPr>
          <w:b/>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DCF8FF5" w14:textId="77777777" w:rsidR="0090658A" w:rsidRDefault="0090658A">
      <w:pPr>
        <w:spacing w:after="0" w:line="360" w:lineRule="auto"/>
      </w:pPr>
    </w:p>
    <w:p w14:paraId="4ED293A7" w14:textId="77777777" w:rsidR="0090658A" w:rsidRDefault="00F739B5">
      <w:pPr>
        <w:spacing w:after="0" w:line="360" w:lineRule="auto"/>
      </w:pPr>
      <w:bookmarkStart w:id="17" w:name="_heading=h.2jxsxqh" w:colFirst="0" w:colLast="0"/>
      <w:bookmarkEnd w:id="17"/>
      <w:r>
        <w:t>De conformidad con el artículo 198 de la Ley de la materia, de considerarlo procedente, el Sujeto Obligado de manera fundada y motivada, podrá solicitar una ampliación de plazo para el cumplimiento de la presente Resolución.</w:t>
      </w:r>
    </w:p>
    <w:p w14:paraId="7F774C00" w14:textId="77777777" w:rsidR="0090658A" w:rsidRDefault="0090658A">
      <w:pPr>
        <w:spacing w:after="0" w:line="360" w:lineRule="auto"/>
      </w:pPr>
    </w:p>
    <w:p w14:paraId="1EAB9024" w14:textId="77777777" w:rsidR="0090658A" w:rsidRDefault="00F739B5">
      <w:pPr>
        <w:spacing w:after="0" w:line="360" w:lineRule="auto"/>
      </w:pPr>
      <w:r>
        <w:rPr>
          <w:b/>
        </w:rPr>
        <w:t>CUARTO. NOTIFÍQUESE POR SAIMEX</w:t>
      </w:r>
      <w: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6C57D89" w14:textId="77777777" w:rsidR="0090658A" w:rsidRDefault="0090658A">
      <w:pPr>
        <w:spacing w:after="0" w:line="360" w:lineRule="auto"/>
      </w:pPr>
    </w:p>
    <w:p w14:paraId="516DBD0C" w14:textId="77777777" w:rsidR="0090658A" w:rsidRDefault="00F739B5">
      <w:pPr>
        <w:spacing w:after="0" w:line="360" w:lineRule="auto"/>
      </w:pPr>
      <w:r>
        <w:t xml:space="preserve">ASÍ LO RESUELVE, POR </w:t>
      </w:r>
      <w:r>
        <w:rPr>
          <w:b/>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TERCERA SESIÓN ORDINARIA, CELEBRADA EL VEINTINUEVE DE ENERO DE DOS MIL VEINTICINCO, ANTE EL SECRETARIO TÉCNICO DEL PLENO, ALEXIS TAPIA RAMÍREZ.</w:t>
      </w:r>
    </w:p>
    <w:p w14:paraId="79FA4BC0" w14:textId="77777777" w:rsidR="0090658A" w:rsidRPr="0022573F" w:rsidRDefault="00F739B5" w:rsidP="0022573F">
      <w:pPr>
        <w:spacing w:after="0" w:line="360" w:lineRule="auto"/>
        <w:jc w:val="left"/>
        <w:rPr>
          <w:b/>
        </w:rPr>
      </w:pPr>
      <w:r>
        <w:br w:type="page"/>
      </w:r>
    </w:p>
    <w:sectPr w:rsidR="0090658A" w:rsidRPr="0022573F">
      <w:headerReference w:type="even" r:id="rId15"/>
      <w:headerReference w:type="default" r:id="rId16"/>
      <w:footerReference w:type="even" r:id="rId17"/>
      <w:footerReference w:type="default" r:id="rId18"/>
      <w:headerReference w:type="first" r:id="rId19"/>
      <w:footerReference w:type="first" r:id="rId20"/>
      <w:pgSz w:w="12240" w:h="15840"/>
      <w:pgMar w:top="1418" w:right="1418"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2BB8C" w14:textId="77777777" w:rsidR="00054E03" w:rsidRDefault="00054E03">
      <w:pPr>
        <w:spacing w:after="0" w:line="240" w:lineRule="auto"/>
      </w:pPr>
      <w:r>
        <w:separator/>
      </w:r>
    </w:p>
  </w:endnote>
  <w:endnote w:type="continuationSeparator" w:id="0">
    <w:p w14:paraId="6889BE06" w14:textId="77777777" w:rsidR="00054E03" w:rsidRDefault="00054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F6658" w14:textId="77777777" w:rsidR="0090658A" w:rsidRDefault="00F739B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95BDF">
      <w:rPr>
        <w:b/>
        <w:noProof/>
        <w:color w:val="000000"/>
        <w:sz w:val="24"/>
        <w:szCs w:val="24"/>
      </w:rPr>
      <w:t>23</w:t>
    </w:r>
    <w:r>
      <w:rPr>
        <w:b/>
        <w:color w:val="000000"/>
        <w:sz w:val="24"/>
        <w:szCs w:val="24"/>
      </w:rPr>
      <w:fldChar w:fldCharType="end"/>
    </w:r>
  </w:p>
  <w:p w14:paraId="4B161902" w14:textId="77777777" w:rsidR="0090658A" w:rsidRDefault="0090658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8AFA7" w14:textId="77777777" w:rsidR="0090658A" w:rsidRDefault="00F739B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E731C">
      <w:rPr>
        <w:b/>
        <w:noProof/>
        <w:color w:val="000000"/>
        <w:sz w:val="24"/>
        <w:szCs w:val="24"/>
      </w:rPr>
      <w:t>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E731C">
      <w:rPr>
        <w:b/>
        <w:noProof/>
        <w:color w:val="000000"/>
        <w:sz w:val="24"/>
        <w:szCs w:val="24"/>
      </w:rPr>
      <w:t>23</w:t>
    </w:r>
    <w:r>
      <w:rPr>
        <w:b/>
        <w:color w:val="000000"/>
        <w:sz w:val="24"/>
        <w:szCs w:val="24"/>
      </w:rPr>
      <w:fldChar w:fldCharType="end"/>
    </w:r>
  </w:p>
  <w:p w14:paraId="18976DE4" w14:textId="77777777" w:rsidR="0090658A" w:rsidRDefault="0090658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A7BAE" w14:textId="77777777" w:rsidR="0090658A" w:rsidRDefault="00F739B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4457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44573">
      <w:rPr>
        <w:b/>
        <w:noProof/>
        <w:color w:val="000000"/>
        <w:sz w:val="24"/>
        <w:szCs w:val="24"/>
      </w:rPr>
      <w:t>1</w:t>
    </w:r>
    <w:r>
      <w:rPr>
        <w:b/>
        <w:color w:val="000000"/>
        <w:sz w:val="24"/>
        <w:szCs w:val="24"/>
      </w:rPr>
      <w:fldChar w:fldCharType="end"/>
    </w:r>
  </w:p>
  <w:p w14:paraId="0767989B" w14:textId="77777777" w:rsidR="0090658A" w:rsidRDefault="0090658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31385" w14:textId="77777777" w:rsidR="00054E03" w:rsidRDefault="00054E03">
      <w:pPr>
        <w:spacing w:after="0" w:line="240" w:lineRule="auto"/>
      </w:pPr>
      <w:r>
        <w:separator/>
      </w:r>
    </w:p>
  </w:footnote>
  <w:footnote w:type="continuationSeparator" w:id="0">
    <w:p w14:paraId="51395392" w14:textId="77777777" w:rsidR="00054E03" w:rsidRDefault="00054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E44FF" w14:textId="77777777" w:rsidR="0090658A" w:rsidRDefault="0090658A">
    <w:pPr>
      <w:widowControl w:val="0"/>
      <w:pBdr>
        <w:top w:val="nil"/>
        <w:left w:val="nil"/>
        <w:bottom w:val="nil"/>
        <w:right w:val="nil"/>
        <w:between w:val="nil"/>
      </w:pBdr>
      <w:spacing w:after="0" w:line="276" w:lineRule="auto"/>
      <w:jc w:val="left"/>
    </w:pPr>
  </w:p>
  <w:tbl>
    <w:tblPr>
      <w:tblStyle w:val="a"/>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90658A" w14:paraId="1A71B429" w14:textId="77777777">
      <w:trPr>
        <w:trHeight w:val="141"/>
      </w:trPr>
      <w:tc>
        <w:tcPr>
          <w:tcW w:w="2404" w:type="dxa"/>
        </w:tcPr>
        <w:p w14:paraId="1AE9B87D" w14:textId="77777777" w:rsidR="0090658A" w:rsidRDefault="00F739B5">
          <w:pPr>
            <w:tabs>
              <w:tab w:val="right" w:pos="8838"/>
            </w:tabs>
            <w:ind w:right="-105"/>
            <w:rPr>
              <w:b/>
            </w:rPr>
          </w:pPr>
          <w:r>
            <w:rPr>
              <w:b/>
            </w:rPr>
            <w:t>Recurso de Revisión:</w:t>
          </w:r>
        </w:p>
      </w:tc>
      <w:tc>
        <w:tcPr>
          <w:tcW w:w="3587" w:type="dxa"/>
        </w:tcPr>
        <w:p w14:paraId="135762B0" w14:textId="77777777" w:rsidR="0090658A" w:rsidRDefault="00F739B5">
          <w:pPr>
            <w:tabs>
              <w:tab w:val="right" w:pos="8838"/>
            </w:tabs>
            <w:ind w:left="-28" w:right="683"/>
          </w:pPr>
          <w:r>
            <w:t>04196/INFOEM/IP/RR/2020</w:t>
          </w:r>
        </w:p>
      </w:tc>
    </w:tr>
    <w:tr w:rsidR="0090658A" w14:paraId="3912A0EC" w14:textId="77777777">
      <w:trPr>
        <w:trHeight w:val="276"/>
      </w:trPr>
      <w:tc>
        <w:tcPr>
          <w:tcW w:w="2404" w:type="dxa"/>
        </w:tcPr>
        <w:p w14:paraId="1719418B" w14:textId="77777777" w:rsidR="0090658A" w:rsidRDefault="00F739B5">
          <w:pPr>
            <w:tabs>
              <w:tab w:val="right" w:pos="8838"/>
            </w:tabs>
            <w:ind w:right="-105"/>
            <w:rPr>
              <w:b/>
            </w:rPr>
          </w:pPr>
          <w:r>
            <w:rPr>
              <w:b/>
            </w:rPr>
            <w:t>Sujeto Obligado:</w:t>
          </w:r>
        </w:p>
      </w:tc>
      <w:tc>
        <w:tcPr>
          <w:tcW w:w="3587" w:type="dxa"/>
        </w:tcPr>
        <w:p w14:paraId="3EF43143" w14:textId="77777777" w:rsidR="0090658A" w:rsidRDefault="00F739B5">
          <w:pPr>
            <w:tabs>
              <w:tab w:val="right" w:pos="8838"/>
            </w:tabs>
            <w:ind w:right="116"/>
          </w:pPr>
          <w:r>
            <w:t>Ayuntamiento de Chapultepec</w:t>
          </w:r>
        </w:p>
      </w:tc>
    </w:tr>
    <w:tr w:rsidR="0090658A" w14:paraId="7330A57F" w14:textId="77777777">
      <w:trPr>
        <w:trHeight w:val="276"/>
      </w:trPr>
      <w:tc>
        <w:tcPr>
          <w:tcW w:w="2404" w:type="dxa"/>
        </w:tcPr>
        <w:p w14:paraId="1AB43F73" w14:textId="77777777" w:rsidR="0090658A" w:rsidRDefault="00F739B5">
          <w:pPr>
            <w:tabs>
              <w:tab w:val="right" w:pos="8838"/>
            </w:tabs>
            <w:ind w:right="-105"/>
            <w:rPr>
              <w:b/>
            </w:rPr>
          </w:pPr>
          <w:r>
            <w:rPr>
              <w:b/>
            </w:rPr>
            <w:t>Comisionado Ponente:</w:t>
          </w:r>
        </w:p>
      </w:tc>
      <w:tc>
        <w:tcPr>
          <w:tcW w:w="3587" w:type="dxa"/>
        </w:tcPr>
        <w:p w14:paraId="0FF2DDB8" w14:textId="77777777" w:rsidR="0090658A" w:rsidRDefault="00F739B5">
          <w:pPr>
            <w:tabs>
              <w:tab w:val="right" w:pos="8838"/>
            </w:tabs>
            <w:ind w:right="-32"/>
          </w:pPr>
          <w:r>
            <w:t>Luis Gustavo Parra Noriega</w:t>
          </w:r>
        </w:p>
      </w:tc>
    </w:tr>
  </w:tbl>
  <w:p w14:paraId="2C49E82F" w14:textId="77777777" w:rsidR="0090658A"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01E0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093F6" w14:textId="77777777" w:rsidR="0090658A" w:rsidRDefault="0090658A">
    <w:pPr>
      <w:rPr>
        <w:sz w:val="18"/>
        <w:szCs w:val="18"/>
      </w:rPr>
    </w:pPr>
  </w:p>
  <w:tbl>
    <w:tblPr>
      <w:tblStyle w:val="a0"/>
      <w:tblW w:w="5811"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4"/>
      <w:gridCol w:w="3407"/>
    </w:tblGrid>
    <w:tr w:rsidR="0090658A" w14:paraId="0ADD83B7" w14:textId="77777777">
      <w:trPr>
        <w:trHeight w:val="141"/>
      </w:trPr>
      <w:tc>
        <w:tcPr>
          <w:tcW w:w="2404" w:type="dxa"/>
        </w:tcPr>
        <w:p w14:paraId="7E6927A5" w14:textId="77777777" w:rsidR="0090658A" w:rsidRDefault="00F739B5">
          <w:pPr>
            <w:tabs>
              <w:tab w:val="right" w:pos="8838"/>
            </w:tabs>
            <w:ind w:left="-395" w:right="-105" w:firstLine="395"/>
            <w:rPr>
              <w:b/>
            </w:rPr>
          </w:pPr>
          <w:r>
            <w:rPr>
              <w:b/>
            </w:rPr>
            <w:t>Recurso de Revisión:</w:t>
          </w:r>
        </w:p>
      </w:tc>
      <w:tc>
        <w:tcPr>
          <w:tcW w:w="3407" w:type="dxa"/>
        </w:tcPr>
        <w:p w14:paraId="2322D8A2" w14:textId="77777777" w:rsidR="0090658A" w:rsidRDefault="00F739B5">
          <w:pPr>
            <w:tabs>
              <w:tab w:val="right" w:pos="8838"/>
            </w:tabs>
            <w:ind w:left="-28" w:right="454"/>
          </w:pPr>
          <w:r>
            <w:t>07551/INFOEM/IP/RR/2024</w:t>
          </w:r>
        </w:p>
      </w:tc>
    </w:tr>
    <w:tr w:rsidR="0090658A" w14:paraId="3636C65C" w14:textId="77777777">
      <w:trPr>
        <w:trHeight w:val="276"/>
      </w:trPr>
      <w:tc>
        <w:tcPr>
          <w:tcW w:w="2404" w:type="dxa"/>
        </w:tcPr>
        <w:p w14:paraId="6F12B42E" w14:textId="77777777" w:rsidR="0090658A" w:rsidRDefault="00F739B5">
          <w:pPr>
            <w:tabs>
              <w:tab w:val="right" w:pos="8838"/>
            </w:tabs>
            <w:ind w:right="-105"/>
            <w:rPr>
              <w:b/>
            </w:rPr>
          </w:pPr>
          <w:r>
            <w:rPr>
              <w:b/>
            </w:rPr>
            <w:t>Sujeto Obligado:</w:t>
          </w:r>
        </w:p>
      </w:tc>
      <w:tc>
        <w:tcPr>
          <w:tcW w:w="3407" w:type="dxa"/>
        </w:tcPr>
        <w:p w14:paraId="3B974B76" w14:textId="77777777" w:rsidR="0090658A" w:rsidRDefault="00F739B5">
          <w:pPr>
            <w:tabs>
              <w:tab w:val="right" w:pos="8838"/>
            </w:tabs>
            <w:ind w:right="454"/>
          </w:pPr>
          <w:r>
            <w:t>Ayuntamiento de Calimaya</w:t>
          </w:r>
        </w:p>
      </w:tc>
    </w:tr>
    <w:tr w:rsidR="0090658A" w14:paraId="0C15E690" w14:textId="77777777">
      <w:trPr>
        <w:trHeight w:val="276"/>
      </w:trPr>
      <w:tc>
        <w:tcPr>
          <w:tcW w:w="2404" w:type="dxa"/>
        </w:tcPr>
        <w:p w14:paraId="6E647EC0" w14:textId="77777777" w:rsidR="0090658A" w:rsidRDefault="00F739B5">
          <w:pPr>
            <w:tabs>
              <w:tab w:val="right" w:pos="8838"/>
            </w:tabs>
            <w:ind w:right="-105"/>
            <w:rPr>
              <w:b/>
            </w:rPr>
          </w:pPr>
          <w:r>
            <w:rPr>
              <w:b/>
            </w:rPr>
            <w:t>Comisionado Ponente:</w:t>
          </w:r>
        </w:p>
      </w:tc>
      <w:tc>
        <w:tcPr>
          <w:tcW w:w="3407" w:type="dxa"/>
        </w:tcPr>
        <w:p w14:paraId="205F88F5" w14:textId="77777777" w:rsidR="0090658A" w:rsidRDefault="00F739B5">
          <w:pPr>
            <w:tabs>
              <w:tab w:val="right" w:pos="8838"/>
            </w:tabs>
            <w:ind w:right="454"/>
          </w:pPr>
          <w:r>
            <w:t>Luis Gustavo Parra Noriega</w:t>
          </w:r>
        </w:p>
      </w:tc>
    </w:tr>
  </w:tbl>
  <w:p w14:paraId="3F3AE7B2" w14:textId="77777777" w:rsidR="0090658A"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6AED3D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23225" w14:textId="77777777" w:rsidR="0090658A" w:rsidRDefault="0090658A">
    <w:pPr>
      <w:widowControl w:val="0"/>
      <w:pBdr>
        <w:top w:val="nil"/>
        <w:left w:val="nil"/>
        <w:bottom w:val="nil"/>
        <w:right w:val="nil"/>
        <w:between w:val="nil"/>
      </w:pBdr>
      <w:spacing w:after="0" w:line="276" w:lineRule="auto"/>
      <w:jc w:val="left"/>
      <w:rPr>
        <w:color w:val="000000"/>
      </w:rPr>
    </w:pPr>
  </w:p>
  <w:tbl>
    <w:tblPr>
      <w:tblStyle w:val="a1"/>
      <w:tblW w:w="9072" w:type="dxa"/>
      <w:tblInd w:w="0" w:type="dxa"/>
      <w:tblLayout w:type="fixed"/>
      <w:tblLook w:val="0400" w:firstRow="0" w:lastRow="0" w:firstColumn="0" w:lastColumn="0" w:noHBand="0" w:noVBand="1"/>
    </w:tblPr>
    <w:tblGrid>
      <w:gridCol w:w="2127"/>
      <w:gridCol w:w="6945"/>
    </w:tblGrid>
    <w:tr w:rsidR="0090658A" w14:paraId="2FA7BCB7" w14:textId="77777777">
      <w:trPr>
        <w:trHeight w:val="1546"/>
      </w:trPr>
      <w:tc>
        <w:tcPr>
          <w:tcW w:w="2127" w:type="dxa"/>
          <w:shd w:val="clear" w:color="auto" w:fill="auto"/>
        </w:tcPr>
        <w:p w14:paraId="782A8DEE" w14:textId="77777777" w:rsidR="0090658A" w:rsidRDefault="0090658A">
          <w:pPr>
            <w:tabs>
              <w:tab w:val="right" w:pos="4273"/>
            </w:tabs>
            <w:rPr>
              <w:rFonts w:ascii="Garamond" w:eastAsia="Garamond" w:hAnsi="Garamond" w:cs="Garamond"/>
              <w:sz w:val="16"/>
              <w:szCs w:val="16"/>
            </w:rPr>
          </w:pPr>
        </w:p>
      </w:tc>
      <w:tc>
        <w:tcPr>
          <w:tcW w:w="6945" w:type="dxa"/>
          <w:shd w:val="clear" w:color="auto" w:fill="auto"/>
        </w:tcPr>
        <w:p w14:paraId="1393D129" w14:textId="77777777" w:rsidR="0090658A" w:rsidRDefault="0090658A">
          <w:pPr>
            <w:widowControl w:val="0"/>
            <w:pBdr>
              <w:top w:val="nil"/>
              <w:left w:val="nil"/>
              <w:bottom w:val="nil"/>
              <w:right w:val="nil"/>
              <w:between w:val="nil"/>
            </w:pBdr>
            <w:spacing w:after="0" w:line="276" w:lineRule="auto"/>
            <w:jc w:val="left"/>
            <w:rPr>
              <w:rFonts w:ascii="Garamond" w:eastAsia="Garamond" w:hAnsi="Garamond" w:cs="Garamond"/>
              <w:sz w:val="16"/>
              <w:szCs w:val="16"/>
            </w:rPr>
          </w:pPr>
        </w:p>
        <w:tbl>
          <w:tblPr>
            <w:tblStyle w:val="a2"/>
            <w:tblW w:w="6237" w:type="dxa"/>
            <w:tblInd w:w="1026" w:type="dxa"/>
            <w:tblBorders>
              <w:top w:val="nil"/>
              <w:left w:val="nil"/>
              <w:bottom w:val="nil"/>
              <w:right w:val="nil"/>
              <w:insideH w:val="nil"/>
              <w:insideV w:val="nil"/>
            </w:tblBorders>
            <w:tblLayout w:type="fixed"/>
            <w:tblLook w:val="0400" w:firstRow="0" w:lastRow="0" w:firstColumn="0" w:lastColumn="0" w:noHBand="0" w:noVBand="1"/>
          </w:tblPr>
          <w:tblGrid>
            <w:gridCol w:w="2404"/>
            <w:gridCol w:w="3833"/>
          </w:tblGrid>
          <w:tr w:rsidR="0090658A" w14:paraId="306A1BD7" w14:textId="77777777">
            <w:trPr>
              <w:trHeight w:val="141"/>
            </w:trPr>
            <w:tc>
              <w:tcPr>
                <w:tcW w:w="2404" w:type="dxa"/>
                <w:vAlign w:val="bottom"/>
              </w:tcPr>
              <w:p w14:paraId="28CBC260" w14:textId="77777777" w:rsidR="0090658A" w:rsidRDefault="00F739B5">
                <w:pPr>
                  <w:tabs>
                    <w:tab w:val="right" w:pos="8838"/>
                  </w:tabs>
                  <w:ind w:right="-105"/>
                  <w:rPr>
                    <w:b/>
                  </w:rPr>
                </w:pPr>
                <w:r>
                  <w:rPr>
                    <w:b/>
                  </w:rPr>
                  <w:t>Recurso de Revisión:</w:t>
                </w:r>
              </w:p>
            </w:tc>
            <w:tc>
              <w:tcPr>
                <w:tcW w:w="3833" w:type="dxa"/>
              </w:tcPr>
              <w:p w14:paraId="2BECA45C" w14:textId="77777777" w:rsidR="0090658A" w:rsidRDefault="00F739B5">
                <w:pPr>
                  <w:tabs>
                    <w:tab w:val="right" w:pos="8838"/>
                  </w:tabs>
                  <w:ind w:left="-28" w:right="-107"/>
                </w:pPr>
                <w:r>
                  <w:t>07551/INFOEM/IP/RR/2024</w:t>
                </w:r>
              </w:p>
            </w:tc>
          </w:tr>
          <w:tr w:rsidR="0090658A" w14:paraId="3C8AFDC6" w14:textId="77777777">
            <w:trPr>
              <w:trHeight w:val="141"/>
            </w:trPr>
            <w:tc>
              <w:tcPr>
                <w:tcW w:w="2404" w:type="dxa"/>
              </w:tcPr>
              <w:p w14:paraId="71BAC658" w14:textId="77777777" w:rsidR="0090658A" w:rsidRDefault="00F739B5">
                <w:pPr>
                  <w:tabs>
                    <w:tab w:val="right" w:pos="8838"/>
                  </w:tabs>
                  <w:ind w:right="-105"/>
                  <w:rPr>
                    <w:b/>
                  </w:rPr>
                </w:pPr>
                <w:r>
                  <w:rPr>
                    <w:b/>
                  </w:rPr>
                  <w:t>Recurrente:</w:t>
                </w:r>
              </w:p>
            </w:tc>
            <w:tc>
              <w:tcPr>
                <w:tcW w:w="3833" w:type="dxa"/>
              </w:tcPr>
              <w:p w14:paraId="25580380" w14:textId="77777777" w:rsidR="0090658A" w:rsidRDefault="00DE731C">
                <w:pPr>
                  <w:tabs>
                    <w:tab w:val="left" w:pos="3272"/>
                    <w:tab w:val="right" w:pos="8838"/>
                  </w:tabs>
                  <w:ind w:right="-107"/>
                </w:pPr>
                <w:r w:rsidRPr="00DE731C">
                  <w:rPr>
                    <w:highlight w:val="black"/>
                  </w:rPr>
                  <w:t>XXXXXXXXXXXXXXXXXXXXX</w:t>
                </w:r>
              </w:p>
            </w:tc>
          </w:tr>
          <w:tr w:rsidR="0090658A" w14:paraId="58897575" w14:textId="77777777">
            <w:trPr>
              <w:trHeight w:val="276"/>
            </w:trPr>
            <w:tc>
              <w:tcPr>
                <w:tcW w:w="2404" w:type="dxa"/>
              </w:tcPr>
              <w:p w14:paraId="3B365837" w14:textId="77777777" w:rsidR="0090658A" w:rsidRDefault="00F739B5">
                <w:pPr>
                  <w:tabs>
                    <w:tab w:val="right" w:pos="8838"/>
                  </w:tabs>
                  <w:ind w:right="-105"/>
                  <w:rPr>
                    <w:b/>
                  </w:rPr>
                </w:pPr>
                <w:r>
                  <w:rPr>
                    <w:b/>
                  </w:rPr>
                  <w:t>Sujeto Obligado:</w:t>
                </w:r>
              </w:p>
            </w:tc>
            <w:tc>
              <w:tcPr>
                <w:tcW w:w="3833" w:type="dxa"/>
              </w:tcPr>
              <w:p w14:paraId="2EE3142B" w14:textId="77777777" w:rsidR="0090658A" w:rsidRDefault="00F739B5">
                <w:pPr>
                  <w:tabs>
                    <w:tab w:val="right" w:pos="8838"/>
                  </w:tabs>
                  <w:ind w:right="-107"/>
                </w:pPr>
                <w:r>
                  <w:t>Ayuntamiento de Calimaya</w:t>
                </w:r>
              </w:p>
            </w:tc>
          </w:tr>
          <w:tr w:rsidR="0090658A" w14:paraId="56C2828B" w14:textId="77777777">
            <w:trPr>
              <w:trHeight w:val="276"/>
            </w:trPr>
            <w:tc>
              <w:tcPr>
                <w:tcW w:w="2404" w:type="dxa"/>
              </w:tcPr>
              <w:p w14:paraId="2C6C006B" w14:textId="77777777" w:rsidR="0090658A" w:rsidRDefault="00F739B5">
                <w:pPr>
                  <w:tabs>
                    <w:tab w:val="right" w:pos="8838"/>
                  </w:tabs>
                  <w:ind w:right="-105"/>
                  <w:rPr>
                    <w:b/>
                  </w:rPr>
                </w:pPr>
                <w:r>
                  <w:rPr>
                    <w:b/>
                  </w:rPr>
                  <w:t>Comisionado Ponente:</w:t>
                </w:r>
              </w:p>
            </w:tc>
            <w:tc>
              <w:tcPr>
                <w:tcW w:w="3833" w:type="dxa"/>
              </w:tcPr>
              <w:p w14:paraId="4658C676" w14:textId="77777777" w:rsidR="0090658A" w:rsidRDefault="00F739B5">
                <w:pPr>
                  <w:tabs>
                    <w:tab w:val="right" w:pos="8838"/>
                  </w:tabs>
                  <w:ind w:right="-107"/>
                </w:pPr>
                <w:r>
                  <w:t>Luis Gustavo Parra Noriega</w:t>
                </w:r>
              </w:p>
            </w:tc>
          </w:tr>
        </w:tbl>
        <w:p w14:paraId="7F16FAFD" w14:textId="77777777" w:rsidR="0090658A" w:rsidRDefault="0090658A">
          <w:pPr>
            <w:tabs>
              <w:tab w:val="right" w:pos="8838"/>
            </w:tabs>
            <w:ind w:left="-28"/>
            <w:rPr>
              <w:rFonts w:ascii="Arial" w:eastAsia="Arial" w:hAnsi="Arial" w:cs="Arial"/>
              <w:b/>
            </w:rPr>
          </w:pPr>
        </w:p>
      </w:tc>
    </w:tr>
  </w:tbl>
  <w:p w14:paraId="50FF753F" w14:textId="77777777" w:rsidR="0090658A"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2A570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A38B1"/>
    <w:multiLevelType w:val="multilevel"/>
    <w:tmpl w:val="14CE9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554796"/>
    <w:multiLevelType w:val="multilevel"/>
    <w:tmpl w:val="35628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01622A"/>
    <w:multiLevelType w:val="multilevel"/>
    <w:tmpl w:val="5A166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F052A4"/>
    <w:multiLevelType w:val="multilevel"/>
    <w:tmpl w:val="4D787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553DC4"/>
    <w:multiLevelType w:val="multilevel"/>
    <w:tmpl w:val="B4FCB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BB127CD"/>
    <w:multiLevelType w:val="multilevel"/>
    <w:tmpl w:val="2F8A4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E624A5"/>
    <w:multiLevelType w:val="multilevel"/>
    <w:tmpl w:val="16A88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0737281">
    <w:abstractNumId w:val="1"/>
  </w:num>
  <w:num w:numId="2" w16cid:durableId="831529522">
    <w:abstractNumId w:val="0"/>
  </w:num>
  <w:num w:numId="3" w16cid:durableId="1855027724">
    <w:abstractNumId w:val="4"/>
  </w:num>
  <w:num w:numId="4" w16cid:durableId="2092845725">
    <w:abstractNumId w:val="6"/>
  </w:num>
  <w:num w:numId="5" w16cid:durableId="1007487016">
    <w:abstractNumId w:val="5"/>
  </w:num>
  <w:num w:numId="6" w16cid:durableId="1525512835">
    <w:abstractNumId w:val="2"/>
  </w:num>
  <w:num w:numId="7" w16cid:durableId="11139864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58A"/>
    <w:rsid w:val="00054E03"/>
    <w:rsid w:val="00144573"/>
    <w:rsid w:val="0022573F"/>
    <w:rsid w:val="00736B2F"/>
    <w:rsid w:val="007C2305"/>
    <w:rsid w:val="007D72AB"/>
    <w:rsid w:val="00895BDF"/>
    <w:rsid w:val="0090658A"/>
    <w:rsid w:val="00D1464A"/>
    <w:rsid w:val="00DE731C"/>
    <w:rsid w:val="00F739B5"/>
    <w:rsid w:val="00F73F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C16EF"/>
  <w15:docId w15:val="{FC81CF2A-975B-4717-8416-C54D57BD4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B0E"/>
    <w:rPr>
      <w:color w:val="000000" w:themeColor="text1"/>
    </w:rPr>
  </w:style>
  <w:style w:type="paragraph" w:styleId="Ttulo1">
    <w:name w:val="heading 1"/>
    <w:basedOn w:val="Normal"/>
    <w:next w:val="Normal"/>
    <w:link w:val="Ttulo1Car"/>
    <w:uiPriority w:val="9"/>
    <w:qFormat/>
    <w:rsid w:val="00D526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526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F07CD6"/>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07CD6"/>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Mencinsinresolver2">
    <w:name w:val="Mención sin resolver2"/>
    <w:basedOn w:val="Fuentedeprrafopredeter"/>
    <w:uiPriority w:val="99"/>
    <w:semiHidden/>
    <w:unhideWhenUsed/>
    <w:rsid w:val="00FE2C2C"/>
    <w:rPr>
      <w:color w:val="605E5C"/>
      <w:shd w:val="clear" w:color="auto" w:fill="E1DFDD"/>
    </w:rPr>
  </w:style>
  <w:style w:type="character" w:customStyle="1" w:styleId="Ttulo1Car">
    <w:name w:val="Título 1 Car"/>
    <w:basedOn w:val="Fuentedeprrafopredeter"/>
    <w:link w:val="Ttulo1"/>
    <w:uiPriority w:val="9"/>
    <w:rsid w:val="00D526F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D526FB"/>
    <w:pPr>
      <w:jc w:val="left"/>
      <w:outlineLvl w:val="9"/>
    </w:pPr>
  </w:style>
  <w:style w:type="paragraph" w:styleId="TDC1">
    <w:name w:val="toc 1"/>
    <w:basedOn w:val="Normal"/>
    <w:next w:val="Normal"/>
    <w:autoRedefine/>
    <w:uiPriority w:val="39"/>
    <w:unhideWhenUsed/>
    <w:rsid w:val="00DF6D0F"/>
    <w:pPr>
      <w:tabs>
        <w:tab w:val="right" w:leader="dot" w:pos="9072"/>
      </w:tabs>
      <w:spacing w:after="100" w:line="360" w:lineRule="auto"/>
    </w:pPr>
    <w:rPr>
      <w:rFonts w:ascii="Times New Roman" w:eastAsia="Times New Roman" w:hAnsi="Times New Roman" w:cs="Times New Roman"/>
      <w:color w:val="auto"/>
      <w:sz w:val="20"/>
      <w:szCs w:val="20"/>
      <w:lang w:eastAsia="es-ES"/>
    </w:rPr>
  </w:style>
  <w:style w:type="paragraph" w:styleId="TDC2">
    <w:name w:val="toc 2"/>
    <w:basedOn w:val="Normal"/>
    <w:next w:val="Normal"/>
    <w:autoRedefine/>
    <w:uiPriority w:val="39"/>
    <w:unhideWhenUsed/>
    <w:rsid w:val="00AF552E"/>
    <w:pPr>
      <w:tabs>
        <w:tab w:val="right" w:leader="dot" w:pos="9111"/>
      </w:tabs>
      <w:spacing w:after="0" w:line="360" w:lineRule="auto"/>
      <w:ind w:left="200"/>
    </w:pPr>
    <w:rPr>
      <w:rFonts w:ascii="Times New Roman" w:eastAsia="Times New Roman" w:hAnsi="Times New Roman" w:cs="Times New Roman"/>
      <w:color w:val="auto"/>
      <w:sz w:val="20"/>
      <w:szCs w:val="20"/>
      <w:lang w:eastAsia="es-ES"/>
    </w:rPr>
  </w:style>
  <w:style w:type="character" w:customStyle="1" w:styleId="Ttulo2Car">
    <w:name w:val="Título 2 Car"/>
    <w:basedOn w:val="Fuentedeprrafopredeter"/>
    <w:link w:val="Ttulo2"/>
    <w:uiPriority w:val="9"/>
    <w:rsid w:val="00D526FB"/>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8.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A6Id2XZyz2PEPhGwzt0hKTu4iQ==">CgMxLjAyCGguZ2pkZ3hzMgloLjMwajB6bGwyCWguMWZvYjl0ZTIJaC4zem55c2g3MgloLjJldDkycDAyCGgudHlqY3d0MgloLjNkeTZ2a20yCWguMXQzaDVzZjIJaC40ZDM0b2c4MgloLjJzOGV5bzEyCWguMTdkcDh2dTIJaC4zcmRjcmpuMgloLjI2aW4xcmcyCGgubG54Yno5MgloLjM1bmt1bjIyCWguMWtzdjR1djIJaC40NHNpbmlvMgloLjJqeHN4cWg4AHIhMTh0ZGstWlE3NURCbUR5Y09pWEp4TDE3Mm5fX0N1TlF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5486</Words>
  <Characters>30177</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HECTOR FABIAN ORDOÑEZ GARCIA</cp:lastModifiedBy>
  <cp:revision>5</cp:revision>
  <cp:lastPrinted>2025-01-31T16:10:00Z</cp:lastPrinted>
  <dcterms:created xsi:type="dcterms:W3CDTF">2025-01-31T16:10:00Z</dcterms:created>
  <dcterms:modified xsi:type="dcterms:W3CDTF">2025-02-19T18:28:00Z</dcterms:modified>
</cp:coreProperties>
</file>