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5E" w:rsidRPr="00260660" w:rsidRDefault="00184121" w:rsidP="00260660">
      <w:pPr>
        <w:tabs>
          <w:tab w:val="left" w:pos="567"/>
        </w:tabs>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260660">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F45059">
        <w:rPr>
          <w:rFonts w:ascii="Palatino Linotype" w:eastAsia="Palatino Linotype" w:hAnsi="Palatino Linotype" w:cs="Palatino Linotype"/>
          <w:b/>
          <w:color w:val="000000" w:themeColor="text1"/>
          <w:sz w:val="24"/>
          <w:szCs w:val="24"/>
        </w:rPr>
        <w:t xml:space="preserve">de fecha veintidós </w:t>
      </w:r>
      <w:r w:rsidR="00765F6C">
        <w:rPr>
          <w:rFonts w:ascii="Palatino Linotype" w:eastAsia="Palatino Linotype" w:hAnsi="Palatino Linotype" w:cs="Palatino Linotype"/>
          <w:b/>
          <w:color w:val="000000" w:themeColor="text1"/>
          <w:sz w:val="24"/>
          <w:szCs w:val="24"/>
        </w:rPr>
        <w:t xml:space="preserve">(22) </w:t>
      </w:r>
      <w:r w:rsidRPr="00F45059">
        <w:rPr>
          <w:rFonts w:ascii="Palatino Linotype" w:eastAsia="Palatino Linotype" w:hAnsi="Palatino Linotype" w:cs="Palatino Linotype"/>
          <w:b/>
          <w:color w:val="000000" w:themeColor="text1"/>
          <w:sz w:val="24"/>
          <w:szCs w:val="24"/>
        </w:rPr>
        <w:t>de octubre de dos mil veinticinco</w:t>
      </w:r>
      <w:r w:rsidRPr="00260660">
        <w:rPr>
          <w:rFonts w:ascii="Palatino Linotype" w:eastAsia="Palatino Linotype" w:hAnsi="Palatino Linotype" w:cs="Palatino Linotype"/>
          <w:color w:val="000000" w:themeColor="text1"/>
          <w:sz w:val="24"/>
          <w:szCs w:val="24"/>
        </w:rPr>
        <w:t>.</w:t>
      </w:r>
    </w:p>
    <w:p w:rsidR="0097415E" w:rsidRPr="00260660" w:rsidRDefault="0097415E" w:rsidP="00260660">
      <w:pPr>
        <w:tabs>
          <w:tab w:val="left" w:pos="567"/>
        </w:tabs>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VISTOS</w:t>
      </w:r>
      <w:r w:rsidRPr="00260660">
        <w:rPr>
          <w:rFonts w:ascii="Palatino Linotype" w:eastAsia="Palatino Linotype" w:hAnsi="Palatino Linotype" w:cs="Palatino Linotype"/>
          <w:color w:val="000000" w:themeColor="text1"/>
          <w:sz w:val="24"/>
          <w:szCs w:val="24"/>
        </w:rPr>
        <w:t xml:space="preserve"> los expedientes electrónicos formados con motivo de los recursos de revisión </w:t>
      </w:r>
      <w:r w:rsidRPr="00260660">
        <w:rPr>
          <w:rFonts w:ascii="Palatino Linotype" w:eastAsia="Palatino Linotype" w:hAnsi="Palatino Linotype" w:cs="Palatino Linotype"/>
          <w:b/>
          <w:color w:val="000000" w:themeColor="text1"/>
          <w:sz w:val="24"/>
          <w:szCs w:val="24"/>
        </w:rPr>
        <w:t>04098/INFOEM/</w:t>
      </w:r>
      <w:r w:rsidR="00F45059">
        <w:rPr>
          <w:rFonts w:ascii="Palatino Linotype" w:eastAsia="Palatino Linotype" w:hAnsi="Palatino Linotype" w:cs="Palatino Linotype"/>
          <w:b/>
          <w:color w:val="000000" w:themeColor="text1"/>
          <w:sz w:val="24"/>
          <w:szCs w:val="24"/>
        </w:rPr>
        <w:t>ICR-115/</w:t>
      </w:r>
      <w:r w:rsidRPr="00260660">
        <w:rPr>
          <w:rFonts w:ascii="Palatino Linotype" w:eastAsia="Palatino Linotype" w:hAnsi="Palatino Linotype" w:cs="Palatino Linotype"/>
          <w:b/>
          <w:color w:val="000000" w:themeColor="text1"/>
          <w:sz w:val="24"/>
          <w:szCs w:val="24"/>
        </w:rPr>
        <w:t>IP/RR/2025</w:t>
      </w:r>
      <w:r w:rsidRPr="00260660">
        <w:rPr>
          <w:rFonts w:ascii="Palatino Linotype" w:eastAsia="Palatino Linotype" w:hAnsi="Palatino Linotype" w:cs="Palatino Linotype"/>
          <w:color w:val="000000" w:themeColor="text1"/>
          <w:sz w:val="24"/>
          <w:szCs w:val="24"/>
        </w:rPr>
        <w:t xml:space="preserve"> y</w:t>
      </w:r>
      <w:r w:rsidRPr="00260660">
        <w:rPr>
          <w:rFonts w:ascii="Palatino Linotype" w:eastAsia="Palatino Linotype" w:hAnsi="Palatino Linotype" w:cs="Palatino Linotype"/>
          <w:b/>
          <w:color w:val="000000" w:themeColor="text1"/>
          <w:sz w:val="24"/>
          <w:szCs w:val="24"/>
        </w:rPr>
        <w:t> </w:t>
      </w:r>
      <w:r w:rsidR="00F45059">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b/>
          <w:color w:val="000000" w:themeColor="text1"/>
          <w:sz w:val="24"/>
          <w:szCs w:val="24"/>
        </w:rPr>
        <w:t>04099/INFOEM/</w:t>
      </w:r>
      <w:r w:rsidR="00F45059">
        <w:rPr>
          <w:rFonts w:ascii="Palatino Linotype" w:eastAsia="Palatino Linotype" w:hAnsi="Palatino Linotype" w:cs="Palatino Linotype"/>
          <w:b/>
          <w:color w:val="000000" w:themeColor="text1"/>
          <w:sz w:val="24"/>
          <w:szCs w:val="24"/>
        </w:rPr>
        <w:t>ICR-114/</w:t>
      </w:r>
      <w:r w:rsidRPr="00260660">
        <w:rPr>
          <w:rFonts w:ascii="Palatino Linotype" w:eastAsia="Palatino Linotype" w:hAnsi="Palatino Linotype" w:cs="Palatino Linotype"/>
          <w:b/>
          <w:color w:val="000000" w:themeColor="text1"/>
          <w:sz w:val="24"/>
          <w:szCs w:val="24"/>
        </w:rPr>
        <w:t xml:space="preserve">IP/RR/2025, </w:t>
      </w:r>
      <w:r w:rsidRPr="00260660">
        <w:rPr>
          <w:rFonts w:ascii="Palatino Linotype" w:eastAsia="Palatino Linotype" w:hAnsi="Palatino Linotype" w:cs="Palatino Linotype"/>
          <w:color w:val="000000" w:themeColor="text1"/>
          <w:sz w:val="24"/>
          <w:szCs w:val="24"/>
        </w:rPr>
        <w:t xml:space="preserve">promovidos por </w:t>
      </w:r>
      <w:r w:rsidR="009E35A4">
        <w:rPr>
          <w:rFonts w:ascii="Palatino Linotype" w:eastAsia="Palatino Linotype" w:hAnsi="Palatino Linotype" w:cs="Palatino Linotype"/>
          <w:b/>
          <w:color w:val="000000" w:themeColor="text1"/>
          <w:sz w:val="24"/>
          <w:szCs w:val="24"/>
        </w:rPr>
        <w:t>XXXX</w:t>
      </w:r>
      <w:r w:rsidRPr="00260660">
        <w:rPr>
          <w:rFonts w:ascii="Palatino Linotype" w:eastAsia="Palatino Linotype" w:hAnsi="Palatino Linotype" w:cs="Palatino Linotype"/>
          <w:color w:val="000000" w:themeColor="text1"/>
          <w:sz w:val="24"/>
          <w:szCs w:val="24"/>
        </w:rPr>
        <w:t xml:space="preserve"> a quien en lo sucesivo se le identificará como </w:t>
      </w:r>
      <w:r w:rsidRPr="00260660">
        <w:rPr>
          <w:rFonts w:ascii="Palatino Linotype" w:eastAsia="Palatino Linotype" w:hAnsi="Palatino Linotype" w:cs="Palatino Linotype"/>
          <w:b/>
          <w:color w:val="000000" w:themeColor="text1"/>
          <w:sz w:val="24"/>
          <w:szCs w:val="24"/>
        </w:rPr>
        <w:t>EL RECURRENTE</w:t>
      </w:r>
      <w:r w:rsidRPr="00260660">
        <w:rPr>
          <w:rFonts w:ascii="Palatino Linotype" w:eastAsia="Palatino Linotype" w:hAnsi="Palatino Linotype" w:cs="Palatino Linotype"/>
          <w:color w:val="000000" w:themeColor="text1"/>
          <w:sz w:val="24"/>
          <w:szCs w:val="24"/>
        </w:rPr>
        <w:t xml:space="preserve">, en contra de la respuesta del </w:t>
      </w:r>
      <w:r w:rsidRPr="00260660">
        <w:rPr>
          <w:rFonts w:ascii="Palatino Linotype" w:eastAsia="Palatino Linotype" w:hAnsi="Palatino Linotype" w:cs="Palatino Linotype"/>
          <w:b/>
          <w:color w:val="000000" w:themeColor="text1"/>
          <w:sz w:val="24"/>
          <w:szCs w:val="24"/>
        </w:rPr>
        <w:t xml:space="preserve">Ayuntamiento de Tultepec, </w:t>
      </w:r>
      <w:r w:rsidRPr="00260660">
        <w:rPr>
          <w:rFonts w:ascii="Palatino Linotype" w:eastAsia="Palatino Linotype" w:hAnsi="Palatino Linotype" w:cs="Palatino Linotype"/>
          <w:color w:val="000000" w:themeColor="text1"/>
          <w:sz w:val="24"/>
          <w:szCs w:val="24"/>
        </w:rPr>
        <w:t>en adelante el</w:t>
      </w:r>
      <w:r w:rsidRPr="00260660">
        <w:rPr>
          <w:rFonts w:ascii="Palatino Linotype" w:eastAsia="Palatino Linotype" w:hAnsi="Palatino Linotype" w:cs="Palatino Linotype"/>
          <w:b/>
          <w:color w:val="000000" w:themeColor="text1"/>
          <w:sz w:val="24"/>
          <w:szCs w:val="24"/>
        </w:rPr>
        <w:t xml:space="preserve"> SUJETO OBLIGADO</w:t>
      </w:r>
      <w:r w:rsidRPr="00260660">
        <w:rPr>
          <w:rFonts w:ascii="Palatino Linotype" w:eastAsia="Palatino Linotype" w:hAnsi="Palatino Linotype" w:cs="Palatino Linotype"/>
          <w:color w:val="000000" w:themeColor="text1"/>
          <w:sz w:val="24"/>
          <w:szCs w:val="24"/>
        </w:rPr>
        <w:t>, se procede a dictar la presente Resolución, con base en los siguientes:</w:t>
      </w:r>
    </w:p>
    <w:p w:rsidR="0097415E" w:rsidRPr="00260660" w:rsidRDefault="0097415E" w:rsidP="00260660">
      <w:pP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Style w:val="Ttulo1"/>
        <w:tabs>
          <w:tab w:val="left" w:pos="567"/>
        </w:tabs>
        <w:spacing w:before="0"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A N T E C E D E N T E S</w:t>
      </w: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SOLICITUD: </w:t>
      </w: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doce y trece de marzo de dos mil veinticinco, </w:t>
      </w:r>
      <w:r w:rsidRPr="00260660">
        <w:rPr>
          <w:rFonts w:ascii="Palatino Linotype" w:eastAsia="Palatino Linotype" w:hAnsi="Palatino Linotype" w:cs="Palatino Linotype"/>
          <w:color w:val="000000" w:themeColor="text1"/>
          <w:sz w:val="24"/>
          <w:szCs w:val="24"/>
        </w:rPr>
        <w:t xml:space="preserve">se presentaron ante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vía SAIMEX, las solicitudes de información públicas registradas con los números</w:t>
      </w:r>
      <w:r w:rsidRPr="00260660">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b/>
          <w:i/>
          <w:color w:val="000000" w:themeColor="text1"/>
          <w:sz w:val="24"/>
          <w:szCs w:val="24"/>
        </w:rPr>
        <w:t xml:space="preserve">00058/TULTEPEC/IP/2025 </w:t>
      </w:r>
      <w:r w:rsidRPr="00260660">
        <w:rPr>
          <w:rFonts w:ascii="Palatino Linotype" w:eastAsia="Palatino Linotype" w:hAnsi="Palatino Linotype" w:cs="Palatino Linotype"/>
          <w:color w:val="000000" w:themeColor="text1"/>
          <w:sz w:val="24"/>
          <w:szCs w:val="24"/>
        </w:rPr>
        <w:t>y</w:t>
      </w:r>
      <w:r w:rsidRPr="00260660">
        <w:rPr>
          <w:rFonts w:ascii="Palatino Linotype" w:eastAsia="Palatino Linotype" w:hAnsi="Palatino Linotype" w:cs="Palatino Linotype"/>
          <w:b/>
          <w:i/>
          <w:color w:val="000000" w:themeColor="text1"/>
          <w:sz w:val="24"/>
          <w:szCs w:val="24"/>
        </w:rPr>
        <w:t xml:space="preserve"> 0005</w:t>
      </w:r>
      <w:r w:rsidR="00F45059">
        <w:rPr>
          <w:rFonts w:ascii="Palatino Linotype" w:eastAsia="Palatino Linotype" w:hAnsi="Palatino Linotype" w:cs="Palatino Linotype"/>
          <w:b/>
          <w:i/>
          <w:color w:val="000000" w:themeColor="text1"/>
          <w:sz w:val="24"/>
          <w:szCs w:val="24"/>
        </w:rPr>
        <w:t>9</w:t>
      </w:r>
      <w:r w:rsidRPr="00260660">
        <w:rPr>
          <w:rFonts w:ascii="Palatino Linotype" w:eastAsia="Palatino Linotype" w:hAnsi="Palatino Linotype" w:cs="Palatino Linotype"/>
          <w:b/>
          <w:i/>
          <w:color w:val="000000" w:themeColor="text1"/>
          <w:sz w:val="24"/>
          <w:szCs w:val="24"/>
        </w:rPr>
        <w:t>/TULTEPEC/IP/2025</w:t>
      </w:r>
      <w:r w:rsidRPr="00260660">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en la</w:t>
      </w:r>
      <w:r w:rsidR="00765F6C">
        <w:rPr>
          <w:rFonts w:ascii="Palatino Linotype" w:eastAsia="Palatino Linotype" w:hAnsi="Palatino Linotype" w:cs="Palatino Linotype"/>
          <w:color w:val="000000" w:themeColor="text1"/>
          <w:sz w:val="24"/>
          <w:szCs w:val="24"/>
        </w:rPr>
        <w:t>s</w:t>
      </w:r>
      <w:r w:rsidRPr="00260660">
        <w:rPr>
          <w:rFonts w:ascii="Palatino Linotype" w:eastAsia="Palatino Linotype" w:hAnsi="Palatino Linotype" w:cs="Palatino Linotype"/>
          <w:color w:val="000000" w:themeColor="text1"/>
          <w:sz w:val="24"/>
          <w:szCs w:val="24"/>
        </w:rPr>
        <w:t xml:space="preserve"> que se solicitó la siguiente información:</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9"/>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6897"/>
      </w:tblGrid>
      <w:tr w:rsidR="00260660" w:rsidRPr="00260660" w:rsidTr="00765F6C">
        <w:tc>
          <w:tcPr>
            <w:tcW w:w="9918" w:type="dxa"/>
            <w:gridSpan w:val="2"/>
            <w:shd w:val="clear" w:color="auto" w:fill="E7E6E6"/>
            <w:vAlign w:val="center"/>
          </w:tcPr>
          <w:p w:rsidR="0097415E" w:rsidRPr="00260660" w:rsidRDefault="00184121" w:rsidP="00260660">
            <w:pP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SOLICITUDES</w:t>
            </w:r>
          </w:p>
        </w:tc>
      </w:tr>
      <w:tr w:rsidR="00260660" w:rsidRPr="00260660" w:rsidTr="00765F6C">
        <w:tc>
          <w:tcPr>
            <w:tcW w:w="3021" w:type="dxa"/>
            <w:vAlign w:val="center"/>
          </w:tcPr>
          <w:p w:rsidR="0097415E" w:rsidRPr="00260660" w:rsidRDefault="00184121" w:rsidP="00260660">
            <w:pPr>
              <w:spacing w:line="360" w:lineRule="auto"/>
              <w:jc w:val="center"/>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b/>
                <w:i/>
                <w:color w:val="000000" w:themeColor="text1"/>
                <w:sz w:val="24"/>
                <w:szCs w:val="24"/>
              </w:rPr>
              <w:t>00058/TULTEPEC/IP/2025</w:t>
            </w:r>
          </w:p>
        </w:tc>
        <w:tc>
          <w:tcPr>
            <w:tcW w:w="6897" w:type="dxa"/>
            <w:vAlign w:val="center"/>
          </w:tcPr>
          <w:p w:rsidR="0097415E" w:rsidRPr="00260660" w:rsidRDefault="00184121" w:rsidP="00260660">
            <w:pPr>
              <w:spacing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“SOLICITO TODAS LAS REGULARIZACIONES DE OBRA MAYOR A 60 M2, QUE HAN SIDO EXPEDIDAS POR LA DIRECCION DE DESARROLLO URBANO, ECOLOGIA Y FOMENTO AGROPECUARIO, DEL 1 DE ENERO DEL 2025 HASTA LA FECHA DE INGRESO DE LA PRESENTE </w:t>
            </w:r>
            <w:r w:rsidRPr="00260660">
              <w:rPr>
                <w:rFonts w:ascii="Palatino Linotype" w:eastAsia="Palatino Linotype" w:hAnsi="Palatino Linotype" w:cs="Palatino Linotype"/>
                <w:i/>
                <w:color w:val="000000" w:themeColor="text1"/>
                <w:sz w:val="24"/>
                <w:szCs w:val="24"/>
              </w:rPr>
              <w:lastRenderedPageBreak/>
              <w:t>SOLICITUD, RESPETUOSAMENTE SOLICITO LA REFERIDA INFORMACION POR ESTE MEDIO EN VERSION PUBLICA”</w:t>
            </w:r>
          </w:p>
          <w:p w:rsidR="0097415E" w:rsidRPr="00260660" w:rsidRDefault="0097415E" w:rsidP="00260660">
            <w:pPr>
              <w:spacing w:line="360" w:lineRule="auto"/>
              <w:jc w:val="both"/>
              <w:rPr>
                <w:rFonts w:ascii="Palatino Linotype" w:eastAsia="Palatino Linotype" w:hAnsi="Palatino Linotype" w:cs="Palatino Linotype"/>
                <w:i/>
                <w:color w:val="000000" w:themeColor="text1"/>
                <w:sz w:val="24"/>
                <w:szCs w:val="24"/>
              </w:rPr>
            </w:pPr>
          </w:p>
        </w:tc>
      </w:tr>
      <w:tr w:rsidR="00260660" w:rsidRPr="00260660" w:rsidTr="00765F6C">
        <w:tc>
          <w:tcPr>
            <w:tcW w:w="3021" w:type="dxa"/>
            <w:vAlign w:val="center"/>
          </w:tcPr>
          <w:p w:rsidR="0097415E" w:rsidRPr="00260660" w:rsidRDefault="00184121" w:rsidP="00F45059">
            <w:pPr>
              <w:spacing w:line="360" w:lineRule="auto"/>
              <w:jc w:val="center"/>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lastRenderedPageBreak/>
              <w:t>0005</w:t>
            </w:r>
            <w:r w:rsidR="00F45059">
              <w:rPr>
                <w:rFonts w:ascii="Palatino Linotype" w:eastAsia="Palatino Linotype" w:hAnsi="Palatino Linotype" w:cs="Palatino Linotype"/>
                <w:b/>
                <w:i/>
                <w:color w:val="000000" w:themeColor="text1"/>
                <w:sz w:val="24"/>
                <w:szCs w:val="24"/>
              </w:rPr>
              <w:t>9</w:t>
            </w:r>
            <w:r w:rsidRPr="00260660">
              <w:rPr>
                <w:rFonts w:ascii="Palatino Linotype" w:eastAsia="Palatino Linotype" w:hAnsi="Palatino Linotype" w:cs="Palatino Linotype"/>
                <w:b/>
                <w:i/>
                <w:color w:val="000000" w:themeColor="text1"/>
                <w:sz w:val="24"/>
                <w:szCs w:val="24"/>
              </w:rPr>
              <w:t>/TULTEPEC/IP/2025</w:t>
            </w:r>
          </w:p>
        </w:tc>
        <w:tc>
          <w:tcPr>
            <w:tcW w:w="6897" w:type="dxa"/>
            <w:vAlign w:val="center"/>
          </w:tcPr>
          <w:p w:rsidR="0097415E" w:rsidRPr="00260660" w:rsidRDefault="00184121" w:rsidP="00260660">
            <w:pPr>
              <w:spacing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“SOLICITO TODAS LAS REGULARIZACIONES DE OBRA EN FRACCIONAMIENTOS, CONDOMINIOS Y/O CONJUNTOS URBANOS, QUE HAN SIDO EXPEDIDOAS POR LA DIRECCION DE DESARROLLO URBANO, ECOLOGIA Y FOMENTO AGROPECUARIO, DEL 1 DE ENERO DEL 2025 HASTA LA FECHA DE INGRESO DE LA PRESENTE SOLICITUD, RESPETUOSAMENTE SOLICITO LA REFERIDA INFORMACION POR ESTE MEDIO EN VERSION PUBLICA”</w:t>
            </w:r>
          </w:p>
        </w:tc>
      </w:tr>
    </w:tbl>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260660">
        <w:rPr>
          <w:rFonts w:ascii="Palatino Linotype" w:eastAsia="Palatino Linotype" w:hAnsi="Palatino Linotype" w:cs="Palatino Linotype"/>
          <w:b/>
          <w:color w:val="000000" w:themeColor="text1"/>
          <w:sz w:val="24"/>
          <w:szCs w:val="24"/>
        </w:rPr>
        <w:t>SAIMEX.</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Como se observa del tablero del Sistema de Acceso a la Información el </w:t>
      </w:r>
      <w:r w:rsidRPr="00260660">
        <w:rPr>
          <w:rFonts w:ascii="Palatino Linotype" w:eastAsia="Palatino Linotype" w:hAnsi="Palatino Linotype" w:cs="Palatino Linotype"/>
          <w:b/>
          <w:color w:val="000000" w:themeColor="text1"/>
          <w:sz w:val="24"/>
          <w:szCs w:val="24"/>
        </w:rPr>
        <w:t>SUJETO OBLIGADO fue omiso en rendir respuesta a las solicitudes de información.</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bookmarkStart w:id="1" w:name="_heading=h.30j0zll" w:colFirst="0" w:colLast="0"/>
      <w:bookmarkEnd w:id="1"/>
      <w:r w:rsidRPr="00260660">
        <w:rPr>
          <w:rFonts w:ascii="Palatino Linotype" w:eastAsia="Palatino Linotype" w:hAnsi="Palatino Linotype" w:cs="Palatino Linotype"/>
          <w:color w:val="000000" w:themeColor="text1"/>
          <w:sz w:val="24"/>
          <w:szCs w:val="24"/>
        </w:rPr>
        <w:t xml:space="preserve">De lo anterior, ante la falta de respuesta del </w:t>
      </w:r>
      <w:r w:rsidRPr="00260660">
        <w:rPr>
          <w:rFonts w:ascii="Palatino Linotype" w:eastAsia="Palatino Linotype" w:hAnsi="Palatino Linotype" w:cs="Palatino Linotype"/>
          <w:b/>
          <w:color w:val="000000" w:themeColor="text1"/>
          <w:sz w:val="24"/>
          <w:szCs w:val="24"/>
        </w:rPr>
        <w:t xml:space="preserve">SUJETO OBLIGADO </w:t>
      </w:r>
      <w:r w:rsidRPr="00260660">
        <w:rPr>
          <w:rFonts w:ascii="Palatino Linotype" w:eastAsia="Palatino Linotype" w:hAnsi="Palatino Linotype" w:cs="Palatino Linotype"/>
          <w:color w:val="000000" w:themeColor="text1"/>
          <w:sz w:val="24"/>
          <w:szCs w:val="24"/>
        </w:rPr>
        <w:t xml:space="preserve">el entonces </w:t>
      </w:r>
      <w:r w:rsidRPr="00260660">
        <w:rPr>
          <w:rFonts w:ascii="Palatino Linotype" w:eastAsia="Palatino Linotype" w:hAnsi="Palatino Linotype" w:cs="Palatino Linotype"/>
          <w:b/>
          <w:color w:val="000000" w:themeColor="text1"/>
          <w:sz w:val="24"/>
          <w:szCs w:val="24"/>
        </w:rPr>
        <w:t xml:space="preserve">SOLICITANTE, </w:t>
      </w: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siete de abril de dos mil veinticinco, </w:t>
      </w:r>
      <w:r w:rsidRPr="00260660">
        <w:rPr>
          <w:rFonts w:ascii="Palatino Linotype" w:eastAsia="Palatino Linotype" w:hAnsi="Palatino Linotype" w:cs="Palatino Linotype"/>
          <w:color w:val="000000" w:themeColor="text1"/>
          <w:sz w:val="24"/>
          <w:szCs w:val="24"/>
        </w:rPr>
        <w:t>interpuso los recurso de revisión que nos ocupan y, señaló como:</w:t>
      </w:r>
    </w:p>
    <w:tbl>
      <w:tblPr>
        <w:tblStyle w:val="a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260660" w:rsidRPr="00260660" w:rsidTr="00765F6C">
        <w:tc>
          <w:tcPr>
            <w:tcW w:w="3539" w:type="dxa"/>
            <w:shd w:val="clear" w:color="auto" w:fill="E7E6E6"/>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Solicitud/recurso de revisión</w:t>
            </w:r>
          </w:p>
        </w:tc>
        <w:tc>
          <w:tcPr>
            <w:tcW w:w="6379" w:type="dxa"/>
            <w:shd w:val="clear" w:color="auto" w:fill="E7E6E6"/>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Inconformidad</w:t>
            </w:r>
          </w:p>
        </w:tc>
      </w:tr>
      <w:tr w:rsidR="00260660" w:rsidRPr="00260660" w:rsidTr="00765F6C">
        <w:tc>
          <w:tcPr>
            <w:tcW w:w="3539" w:type="dxa"/>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00058/TULTEPEC/IP/2025</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recayó el recurso de revisión</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lastRenderedPageBreak/>
              <w:t>04099/INFOEM/IP/RR/2025</w:t>
            </w:r>
          </w:p>
          <w:p w:rsidR="0097415E" w:rsidRPr="00260660" w:rsidRDefault="0097415E" w:rsidP="00260660">
            <w:pPr>
              <w:pBdr>
                <w:top w:val="nil"/>
                <w:left w:val="nil"/>
                <w:bottom w:val="nil"/>
                <w:right w:val="nil"/>
                <w:between w:val="nil"/>
              </w:pBdr>
              <w:spacing w:line="360" w:lineRule="auto"/>
              <w:jc w:val="center"/>
              <w:rPr>
                <w:rFonts w:ascii="Palatino Linotype" w:eastAsia="Palatino Linotype" w:hAnsi="Palatino Linotype" w:cs="Palatino Linotype"/>
                <w:i/>
                <w:color w:val="000000" w:themeColor="text1"/>
                <w:sz w:val="24"/>
                <w:szCs w:val="24"/>
              </w:rPr>
            </w:pPr>
          </w:p>
        </w:tc>
        <w:tc>
          <w:tcPr>
            <w:tcW w:w="6379" w:type="dxa"/>
            <w:vAlign w:val="center"/>
          </w:tcPr>
          <w:p w:rsidR="0097415E" w:rsidRPr="00260660" w:rsidRDefault="00184121" w:rsidP="0026066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lastRenderedPageBreak/>
              <w:t xml:space="preserve">Acto impugnado: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lastRenderedPageBreak/>
              <w:t xml:space="preserve"> “</w:t>
            </w:r>
            <w:r w:rsidRPr="00260660">
              <w:rPr>
                <w:rFonts w:ascii="Palatino Linotype" w:eastAsia="Palatino Linotype" w:hAnsi="Palatino Linotype" w:cs="Palatino Linotype"/>
                <w:i/>
                <w:color w:val="000000" w:themeColor="text1"/>
                <w:sz w:val="24"/>
                <w:szCs w:val="24"/>
              </w:rPr>
              <w:t>1.- 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Razones o Motivos de Inconformidad: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“La irresponsabilidad y mala fe del sujeto y/o sujetos obligados, al negarse a proporcionar la información solicitada como lo marca la ley”</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tc>
      </w:tr>
      <w:tr w:rsidR="00260660" w:rsidRPr="00260660" w:rsidTr="00765F6C">
        <w:tc>
          <w:tcPr>
            <w:tcW w:w="3539" w:type="dxa"/>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lastRenderedPageBreak/>
              <w:t>00059/TULTEPEC/IP/2025</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recayó el recurso de revisión</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04098/INFOEM/IP/RR/2025</w:t>
            </w:r>
          </w:p>
          <w:p w:rsidR="0097415E" w:rsidRPr="00260660" w:rsidRDefault="0097415E"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tc>
        <w:tc>
          <w:tcPr>
            <w:tcW w:w="6379" w:type="dxa"/>
            <w:vAlign w:val="center"/>
          </w:tcPr>
          <w:p w:rsidR="0097415E" w:rsidRPr="00260660" w:rsidRDefault="00184121" w:rsidP="0026066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Acto impugnado: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i/>
                <w:color w:val="000000" w:themeColor="text1"/>
                <w:sz w:val="24"/>
                <w:szCs w:val="24"/>
              </w:rPr>
              <w:t xml:space="preserve">1.- El acto impugnado es la negativa por parte del sujeto obligado, ya que no contesto a la petición de información solicitada 2.- Derivado de lo anterior solicito se le de vista al </w:t>
            </w:r>
            <w:r w:rsidRPr="00260660">
              <w:rPr>
                <w:rFonts w:ascii="Palatino Linotype" w:eastAsia="Palatino Linotype" w:hAnsi="Palatino Linotype" w:cs="Palatino Linotype"/>
                <w:i/>
                <w:color w:val="000000" w:themeColor="text1"/>
                <w:sz w:val="24"/>
                <w:szCs w:val="24"/>
              </w:rPr>
              <w:lastRenderedPageBreak/>
              <w:t>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Razones o Motivos de Inconformidad: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“La irresponsabilidad y mala fe del sujeto y/o sujetos obligados, al negarse a proporcionar la información solicitada como lo marca la ley”</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tc>
      </w:tr>
    </w:tbl>
    <w:p w:rsidR="00765F6C" w:rsidRDefault="00765F6C" w:rsidP="00765F6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65F6C" w:rsidRDefault="00765F6C" w:rsidP="00765F6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registraron los recursos de revisión bajo el número de expediente al rubro indicados y  con fundamento en lo dispuesto por el artículo 185 fracción I de la Ley de Transparencia y Acceso a la Información Pública del Estado de México y Municipios, los recursos</w:t>
      </w:r>
      <w:r w:rsidRPr="00260660">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fueron turnados de la siguiente manera:</w:t>
      </w:r>
    </w:p>
    <w:p w:rsidR="0097415E" w:rsidRPr="00260660" w:rsidRDefault="0097415E" w:rsidP="00260660">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321"/>
      </w:tblGrid>
      <w:tr w:rsidR="00260660" w:rsidRPr="00260660" w:rsidTr="00765F6C">
        <w:tc>
          <w:tcPr>
            <w:tcW w:w="4455" w:type="dxa"/>
            <w:shd w:val="clear" w:color="auto" w:fill="F2F2F2"/>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lastRenderedPageBreak/>
              <w:t>Recurso</w:t>
            </w:r>
          </w:p>
        </w:tc>
        <w:tc>
          <w:tcPr>
            <w:tcW w:w="5321" w:type="dxa"/>
            <w:shd w:val="clear" w:color="auto" w:fill="F2F2F2"/>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Comisionado (a)</w:t>
            </w:r>
          </w:p>
        </w:tc>
      </w:tr>
      <w:tr w:rsidR="00260660" w:rsidRPr="00260660" w:rsidTr="00765F6C">
        <w:tc>
          <w:tcPr>
            <w:tcW w:w="4455" w:type="dxa"/>
          </w:tcPr>
          <w:p w:rsidR="0097415E" w:rsidRPr="00260660" w:rsidRDefault="00184121" w:rsidP="00F45059">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04</w:t>
            </w:r>
            <w:r w:rsidR="00F45059">
              <w:rPr>
                <w:rFonts w:ascii="Palatino Linotype" w:eastAsia="Palatino Linotype" w:hAnsi="Palatino Linotype" w:cs="Palatino Linotype"/>
                <w:b/>
                <w:color w:val="000000" w:themeColor="text1"/>
                <w:sz w:val="24"/>
                <w:szCs w:val="24"/>
              </w:rPr>
              <w:t>098</w:t>
            </w:r>
            <w:r w:rsidRPr="00260660">
              <w:rPr>
                <w:rFonts w:ascii="Palatino Linotype" w:eastAsia="Palatino Linotype" w:hAnsi="Palatino Linotype" w:cs="Palatino Linotype"/>
                <w:b/>
                <w:color w:val="000000" w:themeColor="text1"/>
                <w:sz w:val="24"/>
                <w:szCs w:val="24"/>
              </w:rPr>
              <w:t>/INFOEM/IP/RR/2025</w:t>
            </w:r>
          </w:p>
        </w:tc>
        <w:tc>
          <w:tcPr>
            <w:tcW w:w="5321" w:type="dxa"/>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María del Rosario Mejía Ayala</w:t>
            </w:r>
          </w:p>
        </w:tc>
      </w:tr>
      <w:tr w:rsidR="00260660" w:rsidRPr="00260660" w:rsidTr="00765F6C">
        <w:tc>
          <w:tcPr>
            <w:tcW w:w="4455" w:type="dxa"/>
          </w:tcPr>
          <w:p w:rsidR="0097415E" w:rsidRPr="00260660" w:rsidRDefault="00184121" w:rsidP="00F45059">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04</w:t>
            </w:r>
            <w:r w:rsidR="00F45059">
              <w:rPr>
                <w:rFonts w:ascii="Palatino Linotype" w:eastAsia="Palatino Linotype" w:hAnsi="Palatino Linotype" w:cs="Palatino Linotype"/>
                <w:b/>
                <w:color w:val="000000" w:themeColor="text1"/>
                <w:sz w:val="24"/>
                <w:szCs w:val="24"/>
              </w:rPr>
              <w:t>099</w:t>
            </w:r>
            <w:r w:rsidRPr="00260660">
              <w:rPr>
                <w:rFonts w:ascii="Palatino Linotype" w:eastAsia="Palatino Linotype" w:hAnsi="Palatino Linotype" w:cs="Palatino Linotype"/>
                <w:b/>
                <w:color w:val="000000" w:themeColor="text1"/>
                <w:sz w:val="24"/>
                <w:szCs w:val="24"/>
              </w:rPr>
              <w:t>/INFOEM/IP/RR/2025</w:t>
            </w:r>
          </w:p>
        </w:tc>
        <w:tc>
          <w:tcPr>
            <w:tcW w:w="5321" w:type="dxa"/>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Guadalupe Ramírez Peña</w:t>
            </w:r>
          </w:p>
        </w:tc>
      </w:tr>
    </w:tbl>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E200B8"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Pr>
          <w:rFonts w:ascii="Palatino Linotype" w:eastAsia="Palatino Linotype" w:hAnsi="Palatino Linotype" w:cs="Palatino Linotype"/>
          <w:color w:val="000000" w:themeColor="text1"/>
          <w:sz w:val="24"/>
          <w:szCs w:val="24"/>
        </w:rPr>
        <w:t>La</w:t>
      </w:r>
      <w:r w:rsidR="00184121" w:rsidRPr="00260660">
        <w:rPr>
          <w:rFonts w:ascii="Palatino Linotype" w:eastAsia="Palatino Linotype" w:hAnsi="Palatino Linotype" w:cs="Palatino Linotype"/>
          <w:color w:val="000000" w:themeColor="text1"/>
          <w:sz w:val="24"/>
          <w:szCs w:val="24"/>
        </w:rPr>
        <w:t>s Comisionadas, con fundamento en lo dispuesto por el artículo 185 fracción II de la ley de la materia, a través de los  acuerdo de admisión de notificados el</w:t>
      </w:r>
      <w:r w:rsidR="00184121" w:rsidRPr="00260660">
        <w:rPr>
          <w:rFonts w:ascii="Palatino Linotype" w:eastAsia="Palatino Linotype" w:hAnsi="Palatino Linotype" w:cs="Palatino Linotype"/>
          <w:b/>
          <w:color w:val="000000" w:themeColor="text1"/>
          <w:sz w:val="24"/>
          <w:szCs w:val="24"/>
        </w:rPr>
        <w:t xml:space="preserve"> diez y veintiuno de abril de dos mil veinticinco</w:t>
      </w:r>
      <w:r w:rsidR="00184121" w:rsidRPr="00260660">
        <w:rPr>
          <w:rFonts w:ascii="Palatino Linotype" w:eastAsia="Palatino Linotype" w:hAnsi="Palatino Linotype" w:cs="Palatino Linotype"/>
          <w:color w:val="000000" w:themeColor="text1"/>
          <w:sz w:val="24"/>
          <w:szCs w:val="24"/>
        </w:rPr>
        <w:t xml:space="preserve">, pusieron a disposición de las partes el expediente electrónico vía Sistema de Acceso a la Información Mexiquense </w:t>
      </w:r>
      <w:r w:rsidR="00184121" w:rsidRPr="00260660">
        <w:rPr>
          <w:rFonts w:ascii="Palatino Linotype" w:eastAsia="Palatino Linotype" w:hAnsi="Palatino Linotype" w:cs="Palatino Linotype"/>
          <w:b/>
          <w:color w:val="000000" w:themeColor="text1"/>
          <w:sz w:val="24"/>
          <w:szCs w:val="24"/>
        </w:rPr>
        <w:t xml:space="preserve">(SAIMEX) </w:t>
      </w:r>
      <w:r w:rsidR="00184121" w:rsidRPr="00260660">
        <w:rPr>
          <w:rFonts w:ascii="Palatino Linotype" w:eastAsia="Palatino Linotype" w:hAnsi="Palatino Linotype" w:cs="Palatino Linotype"/>
          <w:color w:val="000000" w:themeColor="text1"/>
          <w:sz w:val="24"/>
          <w:szCs w:val="24"/>
        </w:rPr>
        <w:t xml:space="preserve">a efecto de que en un plazo máximo de siete días manifestara lo que a derecho conviniera, ofreciera pruebas y alegatos según corresponda a los casos concretos, de esta forma para que el </w:t>
      </w:r>
      <w:r w:rsidR="00184121" w:rsidRPr="00260660">
        <w:rPr>
          <w:rFonts w:ascii="Palatino Linotype" w:eastAsia="Palatino Linotype" w:hAnsi="Palatino Linotype" w:cs="Palatino Linotype"/>
          <w:b/>
          <w:color w:val="000000" w:themeColor="text1"/>
          <w:sz w:val="24"/>
          <w:szCs w:val="24"/>
        </w:rPr>
        <w:t>SUJETO OBLIGADO</w:t>
      </w:r>
      <w:r w:rsidR="00184121" w:rsidRPr="00260660">
        <w:rPr>
          <w:rFonts w:ascii="Palatino Linotype" w:eastAsia="Palatino Linotype" w:hAnsi="Palatino Linotype" w:cs="Palatino Linotype"/>
          <w:color w:val="000000" w:themeColor="text1"/>
          <w:sz w:val="24"/>
          <w:szCs w:val="24"/>
        </w:rPr>
        <w:t xml:space="preserve"> presentará el informe justificado correspondiente</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Las partes se manifestaron en el tenor siguiente:</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520"/>
      </w:tblGrid>
      <w:tr w:rsidR="00260660" w:rsidRPr="00260660" w:rsidTr="00765F6C">
        <w:tc>
          <w:tcPr>
            <w:tcW w:w="3256" w:type="dxa"/>
            <w:shd w:val="clear" w:color="auto" w:fill="E7E6E6"/>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Solicitud/recurso de revisión</w:t>
            </w:r>
          </w:p>
        </w:tc>
        <w:tc>
          <w:tcPr>
            <w:tcW w:w="6520" w:type="dxa"/>
            <w:shd w:val="clear" w:color="auto" w:fill="E7E6E6"/>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Manifestaciones</w:t>
            </w:r>
          </w:p>
        </w:tc>
      </w:tr>
      <w:tr w:rsidR="00260660" w:rsidRPr="00260660" w:rsidTr="00765F6C">
        <w:tc>
          <w:tcPr>
            <w:tcW w:w="3256" w:type="dxa"/>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00058/TULTEPEC/IP/2025</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recayó el recurso de revisión</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04099/INFOEM/IP/RR/2025</w:t>
            </w:r>
          </w:p>
          <w:p w:rsidR="0097415E" w:rsidRPr="00260660" w:rsidRDefault="0097415E" w:rsidP="00260660">
            <w:pPr>
              <w:pBdr>
                <w:top w:val="nil"/>
                <w:left w:val="nil"/>
                <w:bottom w:val="nil"/>
                <w:right w:val="nil"/>
                <w:between w:val="nil"/>
              </w:pBdr>
              <w:spacing w:line="360" w:lineRule="auto"/>
              <w:jc w:val="center"/>
              <w:rPr>
                <w:rFonts w:ascii="Palatino Linotype" w:eastAsia="Palatino Linotype" w:hAnsi="Palatino Linotype" w:cs="Palatino Linotype"/>
                <w:i/>
                <w:color w:val="000000" w:themeColor="text1"/>
                <w:sz w:val="24"/>
                <w:szCs w:val="24"/>
              </w:rPr>
            </w:pPr>
          </w:p>
        </w:tc>
        <w:tc>
          <w:tcPr>
            <w:tcW w:w="6520" w:type="dxa"/>
            <w:vAlign w:val="center"/>
          </w:tcPr>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quince de abril de dos mil veinticinco, </w:t>
            </w: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RECURRENTE, </w:t>
            </w:r>
            <w:r w:rsidRPr="00260660">
              <w:rPr>
                <w:rFonts w:ascii="Palatino Linotype" w:eastAsia="Palatino Linotype" w:hAnsi="Palatino Linotype" w:cs="Palatino Linotype"/>
                <w:color w:val="000000" w:themeColor="text1"/>
                <w:sz w:val="24"/>
                <w:szCs w:val="24"/>
              </w:rPr>
              <w:t xml:space="preserve">remitió sus alegatos a través del archivo </w:t>
            </w:r>
            <w:hyperlink r:id="rId8">
              <w:r w:rsidRPr="00260660">
                <w:rPr>
                  <w:rFonts w:ascii="Palatino Linotype" w:eastAsia="Palatino Linotype" w:hAnsi="Palatino Linotype" w:cs="Palatino Linotype"/>
                  <w:b/>
                  <w:i/>
                  <w:color w:val="000000" w:themeColor="text1"/>
                  <w:sz w:val="24"/>
                  <w:szCs w:val="24"/>
                </w:rPr>
                <w:t>alegatos 04099 INFOEM.docx</w:t>
              </w:r>
            </w:hyperlink>
            <w:r w:rsidRPr="00260660">
              <w:rPr>
                <w:rFonts w:ascii="Palatino Linotype" w:eastAsia="Palatino Linotype" w:hAnsi="Palatino Linotype" w:cs="Palatino Linotype"/>
                <w:b/>
                <w:i/>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por el que se solicitó lo siguiente: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lastRenderedPageBreak/>
              <w:t>Se reconsideren los argumentos presentados y se proporcione la información requerida conforme a la legislación aplicable.</w:t>
            </w:r>
          </w:p>
          <w:p w:rsidR="0097415E" w:rsidRPr="00260660" w:rsidRDefault="00184121" w:rsidP="0026066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97415E" w:rsidRPr="00260660" w:rsidRDefault="00184121" w:rsidP="0026066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Se dé vista a la Secretaría de la Contraloría del Estado de México, para que con forme a Derecho proceda a realizar la investigación correspondiente y sancione al sujeto obligado y/o sujetos obligados responsable de proporcionar la información solicitada.</w:t>
            </w:r>
          </w:p>
          <w:p w:rsidR="0097415E" w:rsidRPr="00260660" w:rsidRDefault="00184121" w:rsidP="0026066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97415E" w:rsidRPr="00260660" w:rsidRDefault="00184121" w:rsidP="0026066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Por ultimo solicito que el sujeto obligado sea sancionado por su reincidencia e irresponsabilidad ya que el que suscribe tiene las siguientes solicitudes 00063/TULTEPEC/IP/2025, 00064/TULTEPEC/IP/2025, 00054/TULTEPEC/IP/2025, 00056/TULTEPEC/IP/2025, 00057/TULTEPEC/IP/2025, </w:t>
            </w:r>
            <w:r w:rsidRPr="00260660">
              <w:rPr>
                <w:rFonts w:ascii="Palatino Linotype" w:eastAsia="Palatino Linotype" w:hAnsi="Palatino Linotype" w:cs="Palatino Linotype"/>
                <w:i/>
                <w:color w:val="000000" w:themeColor="text1"/>
                <w:sz w:val="24"/>
                <w:szCs w:val="24"/>
              </w:rPr>
              <w:lastRenderedPageBreak/>
              <w:t>00058/TULTEPEC/IP/2025, 00059/TULTEPEC/IP/2025, 00060/TULTEPEC/IP/2025, 00061/TULTEPEC/IP/2025,                                            00062/TULTEPEC/IP/2025, todas ellas se encuentran en el mismo estatus que guarda el presente asunto.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SUJETO OBLIGADO, </w:t>
            </w:r>
            <w:r w:rsidRPr="00260660">
              <w:rPr>
                <w:rFonts w:ascii="Palatino Linotype" w:eastAsia="Palatino Linotype" w:hAnsi="Palatino Linotype" w:cs="Palatino Linotype"/>
                <w:color w:val="000000" w:themeColor="text1"/>
                <w:sz w:val="24"/>
                <w:szCs w:val="24"/>
              </w:rPr>
              <w:t xml:space="preserve">rindió el informe justificado el </w:t>
            </w:r>
            <w:r w:rsidRPr="00260660">
              <w:rPr>
                <w:rFonts w:ascii="Palatino Linotype" w:eastAsia="Palatino Linotype" w:hAnsi="Palatino Linotype" w:cs="Palatino Linotype"/>
                <w:b/>
                <w:color w:val="000000" w:themeColor="text1"/>
                <w:sz w:val="24"/>
                <w:szCs w:val="24"/>
              </w:rPr>
              <w:t xml:space="preserve">doce de abril de dos mil veinticinco, </w:t>
            </w:r>
            <w:r w:rsidRPr="00260660">
              <w:rPr>
                <w:rFonts w:ascii="Palatino Linotype" w:eastAsia="Palatino Linotype" w:hAnsi="Palatino Linotype" w:cs="Palatino Linotype"/>
                <w:color w:val="000000" w:themeColor="text1"/>
                <w:sz w:val="24"/>
                <w:szCs w:val="24"/>
              </w:rPr>
              <w:t>del que se desprende lo siguiente: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De la carpeta denominada “</w:t>
            </w:r>
            <w:r w:rsidRPr="00260660">
              <w:rPr>
                <w:rFonts w:ascii="Palatino Linotype" w:eastAsia="Palatino Linotype" w:hAnsi="Palatino Linotype" w:cs="Palatino Linotype"/>
                <w:i/>
                <w:color w:val="000000" w:themeColor="text1"/>
                <w:sz w:val="24"/>
                <w:szCs w:val="24"/>
              </w:rPr>
              <w:t xml:space="preserve">TRANSPARENCIA”, </w:t>
            </w:r>
            <w:r w:rsidRPr="00260660">
              <w:rPr>
                <w:rFonts w:ascii="Palatino Linotype" w:eastAsia="Palatino Linotype" w:hAnsi="Palatino Linotype" w:cs="Palatino Linotype"/>
                <w:color w:val="000000" w:themeColor="text1"/>
                <w:sz w:val="24"/>
                <w:szCs w:val="24"/>
              </w:rPr>
              <w:t>se desprenden los siguientes archivos en PDF:</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noProof/>
                <w:color w:val="000000" w:themeColor="text1"/>
                <w:sz w:val="24"/>
                <w:szCs w:val="24"/>
              </w:rPr>
              <w:drawing>
                <wp:inline distT="0" distB="0" distL="0" distR="0">
                  <wp:extent cx="3530965" cy="2124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r="45828"/>
                          <a:stretch>
                            <a:fillRect/>
                          </a:stretch>
                        </pic:blipFill>
                        <pic:spPr>
                          <a:xfrm>
                            <a:off x="0" y="0"/>
                            <a:ext cx="3530965" cy="2124000"/>
                          </a:xfrm>
                          <a:prstGeom prst="rect">
                            <a:avLst/>
                          </a:prstGeom>
                          <a:ln/>
                        </pic:spPr>
                      </pic:pic>
                    </a:graphicData>
                  </a:graphic>
                </wp:inline>
              </w:drawing>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color w:val="000000" w:themeColor="text1"/>
                <w:sz w:val="24"/>
                <w:szCs w:val="24"/>
              </w:rPr>
              <w:t>“</w:t>
            </w:r>
            <w:r w:rsidRPr="00260660">
              <w:rPr>
                <w:rFonts w:ascii="Palatino Linotype" w:eastAsia="Palatino Linotype" w:hAnsi="Palatino Linotype" w:cs="Palatino Linotype"/>
                <w:b/>
                <w:i/>
                <w:color w:val="000000" w:themeColor="text1"/>
                <w:sz w:val="24"/>
                <w:szCs w:val="24"/>
              </w:rPr>
              <w:t>ACUS”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Autorización: 001</w:t>
            </w:r>
            <w:r w:rsidRPr="00260660">
              <w:rPr>
                <w:rFonts w:ascii="Palatino Linotype" w:eastAsia="Palatino Linotype" w:hAnsi="Palatino Linotype" w:cs="Palatino Linotype"/>
                <w:color w:val="000000" w:themeColor="text1"/>
                <w:sz w:val="24"/>
                <w:szCs w:val="24"/>
              </w:rPr>
              <w:t>, expediente no. : CUS/001/2024</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lastRenderedPageBreak/>
              <w:t xml:space="preserve">Dirección de Desarrollo Urbano, Ecología y Fomento Agropecuario, </w:t>
            </w:r>
            <w:r w:rsidRPr="00260660">
              <w:rPr>
                <w:rFonts w:ascii="Palatino Linotype" w:eastAsia="Palatino Linotype" w:hAnsi="Palatino Linotype" w:cs="Palatino Linotype"/>
                <w:color w:val="000000" w:themeColor="text1"/>
                <w:sz w:val="24"/>
                <w:szCs w:val="24"/>
                <w:u w:val="single"/>
              </w:rPr>
              <w:t xml:space="preserve">autorización de cambio de uso de suelo, </w:t>
            </w:r>
            <w:r w:rsidRPr="00260660">
              <w:rPr>
                <w:rFonts w:ascii="Palatino Linotype" w:eastAsia="Palatino Linotype" w:hAnsi="Palatino Linotype" w:cs="Palatino Linotype"/>
                <w:color w:val="000000" w:themeColor="text1"/>
                <w:sz w:val="24"/>
                <w:szCs w:val="24"/>
              </w:rPr>
              <w:t>de fecha veintiocho de enero de dos mil veinticinco.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testo el nombre de la propietaria.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Se testo clave catastral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No se  puede poner a la vista porque dejó el nombre de un particular y domicilio a favor de quien se expidió</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Firma testada pero no se tiene certeza del titular</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Autorización: 002,</w:t>
            </w:r>
            <w:r w:rsidRPr="00260660">
              <w:rPr>
                <w:rFonts w:ascii="Palatino Linotype" w:eastAsia="Palatino Linotype" w:hAnsi="Palatino Linotype" w:cs="Palatino Linotype"/>
                <w:color w:val="000000" w:themeColor="text1"/>
                <w:sz w:val="24"/>
                <w:szCs w:val="24"/>
              </w:rPr>
              <w:t xml:space="preserve"> expediente no. : CUS/002/2024</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Dirección de Desarrollo Urbano, Ecología y Fomento Agropecuario, </w:t>
            </w:r>
            <w:r w:rsidRPr="00260660">
              <w:rPr>
                <w:rFonts w:ascii="Palatino Linotype" w:eastAsia="Palatino Linotype" w:hAnsi="Palatino Linotype" w:cs="Palatino Linotype"/>
                <w:color w:val="000000" w:themeColor="text1"/>
                <w:sz w:val="24"/>
                <w:szCs w:val="24"/>
                <w:u w:val="single"/>
              </w:rPr>
              <w:t xml:space="preserve">autorización de cambio de uso de suelo, </w:t>
            </w:r>
            <w:r w:rsidRPr="00260660">
              <w:rPr>
                <w:rFonts w:ascii="Palatino Linotype" w:eastAsia="Palatino Linotype" w:hAnsi="Palatino Linotype" w:cs="Palatino Linotype"/>
                <w:color w:val="000000" w:themeColor="text1"/>
                <w:sz w:val="24"/>
                <w:szCs w:val="24"/>
              </w:rPr>
              <w:t>de fecha treinta de enero de dos mil veinticinco.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testo el nombre de la propietaria.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Se testo clave catastral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No se  puede poner a la vista porque dejó el nombre de un particular y domicilio a favor de quien se expidió</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Firma testada pero no se tiene certeza</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“CIZ”</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Cedula Informativa de Zonificación, del folio: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lastRenderedPageBreak/>
              <w:t>94 al 98</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100 al 110</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112 al 119</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126 al 128</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001</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003 al 0011</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La 0012 está incompleta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0013</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0014</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0015 a la 0030</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0031</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0032 a la 0043</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0044</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045 a la 0047</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0048</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0049 a la 0053</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0054</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0055 a la 0058</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No se advierte el numero ya que no se remitió la hoja 1/3 (hoja 233)</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0061 a la 0064</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0065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0066 a la 0081</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lastRenderedPageBreak/>
              <w:t>Falta 0082</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0083 a la 0093</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Domicilio se dejó a la vista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testo el nombre de quien se expidió</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Nombre del ciudadano testado.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Licencia de Construcción 0007/2025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008/2025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0063/2025</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Domicilio particular se dejó a la vista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testo el nombre de quien se expidió</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Nombre del ciudadano testado.</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testó clave catastral</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“CUS-001-2025”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Autorización de cambio de uso de suelo. 001</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Deja a la vista nombre del propietario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“CUS-002-2025”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Autorización de cambio de uso de suelo. 002</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 xml:space="preserve"> “LICENCIAS”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Licencia de construcción con folio ilegible</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De la 074 a la 086</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087</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De la 088 a la 089</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de la 90 a la 102</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0103</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105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106</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De la 107 a la 109</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Falta la 110, 113,115. 118, 119, 120, 122, 123, 005, 009, 010,0 11, 014, 021, 027, 032, 033, 040, 044, 046, 052, 053, 056, 065, 071, 072, 073.</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Clave catastral testada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Nombre del propietario testado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“LUS”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Licencia de uso de suelo que inicia en la 001 y termina en la 0032, sin embargo se advierten como faltantes las siguientes:</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Falta el 002, 012, 016, 022, 023, 025, 026, 027, 028, 029, 030, 031, </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PRÓRROGAS”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Prorroga de Licencia de Construcción, de los meses de enero y febrero del años dos mil veinticinco con los numero de folio: 0046 , 0046, 0065, 0087, 0106, 0110, 005, 0011y 0032.</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Con el nombre de quien se expidió testado</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Clave catastral testada</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“RESPUESTAS DE DESARROLLO URBANO”</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color w:val="000000" w:themeColor="text1"/>
                <w:sz w:val="24"/>
                <w:szCs w:val="24"/>
              </w:rPr>
              <w:t>Oficio de treinta y uno de enero de dos mil veinticinco, firmado por la Directora de Desarrollo Urbano, Ecología y Fomento Agropecuario, por el que informó que “</w:t>
            </w:r>
            <w:r w:rsidRPr="00260660">
              <w:rPr>
                <w:rFonts w:ascii="Palatino Linotype" w:eastAsia="Palatino Linotype" w:hAnsi="Palatino Linotype" w:cs="Palatino Linotype"/>
                <w:i/>
                <w:color w:val="000000" w:themeColor="text1"/>
                <w:sz w:val="24"/>
                <w:szCs w:val="24"/>
              </w:rPr>
              <w:t>se remiten de manera digital las Licencias de Construcción, regularización de obra, Constancias de Terminación de Obra, Cédulas Informativas de Zonificación, Licencias de Uso de Suelo, Autorización de Cambio de Uso de Suelo, mismos que han sido aprobados y expedidos por este dependencia del día dos de enero hasta la fecha de presentaciones de la solicitudes antes mencionadas”</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“TERMINOS DE OBRA”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lastRenderedPageBreak/>
              <w:t>Constancia de terminación de obra, con el nombre del propietario testado, de los meses de enero a marzo de dos mil veinticinco, con los siguientes folios: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0006, 007, 0010, 0011, 0013, 0014, 0015, 0016, 0017, 0018, 0019, 0020, 0030, 0031, 0033, 001, 002, 003, 004 y 005.</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Se dejó a la vista la clave catastral</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tc>
      </w:tr>
      <w:tr w:rsidR="00260660" w:rsidRPr="00260660" w:rsidTr="00765F6C">
        <w:tc>
          <w:tcPr>
            <w:tcW w:w="3256" w:type="dxa"/>
            <w:vAlign w:val="center"/>
          </w:tcPr>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lastRenderedPageBreak/>
              <w:t>00059/TULTEPEC/IP/2025</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recayó el recurso de revisión</w:t>
            </w: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04098/INFOEM/IP/RR/2025</w:t>
            </w:r>
          </w:p>
          <w:p w:rsidR="0097415E" w:rsidRPr="00260660" w:rsidRDefault="0097415E" w:rsidP="002606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tc>
        <w:tc>
          <w:tcPr>
            <w:tcW w:w="6520" w:type="dxa"/>
            <w:vAlign w:val="center"/>
          </w:tcPr>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veintiuno de abril de dos mil veinticinco, </w:t>
            </w: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RECURRENTE, </w:t>
            </w:r>
            <w:r w:rsidRPr="00260660">
              <w:rPr>
                <w:rFonts w:ascii="Palatino Linotype" w:eastAsia="Palatino Linotype" w:hAnsi="Palatino Linotype" w:cs="Palatino Linotype"/>
                <w:color w:val="000000" w:themeColor="text1"/>
                <w:sz w:val="24"/>
                <w:szCs w:val="24"/>
              </w:rPr>
              <w:t xml:space="preserve">remitió sus alegatos a través del archivo </w:t>
            </w:r>
            <w:hyperlink r:id="rId10">
              <w:r w:rsidRPr="00260660">
                <w:rPr>
                  <w:rFonts w:ascii="Palatino Linotype" w:eastAsia="Palatino Linotype" w:hAnsi="Palatino Linotype" w:cs="Palatino Linotype"/>
                  <w:b/>
                  <w:i/>
                  <w:color w:val="000000" w:themeColor="text1"/>
                  <w:sz w:val="24"/>
                  <w:szCs w:val="24"/>
                </w:rPr>
                <w:t>alegatos 04098 INFOEM.docx</w:t>
              </w:r>
            </w:hyperlink>
            <w:r w:rsidRPr="00260660">
              <w:rPr>
                <w:rFonts w:ascii="Palatino Linotype" w:eastAsia="Palatino Linotype" w:hAnsi="Palatino Linotype" w:cs="Palatino Linotype"/>
                <w:b/>
                <w:i/>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por el que se solicitó lo siguiente: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Se reconsideren los argumentos presentados y se proporcione la información requerida conforme a la legislación aplicable.</w:t>
            </w:r>
          </w:p>
          <w:p w:rsidR="0097415E" w:rsidRPr="00260660" w:rsidRDefault="00184121" w:rsidP="0026066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97415E" w:rsidRPr="00260660" w:rsidRDefault="00184121" w:rsidP="0026066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Se dé vista a la Secretaría de la Contraloría del Estado de México, para que con forme a Derecho proceda a realizar la </w:t>
            </w:r>
            <w:r w:rsidRPr="00260660">
              <w:rPr>
                <w:rFonts w:ascii="Palatino Linotype" w:eastAsia="Palatino Linotype" w:hAnsi="Palatino Linotype" w:cs="Palatino Linotype"/>
                <w:i/>
                <w:color w:val="000000" w:themeColor="text1"/>
                <w:sz w:val="24"/>
                <w:szCs w:val="24"/>
              </w:rPr>
              <w:lastRenderedPageBreak/>
              <w:t>investigación correspondiente y sancione al sujeto obligado y/o sujetos obligados responsable de proporcionar la información solicitada.</w:t>
            </w:r>
          </w:p>
          <w:p w:rsidR="0097415E" w:rsidRPr="00260660" w:rsidRDefault="00184121" w:rsidP="0026066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97415E" w:rsidRPr="00260660" w:rsidRDefault="00184121" w:rsidP="0026066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Por ultimo solicito que el sujeto obligado sea sancionado por su reincidencia e irresponsabilidad ya que el que suscribe tiene las siguientes solicitudes 00063/TULTEPEC/IP/2025, 00064/TULTEPEC/IP/2025, 00054/TULTEPEC/IP/2025, 00056/TULTEPEC/IP/2025, 00057/TULTEPEC/IP/2025, 00058/TULTEPEC/IP/2025, 00059/TULTEPEC/IP/2025, 00060/TULTEPEC/IP/2025, 00061/TULTEPEC/IP/2025,                                            00062/TULTEPEC/IP/2025, todas ellas se encuentran en el mismo estatus que guarda el presente asunto.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 xml:space="preserve">SUJETO OBLIGADO, </w:t>
            </w:r>
            <w:r w:rsidRPr="00260660">
              <w:rPr>
                <w:rFonts w:ascii="Palatino Linotype" w:eastAsia="Palatino Linotype" w:hAnsi="Palatino Linotype" w:cs="Palatino Linotype"/>
                <w:color w:val="000000" w:themeColor="text1"/>
                <w:sz w:val="24"/>
                <w:szCs w:val="24"/>
              </w:rPr>
              <w:t xml:space="preserve">rindió el informe justificado el </w:t>
            </w:r>
            <w:r w:rsidRPr="00260660">
              <w:rPr>
                <w:rFonts w:ascii="Palatino Linotype" w:eastAsia="Palatino Linotype" w:hAnsi="Palatino Linotype" w:cs="Palatino Linotype"/>
                <w:b/>
                <w:color w:val="000000" w:themeColor="text1"/>
                <w:sz w:val="24"/>
                <w:szCs w:val="24"/>
              </w:rPr>
              <w:t xml:space="preserve">veintidós de abril de dos mil veinticinco, </w:t>
            </w:r>
            <w:r w:rsidRPr="00260660">
              <w:rPr>
                <w:rFonts w:ascii="Palatino Linotype" w:eastAsia="Palatino Linotype" w:hAnsi="Palatino Linotype" w:cs="Palatino Linotype"/>
                <w:color w:val="000000" w:themeColor="text1"/>
                <w:sz w:val="24"/>
                <w:szCs w:val="24"/>
              </w:rPr>
              <w:t>del que se desprende lo siguiente: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noProof/>
                <w:color w:val="000000" w:themeColor="text1"/>
                <w:sz w:val="24"/>
                <w:szCs w:val="24"/>
              </w:rPr>
              <w:lastRenderedPageBreak/>
              <w:drawing>
                <wp:inline distT="0" distB="0" distL="0" distR="0">
                  <wp:extent cx="3667637" cy="249589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667637" cy="2495898"/>
                          </a:xfrm>
                          <a:prstGeom prst="rect">
                            <a:avLst/>
                          </a:prstGeom>
                          <a:ln/>
                        </pic:spPr>
                      </pic:pic>
                    </a:graphicData>
                  </a:graphic>
                </wp:inline>
              </w:drawing>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ACUS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Autorización de cambio de suelo de los meses de enero a marzo del años dos mil veinticinco, con los folios siguientes: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001</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002</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Se testo nombre del propietario y clave catastral. </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CIZ</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Cedula Informativa de Zonificación que corresponden a las remitidas en el recurso de revisión </w:t>
            </w:r>
            <w:r w:rsidRPr="00260660">
              <w:rPr>
                <w:rFonts w:ascii="Palatino Linotype" w:eastAsia="Palatino Linotype" w:hAnsi="Palatino Linotype" w:cs="Palatino Linotype"/>
                <w:b/>
                <w:color w:val="000000" w:themeColor="text1"/>
                <w:sz w:val="24"/>
                <w:szCs w:val="24"/>
              </w:rPr>
              <w:t xml:space="preserve">04099/INFOEM/IP/RR/2025, </w:t>
            </w:r>
            <w:r w:rsidRPr="00260660">
              <w:rPr>
                <w:rFonts w:ascii="Palatino Linotype" w:eastAsia="Palatino Linotype" w:hAnsi="Palatino Linotype" w:cs="Palatino Linotype"/>
                <w:color w:val="000000" w:themeColor="text1"/>
                <w:sz w:val="24"/>
                <w:szCs w:val="24"/>
              </w:rPr>
              <w:t>cuyo contenido no se reproduce a efecto de obviar repeticiones.</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lastRenderedPageBreak/>
              <w:t>CUS-001-2025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Autorización de cambio de uso de suelo, 001 que se remitió en el recurso </w:t>
            </w:r>
            <w:r w:rsidRPr="00260660">
              <w:rPr>
                <w:rFonts w:ascii="Palatino Linotype" w:eastAsia="Palatino Linotype" w:hAnsi="Palatino Linotype" w:cs="Palatino Linotype"/>
                <w:b/>
                <w:color w:val="000000" w:themeColor="text1"/>
                <w:sz w:val="24"/>
                <w:szCs w:val="24"/>
              </w:rPr>
              <w:t>04099/INFOEM/IP/RR/2025.</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Deja a la vista nombre del propietario</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CUS-002-2022</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Autorización de cambio de uso de suelo, 002</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Se dejó a la vista el nombre de la persona a la que se le expidió. </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LICENCIAS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260660">
              <w:rPr>
                <w:rFonts w:ascii="Palatino Linotype" w:eastAsia="Palatino Linotype" w:hAnsi="Palatino Linotype" w:cs="Palatino Linotype"/>
                <w:b/>
                <w:color w:val="000000" w:themeColor="text1"/>
                <w:sz w:val="24"/>
                <w:szCs w:val="24"/>
              </w:rPr>
              <w:t xml:space="preserve">04099/INFOEM/IP/RR/2025, </w:t>
            </w:r>
            <w:r w:rsidRPr="00260660">
              <w:rPr>
                <w:rFonts w:ascii="Palatino Linotype" w:eastAsia="Palatino Linotype" w:hAnsi="Palatino Linotype" w:cs="Palatino Linotype"/>
                <w:color w:val="000000" w:themeColor="text1"/>
                <w:sz w:val="24"/>
                <w:szCs w:val="24"/>
              </w:rPr>
              <w:t>por lo que a efecto de obviar repeticiones no se transcribe.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LUS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260660">
              <w:rPr>
                <w:rFonts w:ascii="Palatino Linotype" w:eastAsia="Palatino Linotype" w:hAnsi="Palatino Linotype" w:cs="Palatino Linotype"/>
                <w:b/>
                <w:color w:val="000000" w:themeColor="text1"/>
                <w:sz w:val="24"/>
                <w:szCs w:val="24"/>
              </w:rPr>
              <w:t xml:space="preserve">04099/INFOEM/IP/RR/2025, </w:t>
            </w:r>
            <w:r w:rsidRPr="00260660">
              <w:rPr>
                <w:rFonts w:ascii="Palatino Linotype" w:eastAsia="Palatino Linotype" w:hAnsi="Palatino Linotype" w:cs="Palatino Linotype"/>
                <w:color w:val="000000" w:themeColor="text1"/>
                <w:sz w:val="24"/>
                <w:szCs w:val="24"/>
              </w:rPr>
              <w:t>por lo que a efecto de obviar repeticiones no se transcribe.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PRORROGAS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lastRenderedPageBreak/>
              <w:t xml:space="preserve">La información corresponde a la remitida en el recurso de revisión </w:t>
            </w:r>
            <w:r w:rsidRPr="00260660">
              <w:rPr>
                <w:rFonts w:ascii="Palatino Linotype" w:eastAsia="Palatino Linotype" w:hAnsi="Palatino Linotype" w:cs="Palatino Linotype"/>
                <w:b/>
                <w:color w:val="000000" w:themeColor="text1"/>
                <w:sz w:val="24"/>
                <w:szCs w:val="24"/>
              </w:rPr>
              <w:t xml:space="preserve">04099/INFOEM/IP/RR/2025, </w:t>
            </w:r>
            <w:r w:rsidRPr="00260660">
              <w:rPr>
                <w:rFonts w:ascii="Palatino Linotype" w:eastAsia="Palatino Linotype" w:hAnsi="Palatino Linotype" w:cs="Palatino Linotype"/>
                <w:color w:val="000000" w:themeColor="text1"/>
                <w:sz w:val="24"/>
                <w:szCs w:val="24"/>
              </w:rPr>
              <w:t>por lo que a efecto de obviar repeticiones no se transcribe.</w:t>
            </w:r>
          </w:p>
          <w:p w:rsidR="0097415E" w:rsidRPr="00260660" w:rsidRDefault="0097415E"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RESPUESTA DE DESARROLLO URBANO</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color w:val="000000" w:themeColor="text1"/>
                <w:sz w:val="24"/>
                <w:szCs w:val="24"/>
              </w:rPr>
              <w:t>Oficio de treinta y uno de marzo de dos mil veinticinco, firmado por la Directora de Desarrollo Urbano, Ecología y Fomento Agropecuario, por el que informó que “</w:t>
            </w:r>
            <w:r w:rsidRPr="00260660">
              <w:rPr>
                <w:rFonts w:ascii="Palatino Linotype" w:eastAsia="Palatino Linotype" w:hAnsi="Palatino Linotype" w:cs="Palatino Linotype"/>
                <w:i/>
                <w:color w:val="000000" w:themeColor="text1"/>
                <w:sz w:val="24"/>
                <w:szCs w:val="24"/>
              </w:rPr>
              <w:t>se remiten de manera digital las Licencias de Construcción, regularización de obra, Constancias de Terminación de Obra, Cédulas Informativas de Zonificación, Licencias de Uso de Suelo, Autorización de Cambio de Uso de Suelo, mismos que han sido aprobados y expedidos por este dependencia del día dos de enero hasta la fecha de presentaciones de la solicitudes antes mencionadas”</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 </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TERMINOS DE OBRA</w:t>
            </w:r>
          </w:p>
          <w:p w:rsidR="0097415E" w:rsidRPr="00260660" w:rsidRDefault="00184121" w:rsidP="002606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260660">
              <w:rPr>
                <w:rFonts w:ascii="Palatino Linotype" w:eastAsia="Palatino Linotype" w:hAnsi="Palatino Linotype" w:cs="Palatino Linotype"/>
                <w:b/>
                <w:color w:val="000000" w:themeColor="text1"/>
                <w:sz w:val="24"/>
                <w:szCs w:val="24"/>
              </w:rPr>
              <w:t xml:space="preserve">04099/INFOEM/IP/RR/2025, </w:t>
            </w:r>
            <w:r w:rsidRPr="00260660">
              <w:rPr>
                <w:rFonts w:ascii="Palatino Linotype" w:eastAsia="Palatino Linotype" w:hAnsi="Palatino Linotype" w:cs="Palatino Linotype"/>
                <w:color w:val="000000" w:themeColor="text1"/>
                <w:sz w:val="24"/>
                <w:szCs w:val="24"/>
              </w:rPr>
              <w:t>por lo que a efecto de obviar repeticiones no se transcribe.</w:t>
            </w:r>
          </w:p>
        </w:tc>
      </w:tr>
    </w:tbl>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Posteriormente, el Pleno de este Órgano Autónomo, en la 14ª sesión ordinaria de </w:t>
      </w:r>
      <w:r w:rsidRPr="00260660">
        <w:rPr>
          <w:rFonts w:ascii="Palatino Linotype" w:eastAsia="Palatino Linotype" w:hAnsi="Palatino Linotype" w:cs="Palatino Linotype"/>
          <w:b/>
          <w:color w:val="000000" w:themeColor="text1"/>
          <w:sz w:val="24"/>
          <w:szCs w:val="24"/>
        </w:rPr>
        <w:t>veintitrés de abril de dos mil veinticinco</w:t>
      </w:r>
      <w:r w:rsidRPr="00260660">
        <w:rPr>
          <w:rFonts w:ascii="Palatino Linotype" w:eastAsia="Palatino Linotype" w:hAnsi="Palatino Linotype" w:cs="Palatino Linotype"/>
          <w:color w:val="000000" w:themeColor="text1"/>
          <w:sz w:val="24"/>
          <w:szCs w:val="24"/>
        </w:rPr>
        <w:t>, mismo que fue notificado a las partes mediante acuerdo</w:t>
      </w:r>
      <w:r w:rsidRPr="00260660">
        <w:rPr>
          <w:rFonts w:ascii="Palatino Linotype" w:eastAsia="Palatino Linotype" w:hAnsi="Palatino Linotype" w:cs="Palatino Linotype"/>
          <w:b/>
          <w:color w:val="000000" w:themeColor="text1"/>
          <w:sz w:val="24"/>
          <w:szCs w:val="24"/>
        </w:rPr>
        <w:t>,</w:t>
      </w:r>
      <w:r w:rsidRPr="00260660">
        <w:rPr>
          <w:rFonts w:ascii="Palatino Linotype" w:eastAsia="Palatino Linotype" w:hAnsi="Palatino Linotype" w:cs="Palatino Linotype"/>
          <w:color w:val="000000" w:themeColor="text1"/>
          <w:sz w:val="24"/>
          <w:szCs w:val="24"/>
        </w:rPr>
        <w:t xml:space="preserve"> ordenó la acumulación de los recursos de revisión enunciados con antelación</w:t>
      </w:r>
      <w:r w:rsidRPr="00260660">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 xml:space="preserve">a efecto de que ésta Ponencia formulará y presentará el proyecto de resolución correspondiente </w:t>
      </w:r>
      <w:r w:rsidRPr="00260660">
        <w:rPr>
          <w:rFonts w:ascii="Palatino Linotype" w:eastAsia="Palatino Linotype" w:hAnsi="Palatino Linotype" w:cs="Palatino Linotype"/>
          <w:color w:val="000000" w:themeColor="text1"/>
          <w:sz w:val="24"/>
          <w:szCs w:val="24"/>
        </w:rPr>
        <w:lastRenderedPageBreak/>
        <w:t xml:space="preserve">por ser este último el más antiguo, sustanciado bajo el índice de esta Ponencia, de conformidad con el numeral </w:t>
      </w:r>
      <w:r w:rsidRPr="00260660">
        <w:rPr>
          <w:rFonts w:ascii="Palatino Linotype" w:eastAsia="Palatino Linotype" w:hAnsi="Palatino Linotype" w:cs="Palatino Linotype"/>
          <w:b/>
          <w:color w:val="000000" w:themeColor="text1"/>
          <w:sz w:val="24"/>
          <w:szCs w:val="24"/>
        </w:rPr>
        <w:t xml:space="preserve">ONCE </w:t>
      </w:r>
      <w:r w:rsidRPr="00260660">
        <w:rPr>
          <w:rFonts w:ascii="Palatino Linotype" w:eastAsia="Palatino Linotype" w:hAnsi="Palatino Linotype" w:cs="Palatino Linotype"/>
          <w:color w:val="000000" w:themeColor="text1"/>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b/>
          <w:i/>
          <w:color w:val="000000" w:themeColor="text1"/>
          <w:sz w:val="24"/>
          <w:szCs w:val="24"/>
        </w:rPr>
        <w:t>ONCE.</w:t>
      </w:r>
      <w:r w:rsidRPr="00260660">
        <w:rPr>
          <w:rFonts w:ascii="Palatino Linotype" w:eastAsia="Palatino Linotype" w:hAnsi="Palatino Linotype" w:cs="Palatino Linotype"/>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b) Las partes o los actos impugnados sean iguales</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c) Cuando se trate del mismo solicitante, el mismo </w:t>
      </w:r>
      <w:r w:rsidRPr="00260660">
        <w:rPr>
          <w:rFonts w:ascii="Palatino Linotype" w:eastAsia="Palatino Linotype" w:hAnsi="Palatino Linotype" w:cs="Palatino Linotype"/>
          <w:b/>
          <w:i/>
          <w:color w:val="000000" w:themeColor="text1"/>
          <w:sz w:val="24"/>
          <w:szCs w:val="24"/>
        </w:rPr>
        <w:t>SUJETO OBLIGADO</w:t>
      </w:r>
      <w:r w:rsidRPr="00260660">
        <w:rPr>
          <w:rFonts w:ascii="Palatino Linotype" w:eastAsia="Palatino Linotype" w:hAnsi="Palatino Linotype" w:cs="Palatino Linotype"/>
          <w:i/>
          <w:color w:val="000000" w:themeColor="text1"/>
          <w:sz w:val="24"/>
          <w:szCs w:val="24"/>
        </w:rPr>
        <w:t>, aunque se trate de solicitudes diversas;</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w:t>
      </w:r>
    </w:p>
    <w:p w:rsidR="0097415E" w:rsidRPr="00260660" w:rsidRDefault="0097415E" w:rsidP="00260660">
      <w:pPr>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En ese tenor resultó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7415E" w:rsidRPr="00260660" w:rsidRDefault="00184121" w:rsidP="00260660">
      <w:pPr>
        <w:spacing w:after="0"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Código de Procedimientos Administrativos del Estado de México.</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w:t>
      </w:r>
      <w:r w:rsidRPr="00260660">
        <w:rPr>
          <w:rFonts w:ascii="Palatino Linotype" w:eastAsia="Palatino Linotype" w:hAnsi="Palatino Linotype" w:cs="Palatino Linotype"/>
          <w:b/>
          <w:i/>
          <w:color w:val="000000" w:themeColor="text1"/>
          <w:sz w:val="24"/>
          <w:szCs w:val="24"/>
        </w:rPr>
        <w:t>Artículo 18.-</w:t>
      </w:r>
      <w:r w:rsidRPr="00260660">
        <w:rPr>
          <w:rFonts w:ascii="Palatino Linotype" w:eastAsia="Palatino Linotype" w:hAnsi="Palatino Linotype" w:cs="Palatino Linotype"/>
          <w:i/>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w:t>
      </w:r>
      <w:r w:rsidRPr="00260660">
        <w:rPr>
          <w:rFonts w:ascii="Palatino Linotype" w:eastAsia="Palatino Linotype" w:hAnsi="Palatino Linotype" w:cs="Palatino Linotype"/>
          <w:i/>
          <w:color w:val="000000" w:themeColor="text1"/>
          <w:sz w:val="24"/>
          <w:szCs w:val="24"/>
        </w:rPr>
        <w:lastRenderedPageBreak/>
        <w:t>trámite unificado de los asuntos, para evitar la emisión de resoluciones contradictorias. La misma regla se aplicará, en lo conducente, para la separación de los expedientes.”</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Ley de Transparencia y Acceso a la Información Pública del Estado de México y Municipios</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“Artículo 195. En la tramitación del recurso de revisión se aplicarán supletoriamente las disposiciones contenidas en el Código de Procedimientos Administrativos del Estado de México.”</w:t>
      </w:r>
    </w:p>
    <w:p w:rsidR="0097415E" w:rsidRPr="00260660" w:rsidRDefault="0097415E" w:rsidP="00260660">
      <w:pPr>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spacing w:after="0" w:line="360" w:lineRule="auto"/>
        <w:jc w:val="center"/>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b/>
          <w:i/>
          <w:color w:val="000000" w:themeColor="text1"/>
          <w:sz w:val="24"/>
          <w:szCs w:val="24"/>
        </w:rPr>
        <w:t>Ley de Transparencia y Acceso a la Información Pública del Estado de México y Municipios</w:t>
      </w:r>
    </w:p>
    <w:p w:rsidR="0097415E" w:rsidRPr="00260660" w:rsidRDefault="00184121" w:rsidP="00260660">
      <w:pP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b/>
          <w:i/>
          <w:color w:val="000000" w:themeColor="text1"/>
          <w:sz w:val="24"/>
          <w:szCs w:val="24"/>
        </w:rPr>
        <w:t>“Artículo 195.</w:t>
      </w:r>
      <w:r w:rsidRPr="00260660">
        <w:rPr>
          <w:rFonts w:ascii="Palatino Linotype" w:eastAsia="Palatino Linotype" w:hAnsi="Palatino Linotype" w:cs="Palatino Linotype"/>
          <w:i/>
          <w:color w:val="000000" w:themeColor="text1"/>
          <w:sz w:val="24"/>
          <w:szCs w:val="24"/>
        </w:rPr>
        <w:t xml:space="preserve"> En la tramitación del recurso de revisión se aplicarán supletoriamente las disposiciones contenidas en el Código de Procedimientos Administrativos del Estado de México.”</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El </w:t>
      </w:r>
      <w:r w:rsidRPr="00260660">
        <w:rPr>
          <w:rFonts w:ascii="Palatino Linotype" w:eastAsia="Palatino Linotype" w:hAnsi="Palatino Linotype" w:cs="Palatino Linotype"/>
          <w:b/>
          <w:color w:val="000000" w:themeColor="text1"/>
          <w:sz w:val="24"/>
          <w:szCs w:val="24"/>
        </w:rPr>
        <w:t>cuatro de agosto de dos mil veinticinco</w:t>
      </w:r>
      <w:r w:rsidRPr="00260660">
        <w:rPr>
          <w:rFonts w:ascii="Palatino Linotype" w:eastAsia="Palatino Linotype" w:hAnsi="Palatino Linotype" w:cs="Palatino Linotype"/>
          <w:color w:val="000000" w:themeColor="text1"/>
          <w:sz w:val="24"/>
          <w:szCs w:val="24"/>
        </w:rPr>
        <w:t xml:space="preserve">, se amplió el término para resolver los recursos que integran el presente. En la Vigésima Sexta Sesión Ordinaria celebrada el </w:t>
      </w:r>
      <w:r w:rsidRPr="00260660">
        <w:rPr>
          <w:rFonts w:ascii="Palatino Linotype" w:eastAsia="Palatino Linotype" w:hAnsi="Palatino Linotype" w:cs="Palatino Linotype"/>
          <w:b/>
          <w:color w:val="000000" w:themeColor="text1"/>
          <w:sz w:val="24"/>
          <w:szCs w:val="24"/>
        </w:rPr>
        <w:t>dieciséis de julio de dos mil veinticinco</w:t>
      </w:r>
      <w:r w:rsidRPr="00260660">
        <w:rPr>
          <w:rFonts w:ascii="Palatino Linotype" w:eastAsia="Palatino Linotype" w:hAnsi="Palatino Linotype" w:cs="Palatino Linotype"/>
          <w:color w:val="000000" w:themeColor="text1"/>
          <w:sz w:val="24"/>
          <w:szCs w:val="24"/>
        </w:rPr>
        <w:t xml:space="preserve"> se aprobó por unanimidad la resolución que recayó a los recursos de revisión objeto de acumulación; la cual fue notificada a las partes en fecha </w:t>
      </w:r>
      <w:r w:rsidRPr="00260660">
        <w:rPr>
          <w:rFonts w:ascii="Palatino Linotype" w:eastAsia="Palatino Linotype" w:hAnsi="Palatino Linotype" w:cs="Palatino Linotype"/>
          <w:b/>
          <w:color w:val="000000" w:themeColor="text1"/>
          <w:sz w:val="24"/>
          <w:szCs w:val="24"/>
        </w:rPr>
        <w:t>cuatro de agosto de dos mil veinticinco</w:t>
      </w:r>
      <w:r w:rsidRPr="00260660">
        <w:rPr>
          <w:rFonts w:ascii="Palatino Linotype" w:eastAsia="Palatino Linotype" w:hAnsi="Palatino Linotype" w:cs="Palatino Linotype"/>
          <w:color w:val="000000" w:themeColor="text1"/>
          <w:sz w:val="24"/>
          <w:szCs w:val="24"/>
        </w:rPr>
        <w:t>. En la que se ordenó lo siguiente:</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a) Autorizaciones de cambio de uso de suelo, licencias de construcción, prórrogas de Licencia de Construcción, Constancias de Terminación de Obra, Cédula Informativa de Zonificación, remitidas en Informe Justificado en de manera completa y en correcta versión pública.</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b) Autorizaciones de cambio de uso de suelo, Licencias de construcción, prórrogas de Licencia de Construcción, Constancias de Terminación de Obra, Cédula Informativa de Zonificación faltantes del uno de enero al doce de marzo de dos mil veinticinco</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color w:val="000000" w:themeColor="text1"/>
          <w:sz w:val="24"/>
          <w:szCs w:val="24"/>
        </w:rPr>
        <w:lastRenderedPageBreak/>
        <w:t xml:space="preserve">En </w:t>
      </w:r>
      <w:r w:rsidRPr="00260660">
        <w:rPr>
          <w:rFonts w:ascii="Palatino Linotype" w:eastAsia="Palatino Linotype" w:hAnsi="Palatino Linotype" w:cs="Palatino Linotype"/>
          <w:b/>
          <w:color w:val="000000" w:themeColor="text1"/>
          <w:sz w:val="24"/>
          <w:szCs w:val="24"/>
        </w:rPr>
        <w:t>fecha quince de agosto de dos mil veinticinco</w:t>
      </w:r>
      <w:r w:rsidRPr="00260660">
        <w:rPr>
          <w:rFonts w:ascii="Palatino Linotype" w:eastAsia="Palatino Linotype" w:hAnsi="Palatino Linotype" w:cs="Palatino Linotype"/>
          <w:color w:val="000000" w:themeColor="text1"/>
          <w:sz w:val="24"/>
          <w:szCs w:val="24"/>
        </w:rPr>
        <w:t xml:space="preserve">,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emitió una respuesta adjuntando para tal efecto un archivo de nominado </w:t>
      </w:r>
      <w:r w:rsidRPr="00260660">
        <w:rPr>
          <w:rFonts w:ascii="Palatino Linotype" w:eastAsia="Palatino Linotype" w:hAnsi="Palatino Linotype" w:cs="Palatino Linotype"/>
          <w:b/>
          <w:i/>
          <w:color w:val="000000" w:themeColor="text1"/>
          <w:sz w:val="24"/>
          <w:szCs w:val="24"/>
        </w:rPr>
        <w:t>04098-INFOEM-IP-RR-2025.zip</w:t>
      </w:r>
      <w:r w:rsidRPr="00260660">
        <w:rPr>
          <w:rFonts w:ascii="Palatino Linotype" w:eastAsia="Palatino Linotype" w:hAnsi="Palatino Linotype" w:cs="Palatino Linotype"/>
          <w:color w:val="000000" w:themeColor="text1"/>
          <w:sz w:val="24"/>
          <w:szCs w:val="24"/>
        </w:rPr>
        <w:t>, que corresponde a un archivo comprimido que a su vez contiene siete elementos cuyo contenido corresponde a versiones públicas de diversas documentales que corresponden a las ordenadas en los incisos a) y b) de la resolución aprobada.</w:t>
      </w:r>
    </w:p>
    <w:p w:rsidR="0097415E" w:rsidRPr="00260660" w:rsidRDefault="0097415E" w:rsidP="00260660">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Finalmente, el </w:t>
      </w:r>
      <w:r w:rsidRPr="00260660">
        <w:rPr>
          <w:rFonts w:ascii="Palatino Linotype" w:eastAsia="Palatino Linotype" w:hAnsi="Palatino Linotype" w:cs="Palatino Linotype"/>
          <w:b/>
          <w:color w:val="000000" w:themeColor="text1"/>
          <w:sz w:val="24"/>
          <w:szCs w:val="24"/>
        </w:rPr>
        <w:t>quince de octubre de dos mil veinticinco</w:t>
      </w:r>
      <w:r w:rsidRPr="00260660">
        <w:rPr>
          <w:rFonts w:ascii="Palatino Linotype" w:eastAsia="Palatino Linotype" w:hAnsi="Palatino Linotype" w:cs="Palatino Linotype"/>
          <w:color w:val="000000" w:themeColor="text1"/>
          <w:sz w:val="24"/>
          <w:szCs w:val="24"/>
        </w:rPr>
        <w:t>, la</w:t>
      </w:r>
      <w:r w:rsidRPr="00260660">
        <w:rPr>
          <w:rFonts w:ascii="Palatino Linotype" w:eastAsia="Palatino Linotype" w:hAnsi="Palatino Linotype" w:cs="Palatino Linotype"/>
          <w:b/>
          <w:color w:val="000000" w:themeColor="text1"/>
          <w:sz w:val="24"/>
          <w:szCs w:val="24"/>
        </w:rPr>
        <w:t xml:space="preserve"> Comisionada María del Rosario Mejía Ayala</w:t>
      </w:r>
      <w:r w:rsidRPr="00260660">
        <w:rPr>
          <w:rFonts w:ascii="Palatino Linotype" w:eastAsia="Palatino Linotype" w:hAnsi="Palatino Linotype" w:cs="Palatino Linotype"/>
          <w:color w:val="000000" w:themeColor="text1"/>
          <w:sz w:val="24"/>
          <w:szCs w:val="24"/>
        </w:rPr>
        <w:t xml:space="preserve"> decretó el cierre del periodo de instrucción de los recursos</w:t>
      </w:r>
      <w:r w:rsidR="00F45059">
        <w:rPr>
          <w:rFonts w:ascii="Palatino Linotype" w:eastAsia="Palatino Linotype" w:hAnsi="Palatino Linotype" w:cs="Palatino Linotype"/>
          <w:color w:val="000000" w:themeColor="text1"/>
          <w:sz w:val="24"/>
          <w:szCs w:val="24"/>
        </w:rPr>
        <w:t xml:space="preserve"> de revisión que nos ocupan; y </w:t>
      </w:r>
    </w:p>
    <w:p w:rsidR="0097415E" w:rsidRPr="00260660" w:rsidRDefault="0097415E" w:rsidP="00260660">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rsidR="0097415E" w:rsidRPr="00260660" w:rsidRDefault="00184121" w:rsidP="0026066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C O N S I D E R A N D O</w:t>
      </w:r>
    </w:p>
    <w:p w:rsidR="0097415E" w:rsidRPr="00260660" w:rsidRDefault="0097415E" w:rsidP="0026066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97415E" w:rsidRPr="00260660" w:rsidRDefault="00184121" w:rsidP="00260660">
      <w:pPr>
        <w:keepNext/>
        <w:keepLines/>
        <w:spacing w:after="0" w:line="360" w:lineRule="auto"/>
        <w:rPr>
          <w:rFonts w:ascii="Palatino Linotype" w:eastAsia="Palatino Linotype" w:hAnsi="Palatino Linotype" w:cs="Palatino Linotype"/>
          <w:b/>
          <w:color w:val="000000" w:themeColor="text1"/>
          <w:sz w:val="24"/>
          <w:szCs w:val="24"/>
        </w:rPr>
      </w:pPr>
      <w:bookmarkStart w:id="2" w:name="_heading=h.2et92p0" w:colFirst="0" w:colLast="0"/>
      <w:bookmarkEnd w:id="2"/>
      <w:r w:rsidRPr="00260660">
        <w:rPr>
          <w:rFonts w:ascii="Palatino Linotype" w:eastAsia="Palatino Linotype" w:hAnsi="Palatino Linotype" w:cs="Palatino Linotype"/>
          <w:b/>
          <w:color w:val="000000" w:themeColor="text1"/>
          <w:sz w:val="24"/>
          <w:szCs w:val="24"/>
        </w:rPr>
        <w:t>PRIMERO. De la competencia</w:t>
      </w: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tyjcwt" w:colFirst="0" w:colLast="0"/>
      <w:bookmarkEnd w:id="3"/>
      <w:r w:rsidRPr="00260660">
        <w:rPr>
          <w:rFonts w:ascii="Palatino Linotype" w:eastAsia="Palatino Linotype" w:hAnsi="Palatino Linotype" w:cs="Palatino Linotype"/>
          <w:b/>
          <w:color w:val="000000" w:themeColor="text1"/>
          <w:sz w:val="24"/>
          <w:szCs w:val="24"/>
        </w:rPr>
        <w:lastRenderedPageBreak/>
        <w:t>SEGUNDO. De la oportunidad y procedencia.</w:t>
      </w:r>
    </w:p>
    <w:p w:rsidR="0097415E" w:rsidRPr="00260660" w:rsidRDefault="00184121" w:rsidP="00260660">
      <w:pPr>
        <w:numPr>
          <w:ilvl w:val="0"/>
          <w:numId w:val="1"/>
        </w:numP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260660">
        <w:rPr>
          <w:rFonts w:ascii="Palatino Linotype" w:eastAsia="Palatino Linotype" w:hAnsi="Palatino Linotype" w:cs="Palatino Linotype"/>
          <w:b/>
          <w:color w:val="000000" w:themeColor="text1"/>
          <w:sz w:val="24"/>
          <w:szCs w:val="24"/>
        </w:rPr>
        <w:t>LA RECURRENTE</w:t>
      </w:r>
      <w:r w:rsidRPr="00260660">
        <w:rPr>
          <w:rFonts w:ascii="Palatino Linotype" w:eastAsia="Palatino Linotype" w:hAnsi="Palatino Linotype" w:cs="Palatino Linotype"/>
          <w:color w:val="000000" w:themeColor="text1"/>
          <w:sz w:val="24"/>
          <w:szCs w:val="24"/>
        </w:rPr>
        <w:t xml:space="preserve"> ante otra instancia.</w:t>
      </w:r>
    </w:p>
    <w:p w:rsidR="0097415E" w:rsidRPr="00260660" w:rsidRDefault="0097415E" w:rsidP="00260660">
      <w:pP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Finalmente, el escrito contiene las formalidades previstas por el artículo 180 último párrafo de la citada Ley de la materia, por lo que es procedente que este Instituto conozca y resuelva el presente Recurso.</w:t>
      </w:r>
    </w:p>
    <w:p w:rsidR="0097415E" w:rsidRPr="00260660" w:rsidRDefault="0097415E" w:rsidP="00260660">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rsidR="0097415E" w:rsidRPr="00260660" w:rsidRDefault="00184121" w:rsidP="00260660">
      <w:pPr>
        <w:keepNext/>
        <w:keepLines/>
        <w:spacing w:after="0" w:line="360" w:lineRule="auto"/>
        <w:rPr>
          <w:rFonts w:ascii="Palatino Linotype" w:eastAsia="Palatino Linotype" w:hAnsi="Palatino Linotype" w:cs="Palatino Linotype"/>
          <w:b/>
          <w:color w:val="000000" w:themeColor="text1"/>
          <w:sz w:val="24"/>
          <w:szCs w:val="24"/>
        </w:rPr>
      </w:pPr>
      <w:bookmarkStart w:id="4" w:name="_heading=h.gjdgxs" w:colFirst="0" w:colLast="0"/>
      <w:bookmarkEnd w:id="4"/>
      <w:r w:rsidRPr="00260660">
        <w:rPr>
          <w:rFonts w:ascii="Palatino Linotype" w:eastAsia="Palatino Linotype" w:hAnsi="Palatino Linotype" w:cs="Palatino Linotype"/>
          <w:b/>
          <w:color w:val="000000" w:themeColor="text1"/>
          <w:sz w:val="24"/>
          <w:szCs w:val="24"/>
        </w:rPr>
        <w:t>TERCERO. De las causales de sobreseimiento</w:t>
      </w:r>
    </w:p>
    <w:p w:rsidR="0097415E" w:rsidRPr="00260660" w:rsidRDefault="00184121" w:rsidP="00260660">
      <w:pPr>
        <w:numPr>
          <w:ilvl w:val="0"/>
          <w:numId w:val="1"/>
        </w:numP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De las constancias en el expediente al rubro indicado, se desprende que el Pleno de este Instituto ordeno al Ayuntamiento de Tultepec entregar vía Sistema de Acceso a la Información Mexiquense (SAIMEX), la siguiente información. </w:t>
      </w:r>
    </w:p>
    <w:p w:rsidR="0097415E" w:rsidRPr="00260660" w:rsidRDefault="00184121" w:rsidP="00260660">
      <w:pPr>
        <w:numPr>
          <w:ilvl w:val="0"/>
          <w:numId w:val="3"/>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Autorizaciones de cambio de uso de suelo, licencias de construcción, prórrogas de Licencia de Construcción, Constancias de Terminación de Obra, Cédula Informativa de Zonificación, remitidas en Informe Justificado en de manera completa y en correcta versión pública.</w:t>
      </w:r>
    </w:p>
    <w:p w:rsidR="0097415E" w:rsidRPr="00260660" w:rsidRDefault="00184121" w:rsidP="00260660">
      <w:pPr>
        <w:numPr>
          <w:ilvl w:val="0"/>
          <w:numId w:val="3"/>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Autorizaciones de cambio de uso de suelo, Licencias de construcción, prórrogas de Licencia de Construcción, Constancias de Terminación de Obra, Cédula Informativa de Zonificación faltantes del uno de enero al doce de marzo de dos mil veinticinco.</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A lo que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remitió la información descrita en el anterior Párrafo 10. Inconforme con lo anterior, la parte </w:t>
      </w:r>
      <w:r w:rsidRPr="00260660">
        <w:rPr>
          <w:rFonts w:ascii="Palatino Linotype" w:eastAsia="Palatino Linotype" w:hAnsi="Palatino Linotype" w:cs="Palatino Linotype"/>
          <w:b/>
          <w:color w:val="000000" w:themeColor="text1"/>
          <w:sz w:val="24"/>
          <w:szCs w:val="24"/>
        </w:rPr>
        <w:t xml:space="preserve">RECURRENTE </w:t>
      </w:r>
      <w:r w:rsidRPr="00260660">
        <w:rPr>
          <w:rFonts w:ascii="Palatino Linotype" w:eastAsia="Palatino Linotype" w:hAnsi="Palatino Linotype" w:cs="Palatino Linotype"/>
          <w:color w:val="000000" w:themeColor="text1"/>
          <w:sz w:val="24"/>
          <w:szCs w:val="24"/>
        </w:rPr>
        <w:t xml:space="preserve">interpuso segundo recurso de </w:t>
      </w:r>
      <w:r w:rsidRPr="00260660">
        <w:rPr>
          <w:rFonts w:ascii="Palatino Linotype" w:eastAsia="Palatino Linotype" w:hAnsi="Palatino Linotype" w:cs="Palatino Linotype"/>
          <w:color w:val="000000" w:themeColor="text1"/>
          <w:sz w:val="24"/>
          <w:szCs w:val="24"/>
        </w:rPr>
        <w:lastRenderedPageBreak/>
        <w:t>revisión en contra del cumplimiento emitido a la resolución, arguyendo la entrega de la información que no corresponde con la solicitada.</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En dichas condiciones, la </w:t>
      </w:r>
      <w:r w:rsidRPr="00260660">
        <w:rPr>
          <w:rFonts w:ascii="Palatino Linotype" w:eastAsia="Palatino Linotype" w:hAnsi="Palatino Linotype" w:cs="Palatino Linotype"/>
          <w:i/>
          <w:color w:val="000000" w:themeColor="text1"/>
          <w:sz w:val="24"/>
          <w:szCs w:val="24"/>
        </w:rPr>
        <w:t>Litis</w:t>
      </w:r>
      <w:r w:rsidRPr="00260660">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Pr="00260660">
        <w:rPr>
          <w:rFonts w:ascii="Palatino Linotype" w:eastAsia="Palatino Linotype" w:hAnsi="Palatino Linotype" w:cs="Palatino Linotype"/>
          <w:b/>
          <w:color w:val="000000" w:themeColor="text1"/>
          <w:sz w:val="24"/>
          <w:szCs w:val="24"/>
        </w:rPr>
        <w:t xml:space="preserve">fracción VI </w:t>
      </w:r>
      <w:r w:rsidRPr="00260660">
        <w:rPr>
          <w:rFonts w:ascii="Palatino Linotype" w:eastAsia="Palatino Linotype" w:hAnsi="Palatino Linotype" w:cs="Palatino Linotype"/>
          <w:color w:val="000000" w:themeColor="text1"/>
          <w:sz w:val="24"/>
          <w:szCs w:val="24"/>
        </w:rPr>
        <w:t>de la Ley</w:t>
      </w:r>
      <w:r w:rsidRPr="00260660">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260660">
        <w:rPr>
          <w:rFonts w:ascii="Palatino Linotype" w:eastAsia="Palatino Linotype" w:hAnsi="Palatino Linotype" w:cs="Palatino Linotype"/>
          <w:color w:val="000000" w:themeColor="text1"/>
          <w:sz w:val="24"/>
          <w:szCs w:val="24"/>
        </w:rPr>
        <w:t>México</w:t>
      </w:r>
      <w:r w:rsidRPr="00260660">
        <w:rPr>
          <w:rFonts w:ascii="Palatino Linotype" w:eastAsia="Palatino Linotype" w:hAnsi="Palatino Linotype" w:cs="Palatino Linotype"/>
          <w:b/>
          <w:color w:val="000000" w:themeColor="text1"/>
          <w:sz w:val="24"/>
          <w:szCs w:val="24"/>
        </w:rPr>
        <w:t xml:space="preserve"> y Municipios</w:t>
      </w:r>
      <w:r w:rsidRPr="00260660">
        <w:rPr>
          <w:rFonts w:ascii="Palatino Linotype" w:eastAsia="Palatino Linotype" w:hAnsi="Palatino Linotype" w:cs="Palatino Linotype"/>
          <w:color w:val="000000" w:themeColor="text1"/>
          <w:sz w:val="24"/>
          <w:szCs w:val="24"/>
        </w:rPr>
        <w:t xml:space="preserve">; fracción que determina la entrega de información que no corresponda con lo solicitado; contexto del cual se dolió </w:t>
      </w:r>
      <w:r w:rsidRPr="00260660">
        <w:rPr>
          <w:rFonts w:ascii="Palatino Linotype" w:eastAsia="Palatino Linotype" w:hAnsi="Palatino Linotype" w:cs="Palatino Linotype"/>
          <w:b/>
          <w:color w:val="000000" w:themeColor="text1"/>
          <w:sz w:val="24"/>
          <w:szCs w:val="24"/>
        </w:rPr>
        <w:t xml:space="preserve">EL RECURRENTE </w:t>
      </w:r>
      <w:r w:rsidRPr="00260660">
        <w:rPr>
          <w:rFonts w:ascii="Palatino Linotype" w:eastAsia="Palatino Linotype" w:hAnsi="Palatino Linotype" w:cs="Palatino Linotype"/>
          <w:color w:val="000000" w:themeColor="text1"/>
          <w:sz w:val="24"/>
          <w:szCs w:val="24"/>
        </w:rPr>
        <w:t>al momento de interponer su inconformidad.</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con su respuesta ciertamente actualiza la causal de procedencia</w:t>
      </w:r>
      <w:r w:rsidRPr="00260660">
        <w:rPr>
          <w:rFonts w:ascii="Palatino Linotype" w:eastAsia="Palatino Linotype" w:hAnsi="Palatino Linotype" w:cs="Palatino Linotype"/>
          <w:b/>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7415E" w:rsidRPr="00260660" w:rsidRDefault="0097415E" w:rsidP="00260660">
      <w:pP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En ese sentido, del cumplimiento emitido se desprende que contrario a lo argüido por la solicitante, lo entregado si corresponde con lo ordenado. Toda vez que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ciertamente dio observancia a lo que se instruyó en la resolución primigenia; señalando que lo entregado corresponde del día dos de enero al doce de marzo de dos mil veinticinco. De dicho pronunciamiento este Instituto no esta este Órgano Garante no se encuentra facultado para dudar de su veracidad de la información que le fue entregada al hoy </w:t>
      </w:r>
      <w:r w:rsidRPr="00260660">
        <w:rPr>
          <w:rFonts w:ascii="Palatino Linotype" w:eastAsia="Palatino Linotype" w:hAnsi="Palatino Linotype" w:cs="Palatino Linotype"/>
          <w:b/>
          <w:color w:val="000000" w:themeColor="text1"/>
          <w:sz w:val="24"/>
          <w:szCs w:val="24"/>
        </w:rPr>
        <w:t>RECURRENTE</w:t>
      </w:r>
      <w:r w:rsidRPr="00260660">
        <w:rPr>
          <w:rFonts w:ascii="Palatino Linotype" w:eastAsia="Palatino Linotype" w:hAnsi="Palatino Linotype" w:cs="Palatino Linotype"/>
          <w:color w:val="000000" w:themeColor="text1"/>
          <w:sz w:val="24"/>
          <w:szCs w:val="24"/>
        </w:rPr>
        <w:t xml:space="preserve"> en el presente asunto, ni de las respuestas, ni de las documentales que </w:t>
      </w:r>
      <w:r w:rsidRPr="00260660">
        <w:rPr>
          <w:rFonts w:ascii="Palatino Linotype" w:eastAsia="Palatino Linotype" w:hAnsi="Palatino Linotype" w:cs="Palatino Linotype"/>
          <w:color w:val="000000" w:themeColor="text1"/>
          <w:sz w:val="24"/>
          <w:szCs w:val="24"/>
        </w:rPr>
        <w:lastRenderedPageBreak/>
        <w:t xml:space="preserve">ponen a disposición de los solicitantes los sujetos obligados, situación que se aleja de las atribuciones de este Instituto </w:t>
      </w:r>
      <w:r w:rsidRPr="00260660">
        <w:rPr>
          <w:rFonts w:ascii="Palatino Linotype" w:eastAsia="Palatino Linotype" w:hAnsi="Palatino Linotype" w:cs="Palatino Linotype"/>
          <w:i/>
          <w:color w:val="000000" w:themeColor="text1"/>
          <w:sz w:val="24"/>
          <w:szCs w:val="24"/>
        </w:rPr>
        <w:t>máxime</w:t>
      </w:r>
      <w:r w:rsidRPr="00260660">
        <w:rPr>
          <w:rFonts w:ascii="Palatino Linotype" w:eastAsia="Palatino Linotype" w:hAnsi="Palatino Linotype" w:cs="Palatino Linotype"/>
          <w:color w:val="000000" w:themeColor="text1"/>
          <w:sz w:val="24"/>
          <w:szCs w:val="24"/>
        </w:rPr>
        <w:t xml:space="preserve"> que al momento que ponen a disposición ésta, la misma tiene el carácter oficial y se presume veraz, tan es así que la misma queda registrada en el Sistema de Acceso a la Información Mexiquense (SAIMEX).</w:t>
      </w:r>
    </w:p>
    <w:p w:rsidR="0097415E" w:rsidRPr="00260660" w:rsidRDefault="0097415E" w:rsidP="00260660">
      <w:pPr>
        <w:pBdr>
          <w:top w:val="nil"/>
          <w:left w:val="nil"/>
          <w:bottom w:val="nil"/>
          <w:right w:val="nil"/>
          <w:between w:val="nil"/>
        </w:pBdr>
        <w:spacing w:after="0" w:line="360" w:lineRule="auto"/>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Sirviendo de apoyo a lo anterior por analogía, el criterio 31-10 emitido por el ahora Instituto Nacional de Transparencia, Acceso a la Información y Protección de Datos Personales, que a la letra dice:</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“El Instituto Federal de Acceso a la Información y Protección de Datos </w:t>
      </w:r>
      <w:r w:rsidRPr="00260660">
        <w:rPr>
          <w:rFonts w:ascii="Palatino Linotype" w:eastAsia="Palatino Linotype" w:hAnsi="Palatino Linotype" w:cs="Palatino Linotype"/>
          <w:b/>
          <w:i/>
          <w:color w:val="000000" w:themeColor="text1"/>
          <w:sz w:val="24"/>
          <w:szCs w:val="24"/>
        </w:rPr>
        <w:t>no cuenta con facultades para pronunciarse respecto de la veracidad de los documentos proporcionados por los sujetos obligados.</w:t>
      </w:r>
      <w:r w:rsidRPr="00260660">
        <w:rPr>
          <w:rFonts w:ascii="Palatino Linotype" w:eastAsia="Palatino Linotype" w:hAnsi="Palatino Linotype" w:cs="Palatino Linotype"/>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Así como lo dispuesto por la </w:t>
      </w:r>
      <w:r w:rsidRPr="00260660">
        <w:rPr>
          <w:rFonts w:ascii="Palatino Linotype" w:eastAsia="Palatino Linotype" w:hAnsi="Palatino Linotype" w:cs="Palatino Linotype"/>
          <w:b/>
          <w:color w:val="000000" w:themeColor="text1"/>
          <w:sz w:val="24"/>
          <w:szCs w:val="24"/>
        </w:rPr>
        <w:t xml:space="preserve">Ley de Transparencia y Acceso a la Información Pública del </w:t>
      </w:r>
      <w:r w:rsidRPr="00260660">
        <w:rPr>
          <w:rFonts w:ascii="Palatino Linotype" w:eastAsia="Palatino Linotype" w:hAnsi="Palatino Linotype" w:cs="Palatino Linotype"/>
          <w:color w:val="000000" w:themeColor="text1"/>
          <w:sz w:val="24"/>
          <w:szCs w:val="24"/>
        </w:rPr>
        <w:t>Estado</w:t>
      </w:r>
      <w:r w:rsidRPr="00260660">
        <w:rPr>
          <w:rFonts w:ascii="Palatino Linotype" w:eastAsia="Palatino Linotype" w:hAnsi="Palatino Linotype" w:cs="Palatino Linotype"/>
          <w:b/>
          <w:color w:val="000000" w:themeColor="text1"/>
          <w:sz w:val="24"/>
          <w:szCs w:val="24"/>
        </w:rPr>
        <w:t xml:space="preserve"> de México y Municipios</w:t>
      </w:r>
      <w:r w:rsidRPr="00260660">
        <w:rPr>
          <w:rFonts w:ascii="Palatino Linotype" w:eastAsia="Palatino Linotype" w:hAnsi="Palatino Linotype" w:cs="Palatino Linotype"/>
          <w:color w:val="000000" w:themeColor="text1"/>
          <w:sz w:val="24"/>
          <w:szCs w:val="24"/>
        </w:rPr>
        <w:t xml:space="preserve"> en su artículo 3, el cual establece que la información pública generada, administrada o en posesión de los sujetos obligados en ejercicio de sus atribuciones, será accesible de manera permanente a cualquier persona, privilegiando el </w:t>
      </w:r>
      <w:r w:rsidRPr="00260660">
        <w:rPr>
          <w:rFonts w:ascii="Palatino Linotype" w:eastAsia="Palatino Linotype" w:hAnsi="Palatino Linotype" w:cs="Palatino Linotype"/>
          <w:color w:val="000000" w:themeColor="text1"/>
          <w:sz w:val="24"/>
          <w:szCs w:val="24"/>
        </w:rPr>
        <w:lastRenderedPageBreak/>
        <w:t>principio de máxima publicidad de la información, por lo que deberán apegarse en todo momento a los criterios de publicidad, veracidad, oportunidad entre otros, numeral en comento que a la letra señala:</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60660">
        <w:rPr>
          <w:rFonts w:ascii="Palatino Linotype" w:eastAsia="Palatino Linotype" w:hAnsi="Palatino Linotype" w:cs="Palatino Linotype"/>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Numerales que compelen al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apegarse en todo momento a los criterios ya expuestos, impidiendo a este Órgano Colegiado cuestionar la veracidad de la información.</w:t>
      </w:r>
    </w:p>
    <w:p w:rsidR="0097415E" w:rsidRPr="00260660" w:rsidRDefault="0097415E" w:rsidP="00260660">
      <w:pPr>
        <w:pBdr>
          <w:top w:val="nil"/>
          <w:left w:val="nil"/>
          <w:bottom w:val="nil"/>
          <w:right w:val="nil"/>
          <w:between w:val="nil"/>
        </w:pBdr>
        <w:tabs>
          <w:tab w:val="left" w:pos="0"/>
          <w:tab w:val="left" w:pos="142"/>
        </w:tabs>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Por otro lado, se advierte que lo entregado se remitió en versión pública de acuerdo a como le fue instruido al sujeto obligado en el Resolutivo Segundo inciso a) de la resolución aprobada. Adicional a lo anterior se remitió un Acta del Comité de Transparencia que pretende fundar y motivar la clasificación de los datos personales protegidos. No obstante la versión pública generada para el cumplimiento de la resolución resulta deficiente; pues de su análisis se desprender que los datos testados, son susceptibles de modificación: es decir que los recuadros pueden ser movidos o suprimidos.</w:t>
      </w: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Luego entonces se concluye que los datos personales fueron indebidamente protegidos y prevalecen expuestos. No obstante la información ya fue remitida al particular y ya ha tenido acceso a la misma, resultando redundante volver a ordenar la información a </w:t>
      </w:r>
      <w:r w:rsidRPr="00260660">
        <w:rPr>
          <w:rFonts w:ascii="Palatino Linotype" w:eastAsia="Palatino Linotype" w:hAnsi="Palatino Linotype" w:cs="Palatino Linotype"/>
          <w:color w:val="000000" w:themeColor="text1"/>
          <w:sz w:val="24"/>
          <w:szCs w:val="24"/>
        </w:rPr>
        <w:lastRenderedPageBreak/>
        <w:t xml:space="preserve">la que ya ha tenido acceso la parte </w:t>
      </w:r>
      <w:r w:rsidRPr="00260660">
        <w:rPr>
          <w:rFonts w:ascii="Palatino Linotype" w:eastAsia="Palatino Linotype" w:hAnsi="Palatino Linotype" w:cs="Palatino Linotype"/>
          <w:b/>
          <w:color w:val="000000" w:themeColor="text1"/>
          <w:sz w:val="24"/>
          <w:szCs w:val="24"/>
        </w:rPr>
        <w:t>RECURRENTE</w:t>
      </w:r>
      <w:r w:rsidRPr="00260660">
        <w:rPr>
          <w:rFonts w:ascii="Palatino Linotype" w:eastAsia="Palatino Linotype" w:hAnsi="Palatino Linotype" w:cs="Palatino Linotype"/>
          <w:color w:val="000000" w:themeColor="text1"/>
          <w:sz w:val="24"/>
          <w:szCs w:val="24"/>
        </w:rPr>
        <w:t xml:space="preserve"> en una correcta versión pública. Lo procedente en todo caso es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pudo haber incurrido por el incumplimiento a las obligaciones previstas en la Ley de Protección de Datos Personales en Posesión de Sujetos Obligados del Estado de México y Municipios y, las demás disposiciones jurídicas aplicables en la materia. Por otro lado </w:t>
      </w:r>
      <w:r w:rsidRPr="00260660">
        <w:rPr>
          <w:rFonts w:ascii="Palatino Linotype" w:eastAsia="Palatino Linotype" w:hAnsi="Palatino Linotype" w:cs="Palatino Linotype"/>
          <w:color w:val="000000" w:themeColor="text1"/>
          <w:sz w:val="24"/>
          <w:szCs w:val="24"/>
          <w:u w:val="single"/>
        </w:rPr>
        <w:t xml:space="preserve">se conmina </w:t>
      </w:r>
      <w:r w:rsidRPr="00260660">
        <w:rPr>
          <w:rFonts w:ascii="Palatino Linotype" w:eastAsia="Palatino Linotype" w:hAnsi="Palatino Linotype" w:cs="Palatino Linotype"/>
          <w:color w:val="000000" w:themeColor="text1"/>
          <w:sz w:val="24"/>
          <w:szCs w:val="24"/>
        </w:rPr>
        <w:t xml:space="preserve">a la parte </w:t>
      </w:r>
      <w:r w:rsidRPr="00260660">
        <w:rPr>
          <w:rFonts w:ascii="Palatino Linotype" w:eastAsia="Palatino Linotype" w:hAnsi="Palatino Linotype" w:cs="Palatino Linotype"/>
          <w:b/>
          <w:color w:val="000000" w:themeColor="text1"/>
          <w:sz w:val="24"/>
          <w:szCs w:val="24"/>
        </w:rPr>
        <w:t xml:space="preserve">RECURRENTE, </w:t>
      </w:r>
      <w:r w:rsidRPr="00260660">
        <w:rPr>
          <w:rFonts w:ascii="Palatino Linotype" w:eastAsia="Palatino Linotype" w:hAnsi="Palatino Linotype" w:cs="Palatino Linotype"/>
          <w:color w:val="000000" w:themeColor="text1"/>
          <w:sz w:val="24"/>
          <w:szCs w:val="24"/>
        </w:rPr>
        <w:t>no hacer uso inadecuado de la información confidencial a la cual ya tuvo acceso.</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En esa tesitura es dable traer a contexto la solicitud contenida en el motivo de inconformidad consistente en: “</w:t>
      </w:r>
      <w:r w:rsidRPr="00260660">
        <w:rPr>
          <w:rFonts w:ascii="Palatino Linotype" w:eastAsia="Palatino Linotype" w:hAnsi="Palatino Linotype" w:cs="Palatino Linotype"/>
          <w:i/>
          <w:color w:val="000000" w:themeColor="text1"/>
          <w:sz w:val="24"/>
          <w:szCs w:val="24"/>
        </w:rPr>
        <w:t>SE LE SANCIONE DE ACUERDO A LA LEY EN LA MATERIA, ASI MISMO SOLICITO SE LE VISTA AL Comité Coordinador del Sistema Anticorrupción del Estado de México y Municipios</w:t>
      </w:r>
      <w:r w:rsidRPr="00260660">
        <w:rPr>
          <w:rFonts w:ascii="Palatino Linotype" w:eastAsia="Palatino Linotype" w:hAnsi="Palatino Linotype" w:cs="Palatino Linotype"/>
          <w:color w:val="000000" w:themeColor="text1"/>
          <w:sz w:val="24"/>
          <w:szCs w:val="24"/>
        </w:rPr>
        <w:t xml:space="preserve">”; pues el recurso de revisión no es la vía para interponer quejas o denuncias. No obstante se informa a la parte </w:t>
      </w:r>
      <w:r w:rsidRPr="00260660">
        <w:rPr>
          <w:rFonts w:ascii="Palatino Linotype" w:eastAsia="Palatino Linotype" w:hAnsi="Palatino Linotype" w:cs="Palatino Linotype"/>
          <w:b/>
          <w:color w:val="000000" w:themeColor="text1"/>
          <w:sz w:val="24"/>
          <w:szCs w:val="24"/>
        </w:rPr>
        <w:t>RECURRENTE</w:t>
      </w:r>
      <w:r w:rsidRPr="00260660">
        <w:rPr>
          <w:rFonts w:ascii="Palatino Linotype" w:eastAsia="Palatino Linotype" w:hAnsi="Palatino Linotype" w:cs="Palatino Linotype"/>
          <w:color w:val="000000" w:themeColor="text1"/>
          <w:sz w:val="24"/>
          <w:szCs w:val="24"/>
        </w:rPr>
        <w:t xml:space="preserve"> que se dejan a salvo sus derechos para que interponga las inconformidades que a sus intereses convenga, ante las autoridades competentes.</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Expuesto lo anterior, se advierte que el </w:t>
      </w:r>
      <w:r w:rsidRPr="00260660">
        <w:rPr>
          <w:rFonts w:ascii="Palatino Linotype" w:eastAsia="Palatino Linotype" w:hAnsi="Palatino Linotype" w:cs="Palatino Linotype"/>
          <w:b/>
          <w:color w:val="000000" w:themeColor="text1"/>
          <w:sz w:val="24"/>
          <w:szCs w:val="24"/>
        </w:rPr>
        <w:t>SUJETO OBLIGADO</w:t>
      </w:r>
      <w:r w:rsidRPr="00260660">
        <w:rPr>
          <w:rFonts w:ascii="Palatino Linotype" w:eastAsia="Palatino Linotype" w:hAnsi="Palatino Linotype" w:cs="Palatino Linotype"/>
          <w:color w:val="000000" w:themeColor="text1"/>
          <w:sz w:val="24"/>
          <w:szCs w:val="24"/>
        </w:rPr>
        <w:t xml:space="preserve"> pretendió dar cumplimiento a la resolución primigenia, no obstante si bien lo entregado corresponde con lo ordenado, esta obra en una deficiente versión pública por lo cual no se puede confirmar la respuesta; pero tampoco modificar pues –se insiste– la parte solicitante ha tenido acceso a la </w:t>
      </w:r>
      <w:r w:rsidRPr="00260660">
        <w:rPr>
          <w:rFonts w:ascii="Palatino Linotype" w:eastAsia="Palatino Linotype" w:hAnsi="Palatino Linotype" w:cs="Palatino Linotype"/>
          <w:color w:val="000000" w:themeColor="text1"/>
          <w:sz w:val="24"/>
          <w:szCs w:val="24"/>
        </w:rPr>
        <w:lastRenderedPageBreak/>
        <w:t>información. Por tanto se actualiza una causal de sobreseimiento de conformidad a lo dispuesto en el artículo 192 fracción V, a saber:</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 xml:space="preserve">Artículo 192. </w:t>
      </w:r>
      <w:r w:rsidRPr="00260660">
        <w:rPr>
          <w:rFonts w:ascii="Palatino Linotype" w:eastAsia="Palatino Linotype" w:hAnsi="Palatino Linotype" w:cs="Palatino Linotype"/>
          <w:b/>
          <w:i/>
          <w:color w:val="000000" w:themeColor="text1"/>
          <w:sz w:val="24"/>
          <w:szCs w:val="24"/>
        </w:rPr>
        <w:t>El recurso será sobreseído</w:t>
      </w:r>
      <w:r w:rsidRPr="00260660">
        <w:rPr>
          <w:rFonts w:ascii="Palatino Linotype" w:eastAsia="Palatino Linotype" w:hAnsi="Palatino Linotype" w:cs="Palatino Linotype"/>
          <w:i/>
          <w:color w:val="000000" w:themeColor="text1"/>
          <w:sz w:val="24"/>
          <w:szCs w:val="24"/>
        </w:rPr>
        <w:t>, en todo o en parte, cuando una vez admitido, se actualicen alguno de los siguientes supuestos:</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V. Cuando por cualquier motivo quede sin materia el recurso.”</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Al respecto es de señalar, que de acuerdo con el procesalista Niceto Alcalá-Zamora y Castillo en su obra </w:t>
      </w:r>
      <w:r w:rsidRPr="00260660">
        <w:rPr>
          <w:rFonts w:ascii="Palatino Linotype" w:eastAsia="Palatino Linotype" w:hAnsi="Palatino Linotype" w:cs="Palatino Linotype"/>
          <w:i/>
          <w:color w:val="000000" w:themeColor="text1"/>
          <w:sz w:val="24"/>
          <w:szCs w:val="24"/>
        </w:rPr>
        <w:t>“</w:t>
      </w:r>
      <w:r w:rsidRPr="00260660">
        <w:rPr>
          <w:rFonts w:ascii="Palatino Linotype" w:eastAsia="Palatino Linotype" w:hAnsi="Palatino Linotype" w:cs="Palatino Linotype"/>
          <w:color w:val="000000" w:themeColor="text1"/>
          <w:sz w:val="24"/>
          <w:szCs w:val="24"/>
        </w:rPr>
        <w:t>Cuestiones</w:t>
      </w:r>
      <w:r w:rsidRPr="00260660">
        <w:rPr>
          <w:rFonts w:ascii="Palatino Linotype" w:eastAsia="Palatino Linotype" w:hAnsi="Palatino Linotype" w:cs="Palatino Linotype"/>
          <w:i/>
          <w:color w:val="000000" w:themeColor="text1"/>
          <w:sz w:val="24"/>
          <w:szCs w:val="24"/>
        </w:rPr>
        <w:t xml:space="preserve"> de Terminología Procesal”</w:t>
      </w:r>
      <w:r w:rsidRPr="00260660">
        <w:rPr>
          <w:rFonts w:ascii="Palatino Linotype" w:eastAsia="Palatino Linotype" w:hAnsi="Palatino Linotype" w:cs="Palatino Linotype"/>
          <w:color w:val="000000" w:themeColor="text1"/>
          <w:sz w:val="24"/>
          <w:szCs w:val="24"/>
        </w:rPr>
        <w:t xml:space="preserve">, el sobreseimiento es </w:t>
      </w:r>
      <w:r w:rsidRPr="00260660">
        <w:rPr>
          <w:rFonts w:ascii="Palatino Linotype" w:eastAsia="Palatino Linotype" w:hAnsi="Palatino Linotype" w:cs="Palatino Linotype"/>
          <w:i/>
          <w:color w:val="000000" w:themeColor="text1"/>
          <w:sz w:val="24"/>
          <w:szCs w:val="24"/>
        </w:rPr>
        <w:t>“... una resolución en forma de auto, que produce la suspensión indefinida del procedimiento penal, o que pone fin al proceso, impidiendo en ambos casos, mientras subsista, la apertura del plenario o que en él se pronuncie sentencia...”.</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Eduardo Pallares, en su artículo </w:t>
      </w:r>
      <w:r w:rsidRPr="00260660">
        <w:rPr>
          <w:rFonts w:ascii="Palatino Linotype" w:eastAsia="Palatino Linotype" w:hAnsi="Palatino Linotype" w:cs="Palatino Linotype"/>
          <w:i/>
          <w:color w:val="000000" w:themeColor="text1"/>
          <w:sz w:val="24"/>
          <w:szCs w:val="24"/>
        </w:rPr>
        <w:t>“La caducidad y el sobreseimiento en el amparo”</w:t>
      </w:r>
      <w:r w:rsidRPr="00260660">
        <w:rPr>
          <w:rFonts w:ascii="Palatino Linotype" w:eastAsia="Palatino Linotype" w:hAnsi="Palatino Linotype" w:cs="Palatino Linotype"/>
          <w:color w:val="000000" w:themeColor="text1"/>
          <w:sz w:val="24"/>
          <w:szCs w:val="24"/>
        </w:rPr>
        <w:t xml:space="preserve">, cita la definición de Aguilera Paz, aduciendo que se </w:t>
      </w:r>
      <w:r w:rsidRPr="00260660">
        <w:rPr>
          <w:rFonts w:ascii="Palatino Linotype" w:eastAsia="Palatino Linotype" w:hAnsi="Palatino Linotype" w:cs="Palatino Linotype"/>
          <w:i/>
          <w:color w:val="000000" w:themeColor="text1"/>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260660">
        <w:rPr>
          <w:rFonts w:ascii="Palatino Linotype" w:eastAsia="Palatino Linotype" w:hAnsi="Palatino Linotype" w:cs="Palatino Linotype"/>
          <w:color w:val="000000" w:themeColor="text1"/>
          <w:sz w:val="24"/>
          <w:szCs w:val="24"/>
        </w:rPr>
        <w:t>. Asimismo señala que existe el sobreseimiento provisional y el definitivo</w:t>
      </w:r>
      <w:r w:rsidRPr="00260660">
        <w:rPr>
          <w:rFonts w:ascii="Palatino Linotype" w:eastAsia="Palatino Linotype" w:hAnsi="Palatino Linotype" w:cs="Palatino Linotype"/>
          <w:i/>
          <w:color w:val="000000" w:themeColor="text1"/>
          <w:sz w:val="24"/>
          <w:szCs w:val="24"/>
        </w:rPr>
        <w:t>: “...el definitivo es una verdadera sentencia que pone fin al juicio, y que una vez dictada, produce cosa juzgada, mientras que el provisorio tiene por efectos suspender la prosecución de la causa...”</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Así, para la doctrina el sobreseimiento provoca que un procedimiento se suspenda o se resuelva en definitiva sin que se entre al estudio de los agravios o motivos de </w:t>
      </w:r>
      <w:r w:rsidRPr="00260660">
        <w:rPr>
          <w:rFonts w:ascii="Palatino Linotype" w:eastAsia="Palatino Linotype" w:hAnsi="Palatino Linotype" w:cs="Palatino Linotype"/>
          <w:color w:val="000000" w:themeColor="text1"/>
          <w:sz w:val="24"/>
          <w:szCs w:val="24"/>
        </w:rPr>
        <w:lastRenderedPageBreak/>
        <w:t>inconformidad. Este mismo criterio es compartido por el más alto tribunal del país en múltiples jurisprudencias, por lo que a continuación se agrega una de ellas que sirve como orientador en esta resolución:</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i/>
          <w:color w:val="000000" w:themeColor="text1"/>
          <w:sz w:val="24"/>
          <w:szCs w:val="24"/>
        </w:rPr>
        <w:t>SOBRESEIMIENTO EN EL JUICIO DE AMPARO DIRECTO. IMPIDE EL ESTUDIO DE LAS VIOLACIONES PROCESALES PLANTEADAS EN LOS CONCEPTOS DE VIOLACIÓN.</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b/>
          <w:i/>
          <w:color w:val="000000" w:themeColor="text1"/>
          <w:sz w:val="24"/>
          <w:szCs w:val="24"/>
        </w:rPr>
        <w:t>El sobreseimiento</w:t>
      </w:r>
      <w:r w:rsidRPr="00260660">
        <w:rPr>
          <w:rFonts w:ascii="Palatino Linotype" w:eastAsia="Palatino Linotype" w:hAnsi="Palatino Linotype" w:cs="Palatino Linotype"/>
          <w:i/>
          <w:color w:val="000000" w:themeColor="text1"/>
          <w:sz w:val="24"/>
          <w:szCs w:val="24"/>
        </w:rPr>
        <w:t xml:space="preserve"> en el juicio de amparo directo </w:t>
      </w:r>
      <w:r w:rsidRPr="00260660">
        <w:rPr>
          <w:rFonts w:ascii="Palatino Linotype" w:eastAsia="Palatino Linotype" w:hAnsi="Palatino Linotype" w:cs="Palatino Linotype"/>
          <w:b/>
          <w:i/>
          <w:color w:val="000000" w:themeColor="text1"/>
          <w:sz w:val="24"/>
          <w:szCs w:val="24"/>
        </w:rPr>
        <w:t>provoca la terminación de la controversia planteada</w:t>
      </w:r>
      <w:r w:rsidRPr="00260660">
        <w:rPr>
          <w:rFonts w:ascii="Palatino Linotype" w:eastAsia="Palatino Linotype" w:hAnsi="Palatino Linotype" w:cs="Palatino Linotype"/>
          <w:i/>
          <w:color w:val="000000" w:themeColor="text1"/>
          <w:sz w:val="24"/>
          <w:szCs w:val="24"/>
        </w:rPr>
        <w:t xml:space="preserve"> por el quejoso en la demanda de amparo</w:t>
      </w:r>
      <w:r w:rsidRPr="00260660">
        <w:rPr>
          <w:rFonts w:ascii="Palatino Linotype" w:eastAsia="Palatino Linotype" w:hAnsi="Palatino Linotype" w:cs="Palatino Linotype"/>
          <w:b/>
          <w:i/>
          <w:color w:val="000000" w:themeColor="text1"/>
          <w:sz w:val="24"/>
          <w:szCs w:val="24"/>
        </w:rPr>
        <w:t>, sin hacer un pronunciamiento de fondo sobre la legalidad o ilegalidad de la sentencia reclamada</w:t>
      </w:r>
      <w:r w:rsidRPr="00260660">
        <w:rPr>
          <w:rFonts w:ascii="Palatino Linotype" w:eastAsia="Palatino Linotype" w:hAnsi="Palatino Linotype" w:cs="Palatino Linotype"/>
          <w:i/>
          <w:color w:val="000000" w:themeColor="text1"/>
          <w:sz w:val="24"/>
          <w:szCs w:val="24"/>
        </w:rPr>
        <w:t xml:space="preserve">. </w:t>
      </w:r>
      <w:r w:rsidRPr="00260660">
        <w:rPr>
          <w:rFonts w:ascii="Palatino Linotype" w:eastAsia="Palatino Linotype" w:hAnsi="Palatino Linotype" w:cs="Palatino Linotype"/>
          <w:b/>
          <w:i/>
          <w:color w:val="000000" w:themeColor="text1"/>
          <w:sz w:val="24"/>
          <w:szCs w:val="24"/>
        </w:rPr>
        <w:t xml:space="preserve">Por consiguiente, si al sobreseerse en el juicio de amparo </w:t>
      </w:r>
      <w:r w:rsidRPr="00260660">
        <w:rPr>
          <w:rFonts w:ascii="Palatino Linotype" w:eastAsia="Palatino Linotype" w:hAnsi="Palatino Linotype" w:cs="Palatino Linotype"/>
          <w:b/>
          <w:i/>
          <w:color w:val="000000" w:themeColor="text1"/>
          <w:sz w:val="24"/>
          <w:szCs w:val="24"/>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60660">
        <w:rPr>
          <w:rFonts w:ascii="Palatino Linotype" w:eastAsia="Palatino Linotype" w:hAnsi="Palatino Linotype" w:cs="Palatino Linotype"/>
          <w:i/>
          <w:color w:val="000000" w:themeColor="text1"/>
          <w:sz w:val="24"/>
          <w:szCs w:val="24"/>
        </w:rPr>
        <w:t>.</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SÉPTIMO TRIBUNAL COLEGIADO EN MATERIA CIVIL DEL PRIMER CIRCUITO.</w:t>
      </w:r>
    </w:p>
    <w:p w:rsidR="0097415E" w:rsidRPr="00260660" w:rsidRDefault="00184121" w:rsidP="0026066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660">
        <w:rPr>
          <w:rFonts w:ascii="Palatino Linotype" w:eastAsia="Palatino Linotype" w:hAnsi="Palatino Linotype" w:cs="Palatino Linotype"/>
          <w:i/>
          <w:color w:val="000000" w:themeColor="text1"/>
          <w:sz w:val="24"/>
          <w:szCs w:val="24"/>
        </w:rPr>
        <w:t>Amparo directo 699/2008. Mariana Leticia González Steele. 13 de noviembre de 2008. Unanimidad de votos. Ponente: Sara Judith Montalvo Trejo. Secretario: Arnulfo Mateos García.</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color w:val="000000" w:themeColor="text1"/>
          <w:sz w:val="24"/>
          <w:szCs w:val="24"/>
        </w:rPr>
        <w:t>Además, conforme al Diccionario de Transparencia y Acceso a la Información Pública y la página oficial de este Instituto (https://www.infoem.org.mx/es/content/informacion-</w:t>
      </w:r>
      <w:r w:rsidRPr="00260660">
        <w:rPr>
          <w:rFonts w:ascii="Palatino Linotype" w:eastAsia="Palatino Linotype" w:hAnsi="Palatino Linotype" w:cs="Palatino Linotype"/>
          <w:color w:val="000000" w:themeColor="text1"/>
          <w:sz w:val="24"/>
          <w:szCs w:val="24"/>
        </w:rPr>
        <w:lastRenderedPageBreak/>
        <w:t>publica#queEsRRdeIP),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 Sin embargo, el Particular interpuso el medio de impugnación vertiendo argumentos que devienen inoperantes, como anteriormente se señaló.</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Atento a lo anterior, y en términos del artículo 186 fracción I este Pleno determina el </w:t>
      </w:r>
      <w:r w:rsidRPr="00260660">
        <w:rPr>
          <w:rFonts w:ascii="Palatino Linotype" w:eastAsia="Palatino Linotype" w:hAnsi="Palatino Linotype" w:cs="Palatino Linotype"/>
          <w:b/>
          <w:color w:val="000000" w:themeColor="text1"/>
          <w:sz w:val="24"/>
          <w:szCs w:val="24"/>
        </w:rPr>
        <w:t xml:space="preserve">SOBRESEIMIENTO </w:t>
      </w:r>
      <w:r w:rsidRPr="00260660">
        <w:rPr>
          <w:rFonts w:ascii="Palatino Linotype" w:eastAsia="Palatino Linotype" w:hAnsi="Palatino Linotype" w:cs="Palatino Linotype"/>
          <w:color w:val="000000" w:themeColor="text1"/>
          <w:sz w:val="24"/>
          <w:szCs w:val="24"/>
        </w:rPr>
        <w:t>del presente recurso de revisión, toda vez que una vez admitido el recurso de revisión, apareció una causal de improcedencia y, emite los siguientes:</w:t>
      </w: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5" w:name="_heading=h.lnxbz9" w:colFirst="0" w:colLast="0"/>
      <w:bookmarkEnd w:id="5"/>
      <w:r w:rsidRPr="00260660">
        <w:rPr>
          <w:rFonts w:ascii="Palatino Linotype" w:eastAsia="Palatino Linotype" w:hAnsi="Palatino Linotype" w:cs="Palatino Linotype"/>
          <w:b/>
          <w:color w:val="000000" w:themeColor="text1"/>
          <w:sz w:val="24"/>
          <w:szCs w:val="24"/>
        </w:rPr>
        <w:t>R E S O L U T I V O S</w:t>
      </w:r>
    </w:p>
    <w:p w:rsidR="0097415E" w:rsidRPr="00260660" w:rsidRDefault="0097415E" w:rsidP="00260660">
      <w:pPr>
        <w:tabs>
          <w:tab w:val="left" w:pos="284"/>
        </w:tabs>
        <w:spacing w:after="0"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spacing w:after="0" w:line="360" w:lineRule="auto"/>
        <w:jc w:val="both"/>
        <w:rPr>
          <w:rFonts w:ascii="Palatino Linotype" w:eastAsia="Palatino Linotype" w:hAnsi="Palatino Linotype" w:cs="Palatino Linotype"/>
          <w:color w:val="000000" w:themeColor="text1"/>
          <w:sz w:val="24"/>
          <w:szCs w:val="24"/>
        </w:rPr>
      </w:pPr>
      <w:bookmarkStart w:id="6" w:name="_heading=h.ynjvxn2rosbu" w:colFirst="0" w:colLast="0"/>
      <w:bookmarkEnd w:id="6"/>
      <w:r w:rsidRPr="00260660">
        <w:rPr>
          <w:rFonts w:ascii="Palatino Linotype" w:eastAsia="Palatino Linotype" w:hAnsi="Palatino Linotype" w:cs="Palatino Linotype"/>
          <w:b/>
          <w:color w:val="000000" w:themeColor="text1"/>
          <w:sz w:val="24"/>
          <w:szCs w:val="24"/>
        </w:rPr>
        <w:t>PRIMERO</w:t>
      </w:r>
      <w:r w:rsidRPr="00260660">
        <w:rPr>
          <w:rFonts w:ascii="Palatino Linotype" w:eastAsia="Palatino Linotype" w:hAnsi="Palatino Linotype" w:cs="Palatino Linotype"/>
          <w:color w:val="000000" w:themeColor="text1"/>
          <w:sz w:val="24"/>
          <w:szCs w:val="24"/>
        </w:rPr>
        <w:t xml:space="preserve">. Se </w:t>
      </w:r>
      <w:r w:rsidRPr="00260660">
        <w:rPr>
          <w:rFonts w:ascii="Palatino Linotype" w:eastAsia="Palatino Linotype" w:hAnsi="Palatino Linotype" w:cs="Palatino Linotype"/>
          <w:b/>
          <w:color w:val="000000" w:themeColor="text1"/>
          <w:sz w:val="24"/>
          <w:szCs w:val="24"/>
        </w:rPr>
        <w:t>SOBRESEEN</w:t>
      </w:r>
      <w:r w:rsidRPr="00260660">
        <w:rPr>
          <w:rFonts w:ascii="Palatino Linotype" w:eastAsia="Palatino Linotype" w:hAnsi="Palatino Linotype" w:cs="Palatino Linotype"/>
          <w:color w:val="000000" w:themeColor="text1"/>
          <w:sz w:val="24"/>
          <w:szCs w:val="24"/>
        </w:rPr>
        <w:t xml:space="preserve"> los recursos de revisión números: </w:t>
      </w:r>
      <w:r w:rsidRPr="00260660">
        <w:rPr>
          <w:rFonts w:ascii="Palatino Linotype" w:eastAsia="Palatino Linotype" w:hAnsi="Palatino Linotype" w:cs="Palatino Linotype"/>
          <w:b/>
          <w:color w:val="000000" w:themeColor="text1"/>
          <w:sz w:val="24"/>
          <w:szCs w:val="24"/>
        </w:rPr>
        <w:t>04098/INFOEM/ICR-115/IP/RR/2025</w:t>
      </w:r>
      <w:r w:rsidRPr="00260660">
        <w:rPr>
          <w:rFonts w:ascii="Palatino Linotype" w:eastAsia="Palatino Linotype" w:hAnsi="Palatino Linotype" w:cs="Palatino Linotype"/>
          <w:color w:val="000000" w:themeColor="text1"/>
          <w:sz w:val="24"/>
          <w:szCs w:val="24"/>
        </w:rPr>
        <w:t xml:space="preserve"> y </w:t>
      </w:r>
      <w:r w:rsidRPr="00260660">
        <w:rPr>
          <w:rFonts w:ascii="Palatino Linotype" w:eastAsia="Palatino Linotype" w:hAnsi="Palatino Linotype" w:cs="Palatino Linotype"/>
          <w:b/>
          <w:color w:val="000000" w:themeColor="text1"/>
          <w:sz w:val="24"/>
          <w:szCs w:val="24"/>
        </w:rPr>
        <w:t>04099/INFOEM/ICR-11</w:t>
      </w:r>
      <w:r w:rsidR="00E200B8">
        <w:rPr>
          <w:rFonts w:ascii="Palatino Linotype" w:eastAsia="Palatino Linotype" w:hAnsi="Palatino Linotype" w:cs="Palatino Linotype"/>
          <w:b/>
          <w:color w:val="000000" w:themeColor="text1"/>
          <w:sz w:val="24"/>
          <w:szCs w:val="24"/>
        </w:rPr>
        <w:t>4</w:t>
      </w:r>
      <w:r w:rsidRPr="00260660">
        <w:rPr>
          <w:rFonts w:ascii="Palatino Linotype" w:eastAsia="Palatino Linotype" w:hAnsi="Palatino Linotype" w:cs="Palatino Linotype"/>
          <w:b/>
          <w:color w:val="000000" w:themeColor="text1"/>
          <w:sz w:val="24"/>
          <w:szCs w:val="24"/>
        </w:rPr>
        <w:t>/IP/RR/2025</w:t>
      </w:r>
      <w:r w:rsidR="00E200B8">
        <w:rPr>
          <w:rFonts w:ascii="Palatino Linotype" w:eastAsia="Palatino Linotype" w:hAnsi="Palatino Linotype" w:cs="Palatino Linotype"/>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 xml:space="preserve">de conformidad con el artículo 192, fracción V de la Ley de Transparencia y Acceso a la Información Pública del Estado de México y Municipios, en términos del Considerando </w:t>
      </w:r>
      <w:r w:rsidRPr="00260660">
        <w:rPr>
          <w:rFonts w:ascii="Palatino Linotype" w:eastAsia="Palatino Linotype" w:hAnsi="Palatino Linotype" w:cs="Palatino Linotype"/>
          <w:b/>
          <w:color w:val="000000" w:themeColor="text1"/>
          <w:sz w:val="24"/>
          <w:szCs w:val="24"/>
        </w:rPr>
        <w:t>TERCERO</w:t>
      </w:r>
      <w:r w:rsidRPr="00260660">
        <w:rPr>
          <w:rFonts w:ascii="Palatino Linotype" w:eastAsia="Palatino Linotype" w:hAnsi="Palatino Linotype" w:cs="Palatino Linotype"/>
          <w:color w:val="000000" w:themeColor="text1"/>
          <w:sz w:val="24"/>
          <w:szCs w:val="24"/>
        </w:rPr>
        <w:t xml:space="preserve"> de la presente Resolución.</w:t>
      </w:r>
    </w:p>
    <w:p w:rsidR="0097415E" w:rsidRPr="00260660" w:rsidRDefault="0097415E" w:rsidP="00260660">
      <w:pP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shd w:val="clear" w:color="auto" w:fill="FFFFFF"/>
        <w:spacing w:after="0" w:line="360" w:lineRule="auto"/>
        <w:jc w:val="both"/>
        <w:rPr>
          <w:rFonts w:ascii="Palatino Linotype" w:eastAsia="Palatino Linotype" w:hAnsi="Palatino Linotype" w:cs="Palatino Linotype"/>
          <w:color w:val="000000" w:themeColor="text1"/>
          <w:sz w:val="24"/>
          <w:szCs w:val="24"/>
          <w:highlight w:val="white"/>
        </w:rPr>
      </w:pPr>
      <w:bookmarkStart w:id="7" w:name="_heading=h.ykejwuot980w" w:colFirst="0" w:colLast="0"/>
      <w:bookmarkEnd w:id="7"/>
      <w:r w:rsidRPr="00260660">
        <w:rPr>
          <w:rFonts w:ascii="Palatino Linotype" w:eastAsia="Palatino Linotype" w:hAnsi="Palatino Linotype" w:cs="Palatino Linotype"/>
          <w:b/>
          <w:color w:val="000000" w:themeColor="text1"/>
          <w:sz w:val="24"/>
          <w:szCs w:val="24"/>
        </w:rPr>
        <w:t>SEGUNDO. Notifíquese</w:t>
      </w:r>
      <w:r w:rsidRPr="00260660">
        <w:rPr>
          <w:rFonts w:ascii="Palatino Linotype" w:eastAsia="Palatino Linotype" w:hAnsi="Palatino Linotype" w:cs="Palatino Linotype"/>
          <w:b/>
          <w:color w:val="000000" w:themeColor="text1"/>
          <w:sz w:val="24"/>
          <w:szCs w:val="24"/>
          <w:highlight w:val="white"/>
        </w:rPr>
        <w:t xml:space="preserve"> </w:t>
      </w:r>
      <w:r w:rsidRPr="00260660">
        <w:rPr>
          <w:rFonts w:ascii="Palatino Linotype" w:eastAsia="Palatino Linotype" w:hAnsi="Palatino Linotype" w:cs="Palatino Linotype"/>
          <w:color w:val="000000" w:themeColor="text1"/>
          <w:sz w:val="24"/>
          <w:szCs w:val="24"/>
          <w:highlight w:val="white"/>
        </w:rPr>
        <w:t>al Titular de la Unidad de Transparencia del</w:t>
      </w:r>
      <w:r w:rsidRPr="00260660">
        <w:rPr>
          <w:rFonts w:ascii="Palatino Linotype" w:eastAsia="Palatino Linotype" w:hAnsi="Palatino Linotype" w:cs="Palatino Linotype"/>
          <w:b/>
          <w:color w:val="000000" w:themeColor="text1"/>
          <w:sz w:val="24"/>
          <w:szCs w:val="24"/>
          <w:highlight w:val="white"/>
        </w:rPr>
        <w:t xml:space="preserve"> SUJETO OBLIGADO,</w:t>
      </w:r>
      <w:r w:rsidRPr="00260660">
        <w:rPr>
          <w:rFonts w:ascii="Palatino Linotype" w:eastAsia="Palatino Linotype" w:hAnsi="Palatino Linotype" w:cs="Palatino Linotype"/>
          <w:color w:val="000000" w:themeColor="text1"/>
          <w:sz w:val="24"/>
          <w:szCs w:val="24"/>
          <w:highlight w:val="white"/>
        </w:rPr>
        <w:t xml:space="preserve"> vía </w:t>
      </w:r>
      <w:r w:rsidRPr="00260660">
        <w:rPr>
          <w:rFonts w:ascii="Palatino Linotype" w:eastAsia="Palatino Linotype" w:hAnsi="Palatino Linotype" w:cs="Palatino Linotype"/>
          <w:b/>
          <w:color w:val="000000" w:themeColor="text1"/>
          <w:sz w:val="24"/>
          <w:szCs w:val="24"/>
          <w:highlight w:val="white"/>
        </w:rPr>
        <w:t>SAIMEX</w:t>
      </w:r>
      <w:r w:rsidRPr="00260660">
        <w:rPr>
          <w:rFonts w:ascii="Palatino Linotype" w:eastAsia="Palatino Linotype" w:hAnsi="Palatino Linotype" w:cs="Palatino Linotype"/>
          <w:color w:val="000000" w:themeColor="text1"/>
          <w:sz w:val="24"/>
          <w:szCs w:val="24"/>
          <w:highlight w:val="white"/>
        </w:rPr>
        <w:t>, la presente Resolución.</w:t>
      </w:r>
    </w:p>
    <w:p w:rsidR="0097415E" w:rsidRPr="00260660" w:rsidRDefault="0097415E" w:rsidP="00260660">
      <w:pPr>
        <w:shd w:val="clear" w:color="auto" w:fill="FFFFFF"/>
        <w:spacing w:after="0" w:line="360" w:lineRule="auto"/>
        <w:jc w:val="both"/>
        <w:rPr>
          <w:rFonts w:ascii="Palatino Linotype" w:eastAsia="Palatino Linotype" w:hAnsi="Palatino Linotype" w:cs="Palatino Linotype"/>
          <w:b/>
          <w:color w:val="000000" w:themeColor="text1"/>
          <w:sz w:val="24"/>
          <w:szCs w:val="24"/>
        </w:rPr>
      </w:pPr>
    </w:p>
    <w:p w:rsidR="0097415E" w:rsidRPr="00260660" w:rsidRDefault="00184121" w:rsidP="00260660">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TERCERO. Notifíquese </w:t>
      </w:r>
      <w:r w:rsidRPr="00260660">
        <w:rPr>
          <w:rFonts w:ascii="Palatino Linotype" w:eastAsia="Palatino Linotype" w:hAnsi="Palatino Linotype" w:cs="Palatino Linotype"/>
          <w:color w:val="000000" w:themeColor="text1"/>
          <w:sz w:val="24"/>
          <w:szCs w:val="24"/>
        </w:rPr>
        <w:t>al</w:t>
      </w:r>
      <w:r w:rsidRPr="00260660">
        <w:rPr>
          <w:rFonts w:ascii="Palatino Linotype" w:eastAsia="Palatino Linotype" w:hAnsi="Palatino Linotype" w:cs="Palatino Linotype"/>
          <w:b/>
          <w:color w:val="000000" w:themeColor="text1"/>
          <w:sz w:val="24"/>
          <w:szCs w:val="24"/>
        </w:rPr>
        <w:t xml:space="preserve"> RECURRENTE </w:t>
      </w:r>
      <w:r w:rsidRPr="00260660">
        <w:rPr>
          <w:rFonts w:ascii="Palatino Linotype" w:eastAsia="Palatino Linotype" w:hAnsi="Palatino Linotype" w:cs="Palatino Linotype"/>
          <w:color w:val="000000" w:themeColor="text1"/>
          <w:sz w:val="24"/>
          <w:szCs w:val="24"/>
        </w:rPr>
        <w:t xml:space="preserve">la presente Resolución, vía </w:t>
      </w:r>
      <w:r w:rsidRPr="00260660">
        <w:rPr>
          <w:rFonts w:ascii="Palatino Linotype" w:eastAsia="Palatino Linotype" w:hAnsi="Palatino Linotype" w:cs="Palatino Linotype"/>
          <w:b/>
          <w:color w:val="000000" w:themeColor="text1"/>
          <w:sz w:val="24"/>
          <w:szCs w:val="24"/>
          <w:highlight w:val="white"/>
        </w:rPr>
        <w:t>SAIMEX</w:t>
      </w:r>
      <w:r w:rsidRPr="00260660">
        <w:rPr>
          <w:rFonts w:ascii="Palatino Linotype" w:eastAsia="Palatino Linotype" w:hAnsi="Palatino Linotype" w:cs="Palatino Linotype"/>
          <w:color w:val="000000" w:themeColor="text1"/>
          <w:sz w:val="24"/>
          <w:szCs w:val="24"/>
        </w:rPr>
        <w:t>.</w:t>
      </w:r>
    </w:p>
    <w:p w:rsidR="0097415E" w:rsidRPr="00260660" w:rsidRDefault="0097415E" w:rsidP="00260660">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 xml:space="preserve">CUARTO. </w:t>
      </w:r>
      <w:r w:rsidRPr="00260660">
        <w:rPr>
          <w:rFonts w:ascii="Palatino Linotype" w:eastAsia="Palatino Linotype" w:hAnsi="Palatino Linotype" w:cs="Palatino Linotype"/>
          <w:color w:val="000000" w:themeColor="text1"/>
          <w:sz w:val="24"/>
          <w:szCs w:val="24"/>
        </w:rPr>
        <w:t xml:space="preserve">Se hace del conocimiento del </w:t>
      </w:r>
      <w:r w:rsidRPr="00260660">
        <w:rPr>
          <w:rFonts w:ascii="Palatino Linotype" w:eastAsia="Palatino Linotype" w:hAnsi="Palatino Linotype" w:cs="Palatino Linotype"/>
          <w:b/>
          <w:color w:val="000000" w:themeColor="text1"/>
          <w:sz w:val="24"/>
          <w:szCs w:val="24"/>
        </w:rPr>
        <w:t>RECURRENTE</w:t>
      </w:r>
      <w:r w:rsidRPr="00260660">
        <w:rPr>
          <w:rFonts w:ascii="Palatino Linotype" w:eastAsia="Palatino Linotype" w:hAnsi="Palatino Linotype" w:cs="Palatino Linotype"/>
          <w:color w:val="000000" w:themeColor="text1"/>
          <w:sz w:val="24"/>
          <w:szCs w:val="24"/>
        </w:rPr>
        <w:t xml:space="preserve"> que, de conformidad con lo </w:t>
      </w:r>
      <w:r w:rsidRPr="00260660">
        <w:rPr>
          <w:rFonts w:ascii="Palatino Linotype" w:eastAsia="Palatino Linotype" w:hAnsi="Palatino Linotype" w:cs="Palatino Linotype"/>
          <w:color w:val="000000" w:themeColor="text1"/>
          <w:sz w:val="24"/>
          <w:szCs w:val="24"/>
        </w:rPr>
        <w:lastRenderedPageBreak/>
        <w:t>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7415E" w:rsidRPr="00260660" w:rsidRDefault="0097415E" w:rsidP="00260660">
      <w:pPr>
        <w:widowControl w:val="0"/>
        <w:pBdr>
          <w:top w:val="nil"/>
          <w:left w:val="nil"/>
          <w:bottom w:val="nil"/>
          <w:right w:val="nil"/>
          <w:between w:val="nil"/>
        </w:pBdr>
        <w:tabs>
          <w:tab w:val="left" w:pos="1701"/>
        </w:tabs>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184121" w:rsidP="00260660">
      <w:pPr>
        <w:widowControl w:val="0"/>
        <w:tabs>
          <w:tab w:val="left" w:pos="1701"/>
        </w:tabs>
        <w:spacing w:after="0" w:line="360" w:lineRule="auto"/>
        <w:jc w:val="both"/>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b/>
          <w:color w:val="000000" w:themeColor="text1"/>
          <w:sz w:val="24"/>
          <w:szCs w:val="24"/>
        </w:rPr>
        <w:t>QUINTO.</w:t>
      </w:r>
      <w:r w:rsidRPr="00260660">
        <w:rPr>
          <w:rFonts w:ascii="Palatino Linotype" w:eastAsia="Palatino Linotype" w:hAnsi="Palatino Linotype" w:cs="Palatino Linotype"/>
          <w:color w:val="000000" w:themeColor="text1"/>
          <w:sz w:val="24"/>
          <w:szCs w:val="24"/>
        </w:rPr>
        <w:t xml:space="preserve"> Gírese oficio al Titular de la Dirección General de Protección de Datos Personales, en atención al artículo 82, fracción XXVII de la Ley de Protección de Datos Personales del Estado de México y Municipios en términos de lo señalado en el Considerando CUARTO de la presente resolución.</w:t>
      </w:r>
    </w:p>
    <w:p w:rsidR="008C1483" w:rsidRDefault="008C1483" w:rsidP="00260660">
      <w:pPr>
        <w:spacing w:after="0" w:line="360" w:lineRule="auto"/>
        <w:jc w:val="both"/>
        <w:rPr>
          <w:rFonts w:ascii="Palatino Linotype" w:eastAsia="Palatino Linotype" w:hAnsi="Palatino Linotype" w:cs="Palatino Linotype"/>
          <w:sz w:val="24"/>
          <w:szCs w:val="24"/>
        </w:rPr>
      </w:pPr>
    </w:p>
    <w:p w:rsidR="0097415E" w:rsidRPr="00260660" w:rsidRDefault="000F75BE" w:rsidP="00260660">
      <w:pPr>
        <w:spacing w:after="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w:t>
      </w:r>
      <w:r w:rsidR="00091F19">
        <w:rPr>
          <w:rFonts w:ascii="Palatino Linotype" w:eastAsia="Palatino Linotype" w:hAnsi="Palatino Linotype" w:cs="Palatino Linotype"/>
          <w:sz w:val="24"/>
          <w:szCs w:val="24"/>
        </w:rPr>
        <w:t xml:space="preserve">MAYORÍA </w:t>
      </w:r>
      <w:r w:rsidRPr="00575AE2">
        <w:rPr>
          <w:rFonts w:ascii="Palatino Linotype" w:eastAsia="Palatino Linotype" w:hAnsi="Palatino Linotype" w:cs="Palatino Linotype"/>
          <w:sz w:val="24"/>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91F19">
        <w:rPr>
          <w:rFonts w:ascii="Palatino Linotype" w:eastAsia="Palatino Linotype" w:hAnsi="Palatino Linotype" w:cs="Palatino Linotype"/>
          <w:sz w:val="24"/>
          <w:szCs w:val="24"/>
        </w:rPr>
        <w:t xml:space="preserve">EMITIENDO VOTO DISIDENTE </w:t>
      </w:r>
      <w:r w:rsidRPr="00575AE2">
        <w:rPr>
          <w:rFonts w:ascii="Palatino Linotype" w:eastAsia="Palatino Linotype" w:hAnsi="Palatino Linotype" w:cs="Palatino Linotype"/>
          <w:sz w:val="24"/>
          <w:szCs w:val="24"/>
        </w:rPr>
        <w:t>Y GUADALUPE RAMÍREZ PEÑA</w:t>
      </w:r>
      <w:r w:rsidR="00091F19">
        <w:rPr>
          <w:rFonts w:ascii="Palatino Linotype" w:eastAsia="Palatino Linotype" w:hAnsi="Palatino Linotype" w:cs="Palatino Linotype"/>
          <w:sz w:val="24"/>
          <w:szCs w:val="24"/>
        </w:rPr>
        <w:t xml:space="preserve"> EMITIENDO VOTO DISIDENTE</w:t>
      </w:r>
      <w:r w:rsidRPr="00575AE2">
        <w:rPr>
          <w:rFonts w:ascii="Palatino Linotype" w:eastAsia="Palatino Linotype" w:hAnsi="Palatino Linotype" w:cs="Palatino Linotype"/>
          <w:sz w:val="24"/>
          <w:szCs w:val="24"/>
        </w:rPr>
        <w:t xml:space="preserve">;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97415E" w:rsidRPr="00260660" w:rsidRDefault="0097415E" w:rsidP="00260660">
      <w:pP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jc w:val="both"/>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184121" w:rsidP="00260660">
      <w:pPr>
        <w:tabs>
          <w:tab w:val="left" w:pos="3374"/>
        </w:tabs>
        <w:spacing w:after="0" w:line="360" w:lineRule="auto"/>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b/>
      </w:r>
    </w:p>
    <w:p w:rsidR="0097415E" w:rsidRPr="00260660" w:rsidRDefault="0097415E" w:rsidP="00260660">
      <w:pPr>
        <w:tabs>
          <w:tab w:val="left" w:pos="3374"/>
        </w:tabs>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tabs>
          <w:tab w:val="left" w:pos="3374"/>
        </w:tabs>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tabs>
          <w:tab w:val="left" w:pos="3374"/>
        </w:tabs>
        <w:spacing w:after="0" w:line="360" w:lineRule="auto"/>
        <w:rPr>
          <w:rFonts w:ascii="Palatino Linotype" w:eastAsia="Palatino Linotype" w:hAnsi="Palatino Linotype" w:cs="Palatino Linotype"/>
          <w:color w:val="000000" w:themeColor="text1"/>
          <w:sz w:val="24"/>
          <w:szCs w:val="24"/>
        </w:rPr>
      </w:pPr>
    </w:p>
    <w:p w:rsidR="0097415E" w:rsidRPr="00260660" w:rsidRDefault="00184121" w:rsidP="00260660">
      <w:pPr>
        <w:spacing w:after="0" w:line="360" w:lineRule="auto"/>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 xml:space="preserve"> </w:t>
      </w: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spacing w:after="0" w:line="360" w:lineRule="auto"/>
        <w:rPr>
          <w:rFonts w:ascii="Palatino Linotype" w:eastAsia="Palatino Linotype" w:hAnsi="Palatino Linotype" w:cs="Palatino Linotype"/>
          <w:color w:val="000000" w:themeColor="text1"/>
          <w:sz w:val="24"/>
          <w:szCs w:val="24"/>
        </w:rPr>
      </w:pPr>
    </w:p>
    <w:p w:rsidR="0097415E" w:rsidRPr="00260660" w:rsidRDefault="0097415E" w:rsidP="0026066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sectPr w:rsidR="0097415E" w:rsidRPr="00260660" w:rsidSect="00765F6C">
      <w:headerReference w:type="even" r:id="rId12"/>
      <w:headerReference w:type="default" r:id="rId13"/>
      <w:footerReference w:type="default" r:id="rId14"/>
      <w:headerReference w:type="first" r:id="rId15"/>
      <w:footerReference w:type="first" r:id="rId16"/>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4A0" w:rsidRDefault="004034A0">
      <w:pPr>
        <w:spacing w:after="0" w:line="240" w:lineRule="auto"/>
      </w:pPr>
      <w:r>
        <w:separator/>
      </w:r>
    </w:p>
  </w:endnote>
  <w:endnote w:type="continuationSeparator" w:id="0">
    <w:p w:rsidR="004034A0" w:rsidRDefault="0040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5E" w:rsidRDefault="0018412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E35A4">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E35A4">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97415E" w:rsidRDefault="0097415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5E" w:rsidRDefault="0018412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E35A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E35A4">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97415E" w:rsidRDefault="0097415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4A0" w:rsidRDefault="004034A0">
      <w:pPr>
        <w:spacing w:after="0" w:line="240" w:lineRule="auto"/>
      </w:pPr>
      <w:r>
        <w:separator/>
      </w:r>
    </w:p>
  </w:footnote>
  <w:footnote w:type="continuationSeparator" w:id="0">
    <w:p w:rsidR="004034A0" w:rsidRDefault="00403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5E" w:rsidRDefault="004034A0">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8363" w:type="dxa"/>
      <w:tblInd w:w="1701" w:type="dxa"/>
      <w:tblLayout w:type="fixed"/>
      <w:tblLook w:val="0400" w:firstRow="0" w:lastRow="0" w:firstColumn="0" w:lastColumn="0" w:noHBand="0" w:noVBand="1"/>
    </w:tblPr>
    <w:tblGrid>
      <w:gridCol w:w="2976"/>
      <w:gridCol w:w="5387"/>
    </w:tblGrid>
    <w:tr w:rsidR="0097415E" w:rsidTr="00765F6C">
      <w:trPr>
        <w:trHeight w:val="425"/>
      </w:trPr>
      <w:tc>
        <w:tcPr>
          <w:tcW w:w="2976" w:type="dxa"/>
          <w:vAlign w:val="center"/>
        </w:tcPr>
        <w:p w:rsidR="0097415E" w:rsidRPr="00765F6C" w:rsidRDefault="00184121" w:rsidP="00F218FF">
          <w:pPr>
            <w:spacing w:after="0" w:line="240" w:lineRule="auto"/>
            <w:ind w:right="34"/>
            <w:jc w:val="right"/>
            <w:rPr>
              <w:rFonts w:ascii="Palatino Linotype" w:eastAsia="Palatino Linotype" w:hAnsi="Palatino Linotype" w:cs="Palatino Linotype"/>
              <w:b/>
              <w:sz w:val="24"/>
              <w:szCs w:val="24"/>
            </w:rPr>
          </w:pPr>
          <w:r w:rsidRPr="00765F6C">
            <w:rPr>
              <w:rFonts w:ascii="Palatino Linotype" w:eastAsia="Palatino Linotype" w:hAnsi="Palatino Linotype" w:cs="Palatino Linotype"/>
              <w:b/>
              <w:sz w:val="24"/>
              <w:szCs w:val="24"/>
            </w:rPr>
            <w:t>Recurso de Revisión:</w:t>
          </w:r>
        </w:p>
      </w:tc>
      <w:tc>
        <w:tcPr>
          <w:tcW w:w="5387" w:type="dxa"/>
          <w:vAlign w:val="center"/>
        </w:tcPr>
        <w:p w:rsidR="0097415E" w:rsidRPr="00765F6C" w:rsidRDefault="00184121" w:rsidP="00F218FF">
          <w:pPr>
            <w:pBdr>
              <w:top w:val="nil"/>
              <w:left w:val="nil"/>
              <w:bottom w:val="nil"/>
              <w:right w:val="nil"/>
              <w:between w:val="nil"/>
            </w:pBdr>
            <w:tabs>
              <w:tab w:val="right" w:pos="8838"/>
            </w:tabs>
            <w:spacing w:after="0" w:line="240" w:lineRule="auto"/>
            <w:ind w:left="-70" w:right="-24"/>
            <w:rPr>
              <w:rFonts w:ascii="Palatino Linotype" w:eastAsia="Palatino Linotype" w:hAnsi="Palatino Linotype" w:cs="Palatino Linotype"/>
              <w:color w:val="000000"/>
              <w:sz w:val="24"/>
              <w:szCs w:val="24"/>
            </w:rPr>
          </w:pPr>
          <w:r w:rsidRPr="00765F6C">
            <w:rPr>
              <w:rFonts w:ascii="Palatino Linotype" w:eastAsia="Palatino Linotype" w:hAnsi="Palatino Linotype" w:cs="Palatino Linotype"/>
              <w:color w:val="000000"/>
              <w:sz w:val="24"/>
              <w:szCs w:val="24"/>
            </w:rPr>
            <w:t>04098/INFOEM/ICR-115/IP/RR/2025 y acumulado</w:t>
          </w:r>
        </w:p>
      </w:tc>
    </w:tr>
    <w:tr w:rsidR="0097415E" w:rsidTr="00765F6C">
      <w:trPr>
        <w:trHeight w:val="242"/>
      </w:trPr>
      <w:tc>
        <w:tcPr>
          <w:tcW w:w="2976" w:type="dxa"/>
          <w:vAlign w:val="center"/>
        </w:tcPr>
        <w:p w:rsidR="0097415E" w:rsidRPr="00765F6C" w:rsidRDefault="00184121" w:rsidP="00F218FF">
          <w:pPr>
            <w:spacing w:after="0" w:line="240" w:lineRule="auto"/>
            <w:ind w:right="34"/>
            <w:jc w:val="right"/>
            <w:rPr>
              <w:rFonts w:ascii="Palatino Linotype" w:eastAsia="Palatino Linotype" w:hAnsi="Palatino Linotype" w:cs="Palatino Linotype"/>
              <w:b/>
              <w:sz w:val="24"/>
              <w:szCs w:val="24"/>
            </w:rPr>
          </w:pPr>
          <w:r w:rsidRPr="00765F6C">
            <w:rPr>
              <w:rFonts w:ascii="Palatino Linotype" w:eastAsia="Palatino Linotype" w:hAnsi="Palatino Linotype" w:cs="Palatino Linotype"/>
              <w:b/>
              <w:sz w:val="24"/>
              <w:szCs w:val="24"/>
            </w:rPr>
            <w:t>Sujeto Obligado:</w:t>
          </w:r>
        </w:p>
      </w:tc>
      <w:tc>
        <w:tcPr>
          <w:tcW w:w="5387" w:type="dxa"/>
          <w:vAlign w:val="center"/>
        </w:tcPr>
        <w:p w:rsidR="0097415E" w:rsidRPr="00765F6C" w:rsidRDefault="00184121" w:rsidP="00F218FF">
          <w:pPr>
            <w:pBdr>
              <w:top w:val="nil"/>
              <w:left w:val="nil"/>
              <w:bottom w:val="nil"/>
              <w:right w:val="nil"/>
              <w:between w:val="nil"/>
            </w:pBdr>
            <w:tabs>
              <w:tab w:val="right" w:pos="8838"/>
            </w:tabs>
            <w:spacing w:after="0" w:line="240" w:lineRule="auto"/>
            <w:ind w:left="-70" w:right="-24"/>
            <w:rPr>
              <w:rFonts w:ascii="Palatino Linotype" w:eastAsia="Palatino Linotype" w:hAnsi="Palatino Linotype" w:cs="Palatino Linotype"/>
              <w:color w:val="000000"/>
              <w:sz w:val="24"/>
              <w:szCs w:val="24"/>
            </w:rPr>
          </w:pPr>
          <w:r w:rsidRPr="00765F6C">
            <w:rPr>
              <w:rFonts w:ascii="Palatino Linotype" w:eastAsia="Palatino Linotype" w:hAnsi="Palatino Linotype" w:cs="Palatino Linotype"/>
              <w:color w:val="000000"/>
              <w:sz w:val="24"/>
              <w:szCs w:val="24"/>
            </w:rPr>
            <w:t>Ayuntamiento de Tultepec</w:t>
          </w:r>
        </w:p>
      </w:tc>
    </w:tr>
    <w:tr w:rsidR="0097415E" w:rsidTr="00765F6C">
      <w:trPr>
        <w:trHeight w:val="342"/>
      </w:trPr>
      <w:tc>
        <w:tcPr>
          <w:tcW w:w="2976" w:type="dxa"/>
          <w:vAlign w:val="center"/>
        </w:tcPr>
        <w:p w:rsidR="0097415E" w:rsidRPr="00765F6C" w:rsidRDefault="00184121" w:rsidP="00F218FF">
          <w:pPr>
            <w:spacing w:after="0" w:line="240" w:lineRule="auto"/>
            <w:ind w:right="34"/>
            <w:jc w:val="right"/>
            <w:rPr>
              <w:rFonts w:ascii="Palatino Linotype" w:eastAsia="Palatino Linotype" w:hAnsi="Palatino Linotype" w:cs="Palatino Linotype"/>
              <w:b/>
              <w:sz w:val="24"/>
              <w:szCs w:val="24"/>
            </w:rPr>
          </w:pPr>
          <w:r w:rsidRPr="00765F6C">
            <w:rPr>
              <w:rFonts w:ascii="Palatino Linotype" w:eastAsia="Palatino Linotype" w:hAnsi="Palatino Linotype" w:cs="Palatino Linotype"/>
              <w:b/>
              <w:sz w:val="24"/>
              <w:szCs w:val="24"/>
            </w:rPr>
            <w:t>Comisionada Ponente:</w:t>
          </w:r>
        </w:p>
      </w:tc>
      <w:tc>
        <w:tcPr>
          <w:tcW w:w="5387" w:type="dxa"/>
          <w:vAlign w:val="center"/>
        </w:tcPr>
        <w:p w:rsidR="0097415E" w:rsidRPr="00765F6C" w:rsidRDefault="00184121" w:rsidP="00F218FF">
          <w:pPr>
            <w:pBdr>
              <w:top w:val="nil"/>
              <w:left w:val="nil"/>
              <w:bottom w:val="nil"/>
              <w:right w:val="nil"/>
              <w:between w:val="nil"/>
            </w:pBdr>
            <w:tabs>
              <w:tab w:val="right" w:pos="8838"/>
            </w:tabs>
            <w:spacing w:after="0" w:line="240" w:lineRule="auto"/>
            <w:ind w:left="-70" w:right="-24"/>
            <w:rPr>
              <w:rFonts w:ascii="Palatino Linotype" w:eastAsia="Palatino Linotype" w:hAnsi="Palatino Linotype" w:cs="Palatino Linotype"/>
              <w:color w:val="000000"/>
              <w:sz w:val="24"/>
              <w:szCs w:val="24"/>
            </w:rPr>
          </w:pPr>
          <w:r w:rsidRPr="00765F6C">
            <w:rPr>
              <w:rFonts w:ascii="Palatino Linotype" w:eastAsia="Palatino Linotype" w:hAnsi="Palatino Linotype" w:cs="Palatino Linotype"/>
              <w:color w:val="000000"/>
              <w:sz w:val="24"/>
              <w:szCs w:val="24"/>
            </w:rPr>
            <w:t>María del Rosario Mejía Ayala</w:t>
          </w:r>
        </w:p>
      </w:tc>
    </w:tr>
  </w:tbl>
  <w:p w:rsidR="0097415E" w:rsidRDefault="004034A0">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93.25pt;margin-top:-124.2pt;width:609.4pt;height:793.75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8363" w:type="dxa"/>
      <w:tblInd w:w="1701" w:type="dxa"/>
      <w:tblLayout w:type="fixed"/>
      <w:tblLook w:val="0400" w:firstRow="0" w:lastRow="0" w:firstColumn="0" w:lastColumn="0" w:noHBand="0" w:noVBand="1"/>
    </w:tblPr>
    <w:tblGrid>
      <w:gridCol w:w="2977"/>
      <w:gridCol w:w="5386"/>
    </w:tblGrid>
    <w:tr w:rsidR="0097415E" w:rsidTr="00765F6C">
      <w:trPr>
        <w:trHeight w:val="227"/>
      </w:trPr>
      <w:tc>
        <w:tcPr>
          <w:tcW w:w="2977" w:type="dxa"/>
          <w:vAlign w:val="center"/>
        </w:tcPr>
        <w:p w:rsidR="0097415E" w:rsidRPr="00260660" w:rsidRDefault="00184121" w:rsidP="00260660">
          <w:pPr>
            <w:spacing w:after="0" w:line="240" w:lineRule="auto"/>
            <w:jc w:val="right"/>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Recurso de Revisión:</w:t>
          </w:r>
        </w:p>
      </w:tc>
      <w:tc>
        <w:tcPr>
          <w:tcW w:w="5386" w:type="dxa"/>
          <w:vAlign w:val="center"/>
        </w:tcPr>
        <w:p w:rsidR="0097415E" w:rsidRPr="00260660" w:rsidRDefault="00184121" w:rsidP="00260660">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04098/INFOEM/ICR-15/IP/RR/2025</w:t>
          </w:r>
          <w:r w:rsidR="00260660">
            <w:rPr>
              <w:rFonts w:ascii="Palatino Linotype" w:eastAsia="Palatino Linotype" w:hAnsi="Palatino Linotype" w:cs="Palatino Linotype"/>
              <w:color w:val="000000" w:themeColor="text1"/>
              <w:sz w:val="24"/>
              <w:szCs w:val="24"/>
            </w:rPr>
            <w:t xml:space="preserve"> </w:t>
          </w:r>
          <w:r w:rsidRPr="00260660">
            <w:rPr>
              <w:rFonts w:ascii="Palatino Linotype" w:eastAsia="Palatino Linotype" w:hAnsi="Palatino Linotype" w:cs="Palatino Linotype"/>
              <w:color w:val="000000" w:themeColor="text1"/>
              <w:sz w:val="24"/>
              <w:szCs w:val="24"/>
            </w:rPr>
            <w:t>y acumulado</w:t>
          </w:r>
        </w:p>
      </w:tc>
    </w:tr>
    <w:tr w:rsidR="0097415E" w:rsidTr="00765F6C">
      <w:trPr>
        <w:trHeight w:val="242"/>
      </w:trPr>
      <w:tc>
        <w:tcPr>
          <w:tcW w:w="2977" w:type="dxa"/>
          <w:vAlign w:val="center"/>
        </w:tcPr>
        <w:p w:rsidR="00260660" w:rsidRPr="00260660" w:rsidRDefault="00184121" w:rsidP="00260660">
          <w:pPr>
            <w:spacing w:after="0" w:line="240" w:lineRule="auto"/>
            <w:jc w:val="right"/>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Recurrente:</w:t>
          </w:r>
        </w:p>
      </w:tc>
      <w:tc>
        <w:tcPr>
          <w:tcW w:w="5386" w:type="dxa"/>
        </w:tcPr>
        <w:p w:rsidR="0097415E" w:rsidRPr="00260660" w:rsidRDefault="009E35A4" w:rsidP="00260660">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7415E" w:rsidTr="00765F6C">
      <w:trPr>
        <w:trHeight w:val="342"/>
      </w:trPr>
      <w:tc>
        <w:tcPr>
          <w:tcW w:w="2977" w:type="dxa"/>
          <w:vAlign w:val="center"/>
        </w:tcPr>
        <w:p w:rsidR="0097415E" w:rsidRPr="00260660" w:rsidRDefault="00184121" w:rsidP="00260660">
          <w:pPr>
            <w:spacing w:after="0" w:line="240" w:lineRule="auto"/>
            <w:jc w:val="right"/>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Sujeto Obligado:</w:t>
          </w:r>
        </w:p>
      </w:tc>
      <w:tc>
        <w:tcPr>
          <w:tcW w:w="5386" w:type="dxa"/>
          <w:vAlign w:val="center"/>
        </w:tcPr>
        <w:p w:rsidR="0097415E" w:rsidRPr="00260660" w:rsidRDefault="00184121" w:rsidP="00260660">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Ayuntamiento de Tultepec</w:t>
          </w:r>
        </w:p>
      </w:tc>
    </w:tr>
    <w:tr w:rsidR="0097415E" w:rsidTr="00765F6C">
      <w:trPr>
        <w:trHeight w:val="342"/>
      </w:trPr>
      <w:tc>
        <w:tcPr>
          <w:tcW w:w="2977" w:type="dxa"/>
          <w:vAlign w:val="center"/>
        </w:tcPr>
        <w:p w:rsidR="0097415E" w:rsidRPr="00260660" w:rsidRDefault="00184121" w:rsidP="00260660">
          <w:pPr>
            <w:spacing w:after="0" w:line="240" w:lineRule="auto"/>
            <w:jc w:val="right"/>
            <w:rPr>
              <w:rFonts w:ascii="Palatino Linotype" w:eastAsia="Palatino Linotype" w:hAnsi="Palatino Linotype" w:cs="Palatino Linotype"/>
              <w:b/>
              <w:color w:val="000000" w:themeColor="text1"/>
              <w:sz w:val="24"/>
              <w:szCs w:val="24"/>
            </w:rPr>
          </w:pPr>
          <w:r w:rsidRPr="00260660">
            <w:rPr>
              <w:rFonts w:ascii="Palatino Linotype" w:eastAsia="Palatino Linotype" w:hAnsi="Palatino Linotype" w:cs="Palatino Linotype"/>
              <w:b/>
              <w:color w:val="000000" w:themeColor="text1"/>
              <w:sz w:val="24"/>
              <w:szCs w:val="24"/>
            </w:rPr>
            <w:t>Comisionada Ponente:</w:t>
          </w:r>
        </w:p>
      </w:tc>
      <w:tc>
        <w:tcPr>
          <w:tcW w:w="5386" w:type="dxa"/>
          <w:vAlign w:val="center"/>
        </w:tcPr>
        <w:p w:rsidR="0097415E" w:rsidRPr="00260660" w:rsidRDefault="00184121" w:rsidP="00260660">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260660">
            <w:rPr>
              <w:rFonts w:ascii="Palatino Linotype" w:eastAsia="Palatino Linotype" w:hAnsi="Palatino Linotype" w:cs="Palatino Linotype"/>
              <w:color w:val="000000" w:themeColor="text1"/>
              <w:sz w:val="24"/>
              <w:szCs w:val="24"/>
            </w:rPr>
            <w:t>María del Rosario Mejía Ayala</w:t>
          </w:r>
        </w:p>
      </w:tc>
    </w:tr>
  </w:tbl>
  <w:p w:rsidR="0097415E" w:rsidRDefault="004034A0">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5A24"/>
    <w:multiLevelType w:val="multilevel"/>
    <w:tmpl w:val="A460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DC35B3"/>
    <w:multiLevelType w:val="multilevel"/>
    <w:tmpl w:val="990C077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0D105DD9"/>
    <w:multiLevelType w:val="multilevel"/>
    <w:tmpl w:val="48DA64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704B97"/>
    <w:multiLevelType w:val="multilevel"/>
    <w:tmpl w:val="65D29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F4644A"/>
    <w:multiLevelType w:val="multilevel"/>
    <w:tmpl w:val="84203538"/>
    <w:lvl w:ilvl="0">
      <w:start w:val="1"/>
      <w:numFmt w:val="lowerLetter"/>
      <w:pStyle w:val="Listaconvietas2"/>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0D5E15"/>
    <w:multiLevelType w:val="multilevel"/>
    <w:tmpl w:val="29BC992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661148"/>
    <w:multiLevelType w:val="multilevel"/>
    <w:tmpl w:val="55EEDE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5E"/>
    <w:rsid w:val="00091F19"/>
    <w:rsid w:val="000C3A73"/>
    <w:rsid w:val="000F75BE"/>
    <w:rsid w:val="001347EB"/>
    <w:rsid w:val="00184121"/>
    <w:rsid w:val="00212533"/>
    <w:rsid w:val="00260660"/>
    <w:rsid w:val="004034A0"/>
    <w:rsid w:val="00765F6C"/>
    <w:rsid w:val="008C1483"/>
    <w:rsid w:val="0097415E"/>
    <w:rsid w:val="009E35A4"/>
    <w:rsid w:val="00A96E95"/>
    <w:rsid w:val="00E200B8"/>
    <w:rsid w:val="00E220F6"/>
    <w:rsid w:val="00F218FF"/>
    <w:rsid w:val="00F45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8DD7A1-ABFA-4EE8-8224-37A8A03D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3"/>
      </w:numPr>
      <w:spacing w:after="0" w:line="240" w:lineRule="auto"/>
      <w:contextualSpacing/>
    </w:pPr>
    <w:rPr>
      <w:rFonts w:ascii="Times New Roman" w:eastAsia="Times New Roman" w:hAnsi="Times New Roman" w:cs="Times New Roman"/>
      <w:sz w:val="20"/>
      <w:szCs w:val="20"/>
      <w:lang w:val="es-ES_tradnl" w:eastAsia="es-ES"/>
    </w:r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paragraph" w:styleId="Lista">
    <w:name w:val="List"/>
    <w:basedOn w:val="Normal"/>
    <w:uiPriority w:val="99"/>
    <w:unhideWhenUsed/>
    <w:rsid w:val="003F290E"/>
    <w:pPr>
      <w:ind w:left="283" w:hanging="283"/>
      <w:contextualSpacing/>
    </w:pPr>
  </w:style>
  <w:style w:type="paragraph" w:styleId="Lista2">
    <w:name w:val="List 2"/>
    <w:basedOn w:val="Normal"/>
    <w:uiPriority w:val="99"/>
    <w:unhideWhenUsed/>
    <w:rsid w:val="003F290E"/>
    <w:pPr>
      <w:ind w:left="566" w:hanging="283"/>
      <w:contextualSpacing/>
    </w:pPr>
  </w:style>
  <w:style w:type="paragraph" w:styleId="Lista3">
    <w:name w:val="List 3"/>
    <w:basedOn w:val="Normal"/>
    <w:uiPriority w:val="99"/>
    <w:unhideWhenUsed/>
    <w:rsid w:val="003F290E"/>
    <w:pPr>
      <w:ind w:left="849" w:hanging="283"/>
      <w:contextualSpacing/>
    </w:pPr>
  </w:style>
  <w:style w:type="paragraph" w:styleId="Lista4">
    <w:name w:val="List 4"/>
    <w:basedOn w:val="Normal"/>
    <w:uiPriority w:val="99"/>
    <w:unhideWhenUsed/>
    <w:rsid w:val="003F290E"/>
    <w:pPr>
      <w:ind w:left="1132" w:hanging="283"/>
      <w:contextualSpacing/>
    </w:pPr>
  </w:style>
  <w:style w:type="paragraph" w:styleId="Lista5">
    <w:name w:val="List 5"/>
    <w:basedOn w:val="Normal"/>
    <w:uiPriority w:val="99"/>
    <w:unhideWhenUsed/>
    <w:rsid w:val="003F290E"/>
    <w:pPr>
      <w:ind w:left="1415" w:hanging="283"/>
      <w:contextualSpacing/>
    </w:pPr>
  </w:style>
  <w:style w:type="paragraph" w:styleId="Continuarlista">
    <w:name w:val="List Continue"/>
    <w:basedOn w:val="Normal"/>
    <w:uiPriority w:val="99"/>
    <w:unhideWhenUsed/>
    <w:rsid w:val="003F290E"/>
    <w:pPr>
      <w:spacing w:after="120"/>
      <w:ind w:left="283"/>
      <w:contextualSpacing/>
    </w:pPr>
  </w:style>
  <w:style w:type="paragraph" w:styleId="Textoindependiente">
    <w:name w:val="Body Text"/>
    <w:basedOn w:val="Normal"/>
    <w:link w:val="TextoindependienteCar"/>
    <w:uiPriority w:val="99"/>
    <w:unhideWhenUsed/>
    <w:rsid w:val="003F290E"/>
    <w:pPr>
      <w:spacing w:after="120"/>
    </w:pPr>
  </w:style>
  <w:style w:type="character" w:customStyle="1" w:styleId="TextoindependienteCar">
    <w:name w:val="Texto independiente Car"/>
    <w:basedOn w:val="Fuentedeprrafopredeter"/>
    <w:link w:val="Textoindependiente"/>
    <w:uiPriority w:val="99"/>
    <w:rsid w:val="003F290E"/>
  </w:style>
  <w:style w:type="paragraph" w:styleId="Sangradetextonormal">
    <w:name w:val="Body Text Indent"/>
    <w:basedOn w:val="Normal"/>
    <w:link w:val="SangradetextonormalCar"/>
    <w:uiPriority w:val="99"/>
    <w:unhideWhenUsed/>
    <w:rsid w:val="003F290E"/>
    <w:pPr>
      <w:spacing w:after="120"/>
      <w:ind w:left="283"/>
    </w:pPr>
  </w:style>
  <w:style w:type="character" w:customStyle="1" w:styleId="SangradetextonormalCar">
    <w:name w:val="Sangría de texto normal Car"/>
    <w:basedOn w:val="Fuentedeprrafopredeter"/>
    <w:link w:val="Sangradetextonormal"/>
    <w:uiPriority w:val="99"/>
    <w:rsid w:val="003F290E"/>
  </w:style>
  <w:style w:type="paragraph" w:styleId="Textoindependienteprimerasangra">
    <w:name w:val="Body Text First Indent"/>
    <w:basedOn w:val="Textoindependiente"/>
    <w:link w:val="TextoindependienteprimerasangraCar"/>
    <w:uiPriority w:val="99"/>
    <w:unhideWhenUsed/>
    <w:rsid w:val="003F290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3F290E"/>
  </w:style>
  <w:style w:type="paragraph" w:styleId="Textoindependienteprimerasangra2">
    <w:name w:val="Body Text First Indent 2"/>
    <w:basedOn w:val="Sangradetextonormal"/>
    <w:link w:val="Textoindependienteprimerasangra2Car"/>
    <w:uiPriority w:val="99"/>
    <w:unhideWhenUsed/>
    <w:rsid w:val="003F290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F290E"/>
  </w:style>
  <w:style w:type="character" w:styleId="Textoennegrita">
    <w:name w:val="Strong"/>
    <w:basedOn w:val="Fuentedeprrafopredeter"/>
    <w:uiPriority w:val="22"/>
    <w:qFormat/>
    <w:rsid w:val="008737B8"/>
    <w:rPr>
      <w:b/>
      <w:bCs/>
    </w:rPr>
  </w:style>
  <w:style w:type="paragraph" w:styleId="Sinespaciado">
    <w:name w:val="No Spacing"/>
    <w:aliases w:val="Francesa,INAI"/>
    <w:link w:val="SinespaciadoCar"/>
    <w:uiPriority w:val="1"/>
    <w:qFormat/>
    <w:rsid w:val="00D63A0C"/>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D63A0C"/>
    <w:rPr>
      <w:rFonts w:ascii="Times New Roman" w:eastAsia="Times New Roman" w:hAnsi="Times New Roman" w:cs="Times New Roman"/>
      <w:sz w:val="24"/>
      <w:szCs w:val="24"/>
      <w:lang w:val="es-MX"/>
    </w:r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433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414330.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9FVHWzzRbS6HtiSbyJHwU0/MMw==">CgMxLjAyCWguMzBqMHpsbDIJaC4yZXQ5MnAwMghoLnR5amN3dDIIaC5namRneHMyCGgubG54Yno5Mg5oLnluanZ4bjJyb3NidTIOaC55a2Vqd3VvdDk4MHc4AHIhMXNadWMxT004MVZYSzlzWkc0djdjM1RVMHcwb1VEVWlM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5292</Words>
  <Characters>29110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dcterms:created xsi:type="dcterms:W3CDTF">2025-10-16T02:28:00Z</dcterms:created>
  <dcterms:modified xsi:type="dcterms:W3CDTF">2025-11-13T17:19:00Z</dcterms:modified>
</cp:coreProperties>
</file>