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407B6DEE" w:rsidR="00841865" w:rsidRPr="003538AC" w:rsidRDefault="00841865" w:rsidP="00E23F8A">
      <w:pPr>
        <w:tabs>
          <w:tab w:val="left" w:pos="0"/>
        </w:tabs>
        <w:spacing w:line="360" w:lineRule="auto"/>
        <w:jc w:val="both"/>
        <w:rPr>
          <w:rFonts w:ascii="Palatino Linotype" w:hAnsi="Palatino Linotype"/>
          <w:color w:val="000000" w:themeColor="text1"/>
        </w:rPr>
      </w:pPr>
      <w:bookmarkStart w:id="0" w:name="_GoBack"/>
      <w:bookmarkEnd w:id="0"/>
      <w:r w:rsidRPr="003538AC">
        <w:rPr>
          <w:rFonts w:ascii="Palatino Linotype" w:hAnsi="Palatino Linotype"/>
          <w:color w:val="000000" w:themeColor="text1"/>
        </w:rPr>
        <w:t>Resolución del Pleno del Instituto de Transparencia, Acceso</w:t>
      </w:r>
      <w:r w:rsidR="00A561AF" w:rsidRPr="003538AC">
        <w:rPr>
          <w:rFonts w:ascii="Palatino Linotype" w:hAnsi="Palatino Linotype"/>
          <w:color w:val="000000" w:themeColor="text1"/>
        </w:rPr>
        <w:t xml:space="preserve"> </w:t>
      </w:r>
      <w:r w:rsidRPr="003538AC">
        <w:rPr>
          <w:rFonts w:ascii="Palatino Linotype" w:hAnsi="Palatino Linotype"/>
          <w:color w:val="000000" w:themeColor="text1"/>
        </w:rPr>
        <w:t>a la Información Pública y Protección de Datos Personales del Estado de México y Municipios, con domicilio e</w:t>
      </w:r>
      <w:r w:rsidR="00B158E2">
        <w:rPr>
          <w:rFonts w:ascii="Palatino Linotype" w:hAnsi="Palatino Linotype"/>
          <w:color w:val="000000" w:themeColor="text1"/>
        </w:rPr>
        <w:t xml:space="preserve">n Metepec, Estado de México; </w:t>
      </w:r>
      <w:r w:rsidR="00B158E2" w:rsidRPr="00B158E2">
        <w:rPr>
          <w:rFonts w:ascii="Palatino Linotype" w:hAnsi="Palatino Linotype"/>
          <w:b/>
          <w:color w:val="000000" w:themeColor="text1"/>
        </w:rPr>
        <w:t>de fecha</w:t>
      </w:r>
      <w:r w:rsidRPr="003538AC">
        <w:rPr>
          <w:rFonts w:ascii="Palatino Linotype" w:hAnsi="Palatino Linotype"/>
          <w:color w:val="000000" w:themeColor="text1"/>
        </w:rPr>
        <w:t xml:space="preserve"> </w:t>
      </w:r>
      <w:r w:rsidR="009A7187" w:rsidRPr="003538AC">
        <w:rPr>
          <w:rFonts w:ascii="Palatino Linotype" w:hAnsi="Palatino Linotype"/>
          <w:b/>
          <w:color w:val="000000" w:themeColor="text1"/>
        </w:rPr>
        <w:t>trece</w:t>
      </w:r>
      <w:r w:rsidRPr="003538AC">
        <w:rPr>
          <w:rFonts w:ascii="Palatino Linotype" w:hAnsi="Palatino Linotype"/>
          <w:b/>
          <w:color w:val="000000" w:themeColor="text1"/>
        </w:rPr>
        <w:t xml:space="preserve"> </w:t>
      </w:r>
      <w:r w:rsidR="009A7187" w:rsidRPr="003538AC">
        <w:rPr>
          <w:rFonts w:ascii="Palatino Linotype" w:hAnsi="Palatino Linotype"/>
          <w:b/>
          <w:color w:val="000000" w:themeColor="text1"/>
        </w:rPr>
        <w:t>(13</w:t>
      </w:r>
      <w:r w:rsidR="00F4683A" w:rsidRPr="003538AC">
        <w:rPr>
          <w:rFonts w:ascii="Palatino Linotype" w:hAnsi="Palatino Linotype"/>
          <w:b/>
          <w:color w:val="000000" w:themeColor="text1"/>
        </w:rPr>
        <w:t>)</w:t>
      </w:r>
      <w:r w:rsidRPr="003538AC">
        <w:rPr>
          <w:rFonts w:ascii="Palatino Linotype" w:hAnsi="Palatino Linotype"/>
          <w:b/>
          <w:color w:val="000000" w:themeColor="text1"/>
        </w:rPr>
        <w:t xml:space="preserve">de </w:t>
      </w:r>
      <w:r w:rsidR="009A7187" w:rsidRPr="003538AC">
        <w:rPr>
          <w:rFonts w:ascii="Palatino Linotype" w:hAnsi="Palatino Linotype"/>
          <w:b/>
          <w:color w:val="000000" w:themeColor="text1"/>
        </w:rPr>
        <w:t xml:space="preserve">agosto </w:t>
      </w:r>
      <w:r w:rsidRPr="003538AC">
        <w:rPr>
          <w:rFonts w:ascii="Palatino Linotype" w:hAnsi="Palatino Linotype"/>
          <w:b/>
          <w:color w:val="000000" w:themeColor="text1"/>
        </w:rPr>
        <w:t>de dos mil veinticinco.</w:t>
      </w:r>
      <w:r w:rsidRPr="003538AC">
        <w:rPr>
          <w:rFonts w:ascii="Palatino Linotype" w:hAnsi="Palatino Linotype"/>
          <w:color w:val="000000" w:themeColor="text1"/>
        </w:rPr>
        <w:t xml:space="preserve"> </w:t>
      </w:r>
    </w:p>
    <w:p w14:paraId="551493FB" w14:textId="77777777" w:rsidR="00841865" w:rsidRPr="003538AC" w:rsidRDefault="00841865" w:rsidP="00E23F8A">
      <w:pPr>
        <w:tabs>
          <w:tab w:val="left" w:pos="0"/>
        </w:tabs>
        <w:spacing w:line="360" w:lineRule="auto"/>
        <w:jc w:val="both"/>
        <w:rPr>
          <w:rFonts w:ascii="Palatino Linotype" w:hAnsi="Palatino Linotype"/>
          <w:color w:val="000000" w:themeColor="text1"/>
        </w:rPr>
      </w:pPr>
    </w:p>
    <w:p w14:paraId="117DF2DB" w14:textId="1C865F6F" w:rsidR="007721BA" w:rsidRPr="003538AC" w:rsidRDefault="00841865" w:rsidP="00E23F8A">
      <w:pPr>
        <w:pStyle w:val="Prrafodelista"/>
        <w:spacing w:line="360" w:lineRule="auto"/>
        <w:ind w:left="0"/>
        <w:jc w:val="both"/>
        <w:rPr>
          <w:rFonts w:ascii="Palatino Linotype" w:eastAsia="Calibri" w:hAnsi="Palatino Linotype" w:cs="Arial"/>
          <w:color w:val="000000" w:themeColor="text1"/>
          <w:sz w:val="24"/>
        </w:rPr>
      </w:pPr>
      <w:r w:rsidRPr="003538AC">
        <w:rPr>
          <w:rFonts w:ascii="Palatino Linotype" w:hAnsi="Palatino Linotype"/>
          <w:b/>
          <w:color w:val="000000" w:themeColor="text1"/>
          <w:sz w:val="24"/>
        </w:rPr>
        <w:t>VISTO</w:t>
      </w:r>
      <w:r w:rsidRPr="003538AC">
        <w:rPr>
          <w:rFonts w:ascii="Palatino Linotype" w:hAnsi="Palatino Linotype"/>
          <w:color w:val="000000" w:themeColor="text1"/>
          <w:sz w:val="24"/>
        </w:rPr>
        <w:t xml:space="preserve"> el expediente electrónico formado con motivo del recurso de revisión </w:t>
      </w:r>
      <w:r w:rsidR="009A7187" w:rsidRPr="003538AC">
        <w:rPr>
          <w:rFonts w:ascii="Palatino Linotype" w:eastAsia="Calibri" w:hAnsi="Palatino Linotype" w:cs="Arial"/>
          <w:b/>
          <w:color w:val="000000" w:themeColor="text1"/>
          <w:sz w:val="24"/>
        </w:rPr>
        <w:t>06103</w:t>
      </w:r>
      <w:r w:rsidR="00F4683A" w:rsidRPr="003538AC">
        <w:rPr>
          <w:rFonts w:ascii="Palatino Linotype" w:eastAsia="Calibri" w:hAnsi="Palatino Linotype" w:cs="Arial"/>
          <w:b/>
          <w:color w:val="000000" w:themeColor="text1"/>
          <w:sz w:val="24"/>
        </w:rPr>
        <w:t>/INFOEM/IP/RR/2025</w:t>
      </w:r>
      <w:r w:rsidRPr="003538AC">
        <w:rPr>
          <w:rFonts w:ascii="Palatino Linotype" w:hAnsi="Palatino Linotype" w:cs="Arial"/>
          <w:b/>
          <w:bCs/>
          <w:color w:val="000000" w:themeColor="text1"/>
          <w:sz w:val="24"/>
        </w:rPr>
        <w:t xml:space="preserve">, </w:t>
      </w:r>
      <w:r w:rsidRPr="003538AC">
        <w:rPr>
          <w:rFonts w:ascii="Palatino Linotype" w:hAnsi="Palatino Linotype"/>
          <w:color w:val="000000" w:themeColor="text1"/>
          <w:sz w:val="24"/>
        </w:rPr>
        <w:t xml:space="preserve">promovido por </w:t>
      </w:r>
      <w:r w:rsidR="00C12401">
        <w:rPr>
          <w:rFonts w:ascii="Palatino Linotype" w:eastAsia="Calibri" w:hAnsi="Palatino Linotype" w:cs="Arial"/>
          <w:b/>
          <w:color w:val="000000" w:themeColor="text1"/>
          <w:sz w:val="24"/>
        </w:rPr>
        <w:t>XXXX</w:t>
      </w:r>
      <w:r w:rsidRPr="003538AC">
        <w:rPr>
          <w:rFonts w:ascii="Palatino Linotype" w:hAnsi="Palatino Linotype"/>
          <w:color w:val="000000" w:themeColor="text1"/>
          <w:sz w:val="24"/>
        </w:rPr>
        <w:t xml:space="preserve">, </w:t>
      </w:r>
      <w:r w:rsidR="007721BA" w:rsidRPr="003538AC">
        <w:rPr>
          <w:rFonts w:ascii="Palatino Linotype" w:eastAsia="Calibri" w:hAnsi="Palatino Linotype" w:cs="Arial"/>
          <w:color w:val="000000" w:themeColor="text1"/>
          <w:sz w:val="24"/>
        </w:rPr>
        <w:t xml:space="preserve">a través del Sistema de Acceso a la Información Mexiquense (SAIMEX), a quien en lo sucesivo se le identificará como </w:t>
      </w:r>
      <w:r w:rsidR="007721BA" w:rsidRPr="003538AC">
        <w:rPr>
          <w:rFonts w:ascii="Palatino Linotype" w:eastAsia="Calibri" w:hAnsi="Palatino Linotype" w:cs="Arial"/>
          <w:b/>
          <w:color w:val="000000" w:themeColor="text1"/>
          <w:sz w:val="24"/>
        </w:rPr>
        <w:t>EL RECURRENTE</w:t>
      </w:r>
      <w:r w:rsidR="007721BA" w:rsidRPr="003538AC">
        <w:rPr>
          <w:rFonts w:ascii="Palatino Linotype" w:eastAsia="Calibri" w:hAnsi="Palatino Linotype" w:cs="Arial"/>
          <w:color w:val="000000" w:themeColor="text1"/>
          <w:sz w:val="24"/>
        </w:rPr>
        <w:t xml:space="preserve">, en contra de la respuesta del </w:t>
      </w:r>
      <w:r w:rsidR="009A7187" w:rsidRPr="003538AC">
        <w:rPr>
          <w:rFonts w:ascii="Palatino Linotype" w:eastAsia="Calibri" w:hAnsi="Palatino Linotype" w:cs="Tahoma"/>
          <w:b/>
          <w:bCs/>
          <w:color w:val="000000" w:themeColor="text1"/>
          <w:sz w:val="24"/>
          <w:lang w:eastAsia="en-US"/>
        </w:rPr>
        <w:t>Organismo Público Descentralizado para la Prestación de los Servicios de Agua Potable Alcantarillado y Saneamiento del Municipio de Tlalnepantla de Baz</w:t>
      </w:r>
      <w:r w:rsidR="007721BA" w:rsidRPr="003538AC">
        <w:rPr>
          <w:rFonts w:ascii="Palatino Linotype" w:eastAsia="Calibri" w:hAnsi="Palatino Linotype" w:cs="Arial"/>
          <w:color w:val="000000" w:themeColor="text1"/>
          <w:sz w:val="24"/>
        </w:rPr>
        <w:t xml:space="preserve">, en lo sucesivo </w:t>
      </w:r>
      <w:r w:rsidR="007721BA" w:rsidRPr="003538AC">
        <w:rPr>
          <w:rFonts w:ascii="Palatino Linotype" w:eastAsia="Calibri" w:hAnsi="Palatino Linotype" w:cs="Arial"/>
          <w:b/>
          <w:color w:val="000000" w:themeColor="text1"/>
          <w:sz w:val="24"/>
        </w:rPr>
        <w:t>EL SUJETO OBLIGADO</w:t>
      </w:r>
      <w:r w:rsidR="007721BA" w:rsidRPr="003538AC">
        <w:rPr>
          <w:rFonts w:ascii="Palatino Linotype" w:eastAsia="Calibri" w:hAnsi="Palatino Linotype" w:cs="Arial"/>
          <w:color w:val="000000" w:themeColor="text1"/>
          <w:sz w:val="24"/>
        </w:rPr>
        <w:t>, se procede a dictar la presente resolución, con base en los siguientes:</w:t>
      </w:r>
    </w:p>
    <w:p w14:paraId="27DA79E7" w14:textId="77777777" w:rsidR="00841865" w:rsidRPr="003538AC" w:rsidRDefault="00841865" w:rsidP="00E23F8A">
      <w:pPr>
        <w:spacing w:line="360" w:lineRule="auto"/>
        <w:jc w:val="both"/>
        <w:rPr>
          <w:rFonts w:ascii="Palatino Linotype" w:hAnsi="Palatino Linotype"/>
          <w:color w:val="000000" w:themeColor="text1"/>
        </w:rPr>
      </w:pPr>
    </w:p>
    <w:p w14:paraId="03834B31" w14:textId="357F312B" w:rsidR="00841865" w:rsidRPr="003538AC" w:rsidRDefault="00841865" w:rsidP="00E23F8A">
      <w:pPr>
        <w:keepNext/>
        <w:keepLines/>
        <w:tabs>
          <w:tab w:val="left" w:pos="0"/>
        </w:tabs>
        <w:spacing w:line="360" w:lineRule="auto"/>
        <w:jc w:val="center"/>
        <w:outlineLvl w:val="0"/>
        <w:rPr>
          <w:rFonts w:ascii="Palatino Linotype" w:hAnsi="Palatino Linotype"/>
          <w:b/>
          <w:color w:val="000000" w:themeColor="text1"/>
          <w:lang w:eastAsia="en-US"/>
        </w:rPr>
      </w:pPr>
      <w:bookmarkStart w:id="1" w:name="_Toc496274633"/>
      <w:bookmarkStart w:id="2" w:name="_Toc490060616"/>
      <w:bookmarkStart w:id="3" w:name="_Toc499727165"/>
      <w:bookmarkStart w:id="4" w:name="_Toc94119610"/>
      <w:r w:rsidRPr="003538AC">
        <w:rPr>
          <w:rFonts w:ascii="Palatino Linotype" w:hAnsi="Palatino Linotype"/>
          <w:b/>
          <w:color w:val="000000" w:themeColor="text1"/>
          <w:lang w:eastAsia="en-US"/>
        </w:rPr>
        <w:t>A</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N</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T</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E</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C</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E</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D</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E</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N</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T</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E</w:t>
      </w:r>
      <w:r w:rsidR="003440E8">
        <w:rPr>
          <w:rFonts w:ascii="Palatino Linotype" w:hAnsi="Palatino Linotype"/>
          <w:b/>
          <w:color w:val="000000" w:themeColor="text1"/>
          <w:lang w:eastAsia="en-US"/>
        </w:rPr>
        <w:t xml:space="preserve"> </w:t>
      </w:r>
      <w:r w:rsidRPr="003538AC">
        <w:rPr>
          <w:rFonts w:ascii="Palatino Linotype" w:hAnsi="Palatino Linotype"/>
          <w:b/>
          <w:color w:val="000000" w:themeColor="text1"/>
          <w:lang w:eastAsia="en-US"/>
        </w:rPr>
        <w:t>S</w:t>
      </w:r>
      <w:bookmarkEnd w:id="1"/>
      <w:bookmarkEnd w:id="2"/>
      <w:bookmarkEnd w:id="3"/>
      <w:bookmarkEnd w:id="4"/>
    </w:p>
    <w:p w14:paraId="5EE85A16" w14:textId="77777777" w:rsidR="00841865" w:rsidRPr="003538AC" w:rsidRDefault="00841865" w:rsidP="00E23F8A">
      <w:pPr>
        <w:keepNext/>
        <w:keepLines/>
        <w:tabs>
          <w:tab w:val="left" w:pos="0"/>
        </w:tabs>
        <w:spacing w:line="360" w:lineRule="auto"/>
        <w:jc w:val="center"/>
        <w:outlineLvl w:val="0"/>
        <w:rPr>
          <w:rFonts w:ascii="Palatino Linotype" w:hAnsi="Palatino Linotype"/>
          <w:b/>
          <w:color w:val="000000" w:themeColor="text1"/>
          <w:lang w:eastAsia="en-US"/>
        </w:rPr>
      </w:pPr>
    </w:p>
    <w:p w14:paraId="12D4DC2E" w14:textId="437927E4" w:rsidR="00841865" w:rsidRPr="003538AC" w:rsidRDefault="00841865" w:rsidP="00E23F8A">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
        </w:rPr>
      </w:pPr>
      <w:r w:rsidRPr="003538AC">
        <w:rPr>
          <w:rFonts w:ascii="Palatino Linotype" w:eastAsia="Calibri" w:hAnsi="Palatino Linotype" w:cs="Arial"/>
          <w:color w:val="000000" w:themeColor="text1"/>
          <w:lang w:val="es-ES"/>
        </w:rPr>
        <w:t xml:space="preserve">El </w:t>
      </w:r>
      <w:r w:rsidR="009A7187" w:rsidRPr="003538AC">
        <w:rPr>
          <w:rFonts w:ascii="Palatino Linotype" w:eastAsia="Calibri" w:hAnsi="Palatino Linotype" w:cs="Arial"/>
          <w:b/>
          <w:color w:val="000000" w:themeColor="text1"/>
        </w:rPr>
        <w:t>uno de mayo</w:t>
      </w:r>
      <w:r w:rsidR="00F4683A" w:rsidRPr="003538AC">
        <w:rPr>
          <w:rFonts w:ascii="Palatino Linotype" w:eastAsia="Calibri" w:hAnsi="Palatino Linotype" w:cs="Arial"/>
          <w:b/>
          <w:color w:val="000000" w:themeColor="text1"/>
        </w:rPr>
        <w:t xml:space="preserve"> de dos mil veinticinco</w:t>
      </w:r>
      <w:r w:rsidRPr="003538AC">
        <w:rPr>
          <w:rFonts w:ascii="Palatino Linotype" w:eastAsia="Calibri" w:hAnsi="Palatino Linotype" w:cs="Arial"/>
          <w:color w:val="000000" w:themeColor="text1"/>
          <w:lang w:val="es-ES"/>
        </w:rPr>
        <w:t>,</w:t>
      </w:r>
      <w:r w:rsidRPr="003538AC">
        <w:rPr>
          <w:rFonts w:ascii="Palatino Linotype" w:eastAsia="Calibri" w:hAnsi="Palatino Linotype"/>
          <w:color w:val="000000" w:themeColor="text1"/>
          <w:lang w:val="es-ES"/>
        </w:rPr>
        <w:t xml:space="preserve"> </w:t>
      </w:r>
      <w:r w:rsidRPr="003538AC">
        <w:rPr>
          <w:rFonts w:ascii="Palatino Linotype" w:hAnsi="Palatino Linotype"/>
          <w:color w:val="000000" w:themeColor="text1"/>
        </w:rPr>
        <w:t>el</w:t>
      </w:r>
      <w:r w:rsidRPr="003538AC">
        <w:rPr>
          <w:rFonts w:ascii="Palatino Linotype" w:hAnsi="Palatino Linotype"/>
          <w:b/>
          <w:color w:val="000000" w:themeColor="text1"/>
        </w:rPr>
        <w:t xml:space="preserve"> </w:t>
      </w:r>
      <w:r w:rsidRPr="003538AC">
        <w:rPr>
          <w:rFonts w:ascii="Palatino Linotype" w:hAnsi="Palatino Linotype"/>
          <w:color w:val="000000" w:themeColor="text1"/>
        </w:rPr>
        <w:t>solicitante</w:t>
      </w:r>
      <w:r w:rsidR="004F06DC" w:rsidRPr="003538AC">
        <w:rPr>
          <w:rFonts w:ascii="Palatino Linotype" w:hAnsi="Palatino Linotype"/>
          <w:b/>
          <w:color w:val="000000" w:themeColor="text1"/>
        </w:rPr>
        <w:t xml:space="preserve"> </w:t>
      </w:r>
      <w:r w:rsidRPr="003538AC">
        <w:rPr>
          <w:rFonts w:ascii="Palatino Linotype" w:hAnsi="Palatino Linotype"/>
          <w:color w:val="000000" w:themeColor="text1"/>
        </w:rPr>
        <w:t>presentó</w:t>
      </w:r>
      <w:r w:rsidRPr="003538AC">
        <w:rPr>
          <w:rFonts w:ascii="Palatino Linotype" w:hAnsi="Palatino Linotype"/>
          <w:b/>
          <w:color w:val="000000" w:themeColor="text1"/>
        </w:rPr>
        <w:t xml:space="preserve"> </w:t>
      </w:r>
      <w:r w:rsidRPr="003538AC">
        <w:rPr>
          <w:rFonts w:ascii="Palatino Linotype" w:eastAsia="Calibri" w:hAnsi="Palatino Linotype" w:cs="Arial"/>
          <w:color w:val="000000" w:themeColor="text1"/>
          <w:lang w:val="es-ES"/>
        </w:rPr>
        <w:t xml:space="preserve">ante el </w:t>
      </w:r>
      <w:r w:rsidRPr="003538AC">
        <w:rPr>
          <w:rFonts w:ascii="Palatino Linotype" w:eastAsia="Calibri" w:hAnsi="Palatino Linotype" w:cs="Arial"/>
          <w:b/>
          <w:color w:val="000000" w:themeColor="text1"/>
          <w:lang w:val="es-ES"/>
        </w:rPr>
        <w:t>SUJETO OBLIGADO,</w:t>
      </w:r>
      <w:r w:rsidRPr="003538AC">
        <w:rPr>
          <w:rFonts w:ascii="Palatino Linotype" w:eastAsia="Calibri" w:hAnsi="Palatino Linotype" w:cs="Arial"/>
          <w:color w:val="000000" w:themeColor="text1"/>
        </w:rPr>
        <w:t xml:space="preserve"> a través del Sistema de Acceso a la Información Mexiquense (SAIMEX),</w:t>
      </w:r>
      <w:r w:rsidRPr="003538AC">
        <w:rPr>
          <w:rFonts w:ascii="Palatino Linotype" w:eastAsia="Calibri" w:hAnsi="Palatino Linotype" w:cs="Arial"/>
          <w:color w:val="000000" w:themeColor="text1"/>
          <w:lang w:val="es-ES"/>
        </w:rPr>
        <w:t xml:space="preserve"> la solicitud de información pública registrada con el número </w:t>
      </w:r>
      <w:r w:rsidR="00F4683A" w:rsidRPr="003538AC">
        <w:rPr>
          <w:rFonts w:ascii="Palatino Linotype" w:hAnsi="Palatino Linotype"/>
          <w:b/>
          <w:bCs/>
          <w:color w:val="000000" w:themeColor="text1"/>
        </w:rPr>
        <w:t>00</w:t>
      </w:r>
      <w:r w:rsidR="009A7187" w:rsidRPr="003538AC">
        <w:rPr>
          <w:rFonts w:ascii="Palatino Linotype" w:hAnsi="Palatino Linotype"/>
          <w:b/>
          <w:bCs/>
          <w:color w:val="000000" w:themeColor="text1"/>
        </w:rPr>
        <w:t>150</w:t>
      </w:r>
      <w:r w:rsidR="007721BA" w:rsidRPr="003538AC">
        <w:rPr>
          <w:rFonts w:ascii="Palatino Linotype" w:hAnsi="Palatino Linotype"/>
          <w:b/>
          <w:bCs/>
          <w:color w:val="000000" w:themeColor="text1"/>
        </w:rPr>
        <w:t>/</w:t>
      </w:r>
      <w:r w:rsidR="00E23F8A" w:rsidRPr="003538AC">
        <w:rPr>
          <w:rFonts w:ascii="Palatino Linotype" w:hAnsi="Palatino Linotype"/>
          <w:b/>
          <w:bCs/>
          <w:color w:val="000000" w:themeColor="text1"/>
        </w:rPr>
        <w:t>OAST</w:t>
      </w:r>
      <w:r w:rsidR="009A7187" w:rsidRPr="003538AC">
        <w:rPr>
          <w:rFonts w:ascii="Palatino Linotype" w:hAnsi="Palatino Linotype"/>
          <w:b/>
          <w:bCs/>
          <w:color w:val="000000" w:themeColor="text1"/>
        </w:rPr>
        <w:t>L</w:t>
      </w:r>
      <w:r w:rsidR="00E23F8A" w:rsidRPr="003538AC">
        <w:rPr>
          <w:rFonts w:ascii="Palatino Linotype" w:hAnsi="Palatino Linotype"/>
          <w:b/>
          <w:bCs/>
          <w:color w:val="000000" w:themeColor="text1"/>
        </w:rPr>
        <w:t>AL</w:t>
      </w:r>
      <w:r w:rsidR="009A7187" w:rsidRPr="003538AC">
        <w:rPr>
          <w:rFonts w:ascii="Palatino Linotype" w:hAnsi="Palatino Linotype"/>
          <w:b/>
          <w:bCs/>
          <w:color w:val="000000" w:themeColor="text1"/>
        </w:rPr>
        <w:t>NE</w:t>
      </w:r>
      <w:r w:rsidR="007721BA" w:rsidRPr="003538AC">
        <w:rPr>
          <w:rFonts w:ascii="Palatino Linotype" w:hAnsi="Palatino Linotype"/>
          <w:b/>
          <w:bCs/>
          <w:color w:val="000000" w:themeColor="text1"/>
        </w:rPr>
        <w:t>/IP/202</w:t>
      </w:r>
      <w:r w:rsidR="00F4683A" w:rsidRPr="003538AC">
        <w:rPr>
          <w:rFonts w:ascii="Palatino Linotype" w:hAnsi="Palatino Linotype"/>
          <w:b/>
          <w:bCs/>
          <w:color w:val="000000" w:themeColor="text1"/>
        </w:rPr>
        <w:t>5</w:t>
      </w:r>
      <w:r w:rsidRPr="003538AC">
        <w:rPr>
          <w:rFonts w:ascii="Palatino Linotype" w:eastAsia="Calibri" w:hAnsi="Palatino Linotype" w:cs="Arial"/>
          <w:color w:val="000000" w:themeColor="text1"/>
          <w:lang w:val="es-ES"/>
        </w:rPr>
        <w:t>, mediante la cual se solicitó:</w:t>
      </w:r>
    </w:p>
    <w:p w14:paraId="6F2941C5" w14:textId="77777777" w:rsidR="007721BA" w:rsidRPr="003538AC" w:rsidRDefault="007721BA" w:rsidP="00E23F8A">
      <w:pPr>
        <w:pStyle w:val="Prrafodelista"/>
        <w:tabs>
          <w:tab w:val="left" w:pos="1005"/>
        </w:tabs>
        <w:ind w:left="567"/>
        <w:jc w:val="both"/>
        <w:rPr>
          <w:rFonts w:ascii="Palatino Linotype" w:eastAsia="Calibri" w:hAnsi="Palatino Linotype" w:cs="Arial"/>
          <w:b/>
          <w:i/>
          <w:color w:val="000000" w:themeColor="text1"/>
          <w:sz w:val="24"/>
        </w:rPr>
      </w:pPr>
    </w:p>
    <w:p w14:paraId="1CCD0686" w14:textId="3DC76EF6" w:rsidR="007721BA" w:rsidRPr="003538AC" w:rsidRDefault="007721BA" w:rsidP="00E23F8A">
      <w:pPr>
        <w:pStyle w:val="Prrafodelista"/>
        <w:ind w:left="567"/>
        <w:jc w:val="both"/>
        <w:rPr>
          <w:rFonts w:ascii="Palatino Linotype" w:eastAsia="Calibri" w:hAnsi="Palatino Linotype" w:cs="Arial"/>
          <w:bCs/>
          <w:i/>
          <w:color w:val="000000" w:themeColor="text1"/>
          <w:sz w:val="24"/>
        </w:rPr>
      </w:pPr>
      <w:r w:rsidRPr="003538AC">
        <w:rPr>
          <w:rFonts w:ascii="Palatino Linotype" w:eastAsia="Calibri" w:hAnsi="Palatino Linotype" w:cs="Arial"/>
          <w:bCs/>
          <w:i/>
          <w:color w:val="000000" w:themeColor="text1"/>
          <w:sz w:val="24"/>
        </w:rPr>
        <w:t>“</w:t>
      </w:r>
      <w:r w:rsidR="009A7187" w:rsidRPr="003538AC">
        <w:rPr>
          <w:rFonts w:ascii="Palatino Linotype" w:eastAsia="Calibri" w:hAnsi="Palatino Linotype" w:cs="Arial"/>
          <w:bCs/>
          <w:i/>
          <w:color w:val="000000" w:themeColor="text1"/>
          <w:sz w:val="24"/>
        </w:rPr>
        <w:t>Se pide amablemente la nomina y su cfdi de la segunda quincena de abril de 2025</w:t>
      </w:r>
      <w:r w:rsidRPr="003538AC">
        <w:rPr>
          <w:rFonts w:ascii="Palatino Linotype" w:eastAsia="Calibri" w:hAnsi="Palatino Linotype" w:cs="Arial"/>
          <w:bCs/>
          <w:i/>
          <w:color w:val="000000" w:themeColor="text1"/>
          <w:sz w:val="24"/>
        </w:rPr>
        <w:t>”. (Sic.)</w:t>
      </w:r>
    </w:p>
    <w:p w14:paraId="00800226" w14:textId="77777777" w:rsidR="00841865" w:rsidRDefault="00841865" w:rsidP="00E23F8A">
      <w:pPr>
        <w:tabs>
          <w:tab w:val="left" w:pos="0"/>
        </w:tabs>
        <w:spacing w:line="360" w:lineRule="auto"/>
        <w:jc w:val="both"/>
        <w:rPr>
          <w:rFonts w:ascii="Palatino Linotype" w:hAnsi="Palatino Linotype" w:cs="Arial"/>
          <w:color w:val="000000" w:themeColor="text1"/>
          <w:lang w:val="es-ES"/>
        </w:rPr>
      </w:pPr>
    </w:p>
    <w:p w14:paraId="49DF1983" w14:textId="77777777" w:rsidR="00841865" w:rsidRPr="003538AC" w:rsidRDefault="00841865" w:rsidP="00E23F8A">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3538AC">
        <w:rPr>
          <w:rFonts w:ascii="Palatino Linotype" w:hAnsi="Palatino Linotype" w:cs="Arial"/>
          <w:color w:val="000000" w:themeColor="text1"/>
          <w:sz w:val="24"/>
        </w:rPr>
        <w:t>Se hace constar que se señaló como modalidad de entrega de la información a través de SAIMEX.</w:t>
      </w:r>
    </w:p>
    <w:p w14:paraId="23A6764A" w14:textId="2EFB525D" w:rsidR="00841865" w:rsidRPr="003538AC" w:rsidRDefault="00841865" w:rsidP="00E23F8A">
      <w:pPr>
        <w:numPr>
          <w:ilvl w:val="0"/>
          <w:numId w:val="1"/>
        </w:numPr>
        <w:tabs>
          <w:tab w:val="left" w:pos="0"/>
        </w:tabs>
        <w:spacing w:line="360" w:lineRule="auto"/>
        <w:ind w:left="0" w:firstLine="0"/>
        <w:contextualSpacing/>
        <w:jc w:val="both"/>
        <w:rPr>
          <w:rFonts w:ascii="Palatino Linotype" w:hAnsi="Palatino Linotype" w:cs="Arial"/>
          <w:color w:val="000000" w:themeColor="text1"/>
          <w:lang w:val="es-ES"/>
        </w:rPr>
      </w:pPr>
      <w:r w:rsidRPr="003538AC">
        <w:rPr>
          <w:rFonts w:ascii="Palatino Linotype" w:hAnsi="Palatino Linotype" w:cs="Arial"/>
          <w:color w:val="000000" w:themeColor="text1"/>
          <w:lang w:val="es-ES"/>
        </w:rPr>
        <w:lastRenderedPageBreak/>
        <w:t xml:space="preserve">El </w:t>
      </w:r>
      <w:r w:rsidR="007721BA" w:rsidRPr="003538AC">
        <w:rPr>
          <w:rFonts w:ascii="Palatino Linotype" w:eastAsiaTheme="minorEastAsia" w:hAnsi="Palatino Linotype" w:cs="Arial"/>
          <w:b/>
          <w:color w:val="000000" w:themeColor="text1"/>
          <w:lang w:val="es-ES_tradnl"/>
        </w:rPr>
        <w:t xml:space="preserve">veinte de </w:t>
      </w:r>
      <w:r w:rsidR="000F2FEA" w:rsidRPr="003538AC">
        <w:rPr>
          <w:rFonts w:ascii="Palatino Linotype" w:eastAsiaTheme="minorEastAsia" w:hAnsi="Palatino Linotype" w:cs="Arial"/>
          <w:b/>
          <w:color w:val="000000" w:themeColor="text1"/>
          <w:lang w:val="es-ES_tradnl"/>
        </w:rPr>
        <w:t xml:space="preserve">febrero </w:t>
      </w:r>
      <w:r w:rsidR="007721BA" w:rsidRPr="003538AC">
        <w:rPr>
          <w:rFonts w:ascii="Palatino Linotype" w:eastAsiaTheme="minorEastAsia" w:hAnsi="Palatino Linotype" w:cs="Arial"/>
          <w:b/>
          <w:color w:val="000000" w:themeColor="text1"/>
          <w:lang w:val="es-ES_tradnl"/>
        </w:rPr>
        <w:t xml:space="preserve">de dos mil </w:t>
      </w:r>
      <w:r w:rsidR="000F2FEA" w:rsidRPr="003538AC">
        <w:rPr>
          <w:rFonts w:ascii="Palatino Linotype" w:eastAsiaTheme="minorEastAsia" w:hAnsi="Palatino Linotype" w:cs="Arial"/>
          <w:b/>
          <w:color w:val="000000" w:themeColor="text1"/>
          <w:lang w:val="es-ES_tradnl"/>
        </w:rPr>
        <w:t>veinticinco</w:t>
      </w:r>
      <w:r w:rsidRPr="003538AC">
        <w:rPr>
          <w:rFonts w:ascii="Palatino Linotype" w:hAnsi="Palatino Linotype" w:cs="Arial"/>
          <w:color w:val="000000" w:themeColor="text1"/>
          <w:lang w:val="es-ES"/>
        </w:rPr>
        <w:t>, el Sujeto Obligado dio respuesta a la solicitud de información en el siguiente sentido:</w:t>
      </w:r>
    </w:p>
    <w:p w14:paraId="20FDEF12" w14:textId="77777777" w:rsidR="009A7187" w:rsidRPr="003538AC" w:rsidRDefault="007721BA" w:rsidP="00E23F8A">
      <w:pPr>
        <w:ind w:left="567"/>
        <w:jc w:val="both"/>
        <w:rPr>
          <w:rFonts w:ascii="Palatino Linotype" w:eastAsiaTheme="minorEastAsia" w:hAnsi="Palatino Linotype" w:cs="Arial"/>
          <w:i/>
          <w:color w:val="000000" w:themeColor="text1"/>
          <w:lang w:val="es-ES_tradnl"/>
        </w:rPr>
      </w:pPr>
      <w:r w:rsidRPr="003538AC">
        <w:rPr>
          <w:rFonts w:ascii="Palatino Linotype" w:eastAsiaTheme="minorEastAsia" w:hAnsi="Palatino Linotype" w:cs="Arial"/>
          <w:i/>
          <w:color w:val="000000" w:themeColor="text1"/>
          <w:lang w:val="es-ES_tradnl"/>
        </w:rPr>
        <w:t>“</w:t>
      </w:r>
      <w:r w:rsidR="009A7187" w:rsidRPr="003538AC">
        <w:rPr>
          <w:rFonts w:ascii="Palatino Linotype" w:eastAsiaTheme="minorEastAsia" w:hAnsi="Palatino Linotype" w:cs="Arial"/>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C75256" w14:textId="5EBCEDFC" w:rsidR="007721BA" w:rsidRPr="003538AC" w:rsidRDefault="009A7187" w:rsidP="00E23F8A">
      <w:pPr>
        <w:ind w:left="567"/>
        <w:jc w:val="both"/>
        <w:rPr>
          <w:rFonts w:ascii="Palatino Linotype" w:eastAsiaTheme="minorEastAsia" w:hAnsi="Palatino Linotype" w:cs="Arial"/>
          <w:i/>
          <w:color w:val="000000" w:themeColor="text1"/>
          <w:lang w:val="es-ES_tradnl"/>
        </w:rPr>
      </w:pPr>
      <w:r w:rsidRPr="003538AC">
        <w:rPr>
          <w:rFonts w:ascii="Palatino Linotype" w:eastAsiaTheme="minorEastAsia" w:hAnsi="Palatino Linotype" w:cs="Arial"/>
          <w:i/>
          <w:color w:val="000000" w:themeColor="text1"/>
          <w:lang w:val="es-ES_tradnl"/>
        </w:rPr>
        <w:t>Número de Folio de la Solicitud: 00150/OASTLALNE/IP/2025</w:t>
      </w:r>
      <w:r w:rsidR="000F2FEA" w:rsidRPr="003538AC">
        <w:rPr>
          <w:rFonts w:ascii="Palatino Linotype" w:eastAsiaTheme="minorEastAsia" w:hAnsi="Palatino Linotype" w:cs="Arial"/>
          <w:i/>
          <w:color w:val="000000" w:themeColor="text1"/>
          <w:lang w:val="es-ES_tradnl"/>
        </w:rPr>
        <w:t xml:space="preserve">. </w:t>
      </w:r>
      <w:r w:rsidR="007721BA" w:rsidRPr="003538AC">
        <w:rPr>
          <w:rFonts w:ascii="Palatino Linotype" w:eastAsiaTheme="minorEastAsia" w:hAnsi="Palatino Linotype" w:cs="Arial"/>
          <w:i/>
          <w:color w:val="000000" w:themeColor="text1"/>
          <w:lang w:val="es-ES_tradnl"/>
        </w:rPr>
        <w:t>(Sic)</w:t>
      </w:r>
    </w:p>
    <w:p w14:paraId="58AE99E3" w14:textId="6E3ABEF7" w:rsidR="00841865" w:rsidRPr="003538AC" w:rsidRDefault="00841865" w:rsidP="00E23F8A">
      <w:pPr>
        <w:tabs>
          <w:tab w:val="left" w:pos="0"/>
        </w:tabs>
        <w:spacing w:line="360" w:lineRule="auto"/>
        <w:contextualSpacing/>
        <w:jc w:val="both"/>
        <w:rPr>
          <w:rFonts w:ascii="Palatino Linotype" w:hAnsi="Palatino Linotype" w:cs="Arial"/>
          <w:color w:val="000000" w:themeColor="text1"/>
          <w:lang w:val="es-ES"/>
        </w:rPr>
      </w:pPr>
      <w:bookmarkStart w:id="5" w:name="_Toc472500652"/>
      <w:bookmarkStart w:id="6" w:name="_Toc472427085"/>
      <w:bookmarkStart w:id="7" w:name="_Toc462307683"/>
    </w:p>
    <w:p w14:paraId="5D16BCC9" w14:textId="4E376AE6" w:rsidR="009A7187" w:rsidRPr="003538AC" w:rsidRDefault="009A7187" w:rsidP="00E23F8A">
      <w:pPr>
        <w:tabs>
          <w:tab w:val="left" w:pos="0"/>
        </w:tabs>
        <w:spacing w:line="360" w:lineRule="auto"/>
        <w:contextualSpacing/>
        <w:jc w:val="both"/>
        <w:rPr>
          <w:rFonts w:ascii="Palatino Linotype" w:hAnsi="Palatino Linotype" w:cs="Arial"/>
          <w:color w:val="000000" w:themeColor="text1"/>
          <w:lang w:val="es-ES"/>
        </w:rPr>
      </w:pPr>
      <w:r w:rsidRPr="003538AC">
        <w:rPr>
          <w:rFonts w:ascii="Palatino Linotype" w:hAnsi="Palatino Linotype" w:cs="Arial"/>
          <w:color w:val="000000" w:themeColor="text1"/>
          <w:lang w:val="es-ES"/>
        </w:rPr>
        <w:t>Al informe se adjuntaron los siguientes archivos electrónicos:</w:t>
      </w:r>
    </w:p>
    <w:p w14:paraId="3F0CD6C4" w14:textId="77777777" w:rsidR="009A7187" w:rsidRPr="003538AC" w:rsidRDefault="009A7187" w:rsidP="00E23F8A">
      <w:pPr>
        <w:tabs>
          <w:tab w:val="left" w:pos="0"/>
        </w:tabs>
        <w:spacing w:line="360" w:lineRule="auto"/>
        <w:contextualSpacing/>
        <w:jc w:val="both"/>
        <w:rPr>
          <w:rFonts w:ascii="Palatino Linotype" w:hAnsi="Palatino Linotype" w:cs="Arial"/>
          <w:color w:val="000000" w:themeColor="text1"/>
          <w:lang w:val="es-ES"/>
        </w:rPr>
      </w:pPr>
    </w:p>
    <w:p w14:paraId="48EBF870" w14:textId="1302C566" w:rsidR="0075532E" w:rsidRPr="003538AC" w:rsidRDefault="009A7187" w:rsidP="00E23F8A">
      <w:pPr>
        <w:pStyle w:val="Prrafodelista"/>
        <w:numPr>
          <w:ilvl w:val="0"/>
          <w:numId w:val="10"/>
        </w:numPr>
        <w:tabs>
          <w:tab w:val="left" w:pos="0"/>
        </w:tabs>
        <w:spacing w:line="360" w:lineRule="auto"/>
        <w:jc w:val="both"/>
        <w:rPr>
          <w:rFonts w:ascii="Palatino Linotype" w:hAnsi="Palatino Linotype" w:cs="Arial"/>
          <w:color w:val="000000" w:themeColor="text1"/>
          <w:sz w:val="24"/>
          <w:lang w:val="es-ES"/>
        </w:rPr>
      </w:pPr>
      <w:r w:rsidRPr="003538AC">
        <w:rPr>
          <w:rFonts w:ascii="Palatino Linotype" w:hAnsi="Palatino Linotype" w:cs="Arial"/>
          <w:b/>
          <w:color w:val="000000" w:themeColor="text1"/>
          <w:sz w:val="24"/>
          <w:lang w:val="es-ES"/>
        </w:rPr>
        <w:t>ANEXO SAIMEX 150 pdf</w:t>
      </w:r>
      <w:r w:rsidR="0075532E" w:rsidRPr="003538AC">
        <w:rPr>
          <w:rFonts w:ascii="Palatino Linotype" w:hAnsi="Palatino Linotype" w:cs="Arial"/>
          <w:b/>
          <w:color w:val="000000" w:themeColor="text1"/>
          <w:sz w:val="24"/>
          <w:lang w:val="es-ES"/>
        </w:rPr>
        <w:t xml:space="preserve">. </w:t>
      </w:r>
      <w:r w:rsidR="0075532E" w:rsidRPr="003538AC">
        <w:rPr>
          <w:rFonts w:ascii="Palatino Linotype" w:hAnsi="Palatino Linotype" w:cs="Arial"/>
          <w:color w:val="000000" w:themeColor="text1"/>
          <w:sz w:val="24"/>
          <w:lang w:val="es-ES"/>
        </w:rPr>
        <w:t>constante de una lista de nómina de los servidores públicos adscritos al Organismo Público Descentralizado para la Prestación de los Servicios de Agua Potable, alcantarillado y Saneamiento del Municipio de Tlalnepantla de Baz, México, correspondiente a la segunda quincena de abril de dos mil veinticinco; así como 1354 recibos de nómina, debidamente testados.</w:t>
      </w:r>
    </w:p>
    <w:p w14:paraId="6C5BA6DB" w14:textId="4EC0A43D" w:rsidR="0075532E" w:rsidRPr="003538AC" w:rsidRDefault="0075532E" w:rsidP="00E23F8A">
      <w:pPr>
        <w:pStyle w:val="Prrafodelista"/>
        <w:numPr>
          <w:ilvl w:val="0"/>
          <w:numId w:val="10"/>
        </w:numPr>
        <w:tabs>
          <w:tab w:val="left" w:pos="0"/>
        </w:tabs>
        <w:spacing w:line="360" w:lineRule="auto"/>
        <w:jc w:val="both"/>
        <w:rPr>
          <w:rFonts w:ascii="Palatino Linotype" w:hAnsi="Palatino Linotype" w:cs="Arial"/>
          <w:color w:val="000000" w:themeColor="text1"/>
          <w:sz w:val="24"/>
          <w:lang w:val="es-ES"/>
        </w:rPr>
      </w:pPr>
      <w:r w:rsidRPr="003538AC">
        <w:rPr>
          <w:rFonts w:ascii="Palatino Linotype" w:hAnsi="Palatino Linotype" w:cs="Arial"/>
          <w:b/>
          <w:color w:val="000000" w:themeColor="text1"/>
          <w:sz w:val="24"/>
          <w:lang w:val="es-ES"/>
        </w:rPr>
        <w:t xml:space="preserve">RESPUESTA SAIMEX 150.pdf. </w:t>
      </w:r>
      <w:r w:rsidRPr="003538AC">
        <w:rPr>
          <w:rFonts w:ascii="Palatino Linotype" w:hAnsi="Palatino Linotype" w:cs="Arial"/>
          <w:color w:val="000000" w:themeColor="text1"/>
          <w:sz w:val="24"/>
          <w:lang w:val="es-ES"/>
        </w:rPr>
        <w:t xml:space="preserve">Oficio OPDM/OM-474/2025, de fecha veintiuno de mayo de dos mil veinticinco, suscrito por la Titular de la Oficialía Mayor, dirigido a la Titular de la Unidad de Transparencia, mediante el cual remite el archivo que contiene la lista de nómina </w:t>
      </w:r>
      <w:r w:rsidR="002D0C47" w:rsidRPr="003538AC">
        <w:rPr>
          <w:rFonts w:ascii="Palatino Linotype" w:hAnsi="Palatino Linotype" w:cs="Arial"/>
          <w:color w:val="000000" w:themeColor="text1"/>
          <w:sz w:val="24"/>
          <w:lang w:val="es-ES"/>
        </w:rPr>
        <w:t>y la versión pública de los recibos de nómina de los servidores públicos adscritos al Organismo Público Descentralizado para la Prestación de los Servicios de Agua Potable Alcantarillado y Saneamiento del Municipio de Tlalnepantla de Baz, correspondiente a la segunda quincena del mes de abril de dos mil veinticinco.</w:t>
      </w:r>
    </w:p>
    <w:p w14:paraId="4F699D03" w14:textId="02F86D33" w:rsidR="002D0C47" w:rsidRPr="003538AC" w:rsidRDefault="002D0C47" w:rsidP="00E23F8A">
      <w:pPr>
        <w:pStyle w:val="Prrafodelista"/>
        <w:numPr>
          <w:ilvl w:val="0"/>
          <w:numId w:val="10"/>
        </w:numPr>
        <w:tabs>
          <w:tab w:val="left" w:pos="0"/>
        </w:tabs>
        <w:spacing w:line="360" w:lineRule="auto"/>
        <w:jc w:val="both"/>
        <w:rPr>
          <w:rFonts w:ascii="Palatino Linotype" w:hAnsi="Palatino Linotype" w:cs="Arial"/>
          <w:color w:val="000000" w:themeColor="text1"/>
          <w:sz w:val="24"/>
          <w:lang w:val="es-ES"/>
        </w:rPr>
      </w:pPr>
      <w:r w:rsidRPr="003538AC">
        <w:rPr>
          <w:rFonts w:ascii="Palatino Linotype" w:hAnsi="Palatino Linotype" w:cs="Arial"/>
          <w:b/>
          <w:color w:val="000000" w:themeColor="text1"/>
          <w:sz w:val="24"/>
          <w:lang w:val="es-ES"/>
        </w:rPr>
        <w:t>5 QUINTA SESIÓN ORDINARIA.</w:t>
      </w:r>
      <w:r w:rsidRPr="003538AC">
        <w:rPr>
          <w:rFonts w:ascii="Palatino Linotype" w:hAnsi="Palatino Linotype" w:cs="Arial"/>
          <w:color w:val="000000" w:themeColor="text1"/>
          <w:sz w:val="24"/>
          <w:lang w:val="es-ES"/>
        </w:rPr>
        <w:t xml:space="preserve"> </w:t>
      </w:r>
      <w:r w:rsidRPr="003538AC">
        <w:rPr>
          <w:rFonts w:ascii="Palatino Linotype" w:hAnsi="Palatino Linotype" w:cs="Arial"/>
          <w:b/>
          <w:color w:val="000000" w:themeColor="text1"/>
          <w:sz w:val="24"/>
          <w:lang w:val="es-ES"/>
        </w:rPr>
        <w:t xml:space="preserve">pdf. </w:t>
      </w:r>
      <w:r w:rsidRPr="003538AC">
        <w:rPr>
          <w:rFonts w:ascii="Palatino Linotype" w:hAnsi="Palatino Linotype" w:cs="Arial"/>
          <w:color w:val="000000" w:themeColor="text1"/>
          <w:sz w:val="24"/>
          <w:lang w:val="es-ES"/>
        </w:rPr>
        <w:t xml:space="preserve">Acta de la Quinta Sesión Ordinaria del Comité de Transparencia del Organismo Público Descentralizado para la Prestación de los Servicios de Agua Potable, Alcantarillado y Saneamiento del Municipio de Tlalnepantla, </w:t>
      </w:r>
      <w:r w:rsidRPr="003538AC">
        <w:rPr>
          <w:rFonts w:ascii="Palatino Linotype" w:hAnsi="Palatino Linotype" w:cs="Arial"/>
          <w:color w:val="000000" w:themeColor="text1"/>
          <w:sz w:val="24"/>
          <w:lang w:val="es-ES"/>
        </w:rPr>
        <w:lastRenderedPageBreak/>
        <w:t>de fecha veintiuno de mayo de dos mil veinticinco, mediante el cual se presenta y confirma la clasificación de la información como confidencial, así como la aprobación de la versión pública de la documentación con la cual se brindó respuesta a la presente solicitud de información.</w:t>
      </w:r>
    </w:p>
    <w:p w14:paraId="75C0F113" w14:textId="77777777" w:rsidR="009A7187" w:rsidRPr="003538AC" w:rsidRDefault="009A7187" w:rsidP="00E23F8A">
      <w:pPr>
        <w:tabs>
          <w:tab w:val="left" w:pos="0"/>
        </w:tabs>
        <w:spacing w:line="360" w:lineRule="auto"/>
        <w:contextualSpacing/>
        <w:jc w:val="both"/>
        <w:rPr>
          <w:rFonts w:ascii="Palatino Linotype" w:hAnsi="Palatino Linotype" w:cs="Arial"/>
          <w:color w:val="000000" w:themeColor="text1"/>
          <w:lang w:val="es-ES"/>
        </w:rPr>
      </w:pPr>
    </w:p>
    <w:p w14:paraId="50EDB7B3" w14:textId="7B8D34EA" w:rsidR="007721BA" w:rsidRPr="003538AC" w:rsidRDefault="007721BA" w:rsidP="003440E8">
      <w:pPr>
        <w:pStyle w:val="Prrafodelista"/>
        <w:numPr>
          <w:ilvl w:val="0"/>
          <w:numId w:val="1"/>
        </w:numPr>
        <w:spacing w:line="360" w:lineRule="auto"/>
        <w:ind w:left="0" w:firstLine="0"/>
        <w:contextualSpacing w:val="0"/>
        <w:jc w:val="both"/>
        <w:rPr>
          <w:rFonts w:ascii="Palatino Linotype" w:hAnsi="Palatino Linotype"/>
          <w:color w:val="000000" w:themeColor="text1"/>
          <w:sz w:val="24"/>
        </w:rPr>
      </w:pPr>
      <w:r w:rsidRPr="003538AC">
        <w:rPr>
          <w:rFonts w:ascii="Palatino Linotype" w:eastAsia="Calibri" w:hAnsi="Palatino Linotype" w:cs="Arial"/>
          <w:color w:val="000000" w:themeColor="text1"/>
          <w:sz w:val="24"/>
          <w:lang w:val="es-AR"/>
        </w:rPr>
        <w:t xml:space="preserve">El </w:t>
      </w:r>
      <w:r w:rsidR="002D0C47" w:rsidRPr="003538AC">
        <w:rPr>
          <w:rFonts w:ascii="Palatino Linotype" w:eastAsia="Calibri" w:hAnsi="Palatino Linotype" w:cs="Arial"/>
          <w:b/>
          <w:color w:val="000000" w:themeColor="text1"/>
          <w:sz w:val="24"/>
          <w:lang w:val="es-AR"/>
        </w:rPr>
        <w:t>veintisiete de mayo</w:t>
      </w:r>
      <w:r w:rsidR="002438BA" w:rsidRPr="003538AC">
        <w:rPr>
          <w:rFonts w:ascii="Palatino Linotype" w:eastAsia="Calibri" w:hAnsi="Palatino Linotype" w:cs="Arial"/>
          <w:b/>
          <w:color w:val="000000" w:themeColor="text1"/>
          <w:sz w:val="24"/>
          <w:lang w:val="es-AR"/>
        </w:rPr>
        <w:t xml:space="preserve"> </w:t>
      </w:r>
      <w:r w:rsidRPr="003538AC">
        <w:rPr>
          <w:rFonts w:ascii="Palatino Linotype" w:eastAsia="Calibri" w:hAnsi="Palatino Linotype" w:cs="Arial"/>
          <w:b/>
          <w:color w:val="000000" w:themeColor="text1"/>
          <w:sz w:val="24"/>
          <w:lang w:val="es-AR"/>
        </w:rPr>
        <w:t xml:space="preserve">de dos mil </w:t>
      </w:r>
      <w:r w:rsidR="002438BA" w:rsidRPr="003538AC">
        <w:rPr>
          <w:rFonts w:ascii="Palatino Linotype" w:eastAsia="Calibri" w:hAnsi="Palatino Linotype" w:cs="Arial"/>
          <w:b/>
          <w:color w:val="000000" w:themeColor="text1"/>
          <w:sz w:val="24"/>
          <w:lang w:val="es-AR"/>
        </w:rPr>
        <w:t>veinticinco</w:t>
      </w:r>
      <w:r w:rsidRPr="003538AC">
        <w:rPr>
          <w:rFonts w:ascii="Palatino Linotype" w:hAnsi="Palatino Linotype"/>
          <w:color w:val="000000" w:themeColor="text1"/>
          <w:sz w:val="24"/>
        </w:rPr>
        <w:t xml:space="preserve">, el solicitante interpuso recurso de revisión en la solicitud de información </w:t>
      </w:r>
      <w:r w:rsidR="002D0C47" w:rsidRPr="003538AC">
        <w:rPr>
          <w:rFonts w:ascii="Palatino Linotype" w:hAnsi="Palatino Linotype"/>
          <w:b/>
          <w:bCs/>
          <w:color w:val="000000" w:themeColor="text1"/>
          <w:sz w:val="24"/>
        </w:rPr>
        <w:t>00150</w:t>
      </w:r>
      <w:r w:rsidRPr="003538AC">
        <w:rPr>
          <w:rFonts w:ascii="Palatino Linotype" w:hAnsi="Palatino Linotype"/>
          <w:b/>
          <w:bCs/>
          <w:color w:val="000000" w:themeColor="text1"/>
          <w:sz w:val="24"/>
        </w:rPr>
        <w:t>/</w:t>
      </w:r>
      <w:r w:rsidR="002D0C47" w:rsidRPr="003538AC">
        <w:rPr>
          <w:rFonts w:ascii="Palatino Linotype" w:hAnsi="Palatino Linotype"/>
          <w:b/>
          <w:bCs/>
          <w:color w:val="000000" w:themeColor="text1"/>
          <w:sz w:val="24"/>
        </w:rPr>
        <w:t>OASTLALNE</w:t>
      </w:r>
      <w:r w:rsidRPr="003538AC">
        <w:rPr>
          <w:rFonts w:ascii="Palatino Linotype" w:hAnsi="Palatino Linotype"/>
          <w:b/>
          <w:bCs/>
          <w:color w:val="000000" w:themeColor="text1"/>
          <w:sz w:val="24"/>
        </w:rPr>
        <w:t>/IP/202</w:t>
      </w:r>
      <w:r w:rsidR="002438BA" w:rsidRPr="003538AC">
        <w:rPr>
          <w:rFonts w:ascii="Palatino Linotype" w:hAnsi="Palatino Linotype"/>
          <w:b/>
          <w:bCs/>
          <w:color w:val="000000" w:themeColor="text1"/>
          <w:sz w:val="24"/>
        </w:rPr>
        <w:t>5</w:t>
      </w:r>
      <w:r w:rsidRPr="003538AC">
        <w:rPr>
          <w:rFonts w:ascii="Palatino Linotype" w:hAnsi="Palatino Linotype"/>
          <w:b/>
          <w:bCs/>
          <w:color w:val="000000" w:themeColor="text1"/>
          <w:sz w:val="24"/>
        </w:rPr>
        <w:t xml:space="preserve">, </w:t>
      </w:r>
      <w:r w:rsidRPr="003538AC">
        <w:rPr>
          <w:rFonts w:ascii="Palatino Linotype" w:hAnsi="Palatino Linotype"/>
          <w:color w:val="000000" w:themeColor="text1"/>
          <w:sz w:val="24"/>
        </w:rPr>
        <w:t xml:space="preserve">en contra de la respuesta emitida por el </w:t>
      </w:r>
      <w:r w:rsidRPr="003538AC">
        <w:rPr>
          <w:rFonts w:ascii="Palatino Linotype" w:hAnsi="Palatino Linotype"/>
          <w:b/>
          <w:color w:val="000000" w:themeColor="text1"/>
          <w:sz w:val="24"/>
        </w:rPr>
        <w:t>SUJETO OBLIGADO</w:t>
      </w:r>
      <w:r w:rsidRPr="003538AC">
        <w:rPr>
          <w:rFonts w:ascii="Palatino Linotype" w:hAnsi="Palatino Linotype" w:cs="Arial"/>
          <w:color w:val="000000" w:themeColor="text1"/>
          <w:sz w:val="24"/>
        </w:rPr>
        <w:t>, señalando las siguientes razones o motivos de inconformidad:</w:t>
      </w:r>
    </w:p>
    <w:p w14:paraId="4AAD35E1" w14:textId="77777777" w:rsidR="007721BA" w:rsidRPr="003538AC" w:rsidRDefault="007721BA" w:rsidP="00E23F8A">
      <w:pPr>
        <w:pStyle w:val="Prrafodelista"/>
        <w:spacing w:line="360" w:lineRule="auto"/>
        <w:ind w:left="360"/>
        <w:contextualSpacing w:val="0"/>
        <w:jc w:val="both"/>
        <w:rPr>
          <w:rFonts w:ascii="Palatino Linotype" w:hAnsi="Palatino Linotype"/>
          <w:color w:val="000000" w:themeColor="text1"/>
          <w:sz w:val="24"/>
        </w:rPr>
      </w:pPr>
    </w:p>
    <w:bookmarkEnd w:id="5"/>
    <w:bookmarkEnd w:id="6"/>
    <w:bookmarkEnd w:id="7"/>
    <w:p w14:paraId="71F8C922" w14:textId="77777777" w:rsidR="007721BA" w:rsidRPr="003440E8" w:rsidRDefault="007721BA" w:rsidP="003440E8">
      <w:pPr>
        <w:pStyle w:val="Prrafodelista"/>
        <w:numPr>
          <w:ilvl w:val="0"/>
          <w:numId w:val="13"/>
        </w:numPr>
        <w:spacing w:line="360" w:lineRule="auto"/>
        <w:jc w:val="both"/>
        <w:rPr>
          <w:rFonts w:ascii="Palatino Linotype" w:hAnsi="Palatino Linotype"/>
          <w:b/>
          <w:bCs/>
          <w:color w:val="000000" w:themeColor="text1"/>
          <w:sz w:val="24"/>
        </w:rPr>
      </w:pPr>
      <w:r w:rsidRPr="003440E8">
        <w:rPr>
          <w:rFonts w:ascii="Palatino Linotype" w:hAnsi="Palatino Linotype"/>
          <w:b/>
          <w:bCs/>
          <w:color w:val="000000" w:themeColor="text1"/>
          <w:sz w:val="24"/>
        </w:rPr>
        <w:t>Acto Impugnado</w:t>
      </w:r>
    </w:p>
    <w:p w14:paraId="704919BB" w14:textId="3F0A8FED" w:rsidR="007721BA" w:rsidRPr="003538AC" w:rsidRDefault="002438BA" w:rsidP="00E23F8A">
      <w:pPr>
        <w:pStyle w:val="Prrafodelista"/>
        <w:spacing w:line="360" w:lineRule="auto"/>
        <w:ind w:left="567"/>
        <w:jc w:val="both"/>
        <w:rPr>
          <w:rFonts w:ascii="Palatino Linotype" w:hAnsi="Palatino Linotype"/>
          <w:bCs/>
          <w:i/>
          <w:color w:val="000000" w:themeColor="text1"/>
          <w:sz w:val="24"/>
        </w:rPr>
      </w:pPr>
      <w:r w:rsidRPr="003538AC">
        <w:rPr>
          <w:rFonts w:ascii="Palatino Linotype" w:hAnsi="Palatino Linotype"/>
          <w:bCs/>
          <w:i/>
          <w:color w:val="000000" w:themeColor="text1"/>
          <w:sz w:val="24"/>
        </w:rPr>
        <w:t>“</w:t>
      </w:r>
      <w:r w:rsidR="003329B1" w:rsidRPr="003538AC">
        <w:rPr>
          <w:rFonts w:ascii="Palatino Linotype" w:hAnsi="Palatino Linotype"/>
          <w:bCs/>
          <w:i/>
          <w:color w:val="000000" w:themeColor="text1"/>
          <w:sz w:val="24"/>
        </w:rPr>
        <w:t>información errónea</w:t>
      </w:r>
      <w:r w:rsidR="007721BA" w:rsidRPr="003538AC">
        <w:rPr>
          <w:rFonts w:ascii="Palatino Linotype" w:hAnsi="Palatino Linotype"/>
          <w:bCs/>
          <w:i/>
          <w:color w:val="000000" w:themeColor="text1"/>
          <w:sz w:val="24"/>
        </w:rPr>
        <w:t>”</w:t>
      </w:r>
      <w:r w:rsidR="003329B1" w:rsidRPr="003538AC">
        <w:rPr>
          <w:rFonts w:ascii="Palatino Linotype" w:hAnsi="Palatino Linotype"/>
          <w:bCs/>
          <w:i/>
          <w:color w:val="000000" w:themeColor="text1"/>
          <w:sz w:val="24"/>
        </w:rPr>
        <w:t xml:space="preserve"> (Sic.)</w:t>
      </w:r>
    </w:p>
    <w:p w14:paraId="3F6D08DB" w14:textId="77777777" w:rsidR="007721BA" w:rsidRPr="003440E8" w:rsidRDefault="007721BA" w:rsidP="003440E8">
      <w:pPr>
        <w:pStyle w:val="Prrafodelista"/>
        <w:numPr>
          <w:ilvl w:val="0"/>
          <w:numId w:val="13"/>
        </w:numPr>
        <w:spacing w:line="360" w:lineRule="auto"/>
        <w:jc w:val="both"/>
        <w:rPr>
          <w:rFonts w:ascii="Palatino Linotype" w:hAnsi="Palatino Linotype"/>
          <w:b/>
          <w:bCs/>
          <w:color w:val="000000" w:themeColor="text1"/>
          <w:sz w:val="24"/>
        </w:rPr>
      </w:pPr>
      <w:r w:rsidRPr="003440E8">
        <w:rPr>
          <w:rFonts w:ascii="Palatino Linotype" w:hAnsi="Palatino Linotype"/>
          <w:b/>
          <w:bCs/>
          <w:color w:val="000000" w:themeColor="text1"/>
          <w:sz w:val="24"/>
        </w:rPr>
        <w:t>Razones o Motivos de la Inconformidad</w:t>
      </w:r>
    </w:p>
    <w:p w14:paraId="54F97F04" w14:textId="3FBAFCE1" w:rsidR="007721BA" w:rsidRPr="003538AC" w:rsidRDefault="007721BA" w:rsidP="00E23F8A">
      <w:pPr>
        <w:pStyle w:val="Prrafodelista"/>
        <w:ind w:left="567"/>
        <w:jc w:val="both"/>
        <w:rPr>
          <w:rFonts w:ascii="Palatino Linotype" w:hAnsi="Palatino Linotype"/>
          <w:bCs/>
          <w:i/>
          <w:color w:val="000000" w:themeColor="text1"/>
          <w:sz w:val="24"/>
        </w:rPr>
      </w:pPr>
      <w:r w:rsidRPr="003538AC">
        <w:rPr>
          <w:rFonts w:ascii="Palatino Linotype" w:hAnsi="Palatino Linotype"/>
          <w:bCs/>
          <w:i/>
          <w:color w:val="000000" w:themeColor="text1"/>
          <w:sz w:val="24"/>
        </w:rPr>
        <w:t>“</w:t>
      </w:r>
      <w:r w:rsidR="003329B1" w:rsidRPr="003538AC">
        <w:rPr>
          <w:rFonts w:ascii="Palatino Linotype" w:hAnsi="Palatino Linotype"/>
          <w:bCs/>
          <w:i/>
          <w:color w:val="000000" w:themeColor="text1"/>
          <w:sz w:val="24"/>
        </w:rPr>
        <w:t>Se pidió la nomina, es decir, el documento que en términos de ley es aquel que refleja las percepciones ordinarias y extraordinarias y demás conceptos que la componen tal y como lo determina el osfem, con la salvedad de alguna información confidencial, además faltan los certificados de competencia laboral que se solicitaron, y se pidió aquellos para el puesto que ocupan, y del director general no se presenta el de operación de organismo de agua y de la oficial mayor ni se diga, no se entrego ninguno.</w:t>
      </w:r>
      <w:r w:rsidRPr="003538AC">
        <w:rPr>
          <w:rFonts w:ascii="Palatino Linotype" w:hAnsi="Palatino Linotype"/>
          <w:bCs/>
          <w:i/>
          <w:color w:val="000000" w:themeColor="text1"/>
          <w:sz w:val="24"/>
        </w:rPr>
        <w:t>”</w:t>
      </w:r>
      <w:r w:rsidR="003329B1" w:rsidRPr="003538AC">
        <w:rPr>
          <w:rFonts w:ascii="Palatino Linotype" w:hAnsi="Palatino Linotype"/>
          <w:bCs/>
          <w:i/>
          <w:color w:val="000000" w:themeColor="text1"/>
          <w:sz w:val="24"/>
        </w:rPr>
        <w:t xml:space="preserve"> (Sic.)</w:t>
      </w:r>
    </w:p>
    <w:p w14:paraId="028AA4E8" w14:textId="77777777" w:rsidR="00841865" w:rsidRPr="003538AC" w:rsidRDefault="00841865" w:rsidP="00E23F8A">
      <w:pPr>
        <w:pStyle w:val="Prrafodelista"/>
        <w:tabs>
          <w:tab w:val="left" w:pos="851"/>
        </w:tabs>
        <w:spacing w:line="360" w:lineRule="auto"/>
        <w:jc w:val="both"/>
        <w:rPr>
          <w:rFonts w:ascii="Palatino Linotype" w:eastAsia="Calibri" w:hAnsi="Palatino Linotype" w:cs="Arial"/>
          <w:color w:val="000000" w:themeColor="text1"/>
          <w:sz w:val="24"/>
          <w:lang w:val="es-ES"/>
        </w:rPr>
      </w:pPr>
    </w:p>
    <w:p w14:paraId="1BE513B4" w14:textId="1B663039" w:rsidR="005F0B19" w:rsidRPr="003538AC" w:rsidRDefault="00841865"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s="Arial"/>
          <w:color w:val="000000" w:themeColor="text1"/>
          <w:lang w:val="es-ES"/>
        </w:rPr>
        <w:t xml:space="preserve">Se registró el recurso de revisión bajo el número de expediente </w:t>
      </w:r>
      <w:r w:rsidRPr="003538AC">
        <w:rPr>
          <w:rFonts w:ascii="Palatino Linotype" w:eastAsia="MS Mincho" w:hAnsi="Palatino Linotype" w:cs="Arial"/>
          <w:bCs/>
          <w:color w:val="000000" w:themeColor="text1"/>
        </w:rPr>
        <w:t xml:space="preserve">al rubro indicado, asimismo con fundamento en lo dispuesto por el </w:t>
      </w:r>
      <w:r w:rsidRPr="003538AC">
        <w:rPr>
          <w:rFonts w:ascii="Palatino Linotype" w:eastAsia="Calibri" w:hAnsi="Palatino Linotype" w:cs="Arial"/>
          <w:color w:val="000000" w:themeColor="text1"/>
          <w:lang w:val="es-ES"/>
        </w:rPr>
        <w:t xml:space="preserve">artículo 185 fracción I de la Ley de Transparencia y Acceso a la Información Pública del Estado de México y Municipios </w:t>
      </w:r>
      <w:r w:rsidRPr="003538AC">
        <w:rPr>
          <w:rFonts w:ascii="Palatino Linotype" w:hAnsi="Palatino Linotype" w:cs="Arial"/>
          <w:color w:val="000000" w:themeColor="text1"/>
          <w:lang w:val="es-ES"/>
        </w:rPr>
        <w:t xml:space="preserve">se turnó a la </w:t>
      </w:r>
      <w:r w:rsidRPr="003538AC">
        <w:rPr>
          <w:rFonts w:ascii="Palatino Linotype" w:hAnsi="Palatino Linotype" w:cs="Arial"/>
          <w:b/>
          <w:color w:val="000000" w:themeColor="text1"/>
          <w:lang w:val="es-ES"/>
        </w:rPr>
        <w:t>Comisionada María del Rosario Mejía Ayala</w:t>
      </w:r>
      <w:r w:rsidR="003440E8">
        <w:rPr>
          <w:rFonts w:ascii="Palatino Linotype" w:hAnsi="Palatino Linotype" w:cs="Arial"/>
          <w:b/>
          <w:color w:val="000000" w:themeColor="text1"/>
          <w:lang w:val="es-ES"/>
        </w:rPr>
        <w:t>,</w:t>
      </w:r>
      <w:r w:rsidRPr="003538AC">
        <w:rPr>
          <w:rFonts w:ascii="Palatino Linotype" w:hAnsi="Palatino Linotype" w:cs="Arial"/>
          <w:color w:val="000000" w:themeColor="text1"/>
          <w:lang w:val="es-ES"/>
        </w:rPr>
        <w:t xml:space="preserve"> </w:t>
      </w:r>
      <w:r w:rsidR="003440E8">
        <w:rPr>
          <w:rFonts w:ascii="Palatino Linotype" w:hAnsi="Palatino Linotype" w:cs="Arial"/>
          <w:color w:val="000000" w:themeColor="text1"/>
          <w:lang w:val="es-ES"/>
        </w:rPr>
        <w:t>para</w:t>
      </w:r>
      <w:r w:rsidRPr="003538AC">
        <w:rPr>
          <w:rFonts w:ascii="Palatino Linotype" w:hAnsi="Palatino Linotype" w:cs="Arial"/>
          <w:color w:val="000000" w:themeColor="text1"/>
          <w:lang w:val="es-ES"/>
        </w:rPr>
        <w:t xml:space="preserve"> </w:t>
      </w:r>
      <w:r w:rsidRPr="003538AC">
        <w:rPr>
          <w:rFonts w:ascii="Palatino Linotype" w:hAnsi="Palatino Linotype" w:cs="Arial"/>
          <w:color w:val="000000" w:themeColor="text1"/>
        </w:rPr>
        <w:t>su análisis.</w:t>
      </w:r>
    </w:p>
    <w:p w14:paraId="3E319571" w14:textId="77777777" w:rsidR="005F0B19" w:rsidRPr="003538AC" w:rsidRDefault="005F0B19" w:rsidP="00E23F8A">
      <w:pPr>
        <w:spacing w:line="360" w:lineRule="auto"/>
        <w:contextualSpacing/>
        <w:jc w:val="both"/>
        <w:rPr>
          <w:rFonts w:ascii="Palatino Linotype" w:eastAsia="MS Mincho" w:hAnsi="Palatino Linotype"/>
          <w:i/>
          <w:color w:val="000000" w:themeColor="text1"/>
        </w:rPr>
      </w:pPr>
    </w:p>
    <w:p w14:paraId="0F3EF19C" w14:textId="357EC63C" w:rsidR="005F0B19" w:rsidRPr="003538AC" w:rsidRDefault="005F0B19"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olor w:val="000000" w:themeColor="text1"/>
        </w:rPr>
        <w:lastRenderedPageBreak/>
        <w:t xml:space="preserve">La Comisionada Ponente con fundamento en lo dispuesto por el artículo 185 </w:t>
      </w:r>
      <w:r w:rsidRPr="003538AC">
        <w:rPr>
          <w:rFonts w:ascii="Palatino Linotype" w:eastAsia="Calibri" w:hAnsi="Palatino Linotype" w:cs="Arial"/>
          <w:color w:val="000000" w:themeColor="text1"/>
        </w:rPr>
        <w:t>fracción</w:t>
      </w:r>
      <w:r w:rsidRPr="003538AC">
        <w:rPr>
          <w:rFonts w:ascii="Palatino Linotype" w:hAnsi="Palatino Linotype"/>
          <w:color w:val="000000" w:themeColor="text1"/>
        </w:rPr>
        <w:t xml:space="preserve"> II de la ley de la materia, a través del </w:t>
      </w:r>
      <w:r w:rsidRPr="003538AC">
        <w:rPr>
          <w:rFonts w:ascii="Palatino Linotype" w:hAnsi="Palatino Linotype"/>
          <w:b/>
          <w:color w:val="000000" w:themeColor="text1"/>
        </w:rPr>
        <w:t xml:space="preserve">acuerdo de admisión </w:t>
      </w:r>
      <w:r w:rsidRPr="003538AC">
        <w:rPr>
          <w:rFonts w:ascii="Palatino Linotype" w:hAnsi="Palatino Linotype"/>
          <w:color w:val="000000" w:themeColor="text1"/>
        </w:rPr>
        <w:t xml:space="preserve">de fecha </w:t>
      </w:r>
      <w:r w:rsidR="003329B1" w:rsidRPr="003538AC">
        <w:rPr>
          <w:rFonts w:ascii="Palatino Linotype" w:hAnsi="Palatino Linotype"/>
          <w:b/>
          <w:color w:val="000000" w:themeColor="text1"/>
        </w:rPr>
        <w:t>dos de junio</w:t>
      </w:r>
      <w:r w:rsidR="002438BA" w:rsidRPr="003538AC">
        <w:rPr>
          <w:rFonts w:ascii="Palatino Linotype" w:hAnsi="Palatino Linotype"/>
          <w:b/>
          <w:color w:val="000000" w:themeColor="text1"/>
        </w:rPr>
        <w:t xml:space="preserve"> de dos mil veinticinco</w:t>
      </w:r>
      <w:r w:rsidRPr="003538AC">
        <w:rPr>
          <w:rFonts w:ascii="Palatino Linotype" w:hAnsi="Palatino Linotype"/>
          <w:color w:val="000000" w:themeColor="text1"/>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3538AC">
        <w:rPr>
          <w:rFonts w:ascii="Palatino Linotype" w:hAnsi="Palatino Linotype"/>
          <w:b/>
          <w:color w:val="000000" w:themeColor="text1"/>
        </w:rPr>
        <w:t xml:space="preserve">SUJETO OBLIGADO </w:t>
      </w:r>
      <w:r w:rsidRPr="003538AC">
        <w:rPr>
          <w:rFonts w:ascii="Palatino Linotype" w:hAnsi="Palatino Linotype"/>
          <w:color w:val="000000" w:themeColor="text1"/>
        </w:rPr>
        <w:t>presentara el Informe Justificado procedente.</w:t>
      </w:r>
    </w:p>
    <w:p w14:paraId="7CC7B42D" w14:textId="77777777" w:rsidR="005F0B19" w:rsidRPr="003538AC" w:rsidRDefault="005F0B19" w:rsidP="00E23F8A">
      <w:pPr>
        <w:pStyle w:val="Prrafodelista"/>
        <w:rPr>
          <w:rFonts w:ascii="Palatino Linotype" w:hAnsi="Palatino Linotype"/>
          <w:color w:val="000000" w:themeColor="text1"/>
          <w:sz w:val="24"/>
        </w:rPr>
      </w:pPr>
    </w:p>
    <w:p w14:paraId="51EFB2D7" w14:textId="012278B4" w:rsidR="00E166A7" w:rsidRPr="003538AC" w:rsidRDefault="005F0B19"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olor w:val="000000" w:themeColor="text1"/>
        </w:rPr>
        <w:t xml:space="preserve">De lo anterior el </w:t>
      </w:r>
      <w:r w:rsidRPr="003538AC">
        <w:rPr>
          <w:rFonts w:ascii="Palatino Linotype" w:hAnsi="Palatino Linotype"/>
          <w:b/>
          <w:color w:val="000000" w:themeColor="text1"/>
        </w:rPr>
        <w:t>SUJETO OBLIGADO</w:t>
      </w:r>
      <w:r w:rsidR="00E166A7" w:rsidRPr="003538AC">
        <w:rPr>
          <w:rFonts w:ascii="Palatino Linotype" w:hAnsi="Palatino Linotype"/>
          <w:b/>
          <w:color w:val="000000" w:themeColor="text1"/>
        </w:rPr>
        <w:t xml:space="preserve">, </w:t>
      </w:r>
      <w:r w:rsidR="00E166A7" w:rsidRPr="003538AC">
        <w:rPr>
          <w:rFonts w:ascii="Palatino Linotype" w:hAnsi="Palatino Linotype"/>
          <w:color w:val="000000" w:themeColor="text1"/>
        </w:rPr>
        <w:t xml:space="preserve">en fecha </w:t>
      </w:r>
      <w:r w:rsidR="003329B1" w:rsidRPr="003538AC">
        <w:rPr>
          <w:rFonts w:ascii="Palatino Linotype" w:hAnsi="Palatino Linotype"/>
          <w:color w:val="000000" w:themeColor="text1"/>
        </w:rPr>
        <w:t xml:space="preserve">cinco de junio </w:t>
      </w:r>
      <w:r w:rsidR="00E166A7" w:rsidRPr="003538AC">
        <w:rPr>
          <w:rFonts w:ascii="Palatino Linotype" w:hAnsi="Palatino Linotype"/>
          <w:color w:val="000000" w:themeColor="text1"/>
        </w:rPr>
        <w:t>de dos mil veinticinco, remitió documentos, mediante el cual ratifica respuesta</w:t>
      </w:r>
    </w:p>
    <w:p w14:paraId="45317EE5" w14:textId="77777777" w:rsidR="00E166A7" w:rsidRPr="003538AC" w:rsidRDefault="00E166A7" w:rsidP="00E23F8A">
      <w:pPr>
        <w:pStyle w:val="Prrafodelista"/>
        <w:rPr>
          <w:rFonts w:ascii="Palatino Linotype" w:hAnsi="Palatino Linotype"/>
          <w:b/>
          <w:color w:val="000000" w:themeColor="text1"/>
          <w:sz w:val="24"/>
        </w:rPr>
      </w:pPr>
    </w:p>
    <w:p w14:paraId="14581FA1" w14:textId="274B460A" w:rsidR="005F0B19" w:rsidRPr="003538AC" w:rsidRDefault="00E166A7"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olor w:val="000000" w:themeColor="text1"/>
        </w:rPr>
        <w:t>Por su parte</w:t>
      </w:r>
      <w:r w:rsidRPr="003538AC">
        <w:rPr>
          <w:rFonts w:ascii="Palatino Linotype" w:hAnsi="Palatino Linotype"/>
          <w:b/>
          <w:color w:val="000000" w:themeColor="text1"/>
        </w:rPr>
        <w:t xml:space="preserve"> </w:t>
      </w:r>
      <w:r w:rsidR="005F0B19" w:rsidRPr="003538AC">
        <w:rPr>
          <w:rFonts w:ascii="Palatino Linotype" w:hAnsi="Palatino Linotype"/>
          <w:b/>
          <w:color w:val="000000" w:themeColor="text1"/>
        </w:rPr>
        <w:t xml:space="preserve"> RECURRENTE </w:t>
      </w:r>
      <w:r w:rsidRPr="003538AC">
        <w:rPr>
          <w:rFonts w:ascii="Palatino Linotype" w:hAnsi="Palatino Linotype"/>
          <w:color w:val="000000" w:themeColor="text1"/>
        </w:rPr>
        <w:t>dejó</w:t>
      </w:r>
      <w:r w:rsidR="005F0B19" w:rsidRPr="003538AC">
        <w:rPr>
          <w:rFonts w:ascii="Palatino Linotype" w:hAnsi="Palatino Linotype"/>
          <w:color w:val="000000" w:themeColor="text1"/>
        </w:rPr>
        <w:t xml:space="preserve"> de realizar manifestaciones que a su derecho conviniera y asistiera, respectivamente </w:t>
      </w:r>
      <w:r w:rsidRPr="003538AC">
        <w:rPr>
          <w:rFonts w:ascii="Palatino Linotype" w:hAnsi="Palatino Linotype"/>
          <w:color w:val="000000" w:themeColor="text1"/>
        </w:rPr>
        <w:t>en el presente Recurso de Revisión</w:t>
      </w:r>
      <w:r w:rsidR="005F0B19" w:rsidRPr="003538AC">
        <w:rPr>
          <w:rFonts w:ascii="Palatino Linotype" w:hAnsi="Palatino Linotype"/>
          <w:color w:val="000000" w:themeColor="text1"/>
        </w:rPr>
        <w:t xml:space="preserve">. </w:t>
      </w:r>
    </w:p>
    <w:p w14:paraId="1C02A4D9" w14:textId="77777777" w:rsidR="005F0B19" w:rsidRPr="003538AC" w:rsidRDefault="005F0B19" w:rsidP="00E23F8A">
      <w:pPr>
        <w:spacing w:line="360" w:lineRule="auto"/>
        <w:contextualSpacing/>
        <w:jc w:val="both"/>
        <w:rPr>
          <w:rFonts w:ascii="Palatino Linotype" w:eastAsia="MS Mincho" w:hAnsi="Palatino Linotype"/>
          <w:i/>
          <w:color w:val="000000" w:themeColor="text1"/>
        </w:rPr>
      </w:pPr>
    </w:p>
    <w:p w14:paraId="2C7AD873" w14:textId="099FAA94" w:rsidR="005F0B19" w:rsidRPr="003538AC" w:rsidRDefault="005F0B19"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olor w:val="000000" w:themeColor="text1"/>
        </w:rPr>
        <w:t xml:space="preserve">El </w:t>
      </w:r>
      <w:r w:rsidR="003329B1" w:rsidRPr="003538AC">
        <w:rPr>
          <w:rFonts w:ascii="Palatino Linotype" w:hAnsi="Palatino Linotype"/>
          <w:b/>
          <w:color w:val="000000" w:themeColor="text1"/>
        </w:rPr>
        <w:t>ocho de julio</w:t>
      </w:r>
      <w:r w:rsidR="00E166A7" w:rsidRPr="003538AC">
        <w:rPr>
          <w:rFonts w:ascii="Palatino Linotype" w:hAnsi="Palatino Linotype"/>
          <w:b/>
          <w:color w:val="000000" w:themeColor="text1"/>
        </w:rPr>
        <w:t xml:space="preserve"> de dos mil veinticinco</w:t>
      </w:r>
      <w:r w:rsidRPr="003538AC">
        <w:rPr>
          <w:rFonts w:ascii="Palatino Linotype" w:hAnsi="Palatino Linotype"/>
          <w:color w:val="000000" w:themeColor="text1"/>
        </w:rPr>
        <w:t>, se notificó el acuerdo mediante el cual se amplió el plazo para emitir resolución por un término de 15 días adicionales.</w:t>
      </w:r>
    </w:p>
    <w:p w14:paraId="12D9047A" w14:textId="77777777" w:rsidR="00221B49" w:rsidRPr="003538AC" w:rsidRDefault="00221B49" w:rsidP="00E23F8A">
      <w:pPr>
        <w:pStyle w:val="Prrafodelista"/>
        <w:rPr>
          <w:rFonts w:ascii="Palatino Linotype" w:eastAsia="MS Mincho" w:hAnsi="Palatino Linotype"/>
          <w:i/>
          <w:color w:val="000000" w:themeColor="text1"/>
          <w:sz w:val="24"/>
        </w:rPr>
      </w:pPr>
    </w:p>
    <w:p w14:paraId="63F39647" w14:textId="615E02CB" w:rsidR="00221B49" w:rsidRPr="003440E8" w:rsidRDefault="00221B49"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olor w:val="000000" w:themeColor="text1"/>
        </w:rPr>
        <w:t xml:space="preserve">Finalmente, la Comisionada Ponente mediante acuerdo del </w:t>
      </w:r>
      <w:r w:rsidR="003329B1" w:rsidRPr="003538AC">
        <w:rPr>
          <w:rFonts w:ascii="Palatino Linotype" w:hAnsi="Palatino Linotype"/>
          <w:b/>
          <w:color w:val="000000" w:themeColor="text1"/>
        </w:rPr>
        <w:t xml:space="preserve">once de agosto </w:t>
      </w:r>
      <w:r w:rsidRPr="003538AC">
        <w:rPr>
          <w:rFonts w:ascii="Palatino Linotype" w:hAnsi="Palatino Linotype"/>
          <w:b/>
          <w:color w:val="000000" w:themeColor="text1"/>
        </w:rPr>
        <w:t>de dos mil veinticinco</w:t>
      </w:r>
      <w:r w:rsidRPr="003538AC">
        <w:rPr>
          <w:rFonts w:ascii="Palatino Linotype" w:hAnsi="Palatino Linotype"/>
          <w:color w:val="000000" w:themeColor="text1"/>
        </w:rPr>
        <w:t>, decretó el cierre de instrucción del expediente</w:t>
      </w:r>
      <w:r w:rsidRPr="003538AC">
        <w:rPr>
          <w:rFonts w:ascii="Palatino Linotype" w:hAnsi="Palatino Linotype" w:cs="Arial"/>
          <w:color w:val="000000" w:themeColor="text1"/>
        </w:rPr>
        <w:t>, por lo que no habiendo más que hacer constar, y</w:t>
      </w:r>
      <w:r w:rsidR="003440E8">
        <w:rPr>
          <w:rFonts w:ascii="Palatino Linotype" w:hAnsi="Palatino Linotype" w:cs="Arial"/>
          <w:color w:val="000000" w:themeColor="text1"/>
        </w:rPr>
        <w:t xml:space="preserve"> --------------------------------------------------------------------------------------------------------</w:t>
      </w:r>
    </w:p>
    <w:p w14:paraId="43B571DD" w14:textId="77777777" w:rsidR="003440E8" w:rsidRDefault="003440E8" w:rsidP="003440E8">
      <w:pPr>
        <w:pStyle w:val="Prrafodelista"/>
        <w:rPr>
          <w:rFonts w:ascii="Palatino Linotype" w:eastAsia="MS Mincho" w:hAnsi="Palatino Linotype"/>
          <w:i/>
          <w:color w:val="000000" w:themeColor="text1"/>
        </w:rPr>
      </w:pPr>
    </w:p>
    <w:p w14:paraId="6E9E2319" w14:textId="77777777" w:rsidR="003440E8" w:rsidRDefault="003440E8" w:rsidP="003440E8">
      <w:pPr>
        <w:spacing w:line="360" w:lineRule="auto"/>
        <w:contextualSpacing/>
        <w:jc w:val="both"/>
        <w:rPr>
          <w:rFonts w:ascii="Palatino Linotype" w:eastAsia="MS Mincho" w:hAnsi="Palatino Linotype"/>
          <w:i/>
          <w:color w:val="000000" w:themeColor="text1"/>
        </w:rPr>
      </w:pPr>
    </w:p>
    <w:p w14:paraId="22DE07D3" w14:textId="77777777" w:rsidR="003440E8" w:rsidRDefault="003440E8" w:rsidP="003440E8">
      <w:pPr>
        <w:spacing w:line="360" w:lineRule="auto"/>
        <w:contextualSpacing/>
        <w:jc w:val="both"/>
        <w:rPr>
          <w:rFonts w:ascii="Palatino Linotype" w:eastAsia="MS Mincho" w:hAnsi="Palatino Linotype"/>
          <w:i/>
          <w:color w:val="000000" w:themeColor="text1"/>
        </w:rPr>
      </w:pPr>
    </w:p>
    <w:p w14:paraId="3ADEE9A4" w14:textId="77777777" w:rsidR="003440E8" w:rsidRDefault="003440E8" w:rsidP="003440E8">
      <w:pPr>
        <w:spacing w:line="360" w:lineRule="auto"/>
        <w:contextualSpacing/>
        <w:jc w:val="both"/>
        <w:rPr>
          <w:rFonts w:ascii="Palatino Linotype" w:eastAsia="MS Mincho" w:hAnsi="Palatino Linotype"/>
          <w:i/>
          <w:color w:val="000000" w:themeColor="text1"/>
        </w:rPr>
      </w:pPr>
    </w:p>
    <w:p w14:paraId="14B61711" w14:textId="77777777" w:rsidR="003440E8" w:rsidRPr="003538AC" w:rsidRDefault="003440E8" w:rsidP="003440E8">
      <w:pPr>
        <w:spacing w:line="360" w:lineRule="auto"/>
        <w:contextualSpacing/>
        <w:jc w:val="both"/>
        <w:rPr>
          <w:rFonts w:ascii="Palatino Linotype" w:eastAsia="MS Mincho" w:hAnsi="Palatino Linotype"/>
          <w:i/>
          <w:color w:val="000000" w:themeColor="text1"/>
        </w:rPr>
      </w:pPr>
    </w:p>
    <w:p w14:paraId="350D6026" w14:textId="0A39AAAD" w:rsidR="00221B49" w:rsidRDefault="00221B49" w:rsidP="00E23F8A">
      <w:pPr>
        <w:pStyle w:val="Prrafodelista"/>
        <w:ind w:left="360"/>
        <w:jc w:val="center"/>
        <w:rPr>
          <w:rFonts w:ascii="Palatino Linotype" w:eastAsia="MS Gothic" w:hAnsi="Palatino Linotype"/>
          <w:b/>
          <w:color w:val="000000" w:themeColor="text1"/>
          <w:sz w:val="24"/>
          <w:lang w:eastAsia="en-US"/>
        </w:rPr>
      </w:pPr>
      <w:r w:rsidRPr="003538AC">
        <w:rPr>
          <w:rFonts w:ascii="Palatino Linotype" w:eastAsia="MS Gothic" w:hAnsi="Palatino Linotype"/>
          <w:b/>
          <w:color w:val="000000" w:themeColor="text1"/>
          <w:sz w:val="24"/>
          <w:lang w:eastAsia="en-US"/>
        </w:rPr>
        <w:lastRenderedPageBreak/>
        <w:t>C</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O</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N</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S</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I</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D</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E</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R</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A</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N</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D</w:t>
      </w:r>
      <w:r w:rsidR="003440E8">
        <w:rPr>
          <w:rFonts w:ascii="Palatino Linotype" w:eastAsia="MS Gothic" w:hAnsi="Palatino Linotype"/>
          <w:b/>
          <w:color w:val="000000" w:themeColor="text1"/>
          <w:sz w:val="24"/>
          <w:lang w:eastAsia="en-US"/>
        </w:rPr>
        <w:t xml:space="preserve"> </w:t>
      </w:r>
      <w:r w:rsidRPr="003538AC">
        <w:rPr>
          <w:rFonts w:ascii="Palatino Linotype" w:eastAsia="MS Gothic" w:hAnsi="Palatino Linotype"/>
          <w:b/>
          <w:color w:val="000000" w:themeColor="text1"/>
          <w:sz w:val="24"/>
          <w:lang w:eastAsia="en-US"/>
        </w:rPr>
        <w:t>O</w:t>
      </w:r>
    </w:p>
    <w:p w14:paraId="61556CD0" w14:textId="77777777" w:rsidR="003440E8" w:rsidRPr="003538AC" w:rsidRDefault="003440E8" w:rsidP="00E23F8A">
      <w:pPr>
        <w:pStyle w:val="Prrafodelista"/>
        <w:ind w:left="360"/>
        <w:jc w:val="center"/>
        <w:rPr>
          <w:rFonts w:ascii="Palatino Linotype" w:eastAsia="MS Gothic" w:hAnsi="Palatino Linotype"/>
          <w:b/>
          <w:color w:val="000000" w:themeColor="text1"/>
          <w:sz w:val="24"/>
          <w:lang w:eastAsia="en-US"/>
        </w:rPr>
      </w:pPr>
    </w:p>
    <w:p w14:paraId="5D2E4EA5" w14:textId="77777777" w:rsidR="00221B49" w:rsidRPr="003538AC" w:rsidRDefault="00221B49" w:rsidP="00E23F8A">
      <w:pPr>
        <w:pStyle w:val="Prrafodelista"/>
        <w:ind w:left="360"/>
        <w:rPr>
          <w:rFonts w:ascii="Palatino Linotype" w:eastAsia="MS Gothic" w:hAnsi="Palatino Linotype"/>
          <w:b/>
          <w:color w:val="000000" w:themeColor="text1"/>
          <w:sz w:val="24"/>
          <w:lang w:eastAsia="en-US"/>
        </w:rPr>
      </w:pPr>
    </w:p>
    <w:p w14:paraId="548BFCA9" w14:textId="77777777" w:rsidR="00221B49" w:rsidRPr="003538AC" w:rsidRDefault="00221B49" w:rsidP="00E23F8A">
      <w:pPr>
        <w:rPr>
          <w:rFonts w:ascii="Palatino Linotype" w:eastAsia="MS Gothic" w:hAnsi="Palatino Linotype"/>
          <w:b/>
          <w:color w:val="000000" w:themeColor="text1"/>
          <w:lang w:eastAsia="en-US"/>
        </w:rPr>
      </w:pPr>
      <w:r w:rsidRPr="003538AC">
        <w:rPr>
          <w:rFonts w:ascii="Palatino Linotype" w:eastAsia="MS Gothic" w:hAnsi="Palatino Linotype"/>
          <w:b/>
          <w:color w:val="000000" w:themeColor="text1"/>
          <w:lang w:eastAsia="en-US"/>
        </w:rPr>
        <w:t>PRIMERO. De la competencia.</w:t>
      </w:r>
    </w:p>
    <w:p w14:paraId="32269423" w14:textId="187611DC" w:rsidR="00221B49" w:rsidRPr="003538AC" w:rsidRDefault="00221B49" w:rsidP="00E23F8A">
      <w:pPr>
        <w:numPr>
          <w:ilvl w:val="0"/>
          <w:numId w:val="1"/>
        </w:numPr>
        <w:spacing w:line="360" w:lineRule="auto"/>
        <w:ind w:left="0" w:firstLine="0"/>
        <w:contextualSpacing/>
        <w:jc w:val="both"/>
        <w:rPr>
          <w:rFonts w:ascii="Palatino Linotype" w:eastAsia="MS Mincho" w:hAnsi="Palatino Linotype"/>
          <w:i/>
          <w:color w:val="000000" w:themeColor="text1"/>
        </w:rPr>
      </w:pPr>
      <w:r w:rsidRPr="003538AC">
        <w:rPr>
          <w:rFonts w:ascii="Palatino Linotype" w:hAnsi="Palatino Linotype"/>
          <w:color w:val="000000" w:themeColor="text1"/>
          <w:shd w:val="clear" w:color="auto" w:fill="FFFFFF"/>
        </w:rPr>
        <w:t xml:space="preserve">Este </w:t>
      </w:r>
      <w:r w:rsidR="003329B1" w:rsidRPr="003538AC">
        <w:rPr>
          <w:rFonts w:ascii="Palatino Linotype" w:hAnsi="Palatino Linotype"/>
          <w:color w:val="000000" w:themeColor="text1"/>
          <w:shd w:val="clear" w:color="auto" w:fill="FFFFFF"/>
        </w:rPr>
        <w:t>Instituto de Transparencia, Acceso a la Información Pública y Protección de Datos Personales del Estado de México y Municipios, es competente para conocer y resolver del presente recurso de conformidad con el artículo: 6, apartado A, fracción IV de la </w:t>
      </w:r>
      <w:r w:rsidR="003329B1" w:rsidRPr="003538AC">
        <w:rPr>
          <w:rFonts w:ascii="Palatino Linotype" w:hAnsi="Palatino Linotype"/>
          <w:b/>
          <w:bCs/>
          <w:color w:val="000000" w:themeColor="text1"/>
          <w:shd w:val="clear" w:color="auto" w:fill="FFFFFF"/>
        </w:rPr>
        <w:t>Constitución Política de los Estados Unidos Mexicanos</w:t>
      </w:r>
      <w:r w:rsidR="003329B1" w:rsidRPr="003538AC">
        <w:rPr>
          <w:rFonts w:ascii="Palatino Linotype" w:hAnsi="Palatino Linotype"/>
          <w:color w:val="000000" w:themeColor="text1"/>
          <w:shd w:val="clear" w:color="auto" w:fill="FFFFFF"/>
        </w:rPr>
        <w:t>; 5, párrafos trigésimo segundo, trigésimo tercero y trigésimo cuarto fracciones IV y V de la </w:t>
      </w:r>
      <w:r w:rsidR="003329B1" w:rsidRPr="003538AC">
        <w:rPr>
          <w:rFonts w:ascii="Palatino Linotype" w:hAnsi="Palatino Linotype"/>
          <w:b/>
          <w:bCs/>
          <w:color w:val="000000" w:themeColor="text1"/>
          <w:shd w:val="clear" w:color="auto" w:fill="FFFFFF"/>
        </w:rPr>
        <w:t>Constitución Política del Estado Libre y Soberano de México</w:t>
      </w:r>
      <w:r w:rsidR="003329B1" w:rsidRPr="003538AC">
        <w:rPr>
          <w:rFonts w:ascii="Palatino Linotype" w:hAnsi="Palatino Linotype"/>
          <w:color w:val="000000" w:themeColor="text1"/>
          <w:shd w:val="clear" w:color="auto" w:fill="FFFFFF"/>
        </w:rPr>
        <w:t>; artículos 1, 2 fracción II, 13, 29, 36 fracciones I y II, 176, 178, 179, 181 párrafo tercero y 185 de la </w:t>
      </w:r>
      <w:r w:rsidR="003329B1" w:rsidRPr="003538AC">
        <w:rPr>
          <w:rFonts w:ascii="Palatino Linotype" w:hAnsi="Palatino Linotype"/>
          <w:b/>
          <w:bCs/>
          <w:color w:val="000000" w:themeColor="text1"/>
          <w:shd w:val="clear" w:color="auto" w:fill="FFFFFF"/>
        </w:rPr>
        <w:t>Ley de Transparencia y Acceso a la Información Pública del Estado de México y Municipios</w:t>
      </w:r>
      <w:r w:rsidR="003329B1" w:rsidRPr="003538AC">
        <w:rPr>
          <w:rFonts w:ascii="Palatino Linotype" w:hAnsi="Palatino Linotype"/>
          <w:color w:val="000000" w:themeColor="text1"/>
          <w:shd w:val="clear" w:color="auto" w:fill="FFFFFF"/>
        </w:rPr>
        <w:t>; y 7, 9 fracciones I y XXIII, y 11 del </w:t>
      </w:r>
      <w:r w:rsidR="003329B1" w:rsidRPr="003538AC">
        <w:rPr>
          <w:rFonts w:ascii="Palatino Linotype" w:hAnsi="Palatino Linotype"/>
          <w:b/>
          <w:bCs/>
          <w:color w:val="000000" w:themeColor="text1"/>
          <w:shd w:val="clear" w:color="auto" w:fill="FFFFFF"/>
        </w:rPr>
        <w:t>Reglamento Interior del Instituto de Transparencia, Acceso a la Información Pública y Protección de Datos Personales del Estado de México y Municipios</w:t>
      </w:r>
      <w:r w:rsidR="003329B1" w:rsidRPr="003538AC">
        <w:rPr>
          <w:rFonts w:ascii="Palatino Linotype" w:hAnsi="Palatino Linotype"/>
          <w:color w:val="000000" w:themeColor="text1"/>
          <w:shd w:val="clear" w:color="auto" w:fill="FFFFFF"/>
        </w:rPr>
        <w:t>.</w:t>
      </w:r>
    </w:p>
    <w:p w14:paraId="79D9B157" w14:textId="77777777" w:rsidR="00221B49" w:rsidRPr="003538AC" w:rsidRDefault="00221B49" w:rsidP="00E23F8A">
      <w:pPr>
        <w:pStyle w:val="Prrafodelista"/>
        <w:rPr>
          <w:rFonts w:ascii="Palatino Linotype" w:eastAsia="MS Gothic" w:hAnsi="Palatino Linotype"/>
          <w:b/>
          <w:color w:val="000000" w:themeColor="text1"/>
          <w:sz w:val="24"/>
          <w:lang w:eastAsia="en-US"/>
        </w:rPr>
      </w:pPr>
    </w:p>
    <w:p w14:paraId="0516FE6D" w14:textId="4F769D1B" w:rsidR="00E166A7" w:rsidRPr="003538AC" w:rsidRDefault="00221B49" w:rsidP="00E23F8A">
      <w:pPr>
        <w:pStyle w:val="Prrafodelista"/>
        <w:ind w:left="0"/>
        <w:rPr>
          <w:rFonts w:ascii="Palatino Linotype" w:eastAsia="MS Gothic" w:hAnsi="Palatino Linotype"/>
          <w:b/>
          <w:color w:val="000000" w:themeColor="text1"/>
          <w:sz w:val="24"/>
          <w:lang w:eastAsia="en-US"/>
        </w:rPr>
      </w:pPr>
      <w:r w:rsidRPr="003538AC">
        <w:rPr>
          <w:rFonts w:ascii="Palatino Linotype" w:eastAsia="MS Gothic" w:hAnsi="Palatino Linotype"/>
          <w:b/>
          <w:color w:val="000000" w:themeColor="text1"/>
          <w:sz w:val="24"/>
          <w:lang w:eastAsia="en-US"/>
        </w:rPr>
        <w:t>SEGUNDO. De la Oportunidad y Procedencia</w:t>
      </w:r>
    </w:p>
    <w:p w14:paraId="3BA230F1" w14:textId="6BD73A93" w:rsidR="005F0B19" w:rsidRPr="003440E8" w:rsidRDefault="00841865" w:rsidP="00E23F8A">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eastAsia="es-ES"/>
        </w:rPr>
      </w:pPr>
      <w:r w:rsidRPr="003538AC">
        <w:rPr>
          <w:rFonts w:ascii="Palatino Linotype" w:eastAsia="Calibri" w:hAnsi="Palatino Linotype" w:cs="Arial"/>
          <w:color w:val="000000" w:themeColor="text1"/>
          <w:lang w:val="es-ES_tradnl" w:eastAsia="es-ES"/>
        </w:rPr>
        <w:t xml:space="preserve">El medio de impugnación fue presentado a través del </w:t>
      </w:r>
      <w:r w:rsidRPr="003538AC">
        <w:rPr>
          <w:rFonts w:ascii="Palatino Linotype" w:eastAsia="Calibri" w:hAnsi="Palatino Linotype" w:cs="Arial"/>
          <w:b/>
          <w:color w:val="000000" w:themeColor="text1"/>
          <w:lang w:val="es-ES_tradnl" w:eastAsia="es-ES"/>
        </w:rPr>
        <w:t>SAIMEX,</w:t>
      </w:r>
      <w:r w:rsidRPr="003538AC">
        <w:rPr>
          <w:rFonts w:ascii="Palatino Linotype" w:eastAsia="Calibri" w:hAnsi="Palatino Linotype" w:cs="Arial"/>
          <w:color w:val="000000" w:themeColor="text1"/>
          <w:lang w:val="es-ES_tradnl" w:eastAsia="es-ES"/>
        </w:rPr>
        <w:t xml:space="preserve"> en el formato previamente aprobado para tal efecto y dentro del plazo legal de quince días hábiles otorgados; para el caso en particular es de señalar que el </w:t>
      </w:r>
      <w:r w:rsidRPr="003538AC">
        <w:rPr>
          <w:rFonts w:ascii="Palatino Linotype" w:eastAsia="Calibri" w:hAnsi="Palatino Linotype" w:cs="Arial"/>
          <w:b/>
          <w:color w:val="000000" w:themeColor="text1"/>
          <w:lang w:val="es-ES_tradnl" w:eastAsia="es-ES"/>
        </w:rPr>
        <w:t>SUJETO OBLIGADO</w:t>
      </w:r>
      <w:r w:rsidRPr="003538AC">
        <w:rPr>
          <w:rFonts w:ascii="Palatino Linotype" w:eastAsia="Calibri" w:hAnsi="Palatino Linotype" w:cs="Arial"/>
          <w:color w:val="000000" w:themeColor="text1"/>
          <w:lang w:val="es-ES_tradnl" w:eastAsia="es-ES"/>
        </w:rPr>
        <w:t xml:space="preserve"> entregó respuesta el día </w:t>
      </w:r>
      <w:r w:rsidR="00F23C38" w:rsidRPr="003538AC">
        <w:rPr>
          <w:rFonts w:ascii="Palatino Linotype" w:eastAsia="Calibri" w:hAnsi="Palatino Linotype" w:cs="Arial"/>
          <w:b/>
          <w:color w:val="000000" w:themeColor="text1"/>
        </w:rPr>
        <w:t xml:space="preserve">veintiséis de mayo </w:t>
      </w:r>
      <w:r w:rsidR="005F0B19" w:rsidRPr="003538AC">
        <w:rPr>
          <w:rFonts w:ascii="Palatino Linotype" w:eastAsia="Calibri" w:hAnsi="Palatino Linotype" w:cs="Arial"/>
          <w:b/>
          <w:color w:val="000000" w:themeColor="text1"/>
        </w:rPr>
        <w:t xml:space="preserve">de dos mil </w:t>
      </w:r>
      <w:r w:rsidR="004D1CB2" w:rsidRPr="003538AC">
        <w:rPr>
          <w:rFonts w:ascii="Palatino Linotype" w:eastAsia="Calibri" w:hAnsi="Palatino Linotype" w:cs="Arial"/>
          <w:b/>
          <w:color w:val="000000" w:themeColor="text1"/>
        </w:rPr>
        <w:t xml:space="preserve">veinticinco </w:t>
      </w:r>
      <w:r w:rsidRPr="003538AC">
        <w:rPr>
          <w:rFonts w:ascii="Palatino Linotype" w:eastAsia="Calibri" w:hAnsi="Palatino Linotype" w:cs="Arial"/>
          <w:color w:val="000000" w:themeColor="text1"/>
          <w:lang w:val="es-ES_tradnl" w:eastAsia="es-ES"/>
        </w:rPr>
        <w:t xml:space="preserve">, </w:t>
      </w:r>
      <w:r w:rsidRPr="003538AC">
        <w:rPr>
          <w:rFonts w:ascii="Palatino Linotype" w:eastAsiaTheme="minorEastAsia" w:hAnsi="Palatino Linotype" w:cs="Arial"/>
          <w:color w:val="000000" w:themeColor="text1"/>
          <w:lang w:val="es-ES_tradnl" w:eastAsia="es-ES"/>
        </w:rPr>
        <w:t xml:space="preserve">de tal forma que el plazo para interponer el recurso transcurrió del </w:t>
      </w:r>
      <w:r w:rsidR="00F23C38" w:rsidRPr="003538AC">
        <w:rPr>
          <w:rFonts w:ascii="Palatino Linotype" w:hAnsi="Palatino Linotype" w:cs="Arial"/>
          <w:b/>
          <w:color w:val="000000" w:themeColor="text1"/>
        </w:rPr>
        <w:t xml:space="preserve">veintisiete de mayo al dieciséis de junio </w:t>
      </w:r>
      <w:r w:rsidR="004D1CB2" w:rsidRPr="003538AC">
        <w:rPr>
          <w:rFonts w:ascii="Palatino Linotype" w:hAnsi="Palatino Linotype" w:cs="Arial"/>
          <w:b/>
          <w:color w:val="000000" w:themeColor="text1"/>
        </w:rPr>
        <w:t>de dos mil veinticinco</w:t>
      </w:r>
      <w:r w:rsidRPr="003538AC">
        <w:rPr>
          <w:rFonts w:ascii="Palatino Linotype" w:eastAsiaTheme="minorEastAsia" w:hAnsi="Palatino Linotype" w:cs="Arial"/>
          <w:color w:val="000000" w:themeColor="text1"/>
          <w:lang w:val="es-ES_tradnl" w:eastAsia="es-ES"/>
        </w:rPr>
        <w:t xml:space="preserve">, de acuerdo al calendario oficial del Instituto de Transparencia del Estado de México y Municipios; en consecuencia, si el particular presentó su inconformidad el día </w:t>
      </w:r>
      <w:r w:rsidR="00F23C38" w:rsidRPr="003538AC">
        <w:rPr>
          <w:rFonts w:ascii="Palatino Linotype" w:hAnsi="Palatino Linotype" w:cs="Arial"/>
          <w:b/>
          <w:color w:val="000000" w:themeColor="text1"/>
        </w:rPr>
        <w:t xml:space="preserve">veintisiete de mayo </w:t>
      </w:r>
      <w:r w:rsidR="004D1CB2" w:rsidRPr="003538AC">
        <w:rPr>
          <w:rFonts w:ascii="Palatino Linotype" w:hAnsi="Palatino Linotype" w:cs="Arial"/>
          <w:b/>
          <w:color w:val="000000" w:themeColor="text1"/>
        </w:rPr>
        <w:t>de dos mil veinticinco</w:t>
      </w:r>
      <w:r w:rsidRPr="003538AC">
        <w:rPr>
          <w:rFonts w:ascii="Palatino Linotype" w:eastAsiaTheme="minorEastAsia" w:hAnsi="Palatino Linotype" w:cs="Arial"/>
          <w:color w:val="000000" w:themeColor="text1"/>
          <w:lang w:val="es-ES_tradnl" w:eastAsia="es-ES"/>
        </w:rPr>
        <w:t xml:space="preserve">, se encuentra dentro de los márgenes temporales previstos en el artículo 178 de la </w:t>
      </w:r>
      <w:r w:rsidRPr="003538AC">
        <w:rPr>
          <w:rFonts w:ascii="Palatino Linotype" w:eastAsiaTheme="minorEastAsia" w:hAnsi="Palatino Linotype" w:cs="Arial"/>
          <w:b/>
          <w:color w:val="000000" w:themeColor="text1"/>
          <w:lang w:val="es-ES_tradnl" w:eastAsia="es-ES"/>
        </w:rPr>
        <w:lastRenderedPageBreak/>
        <w:t xml:space="preserve">Ley de Transparencia y Acceso a la Información Pública del Estado de México y Municipios </w:t>
      </w:r>
      <w:r w:rsidRPr="003538AC">
        <w:rPr>
          <w:rFonts w:ascii="Palatino Linotype" w:eastAsiaTheme="minorEastAsia" w:hAnsi="Palatino Linotype" w:cs="Arial"/>
          <w:color w:val="000000" w:themeColor="text1"/>
          <w:lang w:val="es-ES_tradnl" w:eastAsia="es-ES"/>
        </w:rPr>
        <w:t xml:space="preserve">vigente. </w:t>
      </w:r>
    </w:p>
    <w:p w14:paraId="289F9C87" w14:textId="77777777" w:rsidR="003440E8" w:rsidRPr="003538AC" w:rsidRDefault="003440E8" w:rsidP="003440E8">
      <w:pPr>
        <w:spacing w:line="360" w:lineRule="auto"/>
        <w:contextualSpacing/>
        <w:jc w:val="both"/>
        <w:rPr>
          <w:rFonts w:ascii="Palatino Linotype" w:eastAsiaTheme="minorEastAsia" w:hAnsi="Palatino Linotype"/>
          <w:color w:val="000000" w:themeColor="text1"/>
          <w:lang w:val="es-ES_tradnl" w:eastAsia="es-ES"/>
        </w:rPr>
      </w:pPr>
    </w:p>
    <w:p w14:paraId="21E83700" w14:textId="6372F3AE" w:rsidR="005F0B19" w:rsidRPr="003538AC" w:rsidRDefault="005F0B19" w:rsidP="00E23F8A">
      <w:pPr>
        <w:numPr>
          <w:ilvl w:val="0"/>
          <w:numId w:val="1"/>
        </w:numPr>
        <w:spacing w:line="360" w:lineRule="auto"/>
        <w:ind w:left="0" w:firstLine="0"/>
        <w:contextualSpacing/>
        <w:jc w:val="both"/>
        <w:rPr>
          <w:rFonts w:ascii="Palatino Linotype" w:eastAsiaTheme="minorEastAsia" w:hAnsi="Palatino Linotype"/>
          <w:color w:val="000000" w:themeColor="text1"/>
          <w:lang w:val="es-ES_tradnl" w:eastAsia="es-ES"/>
        </w:rPr>
      </w:pPr>
      <w:r w:rsidRPr="003538AC">
        <w:rPr>
          <w:rFonts w:ascii="Palatino Linotype" w:eastAsia="Calibri" w:hAnsi="Palatino Linotype" w:cs="Arial"/>
          <w:color w:val="000000" w:themeColor="text1"/>
        </w:rPr>
        <w:t xml:space="preserve">Por otro lado, es de suma importancia señalar que </w:t>
      </w:r>
      <w:r w:rsidR="004D1CB2" w:rsidRPr="003538AC">
        <w:rPr>
          <w:rFonts w:ascii="Palatino Linotype" w:eastAsia="Calibri" w:hAnsi="Palatino Linotype" w:cs="Arial"/>
          <w:color w:val="000000" w:themeColor="text1"/>
        </w:rPr>
        <w:t xml:space="preserve">si bien </w:t>
      </w:r>
      <w:r w:rsidRPr="003538AC">
        <w:rPr>
          <w:rFonts w:ascii="Palatino Linotype" w:eastAsia="Calibri" w:hAnsi="Palatino Linotype" w:cs="Arial"/>
          <w:color w:val="000000" w:themeColor="text1"/>
        </w:rPr>
        <w:t xml:space="preserve">la parte recurrente </w:t>
      </w:r>
      <w:r w:rsidR="004D1CB2" w:rsidRPr="003538AC">
        <w:rPr>
          <w:rFonts w:ascii="Palatino Linotype" w:eastAsia="Calibri" w:hAnsi="Palatino Linotype" w:cs="Arial"/>
          <w:color w:val="000000" w:themeColor="text1"/>
        </w:rPr>
        <w:t xml:space="preserve">proporciono un seudónimo, este no corresponde a </w:t>
      </w:r>
      <w:r w:rsidRPr="003538AC">
        <w:rPr>
          <w:rFonts w:ascii="Palatino Linotype" w:eastAsia="Calibri" w:hAnsi="Palatino Linotype" w:cs="Arial"/>
          <w:color w:val="000000" w:themeColor="text1"/>
        </w:rPr>
        <w:t>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C649C8" w14:textId="77777777" w:rsidR="005F0B19" w:rsidRPr="003538AC" w:rsidRDefault="005F0B19" w:rsidP="00E23F8A">
      <w:pPr>
        <w:pStyle w:val="Prrafodelista"/>
        <w:tabs>
          <w:tab w:val="left" w:pos="7655"/>
        </w:tabs>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r w:rsidRPr="003538AC">
        <w:rPr>
          <w:rFonts w:ascii="Palatino Linotype" w:eastAsia="Palatino Linotype" w:hAnsi="Palatino Linotype" w:cs="Palatino Linotype"/>
          <w:b/>
          <w:i/>
          <w:color w:val="000000" w:themeColor="text1"/>
          <w:sz w:val="24"/>
        </w:rPr>
        <w:t>Las solicitudes anónimas</w:t>
      </w:r>
      <w:r w:rsidRPr="003538AC">
        <w:rPr>
          <w:rFonts w:ascii="Palatino Linotype" w:eastAsia="Palatino Linotype" w:hAnsi="Palatino Linotype" w:cs="Palatino Linotype"/>
          <w:i/>
          <w:color w:val="000000" w:themeColor="text1"/>
          <w:sz w:val="24"/>
        </w:rPr>
        <w:t xml:space="preserve">, con nombre incompleto o seudónimo </w:t>
      </w:r>
      <w:r w:rsidRPr="003538AC">
        <w:rPr>
          <w:rFonts w:ascii="Palatino Linotype" w:eastAsia="Palatino Linotype" w:hAnsi="Palatino Linotype" w:cs="Palatino Linotype"/>
          <w:b/>
          <w:i/>
          <w:color w:val="000000" w:themeColor="text1"/>
          <w:sz w:val="24"/>
        </w:rPr>
        <w:t>serán procedentes para su trámite por parte del sujeto obligado ante quien se presente</w:t>
      </w:r>
      <w:r w:rsidRPr="003538AC">
        <w:rPr>
          <w:rFonts w:ascii="Palatino Linotype" w:eastAsia="Palatino Linotype" w:hAnsi="Palatino Linotype" w:cs="Palatino Linotype"/>
          <w:i/>
          <w:color w:val="000000" w:themeColor="text1"/>
          <w:sz w:val="24"/>
        </w:rPr>
        <w:t>. No podrá requerirse información adicional con motivo del nombre proporcionado por el solicitante."</w:t>
      </w:r>
    </w:p>
    <w:p w14:paraId="5409776A" w14:textId="77777777" w:rsidR="005F0B19" w:rsidRDefault="005F0B19" w:rsidP="00E23F8A">
      <w:pPr>
        <w:pStyle w:val="Prrafodelista"/>
        <w:rPr>
          <w:rFonts w:ascii="Palatino Linotype" w:eastAsiaTheme="minorEastAsia" w:hAnsi="Palatino Linotype"/>
          <w:color w:val="000000" w:themeColor="text1"/>
          <w:sz w:val="24"/>
          <w:lang w:val="es-ES_tradnl" w:eastAsia="es-ES"/>
        </w:rPr>
      </w:pPr>
    </w:p>
    <w:p w14:paraId="70368DEE" w14:textId="77777777" w:rsidR="003440E8" w:rsidRPr="003538AC" w:rsidRDefault="003440E8" w:rsidP="00E23F8A">
      <w:pPr>
        <w:pStyle w:val="Prrafodelista"/>
        <w:rPr>
          <w:rFonts w:ascii="Palatino Linotype" w:eastAsiaTheme="minorEastAsia" w:hAnsi="Palatino Linotype"/>
          <w:color w:val="000000" w:themeColor="text1"/>
          <w:sz w:val="24"/>
          <w:lang w:val="es-ES_tradnl" w:eastAsia="es-ES"/>
        </w:rPr>
      </w:pPr>
    </w:p>
    <w:p w14:paraId="0A36FDCB" w14:textId="77777777" w:rsidR="005F0B19" w:rsidRPr="003538AC" w:rsidRDefault="005F0B19"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eastAsia="Calibri" w:hAnsi="Palatino Linotype" w:cs="Arial"/>
          <w:color w:val="000000" w:themeColor="text1"/>
          <w:sz w:val="24"/>
        </w:rPr>
        <w:t>Robusteciendo lo anterior se encuentra lo dispuesto en el artículo 6, Apartado A, fracciones III de la Constitución Política de los Estados Unidos Mexicanos que establece:</w:t>
      </w:r>
    </w:p>
    <w:p w14:paraId="7AB317E1"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r w:rsidRPr="003538AC">
        <w:rPr>
          <w:rFonts w:ascii="Palatino Linotype" w:eastAsia="Palatino Linotype" w:hAnsi="Palatino Linotype" w:cs="Palatino Linotype"/>
          <w:b/>
          <w:i/>
          <w:color w:val="000000" w:themeColor="text1"/>
          <w:sz w:val="24"/>
        </w:rPr>
        <w:t>Artículo 6.-</w:t>
      </w:r>
      <w:r w:rsidRPr="003538AC">
        <w:rPr>
          <w:rFonts w:ascii="Palatino Linotype" w:eastAsia="Palatino Linotype" w:hAnsi="Palatino Linotype" w:cs="Palatino Linotype"/>
          <w:i/>
          <w:color w:val="000000" w:themeColor="text1"/>
          <w:sz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p>
    <w:p w14:paraId="207B89DA"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Para efectos de lo dispuesto en el presente artículo se observará lo siguiente:</w:t>
      </w:r>
    </w:p>
    <w:p w14:paraId="3E6446F6"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p>
    <w:p w14:paraId="2803323F"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p>
    <w:p w14:paraId="522BDD76"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lastRenderedPageBreak/>
        <w:t xml:space="preserve">III. Toda persona, sin necesidad de acreditar interés alguno o justificar su utilización, tendrá acceso gratuito a la información pública, a sus datos personales o a la rectificación de éstos.” </w:t>
      </w:r>
      <w:r w:rsidRPr="003538AC">
        <w:rPr>
          <w:rFonts w:ascii="Palatino Linotype" w:eastAsia="Palatino Linotype" w:hAnsi="Palatino Linotype" w:cs="Palatino Linotype"/>
          <w:color w:val="000000" w:themeColor="text1"/>
          <w:sz w:val="24"/>
        </w:rPr>
        <w:t>(Sic)</w:t>
      </w:r>
    </w:p>
    <w:p w14:paraId="77DBE0EA" w14:textId="77777777" w:rsidR="005F0B19" w:rsidRPr="003538AC" w:rsidRDefault="005F0B19" w:rsidP="00E23F8A">
      <w:pPr>
        <w:pStyle w:val="Prrafodelista"/>
        <w:spacing w:line="360" w:lineRule="auto"/>
        <w:ind w:left="0"/>
        <w:jc w:val="both"/>
        <w:rPr>
          <w:rFonts w:ascii="Palatino Linotype" w:eastAsia="Calibri" w:hAnsi="Palatino Linotype" w:cs="Arial"/>
          <w:color w:val="000000" w:themeColor="text1"/>
          <w:sz w:val="24"/>
        </w:rPr>
      </w:pPr>
    </w:p>
    <w:p w14:paraId="4950642C" w14:textId="77777777" w:rsidR="005F0B19" w:rsidRPr="003538AC" w:rsidRDefault="005F0B19"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eastAsia="Calibri" w:hAnsi="Palatino Linotype" w:cs="Arial"/>
          <w:color w:val="000000" w:themeColor="text1"/>
          <w:sz w:val="24"/>
        </w:rPr>
        <w:t>Así como el artículo 5 fracción III, párrafo vigésimo noveno, trigésimo y trigésimo primero, de la Constitución Política del Estado Libre y Soberano de México, que determina lo siguiente:</w:t>
      </w:r>
    </w:p>
    <w:p w14:paraId="5B03352B"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r w:rsidRPr="003538AC">
        <w:rPr>
          <w:rFonts w:ascii="Palatino Linotype" w:eastAsia="Palatino Linotype" w:hAnsi="Palatino Linotype" w:cs="Palatino Linotype"/>
          <w:b/>
          <w:i/>
          <w:color w:val="000000" w:themeColor="text1"/>
          <w:sz w:val="24"/>
        </w:rPr>
        <w:t>Artículo 5.-</w:t>
      </w:r>
      <w:r w:rsidRPr="003538AC">
        <w:rPr>
          <w:rFonts w:ascii="Palatino Linotype" w:eastAsia="Palatino Linotype" w:hAnsi="Palatino Linotype" w:cs="Palatino Linotype"/>
          <w:i/>
          <w:color w:val="000000" w:themeColor="text1"/>
          <w:sz w:val="24"/>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p>
    <w:p w14:paraId="2C4763C8"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p>
    <w:p w14:paraId="2A039E8D"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El derecho a la información será garantizado por el Estado. La ley establecerá las previsiones que permitan asegurar la protección, el respeto y la difusión de este derecho.</w:t>
      </w:r>
    </w:p>
    <w:p w14:paraId="67E6585E"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III. Toda persona, sin necesidad de acreditar interés alguno o justificar su utilización, tendrá acceso gratuito a la información pública, a sus datos personales o a la rectificación de éstos;</w:t>
      </w:r>
    </w:p>
    <w:p w14:paraId="4267971F"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p>
    <w:p w14:paraId="1B1D4965"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538AC">
        <w:rPr>
          <w:rFonts w:ascii="Palatino Linotype" w:eastAsia="Palatino Linotype" w:hAnsi="Palatino Linotype" w:cs="Palatino Linotype"/>
          <w:color w:val="000000" w:themeColor="text1"/>
          <w:sz w:val="24"/>
        </w:rPr>
        <w:t>(Sic)</w:t>
      </w:r>
    </w:p>
    <w:p w14:paraId="77753FAB" w14:textId="77777777" w:rsidR="005F0B19" w:rsidRPr="003538AC" w:rsidRDefault="005F0B19"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eastAsia="Calibri" w:hAnsi="Palatino Linotype" w:cs="Arial"/>
          <w:color w:val="000000" w:themeColor="text1"/>
          <w:sz w:val="24"/>
        </w:rPr>
        <w:lastRenderedPageBreak/>
        <w:t>Por otra parte, del contenido del artículo 1 de la Constitución Política de los Estados Unidos mexicanos, se destaca lo siguiente:</w:t>
      </w:r>
    </w:p>
    <w:p w14:paraId="0CAFB8B7"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w:t>
      </w:r>
      <w:r w:rsidRPr="003538AC">
        <w:rPr>
          <w:rFonts w:ascii="Palatino Linotype" w:eastAsia="Palatino Linotype" w:hAnsi="Palatino Linotype" w:cs="Palatino Linotype"/>
          <w:b/>
          <w:i/>
          <w:color w:val="000000" w:themeColor="text1"/>
          <w:sz w:val="24"/>
        </w:rPr>
        <w:t>Artículo 1</w:t>
      </w:r>
      <w:r w:rsidRPr="003538AC">
        <w:rPr>
          <w:rFonts w:ascii="Palatino Linotype" w:eastAsia="Palatino Linotype" w:hAnsi="Palatino Linotype" w:cs="Palatino Linotype"/>
          <w:i/>
          <w:color w:val="000000" w:themeColor="text1"/>
          <w:sz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3538AC" w:rsidRDefault="005F0B19" w:rsidP="00E23F8A">
      <w:pPr>
        <w:pStyle w:val="Prrafodelista"/>
        <w:ind w:left="567"/>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Pr="003538AC" w:rsidRDefault="005F0B19" w:rsidP="00E23F8A">
      <w:pPr>
        <w:spacing w:line="360" w:lineRule="auto"/>
        <w:jc w:val="both"/>
        <w:rPr>
          <w:rFonts w:ascii="Palatino Linotype" w:eastAsia="Calibri" w:hAnsi="Palatino Linotype" w:cs="Arial"/>
          <w:color w:val="000000" w:themeColor="text1"/>
        </w:rPr>
      </w:pPr>
    </w:p>
    <w:p w14:paraId="0645093C" w14:textId="77777777" w:rsidR="005F0B19" w:rsidRPr="003538AC" w:rsidRDefault="005F0B19" w:rsidP="00E23F8A">
      <w:pPr>
        <w:numPr>
          <w:ilvl w:val="0"/>
          <w:numId w:val="1"/>
        </w:numPr>
        <w:spacing w:line="360" w:lineRule="auto"/>
        <w:ind w:left="0" w:firstLine="0"/>
        <w:jc w:val="both"/>
        <w:rPr>
          <w:rFonts w:ascii="Palatino Linotype" w:eastAsia="Calibri" w:hAnsi="Palatino Linotype" w:cs="Arial"/>
          <w:color w:val="000000" w:themeColor="text1"/>
        </w:rPr>
      </w:pPr>
      <w:r w:rsidRPr="003538AC">
        <w:rPr>
          <w:rFonts w:ascii="Palatino Linotype" w:eastAsia="Calibri" w:hAnsi="Palatino Linotype" w:cs="Arial"/>
          <w:color w:val="000000" w:themeColor="text1"/>
        </w:rPr>
        <w:t>Esto es, que el derecho humano de acceso a la información pública, se aprecia que toda persona, sin necesidad de acreditar interés alguno o justificar su interposición, deberá tener acceso a la información pública, es decir, dicho</w:t>
      </w:r>
      <w:r w:rsidRPr="003538AC">
        <w:rPr>
          <w:rFonts w:ascii="Palatino Linotype" w:eastAsia="Palatino Linotype" w:hAnsi="Palatino Linotype" w:cs="Palatino Linotype"/>
          <w:color w:val="000000" w:themeColor="text1"/>
          <w:lang w:val="es-ES" w:eastAsia="en-US"/>
        </w:rPr>
        <w:t xml:space="preserve"> </w:t>
      </w:r>
      <w:r w:rsidRPr="003538AC">
        <w:rPr>
          <w:rFonts w:ascii="Palatino Linotype" w:eastAsia="Palatino Linotype" w:hAnsi="Palatino Linotype" w:cs="Palatino Linotype"/>
          <w:i/>
          <w:color w:val="000000" w:themeColor="text1"/>
          <w:lang w:val="es-ES" w:eastAsia="en-US"/>
        </w:rPr>
        <w:t>derecho fundamental exime a quien lo ejerce</w:t>
      </w:r>
      <w:r w:rsidRPr="003538AC">
        <w:rPr>
          <w:rFonts w:ascii="Palatino Linotype" w:eastAsia="Palatino Linotype" w:hAnsi="Palatino Linotype" w:cs="Palatino Linotype"/>
          <w:color w:val="000000" w:themeColor="text1"/>
          <w:lang w:val="es-ES" w:eastAsia="en-US"/>
        </w:rPr>
        <w:t xml:space="preserve">, </w:t>
      </w:r>
      <w:r w:rsidRPr="003538AC">
        <w:rPr>
          <w:rFonts w:ascii="Palatino Linotype" w:eastAsia="Calibri" w:hAnsi="Palatino Linotype" w:cs="Arial"/>
          <w:color w:val="000000" w:themeColor="text1"/>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3538AC" w:rsidRDefault="005F0B19" w:rsidP="00E23F8A">
      <w:pPr>
        <w:spacing w:line="360" w:lineRule="auto"/>
        <w:contextualSpacing/>
        <w:jc w:val="both"/>
        <w:rPr>
          <w:rFonts w:ascii="Palatino Linotype" w:eastAsia="Calibri" w:hAnsi="Palatino Linotype" w:cs="Arial"/>
          <w:b/>
          <w:color w:val="000000" w:themeColor="text1"/>
        </w:rPr>
      </w:pPr>
    </w:p>
    <w:p w14:paraId="43010528" w14:textId="77777777" w:rsidR="005F0B19" w:rsidRPr="003538AC" w:rsidRDefault="005F0B19" w:rsidP="00E23F8A">
      <w:pPr>
        <w:numPr>
          <w:ilvl w:val="0"/>
          <w:numId w:val="1"/>
        </w:numPr>
        <w:spacing w:line="360" w:lineRule="auto"/>
        <w:ind w:left="0" w:firstLine="0"/>
        <w:jc w:val="both"/>
        <w:rPr>
          <w:rFonts w:ascii="Palatino Linotype" w:eastAsia="Calibri" w:hAnsi="Palatino Linotype" w:cs="Arial"/>
          <w:color w:val="000000" w:themeColor="text1"/>
        </w:rPr>
      </w:pPr>
      <w:r w:rsidRPr="003538AC">
        <w:rPr>
          <w:rFonts w:ascii="Palatino Linotype" w:eastAsia="Calibri" w:hAnsi="Palatino Linotype" w:cs="Arial"/>
          <w:color w:val="000000" w:themeColor="text1"/>
        </w:rPr>
        <w:t xml:space="preserve">En consecuencia, dado lo expuesto y fundado con anterioridad, se estima que el requisito relativo al nombre del </w:t>
      </w:r>
      <w:r w:rsidRPr="003538AC">
        <w:rPr>
          <w:rFonts w:ascii="Palatino Linotype" w:eastAsia="Calibri" w:hAnsi="Palatino Linotype" w:cs="Arial"/>
          <w:b/>
          <w:color w:val="000000" w:themeColor="text1"/>
        </w:rPr>
        <w:t>RECURRENTE</w:t>
      </w:r>
      <w:r w:rsidRPr="003538AC">
        <w:rPr>
          <w:rFonts w:ascii="Palatino Linotype" w:eastAsia="Calibri" w:hAnsi="Palatino Linotype" w:cs="Arial"/>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w:t>
      </w:r>
      <w:r w:rsidRPr="003538AC">
        <w:rPr>
          <w:rFonts w:ascii="Palatino Linotype" w:eastAsia="Calibri" w:hAnsi="Palatino Linotype" w:cs="Arial"/>
          <w:color w:val="000000" w:themeColor="text1"/>
        </w:rPr>
        <w:lastRenderedPageBreak/>
        <w:t>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2FA82D" w14:textId="77777777" w:rsidR="005F0B19" w:rsidRPr="003538AC" w:rsidRDefault="005F0B19" w:rsidP="00E23F8A">
      <w:pPr>
        <w:spacing w:line="360" w:lineRule="auto"/>
        <w:contextualSpacing/>
        <w:jc w:val="both"/>
        <w:rPr>
          <w:rFonts w:ascii="Palatino Linotype" w:eastAsia="Calibri" w:hAnsi="Palatino Linotype" w:cs="Arial"/>
          <w:b/>
          <w:color w:val="000000" w:themeColor="text1"/>
        </w:rPr>
      </w:pPr>
    </w:p>
    <w:p w14:paraId="54537540" w14:textId="77777777" w:rsidR="005F0B19" w:rsidRPr="003538AC" w:rsidRDefault="00841865" w:rsidP="00E23F8A">
      <w:pPr>
        <w:numPr>
          <w:ilvl w:val="0"/>
          <w:numId w:val="1"/>
        </w:numPr>
        <w:spacing w:line="360" w:lineRule="auto"/>
        <w:ind w:left="0" w:firstLine="0"/>
        <w:contextualSpacing/>
        <w:jc w:val="both"/>
        <w:rPr>
          <w:rFonts w:ascii="Palatino Linotype" w:eastAsia="Calibri" w:hAnsi="Palatino Linotype" w:cs="Arial"/>
          <w:b/>
          <w:color w:val="000000" w:themeColor="text1"/>
        </w:rPr>
      </w:pPr>
      <w:r w:rsidRPr="003538AC">
        <w:rPr>
          <w:rFonts w:ascii="Palatino Linotype" w:eastAsia="Calibri" w:hAnsi="Palatino Linotype" w:cs="Arial"/>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Pr="003538AC" w:rsidRDefault="005F0B19" w:rsidP="00E23F8A">
      <w:pPr>
        <w:pStyle w:val="Prrafodelista"/>
        <w:rPr>
          <w:rFonts w:ascii="Palatino Linotype" w:eastAsia="Calibri" w:hAnsi="Palatino Linotype" w:cs="Arial"/>
          <w:b/>
          <w:color w:val="000000" w:themeColor="text1"/>
          <w:sz w:val="24"/>
        </w:rPr>
      </w:pPr>
    </w:p>
    <w:p w14:paraId="68F5BF36" w14:textId="77777777" w:rsidR="00841865" w:rsidRPr="003538AC" w:rsidRDefault="00841865" w:rsidP="00E23F8A">
      <w:pPr>
        <w:spacing w:line="360" w:lineRule="auto"/>
        <w:contextualSpacing/>
        <w:jc w:val="both"/>
        <w:rPr>
          <w:rFonts w:ascii="Palatino Linotype" w:eastAsia="Calibri" w:hAnsi="Palatino Linotype" w:cs="Arial"/>
          <w:b/>
          <w:color w:val="000000" w:themeColor="text1"/>
        </w:rPr>
      </w:pPr>
    </w:p>
    <w:p w14:paraId="36B5585A" w14:textId="77777777" w:rsidR="00841865" w:rsidRPr="003538AC" w:rsidRDefault="00841865" w:rsidP="00E23F8A">
      <w:pPr>
        <w:keepNext/>
        <w:keepLines/>
        <w:spacing w:line="360" w:lineRule="auto"/>
        <w:outlineLvl w:val="0"/>
        <w:rPr>
          <w:rFonts w:ascii="Palatino Linotype" w:eastAsia="MS Gothic" w:hAnsi="Palatino Linotype"/>
          <w:b/>
          <w:color w:val="000000" w:themeColor="text1"/>
        </w:rPr>
      </w:pPr>
      <w:bookmarkStart w:id="8" w:name="_Toc65713731"/>
      <w:bookmarkStart w:id="9" w:name="_Toc94119614"/>
      <w:r w:rsidRPr="003538AC">
        <w:rPr>
          <w:rFonts w:ascii="Palatino Linotype" w:eastAsia="MS Mincho" w:hAnsi="Palatino Linotype" w:cstheme="majorBidi"/>
          <w:b/>
          <w:color w:val="000000" w:themeColor="text1"/>
          <w:lang w:val="es-ES_tradnl" w:eastAsia="es-ES"/>
        </w:rPr>
        <w:t>TERCERO. Planteamiento de la Litis</w:t>
      </w:r>
      <w:r w:rsidRPr="003538AC">
        <w:rPr>
          <w:rFonts w:ascii="Palatino Linotype" w:eastAsia="MS Gothic" w:hAnsi="Palatino Linotype"/>
          <w:b/>
          <w:color w:val="000000" w:themeColor="text1"/>
        </w:rPr>
        <w:t>.</w:t>
      </w:r>
      <w:bookmarkEnd w:id="8"/>
      <w:bookmarkEnd w:id="9"/>
    </w:p>
    <w:p w14:paraId="3D0116DA" w14:textId="6BC1DF9C" w:rsidR="004D1CB2" w:rsidRPr="003440E8" w:rsidRDefault="005B620E" w:rsidP="00E23F8A">
      <w:pPr>
        <w:pStyle w:val="Prrafodelista"/>
        <w:numPr>
          <w:ilvl w:val="0"/>
          <w:numId w:val="1"/>
        </w:numPr>
        <w:spacing w:line="360" w:lineRule="auto"/>
        <w:ind w:left="0" w:firstLine="0"/>
        <w:jc w:val="both"/>
        <w:rPr>
          <w:rFonts w:ascii="Palatino Linotype" w:hAnsi="Palatino Linotype"/>
          <w:color w:val="000000" w:themeColor="text1"/>
          <w:sz w:val="24"/>
        </w:rPr>
      </w:pPr>
      <w:r w:rsidRPr="003538AC">
        <w:rPr>
          <w:rFonts w:ascii="Palatino Linotype" w:hAnsi="Palatino Linotype" w:cs="Arial"/>
          <w:color w:val="000000" w:themeColor="text1"/>
          <w:sz w:val="24"/>
        </w:rPr>
        <w:t>El particular solicitó</w:t>
      </w:r>
      <w:r w:rsidR="00425F9E" w:rsidRPr="003538AC">
        <w:rPr>
          <w:rFonts w:ascii="Palatino Linotype" w:hAnsi="Palatino Linotype" w:cs="Arial"/>
          <w:color w:val="000000" w:themeColor="text1"/>
          <w:sz w:val="24"/>
        </w:rPr>
        <w:t xml:space="preserve"> </w:t>
      </w:r>
      <w:r w:rsidR="00F23C38" w:rsidRPr="003538AC">
        <w:rPr>
          <w:rFonts w:ascii="Palatino Linotype" w:hAnsi="Palatino Linotype" w:cs="Arial"/>
          <w:color w:val="000000" w:themeColor="text1"/>
          <w:sz w:val="24"/>
        </w:rPr>
        <w:t>la nómina y CFDI de la segunda quincena de abril de 2025.</w:t>
      </w:r>
    </w:p>
    <w:p w14:paraId="77EFCA56" w14:textId="77777777" w:rsidR="003440E8" w:rsidRPr="003538AC" w:rsidRDefault="003440E8" w:rsidP="003440E8">
      <w:pPr>
        <w:pStyle w:val="Prrafodelista"/>
        <w:spacing w:line="360" w:lineRule="auto"/>
        <w:ind w:left="0"/>
        <w:jc w:val="both"/>
        <w:rPr>
          <w:rFonts w:ascii="Palatino Linotype" w:hAnsi="Palatino Linotype"/>
          <w:color w:val="000000" w:themeColor="text1"/>
          <w:sz w:val="24"/>
        </w:rPr>
      </w:pPr>
    </w:p>
    <w:p w14:paraId="4911608A" w14:textId="13AE1DB8" w:rsidR="00F23C38" w:rsidRPr="003538AC" w:rsidRDefault="00CD4D44" w:rsidP="00E23F8A">
      <w:pPr>
        <w:pStyle w:val="Prrafodelista"/>
        <w:numPr>
          <w:ilvl w:val="0"/>
          <w:numId w:val="1"/>
        </w:numPr>
        <w:spacing w:line="360" w:lineRule="auto"/>
        <w:ind w:left="0" w:firstLine="0"/>
        <w:jc w:val="both"/>
        <w:rPr>
          <w:rFonts w:ascii="Palatino Linotype" w:hAnsi="Palatino Linotype" w:cs="Arial"/>
          <w:color w:val="000000" w:themeColor="text1"/>
          <w:sz w:val="24"/>
        </w:rPr>
      </w:pPr>
      <w:r w:rsidRPr="003538AC">
        <w:rPr>
          <w:rFonts w:ascii="Palatino Linotype" w:hAnsi="Palatino Linotype" w:cs="Arial"/>
          <w:color w:val="000000" w:themeColor="text1"/>
          <w:sz w:val="24"/>
        </w:rPr>
        <w:t xml:space="preserve">En respuesta, el </w:t>
      </w:r>
      <w:r w:rsidRPr="003538AC">
        <w:rPr>
          <w:rFonts w:ascii="Palatino Linotype" w:hAnsi="Palatino Linotype" w:cs="Arial"/>
          <w:b/>
          <w:color w:val="000000" w:themeColor="text1"/>
          <w:sz w:val="24"/>
        </w:rPr>
        <w:t xml:space="preserve">SUJETO OBLIGADO </w:t>
      </w:r>
      <w:r w:rsidRPr="003538AC">
        <w:rPr>
          <w:rFonts w:ascii="Palatino Linotype" w:hAnsi="Palatino Linotype" w:cs="Arial"/>
          <w:color w:val="000000" w:themeColor="text1"/>
          <w:sz w:val="24"/>
        </w:rPr>
        <w:t xml:space="preserve">por medio del </w:t>
      </w:r>
      <w:r w:rsidR="004D1CB2" w:rsidRPr="003538AC">
        <w:rPr>
          <w:rFonts w:ascii="Palatino Linotype" w:hAnsi="Palatino Linotype" w:cs="Arial"/>
          <w:color w:val="000000" w:themeColor="text1"/>
          <w:sz w:val="24"/>
        </w:rPr>
        <w:t xml:space="preserve">Titular </w:t>
      </w:r>
      <w:r w:rsidR="00F23C38" w:rsidRPr="003538AC">
        <w:rPr>
          <w:rFonts w:ascii="Palatino Linotype" w:hAnsi="Palatino Linotype" w:cs="Arial"/>
          <w:color w:val="000000" w:themeColor="text1"/>
          <w:sz w:val="24"/>
        </w:rPr>
        <w:t xml:space="preserve">de la Oficialía Mayor, </w:t>
      </w:r>
      <w:r w:rsidR="004D1CB2" w:rsidRPr="003538AC">
        <w:rPr>
          <w:rFonts w:ascii="Palatino Linotype" w:hAnsi="Palatino Linotype" w:cs="Arial"/>
          <w:color w:val="000000" w:themeColor="text1"/>
          <w:sz w:val="24"/>
        </w:rPr>
        <w:t xml:space="preserve">, </w:t>
      </w:r>
      <w:r w:rsidR="00F23C38" w:rsidRPr="003538AC">
        <w:rPr>
          <w:rFonts w:ascii="Palatino Linotype" w:hAnsi="Palatino Linotype" w:cs="Arial"/>
          <w:color w:val="000000" w:themeColor="text1"/>
          <w:sz w:val="24"/>
        </w:rPr>
        <w:t>remitió un documento que contiene la lista de nómina y la versión pública de los recibos de nómina de los servidores públicos adscritos a ese Organismo, correspondiente a la segunda quincena de abril de dos mil veinticinco, cabe precisar que a dicho documento adjuntó el Acta de la Quinta Sesión Ordinaria del Comité de Transparencia, mediante el cual se presenta y aprueba la versión pública de la documentación con el cual se brindó respuesta a la presente solicitud, es decir los recibos de nómina.</w:t>
      </w:r>
    </w:p>
    <w:p w14:paraId="4F931834" w14:textId="3C354157" w:rsidR="00CD4D44" w:rsidRPr="003538AC" w:rsidRDefault="00C06712" w:rsidP="00E23F8A">
      <w:pPr>
        <w:pStyle w:val="Prrafodelista"/>
        <w:numPr>
          <w:ilvl w:val="0"/>
          <w:numId w:val="1"/>
        </w:numPr>
        <w:ind w:left="0" w:firstLine="0"/>
        <w:jc w:val="both"/>
        <w:rPr>
          <w:rFonts w:ascii="Palatino Linotype" w:hAnsi="Palatino Linotype" w:cs="Arial"/>
          <w:color w:val="000000" w:themeColor="text1"/>
          <w:sz w:val="24"/>
        </w:rPr>
      </w:pPr>
      <w:r w:rsidRPr="003538AC">
        <w:rPr>
          <w:rFonts w:ascii="Palatino Linotype" w:hAnsi="Palatino Linotype" w:cs="Arial"/>
          <w:color w:val="000000" w:themeColor="text1"/>
          <w:sz w:val="24"/>
        </w:rPr>
        <w:lastRenderedPageBreak/>
        <w:t>Posteriormente el</w:t>
      </w:r>
      <w:r w:rsidR="00CD4D44" w:rsidRPr="003538AC">
        <w:rPr>
          <w:rFonts w:ascii="Palatino Linotype" w:hAnsi="Palatino Linotype" w:cs="Arial"/>
          <w:color w:val="000000" w:themeColor="text1"/>
          <w:sz w:val="24"/>
        </w:rPr>
        <w:t xml:space="preserve"> </w:t>
      </w:r>
      <w:r w:rsidR="00CD4D44" w:rsidRPr="003538AC">
        <w:rPr>
          <w:rFonts w:ascii="Palatino Linotype" w:hAnsi="Palatino Linotype" w:cs="Arial"/>
          <w:b/>
          <w:color w:val="000000" w:themeColor="text1"/>
          <w:sz w:val="24"/>
        </w:rPr>
        <w:t>RECURRENTE</w:t>
      </w:r>
      <w:r w:rsidR="00CD4D44" w:rsidRPr="003538AC">
        <w:rPr>
          <w:rFonts w:ascii="Palatino Linotype" w:hAnsi="Palatino Linotype" w:cs="Arial"/>
          <w:color w:val="000000" w:themeColor="text1"/>
          <w:sz w:val="24"/>
        </w:rPr>
        <w:t xml:space="preserve">, se inconformó por la negativa de la información solicitada, en los siguientes términos: </w:t>
      </w:r>
      <w:r w:rsidR="00CD4D44" w:rsidRPr="003538AC">
        <w:rPr>
          <w:rFonts w:ascii="Palatino Linotype" w:hAnsi="Palatino Linotype" w:cs="Arial"/>
          <w:i/>
          <w:color w:val="000000" w:themeColor="text1"/>
          <w:sz w:val="24"/>
        </w:rPr>
        <w:t>“</w:t>
      </w:r>
      <w:r w:rsidR="00F23C38" w:rsidRPr="003538AC">
        <w:rPr>
          <w:rFonts w:ascii="Palatino Linotype" w:hAnsi="Palatino Linotype" w:cs="Arial"/>
          <w:i/>
          <w:color w:val="000000" w:themeColor="text1"/>
          <w:sz w:val="24"/>
        </w:rPr>
        <w:t>Se pidió la nomina, es decir, el documento que en términos de ley es aquel que refleja las percepciones ordinarias y extraordinarias y demás conceptos que la componen tal y como lo determina el osfem, con la salvedad de alguna información confidencial, además faltan los certificados de competencia laboral que se solicitaron, y se pidió aquellos para el puesto que ocupan, y del director general no se presenta el de operación de organismo de agua y de la oficial mayor ni se diga, no se entrego ninguno</w:t>
      </w:r>
      <w:r w:rsidR="00F23C38" w:rsidRPr="003538AC">
        <w:rPr>
          <w:rFonts w:ascii="Palatino Linotype" w:hAnsi="Palatino Linotype"/>
          <w:color w:val="000000" w:themeColor="text1"/>
          <w:sz w:val="24"/>
        </w:rPr>
        <w:t>.</w:t>
      </w:r>
      <w:r w:rsidR="00CD4D44" w:rsidRPr="003538AC">
        <w:rPr>
          <w:rFonts w:ascii="Palatino Linotype" w:hAnsi="Palatino Linotype"/>
          <w:i/>
          <w:color w:val="000000" w:themeColor="text1"/>
          <w:sz w:val="24"/>
        </w:rPr>
        <w:t>.</w:t>
      </w:r>
      <w:r w:rsidR="00CD4D44" w:rsidRPr="003538AC">
        <w:rPr>
          <w:rFonts w:ascii="Palatino Linotype" w:hAnsi="Palatino Linotype" w:cs="Arial"/>
          <w:i/>
          <w:color w:val="000000" w:themeColor="text1"/>
          <w:sz w:val="24"/>
        </w:rPr>
        <w:t>” (Sic)</w:t>
      </w:r>
    </w:p>
    <w:p w14:paraId="59145B61" w14:textId="77777777" w:rsidR="00CD4D44" w:rsidRPr="003538AC" w:rsidRDefault="00CD4D44" w:rsidP="00E23F8A">
      <w:pPr>
        <w:pStyle w:val="Prrafodelista"/>
        <w:spacing w:line="360" w:lineRule="auto"/>
        <w:ind w:left="0"/>
        <w:jc w:val="both"/>
        <w:rPr>
          <w:rFonts w:ascii="Palatino Linotype" w:hAnsi="Palatino Linotype" w:cs="Arial"/>
          <w:color w:val="000000" w:themeColor="text1"/>
          <w:sz w:val="24"/>
        </w:rPr>
      </w:pPr>
    </w:p>
    <w:p w14:paraId="72C87FAD" w14:textId="77777777" w:rsidR="00C1457F" w:rsidRPr="003440E8" w:rsidRDefault="00C1457F" w:rsidP="00E23F8A">
      <w:pPr>
        <w:pStyle w:val="Prrafodelista"/>
        <w:numPr>
          <w:ilvl w:val="0"/>
          <w:numId w:val="1"/>
        </w:numPr>
        <w:spacing w:line="360" w:lineRule="auto"/>
        <w:ind w:left="0" w:firstLine="0"/>
        <w:jc w:val="both"/>
        <w:rPr>
          <w:rFonts w:ascii="Palatino Linotype" w:eastAsia="MS Mincho" w:hAnsi="Palatino Linotype" w:cs="Arial"/>
          <w:i/>
          <w:color w:val="000000" w:themeColor="text1"/>
          <w:sz w:val="24"/>
          <w:lang w:val="es-ES_tradnl" w:eastAsia="es-ES"/>
        </w:rPr>
      </w:pPr>
      <w:r w:rsidRPr="003538AC">
        <w:rPr>
          <w:rFonts w:ascii="Palatino Linotype" w:eastAsia="MS Mincho" w:hAnsi="Palatino Linotype" w:cs="Arial"/>
          <w:color w:val="000000" w:themeColor="text1"/>
          <w:sz w:val="24"/>
        </w:rPr>
        <w:t xml:space="preserve">En </w:t>
      </w:r>
      <w:r w:rsidRPr="003538AC">
        <w:rPr>
          <w:rFonts w:ascii="Palatino Linotype" w:hAnsi="Palatino Linotype" w:cs="Arial"/>
          <w:color w:val="000000" w:themeColor="text1"/>
          <w:sz w:val="24"/>
        </w:rPr>
        <w:t xml:space="preserve">dichas condiciones, la </w:t>
      </w:r>
      <w:r w:rsidRPr="003538AC">
        <w:rPr>
          <w:rFonts w:ascii="Palatino Linotype" w:hAnsi="Palatino Linotype" w:cs="Arial"/>
          <w:i/>
          <w:color w:val="000000" w:themeColor="text1"/>
          <w:sz w:val="24"/>
        </w:rPr>
        <w:t>Litis</w:t>
      </w:r>
      <w:r w:rsidRPr="003538AC">
        <w:rPr>
          <w:rFonts w:ascii="Palatino Linotype" w:hAnsi="Palatino Linotype" w:cs="Arial"/>
          <w:color w:val="000000" w:themeColor="text1"/>
          <w:sz w:val="24"/>
        </w:rPr>
        <w:t xml:space="preserve"> a resolver en este recurso se circunscribe a determinar si </w:t>
      </w:r>
      <w:r w:rsidRPr="003538AC">
        <w:rPr>
          <w:rFonts w:ascii="Palatino Linotype" w:eastAsia="MS Mincho" w:hAnsi="Palatino Linotype" w:cs="Arial"/>
          <w:color w:val="000000" w:themeColor="text1"/>
          <w:sz w:val="24"/>
        </w:rPr>
        <w:t xml:space="preserve">se actualizan las causales de procedencia previstas en el artículo 179, </w:t>
      </w:r>
      <w:r w:rsidRPr="003538AC">
        <w:rPr>
          <w:rFonts w:ascii="Palatino Linotype" w:eastAsia="MS Mincho" w:hAnsi="Palatino Linotype" w:cs="Arial"/>
          <w:b/>
          <w:color w:val="000000" w:themeColor="text1"/>
          <w:sz w:val="24"/>
        </w:rPr>
        <w:t xml:space="preserve">fracción I </w:t>
      </w:r>
      <w:r w:rsidRPr="003538AC">
        <w:rPr>
          <w:rFonts w:ascii="Palatino Linotype" w:eastAsia="MS Mincho" w:hAnsi="Palatino Linotype" w:cs="Arial"/>
          <w:color w:val="000000" w:themeColor="text1"/>
          <w:sz w:val="24"/>
        </w:rPr>
        <w:t>de la</w:t>
      </w:r>
      <w:r w:rsidRPr="003538AC">
        <w:rPr>
          <w:rFonts w:ascii="Palatino Linotype" w:hAnsi="Palatino Linotype" w:cs="Arial"/>
          <w:color w:val="000000" w:themeColor="text1"/>
          <w:sz w:val="24"/>
        </w:rPr>
        <w:t xml:space="preserve"> Ley</w:t>
      </w:r>
      <w:r w:rsidRPr="003538AC">
        <w:rPr>
          <w:rFonts w:ascii="Palatino Linotype" w:eastAsia="MS Mincho" w:hAnsi="Palatino Linotype" w:cs="Arial"/>
          <w:b/>
          <w:color w:val="000000" w:themeColor="text1"/>
          <w:sz w:val="24"/>
        </w:rPr>
        <w:t xml:space="preserve"> de Transparencia y Acceso a la Información Pública del Estado de </w:t>
      </w:r>
      <w:r w:rsidRPr="003538AC">
        <w:rPr>
          <w:rFonts w:ascii="Palatino Linotype" w:hAnsi="Palatino Linotype" w:cs="Arial"/>
          <w:color w:val="000000" w:themeColor="text1"/>
          <w:sz w:val="24"/>
        </w:rPr>
        <w:t>México</w:t>
      </w:r>
      <w:r w:rsidRPr="003538AC">
        <w:rPr>
          <w:rFonts w:ascii="Palatino Linotype" w:eastAsia="MS Mincho" w:hAnsi="Palatino Linotype" w:cs="Arial"/>
          <w:b/>
          <w:color w:val="000000" w:themeColor="text1"/>
          <w:sz w:val="24"/>
        </w:rPr>
        <w:t xml:space="preserve"> y Municipios</w:t>
      </w:r>
      <w:r w:rsidRPr="003538AC">
        <w:rPr>
          <w:rFonts w:ascii="Palatino Linotype" w:eastAsia="MS Mincho" w:hAnsi="Palatino Linotype" w:cs="Arial"/>
          <w:color w:val="000000" w:themeColor="text1"/>
          <w:sz w:val="24"/>
        </w:rPr>
        <w:t xml:space="preserve">; </w:t>
      </w:r>
      <w:r w:rsidRPr="003538AC">
        <w:rPr>
          <w:rFonts w:ascii="Palatino Linotype" w:hAnsi="Palatino Linotype" w:cs="Arial"/>
          <w:color w:val="000000" w:themeColor="text1"/>
          <w:sz w:val="24"/>
        </w:rPr>
        <w:t xml:space="preserve">fracción que determina la hipótesis jurídica relativa a </w:t>
      </w:r>
      <w:r w:rsidRPr="003538AC">
        <w:rPr>
          <w:rFonts w:ascii="Palatino Linotype" w:hAnsi="Palatino Linotype" w:cs="Arial"/>
          <w:b/>
          <w:color w:val="000000" w:themeColor="text1"/>
          <w:sz w:val="24"/>
        </w:rPr>
        <w:t xml:space="preserve">la negativa de la información solicitada </w:t>
      </w:r>
      <w:r w:rsidRPr="003538AC">
        <w:rPr>
          <w:rFonts w:ascii="Palatino Linotype" w:hAnsi="Palatino Linotype" w:cs="Arial"/>
          <w:color w:val="000000" w:themeColor="text1"/>
          <w:sz w:val="24"/>
        </w:rPr>
        <w:t xml:space="preserve">por el </w:t>
      </w:r>
      <w:r w:rsidRPr="003538AC">
        <w:rPr>
          <w:rFonts w:ascii="Palatino Linotype" w:hAnsi="Palatino Linotype" w:cs="Arial"/>
          <w:b/>
          <w:color w:val="000000" w:themeColor="text1"/>
          <w:sz w:val="24"/>
        </w:rPr>
        <w:t>SUJETO OBLIGADO</w:t>
      </w:r>
      <w:r w:rsidRPr="003538AC">
        <w:rPr>
          <w:rFonts w:ascii="Palatino Linotype" w:hAnsi="Palatino Linotype" w:cs="Arial"/>
          <w:color w:val="000000" w:themeColor="text1"/>
          <w:sz w:val="24"/>
        </w:rPr>
        <w:t xml:space="preserve">; </w:t>
      </w:r>
      <w:r w:rsidRPr="003538AC">
        <w:rPr>
          <w:rFonts w:ascii="Palatino Linotype" w:eastAsia="MS Mincho" w:hAnsi="Palatino Linotype" w:cs="Arial"/>
          <w:color w:val="000000" w:themeColor="text1"/>
          <w:sz w:val="24"/>
        </w:rPr>
        <w:t xml:space="preserve">contexto del cual se dolió </w:t>
      </w:r>
      <w:r w:rsidRPr="003538AC">
        <w:rPr>
          <w:rFonts w:ascii="Palatino Linotype" w:eastAsia="MS Mincho" w:hAnsi="Palatino Linotype" w:cs="Arial"/>
          <w:b/>
          <w:color w:val="000000" w:themeColor="text1"/>
          <w:sz w:val="24"/>
        </w:rPr>
        <w:t xml:space="preserve">EL RECURRENTE </w:t>
      </w:r>
      <w:r w:rsidRPr="003538AC">
        <w:rPr>
          <w:rFonts w:ascii="Palatino Linotype" w:eastAsia="MS Mincho" w:hAnsi="Palatino Linotype" w:cs="Arial"/>
          <w:color w:val="000000" w:themeColor="text1"/>
          <w:sz w:val="24"/>
        </w:rPr>
        <w:t>al momento de interponer su inconformidad.</w:t>
      </w:r>
    </w:p>
    <w:p w14:paraId="3123E041" w14:textId="77777777" w:rsidR="003440E8" w:rsidRPr="003440E8" w:rsidRDefault="003440E8" w:rsidP="003440E8">
      <w:pPr>
        <w:pStyle w:val="Prrafodelista"/>
        <w:rPr>
          <w:rFonts w:ascii="Palatino Linotype" w:eastAsia="MS Mincho" w:hAnsi="Palatino Linotype" w:cs="Arial"/>
          <w:i/>
          <w:color w:val="000000" w:themeColor="text1"/>
          <w:sz w:val="24"/>
          <w:lang w:val="es-ES_tradnl" w:eastAsia="es-ES"/>
        </w:rPr>
      </w:pPr>
    </w:p>
    <w:p w14:paraId="227ED7DA" w14:textId="77777777" w:rsidR="00841865" w:rsidRPr="003538AC" w:rsidRDefault="00841865" w:rsidP="00E23F8A">
      <w:pPr>
        <w:pStyle w:val="Ttulo1"/>
        <w:spacing w:before="0" w:line="360" w:lineRule="auto"/>
        <w:rPr>
          <w:rFonts w:ascii="Palatino Linotype" w:eastAsia="MS Gothic" w:hAnsi="Palatino Linotype"/>
          <w:b/>
          <w:color w:val="000000" w:themeColor="text1"/>
          <w:sz w:val="24"/>
          <w:szCs w:val="24"/>
          <w:lang w:val="es-ES_tradnl"/>
        </w:rPr>
      </w:pPr>
      <w:bookmarkStart w:id="10" w:name="_Toc65713733"/>
      <w:bookmarkStart w:id="11" w:name="_Toc94119615"/>
      <w:r w:rsidRPr="003538AC">
        <w:rPr>
          <w:rFonts w:ascii="Palatino Linotype" w:eastAsia="MS Gothic" w:hAnsi="Palatino Linotype"/>
          <w:b/>
          <w:color w:val="000000" w:themeColor="text1"/>
          <w:sz w:val="24"/>
          <w:szCs w:val="24"/>
          <w:lang w:val="es-ES_tradnl"/>
        </w:rPr>
        <w:t>CUARTO. Del estudio y resolución del recurso de revisión.</w:t>
      </w:r>
      <w:bookmarkEnd w:id="10"/>
      <w:bookmarkEnd w:id="11"/>
    </w:p>
    <w:p w14:paraId="5DCD0047" w14:textId="77777777" w:rsidR="00C1457F" w:rsidRPr="003538AC" w:rsidRDefault="00C1457F" w:rsidP="00E23F8A">
      <w:pPr>
        <w:keepNext/>
        <w:keepLines/>
        <w:numPr>
          <w:ilvl w:val="0"/>
          <w:numId w:val="7"/>
        </w:numPr>
        <w:spacing w:after="240" w:line="360" w:lineRule="auto"/>
        <w:ind w:left="786"/>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Del derecho de acceso a la información.</w:t>
      </w:r>
    </w:p>
    <w:p w14:paraId="1C90990F" w14:textId="77777777" w:rsidR="00C1457F" w:rsidRPr="003538AC" w:rsidRDefault="00C1457F" w:rsidP="00E23F8A">
      <w:pPr>
        <w:pStyle w:val="Prrafodelista"/>
        <w:numPr>
          <w:ilvl w:val="0"/>
          <w:numId w:val="1"/>
        </w:numPr>
        <w:spacing w:line="360" w:lineRule="auto"/>
        <w:ind w:left="0" w:firstLine="0"/>
        <w:jc w:val="both"/>
        <w:rPr>
          <w:rFonts w:ascii="Palatino Linotype" w:hAnsi="Palatino Linotype" w:cs="Arial"/>
          <w:color w:val="000000" w:themeColor="text1"/>
          <w:sz w:val="24"/>
        </w:rPr>
      </w:pPr>
      <w:r w:rsidRPr="003538AC">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3538AC" w:rsidRDefault="00C1457F" w:rsidP="00E23F8A">
      <w:pPr>
        <w:pStyle w:val="Prrafodelista"/>
        <w:spacing w:line="360" w:lineRule="auto"/>
        <w:ind w:left="0"/>
        <w:jc w:val="both"/>
        <w:rPr>
          <w:rFonts w:ascii="Palatino Linotype" w:hAnsi="Palatino Linotype" w:cs="Arial"/>
          <w:color w:val="000000" w:themeColor="text1"/>
          <w:sz w:val="24"/>
        </w:rPr>
      </w:pPr>
    </w:p>
    <w:p w14:paraId="7E912F0C" w14:textId="77777777" w:rsidR="00C1457F" w:rsidRPr="003538AC" w:rsidRDefault="00C1457F" w:rsidP="00E23F8A">
      <w:pPr>
        <w:pStyle w:val="Prrafodelista"/>
        <w:numPr>
          <w:ilvl w:val="0"/>
          <w:numId w:val="1"/>
        </w:numPr>
        <w:spacing w:line="360" w:lineRule="auto"/>
        <w:ind w:left="0" w:firstLine="0"/>
        <w:jc w:val="both"/>
        <w:rPr>
          <w:rFonts w:ascii="Palatino Linotype" w:hAnsi="Palatino Linotype" w:cs="Arial"/>
          <w:color w:val="000000" w:themeColor="text1"/>
          <w:sz w:val="24"/>
        </w:rPr>
      </w:pPr>
      <w:r w:rsidRPr="003538AC">
        <w:rPr>
          <w:rFonts w:ascii="Palatino Linotype" w:eastAsia="Palatino Linotype" w:hAnsi="Palatino Linotype" w:cs="Palatino Linotype"/>
          <w:color w:val="000000" w:themeColor="text1"/>
          <w:sz w:val="24"/>
        </w:rPr>
        <w:t xml:space="preserve">Definiendo el Derecho de Acceso a la Información Pública como: </w:t>
      </w:r>
      <w:r w:rsidRPr="003538AC">
        <w:rPr>
          <w:rFonts w:ascii="Palatino Linotype" w:eastAsia="Palatino Linotype" w:hAnsi="Palatino Linotype" w:cs="Palatino Linotype"/>
          <w:i/>
          <w:color w:val="000000" w:themeColor="text1"/>
          <w:sz w:val="24"/>
        </w:rPr>
        <w:t>La igualdad de oportunidades para recibir, buscar e impartir información</w:t>
      </w:r>
      <w:r w:rsidRPr="003538AC">
        <w:rPr>
          <w:rFonts w:ascii="Palatino Linotype" w:eastAsia="Palatino Linotype" w:hAnsi="Palatino Linotype" w:cs="Palatino Linotype"/>
          <w:i/>
          <w:color w:val="000000" w:themeColor="text1"/>
          <w:sz w:val="24"/>
          <w:vertAlign w:val="superscript"/>
        </w:rPr>
        <w:footnoteReference w:id="1"/>
      </w:r>
      <w:r w:rsidRPr="003538AC">
        <w:rPr>
          <w:rFonts w:ascii="Palatino Linotype" w:eastAsia="Palatino Linotype" w:hAnsi="Palatino Linotype" w:cs="Palatino Linotype"/>
          <w:i/>
          <w:color w:val="000000" w:themeColor="text1"/>
          <w:sz w:val="24"/>
        </w:rPr>
        <w:t xml:space="preserve">en posesión de cualquier autoridad, entidad, </w:t>
      </w:r>
      <w:r w:rsidRPr="003538AC">
        <w:rPr>
          <w:rFonts w:ascii="Palatino Linotype" w:eastAsia="Palatino Linotype" w:hAnsi="Palatino Linotype" w:cs="Palatino Linotype"/>
          <w:i/>
          <w:color w:val="000000" w:themeColor="text1"/>
          <w:sz w:val="24"/>
        </w:rPr>
        <w:lastRenderedPageBreak/>
        <w:t>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38AC">
        <w:rPr>
          <w:rFonts w:ascii="Palatino Linotype" w:eastAsia="Palatino Linotype" w:hAnsi="Palatino Linotype" w:cs="Palatino Linotype"/>
          <w:i/>
          <w:color w:val="000000" w:themeColor="text1"/>
          <w:sz w:val="24"/>
          <w:vertAlign w:val="superscript"/>
        </w:rPr>
        <w:footnoteReference w:id="2"/>
      </w:r>
      <w:r w:rsidRPr="003538AC">
        <w:rPr>
          <w:rFonts w:ascii="Palatino Linotype" w:eastAsia="Palatino Linotype" w:hAnsi="Palatino Linotype" w:cs="Palatino Linotype"/>
          <w:color w:val="000000" w:themeColor="text1"/>
          <w:sz w:val="24"/>
        </w:rPr>
        <w:t>que se constituye como una herramienta fundamental para ejercer</w:t>
      </w:r>
      <w:r w:rsidRPr="003538AC">
        <w:rPr>
          <w:rFonts w:ascii="Palatino Linotype" w:eastAsia="Palatino Linotype" w:hAnsi="Palatino Linotype" w:cs="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3538AC">
        <w:rPr>
          <w:rFonts w:ascii="Palatino Linotype" w:eastAsia="Palatino Linotype" w:hAnsi="Palatino Linotype" w:cs="Palatino Linotype"/>
          <w:i/>
          <w:color w:val="000000" w:themeColor="text1"/>
          <w:sz w:val="24"/>
          <w:vertAlign w:val="superscript"/>
        </w:rPr>
        <w:footnoteReference w:id="3"/>
      </w:r>
      <w:r w:rsidRPr="003538AC">
        <w:rPr>
          <w:rFonts w:ascii="Palatino Linotype" w:eastAsia="Palatino Linotype" w:hAnsi="Palatino Linotype" w:cs="Palatino Linotype"/>
          <w:color w:val="000000" w:themeColor="text1"/>
          <w:sz w:val="24"/>
        </w:rPr>
        <w:t>fomentando</w:t>
      </w:r>
      <w:r w:rsidRPr="003538AC">
        <w:rPr>
          <w:rFonts w:ascii="Palatino Linotype" w:eastAsia="Palatino Linotype" w:hAnsi="Palatino Linotype" w:cs="Palatino Linotype"/>
          <w:i/>
          <w:color w:val="000000" w:themeColor="text1"/>
          <w:sz w:val="24"/>
        </w:rPr>
        <w:t xml:space="preserve"> la transparencia de las actividades estatales y </w:t>
      </w:r>
      <w:r w:rsidRPr="003538AC">
        <w:rPr>
          <w:rFonts w:ascii="Palatino Linotype" w:eastAsia="Palatino Linotype" w:hAnsi="Palatino Linotype" w:cs="Palatino Linotype"/>
          <w:color w:val="000000" w:themeColor="text1"/>
          <w:sz w:val="24"/>
        </w:rPr>
        <w:t>promoviendo</w:t>
      </w:r>
      <w:r w:rsidRPr="003538AC">
        <w:rPr>
          <w:rFonts w:ascii="Palatino Linotype" w:eastAsia="Palatino Linotype" w:hAnsi="Palatino Linotype" w:cs="Palatino Linotype"/>
          <w:i/>
          <w:color w:val="000000" w:themeColor="text1"/>
          <w:sz w:val="24"/>
        </w:rPr>
        <w:t xml:space="preserve"> la responsabilidad de los funcionarios sobre su gestión pública,</w:t>
      </w:r>
      <w:r w:rsidRPr="003538AC">
        <w:rPr>
          <w:rFonts w:ascii="Palatino Linotype" w:eastAsia="Palatino Linotype" w:hAnsi="Palatino Linotype" w:cs="Palatino Linotype"/>
          <w:i/>
          <w:color w:val="000000" w:themeColor="text1"/>
          <w:sz w:val="24"/>
          <w:vertAlign w:val="superscript"/>
        </w:rPr>
        <w:footnoteReference w:id="4"/>
      </w:r>
      <w:r w:rsidRPr="003538AC">
        <w:rPr>
          <w:rFonts w:ascii="Palatino Linotype" w:eastAsia="Palatino Linotype" w:hAnsi="Palatino Linotype" w:cs="Palatino Linotype"/>
          <w:color w:val="000000" w:themeColor="text1"/>
          <w:sz w:val="24"/>
        </w:rPr>
        <w:t>que permite</w:t>
      </w:r>
      <w:r w:rsidRPr="003538AC">
        <w:rPr>
          <w:rFonts w:ascii="Palatino Linotype" w:eastAsia="Palatino Linotype" w:hAnsi="Palatino Linotype" w:cs="Palatino Linotype"/>
          <w:i/>
          <w:color w:val="000000" w:themeColor="text1"/>
          <w:sz w:val="24"/>
        </w:rPr>
        <w:t xml:space="preserve"> saber qué están haciendo los gobiernos por sus pueblos, sin lo cual la verdad languidecería y la participación en el gobierno permanecería fragmentada.</w:t>
      </w:r>
    </w:p>
    <w:p w14:paraId="22C6EA0E" w14:textId="77777777" w:rsidR="00C1457F" w:rsidRPr="003538AC" w:rsidRDefault="00C1457F" w:rsidP="00E23F8A">
      <w:pPr>
        <w:pStyle w:val="Prrafodelista"/>
        <w:spacing w:line="360" w:lineRule="auto"/>
        <w:ind w:left="0"/>
        <w:jc w:val="both"/>
        <w:rPr>
          <w:rFonts w:ascii="Palatino Linotype" w:eastAsia="Calibri" w:hAnsi="Palatino Linotype" w:cs="Arial"/>
          <w:color w:val="000000" w:themeColor="text1"/>
          <w:sz w:val="24"/>
        </w:rPr>
      </w:pPr>
    </w:p>
    <w:p w14:paraId="440DD6F4" w14:textId="77777777" w:rsidR="00C1457F" w:rsidRPr="003538AC" w:rsidRDefault="00C1457F"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226A5FB1" w14:textId="77777777" w:rsidR="00C1457F" w:rsidRPr="003538AC" w:rsidRDefault="00C1457F" w:rsidP="00E23F8A">
      <w:pPr>
        <w:tabs>
          <w:tab w:val="left" w:pos="7655"/>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w:t>
      </w:r>
      <w:r w:rsidRPr="003538AC">
        <w:rPr>
          <w:rFonts w:ascii="Palatino Linotype" w:eastAsia="Palatino Linotype" w:hAnsi="Palatino Linotype" w:cs="Palatino Linotype"/>
          <w:b/>
          <w:i/>
          <w:color w:val="000000" w:themeColor="text1"/>
        </w:rPr>
        <w:t>Artículo 1.-</w:t>
      </w:r>
      <w:r w:rsidRPr="003538AC">
        <w:rPr>
          <w:rFonts w:ascii="Palatino Linotype" w:eastAsia="Palatino Linotype" w:hAnsi="Palatino Linotype" w:cs="Palatino Linotype"/>
          <w:i/>
          <w:color w:val="000000" w:themeColor="text1"/>
        </w:rPr>
        <w:t xml:space="preserve"> </w:t>
      </w:r>
    </w:p>
    <w:p w14:paraId="65E5DB1F" w14:textId="77777777" w:rsidR="00C1457F" w:rsidRPr="003538AC" w:rsidRDefault="00C1457F" w:rsidP="00E23F8A">
      <w:pPr>
        <w:tabs>
          <w:tab w:val="left" w:pos="7655"/>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w:t>
      </w:r>
    </w:p>
    <w:p w14:paraId="3E141B97" w14:textId="77777777" w:rsidR="00C1457F" w:rsidRPr="003538AC" w:rsidRDefault="00C1457F" w:rsidP="00E23F8A">
      <w:pPr>
        <w:tabs>
          <w:tab w:val="left" w:pos="7655"/>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Todas las</w:t>
      </w:r>
      <w:r w:rsidRPr="003538AC">
        <w:rPr>
          <w:rFonts w:ascii="Palatino Linotype" w:eastAsia="Palatino Linotype" w:hAnsi="Palatino Linotype" w:cs="Palatino Linotype"/>
          <w:color w:val="000000" w:themeColor="text1"/>
        </w:rPr>
        <w:t xml:space="preserve"> </w:t>
      </w:r>
      <w:r w:rsidRPr="003538AC">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3538AC" w:rsidRDefault="00C1457F" w:rsidP="00E23F8A">
      <w:pPr>
        <w:tabs>
          <w:tab w:val="left" w:pos="7655"/>
        </w:tabs>
        <w:ind w:left="567"/>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i/>
          <w:color w:val="000000" w:themeColor="text1"/>
        </w:rPr>
        <w:t>(…)</w:t>
      </w:r>
      <w:r w:rsidRPr="003538AC">
        <w:rPr>
          <w:rFonts w:ascii="Palatino Linotype" w:eastAsia="Palatino Linotype" w:hAnsi="Palatino Linotype" w:cs="Palatino Linotype"/>
          <w:color w:val="000000" w:themeColor="text1"/>
        </w:rPr>
        <w:t>”.</w:t>
      </w:r>
    </w:p>
    <w:p w14:paraId="72E5459B" w14:textId="77777777" w:rsidR="00C1457F" w:rsidRPr="003538AC" w:rsidRDefault="00C1457F" w:rsidP="00E23F8A">
      <w:pPr>
        <w:spacing w:line="360" w:lineRule="auto"/>
        <w:jc w:val="both"/>
        <w:rPr>
          <w:rFonts w:ascii="Palatino Linotype" w:eastAsia="Calibri" w:hAnsi="Palatino Linotype" w:cs="Arial"/>
          <w:color w:val="000000" w:themeColor="text1"/>
        </w:rPr>
      </w:pPr>
    </w:p>
    <w:p w14:paraId="60AC369B" w14:textId="77777777" w:rsidR="00C1457F" w:rsidRPr="003538AC" w:rsidRDefault="00C1457F"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Pr="003538AC" w:rsidRDefault="00C1457F" w:rsidP="00E23F8A">
      <w:pPr>
        <w:pStyle w:val="Prrafodelista"/>
        <w:spacing w:line="360" w:lineRule="auto"/>
        <w:ind w:left="0"/>
        <w:jc w:val="both"/>
        <w:rPr>
          <w:rFonts w:ascii="Palatino Linotype" w:eastAsia="Calibri" w:hAnsi="Palatino Linotype" w:cs="Arial"/>
          <w:color w:val="000000" w:themeColor="text1"/>
          <w:sz w:val="24"/>
        </w:rPr>
      </w:pPr>
    </w:p>
    <w:p w14:paraId="27DB263C" w14:textId="77777777" w:rsidR="00C1457F" w:rsidRPr="003538AC" w:rsidRDefault="00C1457F"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FF4F1B3" w14:textId="77777777" w:rsidR="00C1457F" w:rsidRPr="003538AC" w:rsidRDefault="00C1457F" w:rsidP="00E23F8A">
      <w:pPr>
        <w:spacing w:after="240"/>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Constitución Política de los Estados Unidos Mexicanos</w:t>
      </w:r>
    </w:p>
    <w:p w14:paraId="12E92663" w14:textId="77777777" w:rsidR="00C1457F" w:rsidRPr="003538AC" w:rsidRDefault="00C1457F" w:rsidP="00E23F8A">
      <w:pPr>
        <w:spacing w:before="240" w:after="240"/>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“Artículo 6.</w:t>
      </w:r>
    </w:p>
    <w:p w14:paraId="15726CF3"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w:t>
      </w:r>
    </w:p>
    <w:p w14:paraId="61CA569B"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Para efectos de lo dispuesto en el presente artículo se observará lo siguiente:</w:t>
      </w:r>
    </w:p>
    <w:p w14:paraId="2A695838" w14:textId="77777777" w:rsidR="00C1457F" w:rsidRPr="003538AC" w:rsidRDefault="00C1457F" w:rsidP="00E23F8A">
      <w:pPr>
        <w:spacing w:before="240" w:after="240"/>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A</w:t>
      </w:r>
      <w:r w:rsidRPr="003538AC">
        <w:rPr>
          <w:rFonts w:ascii="Palatino Linotype" w:eastAsia="Palatino Linotype" w:hAnsi="Palatino Linotype" w:cs="Palatino Linotype"/>
          <w:i/>
          <w:color w:val="000000" w:themeColor="text1"/>
        </w:rPr>
        <w:t xml:space="preserve">. </w:t>
      </w:r>
      <w:r w:rsidRPr="003538AC">
        <w:rPr>
          <w:rFonts w:ascii="Palatino Linotype" w:eastAsia="Palatino Linotype" w:hAnsi="Palatino Linotype" w:cs="Palatino Linotype"/>
          <w:b/>
          <w:i/>
          <w:color w:val="000000" w:themeColor="text1"/>
        </w:rPr>
        <w:t>Para el ejercicio del derecho de acceso a la información</w:t>
      </w:r>
      <w:r w:rsidRPr="003538AC">
        <w:rPr>
          <w:rFonts w:ascii="Palatino Linotype" w:eastAsia="Palatino Linotype" w:hAnsi="Palatino Linotype" w:cs="Palatino Linotype"/>
          <w:i/>
          <w:color w:val="000000" w:themeColor="text1"/>
        </w:rPr>
        <w:t xml:space="preserve">, la Federación y </w:t>
      </w:r>
      <w:r w:rsidRPr="003538AC">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266A2301"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I. Toda la información en posesión de cualquier</w:t>
      </w:r>
      <w:r w:rsidRPr="003538AC">
        <w:rPr>
          <w:rFonts w:ascii="Palatino Linotype" w:eastAsia="Palatino Linotype" w:hAnsi="Palatino Linotype" w:cs="Palatino Linotype"/>
          <w:i/>
          <w:color w:val="000000" w:themeColor="text1"/>
        </w:rPr>
        <w:t xml:space="preserve"> </w:t>
      </w:r>
      <w:r w:rsidRPr="003538AC">
        <w:rPr>
          <w:rFonts w:ascii="Palatino Linotype" w:eastAsia="Palatino Linotype" w:hAnsi="Palatino Linotype" w:cs="Palatino Linotype"/>
          <w:b/>
          <w:i/>
          <w:color w:val="000000" w:themeColor="text1"/>
        </w:rPr>
        <w:t>autoridad</w:t>
      </w:r>
      <w:r w:rsidRPr="003538AC">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538AC">
        <w:rPr>
          <w:rFonts w:ascii="Palatino Linotype" w:eastAsia="Palatino Linotype" w:hAnsi="Palatino Linotype" w:cs="Palatino Linotype"/>
          <w:b/>
          <w:i/>
          <w:color w:val="000000" w:themeColor="text1"/>
        </w:rPr>
        <w:t>municipal</w:t>
      </w:r>
      <w:r w:rsidRPr="003538AC">
        <w:rPr>
          <w:rFonts w:ascii="Palatino Linotype" w:eastAsia="Palatino Linotype" w:hAnsi="Palatino Linotype" w:cs="Palatino Linotype"/>
          <w:i/>
          <w:color w:val="000000" w:themeColor="text1"/>
        </w:rPr>
        <w:t xml:space="preserve">, </w:t>
      </w:r>
      <w:r w:rsidRPr="003538AC">
        <w:rPr>
          <w:rFonts w:ascii="Palatino Linotype" w:eastAsia="Palatino Linotype" w:hAnsi="Palatino Linotype" w:cs="Palatino Linotype"/>
          <w:b/>
          <w:i/>
          <w:color w:val="000000" w:themeColor="text1"/>
        </w:rPr>
        <w:t>es pública</w:t>
      </w:r>
      <w:r w:rsidRPr="003538AC">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3538AC">
        <w:rPr>
          <w:rFonts w:ascii="Palatino Linotype" w:eastAsia="Palatino Linotype" w:hAnsi="Palatino Linotype" w:cs="Palatino Linotype"/>
          <w:b/>
          <w:i/>
          <w:color w:val="000000" w:themeColor="text1"/>
        </w:rPr>
        <w:t xml:space="preserve">En la interpretación de este derecho deberá prevalecer el principio de máxima publicidad. Los sujetos obligados deberán documentar todo acto que </w:t>
      </w:r>
      <w:r w:rsidRPr="003538AC">
        <w:rPr>
          <w:rFonts w:ascii="Palatino Linotype" w:eastAsia="Palatino Linotype" w:hAnsi="Palatino Linotype" w:cs="Palatino Linotype"/>
          <w:b/>
          <w:i/>
          <w:color w:val="000000" w:themeColor="text1"/>
        </w:rPr>
        <w:lastRenderedPageBreak/>
        <w:t>derive del ejercicio de sus facultades, competencias o funciones</w:t>
      </w:r>
      <w:r w:rsidRPr="003538AC">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0CD9BDA" w14:textId="77777777" w:rsidR="00C1457F" w:rsidRPr="003538AC" w:rsidRDefault="00C1457F" w:rsidP="00E23F8A">
      <w:pPr>
        <w:tabs>
          <w:tab w:val="left" w:pos="567"/>
        </w:tabs>
        <w:spacing w:before="240"/>
        <w:ind w:left="567"/>
        <w:jc w:val="both"/>
        <w:rPr>
          <w:rFonts w:ascii="Palatino Linotype" w:eastAsia="Palatino Linotype" w:hAnsi="Palatino Linotype" w:cs="Palatino Linotype"/>
          <w:b/>
          <w:i/>
          <w:color w:val="000000" w:themeColor="text1"/>
        </w:rPr>
      </w:pPr>
    </w:p>
    <w:p w14:paraId="7AE0E6C3" w14:textId="77777777" w:rsidR="00C1457F" w:rsidRPr="003538AC" w:rsidRDefault="00C1457F" w:rsidP="00E23F8A">
      <w:pPr>
        <w:spacing w:after="240"/>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Constitución Política del Estado Libre y Soberano de México</w:t>
      </w:r>
    </w:p>
    <w:p w14:paraId="2101CE9D"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“Artículo 5</w:t>
      </w:r>
      <w:r w:rsidRPr="003538AC">
        <w:rPr>
          <w:rFonts w:ascii="Palatino Linotype" w:eastAsia="Palatino Linotype" w:hAnsi="Palatino Linotype" w:cs="Palatino Linotype"/>
          <w:i/>
          <w:color w:val="000000" w:themeColor="text1"/>
        </w:rPr>
        <w:t xml:space="preserve">.- </w:t>
      </w:r>
    </w:p>
    <w:p w14:paraId="5D60159B"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w:t>
      </w:r>
    </w:p>
    <w:p w14:paraId="4A29BA78"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3538AC">
        <w:rPr>
          <w:rFonts w:ascii="Palatino Linotype" w:eastAsia="Palatino Linotype" w:hAnsi="Palatino Linotype" w:cs="Palatino Linotype"/>
          <w:i/>
          <w:color w:val="000000" w:themeColor="text1"/>
        </w:rPr>
        <w:t>.</w:t>
      </w:r>
    </w:p>
    <w:p w14:paraId="3DE35B4B"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3538AC" w:rsidRDefault="00C1457F" w:rsidP="00E23F8A">
      <w:pPr>
        <w:spacing w:before="240" w:after="240"/>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Este derecho se regirá por los principios y bases siguientes</w:t>
      </w:r>
      <w:r w:rsidRPr="003538AC">
        <w:rPr>
          <w:rFonts w:ascii="Palatino Linotype" w:eastAsia="Palatino Linotype" w:hAnsi="Palatino Linotype" w:cs="Palatino Linotype"/>
          <w:i/>
          <w:color w:val="000000" w:themeColor="text1"/>
        </w:rPr>
        <w:t>:</w:t>
      </w:r>
    </w:p>
    <w:p w14:paraId="5EFFB3BD" w14:textId="0F53132A" w:rsidR="00C1457F" w:rsidRPr="003440E8" w:rsidRDefault="00C1457F" w:rsidP="003440E8">
      <w:pPr>
        <w:pStyle w:val="Prrafodelista"/>
        <w:numPr>
          <w:ilvl w:val="0"/>
          <w:numId w:val="14"/>
        </w:numPr>
        <w:spacing w:before="240" w:after="240"/>
        <w:jc w:val="both"/>
        <w:rPr>
          <w:rFonts w:ascii="Palatino Linotype" w:eastAsia="Palatino Linotype" w:hAnsi="Palatino Linotype" w:cs="Palatino Linotype"/>
          <w:i/>
          <w:color w:val="000000" w:themeColor="text1"/>
          <w:sz w:val="24"/>
        </w:rPr>
      </w:pPr>
      <w:r w:rsidRPr="003440E8">
        <w:rPr>
          <w:rFonts w:ascii="Palatino Linotype" w:eastAsia="Palatino Linotype" w:hAnsi="Palatino Linotype" w:cs="Palatino Linotype"/>
          <w:b/>
          <w:i/>
          <w:color w:val="000000" w:themeColor="text1"/>
          <w:sz w:val="24"/>
        </w:rPr>
        <w:t>Toda la información en posesión de cualquier autoridad, entidad, órgano y organismos de los</w:t>
      </w:r>
      <w:r w:rsidRPr="003440E8">
        <w:rPr>
          <w:rFonts w:ascii="Palatino Linotype" w:eastAsia="Palatino Linotype" w:hAnsi="Palatino Linotype" w:cs="Palatino Linotype"/>
          <w:i/>
          <w:color w:val="000000" w:themeColor="text1"/>
          <w:sz w:val="24"/>
        </w:rPr>
        <w:t xml:space="preserve"> Poderes Ejecutivo, Legislativo y Judicial, órganos autónomos, partidos políticos, fideicomisos y fondos públicos estatales y </w:t>
      </w:r>
      <w:r w:rsidRPr="003440E8">
        <w:rPr>
          <w:rFonts w:ascii="Palatino Linotype" w:eastAsia="Palatino Linotype" w:hAnsi="Palatino Linotype" w:cs="Palatino Linotype"/>
          <w:b/>
          <w:i/>
          <w:color w:val="000000" w:themeColor="text1"/>
          <w:sz w:val="24"/>
        </w:rPr>
        <w:t>municipales</w:t>
      </w:r>
      <w:r w:rsidRPr="003440E8">
        <w:rPr>
          <w:rFonts w:ascii="Palatino Linotype" w:eastAsia="Palatino Linotype" w:hAnsi="Palatino Linotype" w:cs="Palatino Linotype"/>
          <w:i/>
          <w:color w:val="000000" w:themeColor="text1"/>
          <w:sz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440E8">
        <w:rPr>
          <w:rFonts w:ascii="Palatino Linotype" w:eastAsia="Palatino Linotype" w:hAnsi="Palatino Linotype" w:cs="Palatino Linotype"/>
          <w:b/>
          <w:i/>
          <w:color w:val="000000" w:themeColor="text1"/>
          <w:sz w:val="24"/>
        </w:rPr>
        <w:t>es pública</w:t>
      </w:r>
      <w:r w:rsidRPr="003440E8">
        <w:rPr>
          <w:rFonts w:ascii="Palatino Linotype" w:eastAsia="Palatino Linotype" w:hAnsi="Palatino Linotype" w:cs="Palatino Linotype"/>
          <w:i/>
          <w:color w:val="000000" w:themeColor="text1"/>
          <w:sz w:val="24"/>
        </w:rPr>
        <w:t xml:space="preserve"> y sólo podrá ser reservada temporalmente por razones previstas en la Constitución Política de los Estados Unidos Mexicanos de interés público y seguridad, en los términos que fijen las leyes. </w:t>
      </w:r>
      <w:r w:rsidRPr="003440E8">
        <w:rPr>
          <w:rFonts w:ascii="Palatino Linotype" w:eastAsia="Palatino Linotype" w:hAnsi="Palatino Linotype" w:cs="Palatino Linotype"/>
          <w:b/>
          <w:i/>
          <w:color w:val="000000" w:themeColor="text1"/>
          <w:sz w:val="24"/>
        </w:rPr>
        <w:t>En la interpretación de este derecho deberá prevalecer el principio de máxima publicidad</w:t>
      </w:r>
      <w:r w:rsidRPr="003440E8">
        <w:rPr>
          <w:rFonts w:ascii="Palatino Linotype" w:eastAsia="Palatino Linotype" w:hAnsi="Palatino Linotype" w:cs="Palatino Linotype"/>
          <w:i/>
          <w:color w:val="000000" w:themeColor="text1"/>
          <w:sz w:val="24"/>
        </w:rPr>
        <w:t xml:space="preserve">. </w:t>
      </w:r>
      <w:r w:rsidRPr="003440E8">
        <w:rPr>
          <w:rFonts w:ascii="Palatino Linotype" w:eastAsia="Palatino Linotype" w:hAnsi="Palatino Linotype" w:cs="Palatino Linotype"/>
          <w:b/>
          <w:i/>
          <w:color w:val="000000" w:themeColor="text1"/>
          <w:sz w:val="24"/>
        </w:rPr>
        <w:t>Los sujetos obligados deberán documentar todo acto que derive del ejercicio de sus facultades, competencias o funciones</w:t>
      </w:r>
      <w:r w:rsidRPr="003440E8">
        <w:rPr>
          <w:rFonts w:ascii="Palatino Linotype" w:eastAsia="Palatino Linotype" w:hAnsi="Palatino Linotype" w:cs="Palatino Linotype"/>
          <w:i/>
          <w:color w:val="000000" w:themeColor="text1"/>
          <w:sz w:val="24"/>
        </w:rPr>
        <w:t>, la ley determinará los supuestos específicos bajo los cuales procederá la declaración de inexistencia de la información.”</w:t>
      </w:r>
    </w:p>
    <w:p w14:paraId="78271B66" w14:textId="77777777" w:rsidR="003440E8" w:rsidRPr="003440E8" w:rsidRDefault="003440E8" w:rsidP="003440E8">
      <w:pPr>
        <w:pStyle w:val="Prrafodelista"/>
        <w:spacing w:before="240" w:after="240"/>
        <w:ind w:left="1287"/>
        <w:jc w:val="both"/>
        <w:rPr>
          <w:rFonts w:ascii="Palatino Linotype" w:eastAsia="Palatino Linotype" w:hAnsi="Palatino Linotype" w:cs="Palatino Linotype"/>
          <w:i/>
          <w:color w:val="000000" w:themeColor="text1"/>
        </w:rPr>
      </w:pPr>
    </w:p>
    <w:p w14:paraId="129F37EC" w14:textId="77777777" w:rsidR="00C1457F" w:rsidRPr="003538AC" w:rsidRDefault="00C1457F" w:rsidP="00E23F8A">
      <w:pPr>
        <w:numPr>
          <w:ilvl w:val="0"/>
          <w:numId w:val="1"/>
        </w:numPr>
        <w:spacing w:before="240"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3538AC">
        <w:rPr>
          <w:rFonts w:ascii="Palatino Linotype" w:eastAsia="Palatino Linotype" w:hAnsi="Palatino Linotype" w:cs="Palatino Linotype"/>
          <w:i/>
          <w:color w:val="000000" w:themeColor="text1"/>
        </w:rPr>
        <w:t xml:space="preserve">por los </w:t>
      </w:r>
      <w:r w:rsidRPr="003538AC">
        <w:rPr>
          <w:rFonts w:ascii="Palatino Linotype" w:eastAsia="Palatino Linotype" w:hAnsi="Palatino Linotype" w:cs="Palatino Linotype"/>
          <w:i/>
          <w:color w:val="000000" w:themeColor="text1"/>
        </w:rPr>
        <w:lastRenderedPageBreak/>
        <w:t>principios de simplicidad, rapidez gratuidad del procedimiento, auxilio y orientación a los particulares</w:t>
      </w:r>
      <w:r w:rsidRPr="003538AC">
        <w:rPr>
          <w:rFonts w:ascii="Palatino Linotype" w:eastAsia="Palatino Linotype" w:hAnsi="Palatino Linotype" w:cs="Palatino Linotype"/>
          <w:color w:val="000000" w:themeColor="text1"/>
        </w:rPr>
        <w:t>, contemplando el derecho de las personas con discapacidad y hablantes de lengua indígena.</w:t>
      </w:r>
    </w:p>
    <w:p w14:paraId="01311F8C" w14:textId="77777777" w:rsidR="00C1457F" w:rsidRPr="003538AC" w:rsidRDefault="00C1457F" w:rsidP="00E23F8A">
      <w:pPr>
        <w:spacing w:before="240" w:line="360" w:lineRule="auto"/>
        <w:jc w:val="both"/>
        <w:rPr>
          <w:rFonts w:ascii="Palatino Linotype" w:eastAsia="Palatino Linotype" w:hAnsi="Palatino Linotype" w:cs="Palatino Linotype"/>
          <w:color w:val="000000" w:themeColor="text1"/>
        </w:rPr>
      </w:pPr>
    </w:p>
    <w:p w14:paraId="5493E3EC" w14:textId="77777777" w:rsidR="00C1457F" w:rsidRPr="003538AC" w:rsidRDefault="00C1457F"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3538AC">
        <w:rPr>
          <w:rFonts w:ascii="Palatino Linotype" w:eastAsia="Palatino Linotype" w:hAnsi="Palatino Linotype" w:cs="Palatino Linotype"/>
          <w:i/>
          <w:color w:val="000000" w:themeColor="text1"/>
        </w:rPr>
        <w:t>solicitudes de acceso a la información</w:t>
      </w:r>
      <w:r w:rsidRPr="003538AC">
        <w:rPr>
          <w:rFonts w:ascii="Palatino Linotype" w:eastAsia="Palatino Linotype" w:hAnsi="Palatino Linotype" w:cs="Palatino Linotype"/>
          <w:color w:val="000000" w:themeColor="text1"/>
        </w:rPr>
        <w:t>.</w:t>
      </w:r>
    </w:p>
    <w:p w14:paraId="489BB910" w14:textId="77777777" w:rsidR="00C1457F" w:rsidRPr="003538AC" w:rsidRDefault="00C1457F" w:rsidP="00E23F8A">
      <w:pPr>
        <w:pStyle w:val="Prrafodelista"/>
        <w:rPr>
          <w:rFonts w:ascii="Palatino Linotype" w:eastAsia="Palatino Linotype" w:hAnsi="Palatino Linotype" w:cs="Palatino Linotype"/>
          <w:color w:val="000000" w:themeColor="text1"/>
          <w:sz w:val="24"/>
        </w:rPr>
      </w:pPr>
    </w:p>
    <w:p w14:paraId="1917886F" w14:textId="77777777" w:rsidR="00C1457F" w:rsidRPr="003538AC" w:rsidRDefault="00C1457F"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Así entonces, se procede analizar, en primer lugar, si el </w:t>
      </w:r>
      <w:r w:rsidRPr="003538AC">
        <w:rPr>
          <w:rFonts w:ascii="Palatino Linotype" w:eastAsia="Palatino Linotype" w:hAnsi="Palatino Linotype" w:cs="Palatino Linotype"/>
          <w:b/>
          <w:color w:val="000000" w:themeColor="text1"/>
        </w:rPr>
        <w:t>SUJETO OBLIGADO</w:t>
      </w:r>
      <w:r w:rsidRPr="003538AC">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3538AC" w:rsidRDefault="008E2A12" w:rsidP="00E23F8A">
      <w:pPr>
        <w:pStyle w:val="Prrafodelista"/>
        <w:rPr>
          <w:rFonts w:ascii="Palatino Linotype" w:eastAsia="Palatino Linotype" w:hAnsi="Palatino Linotype" w:cs="Palatino Linotype"/>
          <w:color w:val="000000" w:themeColor="text1"/>
          <w:sz w:val="24"/>
        </w:rPr>
      </w:pPr>
    </w:p>
    <w:p w14:paraId="5E94A221" w14:textId="77777777" w:rsidR="008E2A12" w:rsidRPr="003538AC" w:rsidRDefault="008E2A12" w:rsidP="00E23F8A">
      <w:pPr>
        <w:keepNext/>
        <w:keepLines/>
        <w:spacing w:after="240" w:line="360" w:lineRule="auto"/>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II. De la información solicitada y la respuesta del SUJETO OBLIGADO</w:t>
      </w:r>
    </w:p>
    <w:p w14:paraId="071CB065" w14:textId="77777777" w:rsidR="008E2A12" w:rsidRPr="003538AC" w:rsidRDefault="00841865"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eastAsia="Calibri" w:hAnsi="Palatino Linotype" w:cs="Arial"/>
          <w:color w:val="000000" w:themeColor="text1"/>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3538AC" w:rsidRDefault="008E2A12" w:rsidP="00E23F8A">
      <w:pPr>
        <w:pStyle w:val="Prrafodelista"/>
        <w:spacing w:line="360" w:lineRule="auto"/>
        <w:ind w:left="0"/>
        <w:jc w:val="both"/>
        <w:rPr>
          <w:rFonts w:ascii="Palatino Linotype" w:eastAsia="Calibri" w:hAnsi="Palatino Linotype" w:cs="Arial"/>
          <w:color w:val="000000" w:themeColor="text1"/>
          <w:sz w:val="24"/>
        </w:rPr>
      </w:pPr>
    </w:p>
    <w:p w14:paraId="3D1998CC" w14:textId="2DDF06B7" w:rsidR="00C06712" w:rsidRPr="003538AC" w:rsidRDefault="002E74E9"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eastAsia="Calibri" w:hAnsi="Palatino Linotype" w:cs="Arial"/>
          <w:color w:val="000000" w:themeColor="text1"/>
          <w:sz w:val="24"/>
        </w:rPr>
        <w:t xml:space="preserve">Para efectos de estudio </w:t>
      </w:r>
      <w:r w:rsidR="008E2A12" w:rsidRPr="003538AC">
        <w:rPr>
          <w:rFonts w:ascii="Palatino Linotype" w:eastAsia="Palatino Linotype" w:hAnsi="Palatino Linotype" w:cs="Palatino Linotype"/>
          <w:color w:val="000000" w:themeColor="text1"/>
          <w:sz w:val="24"/>
        </w:rPr>
        <w:t xml:space="preserve">es conveniente reiterar </w:t>
      </w:r>
      <w:r w:rsidR="00AE2E4C" w:rsidRPr="003538AC">
        <w:rPr>
          <w:rFonts w:ascii="Palatino Linotype" w:eastAsia="Palatino Linotype" w:hAnsi="Palatino Linotype" w:cs="Palatino Linotype"/>
          <w:color w:val="000000" w:themeColor="text1"/>
          <w:sz w:val="24"/>
        </w:rPr>
        <w:t xml:space="preserve">que el solicitante requirió </w:t>
      </w:r>
      <w:r w:rsidR="00646769" w:rsidRPr="003538AC">
        <w:rPr>
          <w:rFonts w:ascii="Palatino Linotype" w:eastAsia="Palatino Linotype" w:hAnsi="Palatino Linotype" w:cs="Palatino Linotype"/>
          <w:color w:val="000000" w:themeColor="text1"/>
          <w:sz w:val="24"/>
        </w:rPr>
        <w:t xml:space="preserve">la </w:t>
      </w:r>
      <w:r w:rsidR="00646769" w:rsidRPr="003538AC">
        <w:rPr>
          <w:rFonts w:ascii="Palatino Linotype" w:eastAsia="Palatino Linotype" w:hAnsi="Palatino Linotype" w:cs="Palatino Linotype"/>
          <w:b/>
          <w:color w:val="000000" w:themeColor="text1"/>
          <w:sz w:val="24"/>
        </w:rPr>
        <w:t>nómina y el Comprobante Fiscal Digital por Internet, de la segunda quincena del mes de abril de dos mil veinticinco.</w:t>
      </w:r>
    </w:p>
    <w:p w14:paraId="2E3C5B74" w14:textId="085D376E" w:rsidR="0057680D" w:rsidRPr="003538AC" w:rsidRDefault="00E77BCB" w:rsidP="00E23F8A">
      <w:pPr>
        <w:numPr>
          <w:ilvl w:val="0"/>
          <w:numId w:val="1"/>
        </w:numPr>
        <w:spacing w:line="360" w:lineRule="auto"/>
        <w:ind w:left="0" w:firstLine="0"/>
        <w:contextualSpacing/>
        <w:jc w:val="both"/>
        <w:rPr>
          <w:rFonts w:ascii="Palatino Linotype" w:hAnsi="Palatino Linotype"/>
          <w:color w:val="000000" w:themeColor="text1"/>
        </w:rPr>
      </w:pPr>
      <w:r w:rsidRPr="003538AC">
        <w:rPr>
          <w:rFonts w:ascii="Palatino Linotype" w:hAnsi="Palatino Linotype"/>
          <w:color w:val="000000" w:themeColor="text1"/>
        </w:rPr>
        <w:lastRenderedPageBreak/>
        <w:t xml:space="preserve">Al respecto el </w:t>
      </w:r>
      <w:r w:rsidRPr="003538AC">
        <w:rPr>
          <w:rFonts w:ascii="Palatino Linotype" w:hAnsi="Palatino Linotype"/>
          <w:b/>
          <w:color w:val="000000" w:themeColor="text1"/>
        </w:rPr>
        <w:t xml:space="preserve">SUJETO OBLIGADO, </w:t>
      </w:r>
      <w:r w:rsidR="00646769" w:rsidRPr="003538AC">
        <w:rPr>
          <w:rFonts w:ascii="Palatino Linotype" w:hAnsi="Palatino Linotype"/>
          <w:color w:val="000000" w:themeColor="text1"/>
        </w:rPr>
        <w:t>remitió</w:t>
      </w:r>
      <w:r w:rsidRPr="003538AC">
        <w:rPr>
          <w:rFonts w:ascii="Palatino Linotype" w:hAnsi="Palatino Linotype"/>
          <w:color w:val="000000" w:themeColor="text1"/>
        </w:rPr>
        <w:t xml:space="preserve"> a través del </w:t>
      </w:r>
      <w:r w:rsidR="00646769" w:rsidRPr="003538AC">
        <w:rPr>
          <w:rFonts w:ascii="Palatino Linotype" w:hAnsi="Palatino Linotype"/>
          <w:color w:val="000000" w:themeColor="text1"/>
        </w:rPr>
        <w:t>T</w:t>
      </w:r>
      <w:r w:rsidRPr="003538AC">
        <w:rPr>
          <w:rFonts w:ascii="Palatino Linotype" w:hAnsi="Palatino Linotype"/>
          <w:color w:val="000000" w:themeColor="text1"/>
        </w:rPr>
        <w:t>itular de</w:t>
      </w:r>
      <w:r w:rsidR="00646769" w:rsidRPr="003538AC">
        <w:rPr>
          <w:rFonts w:ascii="Palatino Linotype" w:hAnsi="Palatino Linotype"/>
          <w:color w:val="000000" w:themeColor="text1"/>
        </w:rPr>
        <w:t xml:space="preserve"> </w:t>
      </w:r>
      <w:r w:rsidRPr="003538AC">
        <w:rPr>
          <w:rFonts w:ascii="Palatino Linotype" w:hAnsi="Palatino Linotype"/>
          <w:color w:val="000000" w:themeColor="text1"/>
        </w:rPr>
        <w:t>l</w:t>
      </w:r>
      <w:r w:rsidR="00646769" w:rsidRPr="003538AC">
        <w:rPr>
          <w:rFonts w:ascii="Palatino Linotype" w:hAnsi="Palatino Linotype"/>
          <w:color w:val="000000" w:themeColor="text1"/>
        </w:rPr>
        <w:t>a</w:t>
      </w:r>
      <w:r w:rsidRPr="003538AC">
        <w:rPr>
          <w:rFonts w:ascii="Palatino Linotype" w:hAnsi="Palatino Linotype"/>
          <w:color w:val="000000" w:themeColor="text1"/>
        </w:rPr>
        <w:t xml:space="preserve"> </w:t>
      </w:r>
      <w:r w:rsidR="00646769" w:rsidRPr="003538AC">
        <w:rPr>
          <w:rFonts w:ascii="Palatino Linotype" w:hAnsi="Palatino Linotype"/>
          <w:color w:val="000000" w:themeColor="text1"/>
        </w:rPr>
        <w:t xml:space="preserve">Oficialía Mayor una lista de nómina de los Servidores Públicos adscritos a ese Organismo correspondiente a la segunda quincena del mes de abril de dos mil veinticinco, documento en el que se aprecia la Clave de Servidor Público, Nombre Completo, fecha de alta, Departamento de adscripción, Puesto que ejerce, Clasificación y el Salario Bruto </w:t>
      </w:r>
      <w:r w:rsidR="007B08AC" w:rsidRPr="003538AC">
        <w:rPr>
          <w:rFonts w:ascii="Palatino Linotype" w:hAnsi="Palatino Linotype"/>
          <w:color w:val="000000" w:themeColor="text1"/>
        </w:rPr>
        <w:t>Mensual; no obstante no se aprecia el salario neto del servidor público</w:t>
      </w:r>
      <w:r w:rsidR="005B5125" w:rsidRPr="003538AC">
        <w:rPr>
          <w:rFonts w:ascii="Palatino Linotype" w:hAnsi="Palatino Linotype"/>
          <w:color w:val="000000" w:themeColor="text1"/>
        </w:rPr>
        <w:t>, situación de la que se duele el impetrante</w:t>
      </w:r>
      <w:r w:rsidR="007B08AC" w:rsidRPr="003538AC">
        <w:rPr>
          <w:rFonts w:ascii="Palatino Linotype" w:hAnsi="Palatino Linotype"/>
          <w:color w:val="000000" w:themeColor="text1"/>
        </w:rPr>
        <w:t>; así mismo remite 1304 recibos de pago, correspondientes a la segunda quincena del mes de abril de dos mil veinticinco, recibos que remiten en correcta versión pública</w:t>
      </w:r>
      <w:r w:rsidR="005B5125" w:rsidRPr="003538AC">
        <w:rPr>
          <w:rFonts w:ascii="Palatino Linotype" w:hAnsi="Palatino Linotype"/>
          <w:color w:val="000000" w:themeColor="text1"/>
        </w:rPr>
        <w:t>, agregando el Acta del Comité de Transparencia, mediante el cual se aprueba la versión pública de dichos documentos.</w:t>
      </w:r>
    </w:p>
    <w:p w14:paraId="68BE07E6" w14:textId="77777777" w:rsidR="00D33AC2" w:rsidRPr="003538AC" w:rsidRDefault="00D33AC2" w:rsidP="00E23F8A">
      <w:pPr>
        <w:spacing w:line="360" w:lineRule="auto"/>
        <w:contextualSpacing/>
        <w:jc w:val="both"/>
        <w:rPr>
          <w:rFonts w:ascii="Palatino Linotype" w:hAnsi="Palatino Linotype"/>
          <w:color w:val="000000" w:themeColor="text1"/>
        </w:rPr>
      </w:pPr>
    </w:p>
    <w:p w14:paraId="4418BFA6" w14:textId="4F8EDA44" w:rsidR="00CC0A80" w:rsidRPr="003538AC" w:rsidRDefault="00D33AC2" w:rsidP="00E23F8A">
      <w:pPr>
        <w:numPr>
          <w:ilvl w:val="0"/>
          <w:numId w:val="1"/>
        </w:numPr>
        <w:spacing w:line="360" w:lineRule="auto"/>
        <w:ind w:left="0" w:firstLine="0"/>
        <w:contextualSpacing/>
        <w:jc w:val="both"/>
        <w:rPr>
          <w:rFonts w:ascii="Palatino Linotype" w:hAnsi="Palatino Linotype"/>
          <w:color w:val="000000" w:themeColor="text1"/>
        </w:rPr>
      </w:pPr>
      <w:r w:rsidRPr="003538AC">
        <w:rPr>
          <w:rFonts w:ascii="Palatino Linotype" w:hAnsi="Palatino Linotype"/>
          <w:color w:val="000000" w:themeColor="text1"/>
        </w:rPr>
        <w:t xml:space="preserve">Al respecto el </w:t>
      </w:r>
      <w:r w:rsidRPr="003538AC">
        <w:rPr>
          <w:rFonts w:ascii="Palatino Linotype" w:hAnsi="Palatino Linotype"/>
          <w:b/>
          <w:color w:val="000000" w:themeColor="text1"/>
        </w:rPr>
        <w:t xml:space="preserve">RECURRENTE, </w:t>
      </w:r>
      <w:r w:rsidRPr="003538AC">
        <w:rPr>
          <w:rFonts w:ascii="Palatino Linotype" w:hAnsi="Palatino Linotype"/>
          <w:color w:val="000000" w:themeColor="text1"/>
        </w:rPr>
        <w:t xml:space="preserve">se inconformó por la información </w:t>
      </w:r>
      <w:r w:rsidR="005B5125" w:rsidRPr="003538AC">
        <w:rPr>
          <w:rFonts w:ascii="Palatino Linotype" w:hAnsi="Palatino Linotype"/>
          <w:color w:val="000000" w:themeColor="text1"/>
        </w:rPr>
        <w:t xml:space="preserve">incompleta </w:t>
      </w:r>
      <w:r w:rsidRPr="003538AC">
        <w:rPr>
          <w:rFonts w:ascii="Palatino Linotype" w:hAnsi="Palatino Linotype"/>
          <w:color w:val="000000" w:themeColor="text1"/>
        </w:rPr>
        <w:t>ya que</w:t>
      </w:r>
      <w:r w:rsidR="005B5125" w:rsidRPr="003538AC">
        <w:rPr>
          <w:rFonts w:ascii="Palatino Linotype" w:hAnsi="Palatino Linotype"/>
          <w:color w:val="000000" w:themeColor="text1"/>
        </w:rPr>
        <w:t xml:space="preserve"> en</w:t>
      </w:r>
      <w:r w:rsidRPr="003538AC">
        <w:rPr>
          <w:rFonts w:ascii="Palatino Linotype" w:hAnsi="Palatino Linotype"/>
          <w:color w:val="000000" w:themeColor="text1"/>
        </w:rPr>
        <w:t xml:space="preserve"> </w:t>
      </w:r>
      <w:r w:rsidR="005B5125" w:rsidRPr="003538AC">
        <w:rPr>
          <w:rFonts w:ascii="Palatino Linotype" w:hAnsi="Palatino Linotype"/>
          <w:color w:val="000000" w:themeColor="text1"/>
        </w:rPr>
        <w:t>la lista de nómina que remiten</w:t>
      </w:r>
      <w:r w:rsidR="00AC67AE" w:rsidRPr="003538AC">
        <w:rPr>
          <w:rFonts w:ascii="Palatino Linotype" w:hAnsi="Palatino Linotype"/>
          <w:color w:val="000000" w:themeColor="text1"/>
        </w:rPr>
        <w:t>,</w:t>
      </w:r>
      <w:r w:rsidR="005B5125" w:rsidRPr="003538AC">
        <w:rPr>
          <w:rFonts w:ascii="Palatino Linotype" w:hAnsi="Palatino Linotype"/>
          <w:color w:val="000000" w:themeColor="text1"/>
        </w:rPr>
        <w:t xml:space="preserve"> no se aprecian las percepciones ordinarias y extraordinarias</w:t>
      </w:r>
      <w:r w:rsidR="003750C1" w:rsidRPr="003538AC">
        <w:rPr>
          <w:rFonts w:ascii="Palatino Linotype" w:hAnsi="Palatino Linotype"/>
          <w:color w:val="000000" w:themeColor="text1"/>
        </w:rPr>
        <w:t xml:space="preserve">, tal y como lo señala el OSFEM, agregando que el </w:t>
      </w:r>
      <w:r w:rsidR="003750C1" w:rsidRPr="003538AC">
        <w:rPr>
          <w:rFonts w:ascii="Palatino Linotype" w:hAnsi="Palatino Linotype"/>
          <w:b/>
          <w:color w:val="000000" w:themeColor="text1"/>
        </w:rPr>
        <w:t xml:space="preserve">SUJETO OBLIGADO, </w:t>
      </w:r>
      <w:r w:rsidR="003750C1" w:rsidRPr="003538AC">
        <w:rPr>
          <w:rFonts w:ascii="Palatino Linotype" w:hAnsi="Palatino Linotype"/>
          <w:color w:val="000000" w:themeColor="text1"/>
        </w:rPr>
        <w:t>omitió proporcionar los certificados de competencia laboral para los servidores que ocupan el cargo de Director, como los son el Director General, Director de Operación del Organismo de Agua y de Oficialía Mayor.</w:t>
      </w:r>
    </w:p>
    <w:p w14:paraId="4F7A9E9D" w14:textId="77777777" w:rsidR="00CC0A80" w:rsidRPr="003538AC" w:rsidRDefault="00CC0A80" w:rsidP="00E23F8A">
      <w:pPr>
        <w:pStyle w:val="Prrafodelista"/>
        <w:rPr>
          <w:rStyle w:val="normaltextrun"/>
          <w:rFonts w:ascii="Palatino Linotype" w:eastAsiaTheme="majorEastAsia" w:hAnsi="Palatino Linotype"/>
          <w:color w:val="000000" w:themeColor="text1"/>
          <w:sz w:val="24"/>
          <w:shd w:val="clear" w:color="auto" w:fill="FFFFFF"/>
        </w:rPr>
      </w:pPr>
    </w:p>
    <w:p w14:paraId="733A77F8" w14:textId="77777777" w:rsidR="00CC0A80" w:rsidRPr="003538AC" w:rsidRDefault="00D33AC2" w:rsidP="00E23F8A">
      <w:pPr>
        <w:numPr>
          <w:ilvl w:val="0"/>
          <w:numId w:val="1"/>
        </w:numPr>
        <w:spacing w:line="360" w:lineRule="auto"/>
        <w:ind w:left="0" w:firstLine="0"/>
        <w:contextualSpacing/>
        <w:jc w:val="both"/>
        <w:rPr>
          <w:rStyle w:val="normaltextrun"/>
          <w:rFonts w:ascii="Palatino Linotype" w:hAnsi="Palatino Linotype"/>
          <w:color w:val="000000" w:themeColor="text1"/>
        </w:rPr>
      </w:pPr>
      <w:r w:rsidRPr="003538AC">
        <w:rPr>
          <w:rStyle w:val="normaltextrun"/>
          <w:rFonts w:ascii="Palatino Linotype" w:eastAsiaTheme="majorEastAsia" w:hAnsi="Palatino Linotype"/>
          <w:color w:val="000000" w:themeColor="text1"/>
          <w:shd w:val="clear" w:color="auto" w:fill="FFFFFF"/>
        </w:rPr>
        <w:t xml:space="preserve">En este sentido, resulta necesario señalar que, el </w:t>
      </w:r>
      <w:r w:rsidRPr="003538AC">
        <w:rPr>
          <w:rStyle w:val="normaltextrun"/>
          <w:rFonts w:ascii="Palatino Linotype" w:eastAsiaTheme="majorEastAsia" w:hAnsi="Palatino Linotype"/>
          <w:b/>
          <w:bCs/>
          <w:color w:val="000000" w:themeColor="text1"/>
          <w:shd w:val="clear" w:color="auto" w:fill="FFFFFF"/>
        </w:rPr>
        <w:t xml:space="preserve">RECURRENTE </w:t>
      </w:r>
      <w:r w:rsidRPr="003538AC">
        <w:rPr>
          <w:rStyle w:val="normaltextrun"/>
          <w:rFonts w:ascii="Palatino Linotype" w:eastAsiaTheme="majorEastAsia" w:hAnsi="Palatino Linotype"/>
          <w:color w:val="000000" w:themeColor="text1"/>
          <w:shd w:val="clear" w:color="auto" w:fill="FFFFFF"/>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3538AC">
        <w:rPr>
          <w:rStyle w:val="normaltextrun"/>
          <w:rFonts w:ascii="Palatino Linotype" w:eastAsiaTheme="majorEastAsia" w:hAnsi="Palatino Linotype"/>
          <w:b/>
          <w:bCs/>
          <w:color w:val="000000" w:themeColor="text1"/>
          <w:shd w:val="clear" w:color="auto" w:fill="FFFFFF"/>
        </w:rPr>
        <w:t>SUJETO OBLIGADO</w:t>
      </w:r>
      <w:r w:rsidRPr="003538AC">
        <w:rPr>
          <w:rStyle w:val="normaltextrun"/>
          <w:rFonts w:ascii="Palatino Linotype" w:eastAsiaTheme="majorEastAsia" w:hAnsi="Palatino Linotype"/>
          <w:color w:val="000000" w:themeColor="text1"/>
          <w:shd w:val="clear" w:color="auto" w:fill="FFFFFF"/>
        </w:rPr>
        <w:t xml:space="preserve"> satisface este punto de la solicitud presentada.</w:t>
      </w:r>
    </w:p>
    <w:p w14:paraId="57A984E0" w14:textId="77777777" w:rsidR="00CC0A80" w:rsidRPr="003538AC" w:rsidRDefault="00CC0A80" w:rsidP="00E23F8A">
      <w:pPr>
        <w:pStyle w:val="Prrafodelista"/>
        <w:rPr>
          <w:rStyle w:val="normaltextrun"/>
          <w:rFonts w:ascii="Palatino Linotype" w:eastAsiaTheme="majorEastAsia" w:hAnsi="Palatino Linotype"/>
          <w:color w:val="000000" w:themeColor="text1"/>
          <w:sz w:val="24"/>
          <w:shd w:val="clear" w:color="auto" w:fill="FFFFFF"/>
          <w:lang w:val="es-ES"/>
        </w:rPr>
      </w:pPr>
    </w:p>
    <w:p w14:paraId="52B3376E" w14:textId="2519539D" w:rsidR="00D33AC2" w:rsidRPr="003538AC" w:rsidRDefault="00D33AC2" w:rsidP="00E23F8A">
      <w:pPr>
        <w:numPr>
          <w:ilvl w:val="0"/>
          <w:numId w:val="1"/>
        </w:numPr>
        <w:spacing w:line="360" w:lineRule="auto"/>
        <w:ind w:left="0" w:firstLine="0"/>
        <w:contextualSpacing/>
        <w:jc w:val="both"/>
        <w:rPr>
          <w:rStyle w:val="eop"/>
          <w:rFonts w:ascii="Palatino Linotype" w:hAnsi="Palatino Linotype"/>
          <w:color w:val="000000" w:themeColor="text1"/>
        </w:rPr>
      </w:pPr>
      <w:r w:rsidRPr="003538AC">
        <w:rPr>
          <w:rStyle w:val="normaltextrun"/>
          <w:rFonts w:ascii="Palatino Linotype" w:eastAsiaTheme="majorEastAsia" w:hAnsi="Palatino Linotype"/>
          <w:color w:val="000000" w:themeColor="text1"/>
          <w:shd w:val="clear" w:color="auto" w:fill="FFFFFF"/>
          <w:lang w:val="es-ES"/>
        </w:rPr>
        <w:t xml:space="preserve">Lo </w:t>
      </w:r>
      <w:r w:rsidRPr="003538AC">
        <w:rPr>
          <w:rStyle w:val="normaltextrun"/>
          <w:rFonts w:ascii="Palatino Linotype" w:eastAsiaTheme="majorEastAsia" w:hAnsi="Palatino Linotype"/>
          <w:color w:val="000000" w:themeColor="text1"/>
          <w:shd w:val="clear" w:color="auto" w:fill="FFFFFF"/>
        </w:rPr>
        <w:t xml:space="preserve">anterior es así, debido a que cuando un Recurrente impugna la respuesta del </w:t>
      </w:r>
      <w:r w:rsidRPr="003538AC">
        <w:rPr>
          <w:rStyle w:val="normaltextrun"/>
          <w:rFonts w:ascii="Palatino Linotype" w:eastAsiaTheme="majorEastAsia" w:hAnsi="Palatino Linotype"/>
          <w:b/>
          <w:bCs/>
          <w:color w:val="000000" w:themeColor="text1"/>
          <w:shd w:val="clear" w:color="auto" w:fill="FFFFFF"/>
        </w:rPr>
        <w:t>SUJETO OBLIGADO</w:t>
      </w:r>
      <w:r w:rsidRPr="003538AC">
        <w:rPr>
          <w:rStyle w:val="normaltextrun"/>
          <w:rFonts w:ascii="Palatino Linotype" w:eastAsiaTheme="majorEastAsia" w:hAnsi="Palatino Linotype"/>
          <w:color w:val="000000" w:themeColor="text1"/>
          <w:shd w:val="clear" w:color="auto" w:fill="FFFFFF"/>
        </w:rPr>
        <w:t xml:space="preserve">, y éste no expresa Razón o Motivo de Inconformidad en contra de todos los rubros </w:t>
      </w:r>
      <w:r w:rsidRPr="003538AC">
        <w:rPr>
          <w:rStyle w:val="normaltextrun"/>
          <w:rFonts w:ascii="Palatino Linotype" w:eastAsiaTheme="majorEastAsia" w:hAnsi="Palatino Linotype"/>
          <w:color w:val="000000" w:themeColor="text1"/>
          <w:shd w:val="clear" w:color="auto" w:fill="FFFFFF"/>
        </w:rPr>
        <w:lastRenderedPageBreak/>
        <w:t>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r w:rsidRPr="003538AC">
        <w:rPr>
          <w:rStyle w:val="eop"/>
          <w:rFonts w:ascii="Palatino Linotype" w:eastAsiaTheme="majorEastAsia" w:hAnsi="Palatino Linotype"/>
          <w:color w:val="000000" w:themeColor="text1"/>
          <w:shd w:val="clear" w:color="auto" w:fill="FFFFFF"/>
        </w:rPr>
        <w:t> </w:t>
      </w:r>
    </w:p>
    <w:p w14:paraId="1AB94C7F" w14:textId="77777777" w:rsidR="00D33AC2" w:rsidRPr="003538AC" w:rsidRDefault="00D33AC2" w:rsidP="00E23F8A">
      <w:pPr>
        <w:pStyle w:val="Prrafodelista"/>
        <w:jc w:val="both"/>
        <w:rPr>
          <w:rStyle w:val="eop"/>
          <w:rFonts w:ascii="Palatino Linotype" w:eastAsiaTheme="majorEastAsia" w:hAnsi="Palatino Linotype"/>
          <w:color w:val="000000" w:themeColor="text1"/>
          <w:sz w:val="24"/>
          <w:shd w:val="clear" w:color="auto" w:fill="FFFFFF"/>
        </w:rPr>
      </w:pPr>
      <w:r w:rsidRPr="003538AC">
        <w:rPr>
          <w:rStyle w:val="normaltextrun"/>
          <w:rFonts w:ascii="Palatino Linotype" w:eastAsiaTheme="majorEastAsia" w:hAnsi="Palatino Linotype"/>
          <w:b/>
          <w:bCs/>
          <w:i/>
          <w:iCs/>
          <w:color w:val="000000" w:themeColor="text1"/>
          <w:sz w:val="24"/>
          <w:shd w:val="clear" w:color="auto" w:fill="FFFFFF"/>
        </w:rPr>
        <w:t xml:space="preserve">“REVISIÓN EN AMPARO. LOS RESOLUTIVOS NO COMBATIDOS DEBEN DECLARARSE FIRMES. </w:t>
      </w:r>
      <w:r w:rsidRPr="003538AC">
        <w:rPr>
          <w:rStyle w:val="normaltextrun"/>
          <w:rFonts w:ascii="Palatino Linotype" w:eastAsiaTheme="majorEastAsia" w:hAnsi="Palatino Linotype"/>
          <w:i/>
          <w:iCs/>
          <w:color w:val="000000" w:themeColor="text1"/>
          <w:sz w:val="24"/>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Pr="003538AC">
        <w:rPr>
          <w:rStyle w:val="eop"/>
          <w:rFonts w:ascii="Palatino Linotype" w:eastAsiaTheme="majorEastAsia" w:hAnsi="Palatino Linotype"/>
          <w:color w:val="000000" w:themeColor="text1"/>
          <w:sz w:val="24"/>
          <w:shd w:val="clear" w:color="auto" w:fill="FFFFFF"/>
        </w:rPr>
        <w:t> </w:t>
      </w:r>
    </w:p>
    <w:p w14:paraId="51B85A3C" w14:textId="77777777" w:rsidR="00D33AC2" w:rsidRPr="003538AC" w:rsidRDefault="00D33AC2" w:rsidP="00E23F8A">
      <w:pPr>
        <w:pStyle w:val="Prrafodelista"/>
        <w:rPr>
          <w:rFonts w:ascii="Palatino Linotype" w:eastAsia="Palatino Linotype" w:hAnsi="Palatino Linotype" w:cs="Palatino Linotype"/>
          <w:color w:val="000000" w:themeColor="text1"/>
          <w:sz w:val="24"/>
        </w:rPr>
      </w:pPr>
    </w:p>
    <w:p w14:paraId="286A8F2F" w14:textId="6F5CCB32" w:rsidR="00D33AC2" w:rsidRPr="003538AC" w:rsidRDefault="00D33AC2" w:rsidP="00E23F8A">
      <w:pPr>
        <w:pStyle w:val="Prrafodelista"/>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 xml:space="preserve"> </w:t>
      </w:r>
      <w:r w:rsidRPr="003538AC">
        <w:rPr>
          <w:rStyle w:val="normaltextrun"/>
          <w:rFonts w:ascii="Palatino Linotype" w:eastAsiaTheme="majorEastAsia" w:hAnsi="Palatino Linotype"/>
          <w:color w:val="000000" w:themeColor="text1"/>
          <w:sz w:val="24"/>
          <w:shd w:val="clear" w:color="auto" w:fill="FFFFFF"/>
          <w:lang w:val="es-ES"/>
        </w:rPr>
        <w:t xml:space="preserve">Consecuentemente, </w:t>
      </w:r>
      <w:r w:rsidRPr="003538AC">
        <w:rPr>
          <w:rStyle w:val="normaltextrun"/>
          <w:rFonts w:ascii="Palatino Linotype" w:eastAsiaTheme="majorEastAsia" w:hAnsi="Palatino Linotype"/>
          <w:color w:val="000000" w:themeColor="text1"/>
          <w:sz w:val="24"/>
          <w:shd w:val="clear" w:color="auto" w:fill="FFFFFF"/>
        </w:rPr>
        <w:t xml:space="preserve">se reitera que la parte de la solicitud que no fue impugnada debe declararse consentida por el </w:t>
      </w:r>
      <w:r w:rsidRPr="003538AC">
        <w:rPr>
          <w:rStyle w:val="normaltextrun"/>
          <w:rFonts w:ascii="Palatino Linotype" w:eastAsiaTheme="majorEastAsia" w:hAnsi="Palatino Linotype"/>
          <w:b/>
          <w:bCs/>
          <w:color w:val="000000" w:themeColor="text1"/>
          <w:sz w:val="24"/>
          <w:shd w:val="clear" w:color="auto" w:fill="FFFFFF"/>
        </w:rPr>
        <w:t>RECURRENTE</w:t>
      </w:r>
      <w:r w:rsidRPr="003538AC">
        <w:rPr>
          <w:rStyle w:val="normaltextrun"/>
          <w:rFonts w:ascii="Palatino Linotype" w:eastAsiaTheme="majorEastAsia" w:hAnsi="Palatino Linotype"/>
          <w:color w:val="000000" w:themeColor="text1"/>
          <w:sz w:val="24"/>
          <w:shd w:val="clear" w:color="auto" w:fill="FFFFFF"/>
        </w:rPr>
        <w:t>, debido a que no se realizaron manifestaciones de inconformidad, por lo que no pueden producirse efectos jurídicos tendentes a revocar, confirmar o modificar el acto reclamado ya que se infiere un consentimiento del Recurrente</w:t>
      </w:r>
      <w:r w:rsidRPr="003538AC">
        <w:rPr>
          <w:rStyle w:val="normaltextrun"/>
          <w:rFonts w:ascii="Palatino Linotype" w:eastAsiaTheme="majorEastAsia" w:hAnsi="Palatino Linotype"/>
          <w:b/>
          <w:bCs/>
          <w:color w:val="000000" w:themeColor="text1"/>
          <w:sz w:val="24"/>
          <w:shd w:val="clear" w:color="auto" w:fill="FFFFFF"/>
        </w:rPr>
        <w:t xml:space="preserve"> </w:t>
      </w:r>
      <w:r w:rsidRPr="003538AC">
        <w:rPr>
          <w:rStyle w:val="normaltextrun"/>
          <w:rFonts w:ascii="Palatino Linotype" w:eastAsiaTheme="majorEastAsia" w:hAnsi="Palatino Linotype"/>
          <w:color w:val="000000" w:themeColor="text1"/>
          <w:sz w:val="24"/>
          <w:shd w:val="clear" w:color="auto" w:fill="FFFFFF"/>
        </w:rPr>
        <w:t>ante la falta de impugnación eficaz.</w:t>
      </w:r>
    </w:p>
    <w:p w14:paraId="1B03BA52" w14:textId="77777777" w:rsidR="00D33AC2" w:rsidRPr="003538AC" w:rsidRDefault="00D33AC2" w:rsidP="00E23F8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90F90C3" w14:textId="77777777" w:rsidR="00D33AC2" w:rsidRPr="003538AC" w:rsidRDefault="00D33AC2" w:rsidP="00E23F8A">
      <w:pPr>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3538AC">
        <w:rPr>
          <w:rStyle w:val="normaltextrun"/>
          <w:rFonts w:ascii="Palatino Linotype" w:eastAsiaTheme="majorEastAsia" w:hAnsi="Palatino Linotype"/>
          <w:color w:val="000000" w:themeColor="text1"/>
          <w:shd w:val="clear" w:color="auto" w:fill="FFFFFF"/>
          <w:lang w:val="es-ES"/>
        </w:rPr>
        <w:t xml:space="preserve">Sirve </w:t>
      </w:r>
      <w:r w:rsidRPr="003538AC">
        <w:rPr>
          <w:rStyle w:val="normaltextrun"/>
          <w:rFonts w:ascii="Palatino Linotype" w:eastAsiaTheme="majorEastAsia" w:hAnsi="Palatino Linotype"/>
          <w:color w:val="000000" w:themeColor="text1"/>
          <w:shd w:val="clear" w:color="auto" w:fill="FFFFFF"/>
        </w:rPr>
        <w:t>de sustento a lo anterior por analogía la tesis jurisprudencial número VI.3o.C. J/60, publicada en el Semanario Judicial de la Federación y su Gaceta bajo el número de registro 176,608 que a la letra dice:</w:t>
      </w:r>
    </w:p>
    <w:p w14:paraId="350D833B" w14:textId="77777777" w:rsidR="00D33AC2" w:rsidRPr="003538AC" w:rsidRDefault="00D33AC2" w:rsidP="00E23F8A">
      <w:pPr>
        <w:pStyle w:val="Prrafodelista"/>
        <w:jc w:val="both"/>
        <w:rPr>
          <w:rFonts w:ascii="Palatino Linotype" w:eastAsia="Palatino Linotype" w:hAnsi="Palatino Linotype" w:cs="Palatino Linotype"/>
          <w:color w:val="000000" w:themeColor="text1"/>
          <w:sz w:val="24"/>
        </w:rPr>
      </w:pPr>
      <w:r w:rsidRPr="003538AC">
        <w:rPr>
          <w:rStyle w:val="normaltextrun"/>
          <w:rFonts w:ascii="Palatino Linotype" w:eastAsiaTheme="majorEastAsia" w:hAnsi="Palatino Linotype"/>
          <w:b/>
          <w:bCs/>
          <w:i/>
          <w:iCs/>
          <w:smallCaps/>
          <w:color w:val="000000" w:themeColor="text1"/>
          <w:sz w:val="24"/>
          <w:shd w:val="clear" w:color="auto" w:fill="FFFFFF"/>
        </w:rPr>
        <w:t xml:space="preserve">ACTOS CONSENTIDOS. SON LOS QUE NO SE IMPUGNAN MEDIANTE EL RECURSO IDÓNEO. </w:t>
      </w:r>
      <w:r w:rsidRPr="003538AC">
        <w:rPr>
          <w:rStyle w:val="normaltextrun"/>
          <w:rFonts w:ascii="Palatino Linotype" w:eastAsiaTheme="majorEastAsia" w:hAnsi="Palatino Linotype"/>
          <w:i/>
          <w:iCs/>
          <w:color w:val="000000" w:themeColor="text1"/>
          <w:sz w:val="24"/>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3538AC">
        <w:rPr>
          <w:rStyle w:val="eop"/>
          <w:rFonts w:ascii="Palatino Linotype" w:eastAsiaTheme="majorEastAsia" w:hAnsi="Palatino Linotype"/>
          <w:color w:val="000000" w:themeColor="text1"/>
          <w:sz w:val="24"/>
          <w:shd w:val="clear" w:color="auto" w:fill="FFFFFF"/>
        </w:rPr>
        <w:t> </w:t>
      </w:r>
    </w:p>
    <w:p w14:paraId="044A4861" w14:textId="77777777" w:rsidR="00D33AC2" w:rsidRPr="003538AC" w:rsidRDefault="00D33AC2" w:rsidP="00E23F8A">
      <w:pPr>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3538AC">
        <w:rPr>
          <w:rStyle w:val="normaltextrun"/>
          <w:rFonts w:ascii="Palatino Linotype" w:eastAsiaTheme="majorEastAsia" w:hAnsi="Palatino Linotype"/>
          <w:color w:val="000000" w:themeColor="text1"/>
          <w:shd w:val="clear" w:color="auto" w:fill="FFFFFF"/>
          <w:lang w:val="es-ES"/>
        </w:rPr>
        <w:lastRenderedPageBreak/>
        <w:t xml:space="preserve">Para </w:t>
      </w:r>
      <w:r w:rsidRPr="003538AC">
        <w:rPr>
          <w:rStyle w:val="normaltextrun"/>
          <w:rFonts w:ascii="Palatino Linotype" w:eastAsiaTheme="majorEastAsia" w:hAnsi="Palatino Linotype"/>
          <w:color w:val="000000" w:themeColor="text1"/>
          <w:shd w:val="clear" w:color="auto" w:fill="FFFFFF"/>
        </w:rPr>
        <w:t>mayor abundamiento, también resulta aplicable el criterio 01/20 emitido por el Instituto Nacional de Transparencia, Acceso a la Información Pública y Protección de Datos Personales, que a la letra estipula lo siguiente:</w:t>
      </w:r>
      <w:r w:rsidRPr="003538AC">
        <w:rPr>
          <w:rStyle w:val="eop"/>
          <w:rFonts w:ascii="Palatino Linotype" w:eastAsiaTheme="majorEastAsia" w:hAnsi="Palatino Linotype"/>
          <w:color w:val="000000" w:themeColor="text1"/>
          <w:shd w:val="clear" w:color="auto" w:fill="FFFFFF"/>
        </w:rPr>
        <w:t> </w:t>
      </w:r>
    </w:p>
    <w:p w14:paraId="6BF3F7B6" w14:textId="77777777" w:rsidR="00D33AC2" w:rsidRPr="003538AC" w:rsidRDefault="00D33AC2" w:rsidP="00E23F8A">
      <w:pPr>
        <w:pBdr>
          <w:top w:val="nil"/>
          <w:left w:val="nil"/>
          <w:bottom w:val="nil"/>
          <w:right w:val="nil"/>
          <w:between w:val="nil"/>
        </w:pBdr>
        <w:tabs>
          <w:tab w:val="left" w:pos="142"/>
          <w:tab w:val="left" w:pos="426"/>
          <w:tab w:val="left" w:pos="567"/>
          <w:tab w:val="left" w:pos="8080"/>
          <w:tab w:val="left" w:pos="8222"/>
        </w:tabs>
        <w:ind w:left="567"/>
        <w:jc w:val="both"/>
        <w:rPr>
          <w:rFonts w:ascii="Palatino Linotype" w:eastAsia="Palatino Linotype" w:hAnsi="Palatino Linotype" w:cs="Palatino Linotype"/>
          <w:color w:val="000000" w:themeColor="text1"/>
        </w:rPr>
      </w:pPr>
      <w:r w:rsidRPr="003538AC">
        <w:rPr>
          <w:rStyle w:val="normaltextrun"/>
          <w:rFonts w:ascii="Palatino Linotype" w:eastAsiaTheme="majorEastAsia" w:hAnsi="Palatino Linotype"/>
          <w:b/>
          <w:bCs/>
          <w:i/>
          <w:iCs/>
          <w:color w:val="000000" w:themeColor="text1"/>
          <w:shd w:val="clear" w:color="auto" w:fill="FFFFFF"/>
        </w:rPr>
        <w:t>Actos consentidos tácitamente. Improcedencia de su análisis.</w:t>
      </w:r>
      <w:r w:rsidRPr="003538AC">
        <w:rPr>
          <w:rStyle w:val="normaltextrun"/>
          <w:rFonts w:ascii="Palatino Linotype" w:eastAsiaTheme="majorEastAsia" w:hAnsi="Palatino Linotype"/>
          <w:i/>
          <w:iCs/>
          <w:color w:val="000000" w:themeColor="text1"/>
          <w:shd w:val="clear" w:color="auto" w:fill="FFFFFF"/>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3538AC">
        <w:rPr>
          <w:rStyle w:val="eop"/>
          <w:rFonts w:ascii="Palatino Linotype" w:eastAsiaTheme="majorEastAsia" w:hAnsi="Palatino Linotype"/>
          <w:color w:val="000000" w:themeColor="text1"/>
          <w:shd w:val="clear" w:color="auto" w:fill="FFFFFF"/>
        </w:rPr>
        <w:t> </w:t>
      </w:r>
    </w:p>
    <w:p w14:paraId="0972F243" w14:textId="77777777" w:rsidR="00D33AC2" w:rsidRPr="003538AC" w:rsidRDefault="00D33AC2" w:rsidP="00E23F8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19C4B29C" w14:textId="5664F5FF" w:rsidR="00D33AC2" w:rsidRPr="003538AC" w:rsidRDefault="00D33AC2" w:rsidP="00E23F8A">
      <w:pPr>
        <w:pStyle w:val="Prrafodelista"/>
        <w:numPr>
          <w:ilvl w:val="0"/>
          <w:numId w:val="1"/>
        </w:numPr>
        <w:spacing w:line="360" w:lineRule="auto"/>
        <w:ind w:left="0" w:firstLine="0"/>
        <w:jc w:val="both"/>
        <w:rPr>
          <w:rStyle w:val="normaltextrun"/>
          <w:rFonts w:ascii="Palatino Linotype" w:hAnsi="Palatino Linotype" w:cs="Arial"/>
          <w:color w:val="000000" w:themeColor="text1"/>
          <w:sz w:val="24"/>
        </w:rPr>
      </w:pPr>
      <w:r w:rsidRPr="003538AC">
        <w:rPr>
          <w:rStyle w:val="normaltextrun"/>
          <w:rFonts w:ascii="Palatino Linotype" w:eastAsiaTheme="majorEastAsia" w:hAnsi="Palatino Linotype"/>
          <w:color w:val="000000" w:themeColor="text1"/>
          <w:sz w:val="24"/>
          <w:shd w:val="clear" w:color="auto" w:fill="FFFFFF"/>
        </w:rPr>
        <w:t xml:space="preserve">De lo referido, y a efecto de garantizar el efectivo ejercicio del derecho de acceso a la información pública que asiste al </w:t>
      </w:r>
      <w:r w:rsidRPr="003538AC">
        <w:rPr>
          <w:rStyle w:val="normaltextrun"/>
          <w:rFonts w:ascii="Palatino Linotype" w:eastAsiaTheme="majorEastAsia" w:hAnsi="Palatino Linotype"/>
          <w:b/>
          <w:bCs/>
          <w:color w:val="000000" w:themeColor="text1"/>
          <w:sz w:val="24"/>
          <w:shd w:val="clear" w:color="auto" w:fill="FFFFFF"/>
        </w:rPr>
        <w:t>RECURRENTE</w:t>
      </w:r>
      <w:r w:rsidRPr="003538AC">
        <w:rPr>
          <w:rStyle w:val="normaltextrun"/>
          <w:rFonts w:ascii="Palatino Linotype" w:eastAsiaTheme="majorEastAsia" w:hAnsi="Palatino Linotype"/>
          <w:color w:val="000000" w:themeColor="text1"/>
          <w:sz w:val="24"/>
          <w:shd w:val="clear" w:color="auto" w:fill="FFFFFF"/>
        </w:rPr>
        <w:t xml:space="preserve">, resulta conveniente precisar que el presente análisis versará </w:t>
      </w:r>
      <w:r w:rsidR="003750C1" w:rsidRPr="003538AC">
        <w:rPr>
          <w:rStyle w:val="normaltextrun"/>
          <w:rFonts w:ascii="Palatino Linotype" w:eastAsiaTheme="majorEastAsia" w:hAnsi="Palatino Linotype"/>
          <w:color w:val="000000" w:themeColor="text1"/>
          <w:sz w:val="24"/>
          <w:shd w:val="clear" w:color="auto" w:fill="FFFFFF"/>
        </w:rPr>
        <w:t xml:space="preserve">únicamente sobre lo relativo a la </w:t>
      </w:r>
      <w:r w:rsidR="003750C1" w:rsidRPr="003538AC">
        <w:rPr>
          <w:rStyle w:val="normaltextrun"/>
          <w:rFonts w:ascii="Palatino Linotype" w:eastAsiaTheme="majorEastAsia" w:hAnsi="Palatino Linotype"/>
          <w:b/>
          <w:color w:val="000000" w:themeColor="text1"/>
          <w:sz w:val="24"/>
          <w:shd w:val="clear" w:color="auto" w:fill="FFFFFF"/>
        </w:rPr>
        <w:t>nómina de los servidores públicos adscritos a ese Organismo</w:t>
      </w:r>
      <w:r w:rsidR="00CC0A80" w:rsidRPr="003538AC">
        <w:rPr>
          <w:rStyle w:val="normaltextrun"/>
          <w:rFonts w:ascii="Palatino Linotype" w:eastAsiaTheme="majorEastAsia" w:hAnsi="Palatino Linotype"/>
          <w:b/>
          <w:color w:val="000000" w:themeColor="text1"/>
          <w:sz w:val="24"/>
          <w:shd w:val="clear" w:color="auto" w:fill="FFFFFF"/>
        </w:rPr>
        <w:t>.</w:t>
      </w:r>
    </w:p>
    <w:p w14:paraId="7F67DBC5" w14:textId="77777777" w:rsidR="00B1106A" w:rsidRPr="003538AC" w:rsidRDefault="00B1106A" w:rsidP="00E23F8A">
      <w:pPr>
        <w:pStyle w:val="Prrafodelista"/>
        <w:spacing w:line="360" w:lineRule="auto"/>
        <w:ind w:left="0"/>
        <w:jc w:val="both"/>
        <w:rPr>
          <w:rStyle w:val="normaltextrun"/>
          <w:rFonts w:ascii="Palatino Linotype" w:hAnsi="Palatino Linotype" w:cs="Arial"/>
          <w:color w:val="000000" w:themeColor="text1"/>
          <w:sz w:val="24"/>
        </w:rPr>
      </w:pPr>
    </w:p>
    <w:p w14:paraId="74691C19" w14:textId="7B75E267" w:rsidR="00B1106A" w:rsidRPr="003538AC" w:rsidRDefault="00B1106A" w:rsidP="00E23F8A">
      <w:pPr>
        <w:pStyle w:val="Prrafodelista"/>
        <w:numPr>
          <w:ilvl w:val="0"/>
          <w:numId w:val="1"/>
        </w:numPr>
        <w:spacing w:line="360" w:lineRule="auto"/>
        <w:ind w:left="0" w:firstLine="0"/>
        <w:jc w:val="both"/>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Al respecto, resulta necesario establecer que de acuerdo al artículo 18 del Reglamento Interior del Organismo Público Descentralizado para la Prestación de los Servicios de Agua Potable Alcantarillado y Saneamiento del Municipio de Tlalnepantla de Baz, para el ejercicio de sus funciones y atribuciones cuenta con las siguientes Unidades Administrativas:</w:t>
      </w:r>
    </w:p>
    <w:p w14:paraId="7111E7E1" w14:textId="77777777"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I.</w:t>
      </w:r>
      <w:r w:rsidRPr="003538AC">
        <w:rPr>
          <w:rFonts w:ascii="Palatino Linotype" w:hAnsi="Palatino Linotype"/>
          <w:color w:val="000000" w:themeColor="text1"/>
          <w:sz w:val="24"/>
        </w:rPr>
        <w:t xml:space="preserve"> </w:t>
      </w:r>
      <w:r w:rsidRPr="003538AC">
        <w:rPr>
          <w:rStyle w:val="normaltextrun"/>
          <w:rFonts w:ascii="Palatino Linotype" w:hAnsi="Palatino Linotype" w:cs="Arial"/>
          <w:color w:val="000000" w:themeColor="text1"/>
          <w:sz w:val="24"/>
        </w:rPr>
        <w:t xml:space="preserve">Oficina de Dirección; </w:t>
      </w:r>
    </w:p>
    <w:p w14:paraId="3DAB7151" w14:textId="77777777"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 xml:space="preserve">II. Coordinación Jurídica; </w:t>
      </w:r>
    </w:p>
    <w:p w14:paraId="73B95BC8" w14:textId="77777777"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 xml:space="preserve">III. Secretaría Técnica; </w:t>
      </w:r>
    </w:p>
    <w:p w14:paraId="5E8F9480" w14:textId="77777777" w:rsidR="00B1106A" w:rsidRPr="003538AC" w:rsidRDefault="00B1106A" w:rsidP="00E23F8A">
      <w:pPr>
        <w:pStyle w:val="Prrafodelista"/>
        <w:rPr>
          <w:rStyle w:val="normaltextrun"/>
          <w:rFonts w:ascii="Palatino Linotype" w:hAnsi="Palatino Linotype" w:cs="Arial"/>
          <w:b/>
          <w:color w:val="000000" w:themeColor="text1"/>
          <w:sz w:val="24"/>
        </w:rPr>
      </w:pPr>
      <w:r w:rsidRPr="003538AC">
        <w:rPr>
          <w:rStyle w:val="normaltextrun"/>
          <w:rFonts w:ascii="Palatino Linotype" w:hAnsi="Palatino Linotype" w:cs="Arial"/>
          <w:b/>
          <w:color w:val="000000" w:themeColor="text1"/>
          <w:sz w:val="24"/>
        </w:rPr>
        <w:t xml:space="preserve">IV. Oficialía Mayor; </w:t>
      </w:r>
    </w:p>
    <w:p w14:paraId="63B7E295" w14:textId="77777777"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 xml:space="preserve">V. Gerencia de Construcción y Operación Hidráulica; </w:t>
      </w:r>
    </w:p>
    <w:p w14:paraId="5F7C51BE" w14:textId="77777777"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 xml:space="preserve">VI. Delegación Tlalnepantla Oriente; </w:t>
      </w:r>
    </w:p>
    <w:p w14:paraId="4A74D694" w14:textId="77777777"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 xml:space="preserve">VII. Contraloría Interna; y </w:t>
      </w:r>
    </w:p>
    <w:p w14:paraId="50CEFDB5" w14:textId="7F58C574" w:rsidR="00B1106A" w:rsidRPr="003538AC" w:rsidRDefault="00B1106A" w:rsidP="00E23F8A">
      <w:pPr>
        <w:pStyle w:val="Prrafodelista"/>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t>VIII. Unidad de Transparencia</w:t>
      </w:r>
    </w:p>
    <w:p w14:paraId="2FE7FC85" w14:textId="77777777" w:rsidR="00B1106A" w:rsidRDefault="00B1106A" w:rsidP="00E23F8A">
      <w:pPr>
        <w:pStyle w:val="Prrafodelista"/>
        <w:rPr>
          <w:rStyle w:val="normaltextrun"/>
          <w:rFonts w:ascii="Palatino Linotype" w:hAnsi="Palatino Linotype" w:cs="Arial"/>
          <w:color w:val="000000" w:themeColor="text1"/>
          <w:sz w:val="24"/>
        </w:rPr>
      </w:pPr>
    </w:p>
    <w:p w14:paraId="4BFF56AB" w14:textId="77777777" w:rsidR="003440E8" w:rsidRPr="003538AC" w:rsidRDefault="003440E8" w:rsidP="00E23F8A">
      <w:pPr>
        <w:pStyle w:val="Prrafodelista"/>
        <w:rPr>
          <w:rStyle w:val="normaltextrun"/>
          <w:rFonts w:ascii="Palatino Linotype" w:hAnsi="Palatino Linotype" w:cs="Arial"/>
          <w:color w:val="000000" w:themeColor="text1"/>
          <w:sz w:val="24"/>
        </w:rPr>
      </w:pPr>
    </w:p>
    <w:p w14:paraId="747B8160" w14:textId="316D524E" w:rsidR="00B1106A" w:rsidRPr="003538AC" w:rsidRDefault="00B1106A" w:rsidP="00E23F8A">
      <w:pPr>
        <w:pStyle w:val="Prrafodelista"/>
        <w:numPr>
          <w:ilvl w:val="0"/>
          <w:numId w:val="1"/>
        </w:numPr>
        <w:spacing w:line="360" w:lineRule="auto"/>
        <w:ind w:left="0" w:firstLine="0"/>
        <w:jc w:val="both"/>
        <w:rPr>
          <w:rStyle w:val="normaltextrun"/>
          <w:rFonts w:ascii="Palatino Linotype" w:hAnsi="Palatino Linotype" w:cs="Arial"/>
          <w:color w:val="000000" w:themeColor="text1"/>
          <w:sz w:val="24"/>
        </w:rPr>
      </w:pPr>
      <w:r w:rsidRPr="003538AC">
        <w:rPr>
          <w:rStyle w:val="normaltextrun"/>
          <w:rFonts w:ascii="Palatino Linotype" w:hAnsi="Palatino Linotype" w:cs="Arial"/>
          <w:color w:val="000000" w:themeColor="text1"/>
          <w:sz w:val="24"/>
        </w:rPr>
        <w:lastRenderedPageBreak/>
        <w:t>Así mismo, el mismo ordenamiento legal, refiere en su artículo 40 las atribuciones que se le confieren a la Oficialía Mayor, lo cual a la letra señala:</w:t>
      </w:r>
    </w:p>
    <w:p w14:paraId="01572121" w14:textId="77777777" w:rsidR="00B1106A" w:rsidRPr="003538AC" w:rsidRDefault="00B1106A" w:rsidP="00E23F8A">
      <w:pPr>
        <w:pStyle w:val="Prrafodelista"/>
        <w:numPr>
          <w:ilvl w:val="0"/>
          <w:numId w:val="11"/>
        </w:numPr>
        <w:jc w:val="both"/>
        <w:rPr>
          <w:rFonts w:ascii="Palatino Linotype" w:hAnsi="Palatino Linotype"/>
          <w:b/>
          <w:i/>
          <w:color w:val="000000" w:themeColor="text1"/>
          <w:sz w:val="24"/>
        </w:rPr>
      </w:pPr>
      <w:r w:rsidRPr="003538AC">
        <w:rPr>
          <w:rFonts w:ascii="Palatino Linotype" w:hAnsi="Palatino Linotype"/>
          <w:b/>
          <w:i/>
          <w:color w:val="000000" w:themeColor="text1"/>
          <w:sz w:val="24"/>
          <w:u w:val="single"/>
        </w:rPr>
        <w:t>Conducir la administración de los recursos humanos</w:t>
      </w:r>
      <w:r w:rsidRPr="003538AC">
        <w:rPr>
          <w:rFonts w:ascii="Palatino Linotype" w:hAnsi="Palatino Linotype"/>
          <w:b/>
          <w:i/>
          <w:color w:val="000000" w:themeColor="text1"/>
          <w:sz w:val="24"/>
        </w:rPr>
        <w:t xml:space="preserve">, materiales y financieros del Organismo de conformidad a su misión y objetivo; </w:t>
      </w:r>
    </w:p>
    <w:p w14:paraId="4EA3B6A6" w14:textId="77777777" w:rsidR="00B1106A" w:rsidRPr="003538AC" w:rsidRDefault="00B1106A" w:rsidP="00E23F8A">
      <w:pPr>
        <w:pStyle w:val="Prrafodelista"/>
        <w:numPr>
          <w:ilvl w:val="0"/>
          <w:numId w:val="11"/>
        </w:numPr>
        <w:jc w:val="both"/>
        <w:rPr>
          <w:rFonts w:ascii="Palatino Linotype" w:hAnsi="Palatino Linotype"/>
          <w:b/>
          <w:i/>
          <w:color w:val="000000" w:themeColor="text1"/>
          <w:sz w:val="24"/>
        </w:rPr>
      </w:pPr>
      <w:r w:rsidRPr="003538AC">
        <w:rPr>
          <w:rFonts w:ascii="Palatino Linotype" w:hAnsi="Palatino Linotype"/>
          <w:b/>
          <w:i/>
          <w:color w:val="000000" w:themeColor="text1"/>
          <w:sz w:val="24"/>
        </w:rPr>
        <w:t xml:space="preserve">Proveer a las unidades administrativas de los bienes y servicios que requieran para el desarrollo de sus funciones; </w:t>
      </w:r>
    </w:p>
    <w:p w14:paraId="6F2630F2" w14:textId="48383AE9" w:rsidR="00B1106A" w:rsidRPr="003538AC" w:rsidRDefault="00B1106A" w:rsidP="00E23F8A">
      <w:pPr>
        <w:pStyle w:val="Prrafodelista"/>
        <w:numPr>
          <w:ilvl w:val="0"/>
          <w:numId w:val="11"/>
        </w:numPr>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Proponer a la Dirección General el programa de mantenimiento y conservación de los bienes muebles e inmuebles bajo criterios que tiendan al óptimo funcionamiento del equipo y de las instalaciones propiedad del Organismo; </w:t>
      </w:r>
    </w:p>
    <w:p w14:paraId="201702D9" w14:textId="77777777" w:rsidR="00A0493E" w:rsidRPr="003538AC" w:rsidRDefault="00B1106A" w:rsidP="00E23F8A">
      <w:pPr>
        <w:pStyle w:val="Prrafodelista"/>
        <w:numPr>
          <w:ilvl w:val="0"/>
          <w:numId w:val="11"/>
        </w:numPr>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Elaborar y mantener actualizado el inventario general y los expedientes de los bienes muebles e inmuebles; </w:t>
      </w:r>
    </w:p>
    <w:p w14:paraId="7207D238" w14:textId="77777777" w:rsidR="00A0493E" w:rsidRPr="003538AC" w:rsidRDefault="00B1106A" w:rsidP="00E23F8A">
      <w:pPr>
        <w:pStyle w:val="Prrafodelista"/>
        <w:numPr>
          <w:ilvl w:val="0"/>
          <w:numId w:val="11"/>
        </w:numPr>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Tramitar los procedimientos para las adquisiciones de bienes y servicios; </w:t>
      </w:r>
    </w:p>
    <w:p w14:paraId="4A497E1D" w14:textId="77777777" w:rsidR="00A0493E" w:rsidRPr="003538AC" w:rsidRDefault="00B1106A" w:rsidP="00E23F8A">
      <w:pPr>
        <w:pStyle w:val="Prrafodelista"/>
        <w:numPr>
          <w:ilvl w:val="0"/>
          <w:numId w:val="11"/>
        </w:numPr>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Establecer, controlar y evaluar el programa de protección civil del organismo, así como la vigilancia de su aplicación; </w:t>
      </w:r>
    </w:p>
    <w:p w14:paraId="49FB4A82" w14:textId="4E34D617" w:rsidR="00B1106A" w:rsidRPr="003538AC" w:rsidRDefault="00B1106A" w:rsidP="00E23F8A">
      <w:pPr>
        <w:pStyle w:val="Prrafodelista"/>
        <w:numPr>
          <w:ilvl w:val="0"/>
          <w:numId w:val="11"/>
        </w:numPr>
        <w:jc w:val="both"/>
        <w:rPr>
          <w:rFonts w:ascii="Palatino Linotype" w:hAnsi="Palatino Linotype"/>
          <w:i/>
          <w:color w:val="000000" w:themeColor="text1"/>
          <w:sz w:val="24"/>
        </w:rPr>
      </w:pPr>
      <w:r w:rsidRPr="003538AC">
        <w:rPr>
          <w:rFonts w:ascii="Palatino Linotype" w:hAnsi="Palatino Linotype"/>
          <w:i/>
          <w:color w:val="000000" w:themeColor="text1"/>
          <w:sz w:val="24"/>
        </w:rPr>
        <w:t>Integrar, administrar, vigilar y controlar los presupuestos de ingresos y egresos;</w:t>
      </w:r>
    </w:p>
    <w:p w14:paraId="5E1D5730" w14:textId="77777777" w:rsidR="00B1106A" w:rsidRPr="003538AC" w:rsidRDefault="00B1106A" w:rsidP="00E23F8A">
      <w:pPr>
        <w:pStyle w:val="Prrafodelista"/>
        <w:numPr>
          <w:ilvl w:val="0"/>
          <w:numId w:val="11"/>
        </w:numPr>
        <w:jc w:val="both"/>
        <w:rPr>
          <w:rFonts w:ascii="Palatino Linotype" w:hAnsi="Palatino Linotype" w:cs="Arial"/>
          <w:b/>
          <w:i/>
          <w:color w:val="000000" w:themeColor="text1"/>
          <w:sz w:val="24"/>
        </w:rPr>
      </w:pPr>
      <w:r w:rsidRPr="003538AC">
        <w:rPr>
          <w:rFonts w:ascii="Palatino Linotype" w:hAnsi="Palatino Linotype"/>
          <w:b/>
          <w:i/>
          <w:color w:val="000000" w:themeColor="text1"/>
          <w:sz w:val="24"/>
        </w:rPr>
        <w:t xml:space="preserve">Programación y pago de las obligaciones del Organismo; </w:t>
      </w:r>
    </w:p>
    <w:p w14:paraId="5C06016D"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 Abrir, administrar y en su caso cancelar cuentas bancarias; </w:t>
      </w:r>
    </w:p>
    <w:p w14:paraId="07AF893E"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Invertir los excedentes de efectivo en valores que proporcionen seguridad; </w:t>
      </w:r>
    </w:p>
    <w:p w14:paraId="18BC4652"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Custodiar los documentos mercantiles y títulos de crédito; </w:t>
      </w:r>
    </w:p>
    <w:p w14:paraId="4F7BD2E4"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Administrar cooperaciones y aportaciones que amplíen el patrimonio del Organismo; </w:t>
      </w:r>
    </w:p>
    <w:p w14:paraId="5B13617E" w14:textId="77777777" w:rsidR="00A0493E" w:rsidRPr="003538AC" w:rsidRDefault="00B1106A" w:rsidP="00E23F8A">
      <w:pPr>
        <w:pStyle w:val="Prrafodelista"/>
        <w:numPr>
          <w:ilvl w:val="0"/>
          <w:numId w:val="11"/>
        </w:numPr>
        <w:jc w:val="both"/>
        <w:rPr>
          <w:rFonts w:ascii="Palatino Linotype" w:hAnsi="Palatino Linotype" w:cs="Arial"/>
          <w:b/>
          <w:i/>
          <w:color w:val="000000" w:themeColor="text1"/>
          <w:sz w:val="24"/>
        </w:rPr>
      </w:pPr>
      <w:r w:rsidRPr="003538AC">
        <w:rPr>
          <w:rFonts w:ascii="Palatino Linotype" w:hAnsi="Palatino Linotype"/>
          <w:b/>
          <w:i/>
          <w:color w:val="000000" w:themeColor="text1"/>
          <w:sz w:val="24"/>
        </w:rPr>
        <w:t xml:space="preserve">Integrar y elaborar la contabilidad financiera y presupuestal; </w:t>
      </w:r>
    </w:p>
    <w:p w14:paraId="59864205"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Gestionar la publicación anual en la Gaceta del Gobierno y en la Gaceta Municipal, del balance de los estados financieros; </w:t>
      </w:r>
    </w:p>
    <w:p w14:paraId="2392FB36"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Diseñar y proponer sistemas para la contratación de créditos y para la vigilancia de su utilización; </w:t>
      </w:r>
    </w:p>
    <w:p w14:paraId="32034F6F"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Atender la facturación y cobro de los derechos por la prestación de los servicios a cargo del Organismo; </w:t>
      </w:r>
    </w:p>
    <w:p w14:paraId="7BA7553B"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Hacer exigible los créditos fiscales derivados del incumplimiento de pago de contribuciones; </w:t>
      </w:r>
    </w:p>
    <w:p w14:paraId="22B53FD0"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Expedir a los usuarios, en su caso, certificaciones de pago de derechos; y suscribir convenios de reconocimiento de adeudo y pago en plazos de los créditos fiscales; y atender en tiempo y forma las solicitudes que formulen los usuarios; </w:t>
      </w:r>
    </w:p>
    <w:p w14:paraId="20136FD7" w14:textId="77777777" w:rsidR="00A0493E" w:rsidRPr="003538AC" w:rsidRDefault="00B1106A" w:rsidP="00E23F8A">
      <w:pPr>
        <w:pStyle w:val="Prrafodelista"/>
        <w:numPr>
          <w:ilvl w:val="0"/>
          <w:numId w:val="11"/>
        </w:numPr>
        <w:jc w:val="both"/>
        <w:rPr>
          <w:rFonts w:ascii="Palatino Linotype" w:hAnsi="Palatino Linotype" w:cs="Arial"/>
          <w:i/>
          <w:color w:val="000000" w:themeColor="text1"/>
          <w:sz w:val="24"/>
        </w:rPr>
      </w:pPr>
      <w:r w:rsidRPr="003538AC">
        <w:rPr>
          <w:rFonts w:ascii="Palatino Linotype" w:hAnsi="Palatino Linotype"/>
          <w:i/>
          <w:color w:val="000000" w:themeColor="text1"/>
          <w:sz w:val="24"/>
        </w:rPr>
        <w:t xml:space="preserve">Ejercer las atribuciones y funciones de autoridad fiscal que le delegue el Director General; y </w:t>
      </w:r>
    </w:p>
    <w:p w14:paraId="1948D243" w14:textId="24B6524A" w:rsidR="00B1106A" w:rsidRPr="003538AC" w:rsidRDefault="00B1106A" w:rsidP="00E23F8A">
      <w:pPr>
        <w:pStyle w:val="Prrafodelista"/>
        <w:numPr>
          <w:ilvl w:val="0"/>
          <w:numId w:val="11"/>
        </w:numPr>
        <w:jc w:val="both"/>
        <w:rPr>
          <w:rStyle w:val="normaltextrun"/>
          <w:rFonts w:ascii="Palatino Linotype" w:hAnsi="Palatino Linotype" w:cs="Arial"/>
          <w:i/>
          <w:color w:val="000000" w:themeColor="text1"/>
          <w:sz w:val="24"/>
        </w:rPr>
      </w:pPr>
      <w:r w:rsidRPr="003538AC">
        <w:rPr>
          <w:rFonts w:ascii="Palatino Linotype" w:hAnsi="Palatino Linotype"/>
          <w:i/>
          <w:color w:val="000000" w:themeColor="text1"/>
          <w:sz w:val="24"/>
        </w:rPr>
        <w:t>Atender en el ámbito de su competencia, los asuntos que le encomiende el Director General</w:t>
      </w:r>
    </w:p>
    <w:p w14:paraId="10E02089" w14:textId="20593680" w:rsidR="00A55558" w:rsidRPr="003538AC" w:rsidRDefault="00A0493E" w:rsidP="00E23F8A">
      <w:pPr>
        <w:pStyle w:val="Prrafodelista"/>
        <w:numPr>
          <w:ilvl w:val="0"/>
          <w:numId w:val="1"/>
        </w:numPr>
        <w:spacing w:line="360" w:lineRule="auto"/>
        <w:ind w:left="0" w:firstLine="0"/>
        <w:jc w:val="both"/>
        <w:rPr>
          <w:rFonts w:ascii="Palatino Linotype" w:eastAsia="MS Mincho" w:hAnsi="Palatino Linotype"/>
          <w:color w:val="000000" w:themeColor="text1"/>
          <w:sz w:val="24"/>
        </w:rPr>
      </w:pPr>
      <w:r w:rsidRPr="003538AC">
        <w:rPr>
          <w:rFonts w:ascii="Palatino Linotype" w:eastAsia="MS Mincho" w:hAnsi="Palatino Linotype"/>
          <w:color w:val="000000" w:themeColor="text1"/>
          <w:sz w:val="24"/>
        </w:rPr>
        <w:lastRenderedPageBreak/>
        <w:t>Con lo anterior se vislumbra que la Oficialía Mayor, cuenta con las atribuc</w:t>
      </w:r>
      <w:r w:rsidR="00AC67AE" w:rsidRPr="003538AC">
        <w:rPr>
          <w:rFonts w:ascii="Palatino Linotype" w:eastAsia="MS Mincho" w:hAnsi="Palatino Linotype"/>
          <w:color w:val="000000" w:themeColor="text1"/>
          <w:sz w:val="24"/>
        </w:rPr>
        <w:t xml:space="preserve">iones para poseer, administrar </w:t>
      </w:r>
      <w:r w:rsidRPr="003538AC">
        <w:rPr>
          <w:rFonts w:ascii="Palatino Linotype" w:eastAsia="MS Mincho" w:hAnsi="Palatino Linotype"/>
          <w:color w:val="000000" w:themeColor="text1"/>
          <w:sz w:val="24"/>
        </w:rPr>
        <w:t xml:space="preserve">generar la información solicitada por el recurrente, no obstante remitió u documento </w:t>
      </w:r>
      <w:r w:rsidRPr="003538AC">
        <w:rPr>
          <w:rFonts w:ascii="Palatino Linotype" w:eastAsia="MS Mincho" w:hAnsi="Palatino Linotype"/>
          <w:i/>
          <w:color w:val="000000" w:themeColor="text1"/>
          <w:sz w:val="24"/>
        </w:rPr>
        <w:t>ad hoc</w:t>
      </w:r>
      <w:r w:rsidRPr="003538AC">
        <w:rPr>
          <w:rFonts w:ascii="Palatino Linotype" w:eastAsia="MS Mincho" w:hAnsi="Palatino Linotype"/>
          <w:color w:val="000000" w:themeColor="text1"/>
          <w:sz w:val="24"/>
        </w:rPr>
        <w:t>, situación de la que se duele el impetrante</w:t>
      </w:r>
      <w:r w:rsidR="00A55558" w:rsidRPr="003538AC">
        <w:rPr>
          <w:rFonts w:ascii="Palatino Linotype" w:eastAsia="MS Mincho" w:hAnsi="Palatino Linotype"/>
          <w:color w:val="000000" w:themeColor="text1"/>
          <w:sz w:val="24"/>
        </w:rPr>
        <w:t xml:space="preserve">, ya que si bien es cierto, en el documento remitido, se advierte el nombre del trabajador, fecha de alta, Departamento de Adscripción, puesto que ejerce, la clasificación u salario bruto mensual, no obstante de tal instrumento no se advierte la percepción neta, de cada servidor público, por tanto el documento remitido, no colma con lo solicitado por el particular, toda vez que no garantiza el derecho de acceso a la información. </w:t>
      </w:r>
    </w:p>
    <w:p w14:paraId="13C3ED0B" w14:textId="77777777" w:rsidR="00A55558" w:rsidRPr="003538AC" w:rsidRDefault="00A55558" w:rsidP="00E23F8A">
      <w:pPr>
        <w:pStyle w:val="Prrafodelista"/>
        <w:spacing w:line="360" w:lineRule="auto"/>
        <w:ind w:left="0"/>
        <w:jc w:val="both"/>
        <w:rPr>
          <w:rFonts w:ascii="Palatino Linotype" w:eastAsia="MS Mincho" w:hAnsi="Palatino Linotype"/>
          <w:color w:val="000000" w:themeColor="text1"/>
          <w:sz w:val="24"/>
        </w:rPr>
      </w:pPr>
    </w:p>
    <w:p w14:paraId="200AD331" w14:textId="2FEDC6AA" w:rsidR="00D66728" w:rsidRPr="003538AC" w:rsidRDefault="001E3C26" w:rsidP="00E23F8A">
      <w:pPr>
        <w:pStyle w:val="Prrafodelista"/>
        <w:numPr>
          <w:ilvl w:val="0"/>
          <w:numId w:val="1"/>
        </w:numPr>
        <w:spacing w:line="360" w:lineRule="auto"/>
        <w:ind w:left="0" w:firstLine="0"/>
        <w:jc w:val="both"/>
        <w:rPr>
          <w:rFonts w:ascii="Palatino Linotype" w:eastAsia="MS Mincho" w:hAnsi="Palatino Linotype"/>
          <w:color w:val="000000" w:themeColor="text1"/>
          <w:sz w:val="24"/>
        </w:rPr>
      </w:pPr>
      <w:r w:rsidRPr="003538AC">
        <w:rPr>
          <w:rFonts w:ascii="Palatino Linotype" w:eastAsia="MS Mincho" w:hAnsi="Palatino Linotype"/>
          <w:color w:val="000000" w:themeColor="text1"/>
          <w:sz w:val="24"/>
        </w:rPr>
        <w:t>Por lo anterior, d</w:t>
      </w:r>
      <w:r w:rsidR="00D66728" w:rsidRPr="003538AC">
        <w:rPr>
          <w:rFonts w:ascii="Palatino Linotype" w:eastAsia="MS Mincho" w:hAnsi="Palatino Linotype"/>
          <w:color w:val="000000" w:themeColor="text1"/>
          <w:sz w:val="24"/>
        </w:rPr>
        <w:t xml:space="preserve">ebemos mencionar que el acceso a la información es un derecho humano constitucional y convencionalmente reconocido y para tal efecto </w:t>
      </w:r>
      <w:r w:rsidR="00D66728" w:rsidRPr="003538AC">
        <w:rPr>
          <w:rFonts w:ascii="Palatino Linotype" w:eastAsia="Calibri" w:hAnsi="Palatino Linotype"/>
          <w:color w:val="000000" w:themeColor="text1"/>
          <w:sz w:val="24"/>
          <w:lang w:val="es-ES"/>
        </w:rPr>
        <w:t xml:space="preserve">el párrafo tercero del artículo primero de la Constitución Política de los Estados Unidos Mexicanos establece que el deber de todas las autoridades, </w:t>
      </w:r>
      <w:r w:rsidR="00D66728" w:rsidRPr="003538AC">
        <w:rPr>
          <w:rFonts w:ascii="Palatino Linotype" w:eastAsia="Calibri" w:hAnsi="Palatino Linotype"/>
          <w:i/>
          <w:color w:val="000000" w:themeColor="text1"/>
          <w:sz w:val="24"/>
          <w:lang w:val="es-ES"/>
        </w:rPr>
        <w:t xml:space="preserve">en el ámbito de sus atribuciones, de promover, respetar, proteger y </w:t>
      </w:r>
      <w:r w:rsidR="00D66728" w:rsidRPr="003538AC">
        <w:rPr>
          <w:rFonts w:ascii="Palatino Linotype" w:eastAsia="Calibri" w:hAnsi="Palatino Linotype"/>
          <w:b/>
          <w:i/>
          <w:color w:val="000000" w:themeColor="text1"/>
          <w:sz w:val="24"/>
          <w:lang w:val="es-ES"/>
        </w:rPr>
        <w:t>garantizar</w:t>
      </w:r>
      <w:r w:rsidR="00D66728" w:rsidRPr="003538AC">
        <w:rPr>
          <w:rFonts w:ascii="Palatino Linotype" w:eastAsia="Calibri" w:hAnsi="Palatino Linotype"/>
          <w:i/>
          <w:color w:val="000000" w:themeColor="text1"/>
          <w:sz w:val="24"/>
          <w:lang w:val="es-ES"/>
        </w:rPr>
        <w:t xml:space="preserve"> los derechos humanos. </w:t>
      </w:r>
      <w:r w:rsidR="00D66728" w:rsidRPr="003538AC">
        <w:rPr>
          <w:rFonts w:ascii="Palatino Linotype" w:eastAsia="Calibri" w:hAnsi="Palatino Linotype"/>
          <w:b/>
          <w:i/>
          <w:color w:val="000000" w:themeColor="text1"/>
          <w:sz w:val="24"/>
          <w:lang w:val="es-ES"/>
        </w:rPr>
        <w:t>En cuanto al derecho de acceso a la información, la Ley de Transparencia y Acceso a la Información Pública del Estado de México y Municipios prevé establece que e</w:t>
      </w:r>
      <w:r w:rsidR="00D66728" w:rsidRPr="003538AC">
        <w:rPr>
          <w:rFonts w:ascii="Palatino Linotype" w:hAnsi="Palatino Linotype"/>
          <w:i/>
          <w:color w:val="000000" w:themeColor="text1"/>
          <w:sz w:val="24"/>
        </w:rPr>
        <w:t>l procedimiento de acceso a la información es la garantía primaria del derecho en cuestión y se rige por los principios de simplicidad, rapidez y gratuidad del procedimiento, auxilio y orientación a los particulares</w:t>
      </w:r>
      <w:r w:rsidR="00D66728" w:rsidRPr="003538AC">
        <w:rPr>
          <w:rStyle w:val="Refdenotaalpie"/>
          <w:rFonts w:ascii="Palatino Linotype" w:hAnsi="Palatino Linotype"/>
          <w:i/>
          <w:color w:val="000000" w:themeColor="text1"/>
          <w:sz w:val="24"/>
        </w:rPr>
        <w:footnoteReference w:id="5"/>
      </w:r>
      <w:r w:rsidR="00D66728" w:rsidRPr="003538AC">
        <w:rPr>
          <w:rFonts w:ascii="Palatino Linotype" w:hAnsi="Palatino Linotype"/>
          <w:i/>
          <w:color w:val="000000" w:themeColor="text1"/>
          <w:sz w:val="24"/>
        </w:rPr>
        <w:t xml:space="preserve">, </w:t>
      </w:r>
      <w:r w:rsidR="00D66728" w:rsidRPr="003538AC">
        <w:rPr>
          <w:rFonts w:ascii="Palatino Linotype" w:hAnsi="Palatino Linotype"/>
          <w:color w:val="000000" w:themeColor="text1"/>
          <w:sz w:val="24"/>
        </w:rPr>
        <w:t>asimismo establece</w:t>
      </w:r>
      <w:r w:rsidR="00D66728" w:rsidRPr="003538AC">
        <w:rPr>
          <w:rFonts w:ascii="Palatino Linotype" w:hAnsi="Palatino Linotype"/>
          <w:i/>
          <w:color w:val="000000" w:themeColor="text1"/>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EE91838" w14:textId="77777777" w:rsidR="00D66728" w:rsidRPr="003538AC" w:rsidRDefault="00D66728"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hAnsi="Palatino Linotype"/>
          <w:color w:val="000000" w:themeColor="text1"/>
          <w:sz w:val="24"/>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F531B7F" w14:textId="77777777" w:rsidR="00D66728" w:rsidRPr="003538AC" w:rsidRDefault="00D66728" w:rsidP="00E23F8A">
      <w:pPr>
        <w:pStyle w:val="Prrafodelista"/>
        <w:rPr>
          <w:rFonts w:ascii="Palatino Linotype" w:hAnsi="Palatino Linotype"/>
          <w:color w:val="000000" w:themeColor="text1"/>
          <w:sz w:val="24"/>
        </w:rPr>
      </w:pPr>
    </w:p>
    <w:p w14:paraId="4252BA6B" w14:textId="77777777" w:rsidR="00D66728" w:rsidRPr="003538AC" w:rsidRDefault="00D66728" w:rsidP="00E23F8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3538AC">
        <w:rPr>
          <w:rFonts w:ascii="Palatino Linotype" w:hAnsi="Palatino Linotype"/>
          <w:color w:val="000000" w:themeColor="text1"/>
          <w:sz w:val="24"/>
        </w:rPr>
        <w:t xml:space="preserve">Es así que, su obligación es </w:t>
      </w:r>
      <w:r w:rsidRPr="003538AC">
        <w:rPr>
          <w:rFonts w:ascii="Palatino Linotype" w:hAnsi="Palatino Linotype"/>
          <w:i/>
          <w:color w:val="000000" w:themeColor="text1"/>
          <w:sz w:val="24"/>
        </w:rPr>
        <w:t>realizar, con efectividad, los trámites internos necesarios para la atención de las solicitudes de información</w:t>
      </w:r>
      <w:r w:rsidRPr="003538AC">
        <w:rPr>
          <w:rStyle w:val="Refdenotaalpie"/>
          <w:rFonts w:ascii="Palatino Linotype" w:hAnsi="Palatino Linotype"/>
          <w:color w:val="000000" w:themeColor="text1"/>
          <w:sz w:val="24"/>
        </w:rPr>
        <w:footnoteReference w:id="6"/>
      </w:r>
      <w:r w:rsidRPr="003538AC">
        <w:rPr>
          <w:rFonts w:ascii="Palatino Linotype" w:hAnsi="Palatino Linotype"/>
          <w:color w:val="000000" w:themeColor="text1"/>
          <w:sz w:val="24"/>
        </w:rPr>
        <w:t>, es decir, deben otorgar respuestas concisas, contundentes y sobre todo que den la certeza de los actos que realizan.</w:t>
      </w:r>
    </w:p>
    <w:p w14:paraId="7AC66832" w14:textId="77777777" w:rsidR="00D66728" w:rsidRPr="003538AC" w:rsidRDefault="00D66728" w:rsidP="00E23F8A">
      <w:pPr>
        <w:pStyle w:val="Prrafodelista"/>
        <w:rPr>
          <w:rFonts w:ascii="Palatino Linotype" w:eastAsia="Calibri" w:hAnsi="Palatino Linotype" w:cs="Arial"/>
          <w:color w:val="000000" w:themeColor="text1"/>
          <w:sz w:val="24"/>
        </w:rPr>
      </w:pPr>
    </w:p>
    <w:p w14:paraId="28983163" w14:textId="77777777" w:rsidR="00D66728" w:rsidRPr="003538AC" w:rsidRDefault="00D66728" w:rsidP="00E23F8A">
      <w:pPr>
        <w:pStyle w:val="Prrafodelista"/>
        <w:numPr>
          <w:ilvl w:val="0"/>
          <w:numId w:val="1"/>
        </w:numPr>
        <w:spacing w:line="360" w:lineRule="auto"/>
        <w:ind w:left="0" w:firstLine="0"/>
        <w:jc w:val="both"/>
        <w:rPr>
          <w:rFonts w:ascii="Palatino Linotype" w:eastAsia="MS Mincho" w:hAnsi="Palatino Linotype"/>
          <w:color w:val="000000" w:themeColor="text1"/>
          <w:sz w:val="24"/>
        </w:rPr>
      </w:pPr>
      <w:r w:rsidRPr="003538AC">
        <w:rPr>
          <w:rFonts w:ascii="Palatino Linotype" w:eastAsia="Palatino Linotype" w:hAnsi="Palatino Linotype" w:cs="Palatino Linotype"/>
          <w:color w:val="000000" w:themeColor="text1"/>
          <w:sz w:val="24"/>
        </w:rPr>
        <w:t xml:space="preserve">Al respecto, es menester hacer referencia a lo establecido en los artículos 50, 53 fracciones II, IV y V, 58, 59 fracciones I y II, y 162 </w:t>
      </w:r>
      <w:r w:rsidRPr="003538AC">
        <w:rPr>
          <w:rFonts w:ascii="Palatino Linotype" w:eastAsia="Arial Unicode MS" w:hAnsi="Palatino Linotype" w:cs="Arial"/>
          <w:color w:val="000000" w:themeColor="text1"/>
          <w:sz w:val="24"/>
          <w:lang w:eastAsia="en-US"/>
        </w:rPr>
        <w:t>de la Ley de Transparencia y Acceso a la Información del Estado de México y Municipios, que a la letra estipulan lo siguiente:</w:t>
      </w:r>
    </w:p>
    <w:p w14:paraId="5A78412A"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i/>
          <w:iCs/>
          <w:color w:val="000000" w:themeColor="text1"/>
        </w:rPr>
        <w:t>Artículo 50. Los sujetos obligados contarán con un área responsable para la atención de las solicitudes de información, a la que se le denominará Unidad de Transparencia.</w:t>
      </w:r>
    </w:p>
    <w:p w14:paraId="5268BCB4"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p>
    <w:p w14:paraId="171C1411"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i/>
          <w:iCs/>
          <w:color w:val="000000" w:themeColor="text1"/>
        </w:rPr>
        <w:t xml:space="preserve">Artículo 53. </w:t>
      </w:r>
      <w:r w:rsidRPr="003538AC">
        <w:rPr>
          <w:rFonts w:ascii="Palatino Linotype" w:eastAsia="Palatino Linotype" w:hAnsi="Palatino Linotype" w:cs="Palatino Linotype"/>
          <w:i/>
          <w:iCs/>
          <w:color w:val="000000" w:themeColor="text1"/>
        </w:rPr>
        <w:t>Las Unidades de Transparencia tendrán las siguientes funciones:</w:t>
      </w:r>
    </w:p>
    <w:p w14:paraId="2B3A9F60"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i/>
          <w:iCs/>
          <w:color w:val="000000" w:themeColor="text1"/>
        </w:rPr>
        <w:t>(…)</w:t>
      </w:r>
    </w:p>
    <w:p w14:paraId="0300FF7E"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bCs/>
          <w:i/>
          <w:iCs/>
          <w:color w:val="000000" w:themeColor="text1"/>
        </w:rPr>
        <w:t>II.</w:t>
      </w:r>
      <w:r w:rsidRPr="003538AC">
        <w:rPr>
          <w:rFonts w:ascii="Palatino Linotype" w:eastAsia="Palatino Linotype" w:hAnsi="Palatino Linotype" w:cs="Palatino Linotype"/>
          <w:i/>
          <w:iCs/>
          <w:color w:val="000000" w:themeColor="text1"/>
        </w:rPr>
        <w:t xml:space="preserve"> Recibir, tramitar y dar respuesta a las solicitudes de acceso a la información;</w:t>
      </w:r>
    </w:p>
    <w:p w14:paraId="5856418A"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i/>
          <w:iCs/>
          <w:color w:val="000000" w:themeColor="text1"/>
        </w:rPr>
        <w:t>(…)</w:t>
      </w:r>
    </w:p>
    <w:p w14:paraId="001D30E4"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bCs/>
          <w:i/>
          <w:iCs/>
          <w:color w:val="000000" w:themeColor="text1"/>
        </w:rPr>
        <w:t>IV.</w:t>
      </w:r>
      <w:r w:rsidRPr="003538AC">
        <w:rPr>
          <w:rFonts w:ascii="Palatino Linotype" w:eastAsia="Palatino Linotype" w:hAnsi="Palatino Linotype" w:cs="Palatino Linotype"/>
          <w:i/>
          <w:iCs/>
          <w:color w:val="000000" w:themeColor="text1"/>
        </w:rPr>
        <w:t xml:space="preserve"> Realizar, con efectividad, los trámites internos necesarios para la atención de las solicitudes de acceso a la información;</w:t>
      </w:r>
    </w:p>
    <w:p w14:paraId="7AE95891"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bCs/>
          <w:i/>
          <w:iCs/>
          <w:color w:val="000000" w:themeColor="text1"/>
        </w:rPr>
        <w:t>V.</w:t>
      </w:r>
      <w:r w:rsidRPr="003538AC">
        <w:rPr>
          <w:rFonts w:ascii="Palatino Linotype" w:eastAsia="Palatino Linotype" w:hAnsi="Palatino Linotype" w:cs="Palatino Linotype"/>
          <w:i/>
          <w:iCs/>
          <w:color w:val="000000" w:themeColor="text1"/>
        </w:rPr>
        <w:t xml:space="preserve"> Entregar, en su caso, a los particulares la información solicitada;</w:t>
      </w:r>
    </w:p>
    <w:p w14:paraId="64F7A64A"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i/>
          <w:iCs/>
          <w:color w:val="000000" w:themeColor="text1"/>
        </w:rPr>
        <w:lastRenderedPageBreak/>
        <w:t>(…)</w:t>
      </w:r>
    </w:p>
    <w:p w14:paraId="0BB3579A"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p>
    <w:p w14:paraId="7A3465F1"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i/>
          <w:iCs/>
          <w:color w:val="000000" w:themeColor="text1"/>
        </w:rPr>
        <w:t xml:space="preserve">Artículo 58. </w:t>
      </w:r>
      <w:r w:rsidRPr="003538AC">
        <w:rPr>
          <w:rFonts w:ascii="Palatino Linotype" w:eastAsia="Palatino Linotype" w:hAnsi="Palatino Linotype" w:cs="Palatino Linotype"/>
          <w:i/>
          <w:iCs/>
          <w:color w:val="000000" w:themeColor="text1"/>
        </w:rPr>
        <w:t>Los servidores públicos habilitados serán designados por el titular del sujeto obligado a propuesta del responsable de la Unidad de Transparencia.</w:t>
      </w:r>
    </w:p>
    <w:p w14:paraId="4737B4D4"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p>
    <w:p w14:paraId="3F21009B"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i/>
          <w:iCs/>
          <w:color w:val="000000" w:themeColor="text1"/>
        </w:rPr>
        <w:t xml:space="preserve">Artículo 59. </w:t>
      </w:r>
      <w:r w:rsidRPr="003538AC">
        <w:rPr>
          <w:rFonts w:ascii="Palatino Linotype" w:eastAsia="Palatino Linotype" w:hAnsi="Palatino Linotype" w:cs="Palatino Linotype"/>
          <w:i/>
          <w:iCs/>
          <w:color w:val="000000" w:themeColor="text1"/>
        </w:rPr>
        <w:t>Los servidores públicos habilitados tendrán las funciones siguientes:</w:t>
      </w:r>
    </w:p>
    <w:p w14:paraId="7021211C"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p>
    <w:p w14:paraId="4200111A"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bCs/>
          <w:i/>
          <w:iCs/>
          <w:color w:val="000000" w:themeColor="text1"/>
        </w:rPr>
        <w:t>I.</w:t>
      </w:r>
      <w:r w:rsidRPr="003538AC">
        <w:rPr>
          <w:rFonts w:ascii="Palatino Linotype" w:eastAsia="Palatino Linotype" w:hAnsi="Palatino Linotype" w:cs="Palatino Linotype"/>
          <w:i/>
          <w:iCs/>
          <w:color w:val="000000" w:themeColor="text1"/>
        </w:rPr>
        <w:t xml:space="preserve"> Localizar la información que le solicite la Unidad de Transparencia;</w:t>
      </w:r>
    </w:p>
    <w:p w14:paraId="179CFBDF"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bCs/>
          <w:i/>
          <w:iCs/>
          <w:color w:val="000000" w:themeColor="text1"/>
        </w:rPr>
        <w:t>II.</w:t>
      </w:r>
      <w:r w:rsidRPr="003538AC">
        <w:rPr>
          <w:rFonts w:ascii="Palatino Linotype" w:eastAsia="Palatino Linotype" w:hAnsi="Palatino Linotype" w:cs="Palatino Linotype"/>
          <w:i/>
          <w:iCs/>
          <w:color w:val="000000" w:themeColor="text1"/>
        </w:rPr>
        <w:t xml:space="preserve"> Proporcionar la información que obre en los archivos y que le sea solicitada por la Unidad de Transparencia;</w:t>
      </w:r>
    </w:p>
    <w:p w14:paraId="7C77634A"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i/>
          <w:iCs/>
          <w:color w:val="000000" w:themeColor="text1"/>
        </w:rPr>
        <w:t>(...)</w:t>
      </w:r>
    </w:p>
    <w:p w14:paraId="0B290074"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p>
    <w:p w14:paraId="3F030B47" w14:textId="77777777" w:rsidR="00D66728" w:rsidRPr="003538AC" w:rsidRDefault="00D66728" w:rsidP="00E23F8A">
      <w:pPr>
        <w:ind w:left="567"/>
        <w:jc w:val="both"/>
        <w:rPr>
          <w:rFonts w:ascii="Palatino Linotype" w:eastAsia="Palatino Linotype" w:hAnsi="Palatino Linotype" w:cs="Palatino Linotype"/>
          <w:i/>
          <w:iCs/>
          <w:color w:val="000000" w:themeColor="text1"/>
        </w:rPr>
      </w:pPr>
      <w:r w:rsidRPr="003538AC">
        <w:rPr>
          <w:rFonts w:ascii="Palatino Linotype" w:eastAsia="Palatino Linotype" w:hAnsi="Palatino Linotype" w:cs="Palatino Linotype"/>
          <w:b/>
          <w:i/>
          <w:iCs/>
          <w:color w:val="000000" w:themeColor="text1"/>
        </w:rPr>
        <w:t xml:space="preserve">Artículo 162. </w:t>
      </w:r>
      <w:r w:rsidRPr="003538AC">
        <w:rPr>
          <w:rFonts w:ascii="Palatino Linotype" w:eastAsia="Palatino Linotype" w:hAnsi="Palatino Linotype" w:cs="Palatino Linotype"/>
          <w:i/>
          <w:iCs/>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2D471EA" w14:textId="77777777" w:rsidR="00D66728" w:rsidRPr="003538AC" w:rsidRDefault="00D66728" w:rsidP="00E23F8A">
      <w:pPr>
        <w:spacing w:line="360" w:lineRule="auto"/>
        <w:jc w:val="both"/>
        <w:rPr>
          <w:rFonts w:ascii="Palatino Linotype" w:eastAsia="Palatino Linotype" w:hAnsi="Palatino Linotype" w:cs="Palatino Linotype"/>
          <w:color w:val="000000" w:themeColor="text1"/>
        </w:rPr>
      </w:pPr>
    </w:p>
    <w:p w14:paraId="5B231704" w14:textId="77777777" w:rsidR="00D66728" w:rsidRPr="003538AC" w:rsidRDefault="00D66728" w:rsidP="00E23F8A">
      <w:pPr>
        <w:pStyle w:val="Prrafodelista"/>
        <w:numPr>
          <w:ilvl w:val="0"/>
          <w:numId w:val="1"/>
        </w:numPr>
        <w:spacing w:line="360" w:lineRule="auto"/>
        <w:ind w:left="0" w:firstLine="0"/>
        <w:jc w:val="both"/>
        <w:rPr>
          <w:rFonts w:ascii="Palatino Linotype" w:eastAsia="Arial Unicode MS" w:hAnsi="Palatino Linotype" w:cs="Arial"/>
          <w:color w:val="000000" w:themeColor="text1"/>
          <w:sz w:val="24"/>
          <w:lang w:eastAsia="en-US"/>
        </w:rPr>
      </w:pPr>
      <w:r w:rsidRPr="003538AC">
        <w:rPr>
          <w:rFonts w:ascii="Palatino Linotype" w:eastAsia="Palatino Linotype" w:hAnsi="Palatino Linotype" w:cs="Palatino Linotype"/>
          <w:color w:val="000000" w:themeColor="text1"/>
          <w:sz w:val="24"/>
        </w:rPr>
        <w:t xml:space="preserve">De los artículos citados se desprende que las Unidades de Transparencia de los sujetos obligados son las encargadas de tramitar internamente </w:t>
      </w:r>
      <w:r w:rsidRPr="003538AC">
        <w:rPr>
          <w:rFonts w:ascii="Palatino Linotype" w:eastAsia="Arial Unicode MS" w:hAnsi="Palatino Linotype" w:cs="Arial"/>
          <w:color w:val="000000" w:themeColor="text1"/>
          <w:sz w:val="24"/>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3538AC">
        <w:rPr>
          <w:rFonts w:ascii="Palatino Linotype" w:eastAsia="Arial Unicode MS" w:hAnsi="Palatino Linotype" w:cs="Arial"/>
          <w:b/>
          <w:color w:val="000000" w:themeColor="text1"/>
          <w:sz w:val="24"/>
          <w:lang w:eastAsia="en-US"/>
        </w:rPr>
        <w:t>Por su parte, los servidores públicos habilitados auxiliarán a las Unidades de Transparencia localizando la información solicitada y proporcionando la misma que obre en sus archivos.</w:t>
      </w:r>
      <w:r w:rsidRPr="003538AC">
        <w:rPr>
          <w:rFonts w:ascii="Palatino Linotype" w:eastAsia="Arial Unicode MS" w:hAnsi="Palatino Linotype" w:cs="Arial"/>
          <w:color w:val="000000" w:themeColor="text1"/>
          <w:sz w:val="24"/>
          <w:lang w:eastAsia="en-US"/>
        </w:rPr>
        <w:t xml:space="preserve"> Asimismo, </w:t>
      </w:r>
      <w:r w:rsidRPr="003538AC">
        <w:rPr>
          <w:rFonts w:ascii="Palatino Linotype" w:eastAsia="Arial Unicode MS" w:hAnsi="Palatino Linotype" w:cs="Arial"/>
          <w:b/>
          <w:color w:val="000000" w:themeColor="text1"/>
          <w:sz w:val="24"/>
          <w:lang w:eastAsia="en-US"/>
        </w:rPr>
        <w:t>es una obligación de las Unidades de Transparencia turnar a todas las áreas que se consideren competentes para que realicen una búsqueda exhaustiva y razonable de la información solicitada</w:t>
      </w:r>
      <w:r w:rsidRPr="003538AC">
        <w:rPr>
          <w:rFonts w:ascii="Palatino Linotype" w:eastAsia="Arial Unicode MS" w:hAnsi="Palatino Linotype" w:cs="Arial"/>
          <w:color w:val="000000" w:themeColor="text1"/>
          <w:sz w:val="24"/>
          <w:lang w:eastAsia="en-US"/>
        </w:rPr>
        <w:t xml:space="preserve"> a fin de que ésta sea entregada a los solicitantes.</w:t>
      </w:r>
    </w:p>
    <w:p w14:paraId="0F9A4DA4" w14:textId="77777777" w:rsidR="00D66728" w:rsidRPr="003538AC" w:rsidRDefault="00D66728" w:rsidP="00E23F8A">
      <w:pPr>
        <w:pStyle w:val="Prrafodelista"/>
        <w:numPr>
          <w:ilvl w:val="0"/>
          <w:numId w:val="1"/>
        </w:numPr>
        <w:spacing w:line="360" w:lineRule="auto"/>
        <w:ind w:left="0" w:firstLine="0"/>
        <w:jc w:val="both"/>
        <w:rPr>
          <w:rFonts w:ascii="Palatino Linotype" w:eastAsia="Arial Unicode MS" w:hAnsi="Palatino Linotype" w:cs="Arial"/>
          <w:color w:val="000000" w:themeColor="text1"/>
          <w:sz w:val="24"/>
          <w:u w:val="single"/>
          <w:lang w:eastAsia="en-US"/>
        </w:rPr>
      </w:pPr>
      <w:r w:rsidRPr="003538AC">
        <w:rPr>
          <w:rFonts w:ascii="Palatino Linotype" w:eastAsia="Arial Unicode MS" w:hAnsi="Palatino Linotype" w:cs="Arial"/>
          <w:color w:val="000000" w:themeColor="text1"/>
          <w:sz w:val="24"/>
          <w:lang w:eastAsia="en-US"/>
        </w:rPr>
        <w:lastRenderedPageBreak/>
        <w:t xml:space="preserve">Así, se debe entender que el trámite interno que se realice a las solicitudes de acceso a la información, es con el propósito de que se realice </w:t>
      </w:r>
      <w:r w:rsidRPr="003538AC">
        <w:rPr>
          <w:rFonts w:ascii="Palatino Linotype" w:eastAsia="Arial Unicode MS" w:hAnsi="Palatino Linotype" w:cs="Arial"/>
          <w:b/>
          <w:color w:val="000000" w:themeColor="text1"/>
          <w:sz w:val="24"/>
          <w:u w:val="single"/>
          <w:lang w:eastAsia="en-US"/>
        </w:rPr>
        <w:t>una búsqueda exhaustiva y razonable de la información entre</w:t>
      </w:r>
      <w:r w:rsidRPr="003538AC">
        <w:rPr>
          <w:rFonts w:ascii="Palatino Linotype" w:eastAsia="Arial Unicode MS" w:hAnsi="Palatino Linotype" w:cs="Arial"/>
          <w:color w:val="000000" w:themeColor="text1"/>
          <w:sz w:val="24"/>
          <w:u w:val="single"/>
          <w:lang w:eastAsia="en-US"/>
        </w:rPr>
        <w:t xml:space="preserve"> sus archivos y, en su caso, se entregue la información de interés para el particular.</w:t>
      </w:r>
    </w:p>
    <w:p w14:paraId="2DA1593B" w14:textId="77777777" w:rsidR="00D66728" w:rsidRPr="003538AC" w:rsidRDefault="00D66728" w:rsidP="00E23F8A">
      <w:pPr>
        <w:pStyle w:val="Prrafodelista"/>
        <w:rPr>
          <w:rFonts w:ascii="Palatino Linotype" w:eastAsia="Arial Unicode MS" w:hAnsi="Palatino Linotype" w:cs="Arial"/>
          <w:color w:val="000000" w:themeColor="text1"/>
          <w:sz w:val="24"/>
          <w:lang w:eastAsia="en-US"/>
        </w:rPr>
      </w:pPr>
    </w:p>
    <w:p w14:paraId="02972922" w14:textId="0FA22AB7" w:rsidR="00D66728" w:rsidRPr="003538AC" w:rsidRDefault="00D66728" w:rsidP="00E23F8A">
      <w:pPr>
        <w:pStyle w:val="Prrafodelista"/>
        <w:numPr>
          <w:ilvl w:val="0"/>
          <w:numId w:val="1"/>
        </w:numPr>
        <w:spacing w:line="360" w:lineRule="auto"/>
        <w:ind w:left="0" w:firstLine="0"/>
        <w:jc w:val="both"/>
        <w:rPr>
          <w:rFonts w:ascii="Palatino Linotype" w:eastAsia="Arial Unicode MS" w:hAnsi="Palatino Linotype" w:cs="Arial"/>
          <w:color w:val="000000" w:themeColor="text1"/>
          <w:sz w:val="24"/>
          <w:lang w:eastAsia="en-US"/>
        </w:rPr>
      </w:pPr>
      <w:r w:rsidRPr="003538AC">
        <w:rPr>
          <w:rFonts w:ascii="Palatino Linotype" w:eastAsia="Arial Unicode MS" w:hAnsi="Palatino Linotype" w:cs="Arial"/>
          <w:color w:val="000000" w:themeColor="text1"/>
          <w:sz w:val="24"/>
          <w:lang w:eastAsia="en-US"/>
        </w:rPr>
        <w:t xml:space="preserve">En el </w:t>
      </w:r>
      <w:r w:rsidR="00177E93" w:rsidRPr="003538AC">
        <w:rPr>
          <w:rFonts w:ascii="Palatino Linotype" w:eastAsia="Arial Unicode MS" w:hAnsi="Palatino Linotype" w:cs="Arial"/>
          <w:color w:val="000000" w:themeColor="text1"/>
          <w:sz w:val="24"/>
          <w:lang w:eastAsia="en-US"/>
        </w:rPr>
        <w:t>c</w:t>
      </w:r>
      <w:r w:rsidRPr="003538AC">
        <w:rPr>
          <w:rFonts w:ascii="Palatino Linotype" w:eastAsia="Arial Unicode MS" w:hAnsi="Palatino Linotype" w:cs="Arial"/>
          <w:color w:val="000000" w:themeColor="text1"/>
          <w:sz w:val="24"/>
          <w:lang w:eastAsia="en-US"/>
        </w:rPr>
        <w:t xml:space="preserve">aso que se resuelve, la respuesta fue emitida por el </w:t>
      </w:r>
      <w:r w:rsidR="00C218B2" w:rsidRPr="003538AC">
        <w:rPr>
          <w:rFonts w:ascii="Palatino Linotype" w:eastAsia="Arial Unicode MS" w:hAnsi="Palatino Linotype" w:cs="Arial"/>
          <w:color w:val="000000" w:themeColor="text1"/>
          <w:sz w:val="24"/>
          <w:lang w:eastAsia="en-US"/>
        </w:rPr>
        <w:t xml:space="preserve">Titular de la </w:t>
      </w:r>
      <w:r w:rsidR="00007289" w:rsidRPr="003538AC">
        <w:rPr>
          <w:rFonts w:ascii="Palatino Linotype" w:eastAsia="Arial Unicode MS" w:hAnsi="Palatino Linotype" w:cs="Arial"/>
          <w:color w:val="000000" w:themeColor="text1"/>
          <w:sz w:val="24"/>
          <w:lang w:eastAsia="en-US"/>
        </w:rPr>
        <w:t>Oficialía</w:t>
      </w:r>
      <w:r w:rsidR="00A55558" w:rsidRPr="003538AC">
        <w:rPr>
          <w:rFonts w:ascii="Palatino Linotype" w:eastAsia="Arial Unicode MS" w:hAnsi="Palatino Linotype" w:cs="Arial"/>
          <w:color w:val="000000" w:themeColor="text1"/>
          <w:sz w:val="24"/>
          <w:lang w:eastAsia="en-US"/>
        </w:rPr>
        <w:t xml:space="preserve"> Mayor</w:t>
      </w:r>
      <w:r w:rsidR="00177E93" w:rsidRPr="003538AC">
        <w:rPr>
          <w:rFonts w:ascii="Palatino Linotype" w:eastAsia="Arial Unicode MS" w:hAnsi="Palatino Linotype" w:cs="Arial"/>
          <w:color w:val="000000" w:themeColor="text1"/>
          <w:sz w:val="24"/>
          <w:lang w:eastAsia="en-US"/>
        </w:rPr>
        <w:t>, autoridad que posee, genera y administra la información solicitada</w:t>
      </w:r>
      <w:r w:rsidR="00C218B2" w:rsidRPr="003538AC">
        <w:rPr>
          <w:rFonts w:ascii="Palatino Linotype" w:eastAsia="Arial Unicode MS" w:hAnsi="Palatino Linotype" w:cs="Arial"/>
          <w:color w:val="000000" w:themeColor="text1"/>
          <w:sz w:val="24"/>
          <w:lang w:eastAsia="en-US"/>
        </w:rPr>
        <w:t xml:space="preserve">; </w:t>
      </w:r>
      <w:r w:rsidR="00007289" w:rsidRPr="003538AC">
        <w:rPr>
          <w:rFonts w:ascii="Palatino Linotype" w:eastAsia="Arial Unicode MS" w:hAnsi="Palatino Linotype" w:cs="Arial"/>
          <w:color w:val="000000" w:themeColor="text1"/>
          <w:sz w:val="24"/>
          <w:lang w:eastAsia="en-US"/>
        </w:rPr>
        <w:t xml:space="preserve">por tanto se da cumplimiento a la normatividad establecida en líneas anteriores, sin embargo el </w:t>
      </w:r>
      <w:r w:rsidR="00007289" w:rsidRPr="003538AC">
        <w:rPr>
          <w:rFonts w:ascii="Palatino Linotype" w:eastAsia="Arial Unicode MS" w:hAnsi="Palatino Linotype" w:cs="Arial"/>
          <w:b/>
          <w:color w:val="000000" w:themeColor="text1"/>
          <w:sz w:val="24"/>
          <w:lang w:eastAsia="en-US"/>
        </w:rPr>
        <w:t xml:space="preserve">SUJETO OBLIGADO, </w:t>
      </w:r>
      <w:r w:rsidR="00007289" w:rsidRPr="003538AC">
        <w:rPr>
          <w:rFonts w:ascii="Palatino Linotype" w:eastAsia="Arial Unicode MS" w:hAnsi="Palatino Linotype" w:cs="Arial"/>
          <w:color w:val="000000" w:themeColor="text1"/>
          <w:sz w:val="24"/>
          <w:lang w:eastAsia="en-US"/>
        </w:rPr>
        <w:t xml:space="preserve">pretendió dar cumplimiento con un documento </w:t>
      </w:r>
      <w:r w:rsidR="00007289" w:rsidRPr="003538AC">
        <w:rPr>
          <w:rFonts w:ascii="Palatino Linotype" w:eastAsia="Arial Unicode MS" w:hAnsi="Palatino Linotype" w:cs="Arial"/>
          <w:b/>
          <w:i/>
          <w:color w:val="000000" w:themeColor="text1"/>
          <w:sz w:val="24"/>
          <w:lang w:eastAsia="en-US"/>
        </w:rPr>
        <w:t>ad hoc,</w:t>
      </w:r>
      <w:r w:rsidR="006E1D77" w:rsidRPr="003538AC">
        <w:rPr>
          <w:rFonts w:ascii="Palatino Linotype" w:eastAsia="Arial Unicode MS" w:hAnsi="Palatino Linotype" w:cs="Arial"/>
          <w:color w:val="000000" w:themeColor="text1"/>
          <w:sz w:val="24"/>
          <w:lang w:eastAsia="en-US"/>
        </w:rPr>
        <w:t xml:space="preserve"> no obstante, tal documento no colma </w:t>
      </w:r>
      <w:r w:rsidR="00007289" w:rsidRPr="003538AC">
        <w:rPr>
          <w:rFonts w:ascii="Palatino Linotype" w:eastAsia="Arial Unicode MS" w:hAnsi="Palatino Linotype" w:cs="Arial"/>
          <w:color w:val="000000" w:themeColor="text1"/>
          <w:sz w:val="24"/>
          <w:lang w:eastAsia="en-US"/>
        </w:rPr>
        <w:t>con lo solicitado por el particular</w:t>
      </w:r>
      <w:r w:rsidR="00177E93" w:rsidRPr="003538AC">
        <w:rPr>
          <w:rFonts w:ascii="Palatino Linotype" w:eastAsia="Arial Unicode MS" w:hAnsi="Palatino Linotype" w:cs="Arial"/>
          <w:color w:val="000000" w:themeColor="text1"/>
          <w:sz w:val="24"/>
          <w:lang w:eastAsia="en-US"/>
        </w:rPr>
        <w:t xml:space="preserve">, por lo que </w:t>
      </w:r>
      <w:r w:rsidR="003D64CC" w:rsidRPr="003538AC">
        <w:rPr>
          <w:rFonts w:ascii="Palatino Linotype" w:eastAsia="Arial Unicode MS" w:hAnsi="Palatino Linotype" w:cs="Arial"/>
          <w:color w:val="000000" w:themeColor="text1"/>
          <w:sz w:val="24"/>
          <w:lang w:eastAsia="en-US"/>
        </w:rPr>
        <w:t>a fin de garantizar el derecho de acceso a la información</w:t>
      </w:r>
      <w:r w:rsidR="00E74D5A" w:rsidRPr="003538AC">
        <w:rPr>
          <w:rFonts w:ascii="Palatino Linotype" w:eastAsia="Arial Unicode MS" w:hAnsi="Palatino Linotype" w:cs="Arial"/>
          <w:color w:val="000000" w:themeColor="text1"/>
          <w:sz w:val="24"/>
          <w:lang w:eastAsia="en-US"/>
        </w:rPr>
        <w:t>, se procede a realizar el análisis del documento que de manera enunciativa, más no limitativa, podría colmar el requerimiento.</w:t>
      </w:r>
    </w:p>
    <w:p w14:paraId="0876EF96" w14:textId="77777777" w:rsidR="00221B49" w:rsidRDefault="00221B49" w:rsidP="00E23F8A">
      <w:pPr>
        <w:pStyle w:val="Prrafodelista"/>
        <w:rPr>
          <w:rFonts w:ascii="Palatino Linotype" w:eastAsia="Arial Unicode MS" w:hAnsi="Palatino Linotype" w:cs="Arial"/>
          <w:color w:val="000000" w:themeColor="text1"/>
          <w:sz w:val="24"/>
          <w:lang w:eastAsia="en-US"/>
        </w:rPr>
      </w:pPr>
    </w:p>
    <w:p w14:paraId="22575ABB" w14:textId="204FBEAB" w:rsidR="00177E93" w:rsidRPr="003538AC" w:rsidRDefault="00AC67AE" w:rsidP="00E23F8A">
      <w:pPr>
        <w:pStyle w:val="Prrafodelista"/>
        <w:numPr>
          <w:ilvl w:val="0"/>
          <w:numId w:val="6"/>
        </w:numPr>
        <w:rPr>
          <w:rFonts w:ascii="Palatino Linotype" w:eastAsia="Arial Unicode MS" w:hAnsi="Palatino Linotype" w:cs="Arial"/>
          <w:b/>
          <w:color w:val="000000" w:themeColor="text1"/>
          <w:sz w:val="24"/>
          <w:lang w:eastAsia="en-US"/>
        </w:rPr>
      </w:pPr>
      <w:r w:rsidRPr="003538AC">
        <w:rPr>
          <w:rFonts w:ascii="Palatino Linotype" w:eastAsia="Arial Unicode MS" w:hAnsi="Palatino Linotype" w:cs="Arial"/>
          <w:b/>
          <w:color w:val="000000" w:themeColor="text1"/>
          <w:sz w:val="24"/>
          <w:lang w:eastAsia="en-US"/>
        </w:rPr>
        <w:t>Conciliación de Nómina</w:t>
      </w:r>
    </w:p>
    <w:p w14:paraId="295C21BF" w14:textId="28FC7691" w:rsidR="00E74D5A" w:rsidRPr="003538AC" w:rsidRDefault="00E74D5A" w:rsidP="00E23F8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color w:val="000000" w:themeColor="text1"/>
        </w:rPr>
        <w:t>Ahora bien, relativo al sueldo de los Servidores Públicos, resulta conveniente referir que el artículo 147 de la Constitución Política del Estado Libre y Soberano de México, refiere que los trabajadores al servicio del Estado, como los miembros de los Ayuntamientos, recibirán una remuneración adecuada e irrenunciable por el desempeño de su empleo, cargo o comisión, que será determinada en el presupuesto de egresos que corresponda.</w:t>
      </w:r>
    </w:p>
    <w:p w14:paraId="785D5E6E" w14:textId="77777777" w:rsidR="00E74D5A" w:rsidRPr="003538AC" w:rsidRDefault="00E74D5A" w:rsidP="00E23F8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14:paraId="28E51653" w14:textId="71691BD4" w:rsidR="00E74D5A" w:rsidRPr="00C12401" w:rsidRDefault="00E74D5A" w:rsidP="00C12401">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color w:val="000000" w:themeColor="text1"/>
        </w:rPr>
        <w:t>Ahora bien,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w:t>
      </w:r>
      <w:r w:rsidR="00C12401">
        <w:rPr>
          <w:rFonts w:ascii="Palatino Linotype" w:eastAsia="Palatino Linotype" w:hAnsi="Palatino Linotype" w:cs="Palatino Linotype"/>
          <w:b/>
          <w:color w:val="000000" w:themeColor="text1"/>
        </w:rPr>
        <w:t xml:space="preserve"> </w:t>
      </w:r>
      <w:r w:rsidRPr="00C12401">
        <w:rPr>
          <w:rFonts w:ascii="Palatino Linotype" w:eastAsia="Palatino Linotype" w:hAnsi="Palatino Linotype" w:cs="Palatino Linotype"/>
          <w:color w:val="000000" w:themeColor="text1"/>
        </w:rPr>
        <w:t xml:space="preserve">de Términos Administrativos”, emitido </w:t>
      </w:r>
      <w:r w:rsidRPr="00C12401">
        <w:rPr>
          <w:rFonts w:ascii="Palatino Linotype" w:eastAsia="Palatino Linotype" w:hAnsi="Palatino Linotype" w:cs="Palatino Linotype"/>
          <w:color w:val="000000" w:themeColor="text1"/>
        </w:rPr>
        <w:lastRenderedPageBreak/>
        <w:t>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2893DA50" w14:textId="77777777" w:rsidR="00E74D5A" w:rsidRPr="003538AC" w:rsidRDefault="00E74D5A" w:rsidP="00E23F8A">
      <w:pPr>
        <w:pBdr>
          <w:top w:val="nil"/>
          <w:left w:val="nil"/>
          <w:bottom w:val="nil"/>
          <w:right w:val="nil"/>
          <w:between w:val="nil"/>
        </w:pBdr>
        <w:tabs>
          <w:tab w:val="left" w:pos="426"/>
          <w:tab w:val="left" w:pos="567"/>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20018AFB" w14:textId="77777777" w:rsidR="00E74D5A" w:rsidRPr="003538AC" w:rsidRDefault="00E74D5A" w:rsidP="00E23F8A">
      <w:pPr>
        <w:pStyle w:val="Prrafodelista"/>
        <w:rPr>
          <w:rFonts w:ascii="Palatino Linotype" w:eastAsia="Palatino Linotype" w:hAnsi="Palatino Linotype" w:cs="Palatino Linotype"/>
          <w:b/>
          <w:color w:val="000000" w:themeColor="text1"/>
          <w:sz w:val="24"/>
        </w:rPr>
      </w:pPr>
    </w:p>
    <w:p w14:paraId="4B6C09D3" w14:textId="77777777" w:rsidR="00E74D5A" w:rsidRPr="003538AC" w:rsidRDefault="00E74D5A" w:rsidP="00E23F8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color w:val="000000" w:themeColor="text1"/>
        </w:rPr>
        <w:t>Con base a lo anterior, conviene a traer lo establecido por el artículo 804, fracción II, de la Ley Federal de Trabajo, el cual a la letra establece:</w:t>
      </w:r>
    </w:p>
    <w:p w14:paraId="3F1EA398" w14:textId="77777777" w:rsidR="00E74D5A" w:rsidRPr="003538AC" w:rsidRDefault="00E74D5A" w:rsidP="00E23F8A">
      <w:pPr>
        <w:pBdr>
          <w:top w:val="nil"/>
          <w:left w:val="nil"/>
          <w:bottom w:val="nil"/>
          <w:right w:val="nil"/>
          <w:between w:val="nil"/>
        </w:pBdr>
        <w:tabs>
          <w:tab w:val="left" w:pos="426"/>
          <w:tab w:val="left" w:pos="567"/>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“Artículo 804.- El patrón tiene obligación de conservar y exhibir en juicio los documentos que a continuación se precisan:</w:t>
      </w:r>
    </w:p>
    <w:p w14:paraId="1576DF1B" w14:textId="77777777" w:rsidR="00E74D5A" w:rsidRPr="003538AC" w:rsidRDefault="00E74D5A" w:rsidP="00E23F8A">
      <w:pPr>
        <w:pBdr>
          <w:top w:val="nil"/>
          <w:left w:val="nil"/>
          <w:bottom w:val="nil"/>
          <w:right w:val="nil"/>
          <w:between w:val="nil"/>
        </w:pBdr>
        <w:tabs>
          <w:tab w:val="left" w:pos="426"/>
          <w:tab w:val="left" w:pos="567"/>
        </w:tabs>
        <w:ind w:left="567"/>
        <w:jc w:val="both"/>
        <w:rPr>
          <w:rFonts w:ascii="Palatino Linotype" w:eastAsia="Palatino Linotype" w:hAnsi="Palatino Linotype" w:cs="Palatino Linotype"/>
          <w:i/>
          <w:color w:val="000000" w:themeColor="text1"/>
        </w:rPr>
      </w:pPr>
    </w:p>
    <w:p w14:paraId="0C59BCF8" w14:textId="77777777" w:rsidR="00E74D5A" w:rsidRPr="003538AC" w:rsidRDefault="00E74D5A" w:rsidP="00E23F8A">
      <w:pPr>
        <w:pBdr>
          <w:top w:val="nil"/>
          <w:left w:val="nil"/>
          <w:bottom w:val="nil"/>
          <w:right w:val="nil"/>
          <w:between w:val="nil"/>
        </w:pBdr>
        <w:tabs>
          <w:tab w:val="left" w:pos="426"/>
          <w:tab w:val="left" w:pos="567"/>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II. Listas de raya o nómina de personal, cuando se lleven en el centro de trabajo; o recibos de pagos de salarios;(…)</w:t>
      </w:r>
    </w:p>
    <w:p w14:paraId="69B3255F" w14:textId="77777777" w:rsidR="00E74D5A" w:rsidRPr="003538AC" w:rsidRDefault="00E74D5A" w:rsidP="00E23F8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18AD9EF5" w14:textId="77777777" w:rsidR="00E74D5A" w:rsidRPr="003538AC" w:rsidRDefault="00E74D5A" w:rsidP="00E23F8A">
      <w:pPr>
        <w:pBdr>
          <w:top w:val="nil"/>
          <w:left w:val="nil"/>
          <w:bottom w:val="nil"/>
          <w:right w:val="nil"/>
          <w:between w:val="nil"/>
        </w:pBdr>
        <w:tabs>
          <w:tab w:val="left" w:pos="426"/>
          <w:tab w:val="left" w:pos="567"/>
          <w:tab w:val="left" w:pos="8222"/>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04DFB308" w14:textId="77777777" w:rsidR="00E74D5A" w:rsidRPr="003538AC" w:rsidRDefault="00E74D5A" w:rsidP="00E23F8A">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3963E03B" w14:textId="77777777" w:rsidR="00E74D5A" w:rsidRPr="003538AC" w:rsidRDefault="00E74D5A" w:rsidP="00E23F8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36EA31A5" w14:textId="77777777" w:rsidR="00697E45" w:rsidRPr="003538AC" w:rsidRDefault="00697E45" w:rsidP="00E23F8A">
      <w:pPr>
        <w:numPr>
          <w:ilvl w:val="0"/>
          <w:numId w:val="1"/>
        </w:numPr>
        <w:spacing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lastRenderedPageBreak/>
        <w:t xml:space="preserve">Una vez precisado lo que antecede, es necesario analizar la Ley de Fiscalización Superior del Estado de México, toda vez que señala que los municipios que conforman el Estado de México, entre ellos el </w:t>
      </w:r>
      <w:r w:rsidRPr="003538AC">
        <w:rPr>
          <w:rFonts w:ascii="Palatino Linotype" w:eastAsia="Palatino Linotype" w:hAnsi="Palatino Linotype" w:cs="Palatino Linotype"/>
          <w:b/>
          <w:color w:val="000000" w:themeColor="text1"/>
        </w:rPr>
        <w:t>SUJETO OBLIGADO</w:t>
      </w:r>
      <w:r w:rsidRPr="003538AC">
        <w:rPr>
          <w:rFonts w:ascii="Palatino Linotype" w:eastAsia="Palatino Linotype" w:hAnsi="Palatino Linotype" w:cs="Palatino Linotype"/>
          <w:color w:val="000000" w:themeColor="text1"/>
        </w:rPr>
        <w:t>,</w:t>
      </w:r>
      <w:r w:rsidRPr="003538AC">
        <w:rPr>
          <w:rFonts w:ascii="Palatino Linotype" w:hAnsi="Palatino Linotype"/>
          <w:color w:val="000000" w:themeColor="text1"/>
        </w:rPr>
        <w:t xml:space="preserve"> </w:t>
      </w:r>
      <w:r w:rsidRPr="003538AC">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517F5DB5" w14:textId="77777777" w:rsidR="00697E45" w:rsidRPr="003538AC" w:rsidRDefault="00697E45" w:rsidP="00E23F8A">
      <w:pPr>
        <w:spacing w:before="240"/>
        <w:ind w:left="1134"/>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Artículo 4.- Son sujetos de fiscalización:</w:t>
      </w:r>
    </w:p>
    <w:p w14:paraId="1E3ACFA2" w14:textId="77777777" w:rsidR="00697E45" w:rsidRPr="003538AC" w:rsidRDefault="00697E45" w:rsidP="00E23F8A">
      <w:pPr>
        <w:numPr>
          <w:ilvl w:val="1"/>
          <w:numId w:val="1"/>
        </w:numPr>
        <w:pBdr>
          <w:top w:val="nil"/>
          <w:left w:val="nil"/>
          <w:bottom w:val="nil"/>
          <w:right w:val="nil"/>
          <w:between w:val="nil"/>
        </w:pBdr>
        <w:spacing w:before="240"/>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 xml:space="preserve">Los Poderes Públicos del Estado; </w:t>
      </w:r>
    </w:p>
    <w:p w14:paraId="513C3C63" w14:textId="77777777" w:rsidR="00697E45" w:rsidRPr="003538AC" w:rsidRDefault="00697E45" w:rsidP="00E23F8A">
      <w:pPr>
        <w:pBdr>
          <w:top w:val="nil"/>
          <w:left w:val="nil"/>
          <w:bottom w:val="nil"/>
          <w:right w:val="nil"/>
          <w:between w:val="nil"/>
        </w:pBdr>
        <w:ind w:left="1134"/>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 xml:space="preserve">II. Los municipios del Estado de México; </w:t>
      </w:r>
    </w:p>
    <w:p w14:paraId="0EE58732" w14:textId="77777777" w:rsidR="00697E45" w:rsidRPr="003538AC" w:rsidRDefault="00697E45" w:rsidP="00E23F8A">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 xml:space="preserve">III. Los organismos autónomos; </w:t>
      </w:r>
    </w:p>
    <w:p w14:paraId="16804BDA" w14:textId="77777777" w:rsidR="00697E45" w:rsidRPr="003538AC" w:rsidRDefault="00697E45" w:rsidP="00E23F8A">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 xml:space="preserve">IV. Los organismos auxiliares; </w:t>
      </w:r>
    </w:p>
    <w:p w14:paraId="52EAB6FF" w14:textId="77777777" w:rsidR="00697E45" w:rsidRPr="003538AC" w:rsidRDefault="00697E45" w:rsidP="00E23F8A">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3538AC">
        <w:rPr>
          <w:rFonts w:ascii="Palatino Linotype" w:eastAsia="Calibri" w:hAnsi="Palatino Linotype"/>
          <w:color w:val="000000" w:themeColor="text1"/>
        </w:rPr>
        <w:t xml:space="preserve"> </w:t>
      </w:r>
    </w:p>
    <w:p w14:paraId="117B3572" w14:textId="77777777" w:rsidR="00697E45" w:rsidRPr="003538AC" w:rsidRDefault="00697E45" w:rsidP="00E23F8A">
      <w:pPr>
        <w:pBdr>
          <w:top w:val="nil"/>
          <w:left w:val="nil"/>
          <w:bottom w:val="nil"/>
          <w:right w:val="nil"/>
          <w:between w:val="nil"/>
        </w:pBdr>
        <w:ind w:left="1134"/>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3EBE23F7" w14:textId="77777777" w:rsidR="00697E45" w:rsidRDefault="00697E45" w:rsidP="00E23F8A">
      <w:pPr>
        <w:pBdr>
          <w:top w:val="nil"/>
          <w:left w:val="nil"/>
          <w:bottom w:val="nil"/>
          <w:right w:val="nil"/>
          <w:between w:val="nil"/>
        </w:pBdr>
        <w:ind w:left="1134"/>
        <w:jc w:val="both"/>
        <w:rPr>
          <w:rFonts w:ascii="Palatino Linotype" w:eastAsia="Palatino Linotype" w:hAnsi="Palatino Linotype" w:cs="Palatino Linotype"/>
          <w:i/>
          <w:color w:val="000000" w:themeColor="text1"/>
        </w:rPr>
      </w:pPr>
    </w:p>
    <w:p w14:paraId="0F9EC551" w14:textId="77777777" w:rsidR="003440E8" w:rsidRPr="003538AC" w:rsidRDefault="003440E8" w:rsidP="00E23F8A">
      <w:pPr>
        <w:pBdr>
          <w:top w:val="nil"/>
          <w:left w:val="nil"/>
          <w:bottom w:val="nil"/>
          <w:right w:val="nil"/>
          <w:between w:val="nil"/>
        </w:pBdr>
        <w:ind w:left="1134"/>
        <w:jc w:val="both"/>
        <w:rPr>
          <w:rFonts w:ascii="Palatino Linotype" w:eastAsia="Palatino Linotype" w:hAnsi="Palatino Linotype" w:cs="Palatino Linotype"/>
          <w:i/>
          <w:color w:val="000000" w:themeColor="text1"/>
        </w:rPr>
      </w:pPr>
    </w:p>
    <w:p w14:paraId="1F76947F"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232B96D8" w14:textId="77777777" w:rsidR="00697E45" w:rsidRPr="003538AC" w:rsidRDefault="00697E45" w:rsidP="00E23F8A">
      <w:pPr>
        <w:spacing w:line="360" w:lineRule="auto"/>
        <w:jc w:val="both"/>
        <w:rPr>
          <w:rFonts w:ascii="Palatino Linotype" w:eastAsia="Palatino Linotype" w:hAnsi="Palatino Linotype" w:cs="Palatino Linotype"/>
          <w:color w:val="000000" w:themeColor="text1"/>
        </w:rPr>
      </w:pPr>
    </w:p>
    <w:p w14:paraId="5A46939D"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Estas políticas son de observancia general para todos los servidores públicos de las entidades fiscalizables de la administración pública municipal que desempeñen un empleo, </w:t>
      </w:r>
      <w:r w:rsidRPr="003538AC">
        <w:rPr>
          <w:rFonts w:ascii="Palatino Linotype" w:eastAsia="Palatino Linotype" w:hAnsi="Palatino Linotype" w:cs="Palatino Linotype"/>
          <w:color w:val="000000" w:themeColor="text1"/>
        </w:rPr>
        <w:lastRenderedPageBreak/>
        <w:t>cargo o comisión y que manejen recursos públicos; en atención a ello, el informe trimestral deberá ser presentado al Órgano Superior de Fiscalización.</w:t>
      </w:r>
    </w:p>
    <w:p w14:paraId="6099E23F" w14:textId="77777777" w:rsidR="00697E45" w:rsidRPr="003538AC" w:rsidRDefault="00697E45" w:rsidP="00E23F8A">
      <w:pPr>
        <w:spacing w:line="360" w:lineRule="auto"/>
        <w:jc w:val="both"/>
        <w:rPr>
          <w:rFonts w:ascii="Palatino Linotype" w:eastAsia="Palatino Linotype" w:hAnsi="Palatino Linotype" w:cs="Palatino Linotype"/>
          <w:color w:val="000000" w:themeColor="text1"/>
        </w:rPr>
      </w:pPr>
    </w:p>
    <w:p w14:paraId="0A898087"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lang w:val="es-ES_tradnl" w:eastAsia="es-ES"/>
        </w:rPr>
        <w:t>La</w:t>
      </w:r>
      <w:r w:rsidRPr="003538AC">
        <w:rPr>
          <w:rFonts w:ascii="Palatino Linotype" w:eastAsia="Palatino Linotype" w:hAnsi="Palatino Linotype" w:cs="Palatino Linotype"/>
          <w:color w:val="000000" w:themeColor="text1"/>
        </w:rPr>
        <w:t xml:space="preserve"> integración del Informe Trimestral se entregará de manera física al Órgano Superior de Fiscalización del Estado de México, y estará compuesto de la siguiente manera:</w:t>
      </w:r>
    </w:p>
    <w:p w14:paraId="58147543" w14:textId="77777777" w:rsidR="00697E45" w:rsidRPr="003538AC" w:rsidRDefault="00697E45" w:rsidP="00E23F8A">
      <w:pPr>
        <w:numPr>
          <w:ilvl w:val="1"/>
          <w:numId w:val="1"/>
        </w:num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Información impresa; e</w:t>
      </w:r>
    </w:p>
    <w:p w14:paraId="23E36A5A" w14:textId="77777777" w:rsidR="00697E45" w:rsidRDefault="00697E45" w:rsidP="00E23F8A">
      <w:pPr>
        <w:numPr>
          <w:ilvl w:val="1"/>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Información en medio de almacenamiento electrónico.</w:t>
      </w:r>
    </w:p>
    <w:p w14:paraId="685D9A5C" w14:textId="77777777" w:rsidR="00C12401" w:rsidRPr="003538AC" w:rsidRDefault="00C12401" w:rsidP="00C12401">
      <w:pPr>
        <w:pBdr>
          <w:top w:val="nil"/>
          <w:left w:val="nil"/>
          <w:bottom w:val="nil"/>
          <w:right w:val="nil"/>
          <w:between w:val="nil"/>
        </w:pBdr>
        <w:tabs>
          <w:tab w:val="left" w:pos="426"/>
        </w:tabs>
        <w:spacing w:line="360" w:lineRule="auto"/>
        <w:ind w:left="1440"/>
        <w:jc w:val="both"/>
        <w:rPr>
          <w:rFonts w:ascii="Palatino Linotype" w:eastAsia="Palatino Linotype" w:hAnsi="Palatino Linotype" w:cs="Palatino Linotype"/>
          <w:i/>
          <w:color w:val="000000" w:themeColor="text1"/>
        </w:rPr>
      </w:pPr>
    </w:p>
    <w:p w14:paraId="015E7E73"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2125C37E" w14:textId="77777777" w:rsidR="00697E45" w:rsidRPr="003538AC" w:rsidRDefault="00697E45" w:rsidP="00E23F8A">
      <w:pPr>
        <w:numPr>
          <w:ilvl w:val="1"/>
          <w:numId w:val="1"/>
        </w:num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Módulo 1: Información contable y financiera;</w:t>
      </w:r>
    </w:p>
    <w:p w14:paraId="40C977B7" w14:textId="77777777" w:rsidR="00697E45" w:rsidRPr="003538AC" w:rsidRDefault="00697E45" w:rsidP="00E23F8A">
      <w:pPr>
        <w:numPr>
          <w:ilvl w:val="1"/>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Módulo 2: Información presupuestaria;</w:t>
      </w:r>
    </w:p>
    <w:p w14:paraId="0C027CA4" w14:textId="77777777" w:rsidR="00697E45" w:rsidRPr="003538AC" w:rsidRDefault="00697E45" w:rsidP="00E23F8A">
      <w:pPr>
        <w:numPr>
          <w:ilvl w:val="1"/>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Módulo 3: Información programática; y</w:t>
      </w:r>
    </w:p>
    <w:p w14:paraId="56745095" w14:textId="77777777" w:rsidR="00697E45" w:rsidRPr="003538AC" w:rsidRDefault="00697E45" w:rsidP="00E23F8A">
      <w:pPr>
        <w:numPr>
          <w:ilvl w:val="1"/>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Módulo 4: Información administrativa.</w:t>
      </w:r>
    </w:p>
    <w:p w14:paraId="47443607" w14:textId="77777777" w:rsidR="00697E45" w:rsidRPr="003538AC" w:rsidRDefault="00697E45" w:rsidP="00E23F8A">
      <w:p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b/>
          <w:i/>
          <w:color w:val="000000" w:themeColor="text1"/>
        </w:rPr>
      </w:pPr>
    </w:p>
    <w:p w14:paraId="1ED9727A"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3538AC">
        <w:rPr>
          <w:rFonts w:ascii="Palatino Linotype" w:eastAsia="Palatino Linotype" w:hAnsi="Palatino Linotype" w:cs="Palatino Linotype"/>
          <w:b/>
          <w:color w:val="000000" w:themeColor="text1"/>
        </w:rPr>
        <w:t>“Políticas para la Integración del Informe Trimestral de los Sujetos de Fiscalización Municipales”</w:t>
      </w:r>
      <w:r w:rsidRPr="003538AC">
        <w:rPr>
          <w:rFonts w:ascii="Palatino Linotype" w:eastAsia="Palatino Linotype" w:hAnsi="Palatino Linotype" w:cs="Palatino Linotype"/>
          <w:color w:val="000000" w:themeColor="text1"/>
        </w:rPr>
        <w:t>, se compondrá de los siguientes documentos:</w:t>
      </w:r>
    </w:p>
    <w:p w14:paraId="1709742F" w14:textId="77777777" w:rsidR="00697E45" w:rsidRDefault="00697E45" w:rsidP="00E23F8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538AC">
        <w:rPr>
          <w:rFonts w:ascii="Palatino Linotype" w:eastAsia="Calibri" w:hAnsi="Palatino Linotype"/>
          <w:color w:val="000000" w:themeColor="text1"/>
        </w:rPr>
        <w:object w:dxaOrig="6486" w:dyaOrig="5172" w14:anchorId="11B0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6pt;height:154.85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17286695" r:id="rId9"/>
        </w:object>
      </w:r>
    </w:p>
    <w:p w14:paraId="59046EF2" w14:textId="77777777" w:rsidR="003440E8" w:rsidRPr="003538AC" w:rsidRDefault="003440E8" w:rsidP="00E23F8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60BAFBF3"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En lo que corresponde al Submódulo de </w:t>
      </w:r>
      <w:r w:rsidRPr="003538AC">
        <w:rPr>
          <w:rFonts w:ascii="Palatino Linotype" w:eastAsia="Palatino Linotype" w:hAnsi="Palatino Linotype" w:cs="Palatino Linotype"/>
          <w:b/>
          <w:color w:val="000000" w:themeColor="text1"/>
        </w:rPr>
        <w:t>‘Nómina y Comprobantes Fiscales’,</w:t>
      </w:r>
      <w:r w:rsidRPr="003538AC">
        <w:rPr>
          <w:rFonts w:ascii="Palatino Linotype" w:eastAsia="Palatino Linotype" w:hAnsi="Palatino Linotype" w:cs="Palatino Linotype"/>
          <w:color w:val="000000" w:themeColor="text1"/>
        </w:rPr>
        <w:t xml:space="preserve"> se advierte que el </w:t>
      </w:r>
      <w:r w:rsidRPr="003538AC">
        <w:rPr>
          <w:rFonts w:ascii="Palatino Linotype" w:eastAsia="Palatino Linotype" w:hAnsi="Palatino Linotype" w:cs="Palatino Linotype"/>
          <w:b/>
          <w:color w:val="000000" w:themeColor="text1"/>
        </w:rPr>
        <w:t>SUJETO OBLIGADO,</w:t>
      </w:r>
      <w:r w:rsidRPr="003538AC">
        <w:rPr>
          <w:rFonts w:ascii="Palatino Linotype" w:eastAsia="Palatino Linotype" w:hAnsi="Palatino Linotype" w:cs="Palatino Linotype"/>
          <w:color w:val="000000" w:themeColor="text1"/>
        </w:rPr>
        <w:t xml:space="preserve"> deberá integrar, en formato </w:t>
      </w:r>
      <w:r w:rsidRPr="003538AC">
        <w:rPr>
          <w:rFonts w:ascii="Palatino Linotype" w:eastAsia="Palatino Linotype" w:hAnsi="Palatino Linotype" w:cs="Palatino Linotype"/>
          <w:i/>
          <w:color w:val="000000" w:themeColor="text1"/>
        </w:rPr>
        <w:t>.pdf</w:t>
      </w:r>
      <w:r w:rsidRPr="003538AC">
        <w:rPr>
          <w:rFonts w:ascii="Palatino Linotype" w:eastAsia="Palatino Linotype" w:hAnsi="Palatino Linotype" w:cs="Palatino Linotype"/>
          <w:color w:val="000000" w:themeColor="text1"/>
        </w:rPr>
        <w:t xml:space="preserve">, y de forma quincenal, el documento titulado </w:t>
      </w:r>
      <w:r w:rsidRPr="003538AC">
        <w:rPr>
          <w:rFonts w:ascii="Palatino Linotype" w:eastAsia="Palatino Linotype" w:hAnsi="Palatino Linotype" w:cs="Palatino Linotype"/>
          <w:b/>
          <w:color w:val="000000" w:themeColor="text1"/>
        </w:rPr>
        <w:t>Conciliación de Nómina Mensual</w:t>
      </w:r>
      <w:r w:rsidRPr="003538AC">
        <w:rPr>
          <w:rFonts w:ascii="Palatino Linotype" w:eastAsia="Palatino Linotype" w:hAnsi="Palatino Linotype" w:cs="Palatino Linotype"/>
          <w:color w:val="000000" w:themeColor="text1"/>
        </w:rPr>
        <w:t>; tal como lo establece el mapa de integración del Submódulo en comento:</w:t>
      </w:r>
    </w:p>
    <w:p w14:paraId="1143BF85" w14:textId="77777777" w:rsidR="00697E45" w:rsidRPr="003538AC" w:rsidRDefault="00697E45" w:rsidP="00E23F8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538AC">
        <w:rPr>
          <w:rFonts w:ascii="Palatino Linotype" w:hAnsi="Palatino Linotype"/>
          <w:noProof/>
          <w:color w:val="000000" w:themeColor="text1"/>
        </w:rPr>
        <mc:AlternateContent>
          <mc:Choice Requires="wps">
            <w:drawing>
              <wp:anchor distT="0" distB="0" distL="114300" distR="114300" simplePos="0" relativeHeight="251659264" behindDoc="0" locked="0" layoutInCell="1" hidden="0" allowOverlap="1" wp14:anchorId="334FBE67" wp14:editId="15483F60">
                <wp:simplePos x="0" y="0"/>
                <wp:positionH relativeFrom="column">
                  <wp:posOffset>762000</wp:posOffset>
                </wp:positionH>
                <wp:positionV relativeFrom="paragraph">
                  <wp:posOffset>501650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11484D8D" w14:textId="77777777" w:rsidR="00B158E2" w:rsidRDefault="00B158E2" w:rsidP="00697E45">
                            <w:pPr>
                              <w:textDirection w:val="btLr"/>
                            </w:pPr>
                          </w:p>
                        </w:txbxContent>
                      </wps:txbx>
                      <wps:bodyPr spcFirstLastPara="1" wrap="square" lIns="91425" tIns="91425" rIns="91425" bIns="91425" anchor="ctr" anchorCtr="0">
                        <a:noAutofit/>
                      </wps:bodyPr>
                    </wps:wsp>
                  </a:graphicData>
                </a:graphic>
              </wp:anchor>
            </w:drawing>
          </mc:Choice>
          <mc:Fallback>
            <w:pict>
              <v:rect w14:anchorId="334FBE67" id="Rectángulo 56" o:spid="_x0000_s1026" style="position:absolute;left:0;text-align:left;margin-left:60pt;margin-top:39.5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" filled="f" strokecolor="red" strokeweight="1.5pt">
                <v:stroke startarrowwidth="narrow" startarrowlength="short" endarrowwidth="narrow" endarrowlength="short"/>
                <v:textbox inset="2.53958mm,2.53958mm,2.53958mm,2.53958mm">
                  <w:txbxContent>
                    <w:p w14:paraId="11484D8D" w14:textId="77777777" w:rsidR="00B158E2" w:rsidRDefault="00B158E2" w:rsidP="00697E45">
                      <w:pPr>
                        <w:textDirection w:val="btLr"/>
                      </w:pPr>
                    </w:p>
                  </w:txbxContent>
                </v:textbox>
              </v:rect>
            </w:pict>
          </mc:Fallback>
        </mc:AlternateContent>
      </w:r>
      <w:r w:rsidRPr="003538AC">
        <w:rPr>
          <w:rFonts w:ascii="Palatino Linotype" w:eastAsia="Calibri" w:hAnsi="Palatino Linotype"/>
          <w:color w:val="000000" w:themeColor="text1"/>
        </w:rPr>
        <w:object w:dxaOrig="7649" w:dyaOrig="2212" w14:anchorId="2F82235F">
          <v:shape id="_x0000_i1026" type="#_x0000_t75" alt="" style="width:382.4pt;height:110.7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17286696" r:id="rId11"/>
        </w:object>
      </w:r>
    </w:p>
    <w:p w14:paraId="6F170517" w14:textId="77777777" w:rsidR="00697E45" w:rsidRPr="003538AC" w:rsidRDefault="00697E45" w:rsidP="00E23F8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612B3F44"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Al respecto, conviene referir que la </w:t>
      </w:r>
      <w:r w:rsidRPr="003538AC">
        <w:rPr>
          <w:rFonts w:ascii="Palatino Linotype" w:eastAsia="Palatino Linotype" w:hAnsi="Palatino Linotype" w:cs="Palatino Linotype"/>
          <w:b/>
          <w:color w:val="000000" w:themeColor="text1"/>
        </w:rPr>
        <w:t>Conciliación de Nómina Mensual</w:t>
      </w:r>
      <w:r w:rsidRPr="003538AC">
        <w:rPr>
          <w:rFonts w:ascii="Palatino Linotype" w:eastAsia="Palatino Linotype" w:hAnsi="Palatino Linotype" w:cs="Palatino Linotype"/>
          <w:color w:val="000000" w:themeColor="text1"/>
        </w:rPr>
        <w:t xml:space="preserve"> es un documento en el que se detalla, entre otros, </w:t>
      </w:r>
      <w:r w:rsidRPr="003538AC">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3538AC">
        <w:rPr>
          <w:rFonts w:ascii="Palatino Linotype" w:hAnsi="Palatino Linotype"/>
          <w:b/>
          <w:color w:val="000000" w:themeColor="text1"/>
          <w:vertAlign w:val="superscript"/>
        </w:rPr>
        <w:footnoteReference w:id="7"/>
      </w:r>
      <w:r w:rsidRPr="003538AC">
        <w:rPr>
          <w:rFonts w:ascii="Palatino Linotype" w:eastAsia="Palatino Linotype" w:hAnsi="Palatino Linotype" w:cs="Palatino Linotype"/>
          <w:color w:val="000000" w:themeColor="text1"/>
        </w:rPr>
        <w:t xml:space="preserve">. </w:t>
      </w:r>
    </w:p>
    <w:p w14:paraId="1B2294C0" w14:textId="77777777"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18B15A27" w14:textId="77777777" w:rsidR="00697E45" w:rsidRPr="003538AC" w:rsidRDefault="00697E45" w:rsidP="00E23F8A">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66DC39D2" w14:textId="77777777" w:rsidR="00697E45" w:rsidRPr="003538AC" w:rsidRDefault="00697E45" w:rsidP="00E23F8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538AC">
        <w:rPr>
          <w:rFonts w:ascii="Palatino Linotype" w:eastAsia="Calibri" w:hAnsi="Palatino Linotype"/>
          <w:color w:val="000000" w:themeColor="text1"/>
        </w:rPr>
        <w:object w:dxaOrig="7638" w:dyaOrig="4320" w14:anchorId="2E93B560">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17286697" r:id="rId13"/>
        </w:object>
      </w:r>
      <w:r w:rsidRPr="003538AC">
        <w:rPr>
          <w:rFonts w:ascii="Palatino Linotype" w:hAnsi="Palatino Linotype"/>
          <w:noProof/>
          <w:color w:val="000000" w:themeColor="text1"/>
        </w:rPr>
        <mc:AlternateContent>
          <mc:Choice Requires="wps">
            <w:drawing>
              <wp:anchor distT="0" distB="0" distL="114300" distR="114300" simplePos="0" relativeHeight="251660288" behindDoc="0" locked="0" layoutInCell="1" hidden="0" allowOverlap="1" wp14:anchorId="0FB40412" wp14:editId="080CD0E1">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629DF127" w14:textId="77777777" w:rsidR="00B158E2" w:rsidRDefault="00B158E2" w:rsidP="00697E45">
                            <w:pPr>
                              <w:textDirection w:val="btLr"/>
                            </w:pPr>
                          </w:p>
                        </w:txbxContent>
                      </wps:txbx>
                      <wps:bodyPr spcFirstLastPara="1" wrap="square" lIns="91425" tIns="91425" rIns="91425" bIns="91425" anchor="ctr" anchorCtr="0">
                        <a:noAutofit/>
                      </wps:bodyPr>
                    </wps:wsp>
                  </a:graphicData>
                </a:graphic>
              </wp:anchor>
            </w:drawing>
          </mc:Choice>
          <mc:Fallback>
            <w:pict>
              <v:rect w14:anchorId="0FB40412"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629DF127" w14:textId="77777777" w:rsidR="00B158E2" w:rsidRDefault="00B158E2" w:rsidP="00697E45">
                      <w:pPr>
                        <w:textDirection w:val="btLr"/>
                      </w:pPr>
                    </w:p>
                  </w:txbxContent>
                </v:textbox>
              </v:rect>
            </w:pict>
          </mc:Fallback>
        </mc:AlternateContent>
      </w:r>
      <w:r w:rsidRPr="003538AC">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6EB5ECE6" wp14:editId="544E375A">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12777BC5" w14:textId="77777777" w:rsidR="00B158E2" w:rsidRDefault="00B158E2" w:rsidP="00697E45">
                            <w:pPr>
                              <w:textDirection w:val="btLr"/>
                            </w:pPr>
                          </w:p>
                        </w:txbxContent>
                      </wps:txbx>
                      <wps:bodyPr spcFirstLastPara="1" wrap="square" lIns="91425" tIns="91425" rIns="91425" bIns="91425" anchor="ctr" anchorCtr="0">
                        <a:noAutofit/>
                      </wps:bodyPr>
                    </wps:wsp>
                  </a:graphicData>
                </a:graphic>
              </wp:anchor>
            </w:drawing>
          </mc:Choice>
          <mc:Fallback>
            <w:pict>
              <v:rect w14:anchorId="6EB5ECE6"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12777BC5" w14:textId="77777777" w:rsidR="00B158E2" w:rsidRDefault="00B158E2" w:rsidP="00697E45">
                      <w:pPr>
                        <w:textDirection w:val="btLr"/>
                      </w:pPr>
                    </w:p>
                  </w:txbxContent>
                </v:textbox>
              </v:rect>
            </w:pict>
          </mc:Fallback>
        </mc:AlternateContent>
      </w:r>
    </w:p>
    <w:p w14:paraId="29A31B36" w14:textId="77777777" w:rsidR="00697E45" w:rsidRPr="003538AC" w:rsidRDefault="00697E45" w:rsidP="00E23F8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538AC">
        <w:rPr>
          <w:rFonts w:ascii="Palatino Linotype" w:eastAsia="Calibri" w:hAnsi="Palatino Linotype"/>
          <w:color w:val="000000" w:themeColor="text1"/>
        </w:rPr>
        <w:object w:dxaOrig="7672" w:dyaOrig="4504" w14:anchorId="73A1F0C0">
          <v:shape id="_x0000_i1028" type="#_x0000_t75" alt="" style="width:383.75pt;height:225.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17286698" r:id="rId15"/>
        </w:object>
      </w:r>
    </w:p>
    <w:p w14:paraId="7157AC00" w14:textId="77777777" w:rsidR="00697E45" w:rsidRPr="003538AC" w:rsidRDefault="00697E45" w:rsidP="00E23F8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538AC">
        <w:rPr>
          <w:rFonts w:ascii="Palatino Linotype" w:eastAsia="Calibri" w:hAnsi="Palatino Linotype"/>
          <w:color w:val="000000" w:themeColor="text1"/>
        </w:rPr>
        <w:object w:dxaOrig="7684" w:dyaOrig="2396" w14:anchorId="269DDD87">
          <v:shape id="_x0000_i1029" type="#_x0000_t75" alt="" style="width:384.45pt;height:119.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17286699" r:id="rId17"/>
        </w:object>
      </w:r>
    </w:p>
    <w:p w14:paraId="461435FC" w14:textId="77777777" w:rsidR="00697E45" w:rsidRPr="003538AC" w:rsidRDefault="00697E45" w:rsidP="00E23F8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64051DA9" w14:textId="16CAA6CF" w:rsidR="00697E45" w:rsidRPr="003538AC" w:rsidRDefault="00697E45"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De las imágenes anteriores, podemos identificar a la </w:t>
      </w:r>
      <w:r w:rsidRPr="003538AC">
        <w:rPr>
          <w:rFonts w:ascii="Palatino Linotype" w:eastAsia="Palatino Linotype" w:hAnsi="Palatino Linotype" w:cs="Palatino Linotype"/>
          <w:b/>
          <w:color w:val="000000" w:themeColor="text1"/>
        </w:rPr>
        <w:t>Conciliación de Nómina Mensual</w:t>
      </w:r>
      <w:r w:rsidRPr="003538AC">
        <w:rPr>
          <w:rFonts w:ascii="Palatino Linotype" w:eastAsia="Palatino Linotype" w:hAnsi="Palatino Linotype" w:cs="Palatino Linotype"/>
          <w:color w:val="000000" w:themeColor="text1"/>
        </w:rPr>
        <w:t xml:space="preserve"> como el documento </w:t>
      </w:r>
      <w:r w:rsidRPr="003538AC">
        <w:rPr>
          <w:rFonts w:ascii="Palatino Linotype" w:eastAsia="Palatino Linotype" w:hAnsi="Palatino Linotype" w:cs="Palatino Linotype"/>
          <w:b/>
          <w:color w:val="000000" w:themeColor="text1"/>
        </w:rPr>
        <w:t>idóneo</w:t>
      </w:r>
      <w:r w:rsidRPr="003538AC">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3538AC">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3538AC">
        <w:rPr>
          <w:rFonts w:ascii="Palatino Linotype" w:eastAsia="Palatino Linotype" w:hAnsi="Palatino Linotype" w:cs="Palatino Linotype"/>
          <w:color w:val="000000" w:themeColor="text1"/>
        </w:rPr>
        <w:t xml:space="preserve">, asimismo </w:t>
      </w:r>
      <w:r w:rsidRPr="003538AC">
        <w:rPr>
          <w:rFonts w:ascii="Palatino Linotype" w:eastAsia="Palatino Linotype" w:hAnsi="Palatino Linotype" w:cs="Palatino Linotype"/>
          <w:b/>
          <w:color w:val="000000" w:themeColor="text1"/>
        </w:rPr>
        <w:t xml:space="preserve">contiene la </w:t>
      </w:r>
      <w:r w:rsidRPr="003538AC">
        <w:rPr>
          <w:rFonts w:ascii="Palatino Linotype" w:eastAsia="Palatino Linotype" w:hAnsi="Palatino Linotype" w:cs="Palatino Linotype"/>
          <w:color w:val="000000" w:themeColor="text1"/>
        </w:rPr>
        <w:t>fecha de alta y fecha de baja de los servidores públicos;</w:t>
      </w:r>
      <w:r w:rsidRPr="003538AC">
        <w:rPr>
          <w:rFonts w:ascii="Palatino Linotype" w:eastAsia="Palatino Linotype" w:hAnsi="Palatino Linotype" w:cs="Palatino Linotype"/>
          <w:b/>
          <w:color w:val="000000" w:themeColor="text1"/>
        </w:rPr>
        <w:t xml:space="preserve"> su nombre; puesto; área de adscripción </w:t>
      </w:r>
      <w:r w:rsidRPr="003538AC">
        <w:rPr>
          <w:rFonts w:ascii="Palatino Linotype" w:eastAsia="Palatino Linotype" w:hAnsi="Palatino Linotype" w:cs="Palatino Linotype"/>
          <w:color w:val="000000" w:themeColor="text1"/>
        </w:rPr>
        <w:t>y</w:t>
      </w:r>
      <w:r w:rsidRPr="003538AC">
        <w:rPr>
          <w:rFonts w:ascii="Palatino Linotype" w:eastAsia="Palatino Linotype" w:hAnsi="Palatino Linotype" w:cs="Palatino Linotype"/>
          <w:b/>
          <w:color w:val="000000" w:themeColor="text1"/>
        </w:rPr>
        <w:t xml:space="preserve"> categoría.</w:t>
      </w:r>
    </w:p>
    <w:p w14:paraId="1067EFEC" w14:textId="77777777" w:rsidR="00697E45" w:rsidRPr="003538AC" w:rsidRDefault="00697E45" w:rsidP="00E23F8A">
      <w:pPr>
        <w:spacing w:line="360" w:lineRule="auto"/>
        <w:jc w:val="both"/>
        <w:rPr>
          <w:rFonts w:ascii="Palatino Linotype" w:eastAsia="Palatino Linotype" w:hAnsi="Palatino Linotype" w:cs="Palatino Linotype"/>
          <w:color w:val="000000" w:themeColor="text1"/>
        </w:rPr>
      </w:pPr>
    </w:p>
    <w:p w14:paraId="0282C0CF" w14:textId="77777777" w:rsidR="00F67C4B" w:rsidRPr="003538AC" w:rsidRDefault="00F67C4B"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E77B9C1" w14:textId="77777777" w:rsidR="00F67C4B" w:rsidRPr="003538AC" w:rsidRDefault="00F67C4B" w:rsidP="00E23F8A">
      <w:pPr>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“Artículo 7. El Estado de México garantizará el efectivo acceso de toda persona a la información en posesión de cualquier entidad,</w:t>
      </w:r>
      <w:r w:rsidRPr="003538AC">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3538AC">
        <w:rPr>
          <w:rFonts w:ascii="Palatino Linotype" w:eastAsia="Palatino Linotype" w:hAnsi="Palatino Linotype" w:cs="Palatino Linotype"/>
          <w:b/>
          <w:i/>
          <w:color w:val="000000" w:themeColor="text1"/>
        </w:rPr>
        <w:t>que reciba y ejerza recursos públicos</w:t>
      </w:r>
      <w:r w:rsidRPr="003538AC">
        <w:rPr>
          <w:rFonts w:ascii="Palatino Linotype" w:eastAsia="Palatino Linotype" w:hAnsi="Palatino Linotype" w:cs="Palatino Linotype"/>
          <w:i/>
          <w:color w:val="000000" w:themeColor="text1"/>
        </w:rPr>
        <w:t xml:space="preserve"> o realice actos de autoridad </w:t>
      </w:r>
      <w:r w:rsidRPr="003538AC">
        <w:rPr>
          <w:rFonts w:ascii="Palatino Linotype" w:eastAsia="Palatino Linotype" w:hAnsi="Palatino Linotype" w:cs="Palatino Linotype"/>
          <w:b/>
          <w:i/>
          <w:color w:val="000000" w:themeColor="text1"/>
        </w:rPr>
        <w:t>en el ámbito de competencia del Estado de México y sus municipios</w:t>
      </w:r>
      <w:r w:rsidRPr="003538AC">
        <w:rPr>
          <w:rFonts w:ascii="Palatino Linotype" w:eastAsia="Palatino Linotype" w:hAnsi="Palatino Linotype" w:cs="Palatino Linotype"/>
          <w:i/>
          <w:color w:val="000000" w:themeColor="text1"/>
        </w:rPr>
        <w:t>.</w:t>
      </w:r>
    </w:p>
    <w:p w14:paraId="7879F167" w14:textId="77777777" w:rsidR="00F67C4B" w:rsidRPr="003538AC" w:rsidRDefault="00F67C4B" w:rsidP="00E23F8A">
      <w:pPr>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Artículo 23</w:t>
      </w:r>
      <w:r w:rsidRPr="003538AC">
        <w:rPr>
          <w:rFonts w:ascii="Palatino Linotype" w:eastAsia="Palatino Linotype" w:hAnsi="Palatino Linotype" w:cs="Palatino Linotype"/>
          <w:i/>
          <w:color w:val="000000" w:themeColor="text1"/>
        </w:rPr>
        <w:t>. Son sujetos obligados a transparentar y permitir el acceso a su información y proteger los datos personales que obren en su poder:</w:t>
      </w:r>
    </w:p>
    <w:p w14:paraId="792EEEFB" w14:textId="77777777" w:rsidR="00F67C4B" w:rsidRPr="003538AC" w:rsidRDefault="00F67C4B" w:rsidP="00E23F8A">
      <w:pPr>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w:t>
      </w:r>
    </w:p>
    <w:p w14:paraId="1893090C" w14:textId="77777777" w:rsidR="00F67C4B" w:rsidRPr="003538AC" w:rsidRDefault="00F67C4B" w:rsidP="00E23F8A">
      <w:pPr>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IV. Los ayuntamientos y las dependencias, organismos, órganos y entidades de la administración municipal;</w:t>
      </w:r>
    </w:p>
    <w:p w14:paraId="5BCEE08F" w14:textId="77777777" w:rsidR="00F67C4B" w:rsidRPr="003538AC" w:rsidRDefault="00F67C4B" w:rsidP="00E23F8A">
      <w:pPr>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w:t>
      </w:r>
    </w:p>
    <w:p w14:paraId="2A89A791" w14:textId="77777777" w:rsidR="00F67C4B" w:rsidRPr="003538AC" w:rsidRDefault="00F67C4B" w:rsidP="00E23F8A">
      <w:pPr>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DEE2270" w14:textId="77777777" w:rsidR="00F67C4B" w:rsidRPr="003538AC" w:rsidRDefault="00F67C4B" w:rsidP="00E23F8A">
      <w:pPr>
        <w:ind w:left="567"/>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p>
    <w:p w14:paraId="0BE1F1E8" w14:textId="77777777" w:rsidR="00F67C4B" w:rsidRPr="003538AC" w:rsidRDefault="00F67C4B" w:rsidP="00E23F8A">
      <w:pPr>
        <w:spacing w:line="360" w:lineRule="auto"/>
        <w:jc w:val="both"/>
        <w:rPr>
          <w:rFonts w:ascii="Palatino Linotype" w:eastAsia="Palatino Linotype" w:hAnsi="Palatino Linotype" w:cs="Palatino Linotype"/>
          <w:color w:val="000000" w:themeColor="text1"/>
        </w:rPr>
      </w:pPr>
    </w:p>
    <w:p w14:paraId="779BCA3E" w14:textId="77777777" w:rsidR="00F67C4B" w:rsidRPr="003538AC" w:rsidRDefault="00F67C4B"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 xml:space="preserve">Sirve de sustento por analogía, para justificar la publicidad sobre los datos relativos a los montos por concepto de pago de las remuneraciones, los criterios </w:t>
      </w:r>
      <w:r w:rsidRPr="003538AC">
        <w:rPr>
          <w:rFonts w:ascii="Palatino Linotype" w:eastAsia="Palatino Linotype" w:hAnsi="Palatino Linotype" w:cs="Palatino Linotype"/>
          <w:b/>
          <w:color w:val="000000" w:themeColor="text1"/>
        </w:rPr>
        <w:t>01/2003</w:t>
      </w:r>
      <w:r w:rsidRPr="003538AC">
        <w:rPr>
          <w:rFonts w:ascii="Palatino Linotype" w:eastAsia="Palatino Linotype" w:hAnsi="Palatino Linotype" w:cs="Palatino Linotype"/>
          <w:color w:val="000000" w:themeColor="text1"/>
        </w:rPr>
        <w:t xml:space="preserve"> y </w:t>
      </w:r>
      <w:r w:rsidRPr="003538AC">
        <w:rPr>
          <w:rFonts w:ascii="Palatino Linotype" w:eastAsia="Palatino Linotype" w:hAnsi="Palatino Linotype" w:cs="Palatino Linotype"/>
          <w:b/>
          <w:color w:val="000000" w:themeColor="text1"/>
        </w:rPr>
        <w:t>02/2003</w:t>
      </w:r>
      <w:r w:rsidRPr="003538AC">
        <w:rPr>
          <w:rFonts w:ascii="Palatino Linotype" w:eastAsia="Palatino Linotype" w:hAnsi="Palatino Linotype" w:cs="Palatino Linotype"/>
          <w:color w:val="000000" w:themeColor="text1"/>
        </w:rPr>
        <w:t xml:space="preserve"> emitidos por el Comité de Acceso a la Información Pública y Protección de Datos Personales de la Suprema Corte de Justicia de la Nación que a continuación se citan: </w:t>
      </w:r>
    </w:p>
    <w:p w14:paraId="464AD79C" w14:textId="77777777" w:rsidR="00F67C4B" w:rsidRPr="003538AC" w:rsidRDefault="00F67C4B" w:rsidP="00E23F8A">
      <w:pPr>
        <w:tabs>
          <w:tab w:val="left" w:pos="8505"/>
        </w:tabs>
        <w:spacing w:line="276" w:lineRule="auto"/>
        <w:ind w:left="567"/>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“Criterio 01/2003.</w:t>
      </w:r>
    </w:p>
    <w:p w14:paraId="403E4B65" w14:textId="77777777" w:rsidR="00F67C4B" w:rsidRPr="003538AC" w:rsidRDefault="00F67C4B" w:rsidP="00E23F8A">
      <w:pPr>
        <w:tabs>
          <w:tab w:val="left" w:pos="8505"/>
        </w:tabs>
        <w:spacing w:line="276" w:lineRule="auto"/>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3538AC">
        <w:rPr>
          <w:rFonts w:ascii="Palatino Linotype" w:eastAsia="Palatino Linotype" w:hAnsi="Palatino Linotype" w:cs="Palatino Linotype"/>
          <w:i/>
          <w:color w:val="000000" w:themeColor="text1"/>
        </w:rPr>
        <w:t xml:space="preserve"> </w:t>
      </w:r>
    </w:p>
    <w:p w14:paraId="5B636BB4" w14:textId="77777777" w:rsidR="00F67C4B" w:rsidRPr="003538AC" w:rsidRDefault="00F67C4B" w:rsidP="00E23F8A">
      <w:pPr>
        <w:tabs>
          <w:tab w:val="left" w:pos="8505"/>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538AC">
        <w:rPr>
          <w:rFonts w:ascii="Palatino Linotype" w:eastAsia="Palatino Linotype" w:hAnsi="Palatino Linotype" w:cs="Palatino Linotype"/>
          <w:b/>
          <w:i/>
          <w:color w:val="000000" w:themeColor="text1"/>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538AC">
        <w:rPr>
          <w:rFonts w:ascii="Palatino Linotype" w:eastAsia="Palatino Linotype" w:hAnsi="Palatino Linotype" w:cs="Palatino Linotype"/>
          <w:i/>
          <w:color w:val="000000" w:themeColor="text1"/>
        </w:rPr>
        <w:t>…”</w:t>
      </w:r>
    </w:p>
    <w:p w14:paraId="1027C8DC" w14:textId="77777777" w:rsidR="00F67C4B" w:rsidRPr="003538AC" w:rsidRDefault="00F67C4B" w:rsidP="00E23F8A">
      <w:pPr>
        <w:tabs>
          <w:tab w:val="left" w:pos="8505"/>
        </w:tabs>
        <w:ind w:left="567"/>
        <w:jc w:val="both"/>
        <w:rPr>
          <w:rFonts w:ascii="Palatino Linotype" w:eastAsia="Palatino Linotype" w:hAnsi="Palatino Linotype" w:cs="Palatino Linotype"/>
          <w:i/>
          <w:color w:val="000000" w:themeColor="text1"/>
        </w:rPr>
      </w:pPr>
    </w:p>
    <w:p w14:paraId="61516C0C" w14:textId="77777777" w:rsidR="00F67C4B" w:rsidRPr="003538AC" w:rsidRDefault="00F67C4B" w:rsidP="00E23F8A">
      <w:pPr>
        <w:tabs>
          <w:tab w:val="left" w:pos="8222"/>
        </w:tabs>
        <w:ind w:left="567"/>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“Criterio 02/2003.</w:t>
      </w:r>
    </w:p>
    <w:p w14:paraId="0BAAF72F" w14:textId="77777777" w:rsidR="00F67C4B" w:rsidRPr="003538AC" w:rsidRDefault="00F67C4B" w:rsidP="00E23F8A">
      <w:pPr>
        <w:tabs>
          <w:tab w:val="left" w:pos="8222"/>
        </w:tabs>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3538AC">
        <w:rPr>
          <w:rFonts w:ascii="Palatino Linotype" w:eastAsia="Palatino Linotype" w:hAnsi="Palatino Linotype" w:cs="Palatino Linotype"/>
          <w:i/>
          <w:color w:val="000000" w:themeColor="text1"/>
        </w:rPr>
        <w:t xml:space="preserve"> </w:t>
      </w:r>
    </w:p>
    <w:p w14:paraId="38D96BFD" w14:textId="77777777" w:rsidR="00F67C4B" w:rsidRPr="003538AC" w:rsidRDefault="00F67C4B" w:rsidP="00E23F8A">
      <w:pPr>
        <w:tabs>
          <w:tab w:val="left" w:pos="8222"/>
        </w:tabs>
        <w:ind w:left="567"/>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538AC">
        <w:rPr>
          <w:rFonts w:ascii="Palatino Linotype" w:eastAsia="Palatino Linotype" w:hAnsi="Palatino Linotype" w:cs="Palatino Linotype"/>
          <w:b/>
          <w:i/>
          <w:color w:val="000000" w:themeColor="text1"/>
        </w:rPr>
        <w:t xml:space="preserve">lo que deriva del hecho de que en términos de los previsto en el citado ordenamiento deben ponerse a disposición del público a través </w:t>
      </w:r>
      <w:r w:rsidRPr="003538AC">
        <w:rPr>
          <w:rFonts w:ascii="Palatino Linotype" w:eastAsia="Palatino Linotype" w:hAnsi="Palatino Linotype" w:cs="Palatino Linotype"/>
          <w:b/>
          <w:i/>
          <w:color w:val="000000" w:themeColor="text1"/>
        </w:rPr>
        <w:lastRenderedPageBreak/>
        <w:t>de medios remotos o locales de comunicación electrónica, tanto el directorio de servidores públicos como las remuneraciones mensuales por puesto incluso</w:t>
      </w:r>
      <w:r w:rsidRPr="003538AC">
        <w:rPr>
          <w:rFonts w:ascii="Palatino Linotype" w:eastAsia="Palatino Linotype" w:hAnsi="Palatino Linotype" w:cs="Palatino Linotype"/>
          <w:i/>
          <w:color w:val="000000" w:themeColor="text1"/>
        </w:rPr>
        <w:t xml:space="preserve"> el sistema de compensación…”</w:t>
      </w:r>
    </w:p>
    <w:p w14:paraId="6D7D6A1D" w14:textId="1D58312E" w:rsidR="00F67C4B" w:rsidRPr="003538AC" w:rsidRDefault="00F67C4B" w:rsidP="00E23F8A">
      <w:pPr>
        <w:spacing w:line="360" w:lineRule="auto"/>
        <w:ind w:left="567"/>
        <w:jc w:val="both"/>
        <w:rPr>
          <w:rFonts w:ascii="Palatino Linotype" w:eastAsia="Palatino Linotype" w:hAnsi="Palatino Linotype" w:cs="Palatino Linotype"/>
          <w:color w:val="000000" w:themeColor="text1"/>
        </w:rPr>
      </w:pPr>
    </w:p>
    <w:p w14:paraId="00BC3760" w14:textId="45CA2969" w:rsidR="00F67C4B" w:rsidRPr="003538AC" w:rsidRDefault="00F67C4B"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w:t>
      </w:r>
      <w:r w:rsidRPr="003538AC">
        <w:rPr>
          <w:rFonts w:ascii="Palatino Linotype" w:eastAsia="Palatino Linotype" w:hAnsi="Palatino Linotype" w:cs="Palatino Linotype"/>
          <w:b/>
          <w:color w:val="000000" w:themeColor="text1"/>
        </w:rPr>
        <w:t xml:space="preserve"> </w:t>
      </w:r>
      <w:r w:rsidRPr="003538AC">
        <w:rPr>
          <w:rFonts w:ascii="Palatino Linotype" w:eastAsia="Palatino Linotype" w:hAnsi="Palatino Linotype" w:cs="Palatino Linotype"/>
          <w:b/>
          <w:color w:val="000000" w:themeColor="text1"/>
          <w:u w:val="single"/>
        </w:rPr>
        <w:t>las remuneraciones brutas y netas de todos los servidores públicos,</w:t>
      </w:r>
      <w:r w:rsidRPr="003538AC">
        <w:rPr>
          <w:rFonts w:ascii="Palatino Linotype" w:eastAsia="Palatino Linotype" w:hAnsi="Palatino Linotype" w:cs="Palatino Linotype"/>
          <w:color w:val="000000" w:themeColor="text1"/>
        </w:rPr>
        <w:t xml:space="preserve"> que incluya todas las percepciones, entre las cuales, se encuentran los sueldos, prestaciones, gratificaciones, primas, comisiones, dietas, bonos, estímulos, ingresos, entre otros, tal </w:t>
      </w:r>
      <w:r w:rsidR="00F32CA3" w:rsidRPr="003538AC">
        <w:rPr>
          <w:rFonts w:ascii="Palatino Linotype" w:eastAsia="Palatino Linotype" w:hAnsi="Palatino Linotype" w:cs="Palatino Linotype"/>
          <w:color w:val="000000" w:themeColor="text1"/>
        </w:rPr>
        <w:t>como se aprecia a continuación:</w:t>
      </w:r>
    </w:p>
    <w:p w14:paraId="5E43794B" w14:textId="77777777" w:rsidR="00F67C4B" w:rsidRPr="003538AC" w:rsidRDefault="00F67C4B" w:rsidP="00E23F8A">
      <w:pPr>
        <w:ind w:left="567"/>
        <w:jc w:val="center"/>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Ley General de Transparencia y Acceso a la Información Pública</w:t>
      </w:r>
    </w:p>
    <w:p w14:paraId="5D9116CC" w14:textId="77777777" w:rsidR="00F67C4B" w:rsidRPr="003538AC" w:rsidRDefault="00F67C4B" w:rsidP="00E23F8A">
      <w:pPr>
        <w:ind w:left="567"/>
        <w:jc w:val="both"/>
        <w:rPr>
          <w:rFonts w:ascii="Palatino Linotype" w:eastAsia="Palatino Linotype" w:hAnsi="Palatino Linotype" w:cs="Palatino Linotype"/>
          <w:i/>
          <w:color w:val="000000" w:themeColor="text1"/>
        </w:rPr>
      </w:pPr>
    </w:p>
    <w:p w14:paraId="2224872C" w14:textId="77777777" w:rsidR="00F67C4B" w:rsidRPr="003538AC" w:rsidRDefault="00F67C4B" w:rsidP="00E23F8A">
      <w:pPr>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Artículo 70.</w:t>
      </w:r>
      <w:r w:rsidRPr="003538AC">
        <w:rPr>
          <w:rFonts w:ascii="Palatino Linotype" w:eastAsia="Palatino Linotype" w:hAnsi="Palatino Linotype" w:cs="Palatino Linotype"/>
          <w:i/>
          <w:color w:val="000000" w:themeColor="text1"/>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E626E82" w14:textId="77777777" w:rsidR="00F67C4B" w:rsidRPr="003538AC" w:rsidRDefault="00F67C4B" w:rsidP="00E23F8A">
      <w:pPr>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w:t>
      </w:r>
    </w:p>
    <w:p w14:paraId="00F88803" w14:textId="77777777" w:rsidR="00F67C4B" w:rsidRPr="003538AC" w:rsidRDefault="00F67C4B" w:rsidP="00E23F8A">
      <w:pPr>
        <w:ind w:left="567"/>
        <w:jc w:val="both"/>
        <w:rPr>
          <w:rFonts w:ascii="Palatino Linotype" w:eastAsia="Palatino Linotype" w:hAnsi="Palatino Linotype" w:cs="Palatino Linotype"/>
          <w:i/>
          <w:color w:val="000000" w:themeColor="text1"/>
        </w:rPr>
      </w:pPr>
      <w:r w:rsidRPr="003538AC">
        <w:rPr>
          <w:rFonts w:ascii="Palatino Linotype" w:eastAsia="Palatino Linotype" w:hAnsi="Palatino Linotype" w:cs="Palatino Linotype"/>
          <w:b/>
          <w:i/>
          <w:color w:val="000000" w:themeColor="text1"/>
        </w:rPr>
        <w:t>VIII. La remuneración bruta y neta de todos los Servidores Públicos</w:t>
      </w:r>
      <w:r w:rsidRPr="003538AC">
        <w:rPr>
          <w:rFonts w:ascii="Palatino Linotype" w:eastAsia="Palatino Linotype" w:hAnsi="Palatino Linotype" w:cs="Palatino Linotype"/>
          <w:i/>
          <w:color w:val="000000" w:themeColor="text1"/>
        </w:rPr>
        <w:t xml:space="preserve"> de base o de confianza, de todas las percepciones, incluyendo sueldos, prestaciones, gratificaciones, primas, comisiones, dietas, bonos, estímulos, ingresos y sistemas de compensación, señalando la periodicidad de dicha remuneración;</w:t>
      </w:r>
    </w:p>
    <w:p w14:paraId="59868067" w14:textId="77777777" w:rsidR="00F67C4B" w:rsidRPr="003538AC" w:rsidRDefault="00F67C4B" w:rsidP="00E23F8A">
      <w:pPr>
        <w:ind w:left="567"/>
        <w:jc w:val="both"/>
        <w:rPr>
          <w:rFonts w:ascii="Palatino Linotype" w:eastAsia="Palatino Linotype" w:hAnsi="Palatino Linotype" w:cs="Palatino Linotype"/>
          <w:b/>
          <w:i/>
          <w:color w:val="000000" w:themeColor="text1"/>
        </w:rPr>
      </w:pPr>
      <w:r w:rsidRPr="003538AC">
        <w:rPr>
          <w:rFonts w:ascii="Palatino Linotype" w:eastAsia="Palatino Linotype" w:hAnsi="Palatino Linotype" w:cs="Palatino Linotype"/>
          <w:b/>
          <w:i/>
          <w:color w:val="000000" w:themeColor="text1"/>
        </w:rPr>
        <w:t>(…)</w:t>
      </w:r>
    </w:p>
    <w:p w14:paraId="17F8DACB" w14:textId="77777777" w:rsidR="00F67C4B" w:rsidRPr="003538AC" w:rsidRDefault="00F67C4B" w:rsidP="00E23F8A">
      <w:pPr>
        <w:ind w:left="567"/>
        <w:jc w:val="both"/>
        <w:rPr>
          <w:rFonts w:ascii="Palatino Linotype" w:eastAsia="Palatino Linotype" w:hAnsi="Palatino Linotype" w:cs="Palatino Linotype"/>
          <w:b/>
          <w:i/>
          <w:color w:val="000000" w:themeColor="text1"/>
        </w:rPr>
      </w:pPr>
    </w:p>
    <w:p w14:paraId="40EE67DA" w14:textId="77777777" w:rsidR="00F67C4B" w:rsidRPr="003538AC" w:rsidRDefault="00F67C4B" w:rsidP="00E23F8A">
      <w:pPr>
        <w:pStyle w:val="Prrafodelista"/>
        <w:tabs>
          <w:tab w:val="left" w:pos="426"/>
          <w:tab w:val="left" w:pos="567"/>
        </w:tabs>
        <w:ind w:left="567"/>
        <w:jc w:val="center"/>
        <w:rPr>
          <w:rFonts w:ascii="Palatino Linotype" w:eastAsia="MS Mincho" w:hAnsi="Palatino Linotype"/>
          <w:b/>
          <w:i/>
          <w:color w:val="000000" w:themeColor="text1"/>
          <w:sz w:val="24"/>
        </w:rPr>
      </w:pPr>
      <w:r w:rsidRPr="003538AC">
        <w:rPr>
          <w:rFonts w:ascii="Palatino Linotype" w:eastAsia="MS Mincho" w:hAnsi="Palatino Linotype"/>
          <w:b/>
          <w:i/>
          <w:color w:val="000000" w:themeColor="text1"/>
          <w:sz w:val="24"/>
        </w:rPr>
        <w:t>Ley de Transparencia y Acceso a la Información Pública del Estado de México y Municipios</w:t>
      </w:r>
    </w:p>
    <w:p w14:paraId="1512E253" w14:textId="77777777" w:rsidR="00F67C4B" w:rsidRPr="003538AC" w:rsidRDefault="00F67C4B" w:rsidP="00E23F8A">
      <w:pPr>
        <w:pStyle w:val="Prrafodelista"/>
        <w:tabs>
          <w:tab w:val="left" w:pos="426"/>
          <w:tab w:val="left" w:pos="567"/>
        </w:tabs>
        <w:ind w:left="567"/>
        <w:jc w:val="center"/>
        <w:rPr>
          <w:rFonts w:ascii="Palatino Linotype" w:eastAsia="Calibri" w:hAnsi="Palatino Linotype" w:cs="Arial"/>
          <w:b/>
          <w:i/>
          <w:color w:val="000000" w:themeColor="text1"/>
          <w:sz w:val="24"/>
          <w:lang w:val="es-ES"/>
        </w:rPr>
      </w:pPr>
    </w:p>
    <w:p w14:paraId="1081529C" w14:textId="77777777" w:rsidR="00F67C4B" w:rsidRPr="003538AC" w:rsidRDefault="00F67C4B" w:rsidP="00E23F8A">
      <w:pPr>
        <w:autoSpaceDE w:val="0"/>
        <w:autoSpaceDN w:val="0"/>
        <w:adjustRightInd w:val="0"/>
        <w:ind w:left="567"/>
        <w:jc w:val="both"/>
        <w:rPr>
          <w:rFonts w:ascii="Palatino Linotype" w:eastAsia="Calibri" w:hAnsi="Palatino Linotype" w:cs="Arial"/>
          <w:i/>
          <w:color w:val="000000" w:themeColor="text1"/>
          <w:lang w:eastAsia="en-US"/>
        </w:rPr>
      </w:pPr>
      <w:r w:rsidRPr="003538AC">
        <w:rPr>
          <w:rFonts w:ascii="Palatino Linotype" w:eastAsia="Calibri" w:hAnsi="Palatino Linotype" w:cs="Arial"/>
          <w:b/>
          <w:i/>
          <w:color w:val="000000" w:themeColor="text1"/>
          <w:lang w:eastAsia="en-US"/>
        </w:rPr>
        <w:t>“Artículo 92.</w:t>
      </w:r>
      <w:r w:rsidRPr="003538AC">
        <w:rPr>
          <w:rFonts w:ascii="Palatino Linotype" w:eastAsia="Calibri" w:hAnsi="Palatino Linotype" w:cs="Arial"/>
          <w:i/>
          <w:color w:val="000000" w:themeColor="text1"/>
          <w:lang w:eastAsia="en-US"/>
        </w:rPr>
        <w:t xml:space="preserve"> Los sujetos obligados deberán poner a disposición del público de manera permanente y actualizada de forma sencilla, precisa y entendible, en los respectivos medios electrónicos, de </w:t>
      </w:r>
      <w:r w:rsidRPr="003538AC">
        <w:rPr>
          <w:rFonts w:ascii="Palatino Linotype" w:eastAsia="Calibri" w:hAnsi="Palatino Linotype" w:cs="Arial"/>
          <w:i/>
          <w:color w:val="000000" w:themeColor="text1"/>
          <w:lang w:eastAsia="en-US"/>
        </w:rPr>
        <w:lastRenderedPageBreak/>
        <w:t>acuerdo con sus facultades, atribuciones, funciones u objeto social, según corresponda, la información, por lo menos, de los temas, documentos y políticas que a continuación se señalan:</w:t>
      </w:r>
    </w:p>
    <w:p w14:paraId="4C4AF6F3" w14:textId="77777777" w:rsidR="00F67C4B" w:rsidRPr="003538AC" w:rsidRDefault="00F67C4B" w:rsidP="00E23F8A">
      <w:pPr>
        <w:autoSpaceDE w:val="0"/>
        <w:autoSpaceDN w:val="0"/>
        <w:adjustRightInd w:val="0"/>
        <w:ind w:left="567"/>
        <w:jc w:val="both"/>
        <w:rPr>
          <w:rFonts w:ascii="Palatino Linotype" w:eastAsia="Calibri" w:hAnsi="Palatino Linotype" w:cs="Arial"/>
          <w:i/>
          <w:color w:val="000000" w:themeColor="text1"/>
          <w:lang w:eastAsia="en-US"/>
        </w:rPr>
      </w:pPr>
      <w:r w:rsidRPr="003538AC">
        <w:rPr>
          <w:rFonts w:ascii="Palatino Linotype" w:eastAsia="Calibri" w:hAnsi="Palatino Linotype" w:cs="Arial"/>
          <w:b/>
          <w:i/>
          <w:color w:val="000000" w:themeColor="text1"/>
          <w:lang w:eastAsia="en-US"/>
        </w:rPr>
        <w:t>(…)</w:t>
      </w:r>
    </w:p>
    <w:p w14:paraId="72F09EAB" w14:textId="77777777" w:rsidR="00F67C4B" w:rsidRPr="003538AC" w:rsidRDefault="00F67C4B" w:rsidP="00E23F8A">
      <w:pPr>
        <w:ind w:left="567"/>
        <w:jc w:val="both"/>
        <w:rPr>
          <w:rFonts w:ascii="Palatino Linotype" w:hAnsi="Palatino Linotype"/>
          <w:i/>
          <w:color w:val="000000" w:themeColor="text1"/>
        </w:rPr>
      </w:pPr>
      <w:r w:rsidRPr="003538AC">
        <w:rPr>
          <w:rFonts w:ascii="Palatino Linotype" w:eastAsia="Calibri" w:hAnsi="Palatino Linotype" w:cs="Arial"/>
          <w:b/>
          <w:i/>
          <w:color w:val="000000" w:themeColor="text1"/>
          <w:lang w:val="es-ES"/>
        </w:rPr>
        <w:t xml:space="preserve">VIII. </w:t>
      </w:r>
      <w:r w:rsidRPr="003538AC">
        <w:rPr>
          <w:rFonts w:ascii="Palatino Linotype" w:hAnsi="Palatino Linotype"/>
          <w:b/>
          <w:i/>
          <w:color w:val="000000" w:themeColor="text1"/>
        </w:rPr>
        <w:t>La remuneración bruta y neta de todos los servidores públicos</w:t>
      </w:r>
      <w:r w:rsidRPr="003538AC">
        <w:rPr>
          <w:rFonts w:ascii="Palatino Linotype" w:hAnsi="Palatino Linotype"/>
          <w:i/>
          <w:color w:val="000000" w:themeColor="text1"/>
        </w:rPr>
        <w:t xml:space="preserve"> de base o de confianza, de todas las percepciones, incluyendo sueldos, prestaciones, gratificaciones, primas, comisiones, dietas, bonos, estímulos, ingresos y sistemas de compensación, señalando la periodicidad de dicha remuneración; </w:t>
      </w:r>
    </w:p>
    <w:p w14:paraId="1403F086" w14:textId="77777777" w:rsidR="00F67C4B" w:rsidRPr="003538AC" w:rsidRDefault="00F67C4B" w:rsidP="00E23F8A">
      <w:pPr>
        <w:ind w:left="567"/>
        <w:jc w:val="both"/>
        <w:rPr>
          <w:rFonts w:ascii="Palatino Linotype" w:eastAsia="Palatino Linotype" w:hAnsi="Palatino Linotype" w:cs="Palatino Linotype"/>
          <w:color w:val="000000" w:themeColor="text1"/>
        </w:rPr>
      </w:pPr>
      <w:r w:rsidRPr="003538AC">
        <w:rPr>
          <w:rFonts w:ascii="Palatino Linotype" w:eastAsia="Calibri" w:hAnsi="Palatino Linotype" w:cs="Arial"/>
          <w:b/>
          <w:i/>
          <w:color w:val="000000" w:themeColor="text1"/>
          <w:lang w:val="es-ES"/>
        </w:rPr>
        <w:t>(…)</w:t>
      </w:r>
      <w:r w:rsidRPr="003538AC">
        <w:rPr>
          <w:rFonts w:ascii="Palatino Linotype" w:hAnsi="Palatino Linotype"/>
          <w:i/>
          <w:color w:val="000000" w:themeColor="text1"/>
        </w:rPr>
        <w:t>”</w:t>
      </w:r>
    </w:p>
    <w:p w14:paraId="361D78C8" w14:textId="77777777" w:rsidR="00F67C4B" w:rsidRPr="003538AC" w:rsidRDefault="00F67C4B" w:rsidP="00E23F8A">
      <w:pPr>
        <w:spacing w:line="360" w:lineRule="auto"/>
        <w:jc w:val="both"/>
        <w:rPr>
          <w:rFonts w:ascii="Palatino Linotype" w:eastAsia="Palatino Linotype" w:hAnsi="Palatino Linotype" w:cs="Palatino Linotype"/>
          <w:color w:val="000000" w:themeColor="text1"/>
        </w:rPr>
      </w:pPr>
    </w:p>
    <w:p w14:paraId="2F7D5E6C" w14:textId="77777777" w:rsidR="0016771C" w:rsidRPr="003538AC" w:rsidRDefault="0016771C"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Por lo anterior se reconoce que el </w:t>
      </w:r>
      <w:r w:rsidRPr="003538AC">
        <w:rPr>
          <w:rFonts w:ascii="Palatino Linotype" w:eastAsia="Palatino Linotype" w:hAnsi="Palatino Linotype" w:cs="Palatino Linotype"/>
          <w:b/>
          <w:color w:val="000000" w:themeColor="text1"/>
        </w:rPr>
        <w:t>SUJETO OBLIGADO,</w:t>
      </w:r>
      <w:r w:rsidRPr="003538AC">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de manera enunciativa más no limitativa, la </w:t>
      </w:r>
      <w:r w:rsidRPr="003538AC">
        <w:rPr>
          <w:rFonts w:ascii="Palatino Linotype" w:eastAsia="Palatino Linotype" w:hAnsi="Palatino Linotype" w:cs="Palatino Linotype"/>
          <w:b/>
          <w:color w:val="000000" w:themeColor="text1"/>
        </w:rPr>
        <w:t>Conciliación de Nómina</w:t>
      </w:r>
      <w:r w:rsidRPr="003538AC">
        <w:rPr>
          <w:rFonts w:ascii="Palatino Linotype" w:eastAsia="Palatino Linotype" w:hAnsi="Palatino Linotype" w:cs="Palatino Linotype"/>
          <w:color w:val="000000" w:themeColor="text1"/>
        </w:rPr>
        <w:t xml:space="preserve">. </w:t>
      </w:r>
    </w:p>
    <w:p w14:paraId="7BE5BAB3" w14:textId="77777777" w:rsidR="00F67C4B" w:rsidRPr="003538AC" w:rsidRDefault="00F67C4B" w:rsidP="00E23F8A">
      <w:pPr>
        <w:spacing w:line="360" w:lineRule="auto"/>
        <w:jc w:val="both"/>
        <w:rPr>
          <w:rFonts w:ascii="Palatino Linotype" w:eastAsia="Palatino Linotype" w:hAnsi="Palatino Linotype" w:cs="Palatino Linotype"/>
          <w:color w:val="000000" w:themeColor="text1"/>
        </w:rPr>
      </w:pPr>
    </w:p>
    <w:p w14:paraId="097C3B04" w14:textId="77777777" w:rsidR="00F67C4B" w:rsidRPr="003538AC" w:rsidRDefault="00F67C4B"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A73F36D" w14:textId="77777777" w:rsidR="00F67C4B" w:rsidRPr="003538AC" w:rsidRDefault="00F67C4B" w:rsidP="00E23F8A">
      <w:pPr>
        <w:pStyle w:val="Prrafodelista"/>
        <w:tabs>
          <w:tab w:val="left" w:pos="426"/>
          <w:tab w:val="left" w:pos="567"/>
        </w:tabs>
        <w:ind w:left="567"/>
        <w:jc w:val="both"/>
        <w:rPr>
          <w:rFonts w:ascii="Palatino Linotype" w:hAnsi="Palatino Linotype"/>
          <w:i/>
          <w:color w:val="000000" w:themeColor="text1"/>
          <w:sz w:val="24"/>
        </w:rPr>
      </w:pPr>
      <w:r w:rsidRPr="003538AC">
        <w:rPr>
          <w:rFonts w:ascii="Palatino Linotype" w:hAnsi="Palatino Linotype"/>
          <w:b/>
          <w:i/>
          <w:color w:val="000000" w:themeColor="text1"/>
          <w:sz w:val="24"/>
        </w:rPr>
        <w:t>“Artículo 3.</w:t>
      </w:r>
      <w:r w:rsidRPr="003538AC">
        <w:rPr>
          <w:rFonts w:ascii="Palatino Linotype" w:hAnsi="Palatino Linotype"/>
          <w:i/>
          <w:color w:val="000000" w:themeColor="text1"/>
          <w:sz w:val="24"/>
        </w:rPr>
        <w:t xml:space="preserve"> Para los efectos de la presente Ley se entenderá por: </w:t>
      </w:r>
    </w:p>
    <w:p w14:paraId="6D4E6DD1" w14:textId="77777777" w:rsidR="00F67C4B" w:rsidRPr="003538AC" w:rsidRDefault="00F67C4B" w:rsidP="00E23F8A">
      <w:pPr>
        <w:pStyle w:val="Prrafodelista"/>
        <w:tabs>
          <w:tab w:val="left" w:pos="426"/>
          <w:tab w:val="left" w:pos="567"/>
        </w:tabs>
        <w:ind w:left="567"/>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 </w:t>
      </w:r>
    </w:p>
    <w:p w14:paraId="37F90775" w14:textId="77777777" w:rsidR="00F67C4B" w:rsidRPr="003538AC" w:rsidRDefault="00F67C4B" w:rsidP="00E23F8A">
      <w:pPr>
        <w:pStyle w:val="Prrafodelista"/>
        <w:tabs>
          <w:tab w:val="left" w:pos="426"/>
          <w:tab w:val="left" w:pos="567"/>
        </w:tabs>
        <w:ind w:left="567"/>
        <w:jc w:val="both"/>
        <w:rPr>
          <w:rFonts w:ascii="Palatino Linotype" w:hAnsi="Palatino Linotype"/>
          <w:b/>
          <w:i/>
          <w:color w:val="000000" w:themeColor="text1"/>
          <w:sz w:val="24"/>
        </w:rPr>
      </w:pPr>
      <w:r w:rsidRPr="003538AC">
        <w:rPr>
          <w:rFonts w:ascii="Palatino Linotype" w:hAnsi="Palatino Linotype"/>
          <w:b/>
          <w:i/>
          <w:color w:val="000000" w:themeColor="text1"/>
          <w:sz w:val="24"/>
        </w:rPr>
        <w:t>XI. Documento:</w:t>
      </w:r>
      <w:r w:rsidRPr="003538AC">
        <w:rPr>
          <w:rFonts w:ascii="Palatino Linotype" w:hAnsi="Palatino Linotype"/>
          <w:i/>
          <w:color w:val="000000" w:themeColor="text1"/>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3538AC">
        <w:rPr>
          <w:rFonts w:ascii="Palatino Linotype" w:hAnsi="Palatino Linotype"/>
          <w:i/>
          <w:color w:val="000000" w:themeColor="text1"/>
          <w:sz w:val="24"/>
        </w:rPr>
        <w:lastRenderedPageBreak/>
        <w:t xml:space="preserve">o fecha de elaboración. </w:t>
      </w:r>
      <w:r w:rsidRPr="003538AC">
        <w:rPr>
          <w:rFonts w:ascii="Palatino Linotype" w:hAnsi="Palatino Linotype"/>
          <w:b/>
          <w:i/>
          <w:color w:val="000000" w:themeColor="text1"/>
          <w:sz w:val="24"/>
        </w:rPr>
        <w:t xml:space="preserve">Los documentos podrán estar en cualquier medio, sea escrito, impreso, sonoro, visual, electrónico, informático u holográfico; </w:t>
      </w:r>
    </w:p>
    <w:p w14:paraId="19CEA976" w14:textId="679FD42A" w:rsidR="00F67C4B" w:rsidRPr="003538AC" w:rsidRDefault="00F67C4B" w:rsidP="00E23F8A">
      <w:pPr>
        <w:pStyle w:val="Prrafodelista"/>
        <w:tabs>
          <w:tab w:val="left" w:pos="426"/>
          <w:tab w:val="left" w:pos="567"/>
        </w:tabs>
        <w:ind w:left="567"/>
        <w:jc w:val="both"/>
        <w:rPr>
          <w:rFonts w:ascii="Palatino Linotype" w:hAnsi="Palatino Linotype"/>
          <w:b/>
          <w:i/>
          <w:color w:val="000000" w:themeColor="text1"/>
          <w:sz w:val="24"/>
        </w:rPr>
      </w:pPr>
      <w:r w:rsidRPr="003538AC">
        <w:rPr>
          <w:rFonts w:ascii="Palatino Linotype" w:hAnsi="Palatino Linotype"/>
          <w:i/>
          <w:color w:val="000000" w:themeColor="text1"/>
          <w:sz w:val="24"/>
        </w:rPr>
        <w:t>(…)”</w:t>
      </w:r>
    </w:p>
    <w:p w14:paraId="367ED5B4" w14:textId="77777777" w:rsidR="00F67C4B" w:rsidRPr="003538AC" w:rsidRDefault="00F67C4B" w:rsidP="00E23F8A">
      <w:pPr>
        <w:pStyle w:val="Prrafodelista"/>
        <w:ind w:left="567"/>
        <w:rPr>
          <w:rFonts w:ascii="Palatino Linotype" w:eastAsia="Palatino Linotype" w:hAnsi="Palatino Linotype" w:cs="Palatino Linotype"/>
          <w:color w:val="000000" w:themeColor="text1"/>
          <w:sz w:val="24"/>
        </w:rPr>
      </w:pPr>
    </w:p>
    <w:p w14:paraId="54DCE3B4" w14:textId="77777777" w:rsidR="00F67C4B" w:rsidRPr="003538AC" w:rsidRDefault="00F67C4B" w:rsidP="00E23F8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3538AC">
        <w:rPr>
          <w:rFonts w:ascii="Palatino Linotype" w:eastAsia="Calibri" w:hAnsi="Palatino Linotype" w:cs="Arial"/>
          <w:color w:val="000000" w:themeColor="text1"/>
          <w:sz w:val="24"/>
          <w:lang w:val="es-ES"/>
        </w:rPr>
        <w:t xml:space="preserve">Siendo </w:t>
      </w:r>
      <w:r w:rsidRPr="003538AC">
        <w:rPr>
          <w:rFonts w:ascii="Palatino Linotype" w:hAnsi="Palatino Linotype"/>
          <w:color w:val="000000" w:themeColor="text1"/>
          <w:sz w:val="24"/>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299EE8B" w14:textId="77777777" w:rsidR="00F67C4B" w:rsidRPr="003538AC" w:rsidRDefault="00F67C4B" w:rsidP="00E23F8A">
      <w:pPr>
        <w:pStyle w:val="Prrafodelista"/>
        <w:tabs>
          <w:tab w:val="left" w:pos="426"/>
          <w:tab w:val="left" w:pos="567"/>
        </w:tabs>
        <w:ind w:left="567"/>
        <w:jc w:val="both"/>
        <w:rPr>
          <w:rFonts w:ascii="Palatino Linotype" w:hAnsi="Palatino Linotype"/>
          <w:i/>
          <w:color w:val="000000" w:themeColor="text1"/>
          <w:sz w:val="24"/>
        </w:rPr>
      </w:pPr>
      <w:r w:rsidRPr="003538AC">
        <w:rPr>
          <w:rFonts w:ascii="Palatino Linotype" w:hAnsi="Palatino Linotype"/>
          <w:i/>
          <w:color w:val="000000" w:themeColor="text1"/>
          <w:sz w:val="24"/>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613DE357" w14:textId="77777777" w:rsidR="00F67C4B" w:rsidRPr="003538AC" w:rsidRDefault="00F67C4B" w:rsidP="00E23F8A">
      <w:pPr>
        <w:spacing w:line="360" w:lineRule="auto"/>
        <w:ind w:left="567"/>
        <w:jc w:val="both"/>
        <w:rPr>
          <w:rFonts w:ascii="Palatino Linotype" w:eastAsia="Palatino Linotype" w:hAnsi="Palatino Linotype" w:cs="Palatino Linotype"/>
          <w:color w:val="000000" w:themeColor="text1"/>
        </w:rPr>
      </w:pPr>
    </w:p>
    <w:p w14:paraId="6D4638E3" w14:textId="7584CD4E" w:rsidR="005045A9" w:rsidRPr="003538AC" w:rsidRDefault="005045A9" w:rsidP="00E23F8A">
      <w:pPr>
        <w:pStyle w:val="Prrafodelista"/>
        <w:numPr>
          <w:ilvl w:val="0"/>
          <w:numId w:val="6"/>
        </w:numPr>
        <w:spacing w:line="360" w:lineRule="auto"/>
        <w:jc w:val="both"/>
        <w:rPr>
          <w:rFonts w:ascii="Palatino Linotype" w:eastAsia="Palatino Linotype" w:hAnsi="Palatino Linotype" w:cs="Palatino Linotype"/>
          <w:color w:val="000000" w:themeColor="text1"/>
          <w:sz w:val="24"/>
        </w:rPr>
      </w:pPr>
      <w:r w:rsidRPr="003538AC">
        <w:rPr>
          <w:rFonts w:ascii="Palatino Linotype" w:hAnsi="Palatino Linotype" w:cs="Arial"/>
          <w:b/>
          <w:bCs/>
          <w:i/>
          <w:iCs/>
          <w:color w:val="000000" w:themeColor="text1"/>
          <w:sz w:val="24"/>
        </w:rPr>
        <w:t>Plus petitio.</w:t>
      </w:r>
    </w:p>
    <w:p w14:paraId="709E8E6B" w14:textId="28F049A8" w:rsidR="005045A9" w:rsidRPr="003538AC" w:rsidRDefault="005045A9" w:rsidP="00E23F8A">
      <w:pPr>
        <w:pStyle w:val="Prrafodelista"/>
        <w:numPr>
          <w:ilvl w:val="0"/>
          <w:numId w:val="1"/>
        </w:numPr>
        <w:spacing w:line="360" w:lineRule="auto"/>
        <w:ind w:left="0" w:firstLine="0"/>
        <w:jc w:val="both"/>
        <w:rPr>
          <w:rFonts w:ascii="Palatino Linotype" w:hAnsi="Palatino Linotype"/>
          <w:i/>
          <w:color w:val="000000" w:themeColor="text1"/>
          <w:sz w:val="24"/>
        </w:rPr>
      </w:pPr>
      <w:r w:rsidRPr="003538AC">
        <w:rPr>
          <w:rFonts w:ascii="Palatino Linotype" w:eastAsia="Calibri" w:hAnsi="Palatino Linotype" w:cs="Arial"/>
          <w:color w:val="000000" w:themeColor="text1"/>
          <w:sz w:val="24"/>
          <w:lang w:val="es-ES"/>
        </w:rPr>
        <w:t xml:space="preserve">Ahora </w:t>
      </w:r>
      <w:r w:rsidRPr="003538AC">
        <w:rPr>
          <w:rFonts w:ascii="Palatino Linotype" w:hAnsi="Palatino Linotype" w:cs="Arial"/>
          <w:color w:val="000000" w:themeColor="text1"/>
          <w:sz w:val="24"/>
          <w:lang w:val="es-ES"/>
        </w:rPr>
        <w:t xml:space="preserve">bien, </w:t>
      </w:r>
      <w:r w:rsidRPr="003538AC">
        <w:rPr>
          <w:rFonts w:ascii="Palatino Linotype" w:hAnsi="Palatino Linotype"/>
          <w:color w:val="000000" w:themeColor="text1"/>
          <w:sz w:val="24"/>
        </w:rPr>
        <w:t xml:space="preserve">resulta necesario reiterar las razones o motivos de inconformidad vertidos en el recurso de revisión </w:t>
      </w:r>
      <w:r w:rsidRPr="003538AC">
        <w:rPr>
          <w:rFonts w:ascii="Palatino Linotype" w:eastAsia="Calibri" w:hAnsi="Palatino Linotype" w:cs="Tahoma"/>
          <w:b/>
          <w:bCs/>
          <w:color w:val="000000" w:themeColor="text1"/>
          <w:sz w:val="24"/>
          <w:lang w:eastAsia="en-US"/>
        </w:rPr>
        <w:t>6103/INFOEM/IP/RR/2025</w:t>
      </w:r>
      <w:r w:rsidRPr="003538AC">
        <w:rPr>
          <w:rFonts w:ascii="Palatino Linotype" w:hAnsi="Palatino Linotype"/>
          <w:color w:val="000000" w:themeColor="text1"/>
          <w:sz w:val="24"/>
        </w:rPr>
        <w:t xml:space="preserve">, en los siguientes términos: </w:t>
      </w:r>
      <w:r w:rsidRPr="003538AC">
        <w:rPr>
          <w:rFonts w:ascii="Palatino Linotype" w:hAnsi="Palatino Linotype"/>
          <w:i/>
          <w:color w:val="000000" w:themeColor="text1"/>
          <w:sz w:val="24"/>
        </w:rPr>
        <w:t>“… además faltan los certificados de competencia laboral que se solicitaron, y se pidió aquellos para el puesto que ocupan, y del director general no se presenta el de operación de organismo de agua y de la oficial mayor ni se diga, no se entrego ninguno.” (Sic)</w:t>
      </w:r>
    </w:p>
    <w:p w14:paraId="315C6C9E" w14:textId="17049265" w:rsidR="005045A9" w:rsidRPr="003538AC" w:rsidRDefault="005045A9"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olor w:val="000000" w:themeColor="text1"/>
        </w:rPr>
        <w:lastRenderedPageBreak/>
        <w:t xml:space="preserve">Conforme a lo anterior, </w:t>
      </w:r>
      <w:r w:rsidRPr="003538AC">
        <w:rPr>
          <w:rFonts w:ascii="Palatino Linotype" w:hAnsi="Palatino Linotype" w:cs="Arial"/>
          <w:color w:val="000000" w:themeColor="text1"/>
        </w:rPr>
        <w:t xml:space="preserve">el sistema de medios de impugnación se centra en el análisis de los agravios o motivos de inconformidad, que deben tener relación directa con el acto de autoridad que lo motiva. </w:t>
      </w:r>
    </w:p>
    <w:p w14:paraId="41BFA8CA" w14:textId="77777777" w:rsidR="005045A9" w:rsidRPr="003538AC" w:rsidRDefault="005045A9" w:rsidP="00E23F8A">
      <w:pPr>
        <w:spacing w:line="360" w:lineRule="auto"/>
        <w:jc w:val="both"/>
        <w:rPr>
          <w:rFonts w:ascii="Palatino Linotype" w:eastAsia="Palatino Linotype" w:hAnsi="Palatino Linotype" w:cs="Palatino Linotype"/>
          <w:color w:val="000000" w:themeColor="text1"/>
        </w:rPr>
      </w:pPr>
    </w:p>
    <w:p w14:paraId="70BB1A7B" w14:textId="77777777" w:rsidR="005045A9" w:rsidRPr="003538AC" w:rsidRDefault="005045A9"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s="Arial"/>
          <w:color w:val="000000" w:themeColor="text1"/>
        </w:rPr>
        <w:t xml:space="preserve">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3538AC">
        <w:rPr>
          <w:rFonts w:ascii="Palatino Linotype" w:hAnsi="Palatino Linotype" w:cs="Arial"/>
          <w:b/>
          <w:color w:val="000000" w:themeColor="text1"/>
        </w:rPr>
        <w:t>SUJETO OBLIGADO</w:t>
      </w:r>
      <w:r w:rsidRPr="003538AC">
        <w:rPr>
          <w:rFonts w:ascii="Palatino Linotype" w:hAnsi="Palatino Linotype" w:cs="Arial"/>
          <w:color w:val="000000" w:themeColor="text1"/>
        </w:rPr>
        <w:t xml:space="preserve"> no tuvo la oportunidad de conocer y por consiguiente producir un posicionamiento.</w:t>
      </w:r>
    </w:p>
    <w:p w14:paraId="2A801C37" w14:textId="77777777" w:rsidR="005045A9" w:rsidRPr="003538AC" w:rsidRDefault="005045A9"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olor w:val="000000" w:themeColor="text1"/>
        </w:rPr>
        <w:t xml:space="preserve">Es </w:t>
      </w:r>
      <w:r w:rsidRPr="003538AC">
        <w:rPr>
          <w:rFonts w:ascii="Palatino Linotype" w:hAnsi="Palatino Linotype" w:cs="Arial"/>
          <w:color w:val="000000" w:themeColor="text1"/>
        </w:rPr>
        <w:t>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0FC7453F" w14:textId="77777777" w:rsidR="005045A9" w:rsidRPr="003538AC" w:rsidRDefault="005045A9" w:rsidP="00E23F8A">
      <w:pPr>
        <w:pStyle w:val="Prrafodelista"/>
        <w:rPr>
          <w:rFonts w:ascii="Palatino Linotype" w:hAnsi="Palatino Linotype"/>
          <w:color w:val="000000" w:themeColor="text1"/>
          <w:sz w:val="24"/>
        </w:rPr>
      </w:pPr>
    </w:p>
    <w:p w14:paraId="6AB83E80" w14:textId="77777777" w:rsidR="005045A9" w:rsidRPr="003538AC" w:rsidRDefault="005045A9"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olor w:val="000000" w:themeColor="text1"/>
        </w:rPr>
        <w:t xml:space="preserve">Por </w:t>
      </w:r>
      <w:r w:rsidRPr="003538AC">
        <w:rPr>
          <w:rFonts w:ascii="Palatino Linotype" w:hAnsi="Palatino Linotype" w:cs="Arial"/>
          <w:color w:val="000000" w:themeColor="text1"/>
        </w:rPr>
        <w:t xml:space="preserve">lo anterior, de </w:t>
      </w:r>
      <w:r w:rsidRPr="003538AC">
        <w:rPr>
          <w:rFonts w:ascii="Palatino Linotype" w:hAnsi="Palatino Linotype" w:cs="Arial"/>
          <w:b/>
          <w:color w:val="000000" w:themeColor="text1"/>
        </w:rPr>
        <w:t>manera parcial</w:t>
      </w:r>
      <w:r w:rsidRPr="003538AC">
        <w:rPr>
          <w:rFonts w:ascii="Palatino Linotype" w:hAnsi="Palatino Linotype" w:cs="Arial"/>
          <w:color w:val="000000" w:themeColor="text1"/>
        </w:rPr>
        <w:t xml:space="preserve"> resulta improcedente el referido motivo de inconformidad, ya que se aprecia que la </w:t>
      </w:r>
      <w:r w:rsidRPr="003538AC">
        <w:rPr>
          <w:rFonts w:ascii="Palatino Linotype" w:hAnsi="Palatino Linotype" w:cs="Arial"/>
          <w:b/>
          <w:bCs/>
          <w:color w:val="000000" w:themeColor="text1"/>
        </w:rPr>
        <w:t>RECURRENTE</w:t>
      </w:r>
      <w:r w:rsidRPr="003538AC">
        <w:rPr>
          <w:rFonts w:ascii="Palatino Linotype" w:hAnsi="Palatino Linotype" w:cs="Arial"/>
          <w:color w:val="000000" w:themeColor="text1"/>
        </w:rPr>
        <w:t xml:space="preserve"> se excede dentro de su inconformidad respecto a lo requerido originalmente en la solicitud de información, siendo el caso que pretende ampliar lo solicitado de origen, lo que hace que se surta lo que en la teoría jurídica se le denomina </w:t>
      </w:r>
      <w:r w:rsidRPr="003538AC">
        <w:rPr>
          <w:rFonts w:ascii="Palatino Linotype" w:hAnsi="Palatino Linotype" w:cs="Arial"/>
          <w:b/>
          <w:bCs/>
          <w:i/>
          <w:iCs/>
          <w:color w:val="000000" w:themeColor="text1"/>
        </w:rPr>
        <w:t>plus petitio.</w:t>
      </w:r>
    </w:p>
    <w:p w14:paraId="3942B2AE" w14:textId="77777777" w:rsidR="005045A9" w:rsidRPr="003538AC" w:rsidRDefault="005045A9" w:rsidP="00E23F8A">
      <w:pPr>
        <w:pStyle w:val="Prrafodelista"/>
        <w:rPr>
          <w:rFonts w:ascii="Palatino Linotype" w:hAnsi="Palatino Linotype"/>
          <w:color w:val="000000" w:themeColor="text1"/>
          <w:sz w:val="24"/>
        </w:rPr>
      </w:pPr>
    </w:p>
    <w:p w14:paraId="4ECD928E" w14:textId="77777777" w:rsidR="005045A9" w:rsidRPr="003538AC" w:rsidRDefault="005045A9"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olor w:val="000000" w:themeColor="text1"/>
        </w:rPr>
        <w:t xml:space="preserve">Sirve </w:t>
      </w:r>
      <w:r w:rsidRPr="003538AC">
        <w:rPr>
          <w:rFonts w:ascii="Palatino Linotype" w:hAnsi="Palatino Linotype" w:cs="Arial"/>
          <w:color w:val="000000" w:themeColor="text1"/>
        </w:rPr>
        <w:t>de apoyo el criterio 01/17 emitido por el Instituto Nacional de Transparencia, Acceso a la Información y Protección de Datos Personales que establece lo siguiente:</w:t>
      </w:r>
    </w:p>
    <w:p w14:paraId="18F6EDA5" w14:textId="77777777" w:rsidR="005045A9" w:rsidRPr="003538AC" w:rsidRDefault="005045A9" w:rsidP="00E23F8A">
      <w:pPr>
        <w:ind w:left="567"/>
        <w:contextualSpacing/>
        <w:jc w:val="both"/>
        <w:rPr>
          <w:rFonts w:ascii="Palatino Linotype" w:hAnsi="Palatino Linotype" w:cs="Arial"/>
          <w:i/>
          <w:color w:val="000000" w:themeColor="text1"/>
        </w:rPr>
      </w:pPr>
      <w:r w:rsidRPr="003538AC">
        <w:rPr>
          <w:rFonts w:ascii="Palatino Linotype" w:hAnsi="Palatino Linotype" w:cs="Arial"/>
          <w:b/>
          <w:i/>
          <w:color w:val="000000" w:themeColor="text1"/>
        </w:rPr>
        <w:lastRenderedPageBreak/>
        <w:t>Es improcedente ampliar las solicitudes de acceso a información, a través de la interposición del recurso de revisión.</w:t>
      </w:r>
      <w:r w:rsidRPr="003538AC">
        <w:rPr>
          <w:rFonts w:ascii="Palatino Linotype" w:hAnsi="Palatino Linotype" w:cs="Arial"/>
          <w:i/>
          <w:color w:val="000000" w:themeColor="text1"/>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4078AB0" w14:textId="77777777" w:rsidR="005045A9" w:rsidRPr="003538AC" w:rsidRDefault="005045A9" w:rsidP="00E23F8A">
      <w:pPr>
        <w:ind w:left="567"/>
        <w:contextualSpacing/>
        <w:jc w:val="both"/>
        <w:rPr>
          <w:rFonts w:ascii="Palatino Linotype" w:hAnsi="Palatino Linotype" w:cs="Arial"/>
          <w:color w:val="000000" w:themeColor="text1"/>
        </w:rPr>
      </w:pPr>
    </w:p>
    <w:p w14:paraId="4060612C" w14:textId="77777777" w:rsidR="005045A9" w:rsidRPr="003538AC" w:rsidRDefault="005045A9" w:rsidP="00E23F8A">
      <w:pPr>
        <w:ind w:left="567"/>
        <w:contextualSpacing/>
        <w:jc w:val="both"/>
        <w:rPr>
          <w:rFonts w:ascii="Palatino Linotype" w:hAnsi="Palatino Linotype" w:cs="Arial"/>
          <w:i/>
          <w:color w:val="000000" w:themeColor="text1"/>
        </w:rPr>
      </w:pPr>
      <w:r w:rsidRPr="003538AC">
        <w:rPr>
          <w:rFonts w:ascii="Palatino Linotype" w:hAnsi="Palatino Linotype" w:cs="Arial"/>
          <w:i/>
          <w:color w:val="000000" w:themeColor="text1"/>
        </w:rPr>
        <w:t>Resoluciones:</w:t>
      </w:r>
    </w:p>
    <w:p w14:paraId="4C7CA9A7" w14:textId="77777777" w:rsidR="005045A9" w:rsidRPr="003538AC" w:rsidRDefault="005045A9" w:rsidP="00E23F8A">
      <w:pPr>
        <w:ind w:left="567"/>
        <w:contextualSpacing/>
        <w:jc w:val="both"/>
        <w:rPr>
          <w:rFonts w:ascii="Palatino Linotype" w:hAnsi="Palatino Linotype" w:cs="Arial"/>
          <w:i/>
          <w:color w:val="000000" w:themeColor="text1"/>
        </w:rPr>
      </w:pPr>
      <w:r w:rsidRPr="003538AC">
        <w:rPr>
          <w:rFonts w:ascii="Palatino Linotype" w:hAnsi="Palatino Linotype" w:cs="Arial"/>
          <w:i/>
          <w:color w:val="000000" w:themeColor="text1"/>
        </w:rPr>
        <w:t>RRA 0196/16. Secretaría de Agricultura, Ganadería, Desarrollo Rural, Pesca y Alimentación. 13 de julio de 2016. Por unanimidad. Comisionado Ponente Joel Salas Suárez.</w:t>
      </w:r>
    </w:p>
    <w:p w14:paraId="65854F3F" w14:textId="77777777" w:rsidR="005045A9" w:rsidRPr="003538AC" w:rsidRDefault="005045A9" w:rsidP="00E23F8A">
      <w:pPr>
        <w:ind w:left="567"/>
        <w:contextualSpacing/>
        <w:jc w:val="both"/>
        <w:rPr>
          <w:rFonts w:ascii="Palatino Linotype" w:hAnsi="Palatino Linotype" w:cs="Arial"/>
          <w:i/>
          <w:color w:val="000000" w:themeColor="text1"/>
        </w:rPr>
      </w:pPr>
      <w:r w:rsidRPr="003538AC">
        <w:rPr>
          <w:rFonts w:ascii="Palatino Linotype" w:hAnsi="Palatino Linotype" w:cs="Arial"/>
          <w:i/>
          <w:color w:val="000000" w:themeColor="text1"/>
        </w:rPr>
        <w:t>RRA 0130/16. Comisión Nacional del Agua. 09 de agosto de 2016. Por unanimidad. Comisionado Ponente María Patricia Kurczyn Villalobos.</w:t>
      </w:r>
    </w:p>
    <w:p w14:paraId="463E0D16" w14:textId="77777777" w:rsidR="005045A9" w:rsidRDefault="005045A9" w:rsidP="00E23F8A">
      <w:pPr>
        <w:ind w:left="567"/>
        <w:contextualSpacing/>
        <w:jc w:val="both"/>
        <w:rPr>
          <w:rFonts w:ascii="Palatino Linotype" w:hAnsi="Palatino Linotype" w:cs="Arial"/>
          <w:i/>
          <w:color w:val="000000" w:themeColor="text1"/>
        </w:rPr>
      </w:pPr>
      <w:r w:rsidRPr="003538AC">
        <w:rPr>
          <w:rFonts w:ascii="Palatino Linotype" w:hAnsi="Palatino Linotype" w:cs="Arial"/>
          <w:i/>
          <w:color w:val="000000" w:themeColor="text1"/>
        </w:rPr>
        <w:t>RRA 0342/16. Colegio de Bachilleres. 24 de agosto de 2016. Por unanimidad. Comisionada Ponente Ximena Puente de la Mora</w:t>
      </w:r>
    </w:p>
    <w:p w14:paraId="69F7AF7C" w14:textId="77777777" w:rsidR="00C12401" w:rsidRPr="003538AC" w:rsidRDefault="00C12401" w:rsidP="00E23F8A">
      <w:pPr>
        <w:ind w:left="567"/>
        <w:contextualSpacing/>
        <w:jc w:val="both"/>
        <w:rPr>
          <w:rFonts w:ascii="Palatino Linotype" w:hAnsi="Palatino Linotype" w:cs="Arial"/>
          <w:i/>
          <w:color w:val="000000" w:themeColor="text1"/>
        </w:rPr>
      </w:pPr>
    </w:p>
    <w:p w14:paraId="7EFBE17F" w14:textId="77777777" w:rsidR="005045A9" w:rsidRPr="003538AC" w:rsidRDefault="005045A9" w:rsidP="00E23F8A">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hAnsi="Palatino Linotype"/>
          <w:color w:val="000000" w:themeColor="text1"/>
        </w:rPr>
        <w:t xml:space="preserve">Asimismo, </w:t>
      </w:r>
      <w:r w:rsidRPr="003538AC">
        <w:rPr>
          <w:rFonts w:ascii="Palatino Linotype" w:hAnsi="Palatino Linotype" w:cs="Arial"/>
          <w:color w:val="000000" w:themeColor="text1"/>
        </w:rPr>
        <w:t>sirve de apoyo a lo anterior por analogía, la Jurisprudencia No. 29 visible a foja 19 del Apéndice al Semanario Judicial de la Federación 1917-1995, Torno VI, Materia Común, Primera Parte, Tesis de la Suprema Corte de Justicia, que contiene:</w:t>
      </w:r>
    </w:p>
    <w:p w14:paraId="3D12C045" w14:textId="77777777" w:rsidR="005045A9" w:rsidRPr="003538AC" w:rsidRDefault="005045A9" w:rsidP="00E23F8A">
      <w:pPr>
        <w:ind w:left="567"/>
        <w:contextualSpacing/>
        <w:jc w:val="both"/>
        <w:rPr>
          <w:rFonts w:ascii="Palatino Linotype" w:hAnsi="Palatino Linotype"/>
          <w:color w:val="000000" w:themeColor="text1"/>
        </w:rPr>
      </w:pPr>
      <w:r w:rsidRPr="003538AC">
        <w:rPr>
          <w:rFonts w:ascii="Palatino Linotype" w:hAnsi="Palatino Linotype" w:cs="Arial"/>
          <w:b/>
          <w:i/>
          <w:color w:val="000000" w:themeColor="text1"/>
        </w:rPr>
        <w:t xml:space="preserve">AGRAVIOS EN LA REVISION. DEBEN ESTAR EN RELACION DIRECTA CON LOS FUNDAMENTOS Y CONSIDERACIONES DE LA SENTENCIA.- </w:t>
      </w:r>
      <w:r w:rsidRPr="003538AC">
        <w:rPr>
          <w:rFonts w:ascii="Palatino Linotype" w:hAnsi="Palatino Linotype" w:cs="Arial"/>
          <w:i/>
          <w:color w:val="000000" w:themeColor="text1"/>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7E3BF171" w14:textId="77777777" w:rsidR="005045A9" w:rsidRPr="003538AC" w:rsidRDefault="005045A9" w:rsidP="00E23F8A">
      <w:pPr>
        <w:spacing w:line="360" w:lineRule="auto"/>
        <w:jc w:val="both"/>
        <w:rPr>
          <w:rFonts w:ascii="Palatino Linotype" w:eastAsia="Calibri" w:hAnsi="Palatino Linotype"/>
          <w:color w:val="000000" w:themeColor="text1"/>
        </w:rPr>
      </w:pPr>
    </w:p>
    <w:p w14:paraId="2151DA7A" w14:textId="1984284F" w:rsidR="00BB1F02" w:rsidRPr="003538AC" w:rsidRDefault="00841865" w:rsidP="00E23F8A">
      <w:pPr>
        <w:pStyle w:val="Prrafodelista"/>
        <w:numPr>
          <w:ilvl w:val="0"/>
          <w:numId w:val="1"/>
        </w:numPr>
        <w:spacing w:line="360" w:lineRule="auto"/>
        <w:ind w:left="0" w:firstLine="0"/>
        <w:jc w:val="both"/>
        <w:rPr>
          <w:rFonts w:ascii="Palatino Linotype" w:eastAsia="Calibri" w:hAnsi="Palatino Linotype"/>
          <w:color w:val="000000" w:themeColor="text1"/>
          <w:sz w:val="24"/>
        </w:rPr>
      </w:pPr>
      <w:r w:rsidRPr="003538AC">
        <w:rPr>
          <w:rFonts w:ascii="Palatino Linotype" w:eastAsia="Calibri" w:hAnsi="Palatino Linotype"/>
          <w:color w:val="000000" w:themeColor="text1"/>
          <w:sz w:val="24"/>
        </w:rPr>
        <w:t xml:space="preserve">Por lo anteriormente señalado, se advierte que el </w:t>
      </w:r>
      <w:r w:rsidR="004A7ED3" w:rsidRPr="003538AC">
        <w:rPr>
          <w:rFonts w:ascii="Palatino Linotype" w:eastAsia="Calibri" w:hAnsi="Palatino Linotype"/>
          <w:b/>
          <w:color w:val="000000" w:themeColor="text1"/>
          <w:sz w:val="24"/>
        </w:rPr>
        <w:t>SUJETO OBLIGADO</w:t>
      </w:r>
      <w:r w:rsidRPr="003538AC">
        <w:rPr>
          <w:rFonts w:ascii="Palatino Linotype" w:eastAsia="Calibri" w:hAnsi="Palatino Linotype"/>
          <w:color w:val="000000" w:themeColor="text1"/>
          <w:sz w:val="24"/>
        </w:rPr>
        <w:t xml:space="preserve">, tiene competencia para conocer de lo solicitado por el particular, en consecuencia, una vez analizadas </w:t>
      </w:r>
      <w:r w:rsidRPr="003538AC">
        <w:rPr>
          <w:rFonts w:ascii="Palatino Linotype" w:eastAsia="Calibri" w:hAnsi="Palatino Linotype"/>
          <w:color w:val="000000" w:themeColor="text1"/>
          <w:sz w:val="24"/>
        </w:rPr>
        <w:lastRenderedPageBreak/>
        <w:t>las constancias que integran el expediente electrónico</w:t>
      </w:r>
      <w:r w:rsidRPr="003538AC">
        <w:rPr>
          <w:rFonts w:ascii="Palatino Linotype" w:eastAsia="MS Mincho" w:hAnsi="Palatino Linotype" w:cstheme="majorBidi"/>
          <w:color w:val="000000" w:themeColor="text1"/>
          <w:sz w:val="24"/>
        </w:rPr>
        <w:t>,</w:t>
      </w:r>
      <w:r w:rsidRPr="003538AC">
        <w:rPr>
          <w:rFonts w:ascii="Palatino Linotype" w:eastAsia="MS Mincho" w:hAnsi="Palatino Linotype" w:cstheme="majorBidi"/>
          <w:color w:val="000000" w:themeColor="text1"/>
          <w:sz w:val="24"/>
          <w:lang w:val="es-ES"/>
        </w:rPr>
        <w:t xml:space="preserve"> y en mérito de lo expuesto</w:t>
      </w:r>
      <w:r w:rsidR="0045088B" w:rsidRPr="003538AC">
        <w:rPr>
          <w:rFonts w:ascii="Palatino Linotype" w:eastAsia="MS Mincho" w:hAnsi="Palatino Linotype" w:cstheme="majorBidi"/>
          <w:color w:val="000000" w:themeColor="text1"/>
          <w:sz w:val="24"/>
          <w:lang w:val="es-ES"/>
        </w:rPr>
        <w:t xml:space="preserve"> en líneas anteriores, resultan</w:t>
      </w:r>
      <w:r w:rsidRPr="003538AC">
        <w:rPr>
          <w:rFonts w:ascii="Palatino Linotype" w:eastAsia="MS Mincho" w:hAnsi="Palatino Linotype" w:cstheme="majorBidi"/>
          <w:color w:val="000000" w:themeColor="text1"/>
          <w:sz w:val="24"/>
          <w:lang w:val="es-ES"/>
        </w:rPr>
        <w:t xml:space="preserve"> fundadas las razones o motivos de inconformidad hechos valer por el </w:t>
      </w:r>
      <w:r w:rsidRPr="003538AC">
        <w:rPr>
          <w:rFonts w:ascii="Palatino Linotype" w:eastAsia="MS Mincho" w:hAnsi="Palatino Linotype" w:cstheme="majorBidi"/>
          <w:b/>
          <w:color w:val="000000" w:themeColor="text1"/>
          <w:sz w:val="24"/>
          <w:lang w:val="es-ES"/>
        </w:rPr>
        <w:t>RECURRENTE</w:t>
      </w:r>
      <w:r w:rsidRPr="003538AC">
        <w:rPr>
          <w:rFonts w:ascii="Palatino Linotype" w:eastAsia="MS Mincho" w:hAnsi="Palatino Linotype" w:cstheme="majorBidi"/>
          <w:color w:val="000000" w:themeColor="text1"/>
          <w:sz w:val="24"/>
          <w:lang w:val="es-ES"/>
        </w:rPr>
        <w:t xml:space="preserve"> dentro del recurso de revisión </w:t>
      </w:r>
      <w:r w:rsidR="00BB1F02" w:rsidRPr="003538AC">
        <w:rPr>
          <w:rFonts w:ascii="Palatino Linotype" w:eastAsia="MS Mincho" w:hAnsi="Palatino Linotype" w:cstheme="majorBidi"/>
          <w:b/>
          <w:bCs/>
          <w:color w:val="000000" w:themeColor="text1"/>
          <w:sz w:val="24"/>
          <w:lang w:val="es-ES"/>
        </w:rPr>
        <w:t>0</w:t>
      </w:r>
      <w:r w:rsidR="00AD14C1" w:rsidRPr="003538AC">
        <w:rPr>
          <w:rFonts w:ascii="Palatino Linotype" w:eastAsia="MS Mincho" w:hAnsi="Palatino Linotype" w:cstheme="majorBidi"/>
          <w:b/>
          <w:bCs/>
          <w:color w:val="000000" w:themeColor="text1"/>
          <w:sz w:val="24"/>
          <w:lang w:val="es-ES"/>
        </w:rPr>
        <w:t>6103</w:t>
      </w:r>
      <w:r w:rsidRPr="003538AC">
        <w:rPr>
          <w:rFonts w:ascii="Palatino Linotype" w:eastAsia="MS Mincho" w:hAnsi="Palatino Linotype" w:cstheme="majorBidi"/>
          <w:b/>
          <w:bCs/>
          <w:color w:val="000000" w:themeColor="text1"/>
          <w:sz w:val="24"/>
          <w:lang w:val="es-ES"/>
        </w:rPr>
        <w:t>/INFOEM/IP/RR/202</w:t>
      </w:r>
      <w:r w:rsidR="00AD14C1" w:rsidRPr="003538AC">
        <w:rPr>
          <w:rFonts w:ascii="Palatino Linotype" w:eastAsia="MS Mincho" w:hAnsi="Palatino Linotype" w:cstheme="majorBidi"/>
          <w:b/>
          <w:bCs/>
          <w:color w:val="000000" w:themeColor="text1"/>
          <w:sz w:val="24"/>
          <w:lang w:val="es-ES"/>
        </w:rPr>
        <w:t>5</w:t>
      </w:r>
      <w:r w:rsidRPr="003538AC">
        <w:rPr>
          <w:rFonts w:ascii="Palatino Linotype" w:eastAsia="MS Mincho" w:hAnsi="Palatino Linotype" w:cstheme="majorBidi"/>
          <w:color w:val="000000" w:themeColor="text1"/>
          <w:sz w:val="24"/>
          <w:lang w:val="es-ES"/>
        </w:rPr>
        <w:t xml:space="preserve">; por ello, y con fundamento en la fracción III del numeral 186 de la Ley de Transparencia y Acceso a la Información Pública del Estado de México y Municipios, se </w:t>
      </w:r>
      <w:r w:rsidRPr="003538AC">
        <w:rPr>
          <w:rFonts w:ascii="Palatino Linotype" w:eastAsia="MS Mincho" w:hAnsi="Palatino Linotype" w:cstheme="majorBidi"/>
          <w:b/>
          <w:color w:val="000000" w:themeColor="text1"/>
          <w:sz w:val="24"/>
          <w:lang w:val="es-ES"/>
        </w:rPr>
        <w:t>MODIFICA</w:t>
      </w:r>
      <w:r w:rsidRPr="003538AC">
        <w:rPr>
          <w:rFonts w:ascii="Palatino Linotype" w:eastAsia="MS Mincho" w:hAnsi="Palatino Linotype" w:cstheme="majorBidi"/>
          <w:color w:val="000000" w:themeColor="text1"/>
          <w:sz w:val="24"/>
          <w:lang w:val="es-ES"/>
        </w:rPr>
        <w:t xml:space="preserve"> la respuesta del Sujeto Obligado. </w:t>
      </w:r>
    </w:p>
    <w:p w14:paraId="5C373CC8" w14:textId="77777777" w:rsidR="00BB1F02" w:rsidRPr="003538AC" w:rsidRDefault="00BB1F02" w:rsidP="00E23F8A">
      <w:pPr>
        <w:pStyle w:val="Prrafodelista"/>
        <w:spacing w:line="360" w:lineRule="auto"/>
        <w:ind w:left="0"/>
        <w:jc w:val="both"/>
        <w:rPr>
          <w:rFonts w:ascii="Palatino Linotype" w:eastAsia="Calibri" w:hAnsi="Palatino Linotype"/>
          <w:color w:val="000000" w:themeColor="text1"/>
          <w:sz w:val="24"/>
        </w:rPr>
      </w:pPr>
    </w:p>
    <w:p w14:paraId="4E23A2EA" w14:textId="77777777" w:rsidR="00BB1F02" w:rsidRPr="003538AC" w:rsidRDefault="00BB1F02" w:rsidP="00E23F8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QUINTO. De la versión pública.</w:t>
      </w:r>
    </w:p>
    <w:p w14:paraId="21CB2924" w14:textId="77777777" w:rsidR="00BB1F02" w:rsidRPr="003538AC" w:rsidRDefault="00BB1F02" w:rsidP="00E23F8A">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Debe destacarse que, debido a la naturaleza de la información solicitada</w:t>
      </w:r>
      <w:r w:rsidRPr="003538AC">
        <w:rPr>
          <w:rFonts w:ascii="Palatino Linotype" w:eastAsia="Palatino Linotype" w:hAnsi="Palatino Linotype" w:cs="Palatino Linotype"/>
          <w:b/>
          <w:color w:val="000000" w:themeColor="text1"/>
          <w:sz w:val="24"/>
        </w:rPr>
        <w:t xml:space="preserve"> </w:t>
      </w:r>
      <w:r w:rsidRPr="003538AC">
        <w:rPr>
          <w:rFonts w:ascii="Palatino Linotype" w:eastAsia="Palatino Linotype" w:hAnsi="Palatino Linotype" w:cs="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9F6080C" w14:textId="77777777" w:rsidR="00BB1F02" w:rsidRPr="003538AC" w:rsidRDefault="00BB1F02" w:rsidP="00E23F8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3E9F7027" w14:textId="77777777" w:rsidR="00BB1F02" w:rsidRPr="003538AC" w:rsidRDefault="00BB1F02" w:rsidP="00E23F8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La clasificación total o parcial de la información requerida, mediante solicitud de acceso a la información pública, constituye una restricción al derecho humano de acceso a la información, por lo que es menester reiterar los mismos:</w:t>
      </w:r>
    </w:p>
    <w:p w14:paraId="059E6010" w14:textId="77777777" w:rsidR="00BB1F02" w:rsidRPr="003538AC" w:rsidRDefault="00BB1F02" w:rsidP="00E23F8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tbl>
      <w:tblPr>
        <w:tblW w:w="99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15"/>
        <w:gridCol w:w="7503"/>
      </w:tblGrid>
      <w:tr w:rsidR="00E23F8A" w:rsidRPr="003538AC" w14:paraId="6ADAB66C" w14:textId="77777777" w:rsidTr="003440E8">
        <w:tc>
          <w:tcPr>
            <w:tcW w:w="2415" w:type="dxa"/>
          </w:tcPr>
          <w:p w14:paraId="27D7FBC3" w14:textId="77777777" w:rsidR="00BB1F02" w:rsidRPr="003538AC" w:rsidRDefault="00BB1F02" w:rsidP="00E23F8A">
            <w:pPr>
              <w:spacing w:line="360" w:lineRule="auto"/>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a) Requisitos previos.</w:t>
            </w:r>
          </w:p>
        </w:tc>
        <w:tc>
          <w:tcPr>
            <w:tcW w:w="7503" w:type="dxa"/>
          </w:tcPr>
          <w:p w14:paraId="23E2394A"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w:t>
            </w:r>
            <w:r w:rsidRPr="003538AC">
              <w:rPr>
                <w:rFonts w:ascii="Palatino Linotype" w:eastAsia="Palatino Linotype" w:hAnsi="Palatino Linotype" w:cs="Palatino Linotype"/>
                <w:color w:val="000000" w:themeColor="text1"/>
              </w:rPr>
              <w:lastRenderedPageBreak/>
              <w:t xml:space="preserve">es deber de los titulares de las áreas proponer su clasificación y no del Comité de Transparencia. </w:t>
            </w:r>
          </w:p>
          <w:p w14:paraId="38BC905E"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34FB40BD"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25EF5D4A"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3538AC">
              <w:rPr>
                <w:rFonts w:ascii="Palatino Linotype" w:eastAsia="Palatino Linotype" w:hAnsi="Palatino Linotype" w:cs="Palatino Linotype"/>
                <w:color w:val="000000" w:themeColor="text1"/>
                <w:u w:val="single"/>
              </w:rPr>
              <w:t xml:space="preserve">no se puede hacer un acuerdo para clasificar de manera general todos los documentos de un expediente o área,  </w:t>
            </w:r>
            <w:r w:rsidRPr="003538AC">
              <w:rPr>
                <w:rFonts w:ascii="Palatino Linotype" w:eastAsia="Palatino Linotype" w:hAnsi="Palatino Linotype" w:cs="Palatino Linotype"/>
                <w:color w:val="000000" w:themeColor="text1"/>
              </w:rPr>
              <w:t>sin individualizar su análisis y tampoco se puede hacer un acuerdo por cada dato que se vaya a clasificar dentro de un documento con diez datos, por ejemplo, susceptibles de ser clasificados.</w:t>
            </w:r>
          </w:p>
        </w:tc>
      </w:tr>
      <w:tr w:rsidR="00E23F8A" w:rsidRPr="003538AC" w14:paraId="3406A19D" w14:textId="77777777" w:rsidTr="003440E8">
        <w:tc>
          <w:tcPr>
            <w:tcW w:w="2415" w:type="dxa"/>
          </w:tcPr>
          <w:p w14:paraId="63954591" w14:textId="77777777" w:rsidR="00BB1F02" w:rsidRPr="003538AC" w:rsidRDefault="00BB1F02" w:rsidP="00E23F8A">
            <w:pPr>
              <w:spacing w:line="360" w:lineRule="auto"/>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b) Supuestos de clasificación.</w:t>
            </w:r>
          </w:p>
        </w:tc>
        <w:tc>
          <w:tcPr>
            <w:tcW w:w="7503" w:type="dxa"/>
          </w:tcPr>
          <w:p w14:paraId="709AC116"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7BEE5B08"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3538AC">
              <w:rPr>
                <w:rFonts w:ascii="Palatino Linotype" w:eastAsia="Palatino Linotype" w:hAnsi="Palatino Linotype" w:cs="Palatino Linotype"/>
                <w:color w:val="000000" w:themeColor="text1"/>
              </w:rPr>
              <w:lastRenderedPageBreak/>
              <w:t>cumple con esta condición y no se pueden ampliar las excepciones o supuestos de clasificación aduciendo analogía o mayoría de razón.</w:t>
            </w:r>
          </w:p>
          <w:p w14:paraId="02272D6F"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El </w:t>
            </w:r>
            <w:r w:rsidRPr="003538AC">
              <w:rPr>
                <w:rFonts w:ascii="Palatino Linotype" w:eastAsia="Palatino Linotype" w:hAnsi="Palatino Linotype" w:cs="Palatino Linotype"/>
                <w:b/>
                <w:color w:val="000000" w:themeColor="text1"/>
              </w:rPr>
              <w:t>SUJETO OBLIGADO</w:t>
            </w:r>
            <w:r w:rsidRPr="003538AC">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23F8A" w:rsidRPr="003538AC" w14:paraId="7A768381" w14:textId="77777777" w:rsidTr="003440E8">
        <w:tc>
          <w:tcPr>
            <w:tcW w:w="2415" w:type="dxa"/>
          </w:tcPr>
          <w:p w14:paraId="7D72D6E8" w14:textId="77777777" w:rsidR="00BB1F02" w:rsidRPr="003538AC" w:rsidRDefault="00BB1F02" w:rsidP="00E23F8A">
            <w:pPr>
              <w:spacing w:line="360" w:lineRule="auto"/>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c) Formalidades para emitir el acuerdo de clasificación.</w:t>
            </w:r>
          </w:p>
        </w:tc>
        <w:tc>
          <w:tcPr>
            <w:tcW w:w="7503" w:type="dxa"/>
          </w:tcPr>
          <w:p w14:paraId="39AB6F14"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00D12238"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Es necesario que </w:t>
            </w:r>
            <w:r w:rsidRPr="003538AC">
              <w:rPr>
                <w:rFonts w:ascii="Palatino Linotype" w:eastAsia="Palatino Linotype" w:hAnsi="Palatino Linotype" w:cs="Palatino Linotype"/>
                <w:b/>
                <w:color w:val="000000" w:themeColor="text1"/>
                <w:u w:val="single"/>
              </w:rPr>
              <w:t>el acto reúna con los requisitos elementales</w:t>
            </w:r>
            <w:r w:rsidRPr="003538AC">
              <w:rPr>
                <w:rFonts w:ascii="Palatino Linotype" w:eastAsia="Palatino Linotype" w:hAnsi="Palatino Linotype" w:cs="Palatino Linotype"/>
                <w:color w:val="000000" w:themeColor="text1"/>
              </w:rPr>
              <w:t>, entre ellos, que la autoridad que va a emitir el acto de autoridad sea la legalmente facultada para ello.</w:t>
            </w:r>
          </w:p>
          <w:p w14:paraId="721A6A8C"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23F8A" w:rsidRPr="003538AC" w14:paraId="12A50F85" w14:textId="77777777" w:rsidTr="003440E8">
        <w:tc>
          <w:tcPr>
            <w:tcW w:w="2415" w:type="dxa"/>
          </w:tcPr>
          <w:p w14:paraId="2F9FE0FA" w14:textId="77777777" w:rsidR="00BB1F02" w:rsidRPr="003538AC" w:rsidRDefault="00BB1F02" w:rsidP="00E23F8A">
            <w:pPr>
              <w:spacing w:line="360" w:lineRule="auto"/>
              <w:rPr>
                <w:rFonts w:ascii="Palatino Linotype" w:eastAsia="Palatino Linotype" w:hAnsi="Palatino Linotype" w:cs="Palatino Linotype"/>
                <w:color w:val="000000" w:themeColor="text1"/>
              </w:rPr>
            </w:pPr>
          </w:p>
          <w:p w14:paraId="2386AD11"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 xml:space="preserve">d) Requisitos de fondo del acuerdo de clasificación. </w:t>
            </w:r>
          </w:p>
        </w:tc>
        <w:tc>
          <w:tcPr>
            <w:tcW w:w="7503" w:type="dxa"/>
          </w:tcPr>
          <w:p w14:paraId="00AA1B47"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 xml:space="preserve">Como se ha señalado antes, al hacer el juicio de subsunción o encaje entre el supuesto de hecho y la hipótesis jurídica, se debe acreditar la </w:t>
            </w:r>
            <w:r w:rsidRPr="003538AC">
              <w:rPr>
                <w:rFonts w:ascii="Palatino Linotype" w:eastAsia="Palatino Linotype" w:hAnsi="Palatino Linotype" w:cs="Palatino Linotype"/>
                <w:color w:val="000000" w:themeColor="text1"/>
              </w:rPr>
              <w:lastRenderedPageBreak/>
              <w:t xml:space="preserve">estricta correspondencia entre un elemento y otro. Ahora, en esta parte del procedimiento, que se desahoga en sede del Comité de Transparencia, la ley señala que la carga de la prueba, para justificar las restricciones, corresponde a los </w:t>
            </w:r>
            <w:r w:rsidRPr="003538AC">
              <w:rPr>
                <w:rFonts w:ascii="Palatino Linotype" w:eastAsia="Palatino Linotype" w:hAnsi="Palatino Linotype" w:cs="Palatino Linotype"/>
                <w:b/>
                <w:color w:val="000000" w:themeColor="text1"/>
              </w:rPr>
              <w:t>Sujetos Obligados</w:t>
            </w:r>
            <w:r w:rsidRPr="003538AC">
              <w:rPr>
                <w:rFonts w:ascii="Palatino Linotype" w:eastAsia="Palatino Linotype" w:hAnsi="Palatino Linotype" w:cs="Palatino Linotype"/>
                <w:color w:val="000000" w:themeColor="text1"/>
              </w:rPr>
              <w:t xml:space="preserve">, por lo que deberán fundar y motivar debidamente la clasificación. </w:t>
            </w:r>
          </w:p>
          <w:p w14:paraId="18E52BD1"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De lo anterior, se desprende que para una correcta </w:t>
            </w:r>
            <w:r w:rsidRPr="003538AC">
              <w:rPr>
                <w:rFonts w:ascii="Palatino Linotype" w:eastAsia="Palatino Linotype" w:hAnsi="Palatino Linotype" w:cs="Palatino Linotype"/>
                <w:b/>
                <w:color w:val="000000" w:themeColor="text1"/>
              </w:rPr>
              <w:t>clasificación total o parcial</w:t>
            </w:r>
            <w:r w:rsidRPr="003538AC">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CEAD2C"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D63176"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15344E1B"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 xml:space="preserve">Ahora bien, </w:t>
            </w:r>
            <w:r w:rsidRPr="003538AC">
              <w:rPr>
                <w:rFonts w:ascii="Palatino Linotype" w:eastAsia="Palatino Linotype" w:hAnsi="Palatino Linotype" w:cs="Palatino Linotype"/>
                <w:b/>
                <w:color w:val="000000" w:themeColor="text1"/>
                <w:u w:val="single"/>
              </w:rPr>
              <w:t>para cada caso además de fundar y motivar</w:t>
            </w:r>
            <w:r w:rsidRPr="003538AC">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B1F02" w:rsidRPr="003538AC" w14:paraId="43330A86" w14:textId="77777777" w:rsidTr="003440E8">
        <w:tc>
          <w:tcPr>
            <w:tcW w:w="2415" w:type="dxa"/>
          </w:tcPr>
          <w:p w14:paraId="61510D26"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p w14:paraId="7D724E9B" w14:textId="77777777" w:rsidR="00BB1F02" w:rsidRPr="003538AC" w:rsidRDefault="00BB1F02" w:rsidP="00E23F8A">
            <w:pPr>
              <w:spacing w:line="360" w:lineRule="auto"/>
              <w:rPr>
                <w:rFonts w:ascii="Palatino Linotype" w:eastAsia="Palatino Linotype" w:hAnsi="Palatino Linotype" w:cs="Palatino Linotype"/>
                <w:color w:val="000000" w:themeColor="text1"/>
              </w:rPr>
            </w:pPr>
          </w:p>
        </w:tc>
        <w:tc>
          <w:tcPr>
            <w:tcW w:w="7503" w:type="dxa"/>
          </w:tcPr>
          <w:p w14:paraId="253E8E6A"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6BEA46F5" w14:textId="77777777" w:rsidR="00BB1F02" w:rsidRPr="003538AC" w:rsidRDefault="00BB1F02" w:rsidP="00E23F8A">
            <w:pPr>
              <w:spacing w:line="360" w:lineRule="auto"/>
              <w:jc w:val="both"/>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B105AA" w14:textId="77777777" w:rsidR="00BB1F02" w:rsidRPr="003538AC" w:rsidRDefault="00BB1F02" w:rsidP="00E23F8A">
            <w:pPr>
              <w:spacing w:line="360" w:lineRule="auto"/>
              <w:rPr>
                <w:rFonts w:ascii="Palatino Linotype" w:eastAsia="Palatino Linotype" w:hAnsi="Palatino Linotype" w:cs="Palatino Linotype"/>
                <w:color w:val="000000" w:themeColor="text1"/>
              </w:rPr>
            </w:pPr>
            <w:r w:rsidRPr="003538AC">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278043" w14:textId="77777777" w:rsidR="00BB1F02" w:rsidRPr="003538AC" w:rsidRDefault="00BB1F02" w:rsidP="00E23F8A">
      <w:pPr>
        <w:pStyle w:val="Prrafodelista"/>
        <w:spacing w:line="360" w:lineRule="auto"/>
        <w:ind w:left="0"/>
        <w:jc w:val="both"/>
        <w:rPr>
          <w:rFonts w:ascii="Palatino Linotype" w:eastAsia="Calibri" w:hAnsi="Palatino Linotype"/>
          <w:color w:val="000000" w:themeColor="text1"/>
          <w:sz w:val="24"/>
        </w:rPr>
      </w:pPr>
    </w:p>
    <w:p w14:paraId="3E704C0D" w14:textId="77777777" w:rsidR="00370EF2" w:rsidRPr="003538AC" w:rsidRDefault="00370EF2" w:rsidP="00E23F8A">
      <w:pPr>
        <w:pStyle w:val="Prrafodelista"/>
        <w:numPr>
          <w:ilvl w:val="0"/>
          <w:numId w:val="1"/>
        </w:numPr>
        <w:spacing w:line="360" w:lineRule="auto"/>
        <w:ind w:left="0" w:firstLine="0"/>
        <w:jc w:val="both"/>
        <w:rPr>
          <w:rFonts w:ascii="Palatino Linotype" w:hAnsi="Palatino Linotype" w:cs="Arial"/>
          <w:color w:val="000000" w:themeColor="text1"/>
          <w:sz w:val="24"/>
          <w:lang w:val="es-ES"/>
        </w:rPr>
      </w:pPr>
      <w:r w:rsidRPr="003538AC">
        <w:rPr>
          <w:rFonts w:ascii="Palatino Linotype" w:hAnsi="Palatino Linotype" w:cs="Arial"/>
          <w:color w:val="000000" w:themeColor="text1"/>
          <w:sz w:val="24"/>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2ADD20E" w14:textId="77777777" w:rsidR="00313502" w:rsidRPr="003538AC" w:rsidRDefault="00313502" w:rsidP="00E23F8A">
      <w:pPr>
        <w:pStyle w:val="Prrafodelista"/>
        <w:spacing w:line="360" w:lineRule="auto"/>
        <w:ind w:left="0"/>
        <w:jc w:val="both"/>
        <w:rPr>
          <w:rFonts w:ascii="Palatino Linotype" w:hAnsi="Palatino Linotype" w:cs="Arial"/>
          <w:color w:val="000000" w:themeColor="text1"/>
          <w:sz w:val="24"/>
          <w:lang w:val="es-ES"/>
        </w:rPr>
      </w:pPr>
    </w:p>
    <w:p w14:paraId="677AB23D" w14:textId="7B31A470" w:rsidR="00370EF2" w:rsidRPr="003538AC" w:rsidRDefault="00370EF2" w:rsidP="00E23F8A">
      <w:pPr>
        <w:pStyle w:val="Prrafodelista"/>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sz w:val="24"/>
        </w:rPr>
      </w:pPr>
      <w:r w:rsidRPr="003538AC">
        <w:rPr>
          <w:rFonts w:ascii="Palatino Linotype" w:hAnsi="Palatino Linotype"/>
          <w:color w:val="000000" w:themeColor="text1"/>
          <w:sz w:val="24"/>
        </w:rPr>
        <w:t>Por otro lado, de manera enunciativa mas no limitativas, dentro de</w:t>
      </w:r>
      <w:r w:rsidR="00AD14C1" w:rsidRPr="003538AC">
        <w:rPr>
          <w:rFonts w:ascii="Palatino Linotype" w:hAnsi="Palatino Linotype"/>
          <w:color w:val="000000" w:themeColor="text1"/>
          <w:sz w:val="24"/>
        </w:rPr>
        <w:t xml:space="preserve"> los elementos que integran la conciliación de nómina </w:t>
      </w:r>
      <w:r w:rsidRPr="003538AC">
        <w:rPr>
          <w:rFonts w:ascii="Palatino Linotype" w:hAnsi="Palatino Linotype"/>
          <w:color w:val="000000" w:themeColor="text1"/>
          <w:sz w:val="24"/>
        </w:rPr>
        <w:t>se pueden encontrar los siguientes:</w:t>
      </w:r>
    </w:p>
    <w:p w14:paraId="6914B27D" w14:textId="77777777" w:rsidR="00370EF2" w:rsidRPr="003538AC" w:rsidRDefault="00370EF2" w:rsidP="00E23F8A">
      <w:pPr>
        <w:pStyle w:val="Prrafodelista"/>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Clave Única de Registro de Población (CURP);</w:t>
      </w:r>
    </w:p>
    <w:p w14:paraId="5A104791" w14:textId="77777777" w:rsidR="00370EF2" w:rsidRPr="003538AC" w:rsidRDefault="00370EF2" w:rsidP="00E23F8A">
      <w:pPr>
        <w:pStyle w:val="Prrafodelista"/>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Número de ISSEMyM;</w:t>
      </w:r>
    </w:p>
    <w:p w14:paraId="3D965D91" w14:textId="77777777" w:rsidR="00370EF2" w:rsidRPr="003538AC" w:rsidRDefault="00370EF2" w:rsidP="00E23F8A">
      <w:pPr>
        <w:pStyle w:val="Prrafodelista"/>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Número de empleado;</w:t>
      </w:r>
    </w:p>
    <w:p w14:paraId="4C905FFD" w14:textId="77777777" w:rsidR="00370EF2" w:rsidRPr="003538AC" w:rsidRDefault="00370EF2" w:rsidP="00E23F8A">
      <w:pPr>
        <w:pStyle w:val="Prrafodelista"/>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Registro Federal de Contribuyentes (RFC);</w:t>
      </w:r>
    </w:p>
    <w:p w14:paraId="4EB085DE" w14:textId="08DF245F" w:rsidR="00370EF2" w:rsidRPr="003538AC" w:rsidRDefault="00AD14C1" w:rsidP="00E23F8A">
      <w:pPr>
        <w:pStyle w:val="Prrafodelista"/>
        <w:numPr>
          <w:ilvl w:val="0"/>
          <w:numId w:val="2"/>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color w:val="000000" w:themeColor="text1"/>
          <w:sz w:val="24"/>
        </w:rPr>
        <w:t>Serie y folio</w:t>
      </w:r>
    </w:p>
    <w:p w14:paraId="7323B9D1" w14:textId="77777777" w:rsidR="00370EF2" w:rsidRDefault="00370EF2" w:rsidP="00E23F8A">
      <w:pPr>
        <w:pStyle w:val="Ttulo3"/>
        <w:numPr>
          <w:ilvl w:val="0"/>
          <w:numId w:val="2"/>
        </w:numPr>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Clave Única de Registro de Población (CURP).</w:t>
      </w:r>
    </w:p>
    <w:p w14:paraId="5E140FBF" w14:textId="77777777" w:rsidR="00C12401" w:rsidRPr="00C12401" w:rsidRDefault="00C12401" w:rsidP="00C12401">
      <w:pPr>
        <w:rPr>
          <w:rFonts w:eastAsia="Palatino Linotype"/>
          <w:lang w:val="es-ES_tradnl" w:eastAsia="es-ES"/>
        </w:rPr>
      </w:pPr>
    </w:p>
    <w:p w14:paraId="57C89F0C" w14:textId="77777777" w:rsidR="00370EF2" w:rsidRPr="003538AC" w:rsidRDefault="00370EF2" w:rsidP="00E23F8A">
      <w:pPr>
        <w:pStyle w:val="Prrafodelista"/>
        <w:numPr>
          <w:ilvl w:val="0"/>
          <w:numId w:val="1"/>
        </w:numPr>
        <w:shd w:val="clear" w:color="auto" w:fill="FFFFFF"/>
        <w:spacing w:before="240" w:after="240" w:line="360" w:lineRule="auto"/>
        <w:ind w:left="0" w:firstLine="0"/>
        <w:jc w:val="both"/>
        <w:rPr>
          <w:rFonts w:ascii="Palatino Linotype" w:hAnsi="Palatino Linotype"/>
          <w:color w:val="000000" w:themeColor="text1"/>
          <w:sz w:val="24"/>
        </w:rPr>
      </w:pPr>
      <w:r w:rsidRPr="003538AC">
        <w:rPr>
          <w:rFonts w:ascii="Palatino Linotype" w:eastAsia="Palatino Linotype" w:hAnsi="Palatino Linotype" w:cs="Palatino Linotype"/>
          <w:color w:val="000000" w:themeColor="text1"/>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468A794F" w14:textId="77777777" w:rsidR="00370EF2" w:rsidRPr="003538AC" w:rsidRDefault="00370EF2" w:rsidP="003440E8">
      <w:pPr>
        <w:shd w:val="clear" w:color="auto" w:fill="FFFFFF"/>
        <w:spacing w:before="240" w:after="240" w:line="360" w:lineRule="auto"/>
        <w:jc w:val="center"/>
        <w:rPr>
          <w:rFonts w:ascii="Palatino Linotype" w:hAnsi="Palatino Linotype"/>
          <w:color w:val="000000" w:themeColor="text1"/>
        </w:rPr>
      </w:pPr>
      <w:r w:rsidRPr="003538AC">
        <w:rPr>
          <w:rFonts w:ascii="Palatino Linotype" w:hAnsi="Palatino Linotype"/>
          <w:noProof/>
          <w:color w:val="000000" w:themeColor="text1"/>
        </w:rPr>
        <w:lastRenderedPageBreak/>
        <w:drawing>
          <wp:inline distT="0" distB="0" distL="0" distR="0" wp14:anchorId="35026ACA" wp14:editId="38C7A81E">
            <wp:extent cx="5305425" cy="4676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25748" t="8269" r="41254" b="18081"/>
                    <a:stretch>
                      <a:fillRect/>
                    </a:stretch>
                  </pic:blipFill>
                  <pic:spPr>
                    <a:xfrm>
                      <a:off x="0" y="0"/>
                      <a:ext cx="5305425" cy="4676775"/>
                    </a:xfrm>
                    <a:prstGeom prst="rect">
                      <a:avLst/>
                    </a:prstGeom>
                    <a:ln/>
                  </pic:spPr>
                </pic:pic>
              </a:graphicData>
            </a:graphic>
          </wp:inline>
        </w:drawing>
      </w:r>
    </w:p>
    <w:p w14:paraId="495C9F65"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015BBB6A"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Entre las características de la CURP, se encuentra: </w:t>
      </w:r>
    </w:p>
    <w:p w14:paraId="37317D31" w14:textId="77777777" w:rsidR="00370EF2" w:rsidRPr="003538AC" w:rsidRDefault="00370EF2" w:rsidP="00E23F8A">
      <w:pPr>
        <w:pStyle w:val="Prrafodelista"/>
        <w:tabs>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b/>
          <w:color w:val="000000" w:themeColor="text1"/>
          <w:sz w:val="24"/>
        </w:rPr>
        <w:t xml:space="preserve">Composición. </w:t>
      </w:r>
      <w:r w:rsidRPr="003538AC">
        <w:rPr>
          <w:rFonts w:ascii="Palatino Linotype" w:eastAsia="Palatino Linotype" w:hAnsi="Palatino Linotype" w:cs="Palatino Linotype"/>
          <w:color w:val="000000" w:themeColor="text1"/>
          <w:sz w:val="24"/>
        </w:rPr>
        <w:t>Alfanumérica.</w:t>
      </w:r>
    </w:p>
    <w:p w14:paraId="009C96AD" w14:textId="77777777" w:rsidR="00370EF2" w:rsidRPr="003538AC" w:rsidRDefault="00370EF2" w:rsidP="00E23F8A">
      <w:pPr>
        <w:pStyle w:val="Prrafodelista"/>
        <w:tabs>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b/>
          <w:color w:val="000000" w:themeColor="text1"/>
          <w:sz w:val="24"/>
        </w:rPr>
        <w:lastRenderedPageBreak/>
        <w:t xml:space="preserve">Longitud. </w:t>
      </w:r>
      <w:r w:rsidRPr="003538AC">
        <w:rPr>
          <w:rFonts w:ascii="Palatino Linotype" w:eastAsia="Palatino Linotype" w:hAnsi="Palatino Linotype" w:cs="Palatino Linotype"/>
          <w:color w:val="000000" w:themeColor="text1"/>
          <w:sz w:val="24"/>
        </w:rPr>
        <w:t xml:space="preserve"> 18 caracteres.</w:t>
      </w:r>
    </w:p>
    <w:p w14:paraId="124D0992" w14:textId="77777777" w:rsidR="00370EF2" w:rsidRPr="003538AC" w:rsidRDefault="00370EF2" w:rsidP="00E23F8A">
      <w:pPr>
        <w:pStyle w:val="Prrafodelista"/>
        <w:tabs>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b/>
          <w:color w:val="000000" w:themeColor="text1"/>
          <w:sz w:val="24"/>
        </w:rPr>
        <w:t xml:space="preserve">Naturaleza. </w:t>
      </w:r>
      <w:r w:rsidRPr="003538AC">
        <w:rPr>
          <w:rFonts w:ascii="Palatino Linotype" w:eastAsia="Palatino Linotype" w:hAnsi="Palatino Linotype" w:cs="Palatino Linotype"/>
          <w:color w:val="000000" w:themeColor="text1"/>
          <w:sz w:val="24"/>
        </w:rPr>
        <w:t>Biunívoca.</w:t>
      </w:r>
    </w:p>
    <w:p w14:paraId="3074EBA6" w14:textId="77777777" w:rsidR="00370EF2" w:rsidRPr="003538AC" w:rsidRDefault="00370EF2" w:rsidP="00E23F8A">
      <w:pPr>
        <w:pStyle w:val="Prrafodelista"/>
        <w:tabs>
          <w:tab w:val="left" w:pos="426"/>
          <w:tab w:val="left" w:pos="567"/>
        </w:tabs>
        <w:spacing w:line="360" w:lineRule="auto"/>
        <w:ind w:left="851"/>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b/>
          <w:color w:val="000000" w:themeColor="text1"/>
          <w:sz w:val="24"/>
        </w:rPr>
        <w:t xml:space="preserve">Universalidad. </w:t>
      </w:r>
      <w:r w:rsidRPr="003538AC">
        <w:rPr>
          <w:rFonts w:ascii="Palatino Linotype" w:eastAsia="Palatino Linotype" w:hAnsi="Palatino Linotype" w:cs="Palatino Linotype"/>
          <w:color w:val="000000" w:themeColor="text1"/>
          <w:sz w:val="24"/>
        </w:rPr>
        <w:t>Se asigna a todas las personas que conforman la población.</w:t>
      </w:r>
    </w:p>
    <w:p w14:paraId="10811AD5" w14:textId="77777777" w:rsidR="00370EF2" w:rsidRPr="003538AC" w:rsidRDefault="00370EF2" w:rsidP="00E23F8A">
      <w:pPr>
        <w:pStyle w:val="Prrafodelista"/>
        <w:tabs>
          <w:tab w:val="left" w:pos="426"/>
          <w:tab w:val="left" w:pos="567"/>
        </w:tabs>
        <w:spacing w:line="360" w:lineRule="auto"/>
        <w:ind w:left="851"/>
        <w:jc w:val="both"/>
        <w:rPr>
          <w:rFonts w:ascii="Palatino Linotype" w:eastAsia="Palatino Linotype" w:hAnsi="Palatino Linotype" w:cs="Palatino Linotype"/>
          <w:b/>
          <w:color w:val="000000" w:themeColor="text1"/>
          <w:sz w:val="24"/>
        </w:rPr>
      </w:pPr>
      <w:r w:rsidRPr="003538AC">
        <w:rPr>
          <w:rFonts w:ascii="Palatino Linotype" w:eastAsia="Palatino Linotype" w:hAnsi="Palatino Linotype" w:cs="Palatino Linotype"/>
          <w:b/>
          <w:color w:val="000000" w:themeColor="text1"/>
          <w:sz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3EF1F34"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78CEA77"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40BADDA"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Ante ello, resulta aplicable el Criterio 18/17 emitido por el Instituto Nacional de Transparencia, Acceso a la Información y Protección de Datos Personales, que a la literalidad señala: </w:t>
      </w:r>
    </w:p>
    <w:p w14:paraId="4F1936C5" w14:textId="77777777" w:rsidR="00370EF2" w:rsidRPr="003538AC" w:rsidRDefault="00370EF2" w:rsidP="00E23F8A">
      <w:pPr>
        <w:pStyle w:val="Prrafodelista"/>
        <w:pBdr>
          <w:top w:val="nil"/>
          <w:left w:val="nil"/>
          <w:bottom w:val="nil"/>
          <w:right w:val="nil"/>
          <w:between w:val="nil"/>
        </w:pBdr>
        <w:tabs>
          <w:tab w:val="left" w:pos="567"/>
        </w:tabs>
        <w:spacing w:line="360" w:lineRule="auto"/>
        <w:ind w:left="360"/>
        <w:jc w:val="both"/>
        <w:rPr>
          <w:rFonts w:ascii="Palatino Linotype" w:eastAsia="Palatino Linotype" w:hAnsi="Palatino Linotype" w:cs="Palatino Linotype"/>
          <w:color w:val="000000" w:themeColor="text1"/>
          <w:sz w:val="24"/>
        </w:rPr>
      </w:pPr>
      <w:r w:rsidRPr="003538AC">
        <w:rPr>
          <w:rFonts w:ascii="Palatino Linotype" w:eastAsia="Palatino Linotype" w:hAnsi="Palatino Linotype" w:cs="Palatino Linotype"/>
          <w:i/>
          <w:color w:val="000000" w:themeColor="text1"/>
          <w:sz w:val="24"/>
        </w:rPr>
        <w:lastRenderedPageBreak/>
        <w:t>“</w:t>
      </w:r>
      <w:r w:rsidRPr="003538AC">
        <w:rPr>
          <w:rFonts w:ascii="Palatino Linotype" w:eastAsia="Palatino Linotype" w:hAnsi="Palatino Linotype" w:cs="Palatino Linotype"/>
          <w:b/>
          <w:i/>
          <w:color w:val="000000" w:themeColor="text1"/>
          <w:sz w:val="24"/>
        </w:rPr>
        <w:t xml:space="preserve">Clave Única de Registro de Población (CURP). </w:t>
      </w:r>
      <w:r w:rsidRPr="003538AC">
        <w:rPr>
          <w:rFonts w:ascii="Palatino Linotype" w:eastAsia="Palatino Linotype" w:hAnsi="Palatino Linotype" w:cs="Palatino Linotype"/>
          <w:i/>
          <w:color w:val="000000" w:themeColor="text1"/>
          <w:sz w:val="24"/>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55714B6" w14:textId="77777777" w:rsidR="00370EF2" w:rsidRPr="003538AC" w:rsidRDefault="00370EF2" w:rsidP="00E23F8A">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themeColor="text1"/>
          <w:sz w:val="24"/>
        </w:rPr>
      </w:pPr>
    </w:p>
    <w:p w14:paraId="48C2483C" w14:textId="77777777" w:rsidR="00370EF2" w:rsidRPr="003538AC" w:rsidRDefault="00370EF2" w:rsidP="00E23F8A">
      <w:pPr>
        <w:pStyle w:val="Ttulo3"/>
        <w:numPr>
          <w:ilvl w:val="0"/>
          <w:numId w:val="4"/>
        </w:numPr>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Clave ISSEMyM</w:t>
      </w:r>
    </w:p>
    <w:p w14:paraId="7546DDB0"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AB3AC5D"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9E83657"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Como se advierte, el número del Instituto de Seguridad y Servicios Sociales del Estado de México y Municipios, es un dato personal que permite identificar que una persona que </w:t>
      </w:r>
      <w:r w:rsidRPr="003538AC">
        <w:rPr>
          <w:rFonts w:ascii="Palatino Linotype" w:eastAsia="Palatino Linotype" w:hAnsi="Palatino Linotype" w:cs="Palatino Linotype"/>
          <w:color w:val="000000" w:themeColor="text1"/>
        </w:rPr>
        <w:lastRenderedPageBreak/>
        <w:t>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bookmarkStart w:id="12" w:name="_heading=h.26in1rg" w:colFirst="0" w:colLast="0"/>
      <w:bookmarkEnd w:id="12"/>
    </w:p>
    <w:p w14:paraId="7C79772D" w14:textId="77777777" w:rsidR="00370EF2" w:rsidRPr="003538AC" w:rsidRDefault="00370EF2" w:rsidP="00E23F8A">
      <w:pPr>
        <w:pStyle w:val="Ttulo3"/>
        <w:numPr>
          <w:ilvl w:val="0"/>
          <w:numId w:val="4"/>
        </w:numPr>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Número de empleado.</w:t>
      </w:r>
    </w:p>
    <w:p w14:paraId="5ADDF5CD" w14:textId="77777777" w:rsidR="00370EF2" w:rsidRPr="003538AC" w:rsidRDefault="00370EF2" w:rsidP="00E23F8A">
      <w:pPr>
        <w:numPr>
          <w:ilvl w:val="0"/>
          <w:numId w:val="1"/>
        </w:numPr>
        <w:shd w:val="clear" w:color="auto" w:fill="FFFFFF"/>
        <w:spacing w:before="240" w:after="240" w:line="360" w:lineRule="auto"/>
        <w:ind w:left="0" w:hanging="142"/>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102BAE70" w14:textId="77777777" w:rsidR="00370EF2" w:rsidRPr="003538AC" w:rsidRDefault="00370EF2" w:rsidP="00E23F8A">
      <w:pPr>
        <w:numPr>
          <w:ilvl w:val="0"/>
          <w:numId w:val="1"/>
        </w:numPr>
        <w:shd w:val="clear" w:color="auto" w:fill="FFFFFF"/>
        <w:spacing w:before="240" w:after="240" w:line="360" w:lineRule="auto"/>
        <w:ind w:left="0" w:hanging="142"/>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76CFC6EA" w14:textId="77777777" w:rsidR="00370EF2" w:rsidRPr="003538AC" w:rsidRDefault="00370EF2" w:rsidP="00E23F8A">
      <w:pPr>
        <w:pStyle w:val="Prrafodelista"/>
        <w:pBdr>
          <w:top w:val="nil"/>
          <w:left w:val="nil"/>
          <w:bottom w:val="nil"/>
          <w:right w:val="nil"/>
          <w:between w:val="nil"/>
        </w:pBdr>
        <w:spacing w:line="360" w:lineRule="auto"/>
        <w:ind w:left="851"/>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b/>
          <w:i/>
          <w:color w:val="000000" w:themeColor="text1"/>
          <w:sz w:val="24"/>
        </w:rPr>
        <w:t>Número de empleado.</w:t>
      </w:r>
      <w:r w:rsidRPr="003538AC">
        <w:rPr>
          <w:rFonts w:ascii="Palatino Linotype" w:eastAsia="Palatino Linotype" w:hAnsi="Palatino Linotype" w:cs="Palatino Linotype"/>
          <w:i/>
          <w:color w:val="000000" w:themeColor="text1"/>
          <w:sz w:val="24"/>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1C0F031C"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En otros escenarios, el número de empleado corresponde sólo a un número consecutivo que no contiene datos personales ni se relaciona con los mismos, por lo que, el Sujeto Obligado </w:t>
      </w:r>
      <w:r w:rsidRPr="003538AC">
        <w:rPr>
          <w:rFonts w:ascii="Palatino Linotype" w:eastAsia="Palatino Linotype" w:hAnsi="Palatino Linotype" w:cs="Palatino Linotype"/>
          <w:color w:val="000000" w:themeColor="text1"/>
        </w:rPr>
        <w:lastRenderedPageBreak/>
        <w:t>deberá de clasificar dicho dato únicamente si se integra con datos personales, tal y como lo señala el criterio orientador.</w:t>
      </w:r>
    </w:p>
    <w:p w14:paraId="06F705A5" w14:textId="77777777" w:rsidR="00370EF2" w:rsidRPr="003538AC" w:rsidRDefault="00370EF2" w:rsidP="00E23F8A">
      <w:pPr>
        <w:pStyle w:val="Ttulo3"/>
        <w:numPr>
          <w:ilvl w:val="0"/>
          <w:numId w:val="4"/>
        </w:numPr>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Registro Federal de Contribuyentes (RFC)</w:t>
      </w:r>
    </w:p>
    <w:p w14:paraId="15231C18"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EF9732C"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2C45080"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0511F89"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identificas e identificables, además de que las relaciona como contribuyentes de las autoridades fiscales. Es de destacar que el Registro Federal de </w:t>
      </w:r>
      <w:r w:rsidRPr="003538AC">
        <w:rPr>
          <w:rFonts w:ascii="Palatino Linotype" w:eastAsia="Palatino Linotype" w:hAnsi="Palatino Linotype" w:cs="Palatino Linotype"/>
          <w:color w:val="000000" w:themeColor="text1"/>
        </w:rPr>
        <w:lastRenderedPageBreak/>
        <w:t>Contribuyentes únicamente sirve para efectos fiscales y pago de contribuciones, por lo que se trata de un dato relevante únicamente para las personas involucradas, en el pago de estos.</w:t>
      </w:r>
    </w:p>
    <w:p w14:paraId="433386DD"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2AC999B0" w14:textId="77777777" w:rsidR="00370EF2" w:rsidRPr="003538AC" w:rsidRDefault="00370EF2" w:rsidP="00E23F8A">
      <w:pPr>
        <w:pStyle w:val="Prrafodelista"/>
        <w:spacing w:line="360" w:lineRule="auto"/>
        <w:ind w:left="851"/>
        <w:jc w:val="both"/>
        <w:rPr>
          <w:rFonts w:ascii="Palatino Linotype" w:eastAsia="Palatino Linotype" w:hAnsi="Palatino Linotype" w:cs="Palatino Linotype"/>
          <w:b/>
          <w:i/>
          <w:color w:val="000000" w:themeColor="text1"/>
          <w:sz w:val="24"/>
        </w:rPr>
      </w:pPr>
      <w:r w:rsidRPr="003538AC">
        <w:rPr>
          <w:rFonts w:ascii="Palatino Linotype" w:eastAsia="Palatino Linotype" w:hAnsi="Palatino Linotype" w:cs="Palatino Linotype"/>
          <w:b/>
          <w:i/>
          <w:color w:val="000000" w:themeColor="text1"/>
          <w:sz w:val="24"/>
        </w:rPr>
        <w:t xml:space="preserve">Registro Federal de Contribuyentes (RFC) de personas físicas. </w:t>
      </w:r>
    </w:p>
    <w:p w14:paraId="1319CF27" w14:textId="77777777" w:rsidR="00370EF2" w:rsidRPr="003538AC" w:rsidRDefault="00370EF2" w:rsidP="00E23F8A">
      <w:pPr>
        <w:pStyle w:val="Prrafodelista"/>
        <w:pBdr>
          <w:top w:val="nil"/>
          <w:left w:val="nil"/>
          <w:bottom w:val="nil"/>
          <w:right w:val="nil"/>
          <w:between w:val="nil"/>
        </w:pBdr>
        <w:spacing w:line="360" w:lineRule="auto"/>
        <w:ind w:left="851"/>
        <w:jc w:val="both"/>
        <w:rPr>
          <w:rFonts w:ascii="Palatino Linotype" w:eastAsia="Palatino Linotype" w:hAnsi="Palatino Linotype" w:cs="Palatino Linotype"/>
          <w:i/>
          <w:color w:val="000000" w:themeColor="text1"/>
          <w:sz w:val="24"/>
        </w:rPr>
      </w:pPr>
      <w:r w:rsidRPr="003538AC">
        <w:rPr>
          <w:rFonts w:ascii="Palatino Linotype" w:eastAsia="Palatino Linotype" w:hAnsi="Palatino Linotype" w:cs="Palatino Linotype"/>
          <w:i/>
          <w:color w:val="000000" w:themeColor="text1"/>
          <w:sz w:val="24"/>
        </w:rPr>
        <w:t>El RFC es una clave de carácter fiscal, única e irrepetible, que permite identificar al titular, su edad y fecha de nacimiento, por lo que es un dato personal de carácter confidencial.</w:t>
      </w:r>
    </w:p>
    <w:p w14:paraId="602CD951"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b/>
          <w:color w:val="000000" w:themeColor="text1"/>
        </w:rPr>
        <w:t>De tal suerte, el Registro Federal de Contribuyentes de las personas físicas no guarda relación con la transparencia de los recursos públicos</w:t>
      </w:r>
      <w:r w:rsidRPr="003538AC">
        <w:rPr>
          <w:rFonts w:ascii="Palatino Linotype" w:eastAsia="Palatino Linotype" w:hAnsi="Palatino Linotype" w:cs="Palatino Linotype"/>
          <w:color w:val="000000" w:themeColor="text1"/>
        </w:rPr>
        <w:t>, así como tampoco con el desempeño laboral que pueda tener una persona.</w:t>
      </w:r>
      <w:bookmarkStart w:id="13" w:name="_heading=h.35nkun2" w:colFirst="0" w:colLast="0"/>
      <w:bookmarkEnd w:id="13"/>
    </w:p>
    <w:p w14:paraId="3399E393" w14:textId="77777777" w:rsidR="00370EF2" w:rsidRPr="003538AC" w:rsidRDefault="00370EF2" w:rsidP="00E23F8A">
      <w:pPr>
        <w:pStyle w:val="Ttulo3"/>
        <w:numPr>
          <w:ilvl w:val="0"/>
          <w:numId w:val="4"/>
        </w:numPr>
        <w:rPr>
          <w:rFonts w:ascii="Palatino Linotype" w:eastAsia="Palatino Linotype" w:hAnsi="Palatino Linotype" w:cs="Palatino Linotype"/>
          <w:b/>
          <w:color w:val="000000" w:themeColor="text1"/>
        </w:rPr>
      </w:pPr>
      <w:r w:rsidRPr="003538AC">
        <w:rPr>
          <w:rFonts w:ascii="Palatino Linotype" w:eastAsia="Palatino Linotype" w:hAnsi="Palatino Linotype" w:cs="Palatino Linotype"/>
          <w:b/>
          <w:color w:val="000000" w:themeColor="text1"/>
        </w:rPr>
        <w:t>Deducciones personales</w:t>
      </w:r>
    </w:p>
    <w:p w14:paraId="31BC4E80"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Es necesario precisar que existen deducciones que se generan con motivo de una decisión libre y voluntaria de los servidores públicos, como son: créditos personales, </w:t>
      </w:r>
      <w:r w:rsidRPr="003538AC">
        <w:rPr>
          <w:rFonts w:ascii="Palatino Linotype" w:eastAsia="Palatino Linotype" w:hAnsi="Palatino Linotype" w:cs="Palatino Linotype"/>
          <w:b/>
          <w:color w:val="000000" w:themeColor="text1"/>
          <w:u w:val="single"/>
        </w:rPr>
        <w:t>cuotas sindicales y fondo de resistencia del Sindicato Único de Trabajadores de los Poderes, Municipios e Institución Descentralizadas del Estado de México</w:t>
      </w:r>
      <w:r w:rsidRPr="003538AC">
        <w:rPr>
          <w:rFonts w:ascii="Palatino Linotype" w:eastAsia="Palatino Linotype" w:hAnsi="Palatino Linotype" w:cs="Palatino Linotype"/>
          <w:color w:val="000000" w:themeColor="text1"/>
        </w:rPr>
        <w:t>, seguro de vida, accidentes y enfermedades.</w:t>
      </w:r>
    </w:p>
    <w:p w14:paraId="201C6503"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 xml:space="preserve">Asimismo, hay otras que se generan con motivo de una sentencia judicial, como es la pensión alimenticia que periódicamente se retira de la cuenta de un empleado, a efecto de que sea entregado a un tercero.  </w:t>
      </w:r>
    </w:p>
    <w:p w14:paraId="7C5BD5C4"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A24AA73"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eastAsia="Palatino Linotype" w:hAnsi="Palatino Linotype" w:cs="Palatino Linotype"/>
          <w:color w:val="000000" w:themeColor="text1"/>
        </w:rPr>
        <w:t>Así, dichas deducciones reflejan el destino que un servidor público da a su patrimonio, lo que se aleja de la transparencia y rendición de cuentas.</w:t>
      </w:r>
      <w:bookmarkStart w:id="14" w:name="_heading=h.1ksv4uv" w:colFirst="0" w:colLast="0"/>
      <w:bookmarkEnd w:id="14"/>
    </w:p>
    <w:p w14:paraId="0440ED09" w14:textId="77777777" w:rsidR="00370EF2" w:rsidRPr="003538AC" w:rsidRDefault="00370EF2" w:rsidP="00E23F8A">
      <w:pPr>
        <w:pStyle w:val="Prrafodelista"/>
        <w:spacing w:line="360" w:lineRule="auto"/>
        <w:ind w:left="0"/>
        <w:jc w:val="both"/>
        <w:rPr>
          <w:rFonts w:ascii="Palatino Linotype" w:hAnsi="Palatino Linotype" w:cs="Arial"/>
          <w:b/>
          <w:color w:val="000000" w:themeColor="text1"/>
          <w:sz w:val="24"/>
        </w:rPr>
      </w:pPr>
      <w:r w:rsidRPr="003538AC">
        <w:rPr>
          <w:rFonts w:ascii="Palatino Linotype" w:hAnsi="Palatino Linotype" w:cs="Arial"/>
          <w:b/>
          <w:color w:val="000000" w:themeColor="text1"/>
          <w:sz w:val="24"/>
        </w:rPr>
        <w:t>Deducciones que no son personales.</w:t>
      </w:r>
    </w:p>
    <w:p w14:paraId="49D2296B"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hAnsi="Palatino Linotype" w:cs="Arial"/>
          <w:color w:val="000000" w:themeColor="text1"/>
        </w:rPr>
        <w:t>La Ley del Trabajo de los Servidores Públicos del Estado y Municipios</w:t>
      </w:r>
      <w:r w:rsidRPr="003538AC">
        <w:rPr>
          <w:rStyle w:val="Refdenotaalpie"/>
          <w:rFonts w:ascii="Palatino Linotype" w:hAnsi="Palatino Linotype" w:cs="Arial"/>
          <w:color w:val="000000" w:themeColor="text1"/>
        </w:rPr>
        <w:footnoteReference w:id="8"/>
      </w:r>
      <w:r w:rsidRPr="003538AC">
        <w:rPr>
          <w:rFonts w:ascii="Palatino Linotype" w:hAnsi="Palatino Linotype" w:cs="Arial"/>
          <w:color w:val="000000" w:themeColor="text1"/>
        </w:rPr>
        <w:t xml:space="preserve"> en el artículo 84 establece lo siguiente:</w:t>
      </w:r>
    </w:p>
    <w:p w14:paraId="1E8BBBB9"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ARTÍCULO 84. Sólo podrán hacerse retenciones, descuentos o deducciones al sueldo de los servidores públicos por concepto de: </w:t>
      </w:r>
    </w:p>
    <w:p w14:paraId="71AD777A" w14:textId="77777777" w:rsidR="00370EF2" w:rsidRPr="003538AC" w:rsidRDefault="00370EF2" w:rsidP="00E23F8A">
      <w:pPr>
        <w:pStyle w:val="Prrafodelista"/>
        <w:spacing w:line="360" w:lineRule="auto"/>
        <w:ind w:left="851"/>
        <w:jc w:val="both"/>
        <w:rPr>
          <w:rFonts w:ascii="Palatino Linotype" w:hAnsi="Palatino Linotype"/>
          <w:b/>
          <w:i/>
          <w:color w:val="000000" w:themeColor="text1"/>
          <w:sz w:val="24"/>
        </w:rPr>
      </w:pPr>
      <w:r w:rsidRPr="003538AC">
        <w:rPr>
          <w:rFonts w:ascii="Palatino Linotype" w:hAnsi="Palatino Linotype"/>
          <w:b/>
          <w:i/>
          <w:color w:val="000000" w:themeColor="text1"/>
          <w:sz w:val="24"/>
        </w:rPr>
        <w:t>I. Gravámenes fiscales relacionados con el sueldo;</w:t>
      </w:r>
    </w:p>
    <w:p w14:paraId="26CD8A45"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II. Deudas contraídas con las instituciones públicas o dependencias por concepto de anticipos de sueldo, pagos hechos con exceso, errores o pérdidas debidamente comprobados; </w:t>
      </w:r>
    </w:p>
    <w:p w14:paraId="363E31CA"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III. Cuotas sindicales; </w:t>
      </w:r>
    </w:p>
    <w:p w14:paraId="0B08D91E" w14:textId="77777777" w:rsidR="00370EF2" w:rsidRPr="003538AC" w:rsidRDefault="00370EF2" w:rsidP="00E23F8A">
      <w:pPr>
        <w:pStyle w:val="Prrafodelista"/>
        <w:spacing w:line="360" w:lineRule="auto"/>
        <w:ind w:left="851"/>
        <w:jc w:val="both"/>
        <w:rPr>
          <w:rFonts w:ascii="Palatino Linotype" w:hAnsi="Palatino Linotype"/>
          <w:b/>
          <w:i/>
          <w:color w:val="000000" w:themeColor="text1"/>
          <w:sz w:val="24"/>
        </w:rPr>
      </w:pPr>
      <w:r w:rsidRPr="003538AC">
        <w:rPr>
          <w:rFonts w:ascii="Palatino Linotype" w:hAnsi="Palatino Linotype"/>
          <w:b/>
          <w:i/>
          <w:color w:val="000000" w:themeColor="text1"/>
          <w:sz w:val="24"/>
        </w:rPr>
        <w:t xml:space="preserve">IV. Cuotas de aportación a fondos para la constitución de cooperativas y de cajas de ahorro, siempre que el servidor público hubiese manifestado previamente, de manera expresa, su conformidad; </w:t>
      </w:r>
    </w:p>
    <w:p w14:paraId="6D7E195B" w14:textId="77777777" w:rsidR="00370EF2" w:rsidRPr="003538AC" w:rsidRDefault="00370EF2" w:rsidP="00E23F8A">
      <w:pPr>
        <w:pStyle w:val="Prrafodelista"/>
        <w:spacing w:line="360" w:lineRule="auto"/>
        <w:ind w:left="851"/>
        <w:jc w:val="both"/>
        <w:rPr>
          <w:rFonts w:ascii="Palatino Linotype" w:hAnsi="Palatino Linotype"/>
          <w:b/>
          <w:i/>
          <w:color w:val="000000" w:themeColor="text1"/>
          <w:sz w:val="24"/>
        </w:rPr>
      </w:pPr>
      <w:r w:rsidRPr="003538AC">
        <w:rPr>
          <w:rFonts w:ascii="Palatino Linotype" w:hAnsi="Palatino Linotype"/>
          <w:b/>
          <w:i/>
          <w:color w:val="000000" w:themeColor="text1"/>
          <w:sz w:val="24"/>
        </w:rPr>
        <w:lastRenderedPageBreak/>
        <w:t xml:space="preserve">V. Descuentos ordenados por el Instituto de Seguridad Social del Estado de México y Municipios, con motivo de cuotas y obligaciones contraídas con éste por los servidores públicos; </w:t>
      </w:r>
    </w:p>
    <w:p w14:paraId="199FA083"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VI. Obligaciones a cargo del servidor público con las que haya consentido, derivadas de la adquisición o del uso de habitaciones consideradas como de interés social; </w:t>
      </w:r>
    </w:p>
    <w:p w14:paraId="1BDD7D29"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VII. Faltas de puntualidad o de asistencia injustificadas; </w:t>
      </w:r>
    </w:p>
    <w:p w14:paraId="1B1750E2"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 xml:space="preserve">VIII. Pensiones alimenticias ordenadas por la autoridad judicial; o </w:t>
      </w:r>
    </w:p>
    <w:p w14:paraId="6886B069" w14:textId="77777777" w:rsidR="00370EF2" w:rsidRPr="003538AC" w:rsidRDefault="00370EF2" w:rsidP="00E23F8A">
      <w:pPr>
        <w:pStyle w:val="Prrafodelista"/>
        <w:spacing w:line="360" w:lineRule="auto"/>
        <w:ind w:left="851"/>
        <w:jc w:val="both"/>
        <w:rPr>
          <w:rFonts w:ascii="Palatino Linotype" w:hAnsi="Palatino Linotype"/>
          <w:i/>
          <w:color w:val="000000" w:themeColor="text1"/>
          <w:sz w:val="24"/>
        </w:rPr>
      </w:pPr>
      <w:r w:rsidRPr="003538AC">
        <w:rPr>
          <w:rFonts w:ascii="Palatino Linotype" w:hAnsi="Palatino Linotype"/>
          <w:i/>
          <w:color w:val="000000" w:themeColor="text1"/>
          <w:sz w:val="24"/>
        </w:rPr>
        <w:t>IX. Cualquier otro convenido con instituciones de servicios y aceptado por el servidor público.</w:t>
      </w:r>
    </w:p>
    <w:p w14:paraId="122AA2D6" w14:textId="77777777" w:rsidR="00370EF2" w:rsidRPr="003440E8"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hAnsi="Palatino Linotype" w:cs="Arial"/>
          <w:color w:val="000000" w:themeColor="text1"/>
        </w:rPr>
        <w:t>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08B5946F" w14:textId="77777777" w:rsidR="00370EF2" w:rsidRPr="003538AC" w:rsidRDefault="00370EF2" w:rsidP="00E23F8A">
      <w:pPr>
        <w:pStyle w:val="Prrafodelista"/>
        <w:numPr>
          <w:ilvl w:val="0"/>
          <w:numId w:val="5"/>
        </w:numPr>
        <w:spacing w:line="360" w:lineRule="auto"/>
        <w:jc w:val="both"/>
        <w:rPr>
          <w:rFonts w:ascii="Palatino Linotype" w:hAnsi="Palatino Linotype" w:cs="Arial"/>
          <w:color w:val="000000" w:themeColor="text1"/>
          <w:sz w:val="24"/>
        </w:rPr>
      </w:pPr>
      <w:r w:rsidRPr="003538AC">
        <w:rPr>
          <w:rFonts w:ascii="Palatino Linotype" w:hAnsi="Palatino Linotype" w:cs="Arial"/>
          <w:b/>
          <w:color w:val="000000" w:themeColor="text1"/>
          <w:sz w:val="24"/>
        </w:rPr>
        <w:t>Seguro de Capitalización Individualizado.</w:t>
      </w:r>
    </w:p>
    <w:p w14:paraId="390C0BA4"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hAnsi="Palatino Linotype" w:cs="Arial"/>
          <w:color w:val="000000" w:themeColor="text1"/>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1E275797" w14:textId="77777777" w:rsidR="00370EF2" w:rsidRPr="003538AC" w:rsidRDefault="00370EF2" w:rsidP="00E23F8A">
      <w:pPr>
        <w:pStyle w:val="Prrafodelista"/>
        <w:spacing w:line="360" w:lineRule="auto"/>
        <w:jc w:val="both"/>
        <w:rPr>
          <w:rFonts w:ascii="Palatino Linotype" w:hAnsi="Palatino Linotype" w:cs="Arial"/>
          <w:color w:val="000000" w:themeColor="text1"/>
          <w:sz w:val="24"/>
        </w:rPr>
      </w:pPr>
      <w:r w:rsidRPr="003538AC">
        <w:rPr>
          <w:rFonts w:ascii="Palatino Linotype" w:hAnsi="Palatino Linotype" w:cs="Arial"/>
          <w:color w:val="000000" w:themeColor="text1"/>
          <w:sz w:val="24"/>
        </w:rPr>
        <w:t>•</w:t>
      </w:r>
      <w:r w:rsidRPr="003538AC">
        <w:rPr>
          <w:rFonts w:ascii="Palatino Linotype" w:hAnsi="Palatino Linotype" w:cs="Arial"/>
          <w:color w:val="000000" w:themeColor="text1"/>
          <w:sz w:val="24"/>
        </w:rPr>
        <w:tab/>
        <w:t>Subcuenta de cuota obligatoria; que corresponde a un porcentaje del sueldo sujeto a cotización, que se descuenta al servir público de manera automática.</w:t>
      </w:r>
    </w:p>
    <w:p w14:paraId="6657FA7E" w14:textId="77777777" w:rsidR="00370EF2" w:rsidRPr="003538AC" w:rsidRDefault="00370EF2" w:rsidP="00E23F8A">
      <w:pPr>
        <w:pStyle w:val="Prrafodelista"/>
        <w:spacing w:line="360" w:lineRule="auto"/>
        <w:jc w:val="both"/>
        <w:rPr>
          <w:rFonts w:ascii="Palatino Linotype" w:hAnsi="Palatino Linotype" w:cs="Arial"/>
          <w:color w:val="000000" w:themeColor="text1"/>
          <w:sz w:val="24"/>
        </w:rPr>
      </w:pPr>
      <w:r w:rsidRPr="003538AC">
        <w:rPr>
          <w:rFonts w:ascii="Palatino Linotype" w:hAnsi="Palatino Linotype" w:cs="Arial"/>
          <w:color w:val="000000" w:themeColor="text1"/>
          <w:sz w:val="24"/>
        </w:rPr>
        <w:lastRenderedPageBreak/>
        <w:t>•</w:t>
      </w:r>
      <w:r w:rsidRPr="003538AC">
        <w:rPr>
          <w:rFonts w:ascii="Palatino Linotype" w:hAnsi="Palatino Linotype" w:cs="Arial"/>
          <w:color w:val="000000" w:themeColor="text1"/>
          <w:sz w:val="24"/>
        </w:rPr>
        <w:tab/>
        <w:t>Subcuenta de aportación obligatoria: que es la aportación que realiza la Institución a favor del servidor público, el cual equivale a un porcentaje del sueldo sujeto a cotización.</w:t>
      </w:r>
    </w:p>
    <w:p w14:paraId="5831AE48" w14:textId="77777777" w:rsidR="00370EF2" w:rsidRPr="003538AC" w:rsidRDefault="00370EF2" w:rsidP="00E23F8A">
      <w:pPr>
        <w:pStyle w:val="Prrafodelista"/>
        <w:spacing w:line="360" w:lineRule="auto"/>
        <w:jc w:val="both"/>
        <w:rPr>
          <w:rFonts w:ascii="Palatino Linotype" w:hAnsi="Palatino Linotype" w:cs="Arial"/>
          <w:color w:val="000000" w:themeColor="text1"/>
          <w:sz w:val="24"/>
        </w:rPr>
      </w:pPr>
      <w:r w:rsidRPr="003538AC">
        <w:rPr>
          <w:rFonts w:ascii="Palatino Linotype" w:hAnsi="Palatino Linotype" w:cs="Arial"/>
          <w:color w:val="000000" w:themeColor="text1"/>
          <w:sz w:val="24"/>
        </w:rPr>
        <w:t>•</w:t>
      </w:r>
      <w:r w:rsidRPr="003538AC">
        <w:rPr>
          <w:rFonts w:ascii="Palatino Linotype" w:hAnsi="Palatino Linotype" w:cs="Arial"/>
          <w:color w:val="000000" w:themeColor="text1"/>
          <w:sz w:val="24"/>
        </w:rPr>
        <w:tab/>
        <w:t xml:space="preserve">Subcuenta voluntaria: que es la cantidad que cada servidor público decide ahorrar de acuerdo con sus aportaciones, permitiendo acumular mayores ingresos para su retiro. </w:t>
      </w:r>
    </w:p>
    <w:p w14:paraId="04F7D953"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hAnsi="Palatino Linotype" w:cs="Arial"/>
          <w:color w:val="000000" w:themeColor="text1"/>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3358FE79" w14:textId="77777777" w:rsidR="00370EF2" w:rsidRPr="003538AC" w:rsidRDefault="00370EF2" w:rsidP="00E23F8A">
      <w:pPr>
        <w:pStyle w:val="Prrafodelista"/>
        <w:spacing w:line="360" w:lineRule="auto"/>
        <w:ind w:left="567"/>
        <w:jc w:val="both"/>
        <w:rPr>
          <w:rFonts w:ascii="Palatino Linotype" w:hAnsi="Palatino Linotype" w:cs="Arial"/>
          <w:i/>
          <w:color w:val="000000" w:themeColor="text1"/>
          <w:sz w:val="24"/>
        </w:rPr>
      </w:pPr>
      <w:r w:rsidRPr="003538AC">
        <w:rPr>
          <w:rFonts w:ascii="Palatino Linotype" w:hAnsi="Palatino Linotype" w:cs="Arial"/>
          <w:i/>
          <w:color w:val="000000" w:themeColor="text1"/>
          <w:sz w:val="24"/>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w:t>
      </w:r>
      <w:r w:rsidRPr="003538AC">
        <w:rPr>
          <w:rFonts w:ascii="Palatino Linotype" w:hAnsi="Palatino Linotype" w:cs="Arial"/>
          <w:i/>
          <w:color w:val="000000" w:themeColor="text1"/>
          <w:sz w:val="24"/>
        </w:rPr>
        <w:lastRenderedPageBreak/>
        <w:t>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3538AC">
        <w:rPr>
          <w:rFonts w:ascii="Palatino Linotype" w:hAnsi="Palatino Linotype" w:cs="Arial"/>
          <w:color w:val="000000" w:themeColor="text1"/>
          <w:sz w:val="24"/>
        </w:rPr>
        <w:t xml:space="preserve"> </w:t>
      </w:r>
    </w:p>
    <w:p w14:paraId="78274012" w14:textId="77777777" w:rsidR="00370EF2" w:rsidRPr="003538AC" w:rsidRDefault="00370EF2" w:rsidP="00E23F8A">
      <w:pPr>
        <w:numPr>
          <w:ilvl w:val="0"/>
          <w:numId w:val="1"/>
        </w:numPr>
        <w:shd w:val="clear" w:color="auto" w:fill="FFFFFF"/>
        <w:spacing w:before="240" w:after="240" w:line="360" w:lineRule="auto"/>
        <w:ind w:left="0" w:firstLine="0"/>
        <w:jc w:val="both"/>
        <w:rPr>
          <w:rFonts w:ascii="Palatino Linotype" w:hAnsi="Palatino Linotype"/>
          <w:color w:val="000000" w:themeColor="text1"/>
        </w:rPr>
      </w:pPr>
      <w:r w:rsidRPr="003538AC">
        <w:rPr>
          <w:rFonts w:ascii="Palatino Linotype" w:hAnsi="Palatino Linotype" w:cs="Arial"/>
          <w:color w:val="000000" w:themeColor="text1"/>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14D1E3C2" w14:textId="77777777" w:rsidR="00841865" w:rsidRPr="003538AC" w:rsidRDefault="00841865" w:rsidP="00E23F8A">
      <w:pPr>
        <w:pStyle w:val="Prrafodelista"/>
        <w:numPr>
          <w:ilvl w:val="0"/>
          <w:numId w:val="1"/>
        </w:numPr>
        <w:spacing w:line="360" w:lineRule="auto"/>
        <w:ind w:left="0" w:firstLine="0"/>
        <w:jc w:val="both"/>
        <w:rPr>
          <w:rFonts w:ascii="Palatino Linotype" w:eastAsia="Calibri" w:hAnsi="Palatino Linotype"/>
          <w:color w:val="000000" w:themeColor="text1"/>
          <w:sz w:val="24"/>
        </w:rPr>
      </w:pPr>
      <w:r w:rsidRPr="003538AC">
        <w:rPr>
          <w:rFonts w:ascii="Palatino Linotype" w:hAnsi="Palatino Linotype"/>
          <w:color w:val="000000" w:themeColor="text1"/>
          <w:sz w:val="24"/>
          <w:lang w:val="es-ES"/>
        </w:rPr>
        <w:lastRenderedPageBreak/>
        <w:t xml:space="preserve">Por lo anteriormente expuesto y fundado, este </w:t>
      </w:r>
      <w:r w:rsidRPr="003538AC">
        <w:rPr>
          <w:rFonts w:ascii="Palatino Linotype" w:hAnsi="Palatino Linotype"/>
          <w:b/>
          <w:bCs/>
          <w:color w:val="000000" w:themeColor="text1"/>
          <w:sz w:val="24"/>
          <w:lang w:val="es-ES"/>
        </w:rPr>
        <w:t>ÓRGANO GARANTE</w:t>
      </w:r>
      <w:r w:rsidRPr="003538AC">
        <w:rPr>
          <w:rFonts w:ascii="Palatino Linotype" w:hAnsi="Palatino Linotype"/>
          <w:color w:val="000000" w:themeColor="text1"/>
          <w:sz w:val="24"/>
          <w:lang w:val="es-ES"/>
        </w:rPr>
        <w:t xml:space="preserve"> emite los siguientes:</w:t>
      </w:r>
    </w:p>
    <w:p w14:paraId="531B4EA2" w14:textId="77777777" w:rsidR="00841865" w:rsidRPr="003538AC" w:rsidRDefault="00841865" w:rsidP="00E23F8A">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5" w:name="_Toc528153792"/>
      <w:bookmarkStart w:id="16" w:name="_Toc94119621"/>
      <w:r w:rsidRPr="003538AC">
        <w:rPr>
          <w:rFonts w:ascii="Palatino Linotype" w:eastAsiaTheme="majorEastAsia" w:hAnsi="Palatino Linotype" w:cstheme="majorBidi"/>
          <w:b/>
          <w:color w:val="000000" w:themeColor="text1"/>
          <w:lang w:eastAsia="en-US"/>
        </w:rPr>
        <w:t>R E S O L U T I V O S</w:t>
      </w:r>
      <w:bookmarkEnd w:id="15"/>
      <w:bookmarkEnd w:id="16"/>
    </w:p>
    <w:p w14:paraId="59A48FCA" w14:textId="77777777" w:rsidR="00841865" w:rsidRPr="003538AC" w:rsidRDefault="00841865" w:rsidP="00E23F8A">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192D2AA7" w14:textId="6F870E61" w:rsidR="00841865" w:rsidRPr="003538AC" w:rsidRDefault="00841865" w:rsidP="00E23F8A">
      <w:pPr>
        <w:spacing w:line="360" w:lineRule="auto"/>
        <w:jc w:val="both"/>
        <w:rPr>
          <w:rFonts w:ascii="Palatino Linotype" w:hAnsi="Palatino Linotype" w:cs="Arial"/>
          <w:bCs/>
          <w:color w:val="000000" w:themeColor="text1"/>
          <w:lang w:eastAsia="es-ES"/>
        </w:rPr>
      </w:pPr>
      <w:r w:rsidRPr="003538AC">
        <w:rPr>
          <w:rFonts w:ascii="Palatino Linotype" w:hAnsi="Palatino Linotype" w:cs="Arial"/>
          <w:b/>
          <w:color w:val="000000" w:themeColor="text1"/>
          <w:lang w:eastAsia="es-ES"/>
        </w:rPr>
        <w:t xml:space="preserve">PRIMERO. </w:t>
      </w:r>
      <w:r w:rsidRPr="003538AC">
        <w:rPr>
          <w:rFonts w:ascii="Palatino Linotype" w:hAnsi="Palatino Linotype" w:cs="Arial"/>
          <w:color w:val="000000" w:themeColor="text1"/>
          <w:lang w:eastAsia="es-ES"/>
        </w:rPr>
        <w:t>Resultan fundadas las</w:t>
      </w:r>
      <w:r w:rsidRPr="003538AC">
        <w:rPr>
          <w:rFonts w:ascii="Palatino Linotype" w:hAnsi="Palatino Linotype" w:cs="Arial"/>
          <w:b/>
          <w:color w:val="000000" w:themeColor="text1"/>
          <w:lang w:eastAsia="es-ES"/>
        </w:rPr>
        <w:t xml:space="preserve"> </w:t>
      </w:r>
      <w:r w:rsidRPr="003538AC">
        <w:rPr>
          <w:rFonts w:ascii="Palatino Linotype" w:hAnsi="Palatino Linotype" w:cs="Arial"/>
          <w:color w:val="000000" w:themeColor="text1"/>
          <w:lang w:val="es-ES" w:eastAsia="es-ES"/>
        </w:rPr>
        <w:t xml:space="preserve">razones o motivos de inconformidad hechos valer </w:t>
      </w:r>
      <w:r w:rsidRPr="003538AC">
        <w:rPr>
          <w:rFonts w:ascii="Palatino Linotype" w:eastAsia="Calibri" w:hAnsi="Palatino Linotype" w:cs="Arial"/>
          <w:color w:val="000000" w:themeColor="text1"/>
          <w:lang w:val="es-ES" w:eastAsia="es-ES"/>
        </w:rPr>
        <w:t xml:space="preserve">en el recurso de revisión </w:t>
      </w:r>
      <w:r w:rsidR="00AD14C1" w:rsidRPr="003538AC">
        <w:rPr>
          <w:rFonts w:ascii="Palatino Linotype" w:hAnsi="Palatino Linotype" w:cs="Arial"/>
          <w:b/>
          <w:bCs/>
          <w:color w:val="000000" w:themeColor="text1"/>
          <w:lang w:eastAsia="es-ES"/>
        </w:rPr>
        <w:t>06103</w:t>
      </w:r>
      <w:r w:rsidRPr="003538AC">
        <w:rPr>
          <w:rFonts w:ascii="Palatino Linotype" w:hAnsi="Palatino Linotype" w:cs="Arial"/>
          <w:b/>
          <w:bCs/>
          <w:color w:val="000000" w:themeColor="text1"/>
          <w:lang w:eastAsia="es-ES"/>
        </w:rPr>
        <w:t>/INFOEM/IP/RR/202</w:t>
      </w:r>
      <w:r w:rsidR="009170FF" w:rsidRPr="003538AC">
        <w:rPr>
          <w:rFonts w:ascii="Palatino Linotype" w:hAnsi="Palatino Linotype" w:cs="Arial"/>
          <w:b/>
          <w:bCs/>
          <w:color w:val="000000" w:themeColor="text1"/>
          <w:lang w:eastAsia="es-ES"/>
        </w:rPr>
        <w:t>5</w:t>
      </w:r>
      <w:r w:rsidRPr="003538AC">
        <w:rPr>
          <w:rFonts w:ascii="Palatino Linotype" w:hAnsi="Palatino Linotype" w:cs="Arial"/>
          <w:b/>
          <w:bCs/>
          <w:color w:val="000000" w:themeColor="text1"/>
          <w:lang w:eastAsia="es-ES"/>
        </w:rPr>
        <w:t xml:space="preserve">, </w:t>
      </w:r>
      <w:r w:rsidRPr="003538AC">
        <w:rPr>
          <w:rFonts w:ascii="Palatino Linotype" w:hAnsi="Palatino Linotype" w:cs="Arial"/>
          <w:bCs/>
          <w:color w:val="000000" w:themeColor="text1"/>
          <w:lang w:eastAsia="es-ES"/>
        </w:rPr>
        <w:t xml:space="preserve">en términos del </w:t>
      </w:r>
      <w:r w:rsidRPr="003538AC">
        <w:rPr>
          <w:rFonts w:ascii="Palatino Linotype" w:hAnsi="Palatino Linotype" w:cs="Arial"/>
          <w:b/>
          <w:bCs/>
          <w:color w:val="000000" w:themeColor="text1"/>
          <w:lang w:eastAsia="es-ES"/>
        </w:rPr>
        <w:t>Considerando</w:t>
      </w:r>
      <w:r w:rsidRPr="003538AC">
        <w:rPr>
          <w:rFonts w:ascii="Palatino Linotype" w:hAnsi="Palatino Linotype" w:cs="Arial"/>
          <w:bCs/>
          <w:color w:val="000000" w:themeColor="text1"/>
          <w:lang w:eastAsia="es-ES"/>
        </w:rPr>
        <w:t xml:space="preserve"> </w:t>
      </w:r>
      <w:r w:rsidR="00AD14C1" w:rsidRPr="003538AC">
        <w:rPr>
          <w:rFonts w:ascii="Palatino Linotype" w:hAnsi="Palatino Linotype" w:cs="Arial"/>
          <w:b/>
          <w:bCs/>
          <w:color w:val="000000" w:themeColor="text1"/>
          <w:lang w:eastAsia="es-ES"/>
        </w:rPr>
        <w:t xml:space="preserve">CUARTO y QUINTO </w:t>
      </w:r>
      <w:r w:rsidRPr="003538AC">
        <w:rPr>
          <w:rFonts w:ascii="Palatino Linotype" w:hAnsi="Palatino Linotype" w:cs="Arial"/>
          <w:bCs/>
          <w:color w:val="000000" w:themeColor="text1"/>
          <w:lang w:eastAsia="es-ES"/>
        </w:rPr>
        <w:t>de la presente resolución.</w:t>
      </w:r>
    </w:p>
    <w:p w14:paraId="74C9FC37" w14:textId="77777777" w:rsidR="00841865" w:rsidRPr="003538AC" w:rsidRDefault="00841865" w:rsidP="00E23F8A">
      <w:pPr>
        <w:spacing w:line="360" w:lineRule="auto"/>
        <w:jc w:val="both"/>
        <w:rPr>
          <w:rFonts w:ascii="Palatino Linotype" w:hAnsi="Palatino Linotype" w:cs="Arial"/>
          <w:bCs/>
          <w:color w:val="000000" w:themeColor="text1"/>
          <w:lang w:eastAsia="es-ES"/>
        </w:rPr>
      </w:pPr>
    </w:p>
    <w:p w14:paraId="1D6C9AED" w14:textId="6F4A77E1" w:rsidR="00FB40B2" w:rsidRPr="003538AC" w:rsidRDefault="00841865" w:rsidP="00E23F8A">
      <w:pPr>
        <w:spacing w:line="360" w:lineRule="auto"/>
        <w:jc w:val="both"/>
        <w:rPr>
          <w:rFonts w:ascii="Palatino Linotype" w:hAnsi="Palatino Linotype" w:cs="Arial"/>
          <w:color w:val="000000" w:themeColor="text1"/>
          <w:lang w:val="es-ES" w:eastAsia="es-ES"/>
        </w:rPr>
      </w:pPr>
      <w:bookmarkStart w:id="17" w:name="_Toc477891768"/>
      <w:bookmarkStart w:id="18" w:name="_Toc477891858"/>
      <w:bookmarkStart w:id="19" w:name="_Toc481576259"/>
      <w:bookmarkStart w:id="20" w:name="_Toc492590391"/>
      <w:bookmarkStart w:id="21" w:name="_Toc462653937"/>
      <w:bookmarkStart w:id="22" w:name="_Toc453696502"/>
      <w:bookmarkStart w:id="23" w:name="_Toc454301155"/>
      <w:r w:rsidRPr="003538AC">
        <w:rPr>
          <w:rFonts w:ascii="Palatino Linotype" w:hAnsi="Palatino Linotype"/>
          <w:b/>
          <w:color w:val="000000" w:themeColor="text1"/>
          <w:lang w:eastAsia="es-ES"/>
        </w:rPr>
        <w:t>SEGUNDO.</w:t>
      </w:r>
      <w:r w:rsidRPr="003538AC">
        <w:rPr>
          <w:rFonts w:ascii="Palatino Linotype" w:eastAsia="DengXian Light" w:hAnsi="Palatino Linotype"/>
          <w:color w:val="000000" w:themeColor="text1"/>
          <w:lang w:eastAsia="es-ES"/>
        </w:rPr>
        <w:t xml:space="preserve"> </w:t>
      </w:r>
      <w:bookmarkEnd w:id="17"/>
      <w:bookmarkEnd w:id="18"/>
      <w:bookmarkEnd w:id="19"/>
      <w:bookmarkEnd w:id="20"/>
      <w:bookmarkEnd w:id="21"/>
      <w:bookmarkEnd w:id="22"/>
      <w:bookmarkEnd w:id="23"/>
      <w:r w:rsidRPr="003538AC">
        <w:rPr>
          <w:rFonts w:ascii="Palatino Linotype" w:eastAsia="Calibri" w:hAnsi="Palatino Linotype" w:cs="Arial"/>
          <w:color w:val="000000" w:themeColor="text1"/>
          <w:lang w:val="es-ES" w:eastAsia="es-ES"/>
        </w:rPr>
        <w:t>Se</w:t>
      </w:r>
      <w:r w:rsidRPr="003538AC">
        <w:rPr>
          <w:rFonts w:ascii="Palatino Linotype" w:eastAsia="Calibri" w:hAnsi="Palatino Linotype" w:cs="Arial"/>
          <w:b/>
          <w:color w:val="000000" w:themeColor="text1"/>
          <w:lang w:val="es-ES" w:eastAsia="es-ES"/>
        </w:rPr>
        <w:t xml:space="preserve"> MODIFICA </w:t>
      </w:r>
      <w:r w:rsidRPr="003538AC">
        <w:rPr>
          <w:rFonts w:ascii="Palatino Linotype" w:eastAsia="Calibri" w:hAnsi="Palatino Linotype" w:cs="Arial"/>
          <w:color w:val="000000" w:themeColor="text1"/>
          <w:lang w:val="es-ES" w:eastAsia="es-ES"/>
        </w:rPr>
        <w:t xml:space="preserve">la respuesta emitida por el </w:t>
      </w:r>
      <w:r w:rsidR="00AD14C1" w:rsidRPr="003538AC">
        <w:rPr>
          <w:rFonts w:ascii="Palatino Linotype" w:eastAsia="Calibri" w:hAnsi="Palatino Linotype" w:cs="Tahoma"/>
          <w:b/>
          <w:bCs/>
          <w:color w:val="000000" w:themeColor="text1"/>
          <w:lang w:eastAsia="en-US"/>
        </w:rPr>
        <w:t>Organismo Público Descentralizado para la Prestación de los Servicios de Agua Potable Alcantarillado y Saneamiento del Municipio de Tlalnepantla de Baz</w:t>
      </w:r>
      <w:r w:rsidR="009170FF" w:rsidRPr="003538AC">
        <w:rPr>
          <w:rFonts w:ascii="Palatino Linotype" w:eastAsia="Calibri" w:hAnsi="Palatino Linotype" w:cs="Tahoma"/>
          <w:b/>
          <w:bCs/>
          <w:color w:val="000000" w:themeColor="text1"/>
          <w:lang w:eastAsia="en-US"/>
        </w:rPr>
        <w:t xml:space="preserve"> </w:t>
      </w:r>
      <w:r w:rsidRPr="003538AC">
        <w:rPr>
          <w:rFonts w:ascii="Palatino Linotype" w:eastAsia="Calibri" w:hAnsi="Palatino Linotype" w:cs="Arial"/>
          <w:color w:val="000000" w:themeColor="text1"/>
          <w:lang w:val="es-ES" w:eastAsia="es-ES"/>
        </w:rPr>
        <w:t>y se</w:t>
      </w:r>
      <w:r w:rsidRPr="003538AC">
        <w:rPr>
          <w:rFonts w:ascii="Palatino Linotype" w:eastAsia="Calibri" w:hAnsi="Palatino Linotype" w:cs="Arial"/>
          <w:b/>
          <w:color w:val="000000" w:themeColor="text1"/>
          <w:lang w:val="es-ES" w:eastAsia="es-ES"/>
        </w:rPr>
        <w:t xml:space="preserve"> ORDENA </w:t>
      </w:r>
      <w:r w:rsidRPr="003538AC">
        <w:rPr>
          <w:rFonts w:ascii="Palatino Linotype" w:hAnsi="Palatino Linotype" w:cs="Arial"/>
          <w:color w:val="000000" w:themeColor="text1"/>
          <w:lang w:val="es-ES" w:eastAsia="es-ES"/>
        </w:rPr>
        <w:t>entregar vía Sistema de Accesos a la Información Mexiquense (SAIMEX),</w:t>
      </w:r>
      <w:r w:rsidR="00370EF2" w:rsidRPr="003538AC">
        <w:rPr>
          <w:rFonts w:ascii="Palatino Linotype" w:hAnsi="Palatino Linotype" w:cs="Arial"/>
          <w:color w:val="000000" w:themeColor="text1"/>
          <w:lang w:val="es-ES" w:eastAsia="es-ES"/>
        </w:rPr>
        <w:t xml:space="preserve"> en versión pública,</w:t>
      </w:r>
      <w:r w:rsidR="00FB40B2" w:rsidRPr="003538AC">
        <w:rPr>
          <w:rFonts w:ascii="Palatino Linotype" w:hAnsi="Palatino Linotype" w:cs="Arial"/>
          <w:color w:val="000000" w:themeColor="text1"/>
          <w:lang w:val="es-ES" w:eastAsia="es-ES"/>
        </w:rPr>
        <w:t xml:space="preserve"> la siguiente información:</w:t>
      </w:r>
    </w:p>
    <w:p w14:paraId="78B05555" w14:textId="77777777" w:rsidR="001C5A7F" w:rsidRPr="003538AC" w:rsidRDefault="001C5A7F" w:rsidP="00E23F8A">
      <w:pPr>
        <w:jc w:val="both"/>
        <w:rPr>
          <w:rFonts w:ascii="Palatino Linotype" w:hAnsi="Palatino Linotype" w:cs="Arial"/>
          <w:color w:val="000000" w:themeColor="text1"/>
          <w:lang w:val="es-ES" w:eastAsia="es-ES"/>
        </w:rPr>
      </w:pPr>
    </w:p>
    <w:p w14:paraId="41B54D51" w14:textId="4A8C6CA3" w:rsidR="004C59F7" w:rsidRPr="003538AC" w:rsidRDefault="00AD14C1" w:rsidP="00E23F8A">
      <w:pPr>
        <w:pStyle w:val="Prrafodelista"/>
        <w:numPr>
          <w:ilvl w:val="0"/>
          <w:numId w:val="8"/>
        </w:numPr>
        <w:jc w:val="both"/>
        <w:rPr>
          <w:rFonts w:ascii="Palatino Linotype" w:hAnsi="Palatino Linotype"/>
          <w:b/>
          <w:bCs/>
          <w:color w:val="000000" w:themeColor="text1"/>
          <w:sz w:val="24"/>
        </w:rPr>
      </w:pPr>
      <w:r w:rsidRPr="003538AC">
        <w:rPr>
          <w:rFonts w:ascii="Palatino Linotype" w:hAnsi="Palatino Linotype"/>
          <w:b/>
          <w:bCs/>
          <w:color w:val="000000" w:themeColor="text1"/>
          <w:sz w:val="24"/>
        </w:rPr>
        <w:t>Conciliación de Nómina del Organismo Público Descentralizado para la Prestación de los Servicios de Agua Potable, Alcantarillado y Saneamiento del Municipio de Tlalnepantla de Baz</w:t>
      </w:r>
      <w:r w:rsidR="005045A9" w:rsidRPr="003538AC">
        <w:rPr>
          <w:rFonts w:ascii="Palatino Linotype" w:hAnsi="Palatino Linotype"/>
          <w:b/>
          <w:bCs/>
          <w:color w:val="000000" w:themeColor="text1"/>
          <w:sz w:val="24"/>
        </w:rPr>
        <w:t>, de la segunda quincena del mes de abril de dos mil veinticinco.</w:t>
      </w:r>
    </w:p>
    <w:p w14:paraId="43666907" w14:textId="77777777" w:rsidR="002F6116" w:rsidRPr="003538AC" w:rsidRDefault="002F6116" w:rsidP="00E23F8A">
      <w:pPr>
        <w:pStyle w:val="Prrafodelista"/>
        <w:ind w:left="1571"/>
        <w:jc w:val="both"/>
        <w:rPr>
          <w:rFonts w:ascii="Palatino Linotype" w:hAnsi="Palatino Linotype"/>
          <w:b/>
          <w:bCs/>
          <w:color w:val="000000" w:themeColor="text1"/>
          <w:sz w:val="24"/>
        </w:rPr>
      </w:pPr>
    </w:p>
    <w:p w14:paraId="11F5911F" w14:textId="77777777" w:rsidR="00C9242C" w:rsidRPr="003538AC" w:rsidRDefault="00C9242C" w:rsidP="00E23F8A">
      <w:pPr>
        <w:spacing w:line="360" w:lineRule="auto"/>
        <w:jc w:val="both"/>
        <w:rPr>
          <w:rFonts w:ascii="Palatino Linotype" w:eastAsia="Calibri" w:hAnsi="Palatino Linotype" w:cs="Arial"/>
          <w:color w:val="000000" w:themeColor="text1"/>
        </w:rPr>
      </w:pPr>
      <w:r w:rsidRPr="003538AC">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CD1DA4" w14:textId="77777777" w:rsidR="00C9242C" w:rsidRPr="003538AC" w:rsidRDefault="00C9242C" w:rsidP="00E23F8A">
      <w:pPr>
        <w:tabs>
          <w:tab w:val="left" w:pos="8080"/>
        </w:tabs>
        <w:spacing w:line="360" w:lineRule="auto"/>
        <w:contextualSpacing/>
        <w:jc w:val="both"/>
        <w:rPr>
          <w:rFonts w:ascii="Palatino Linotype" w:eastAsia="Palatino Linotype" w:hAnsi="Palatino Linotype" w:cs="Palatino Linotype"/>
          <w:b/>
          <w:color w:val="000000" w:themeColor="text1"/>
        </w:rPr>
      </w:pPr>
    </w:p>
    <w:p w14:paraId="1D88F0FA" w14:textId="77777777" w:rsidR="00841865" w:rsidRPr="003538AC" w:rsidRDefault="00841865" w:rsidP="00E23F8A">
      <w:pPr>
        <w:tabs>
          <w:tab w:val="left" w:pos="8080"/>
        </w:tabs>
        <w:spacing w:line="360" w:lineRule="auto"/>
        <w:contextualSpacing/>
        <w:jc w:val="both"/>
        <w:rPr>
          <w:rFonts w:ascii="Palatino Linotype" w:hAnsi="Palatino Linotype"/>
          <w:color w:val="000000" w:themeColor="text1"/>
          <w:shd w:val="clear" w:color="auto" w:fill="FFFFFF"/>
        </w:rPr>
      </w:pPr>
      <w:r w:rsidRPr="003538AC">
        <w:rPr>
          <w:rFonts w:ascii="Palatino Linotype" w:eastAsia="Palatino Linotype" w:hAnsi="Palatino Linotype" w:cs="Palatino Linotype"/>
          <w:b/>
          <w:color w:val="000000" w:themeColor="text1"/>
        </w:rPr>
        <w:lastRenderedPageBreak/>
        <w:t xml:space="preserve">TERCERO. Notifíquese </w:t>
      </w:r>
      <w:r w:rsidRPr="003538AC">
        <w:rPr>
          <w:rFonts w:ascii="Palatino Linotype" w:eastAsia="Palatino Linotype" w:hAnsi="Palatino Linotype" w:cs="Palatino Linotype"/>
          <w:color w:val="000000" w:themeColor="text1"/>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3538AC">
        <w:rPr>
          <w:rFonts w:ascii="Palatino Linotype" w:eastAsia="Palatino Linotype" w:hAnsi="Palatino Linotype" w:cs="Palatino Linotype"/>
          <w:b/>
          <w:color w:val="000000" w:themeColor="text1"/>
        </w:rPr>
        <w:t>dé cumplimiento a lo ordenado dentro del plazo de diez días hábiles</w:t>
      </w:r>
      <w:r w:rsidRPr="003538AC">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3538AC" w:rsidRDefault="00841865" w:rsidP="00E23F8A">
      <w:pPr>
        <w:tabs>
          <w:tab w:val="left" w:pos="8080"/>
        </w:tabs>
        <w:spacing w:line="360" w:lineRule="auto"/>
        <w:contextualSpacing/>
        <w:jc w:val="both"/>
        <w:rPr>
          <w:rFonts w:ascii="Palatino Linotype" w:hAnsi="Palatino Linotype"/>
          <w:color w:val="000000" w:themeColor="text1"/>
          <w:shd w:val="clear" w:color="auto" w:fill="FFFFFF"/>
        </w:rPr>
      </w:pPr>
    </w:p>
    <w:p w14:paraId="4A475001" w14:textId="77777777" w:rsidR="00841865" w:rsidRPr="003538AC" w:rsidRDefault="00841865" w:rsidP="00E23F8A">
      <w:pPr>
        <w:shd w:val="clear" w:color="auto" w:fill="FFFFFF"/>
        <w:spacing w:line="360" w:lineRule="auto"/>
        <w:jc w:val="both"/>
        <w:rPr>
          <w:rFonts w:ascii="Palatino Linotype" w:hAnsi="Palatino Linotype"/>
          <w:color w:val="000000" w:themeColor="text1"/>
        </w:rPr>
      </w:pPr>
      <w:r w:rsidRPr="003538AC">
        <w:rPr>
          <w:rFonts w:ascii="Palatino Linotype" w:hAnsi="Palatino Linotype" w:cs="Arial"/>
          <w:b/>
          <w:color w:val="000000" w:themeColor="text1"/>
        </w:rPr>
        <w:t xml:space="preserve">CUARTO. </w:t>
      </w:r>
      <w:r w:rsidRPr="003538AC">
        <w:rPr>
          <w:rFonts w:ascii="Palatino Linotype" w:hAnsi="Palatino Linotype"/>
          <w:b/>
          <w:bCs/>
          <w:color w:val="000000" w:themeColor="text1"/>
          <w:lang w:val="es-ES"/>
        </w:rPr>
        <w:t>Notifíquese al RECURRENTE</w:t>
      </w:r>
      <w:r w:rsidRPr="003538AC">
        <w:rPr>
          <w:rFonts w:ascii="Palatino Linotype" w:hAnsi="Palatino Linotype"/>
          <w:color w:val="000000" w:themeColor="text1"/>
        </w:rPr>
        <w:t xml:space="preserve"> la presente resolución vía SAIMEX.</w:t>
      </w:r>
    </w:p>
    <w:p w14:paraId="2CD502DE" w14:textId="77777777" w:rsidR="00841865" w:rsidRPr="003538AC" w:rsidRDefault="00841865" w:rsidP="00E23F8A">
      <w:pPr>
        <w:shd w:val="clear" w:color="auto" w:fill="FFFFFF"/>
        <w:spacing w:line="360" w:lineRule="auto"/>
        <w:jc w:val="both"/>
        <w:rPr>
          <w:rFonts w:ascii="Palatino Linotype" w:hAnsi="Palatino Linotype"/>
          <w:b/>
          <w:color w:val="000000" w:themeColor="text1"/>
        </w:rPr>
      </w:pPr>
    </w:p>
    <w:p w14:paraId="02DBC396" w14:textId="77777777" w:rsidR="00841865" w:rsidRPr="003538AC" w:rsidRDefault="00841865" w:rsidP="00E23F8A">
      <w:pPr>
        <w:spacing w:line="360" w:lineRule="auto"/>
        <w:jc w:val="both"/>
        <w:rPr>
          <w:rFonts w:ascii="Palatino Linotype" w:eastAsia="MS Mincho" w:hAnsi="Palatino Linotype"/>
          <w:color w:val="000000" w:themeColor="text1"/>
          <w:lang w:val="es-ES"/>
        </w:rPr>
      </w:pPr>
      <w:r w:rsidRPr="003538AC">
        <w:rPr>
          <w:rFonts w:ascii="Palatino Linotype" w:eastAsia="MS Mincho" w:hAnsi="Palatino Linotype"/>
          <w:b/>
          <w:color w:val="000000" w:themeColor="text1"/>
        </w:rPr>
        <w:t>QUINTO.</w:t>
      </w:r>
      <w:r w:rsidRPr="003538AC">
        <w:rPr>
          <w:rFonts w:ascii="Palatino Linotype" w:eastAsia="MS Mincho" w:hAnsi="Palatino Linotype"/>
          <w:color w:val="000000" w:themeColor="text1"/>
        </w:rPr>
        <w:t xml:space="preserve"> </w:t>
      </w:r>
      <w:r w:rsidRPr="003538AC">
        <w:rPr>
          <w:rFonts w:ascii="Palatino Linotype" w:eastAsia="MS Mincho" w:hAnsi="Palatino Linotype"/>
          <w:color w:val="000000" w:themeColor="text1"/>
          <w:lang w:val="es-ES"/>
        </w:rPr>
        <w:t xml:space="preserve">Se hace del conocimiento del </w:t>
      </w:r>
      <w:r w:rsidRPr="003538AC">
        <w:rPr>
          <w:rFonts w:ascii="Palatino Linotype" w:hAnsi="Palatino Linotype"/>
          <w:b/>
          <w:color w:val="000000" w:themeColor="text1"/>
        </w:rPr>
        <w:t>RECURRENTE</w:t>
      </w:r>
      <w:r w:rsidRPr="003538AC">
        <w:rPr>
          <w:rFonts w:ascii="Palatino Linotype" w:hAnsi="Palatino Linotype"/>
          <w:color w:val="000000" w:themeColor="text1"/>
        </w:rPr>
        <w:t xml:space="preserve"> </w:t>
      </w:r>
      <w:r w:rsidRPr="003538AC">
        <w:rPr>
          <w:rFonts w:ascii="Palatino Linotype" w:eastAsia="MS Mincho" w:hAnsi="Palatino Linotype"/>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538AC">
        <w:rPr>
          <w:rFonts w:ascii="Palatino Linotype" w:eastAsia="MS Mincho" w:hAnsi="Palatino Linotype"/>
          <w:bCs/>
          <w:color w:val="000000" w:themeColor="text1"/>
          <w:lang w:val="es-ES"/>
        </w:rPr>
        <w:t>vía juicio de amparo</w:t>
      </w:r>
      <w:r w:rsidRPr="003538AC">
        <w:rPr>
          <w:rFonts w:ascii="Palatino Linotype" w:eastAsia="MS Mincho" w:hAnsi="Palatino Linotype"/>
          <w:color w:val="000000" w:themeColor="text1"/>
          <w:lang w:val="es-ES"/>
        </w:rPr>
        <w:t> en los términos de las leyes aplicables.</w:t>
      </w:r>
    </w:p>
    <w:p w14:paraId="43EB092A" w14:textId="77777777" w:rsidR="00841865" w:rsidRPr="003538AC" w:rsidRDefault="00841865" w:rsidP="00E23F8A">
      <w:pPr>
        <w:spacing w:line="360" w:lineRule="auto"/>
        <w:jc w:val="both"/>
        <w:rPr>
          <w:rFonts w:ascii="Palatino Linotype" w:hAnsi="Palatino Linotype"/>
          <w:color w:val="000000" w:themeColor="text1"/>
          <w:shd w:val="clear" w:color="auto" w:fill="FFFFFF"/>
        </w:rPr>
      </w:pPr>
    </w:p>
    <w:p w14:paraId="2ACB6887" w14:textId="77777777" w:rsidR="00841865" w:rsidRPr="003538AC" w:rsidRDefault="00841865" w:rsidP="00E23F8A">
      <w:pPr>
        <w:spacing w:line="360" w:lineRule="auto"/>
        <w:jc w:val="both"/>
        <w:rPr>
          <w:rFonts w:ascii="Palatino Linotype" w:eastAsia="Calibri" w:hAnsi="Palatino Linotype" w:cs="Arial"/>
          <w:bCs/>
          <w:color w:val="000000" w:themeColor="text1"/>
        </w:rPr>
      </w:pPr>
      <w:r w:rsidRPr="003538AC">
        <w:rPr>
          <w:rFonts w:ascii="Palatino Linotype" w:hAnsi="Palatino Linotype"/>
          <w:b/>
          <w:color w:val="000000" w:themeColor="text1"/>
          <w:shd w:val="clear" w:color="auto" w:fill="FFFFFF"/>
        </w:rPr>
        <w:t xml:space="preserve">SEXTO. </w:t>
      </w:r>
      <w:r w:rsidRPr="003538AC">
        <w:rPr>
          <w:rFonts w:ascii="Palatino Linotype" w:eastAsia="Calibri" w:hAnsi="Palatino Linotype" w:cs="Arial"/>
          <w:bCs/>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5CC79" w14:textId="77777777" w:rsidR="00841865" w:rsidRPr="003538AC" w:rsidRDefault="00841865" w:rsidP="00E23F8A">
      <w:pPr>
        <w:shd w:val="clear" w:color="auto" w:fill="FFFFFF"/>
        <w:spacing w:line="360" w:lineRule="auto"/>
        <w:jc w:val="both"/>
        <w:rPr>
          <w:rFonts w:ascii="Palatino Linotype" w:hAnsi="Palatino Linotype"/>
          <w:color w:val="000000" w:themeColor="text1"/>
          <w:lang w:val="es-ES"/>
        </w:rPr>
      </w:pPr>
    </w:p>
    <w:p w14:paraId="02B11699" w14:textId="0E5D76DB" w:rsidR="00880A11" w:rsidRPr="009B0452" w:rsidRDefault="003538AC" w:rsidP="00880A11">
      <w:pPr>
        <w:spacing w:line="360" w:lineRule="auto"/>
        <w:ind w:right="49"/>
        <w:jc w:val="both"/>
        <w:rPr>
          <w:rFonts w:ascii="Palatino Linotype" w:eastAsia="Palatino Linotype" w:hAnsi="Palatino Linotype" w:cs="Palatino Linotype"/>
        </w:rPr>
      </w:pPr>
      <w:r w:rsidRPr="003538AC">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(13) DE AGOSTO DE DOS MIL VEINTICINCO, ANTE EL SECRETARIO TÉCNICO DEL PLENO ALEXIS TAPIA RAMÍREZ</w:t>
      </w:r>
      <w:r w:rsidR="00880A11" w:rsidRPr="003538AC">
        <w:rPr>
          <w:rFonts w:ascii="Palatino Linotype" w:eastAsia="Palatino Linotype" w:hAnsi="Palatino Linotype" w:cs="Palatino Linotype"/>
        </w:rPr>
        <w:t>.</w:t>
      </w:r>
    </w:p>
    <w:p w14:paraId="2ED33E44" w14:textId="77777777" w:rsidR="00841865" w:rsidRPr="00E23F8A" w:rsidRDefault="00841865" w:rsidP="00E23F8A">
      <w:pPr>
        <w:spacing w:line="360" w:lineRule="auto"/>
        <w:jc w:val="both"/>
        <w:rPr>
          <w:rFonts w:ascii="Palatino Linotype" w:hAnsi="Palatino Linotype" w:cs="Arial"/>
          <w:color w:val="000000" w:themeColor="text1"/>
        </w:rPr>
      </w:pPr>
    </w:p>
    <w:p w14:paraId="79087F9B" w14:textId="77777777" w:rsidR="00841865" w:rsidRPr="00E23F8A" w:rsidRDefault="00841865" w:rsidP="00E23F8A">
      <w:pPr>
        <w:spacing w:line="360" w:lineRule="auto"/>
        <w:jc w:val="both"/>
        <w:rPr>
          <w:rFonts w:ascii="Palatino Linotype" w:hAnsi="Palatino Linotype" w:cs="Arial"/>
          <w:color w:val="000000" w:themeColor="text1"/>
        </w:rPr>
      </w:pPr>
    </w:p>
    <w:p w14:paraId="56145365" w14:textId="77777777" w:rsidR="00841865" w:rsidRPr="00E23F8A" w:rsidRDefault="00841865" w:rsidP="00E23F8A">
      <w:pPr>
        <w:spacing w:line="360" w:lineRule="auto"/>
        <w:rPr>
          <w:rFonts w:ascii="Palatino Linotype" w:hAnsi="Palatino Linotype"/>
          <w:color w:val="000000" w:themeColor="text1"/>
        </w:rPr>
      </w:pPr>
    </w:p>
    <w:p w14:paraId="64D02DB8" w14:textId="77777777" w:rsidR="00841865" w:rsidRPr="00E23F8A" w:rsidRDefault="00841865" w:rsidP="00E23F8A">
      <w:pPr>
        <w:spacing w:line="360" w:lineRule="auto"/>
        <w:rPr>
          <w:rFonts w:ascii="Palatino Linotype" w:hAnsi="Palatino Linotype"/>
          <w:color w:val="000000" w:themeColor="text1"/>
        </w:rPr>
      </w:pPr>
    </w:p>
    <w:p w14:paraId="2176D87E" w14:textId="77777777" w:rsidR="00841865" w:rsidRPr="00E23F8A" w:rsidRDefault="00841865" w:rsidP="00E23F8A">
      <w:pPr>
        <w:spacing w:line="360" w:lineRule="auto"/>
        <w:rPr>
          <w:rFonts w:ascii="Palatino Linotype" w:hAnsi="Palatino Linotype"/>
          <w:color w:val="000000" w:themeColor="text1"/>
        </w:rPr>
      </w:pPr>
    </w:p>
    <w:p w14:paraId="675C1BC8" w14:textId="77777777" w:rsidR="00841865" w:rsidRPr="00E23F8A" w:rsidRDefault="00841865" w:rsidP="00E23F8A">
      <w:pPr>
        <w:spacing w:line="360" w:lineRule="auto"/>
        <w:rPr>
          <w:rFonts w:ascii="Palatino Linotype" w:hAnsi="Palatino Linotype"/>
          <w:color w:val="000000" w:themeColor="text1"/>
        </w:rPr>
      </w:pPr>
    </w:p>
    <w:p w14:paraId="53A2C8D5" w14:textId="77777777" w:rsidR="00841865" w:rsidRPr="00E23F8A" w:rsidRDefault="00841865" w:rsidP="00E23F8A">
      <w:pPr>
        <w:spacing w:line="360" w:lineRule="auto"/>
        <w:rPr>
          <w:rFonts w:ascii="Palatino Linotype" w:hAnsi="Palatino Linotype"/>
          <w:color w:val="000000" w:themeColor="text1"/>
        </w:rPr>
      </w:pPr>
    </w:p>
    <w:p w14:paraId="26FF72EA" w14:textId="77777777" w:rsidR="003F55CB" w:rsidRPr="00E23F8A" w:rsidRDefault="003F55CB" w:rsidP="00E23F8A">
      <w:pPr>
        <w:spacing w:line="360" w:lineRule="auto"/>
        <w:rPr>
          <w:rFonts w:ascii="Palatino Linotype" w:hAnsi="Palatino Linotype"/>
          <w:color w:val="000000" w:themeColor="text1"/>
        </w:rPr>
      </w:pPr>
    </w:p>
    <w:p w14:paraId="30E84530" w14:textId="77777777" w:rsidR="003F55CB" w:rsidRPr="00E23F8A" w:rsidRDefault="003F55CB" w:rsidP="00E23F8A">
      <w:pPr>
        <w:spacing w:line="360" w:lineRule="auto"/>
        <w:rPr>
          <w:rFonts w:ascii="Palatino Linotype" w:hAnsi="Palatino Linotype"/>
          <w:color w:val="000000" w:themeColor="text1"/>
        </w:rPr>
      </w:pPr>
    </w:p>
    <w:p w14:paraId="59B31588" w14:textId="77777777" w:rsidR="003F55CB" w:rsidRPr="00E23F8A" w:rsidRDefault="003F55CB" w:rsidP="00E23F8A">
      <w:pPr>
        <w:spacing w:line="360" w:lineRule="auto"/>
        <w:rPr>
          <w:rFonts w:ascii="Palatino Linotype" w:hAnsi="Palatino Linotype"/>
          <w:color w:val="000000" w:themeColor="text1"/>
        </w:rPr>
      </w:pPr>
    </w:p>
    <w:p w14:paraId="464DED1B" w14:textId="77777777" w:rsidR="003F55CB" w:rsidRPr="00E23F8A" w:rsidRDefault="003F55CB" w:rsidP="00E23F8A">
      <w:pPr>
        <w:spacing w:line="360" w:lineRule="auto"/>
        <w:rPr>
          <w:rFonts w:ascii="Palatino Linotype" w:hAnsi="Palatino Linotype"/>
          <w:color w:val="000000" w:themeColor="text1"/>
        </w:rPr>
      </w:pPr>
    </w:p>
    <w:p w14:paraId="368DF176" w14:textId="77777777" w:rsidR="003F55CB" w:rsidRPr="00E23F8A" w:rsidRDefault="003F55CB" w:rsidP="00E23F8A">
      <w:pPr>
        <w:spacing w:line="360" w:lineRule="auto"/>
        <w:rPr>
          <w:rFonts w:ascii="Palatino Linotype" w:hAnsi="Palatino Linotype"/>
          <w:color w:val="000000" w:themeColor="text1"/>
        </w:rPr>
      </w:pPr>
    </w:p>
    <w:p w14:paraId="7E750EBC" w14:textId="77777777" w:rsidR="00841865" w:rsidRPr="00E23F8A" w:rsidRDefault="00841865" w:rsidP="00E23F8A">
      <w:pPr>
        <w:rPr>
          <w:rFonts w:ascii="Palatino Linotype" w:hAnsi="Palatino Linotype"/>
          <w:color w:val="000000" w:themeColor="text1"/>
        </w:rPr>
      </w:pPr>
    </w:p>
    <w:p w14:paraId="6BC33E73" w14:textId="77777777" w:rsidR="00841865" w:rsidRPr="00E23F8A" w:rsidRDefault="00841865" w:rsidP="00E23F8A">
      <w:pPr>
        <w:rPr>
          <w:rFonts w:ascii="Palatino Linotype" w:hAnsi="Palatino Linotype"/>
          <w:color w:val="000000" w:themeColor="text1"/>
        </w:rPr>
      </w:pPr>
    </w:p>
    <w:p w14:paraId="3C3FC13B" w14:textId="77777777" w:rsidR="00841865" w:rsidRPr="00E23F8A" w:rsidRDefault="00841865" w:rsidP="00E23F8A">
      <w:pPr>
        <w:rPr>
          <w:rFonts w:ascii="Palatino Linotype" w:hAnsi="Palatino Linotype"/>
          <w:color w:val="000000" w:themeColor="text1"/>
        </w:rPr>
      </w:pPr>
    </w:p>
    <w:p w14:paraId="74E4CD39" w14:textId="77777777" w:rsidR="00841865" w:rsidRPr="00E23F8A" w:rsidRDefault="00841865" w:rsidP="00E23F8A">
      <w:pPr>
        <w:rPr>
          <w:rFonts w:ascii="Palatino Linotype" w:hAnsi="Palatino Linotype"/>
          <w:color w:val="000000" w:themeColor="text1"/>
        </w:rPr>
      </w:pPr>
    </w:p>
    <w:p w14:paraId="08A1E6EA" w14:textId="77777777" w:rsidR="00841865" w:rsidRPr="00E23F8A" w:rsidRDefault="00841865" w:rsidP="00E23F8A">
      <w:pPr>
        <w:rPr>
          <w:rFonts w:ascii="Palatino Linotype" w:hAnsi="Palatino Linotype"/>
          <w:color w:val="000000" w:themeColor="text1"/>
        </w:rPr>
      </w:pPr>
    </w:p>
    <w:p w14:paraId="4624655E" w14:textId="77777777" w:rsidR="00841865" w:rsidRPr="00E23F8A" w:rsidRDefault="00841865" w:rsidP="00E23F8A">
      <w:pPr>
        <w:rPr>
          <w:rFonts w:ascii="Palatino Linotype" w:hAnsi="Palatino Linotype"/>
          <w:color w:val="000000" w:themeColor="text1"/>
        </w:rPr>
      </w:pPr>
    </w:p>
    <w:p w14:paraId="7D519020" w14:textId="77777777" w:rsidR="00841865" w:rsidRPr="00E23F8A" w:rsidRDefault="00841865" w:rsidP="00E23F8A">
      <w:pPr>
        <w:rPr>
          <w:rFonts w:ascii="Palatino Linotype" w:hAnsi="Palatino Linotype"/>
          <w:color w:val="000000" w:themeColor="text1"/>
        </w:rPr>
      </w:pPr>
    </w:p>
    <w:sectPr w:rsidR="00841865" w:rsidRPr="00E23F8A" w:rsidSect="00B158E2">
      <w:headerReference w:type="even" r:id="rId19"/>
      <w:headerReference w:type="default" r:id="rId20"/>
      <w:footerReference w:type="default" r:id="rId21"/>
      <w:headerReference w:type="first" r:id="rId22"/>
      <w:footerReference w:type="first" r:id="rId23"/>
      <w:pgSz w:w="12240" w:h="15840"/>
      <w:pgMar w:top="80" w:right="616"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83DE4" w14:textId="77777777" w:rsidR="00746FF4" w:rsidRDefault="00746FF4" w:rsidP="00841865">
      <w:r>
        <w:separator/>
      </w:r>
    </w:p>
  </w:endnote>
  <w:endnote w:type="continuationSeparator" w:id="0">
    <w:p w14:paraId="6C433DDC" w14:textId="77777777" w:rsidR="00746FF4" w:rsidRDefault="00746FF4"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B158E2" w:rsidRDefault="00B158E2">
    <w:pPr>
      <w:pStyle w:val="Piedepgina"/>
      <w:jc w:val="right"/>
    </w:pPr>
    <w:r>
      <w:rPr>
        <w:lang w:val="es-ES"/>
      </w:rPr>
      <w:t xml:space="preserve">Página </w:t>
    </w:r>
    <w:r>
      <w:rPr>
        <w:b/>
        <w:bCs/>
      </w:rPr>
      <w:fldChar w:fldCharType="begin"/>
    </w:r>
    <w:r>
      <w:rPr>
        <w:b/>
        <w:bCs/>
      </w:rPr>
      <w:instrText>PAGE</w:instrText>
    </w:r>
    <w:r>
      <w:rPr>
        <w:b/>
        <w:bCs/>
      </w:rPr>
      <w:fldChar w:fldCharType="separate"/>
    </w:r>
    <w:r w:rsidR="00C12401">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12401">
      <w:rPr>
        <w:b/>
        <w:bCs/>
        <w:noProof/>
      </w:rPr>
      <w:t>55</w:t>
    </w:r>
    <w:r>
      <w:rPr>
        <w:b/>
        <w:bCs/>
      </w:rPr>
      <w:fldChar w:fldCharType="end"/>
    </w:r>
  </w:p>
  <w:p w14:paraId="2D38D962" w14:textId="77777777" w:rsidR="00B158E2" w:rsidRDefault="00B158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B158E2" w:rsidRDefault="00B158E2">
    <w:pPr>
      <w:pStyle w:val="Piedepgina"/>
      <w:jc w:val="right"/>
    </w:pPr>
    <w:r>
      <w:rPr>
        <w:lang w:val="es-ES"/>
      </w:rPr>
      <w:t xml:space="preserve">Página </w:t>
    </w:r>
    <w:r>
      <w:rPr>
        <w:b/>
        <w:bCs/>
      </w:rPr>
      <w:fldChar w:fldCharType="begin"/>
    </w:r>
    <w:r>
      <w:rPr>
        <w:b/>
        <w:bCs/>
      </w:rPr>
      <w:instrText>PAGE</w:instrText>
    </w:r>
    <w:r>
      <w:rPr>
        <w:b/>
        <w:bCs/>
      </w:rPr>
      <w:fldChar w:fldCharType="separate"/>
    </w:r>
    <w:r w:rsidR="00C1240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12401">
      <w:rPr>
        <w:b/>
        <w:bCs/>
        <w:noProof/>
      </w:rPr>
      <w:t>55</w:t>
    </w:r>
    <w:r>
      <w:rPr>
        <w:b/>
        <w:bCs/>
      </w:rPr>
      <w:fldChar w:fldCharType="end"/>
    </w:r>
  </w:p>
  <w:p w14:paraId="065796E6" w14:textId="77777777" w:rsidR="00B158E2" w:rsidRDefault="00B158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2A213" w14:textId="77777777" w:rsidR="00746FF4" w:rsidRDefault="00746FF4" w:rsidP="00841865">
      <w:r>
        <w:separator/>
      </w:r>
    </w:p>
  </w:footnote>
  <w:footnote w:type="continuationSeparator" w:id="0">
    <w:p w14:paraId="690043A9" w14:textId="77777777" w:rsidR="00746FF4" w:rsidRDefault="00746FF4" w:rsidP="00841865">
      <w:r>
        <w:continuationSeparator/>
      </w:r>
    </w:p>
  </w:footnote>
  <w:footnote w:id="1">
    <w:p w14:paraId="7AA8C883" w14:textId="77777777" w:rsidR="00B158E2" w:rsidRDefault="00B158E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B158E2" w:rsidRDefault="00B158E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B158E2" w:rsidRDefault="00B158E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B158E2" w:rsidRDefault="00B158E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7D70EFAE" w14:textId="77777777" w:rsidR="00B158E2" w:rsidRDefault="00B158E2" w:rsidP="00D66728">
      <w:pPr>
        <w:pStyle w:val="Textonotapie"/>
      </w:pPr>
      <w:r>
        <w:rPr>
          <w:rStyle w:val="Refdenotaalpie"/>
        </w:rPr>
        <w:footnoteRef/>
      </w:r>
      <w:r>
        <w:t xml:space="preserve"> Artículo 150. Ley de Transparencia y Acceso a la Información Pública del Estado de México y Municipios.</w:t>
      </w:r>
    </w:p>
    <w:p w14:paraId="70A7DE3E" w14:textId="77777777" w:rsidR="00B158E2" w:rsidRDefault="00B158E2" w:rsidP="00D66728">
      <w:pPr>
        <w:pStyle w:val="Textonotapie"/>
      </w:pPr>
      <w:r>
        <w:t>Artículo 151. Ibídem.</w:t>
      </w:r>
    </w:p>
  </w:footnote>
  <w:footnote w:id="6">
    <w:p w14:paraId="7305F06C" w14:textId="77777777" w:rsidR="00B158E2" w:rsidRDefault="00B158E2" w:rsidP="00D66728">
      <w:pPr>
        <w:pStyle w:val="Textonotapie"/>
      </w:pPr>
      <w:r>
        <w:rPr>
          <w:rStyle w:val="Refdenotaalpie"/>
        </w:rPr>
        <w:footnoteRef/>
      </w:r>
      <w:r>
        <w:t xml:space="preserve"> Fracción IV. Artículo 53. Ibídem.</w:t>
      </w:r>
    </w:p>
  </w:footnote>
  <w:footnote w:id="7">
    <w:p w14:paraId="57AE6504" w14:textId="77777777" w:rsidR="00B158E2" w:rsidRDefault="00B158E2" w:rsidP="00697E4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8">
    <w:p w14:paraId="45E561D6" w14:textId="77777777" w:rsidR="00B158E2" w:rsidRDefault="00B158E2" w:rsidP="00370EF2">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0BE7194D" w14:textId="77777777" w:rsidR="00B158E2" w:rsidRDefault="00B158E2" w:rsidP="00370EF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B158E2" w:rsidRDefault="00746FF4">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ayout w:type="fixed"/>
      <w:tblLook w:val="04A0" w:firstRow="1" w:lastRow="0" w:firstColumn="1" w:lastColumn="0" w:noHBand="0" w:noVBand="1"/>
    </w:tblPr>
    <w:tblGrid>
      <w:gridCol w:w="2268"/>
      <w:gridCol w:w="7938"/>
    </w:tblGrid>
    <w:tr w:rsidR="00B158E2" w:rsidRPr="005C106F" w14:paraId="30A3F043" w14:textId="77777777" w:rsidTr="00E23F8A">
      <w:trPr>
        <w:trHeight w:val="1435"/>
      </w:trPr>
      <w:tc>
        <w:tcPr>
          <w:tcW w:w="2268" w:type="dxa"/>
          <w:shd w:val="clear" w:color="auto" w:fill="auto"/>
        </w:tcPr>
        <w:p w14:paraId="09506D33" w14:textId="77777777" w:rsidR="00B158E2" w:rsidRPr="005C106F" w:rsidRDefault="00B158E2" w:rsidP="00E834B8">
          <w:pPr>
            <w:tabs>
              <w:tab w:val="right" w:pos="4273"/>
            </w:tabs>
            <w:rPr>
              <w:rFonts w:ascii="Garamond" w:eastAsia="Calibri" w:hAnsi="Garamond"/>
              <w:sz w:val="16"/>
              <w:szCs w:val="16"/>
              <w:lang w:eastAsia="en-US"/>
            </w:rPr>
          </w:pPr>
        </w:p>
      </w:tc>
      <w:tc>
        <w:tcPr>
          <w:tcW w:w="7938" w:type="dxa"/>
          <w:shd w:val="clear" w:color="auto" w:fill="auto"/>
        </w:tcPr>
        <w:tbl>
          <w:tblPr>
            <w:tblW w:w="7507" w:type="dxa"/>
            <w:tblInd w:w="176" w:type="dxa"/>
            <w:tblLayout w:type="fixed"/>
            <w:tblLook w:val="0420" w:firstRow="1" w:lastRow="0" w:firstColumn="0" w:lastColumn="0" w:noHBand="0" w:noVBand="1"/>
          </w:tblPr>
          <w:tblGrid>
            <w:gridCol w:w="2687"/>
            <w:gridCol w:w="4820"/>
          </w:tblGrid>
          <w:tr w:rsidR="00B158E2" w14:paraId="0217B1B2" w14:textId="77777777" w:rsidTr="00B158E2">
            <w:trPr>
              <w:trHeight w:val="150"/>
            </w:trPr>
            <w:tc>
              <w:tcPr>
                <w:tcW w:w="2687" w:type="dxa"/>
                <w:shd w:val="clear" w:color="auto" w:fill="auto"/>
              </w:tcPr>
              <w:p w14:paraId="7AA0DF36" w14:textId="77777777" w:rsidR="00B158E2" w:rsidRPr="00E23F8A" w:rsidRDefault="00B158E2" w:rsidP="00E23F8A">
                <w:pPr>
                  <w:tabs>
                    <w:tab w:val="right" w:pos="8838"/>
                  </w:tabs>
                  <w:ind w:right="-105"/>
                  <w:rPr>
                    <w:rFonts w:ascii="Palatino Linotype" w:eastAsia="Calibri" w:hAnsi="Palatino Linotype" w:cs="Tahoma"/>
                    <w:b/>
                    <w:lang w:val="es-ES" w:eastAsia="en-US"/>
                  </w:rPr>
                </w:pPr>
                <w:r w:rsidRPr="00E23F8A">
                  <w:rPr>
                    <w:rFonts w:ascii="Palatino Linotype" w:eastAsia="Calibri" w:hAnsi="Palatino Linotype" w:cs="Tahoma"/>
                    <w:b/>
                    <w:lang w:val="es-ES" w:eastAsia="en-US"/>
                  </w:rPr>
                  <w:t>Recurso de Revisión:</w:t>
                </w:r>
              </w:p>
            </w:tc>
            <w:tc>
              <w:tcPr>
                <w:tcW w:w="4820" w:type="dxa"/>
                <w:shd w:val="clear" w:color="auto" w:fill="auto"/>
              </w:tcPr>
              <w:p w14:paraId="08A020D1" w14:textId="68E1DE3A" w:rsidR="00B158E2" w:rsidRPr="00E23F8A" w:rsidRDefault="00B158E2" w:rsidP="00B158E2">
                <w:pPr>
                  <w:tabs>
                    <w:tab w:val="right" w:pos="8838"/>
                  </w:tabs>
                  <w:ind w:left="-108" w:right="-102"/>
                  <w:rPr>
                    <w:rFonts w:ascii="Palatino Linotype" w:eastAsia="Calibri" w:hAnsi="Palatino Linotype" w:cs="Tahoma"/>
                    <w:bCs/>
                    <w:lang w:val="es-ES" w:eastAsia="en-US"/>
                  </w:rPr>
                </w:pPr>
                <w:r w:rsidRPr="00E23F8A">
                  <w:rPr>
                    <w:rFonts w:ascii="Palatino Linotype" w:eastAsia="Calibri" w:hAnsi="Palatino Linotype" w:cs="Tahoma"/>
                    <w:bCs/>
                    <w:lang w:eastAsia="en-US"/>
                  </w:rPr>
                  <w:t>06103/INFOEM/IP/RR/2025</w:t>
                </w:r>
              </w:p>
            </w:tc>
          </w:tr>
          <w:tr w:rsidR="00B158E2" w14:paraId="1EA466DF" w14:textId="77777777" w:rsidTr="00B158E2">
            <w:trPr>
              <w:trHeight w:val="295"/>
            </w:trPr>
            <w:tc>
              <w:tcPr>
                <w:tcW w:w="2687" w:type="dxa"/>
                <w:shd w:val="clear" w:color="auto" w:fill="auto"/>
              </w:tcPr>
              <w:p w14:paraId="62089CE1" w14:textId="77777777" w:rsidR="00B158E2" w:rsidRPr="00E23F8A" w:rsidRDefault="00B158E2" w:rsidP="00E23F8A">
                <w:pPr>
                  <w:tabs>
                    <w:tab w:val="right" w:pos="8838"/>
                  </w:tabs>
                  <w:ind w:right="-105"/>
                  <w:rPr>
                    <w:rFonts w:ascii="Palatino Linotype" w:eastAsia="Calibri" w:hAnsi="Palatino Linotype" w:cs="Tahoma"/>
                    <w:b/>
                    <w:lang w:val="es-ES" w:eastAsia="en-US"/>
                  </w:rPr>
                </w:pPr>
                <w:r w:rsidRPr="00E23F8A">
                  <w:rPr>
                    <w:rFonts w:ascii="Palatino Linotype" w:eastAsia="Calibri" w:hAnsi="Palatino Linotype" w:cs="Tahoma"/>
                    <w:b/>
                    <w:lang w:val="es-ES" w:eastAsia="en-US"/>
                  </w:rPr>
                  <w:t>Sujeto Obligado:</w:t>
                </w:r>
              </w:p>
            </w:tc>
            <w:tc>
              <w:tcPr>
                <w:tcW w:w="4820" w:type="dxa"/>
                <w:shd w:val="clear" w:color="auto" w:fill="auto"/>
              </w:tcPr>
              <w:p w14:paraId="7F774BD0" w14:textId="6957E66B" w:rsidR="00B158E2" w:rsidRPr="00E23F8A" w:rsidRDefault="00B158E2" w:rsidP="00B158E2">
                <w:pPr>
                  <w:tabs>
                    <w:tab w:val="left" w:pos="2834"/>
                    <w:tab w:val="right" w:pos="8838"/>
                  </w:tabs>
                  <w:ind w:left="-108" w:right="-102"/>
                  <w:rPr>
                    <w:rFonts w:ascii="Palatino Linotype" w:eastAsia="Calibri" w:hAnsi="Palatino Linotype" w:cs="Tahoma"/>
                    <w:lang w:val="es-ES" w:eastAsia="en-US"/>
                  </w:rPr>
                </w:pPr>
                <w:r w:rsidRPr="00E23F8A">
                  <w:rPr>
                    <w:rFonts w:ascii="Palatino Linotype" w:eastAsia="Calibri" w:hAnsi="Palatino Linotype" w:cs="Tahoma"/>
                    <w:bCs/>
                    <w:lang w:eastAsia="en-US"/>
                  </w:rPr>
                  <w:t>Organismo Público Descentralizado para la Prestación de los Servicios de Agua Potable Alcantarillado y Saneamiento del Municipio de Tlalnepantla de Baz</w:t>
                </w:r>
              </w:p>
            </w:tc>
          </w:tr>
          <w:tr w:rsidR="00B158E2" w14:paraId="10A4E5BB" w14:textId="77777777" w:rsidTr="00B158E2">
            <w:trPr>
              <w:trHeight w:val="295"/>
            </w:trPr>
            <w:tc>
              <w:tcPr>
                <w:tcW w:w="2687" w:type="dxa"/>
                <w:shd w:val="clear" w:color="auto" w:fill="auto"/>
              </w:tcPr>
              <w:p w14:paraId="240B39AD" w14:textId="77777777" w:rsidR="00B158E2" w:rsidRPr="00E23F8A" w:rsidRDefault="00B158E2" w:rsidP="00E23F8A">
                <w:pPr>
                  <w:tabs>
                    <w:tab w:val="right" w:pos="8838"/>
                  </w:tabs>
                  <w:ind w:right="-105"/>
                  <w:rPr>
                    <w:rFonts w:ascii="Palatino Linotype" w:eastAsia="Calibri" w:hAnsi="Palatino Linotype" w:cs="Tahoma"/>
                    <w:b/>
                    <w:lang w:val="es-ES" w:eastAsia="en-US"/>
                  </w:rPr>
                </w:pPr>
                <w:r w:rsidRPr="00E23F8A">
                  <w:rPr>
                    <w:rFonts w:ascii="Palatino Linotype" w:eastAsia="Calibri" w:hAnsi="Palatino Linotype" w:cs="Tahoma"/>
                    <w:b/>
                    <w:lang w:val="es-ES" w:eastAsia="en-US"/>
                  </w:rPr>
                  <w:t>Comisionada ponente:</w:t>
                </w:r>
              </w:p>
            </w:tc>
            <w:tc>
              <w:tcPr>
                <w:tcW w:w="4820" w:type="dxa"/>
                <w:shd w:val="clear" w:color="auto" w:fill="auto"/>
              </w:tcPr>
              <w:p w14:paraId="5DB07252" w14:textId="77777777" w:rsidR="00B158E2" w:rsidRPr="00E23F8A" w:rsidRDefault="00B158E2" w:rsidP="00B158E2">
                <w:pPr>
                  <w:tabs>
                    <w:tab w:val="right" w:pos="8838"/>
                  </w:tabs>
                  <w:ind w:left="-108" w:right="171"/>
                  <w:rPr>
                    <w:rFonts w:ascii="Palatino Linotype" w:eastAsia="Calibri" w:hAnsi="Palatino Linotype" w:cs="Tahoma"/>
                    <w:lang w:val="es-ES" w:eastAsia="en-US"/>
                  </w:rPr>
                </w:pPr>
                <w:r w:rsidRPr="00E23F8A">
                  <w:rPr>
                    <w:rFonts w:ascii="Palatino Linotype" w:eastAsia="Calibri" w:hAnsi="Palatino Linotype" w:cs="Tahoma"/>
                    <w:lang w:val="es-ES" w:eastAsia="en-US"/>
                  </w:rPr>
                  <w:t>María del Rosario Mejía Ayala</w:t>
                </w:r>
              </w:p>
              <w:p w14:paraId="551E90C6" w14:textId="77777777" w:rsidR="00B158E2" w:rsidRPr="00E23F8A" w:rsidRDefault="00B158E2" w:rsidP="00B158E2">
                <w:pPr>
                  <w:tabs>
                    <w:tab w:val="right" w:pos="8838"/>
                  </w:tabs>
                  <w:ind w:left="-108" w:right="171"/>
                  <w:rPr>
                    <w:rFonts w:ascii="Palatino Linotype" w:eastAsia="Calibri" w:hAnsi="Palatino Linotype" w:cs="Tahoma"/>
                    <w:b/>
                    <w:lang w:val="es-ES" w:eastAsia="en-US"/>
                  </w:rPr>
                </w:pPr>
              </w:p>
            </w:tc>
          </w:tr>
        </w:tbl>
        <w:p w14:paraId="210DFCB2" w14:textId="77777777" w:rsidR="00B158E2" w:rsidRPr="005C106F" w:rsidRDefault="00B158E2" w:rsidP="00E834B8">
          <w:pPr>
            <w:tabs>
              <w:tab w:val="right" w:pos="8838"/>
            </w:tabs>
            <w:ind w:left="-28"/>
            <w:jc w:val="both"/>
            <w:rPr>
              <w:rFonts w:ascii="Arial" w:eastAsia="Calibri" w:hAnsi="Arial" w:cs="Arial"/>
              <w:b/>
              <w:sz w:val="22"/>
              <w:szCs w:val="22"/>
              <w:lang w:eastAsia="en-US"/>
            </w:rPr>
          </w:pPr>
        </w:p>
      </w:tc>
    </w:tr>
  </w:tbl>
  <w:p w14:paraId="1C450BA4" w14:textId="77777777" w:rsidR="00B158E2" w:rsidRPr="00443C6B" w:rsidRDefault="00746FF4"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70.15pt;margin-top:-155.8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Layout w:type="fixed"/>
      <w:tblLook w:val="04A0" w:firstRow="1" w:lastRow="0" w:firstColumn="1" w:lastColumn="0" w:noHBand="0" w:noVBand="1"/>
    </w:tblPr>
    <w:tblGrid>
      <w:gridCol w:w="2268"/>
      <w:gridCol w:w="8080"/>
    </w:tblGrid>
    <w:tr w:rsidR="00B158E2" w:rsidRPr="00330DA7" w14:paraId="378C3EE6" w14:textId="77777777" w:rsidTr="00E23F8A">
      <w:trPr>
        <w:trHeight w:val="1435"/>
      </w:trPr>
      <w:tc>
        <w:tcPr>
          <w:tcW w:w="2268" w:type="dxa"/>
          <w:shd w:val="clear" w:color="auto" w:fill="auto"/>
        </w:tcPr>
        <w:p w14:paraId="6BDBA041" w14:textId="77777777" w:rsidR="00B158E2" w:rsidRPr="00330DA7" w:rsidRDefault="00B158E2" w:rsidP="00E834B8">
          <w:pPr>
            <w:tabs>
              <w:tab w:val="right" w:pos="4273"/>
            </w:tabs>
            <w:rPr>
              <w:rFonts w:ascii="Garamond" w:eastAsia="Calibri" w:hAnsi="Garamond"/>
              <w:sz w:val="22"/>
              <w:szCs w:val="22"/>
              <w:lang w:eastAsia="en-US"/>
            </w:rPr>
          </w:pPr>
        </w:p>
      </w:tc>
      <w:tc>
        <w:tcPr>
          <w:tcW w:w="8080" w:type="dxa"/>
          <w:shd w:val="clear" w:color="auto" w:fill="auto"/>
        </w:tcPr>
        <w:tbl>
          <w:tblPr>
            <w:tblW w:w="7649" w:type="dxa"/>
            <w:tblInd w:w="318" w:type="dxa"/>
            <w:tblLayout w:type="fixed"/>
            <w:tblLook w:val="0420" w:firstRow="1" w:lastRow="0" w:firstColumn="0" w:lastColumn="0" w:noHBand="0" w:noVBand="1"/>
          </w:tblPr>
          <w:tblGrid>
            <w:gridCol w:w="2687"/>
            <w:gridCol w:w="4962"/>
          </w:tblGrid>
          <w:tr w:rsidR="00B158E2" w:rsidRPr="00330DA7" w14:paraId="3B25D046" w14:textId="77777777" w:rsidTr="00B158E2">
            <w:trPr>
              <w:trHeight w:val="144"/>
            </w:trPr>
            <w:tc>
              <w:tcPr>
                <w:tcW w:w="2687" w:type="dxa"/>
                <w:shd w:val="clear" w:color="auto" w:fill="auto"/>
              </w:tcPr>
              <w:p w14:paraId="639FCF21" w14:textId="77777777" w:rsidR="00B158E2" w:rsidRPr="00E23F8A" w:rsidRDefault="00B158E2" w:rsidP="00E23F8A">
                <w:pPr>
                  <w:tabs>
                    <w:tab w:val="right" w:pos="8838"/>
                  </w:tabs>
                  <w:ind w:left="-264" w:right="-105" w:firstLine="195"/>
                  <w:rPr>
                    <w:rFonts w:ascii="Palatino Linotype" w:eastAsia="Calibri" w:hAnsi="Palatino Linotype" w:cs="Tahoma"/>
                    <w:b/>
                    <w:lang w:val="es-ES" w:eastAsia="en-US"/>
                  </w:rPr>
                </w:pPr>
                <w:r w:rsidRPr="00E23F8A">
                  <w:rPr>
                    <w:rFonts w:ascii="Palatino Linotype" w:eastAsia="Calibri" w:hAnsi="Palatino Linotype" w:cs="Tahoma"/>
                    <w:b/>
                    <w:lang w:val="es-ES" w:eastAsia="en-US"/>
                  </w:rPr>
                  <w:t>Recurso de Revisión:</w:t>
                </w:r>
              </w:p>
            </w:tc>
            <w:tc>
              <w:tcPr>
                <w:tcW w:w="4962" w:type="dxa"/>
                <w:shd w:val="clear" w:color="auto" w:fill="auto"/>
              </w:tcPr>
              <w:p w14:paraId="04DA0606" w14:textId="0526A045" w:rsidR="00B158E2" w:rsidRPr="00E23F8A" w:rsidRDefault="00B158E2" w:rsidP="00B158E2">
                <w:pPr>
                  <w:tabs>
                    <w:tab w:val="right" w:pos="8838"/>
                  </w:tabs>
                  <w:ind w:left="-74" w:right="-105"/>
                  <w:rPr>
                    <w:rFonts w:ascii="Palatino Linotype" w:eastAsia="Calibri" w:hAnsi="Palatino Linotype" w:cs="Tahoma"/>
                    <w:bCs/>
                    <w:lang w:val="es-ES" w:eastAsia="en-US"/>
                  </w:rPr>
                </w:pPr>
                <w:r w:rsidRPr="00E23F8A">
                  <w:rPr>
                    <w:rFonts w:ascii="Palatino Linotype" w:eastAsia="Calibri" w:hAnsi="Palatino Linotype" w:cs="Tahoma"/>
                    <w:lang w:eastAsia="en-US"/>
                  </w:rPr>
                  <w:t>06103/INFOEM/IP/RR/2025</w:t>
                </w:r>
              </w:p>
            </w:tc>
          </w:tr>
          <w:tr w:rsidR="00B158E2" w:rsidRPr="00330DA7" w14:paraId="6CA56932" w14:textId="77777777" w:rsidTr="00B158E2">
            <w:trPr>
              <w:trHeight w:val="144"/>
            </w:trPr>
            <w:tc>
              <w:tcPr>
                <w:tcW w:w="2687" w:type="dxa"/>
                <w:shd w:val="clear" w:color="auto" w:fill="auto"/>
              </w:tcPr>
              <w:p w14:paraId="34B3DAD5" w14:textId="77777777" w:rsidR="00B158E2" w:rsidRPr="00E23F8A" w:rsidRDefault="00B158E2" w:rsidP="00E23F8A">
                <w:pPr>
                  <w:tabs>
                    <w:tab w:val="right" w:pos="8838"/>
                  </w:tabs>
                  <w:ind w:left="-74" w:right="-105"/>
                  <w:rPr>
                    <w:rFonts w:ascii="Palatino Linotype" w:eastAsia="Calibri" w:hAnsi="Palatino Linotype" w:cs="Tahoma"/>
                    <w:b/>
                    <w:lang w:val="es-ES" w:eastAsia="en-US"/>
                  </w:rPr>
                </w:pPr>
                <w:r w:rsidRPr="00E23F8A">
                  <w:rPr>
                    <w:rFonts w:ascii="Palatino Linotype" w:eastAsia="Calibri" w:hAnsi="Palatino Linotype" w:cs="Tahoma"/>
                    <w:b/>
                    <w:lang w:val="es-ES" w:eastAsia="en-US"/>
                  </w:rPr>
                  <w:t>Recurrente:</w:t>
                </w:r>
              </w:p>
            </w:tc>
            <w:tc>
              <w:tcPr>
                <w:tcW w:w="4962" w:type="dxa"/>
                <w:shd w:val="clear" w:color="auto" w:fill="auto"/>
              </w:tcPr>
              <w:p w14:paraId="72DEE934" w14:textId="081D1FC4" w:rsidR="00B158E2" w:rsidRPr="00E23F8A" w:rsidRDefault="00C12401" w:rsidP="00B158E2">
                <w:pPr>
                  <w:tabs>
                    <w:tab w:val="left" w:pos="3122"/>
                    <w:tab w:val="right" w:pos="8838"/>
                  </w:tabs>
                  <w:ind w:left="-74" w:right="-105"/>
                  <w:rPr>
                    <w:rFonts w:ascii="Palatino Linotype" w:eastAsia="Calibri" w:hAnsi="Palatino Linotype" w:cs="Tahoma"/>
                    <w:lang w:val="es-ES" w:eastAsia="en-US"/>
                  </w:rPr>
                </w:pPr>
                <w:r>
                  <w:rPr>
                    <w:rFonts w:ascii="Palatino Linotype" w:eastAsia="Calibri" w:hAnsi="Palatino Linotype" w:cs="Tahoma"/>
                    <w:lang w:val="es-ES" w:eastAsia="en-US"/>
                  </w:rPr>
                  <w:t>XXXX</w:t>
                </w:r>
                <w:r w:rsidR="00B158E2" w:rsidRPr="00E23F8A">
                  <w:rPr>
                    <w:rFonts w:ascii="Palatino Linotype" w:eastAsia="Calibri" w:hAnsi="Palatino Linotype" w:cs="Tahoma"/>
                    <w:lang w:val="es-ES" w:eastAsia="en-US"/>
                  </w:rPr>
                  <w:t xml:space="preserve"> </w:t>
                </w:r>
              </w:p>
            </w:tc>
          </w:tr>
          <w:tr w:rsidR="00B158E2" w:rsidRPr="00330DA7" w14:paraId="779FA32C" w14:textId="77777777" w:rsidTr="00B158E2">
            <w:trPr>
              <w:trHeight w:val="283"/>
            </w:trPr>
            <w:tc>
              <w:tcPr>
                <w:tcW w:w="2687" w:type="dxa"/>
                <w:shd w:val="clear" w:color="auto" w:fill="auto"/>
              </w:tcPr>
              <w:p w14:paraId="20C1A65E" w14:textId="77777777" w:rsidR="00B158E2" w:rsidRPr="00E23F8A" w:rsidRDefault="00B158E2" w:rsidP="00E23F8A">
                <w:pPr>
                  <w:tabs>
                    <w:tab w:val="right" w:pos="8838"/>
                  </w:tabs>
                  <w:ind w:left="-74" w:right="-105"/>
                  <w:rPr>
                    <w:rFonts w:ascii="Palatino Linotype" w:eastAsia="Calibri" w:hAnsi="Palatino Linotype" w:cs="Tahoma"/>
                    <w:b/>
                    <w:lang w:val="es-ES" w:eastAsia="en-US"/>
                  </w:rPr>
                </w:pPr>
                <w:r w:rsidRPr="00E23F8A">
                  <w:rPr>
                    <w:rFonts w:ascii="Palatino Linotype" w:eastAsia="Calibri" w:hAnsi="Palatino Linotype" w:cs="Tahoma"/>
                    <w:b/>
                    <w:lang w:val="es-ES" w:eastAsia="en-US"/>
                  </w:rPr>
                  <w:t>Sujeto Obligado:</w:t>
                </w:r>
              </w:p>
            </w:tc>
            <w:tc>
              <w:tcPr>
                <w:tcW w:w="4962" w:type="dxa"/>
                <w:shd w:val="clear" w:color="auto" w:fill="auto"/>
              </w:tcPr>
              <w:p w14:paraId="401819B9" w14:textId="5C1EEC1D" w:rsidR="00B158E2" w:rsidRPr="00E23F8A" w:rsidRDefault="00B158E2" w:rsidP="00B158E2">
                <w:pPr>
                  <w:tabs>
                    <w:tab w:val="left" w:pos="2834"/>
                    <w:tab w:val="right" w:pos="8838"/>
                  </w:tabs>
                  <w:ind w:left="-74" w:right="-105"/>
                  <w:rPr>
                    <w:rFonts w:ascii="Palatino Linotype" w:eastAsia="Calibri" w:hAnsi="Palatino Linotype" w:cs="Tahoma"/>
                    <w:lang w:val="es-ES" w:eastAsia="en-US"/>
                  </w:rPr>
                </w:pPr>
                <w:r w:rsidRPr="00E23F8A">
                  <w:rPr>
                    <w:rFonts w:ascii="Palatino Linotype" w:eastAsia="Calibri" w:hAnsi="Palatino Linotype" w:cs="Tahoma"/>
                    <w:bCs/>
                    <w:lang w:eastAsia="en-US"/>
                  </w:rPr>
                  <w:t>Organismo Público Descentralizado para la Prestación de los Servicios de Agua Potable Alcantarillado y Saneamiento del Municipio de Tlalnepantla de Baz</w:t>
                </w:r>
              </w:p>
            </w:tc>
          </w:tr>
          <w:tr w:rsidR="00B158E2" w:rsidRPr="00330DA7" w14:paraId="6D390F66" w14:textId="77777777" w:rsidTr="00B158E2">
            <w:trPr>
              <w:trHeight w:val="283"/>
            </w:trPr>
            <w:tc>
              <w:tcPr>
                <w:tcW w:w="2687" w:type="dxa"/>
                <w:shd w:val="clear" w:color="auto" w:fill="auto"/>
              </w:tcPr>
              <w:p w14:paraId="4243CE70" w14:textId="77777777" w:rsidR="00B158E2" w:rsidRPr="00E23F8A" w:rsidRDefault="00B158E2" w:rsidP="00E23F8A">
                <w:pPr>
                  <w:tabs>
                    <w:tab w:val="right" w:pos="8838"/>
                  </w:tabs>
                  <w:ind w:left="-74" w:right="-105"/>
                  <w:rPr>
                    <w:rFonts w:ascii="Palatino Linotype" w:eastAsia="Calibri" w:hAnsi="Palatino Linotype" w:cs="Tahoma"/>
                    <w:b/>
                    <w:lang w:val="es-ES" w:eastAsia="en-US"/>
                  </w:rPr>
                </w:pPr>
                <w:r w:rsidRPr="00E23F8A">
                  <w:rPr>
                    <w:rFonts w:ascii="Palatino Linotype" w:eastAsia="Calibri" w:hAnsi="Palatino Linotype" w:cs="Tahoma"/>
                    <w:b/>
                    <w:lang w:val="es-ES" w:eastAsia="en-US"/>
                  </w:rPr>
                  <w:t>Comisionada ponente:</w:t>
                </w:r>
              </w:p>
            </w:tc>
            <w:tc>
              <w:tcPr>
                <w:tcW w:w="4962" w:type="dxa"/>
                <w:shd w:val="clear" w:color="auto" w:fill="auto"/>
              </w:tcPr>
              <w:p w14:paraId="3E53777A" w14:textId="77777777" w:rsidR="00B158E2" w:rsidRPr="00E23F8A" w:rsidRDefault="00B158E2" w:rsidP="00B158E2">
                <w:pPr>
                  <w:tabs>
                    <w:tab w:val="right" w:pos="8838"/>
                  </w:tabs>
                  <w:ind w:left="-74" w:right="-105"/>
                  <w:rPr>
                    <w:rFonts w:ascii="Palatino Linotype" w:eastAsia="Calibri" w:hAnsi="Palatino Linotype" w:cs="Tahoma"/>
                    <w:lang w:val="es-ES" w:eastAsia="en-US"/>
                  </w:rPr>
                </w:pPr>
                <w:r w:rsidRPr="00E23F8A">
                  <w:rPr>
                    <w:rFonts w:ascii="Palatino Linotype" w:eastAsia="Calibri" w:hAnsi="Palatino Linotype" w:cs="Tahoma"/>
                    <w:lang w:val="es-ES" w:eastAsia="en-US"/>
                  </w:rPr>
                  <w:t>María del Rosario Mejía Ayala</w:t>
                </w:r>
              </w:p>
              <w:p w14:paraId="231B6687" w14:textId="77777777" w:rsidR="00B158E2" w:rsidRPr="00E23F8A" w:rsidRDefault="00B158E2" w:rsidP="00B158E2">
                <w:pPr>
                  <w:tabs>
                    <w:tab w:val="right" w:pos="8838"/>
                  </w:tabs>
                  <w:ind w:left="-74" w:right="-105"/>
                  <w:rPr>
                    <w:rFonts w:ascii="Palatino Linotype" w:eastAsia="Calibri" w:hAnsi="Palatino Linotype" w:cs="Tahoma"/>
                    <w:lang w:val="es-ES" w:eastAsia="en-US"/>
                  </w:rPr>
                </w:pPr>
              </w:p>
            </w:tc>
          </w:tr>
        </w:tbl>
        <w:p w14:paraId="4110AB66" w14:textId="77777777" w:rsidR="00B158E2" w:rsidRPr="00330DA7" w:rsidRDefault="00B158E2" w:rsidP="00E834B8">
          <w:pPr>
            <w:tabs>
              <w:tab w:val="right" w:pos="8838"/>
            </w:tabs>
            <w:ind w:left="-28"/>
            <w:jc w:val="both"/>
            <w:rPr>
              <w:rFonts w:ascii="Arial" w:eastAsia="Calibri" w:hAnsi="Arial" w:cs="Arial"/>
              <w:b/>
              <w:sz w:val="22"/>
              <w:szCs w:val="22"/>
              <w:lang w:eastAsia="en-US"/>
            </w:rPr>
          </w:pPr>
        </w:p>
      </w:tc>
    </w:tr>
  </w:tbl>
  <w:p w14:paraId="1A55C50A" w14:textId="77777777" w:rsidR="00B158E2" w:rsidRPr="00827FA0" w:rsidRDefault="00746FF4"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79.7pt;margin-top:-154.3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4F87"/>
    <w:multiLevelType w:val="hybridMultilevel"/>
    <w:tmpl w:val="ED86C672"/>
    <w:lvl w:ilvl="0" w:tplc="3E48BFC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C170B3B"/>
    <w:multiLevelType w:val="hybridMultilevel"/>
    <w:tmpl w:val="807CA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A62B09"/>
    <w:multiLevelType w:val="hybridMultilevel"/>
    <w:tmpl w:val="50508E8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10612A8"/>
    <w:multiLevelType w:val="hybridMultilevel"/>
    <w:tmpl w:val="39FA75A2"/>
    <w:lvl w:ilvl="0" w:tplc="59ACA1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A73DA"/>
    <w:multiLevelType w:val="hybridMultilevel"/>
    <w:tmpl w:val="7A9AC1E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2B74507"/>
    <w:multiLevelType w:val="hybridMultilevel"/>
    <w:tmpl w:val="7572F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8D520D"/>
    <w:multiLevelType w:val="multilevel"/>
    <w:tmpl w:val="0D5E1FB4"/>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2B190D"/>
    <w:multiLevelType w:val="hybridMultilevel"/>
    <w:tmpl w:val="27BA8216"/>
    <w:lvl w:ilvl="0" w:tplc="3EF48730">
      <w:start w:val="1"/>
      <w:numFmt w:val="decimal"/>
      <w:lvlText w:val="%1."/>
      <w:lvlJc w:val="left"/>
      <w:pPr>
        <w:ind w:left="643"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2B2233D"/>
    <w:multiLevelType w:val="hybridMultilevel"/>
    <w:tmpl w:val="08806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616099"/>
    <w:multiLevelType w:val="hybridMultilevel"/>
    <w:tmpl w:val="C2BAE51C"/>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11"/>
  </w:num>
  <w:num w:numId="2">
    <w:abstractNumId w:val="8"/>
  </w:num>
  <w:num w:numId="3">
    <w:abstractNumId w:val="9"/>
  </w:num>
  <w:num w:numId="4">
    <w:abstractNumId w:val="5"/>
  </w:num>
  <w:num w:numId="5">
    <w:abstractNumId w:val="7"/>
  </w:num>
  <w:num w:numId="6">
    <w:abstractNumId w:val="13"/>
  </w:num>
  <w:num w:numId="7">
    <w:abstractNumId w:val="6"/>
  </w:num>
  <w:num w:numId="8">
    <w:abstractNumId w:val="4"/>
  </w:num>
  <w:num w:numId="9">
    <w:abstractNumId w:val="2"/>
  </w:num>
  <w:num w:numId="10">
    <w:abstractNumId w:val="12"/>
  </w:num>
  <w:num w:numId="11">
    <w:abstractNumId w:val="3"/>
  </w:num>
  <w:num w:numId="12">
    <w:abstractNumId w:val="10"/>
  </w:num>
  <w:num w:numId="13">
    <w:abstractNumId w:val="1"/>
  </w:num>
  <w:num w:numId="1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07289"/>
    <w:rsid w:val="00041C5B"/>
    <w:rsid w:val="000456CC"/>
    <w:rsid w:val="00045F7F"/>
    <w:rsid w:val="00052691"/>
    <w:rsid w:val="00071895"/>
    <w:rsid w:val="0008621B"/>
    <w:rsid w:val="000A5C32"/>
    <w:rsid w:val="000C7529"/>
    <w:rsid w:val="000D6EB0"/>
    <w:rsid w:val="000F2FEA"/>
    <w:rsid w:val="00103918"/>
    <w:rsid w:val="00106EE7"/>
    <w:rsid w:val="001144A7"/>
    <w:rsid w:val="00116D79"/>
    <w:rsid w:val="00143CE1"/>
    <w:rsid w:val="0016771C"/>
    <w:rsid w:val="00173472"/>
    <w:rsid w:val="00174CED"/>
    <w:rsid w:val="00177E93"/>
    <w:rsid w:val="001C5409"/>
    <w:rsid w:val="001C5A7F"/>
    <w:rsid w:val="001D5736"/>
    <w:rsid w:val="001E3C26"/>
    <w:rsid w:val="001E58AC"/>
    <w:rsid w:val="001F1364"/>
    <w:rsid w:val="001F2BC5"/>
    <w:rsid w:val="001F7E98"/>
    <w:rsid w:val="00221B49"/>
    <w:rsid w:val="002438BA"/>
    <w:rsid w:val="00266823"/>
    <w:rsid w:val="00297EDD"/>
    <w:rsid w:val="002C0970"/>
    <w:rsid w:val="002D0C47"/>
    <w:rsid w:val="002E74E9"/>
    <w:rsid w:val="002F1854"/>
    <w:rsid w:val="002F6116"/>
    <w:rsid w:val="003031EB"/>
    <w:rsid w:val="003076DB"/>
    <w:rsid w:val="00313502"/>
    <w:rsid w:val="003329B1"/>
    <w:rsid w:val="00334140"/>
    <w:rsid w:val="0033673F"/>
    <w:rsid w:val="00337B9D"/>
    <w:rsid w:val="003440E8"/>
    <w:rsid w:val="00345B0F"/>
    <w:rsid w:val="003538AC"/>
    <w:rsid w:val="00370EF2"/>
    <w:rsid w:val="003750C1"/>
    <w:rsid w:val="003B4BB1"/>
    <w:rsid w:val="003D64CC"/>
    <w:rsid w:val="003E037B"/>
    <w:rsid w:val="003E7B92"/>
    <w:rsid w:val="003F0085"/>
    <w:rsid w:val="003F55CB"/>
    <w:rsid w:val="004124AA"/>
    <w:rsid w:val="00425F9E"/>
    <w:rsid w:val="00440EBA"/>
    <w:rsid w:val="0045088B"/>
    <w:rsid w:val="0046218C"/>
    <w:rsid w:val="00476CB5"/>
    <w:rsid w:val="00477EB3"/>
    <w:rsid w:val="00487445"/>
    <w:rsid w:val="004A7ED3"/>
    <w:rsid w:val="004C59F7"/>
    <w:rsid w:val="004D1CB2"/>
    <w:rsid w:val="004E50B8"/>
    <w:rsid w:val="004F06DC"/>
    <w:rsid w:val="004F0A68"/>
    <w:rsid w:val="005045A9"/>
    <w:rsid w:val="00516A22"/>
    <w:rsid w:val="00525F31"/>
    <w:rsid w:val="00530128"/>
    <w:rsid w:val="00532680"/>
    <w:rsid w:val="005521E3"/>
    <w:rsid w:val="00554441"/>
    <w:rsid w:val="00563D1B"/>
    <w:rsid w:val="00571883"/>
    <w:rsid w:val="0057680D"/>
    <w:rsid w:val="00577D74"/>
    <w:rsid w:val="005A12EC"/>
    <w:rsid w:val="005B5125"/>
    <w:rsid w:val="005B620E"/>
    <w:rsid w:val="005C0126"/>
    <w:rsid w:val="005C11BB"/>
    <w:rsid w:val="005D5140"/>
    <w:rsid w:val="005E04F3"/>
    <w:rsid w:val="005E311A"/>
    <w:rsid w:val="005F0B19"/>
    <w:rsid w:val="00621F7C"/>
    <w:rsid w:val="00631E37"/>
    <w:rsid w:val="00646769"/>
    <w:rsid w:val="006477EB"/>
    <w:rsid w:val="00673526"/>
    <w:rsid w:val="00684A82"/>
    <w:rsid w:val="00697E45"/>
    <w:rsid w:val="006E1D77"/>
    <w:rsid w:val="00743040"/>
    <w:rsid w:val="00746FF4"/>
    <w:rsid w:val="0075532E"/>
    <w:rsid w:val="007721BA"/>
    <w:rsid w:val="007977C4"/>
    <w:rsid w:val="007A12C1"/>
    <w:rsid w:val="007B08AC"/>
    <w:rsid w:val="007C31FB"/>
    <w:rsid w:val="007C6F65"/>
    <w:rsid w:val="007D6CF4"/>
    <w:rsid w:val="00805183"/>
    <w:rsid w:val="0081455B"/>
    <w:rsid w:val="00826DB9"/>
    <w:rsid w:val="00841865"/>
    <w:rsid w:val="00856C07"/>
    <w:rsid w:val="00880A11"/>
    <w:rsid w:val="00880D1C"/>
    <w:rsid w:val="008B2368"/>
    <w:rsid w:val="008B7AA0"/>
    <w:rsid w:val="008E0317"/>
    <w:rsid w:val="008E2A12"/>
    <w:rsid w:val="008E4008"/>
    <w:rsid w:val="008E5CD4"/>
    <w:rsid w:val="008E5EE8"/>
    <w:rsid w:val="00900387"/>
    <w:rsid w:val="0091435C"/>
    <w:rsid w:val="009170FF"/>
    <w:rsid w:val="00952D00"/>
    <w:rsid w:val="009A7187"/>
    <w:rsid w:val="009B28A1"/>
    <w:rsid w:val="009C605B"/>
    <w:rsid w:val="00A0493E"/>
    <w:rsid w:val="00A52A5D"/>
    <w:rsid w:val="00A55558"/>
    <w:rsid w:val="00A561AF"/>
    <w:rsid w:val="00A772B4"/>
    <w:rsid w:val="00A77F04"/>
    <w:rsid w:val="00AB74BF"/>
    <w:rsid w:val="00AC67AE"/>
    <w:rsid w:val="00AD14C1"/>
    <w:rsid w:val="00AE2E4C"/>
    <w:rsid w:val="00AE3DEC"/>
    <w:rsid w:val="00B1106A"/>
    <w:rsid w:val="00B158E2"/>
    <w:rsid w:val="00B350FC"/>
    <w:rsid w:val="00B411AD"/>
    <w:rsid w:val="00B70E82"/>
    <w:rsid w:val="00B75ADB"/>
    <w:rsid w:val="00B874DD"/>
    <w:rsid w:val="00BA1078"/>
    <w:rsid w:val="00BA6AB4"/>
    <w:rsid w:val="00BB1F02"/>
    <w:rsid w:val="00BC0A2D"/>
    <w:rsid w:val="00C06712"/>
    <w:rsid w:val="00C12401"/>
    <w:rsid w:val="00C1457F"/>
    <w:rsid w:val="00C20F80"/>
    <w:rsid w:val="00C218B2"/>
    <w:rsid w:val="00C9242C"/>
    <w:rsid w:val="00C93A4E"/>
    <w:rsid w:val="00CA1D3A"/>
    <w:rsid w:val="00CA23B2"/>
    <w:rsid w:val="00CA3766"/>
    <w:rsid w:val="00CC0A80"/>
    <w:rsid w:val="00CD15FA"/>
    <w:rsid w:val="00CD4D44"/>
    <w:rsid w:val="00CE55FF"/>
    <w:rsid w:val="00CF3F38"/>
    <w:rsid w:val="00CF4888"/>
    <w:rsid w:val="00D07470"/>
    <w:rsid w:val="00D211CA"/>
    <w:rsid w:val="00D33AC2"/>
    <w:rsid w:val="00D6333D"/>
    <w:rsid w:val="00D66728"/>
    <w:rsid w:val="00D70CCB"/>
    <w:rsid w:val="00DB2117"/>
    <w:rsid w:val="00DB26F0"/>
    <w:rsid w:val="00DC2B47"/>
    <w:rsid w:val="00E00B69"/>
    <w:rsid w:val="00E01AEA"/>
    <w:rsid w:val="00E166A7"/>
    <w:rsid w:val="00E23F8A"/>
    <w:rsid w:val="00E4216A"/>
    <w:rsid w:val="00E57E55"/>
    <w:rsid w:val="00E74D5A"/>
    <w:rsid w:val="00E77BCB"/>
    <w:rsid w:val="00E834B8"/>
    <w:rsid w:val="00E861C9"/>
    <w:rsid w:val="00E86488"/>
    <w:rsid w:val="00EB0396"/>
    <w:rsid w:val="00EB19FB"/>
    <w:rsid w:val="00EC3184"/>
    <w:rsid w:val="00ED2ECA"/>
    <w:rsid w:val="00EE11E0"/>
    <w:rsid w:val="00EF4C05"/>
    <w:rsid w:val="00F23C38"/>
    <w:rsid w:val="00F32CA3"/>
    <w:rsid w:val="00F41755"/>
    <w:rsid w:val="00F45BBE"/>
    <w:rsid w:val="00F4683A"/>
    <w:rsid w:val="00F5197A"/>
    <w:rsid w:val="00F55072"/>
    <w:rsid w:val="00F67C4B"/>
    <w:rsid w:val="00F8303F"/>
    <w:rsid w:val="00FA1F87"/>
    <w:rsid w:val="00FB0DAB"/>
    <w:rsid w:val="00FB40B2"/>
    <w:rsid w:val="00FC0F79"/>
    <w:rsid w:val="00FC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customStyle="1" w:styleId="normaltextrun">
    <w:name w:val="normaltextrun"/>
    <w:basedOn w:val="Fuentedeprrafopredeter"/>
    <w:rsid w:val="00D33AC2"/>
  </w:style>
  <w:style w:type="character" w:customStyle="1" w:styleId="eop">
    <w:name w:val="eop"/>
    <w:basedOn w:val="Fuentedeprrafopredeter"/>
    <w:rsid w:val="00D3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3C034-6BC8-4173-A75A-9659D03D5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55</Pages>
  <Words>13103</Words>
  <Characters>72069</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12</cp:revision>
  <cp:lastPrinted>2025-08-15T18:18:00Z</cp:lastPrinted>
  <dcterms:created xsi:type="dcterms:W3CDTF">2025-08-07T03:38:00Z</dcterms:created>
  <dcterms:modified xsi:type="dcterms:W3CDTF">2025-08-21T19:05:00Z</dcterms:modified>
</cp:coreProperties>
</file>