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BE2" w:rsidRPr="00067328" w:rsidRDefault="00326A97">
      <w:pPr>
        <w:spacing w:line="360" w:lineRule="auto"/>
        <w:jc w:val="both"/>
        <w:rPr>
          <w:rFonts w:ascii="Palatino Linotype" w:eastAsia="Palatino Linotype" w:hAnsi="Palatino Linotype" w:cs="Palatino Linotype"/>
          <w:b/>
          <w:sz w:val="24"/>
          <w:szCs w:val="24"/>
        </w:rPr>
      </w:pPr>
      <w:r w:rsidRPr="006242E2">
        <w:rPr>
          <w:rFonts w:ascii="Palatino Linotype" w:eastAsia="Palatino Linotype" w:hAnsi="Palatino Linotype" w:cs="Palatino Linotype"/>
          <w:sz w:val="24"/>
          <w:szCs w:val="24"/>
        </w:rPr>
        <w:t>R</w:t>
      </w:r>
      <w:bookmarkStart w:id="0" w:name="_GoBack"/>
      <w:bookmarkEnd w:id="0"/>
      <w:r w:rsidRPr="006242E2">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w:t>
      </w:r>
      <w:r w:rsidRPr="00067328">
        <w:rPr>
          <w:rFonts w:ascii="Palatino Linotype" w:eastAsia="Palatino Linotype" w:hAnsi="Palatino Linotype" w:cs="Palatino Linotype"/>
          <w:b/>
          <w:sz w:val="24"/>
          <w:szCs w:val="24"/>
        </w:rPr>
        <w:t xml:space="preserve">de </w:t>
      </w:r>
      <w:r w:rsidR="00067328" w:rsidRPr="00067328">
        <w:rPr>
          <w:rFonts w:ascii="Palatino Linotype" w:eastAsia="Palatino Linotype" w:hAnsi="Palatino Linotype" w:cs="Palatino Linotype"/>
          <w:b/>
          <w:sz w:val="24"/>
          <w:szCs w:val="24"/>
        </w:rPr>
        <w:t xml:space="preserve">fecha </w:t>
      </w:r>
      <w:r w:rsidRPr="00067328">
        <w:rPr>
          <w:rFonts w:ascii="Palatino Linotype" w:eastAsia="Palatino Linotype" w:hAnsi="Palatino Linotype" w:cs="Palatino Linotype"/>
          <w:b/>
          <w:sz w:val="24"/>
          <w:szCs w:val="24"/>
        </w:rPr>
        <w:t xml:space="preserve">dieciséis </w:t>
      </w:r>
      <w:r w:rsidR="00067328" w:rsidRPr="00067328">
        <w:rPr>
          <w:rFonts w:ascii="Palatino Linotype" w:eastAsia="Palatino Linotype" w:hAnsi="Palatino Linotype" w:cs="Palatino Linotype"/>
          <w:b/>
          <w:sz w:val="24"/>
          <w:szCs w:val="24"/>
        </w:rPr>
        <w:t xml:space="preserve">(16) </w:t>
      </w:r>
      <w:r w:rsidRPr="00067328">
        <w:rPr>
          <w:rFonts w:ascii="Palatino Linotype" w:eastAsia="Palatino Linotype" w:hAnsi="Palatino Linotype" w:cs="Palatino Linotype"/>
          <w:b/>
          <w:sz w:val="24"/>
          <w:szCs w:val="24"/>
        </w:rPr>
        <w:t>de julio de dos mil veinticinco.</w:t>
      </w:r>
    </w:p>
    <w:p w:rsidR="00944BE2" w:rsidRPr="006242E2" w:rsidRDefault="00944BE2">
      <w:pPr>
        <w:spacing w:line="360" w:lineRule="auto"/>
        <w:jc w:val="both"/>
        <w:rPr>
          <w:rFonts w:ascii="Palatino Linotype" w:eastAsia="Palatino Linotype" w:hAnsi="Palatino Linotype" w:cs="Palatino Linotype"/>
          <w:sz w:val="24"/>
          <w:szCs w:val="24"/>
        </w:rPr>
      </w:pPr>
    </w:p>
    <w:p w:rsidR="00944BE2" w:rsidRPr="006242E2" w:rsidRDefault="00326A97">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b/>
          <w:color w:val="000000"/>
          <w:sz w:val="24"/>
          <w:szCs w:val="24"/>
        </w:rPr>
        <w:t xml:space="preserve">VISTO </w:t>
      </w:r>
      <w:r w:rsidRPr="006242E2">
        <w:rPr>
          <w:rFonts w:ascii="Palatino Linotype" w:eastAsia="Palatino Linotype" w:hAnsi="Palatino Linotype" w:cs="Palatino Linotype"/>
          <w:color w:val="000000"/>
          <w:sz w:val="24"/>
          <w:szCs w:val="24"/>
        </w:rPr>
        <w:t xml:space="preserve">el expediente electrónico formado con motivo del Recurso de Revisión </w:t>
      </w:r>
      <w:r w:rsidRPr="006242E2">
        <w:rPr>
          <w:rFonts w:ascii="Palatino Linotype" w:eastAsia="Palatino Linotype" w:hAnsi="Palatino Linotype" w:cs="Palatino Linotype"/>
          <w:b/>
          <w:color w:val="000000"/>
          <w:sz w:val="24"/>
          <w:szCs w:val="24"/>
        </w:rPr>
        <w:t xml:space="preserve">05883/INFOEM/ICR-34/IP/RR/2024, </w:t>
      </w:r>
      <w:r w:rsidRPr="006242E2">
        <w:rPr>
          <w:rFonts w:ascii="Palatino Linotype" w:eastAsia="Palatino Linotype" w:hAnsi="Palatino Linotype" w:cs="Palatino Linotype"/>
          <w:color w:val="000000"/>
          <w:sz w:val="24"/>
          <w:szCs w:val="24"/>
        </w:rPr>
        <w:t xml:space="preserve">promovido por - - -, a quien en lo sucesivo se le reconocerá como </w:t>
      </w:r>
      <w:r w:rsidRPr="006242E2">
        <w:rPr>
          <w:rFonts w:ascii="Palatino Linotype" w:eastAsia="Palatino Linotype" w:hAnsi="Palatino Linotype" w:cs="Palatino Linotype"/>
          <w:b/>
          <w:color w:val="000000"/>
          <w:sz w:val="24"/>
          <w:szCs w:val="24"/>
        </w:rPr>
        <w:t>EL</w:t>
      </w:r>
      <w:r w:rsidRPr="006242E2">
        <w:rPr>
          <w:rFonts w:ascii="Palatino Linotype" w:eastAsia="Palatino Linotype" w:hAnsi="Palatino Linotype" w:cs="Palatino Linotype"/>
          <w:color w:val="000000"/>
          <w:sz w:val="24"/>
          <w:szCs w:val="24"/>
        </w:rPr>
        <w:t xml:space="preserve"> </w:t>
      </w:r>
      <w:r w:rsidRPr="006242E2">
        <w:rPr>
          <w:rFonts w:ascii="Palatino Linotype" w:eastAsia="Palatino Linotype" w:hAnsi="Palatino Linotype" w:cs="Palatino Linotype"/>
          <w:b/>
          <w:color w:val="000000"/>
          <w:sz w:val="24"/>
          <w:szCs w:val="24"/>
        </w:rPr>
        <w:t>RECURRENTE</w:t>
      </w:r>
      <w:r w:rsidRPr="006242E2">
        <w:rPr>
          <w:rFonts w:ascii="Palatino Linotype" w:eastAsia="Palatino Linotype" w:hAnsi="Palatino Linotype" w:cs="Palatino Linotype"/>
          <w:color w:val="000000"/>
          <w:sz w:val="24"/>
          <w:szCs w:val="24"/>
        </w:rPr>
        <w:t xml:space="preserve">, en contra de la falta de respuesta del </w:t>
      </w:r>
      <w:r w:rsidRPr="006242E2">
        <w:rPr>
          <w:rFonts w:ascii="Palatino Linotype" w:eastAsia="Palatino Linotype" w:hAnsi="Palatino Linotype" w:cs="Palatino Linotype"/>
          <w:b/>
          <w:color w:val="000000"/>
          <w:sz w:val="24"/>
          <w:szCs w:val="24"/>
        </w:rPr>
        <w:t>Ayuntamiento de Nopaltepec</w:t>
      </w:r>
      <w:r w:rsidRPr="006242E2">
        <w:rPr>
          <w:rFonts w:ascii="Palatino Linotype" w:eastAsia="Palatino Linotype" w:hAnsi="Palatino Linotype" w:cs="Palatino Linotype"/>
          <w:color w:val="000000"/>
          <w:sz w:val="24"/>
          <w:szCs w:val="24"/>
        </w:rPr>
        <w:t>,</w:t>
      </w:r>
      <w:r w:rsidRPr="006242E2">
        <w:rPr>
          <w:rFonts w:ascii="Palatino Linotype" w:eastAsia="Palatino Linotype" w:hAnsi="Palatino Linotype" w:cs="Palatino Linotype"/>
          <w:b/>
          <w:color w:val="000000"/>
          <w:sz w:val="24"/>
          <w:szCs w:val="24"/>
        </w:rPr>
        <w:t xml:space="preserve"> </w:t>
      </w:r>
      <w:r w:rsidRPr="006242E2">
        <w:rPr>
          <w:rFonts w:ascii="Palatino Linotype" w:eastAsia="Palatino Linotype" w:hAnsi="Palatino Linotype" w:cs="Palatino Linotype"/>
          <w:color w:val="000000"/>
          <w:sz w:val="24"/>
          <w:szCs w:val="24"/>
        </w:rPr>
        <w:t>en lo sucesivo el</w:t>
      </w:r>
      <w:r w:rsidRPr="006242E2">
        <w:rPr>
          <w:rFonts w:ascii="Palatino Linotype" w:eastAsia="Palatino Linotype" w:hAnsi="Palatino Linotype" w:cs="Palatino Linotype"/>
          <w:b/>
          <w:color w:val="000000"/>
          <w:sz w:val="24"/>
          <w:szCs w:val="24"/>
        </w:rPr>
        <w:t xml:space="preserve"> SUJETO OBLIGADO, </w:t>
      </w:r>
      <w:r w:rsidRPr="006242E2">
        <w:rPr>
          <w:rFonts w:ascii="Palatino Linotype" w:eastAsia="Palatino Linotype" w:hAnsi="Palatino Linotype" w:cs="Palatino Linotype"/>
          <w:color w:val="000000"/>
          <w:sz w:val="24"/>
          <w:szCs w:val="24"/>
        </w:rPr>
        <w:t>se procede a dictar la presente Resolución, con base en los siguientes:</w:t>
      </w:r>
    </w:p>
    <w:p w:rsidR="00944BE2" w:rsidRPr="006242E2" w:rsidRDefault="00944BE2">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p>
    <w:p w:rsidR="00944BE2" w:rsidRPr="006242E2" w:rsidRDefault="00326A97">
      <w:pPr>
        <w:pStyle w:val="Ttulo1"/>
        <w:spacing w:before="0" w:line="360" w:lineRule="auto"/>
        <w:jc w:val="center"/>
        <w:rPr>
          <w:rFonts w:ascii="Palatino Linotype" w:eastAsia="Palatino Linotype" w:hAnsi="Palatino Linotype" w:cs="Palatino Linotype"/>
          <w:b/>
          <w:color w:val="000000"/>
          <w:sz w:val="24"/>
          <w:szCs w:val="24"/>
        </w:rPr>
      </w:pPr>
      <w:bookmarkStart w:id="1" w:name="_heading=h.eaahtkf1hr6m" w:colFirst="0" w:colLast="0"/>
      <w:bookmarkEnd w:id="1"/>
      <w:r w:rsidRPr="006242E2">
        <w:rPr>
          <w:rFonts w:ascii="Palatino Linotype" w:eastAsia="Palatino Linotype" w:hAnsi="Palatino Linotype" w:cs="Palatino Linotype"/>
          <w:b/>
          <w:color w:val="000000"/>
          <w:sz w:val="24"/>
          <w:szCs w:val="24"/>
        </w:rPr>
        <w:t>A N T E C E D E N T E S</w:t>
      </w:r>
    </w:p>
    <w:p w:rsidR="00944BE2" w:rsidRPr="006242E2" w:rsidRDefault="00944BE2">
      <w:pPr>
        <w:spacing w:line="360" w:lineRule="auto"/>
        <w:rPr>
          <w:rFonts w:ascii="Palatino Linotype" w:eastAsia="Palatino Linotype" w:hAnsi="Palatino Linotype" w:cs="Palatino Linotype"/>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El dos de septiembre de dos mil veinticuatro, </w:t>
      </w:r>
      <w:r w:rsidRPr="006242E2">
        <w:rPr>
          <w:rFonts w:ascii="Palatino Linotype" w:eastAsia="Palatino Linotype" w:hAnsi="Palatino Linotype" w:cs="Palatino Linotype"/>
          <w:b/>
          <w:color w:val="000000"/>
          <w:sz w:val="24"/>
          <w:szCs w:val="24"/>
        </w:rPr>
        <w:t xml:space="preserve">EL RECURRENTE </w:t>
      </w:r>
      <w:r w:rsidRPr="006242E2">
        <w:rPr>
          <w:rFonts w:ascii="Palatino Linotype" w:eastAsia="Palatino Linotype" w:hAnsi="Palatino Linotype" w:cs="Palatino Linotype"/>
          <w:color w:val="000000"/>
          <w:sz w:val="24"/>
          <w:szCs w:val="24"/>
        </w:rPr>
        <w:t>presentó</w:t>
      </w:r>
      <w:r w:rsidRPr="006242E2">
        <w:rPr>
          <w:rFonts w:ascii="Palatino Linotype" w:eastAsia="Palatino Linotype" w:hAnsi="Palatino Linotype" w:cs="Palatino Linotype"/>
          <w:b/>
          <w:color w:val="000000"/>
          <w:sz w:val="24"/>
          <w:szCs w:val="24"/>
        </w:rPr>
        <w:t>,</w:t>
      </w:r>
      <w:r w:rsidRPr="006242E2">
        <w:rPr>
          <w:rFonts w:ascii="Palatino Linotype" w:eastAsia="Palatino Linotype" w:hAnsi="Palatino Linotype" w:cs="Palatino Linotype"/>
          <w:color w:val="000000"/>
          <w:sz w:val="24"/>
          <w:szCs w:val="24"/>
        </w:rPr>
        <w:t xml:space="preserve"> ante 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vía Sistema de Acceso a la Información Mexiquense (SAIMEX), la solicitud de información pública registrada con el número </w:t>
      </w:r>
      <w:r w:rsidRPr="006242E2">
        <w:rPr>
          <w:rFonts w:ascii="Palatino Linotype" w:eastAsia="Palatino Linotype" w:hAnsi="Palatino Linotype" w:cs="Palatino Linotype"/>
          <w:b/>
          <w:color w:val="000000"/>
          <w:sz w:val="24"/>
          <w:szCs w:val="24"/>
        </w:rPr>
        <w:t xml:space="preserve">00038/NOPALTE/IP/2024, </w:t>
      </w:r>
      <w:r w:rsidR="00305B1B">
        <w:rPr>
          <w:rFonts w:ascii="Palatino Linotype" w:eastAsia="Palatino Linotype" w:hAnsi="Palatino Linotype" w:cs="Palatino Linotype"/>
          <w:color w:val="000000"/>
          <w:sz w:val="24"/>
          <w:szCs w:val="24"/>
        </w:rPr>
        <w:t>en la que se</w:t>
      </w:r>
      <w:r w:rsidRPr="006242E2">
        <w:rPr>
          <w:rFonts w:ascii="Palatino Linotype" w:eastAsia="Palatino Linotype" w:hAnsi="Palatino Linotype" w:cs="Palatino Linotype"/>
          <w:color w:val="000000"/>
          <w:sz w:val="24"/>
          <w:szCs w:val="24"/>
        </w:rPr>
        <w:t xml:space="preserve"> solicitó lo siguiente:</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spacing w:line="360" w:lineRule="auto"/>
        <w:ind w:left="567" w:right="567"/>
        <w:jc w:val="both"/>
        <w:rPr>
          <w:rFonts w:ascii="Palatino Linotype" w:eastAsia="Palatino Linotype" w:hAnsi="Palatino Linotype" w:cs="Palatino Linotype"/>
          <w:i/>
          <w:sz w:val="24"/>
          <w:szCs w:val="24"/>
        </w:rPr>
      </w:pPr>
      <w:r w:rsidRPr="006242E2">
        <w:rPr>
          <w:rFonts w:ascii="Palatino Linotype" w:eastAsia="Palatino Linotype" w:hAnsi="Palatino Linotype" w:cs="Palatino Linotype"/>
          <w:i/>
          <w:sz w:val="24"/>
          <w:szCs w:val="24"/>
        </w:rPr>
        <w:t xml:space="preserve">“Solicito el Plan de Desarrollo Municipal del período 2019-2021 y los informes de su ejecución entregados al OSFEM.” </w:t>
      </w:r>
      <w:r w:rsidRPr="006242E2">
        <w:rPr>
          <w:rFonts w:ascii="Palatino Linotype" w:eastAsia="Palatino Linotype" w:hAnsi="Palatino Linotype" w:cs="Palatino Linotype"/>
          <w:sz w:val="24"/>
          <w:szCs w:val="24"/>
        </w:rPr>
        <w:t>(Sic)</w:t>
      </w:r>
    </w:p>
    <w:p w:rsidR="00944BE2" w:rsidRPr="006242E2" w:rsidRDefault="00944BE2">
      <w:pPr>
        <w:spacing w:line="360" w:lineRule="auto"/>
        <w:ind w:left="567" w:right="567"/>
        <w:jc w:val="both"/>
        <w:rPr>
          <w:rFonts w:ascii="Palatino Linotype" w:eastAsia="Palatino Linotype" w:hAnsi="Palatino Linotype" w:cs="Palatino Linotype"/>
          <w:i/>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Señaló como modalidad de entrega de la información a través del </w:t>
      </w:r>
      <w:r w:rsidRPr="006242E2">
        <w:rPr>
          <w:rFonts w:ascii="Palatino Linotype" w:eastAsia="Palatino Linotype" w:hAnsi="Palatino Linotype" w:cs="Palatino Linotype"/>
          <w:b/>
          <w:color w:val="000000"/>
          <w:sz w:val="24"/>
          <w:szCs w:val="24"/>
        </w:rPr>
        <w:t>SAIMEX.</w:t>
      </w: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lastRenderedPageBreak/>
        <w:t xml:space="preserve">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fue omiso en atender la solicitud de información. Ante la falta de respuesta, el diecinueve de mayo de dos mil veinticuatro, el particular interpuso recurso de revisión  en el cual hace valer los siguientes motivos de inconformidad:</w:t>
      </w:r>
    </w:p>
    <w:p w:rsidR="00944BE2" w:rsidRPr="006242E2" w:rsidRDefault="00944BE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944BE2" w:rsidRPr="00067328" w:rsidRDefault="00326A97" w:rsidP="00067328">
      <w:pPr>
        <w:pStyle w:val="Prrafodelista"/>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4"/>
        </w:rPr>
      </w:pPr>
      <w:r w:rsidRPr="00067328">
        <w:rPr>
          <w:rFonts w:ascii="Palatino Linotype" w:eastAsia="Palatino Linotype" w:hAnsi="Palatino Linotype" w:cs="Palatino Linotype"/>
          <w:b/>
          <w:color w:val="000000"/>
          <w:sz w:val="24"/>
        </w:rPr>
        <w:t>Acto Impugnado:</w:t>
      </w:r>
    </w:p>
    <w:p w:rsidR="00944BE2" w:rsidRPr="006242E2" w:rsidRDefault="00326A97" w:rsidP="0006732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i/>
          <w:color w:val="000000"/>
          <w:sz w:val="24"/>
          <w:szCs w:val="24"/>
        </w:rPr>
        <w:t xml:space="preserve">“El Sujeto Obligado no dio respuesta a la solicitud de información..” </w:t>
      </w:r>
    </w:p>
    <w:p w:rsidR="00944BE2" w:rsidRPr="006242E2" w:rsidRDefault="00944BE2" w:rsidP="0006732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sz w:val="24"/>
          <w:szCs w:val="24"/>
        </w:rPr>
      </w:pPr>
    </w:p>
    <w:p w:rsidR="00944BE2" w:rsidRPr="00067328" w:rsidRDefault="00326A97" w:rsidP="00067328">
      <w:pPr>
        <w:pStyle w:val="Prrafodelista"/>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4"/>
        </w:rPr>
      </w:pPr>
      <w:r w:rsidRPr="00067328">
        <w:rPr>
          <w:rFonts w:ascii="Palatino Linotype" w:eastAsia="Palatino Linotype" w:hAnsi="Palatino Linotype" w:cs="Palatino Linotype"/>
          <w:b/>
          <w:color w:val="000000"/>
          <w:sz w:val="24"/>
        </w:rPr>
        <w:t>Razones o Motivos de Inconformidad:</w:t>
      </w:r>
    </w:p>
    <w:p w:rsidR="00944BE2" w:rsidRPr="006242E2" w:rsidRDefault="00326A97" w:rsidP="00067328">
      <w:pPr>
        <w:pBdr>
          <w:top w:val="nil"/>
          <w:left w:val="nil"/>
          <w:bottom w:val="nil"/>
          <w:right w:val="nil"/>
          <w:between w:val="nil"/>
        </w:pBdr>
        <w:tabs>
          <w:tab w:val="left" w:pos="426"/>
        </w:tabs>
        <w:spacing w:line="360" w:lineRule="auto"/>
        <w:ind w:right="539"/>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i/>
          <w:color w:val="000000"/>
          <w:sz w:val="24"/>
          <w:szCs w:val="24"/>
        </w:rPr>
        <w:t xml:space="preserve">“La información solicitada es pública y, de acuerdo a la Ley de la materia, debería estar disponible en el sitio de internet del sujeto obligado o, como mínimo, en el portal de información pública de oficio mexiquense IPOMEX (si es que aún el Instituto de Transparencia lo revisa)..” </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Se registró el recurso de revisión bajo el número de expediente al rubro indicado, asimismo con fundamento en lo dispuesto por el artículo 185, fracción I, de la </w:t>
      </w:r>
      <w:r w:rsidRPr="006242E2">
        <w:rPr>
          <w:rFonts w:ascii="Palatino Linotype" w:eastAsia="Palatino Linotype" w:hAnsi="Palatino Linotype" w:cs="Palatino Linotype"/>
          <w:b/>
          <w:color w:val="000000"/>
          <w:sz w:val="24"/>
          <w:szCs w:val="24"/>
        </w:rPr>
        <w:t xml:space="preserve">Ley de Transparencia y Acceso a la Información Pública del Estado de México y Municipios </w:t>
      </w:r>
      <w:r w:rsidRPr="006242E2">
        <w:rPr>
          <w:rFonts w:ascii="Palatino Linotype" w:eastAsia="Palatino Linotype" w:hAnsi="Palatino Linotype" w:cs="Palatino Linotype"/>
          <w:color w:val="000000"/>
          <w:sz w:val="24"/>
          <w:szCs w:val="24"/>
        </w:rPr>
        <w:t xml:space="preserve">se turnó a la </w:t>
      </w:r>
      <w:r w:rsidRPr="006242E2">
        <w:rPr>
          <w:rFonts w:ascii="Palatino Linotype" w:eastAsia="Palatino Linotype" w:hAnsi="Palatino Linotype" w:cs="Palatino Linotype"/>
          <w:b/>
          <w:color w:val="000000"/>
          <w:sz w:val="24"/>
          <w:szCs w:val="24"/>
        </w:rPr>
        <w:t xml:space="preserve">Comisionada María del Rosario Mejía Ayala, </w:t>
      </w:r>
      <w:r w:rsidR="00067328">
        <w:rPr>
          <w:rFonts w:ascii="Palatino Linotype" w:eastAsia="Palatino Linotype" w:hAnsi="Palatino Linotype" w:cs="Palatino Linotype"/>
          <w:color w:val="000000"/>
          <w:sz w:val="24"/>
          <w:szCs w:val="24"/>
        </w:rPr>
        <w:t>para</w:t>
      </w:r>
      <w:r w:rsidRPr="006242E2">
        <w:rPr>
          <w:rFonts w:ascii="Palatino Linotype" w:eastAsia="Palatino Linotype" w:hAnsi="Palatino Linotype" w:cs="Palatino Linotype"/>
          <w:color w:val="000000"/>
          <w:sz w:val="24"/>
          <w:szCs w:val="24"/>
        </w:rPr>
        <w:t xml:space="preserve"> su análisis.</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de ocho de octubre de dos mil veinticuatro, puso a disposición de las partes el expediente electrónico vía </w:t>
      </w:r>
      <w:r w:rsidRPr="006242E2">
        <w:rPr>
          <w:rFonts w:ascii="Palatino Linotype" w:eastAsia="Palatino Linotype" w:hAnsi="Palatino Linotype" w:cs="Palatino Linotype"/>
          <w:b/>
          <w:color w:val="000000"/>
          <w:sz w:val="24"/>
          <w:szCs w:val="24"/>
        </w:rPr>
        <w:t xml:space="preserve">SAIMEX </w:t>
      </w:r>
      <w:r w:rsidRPr="006242E2">
        <w:rPr>
          <w:rFonts w:ascii="Palatino Linotype" w:eastAsia="Palatino Linotype" w:hAnsi="Palatino Linotype" w:cs="Palatino Linotype"/>
          <w:color w:val="000000"/>
          <w:sz w:val="24"/>
          <w:szCs w:val="24"/>
        </w:rPr>
        <w:t xml:space="preserve">a efecto de que en un plazo máximo de siete días manifestaran lo que a derecho </w:t>
      </w:r>
      <w:r w:rsidRPr="006242E2">
        <w:rPr>
          <w:rFonts w:ascii="Palatino Linotype" w:eastAsia="Palatino Linotype" w:hAnsi="Palatino Linotype" w:cs="Palatino Linotype"/>
          <w:color w:val="000000"/>
          <w:sz w:val="24"/>
          <w:szCs w:val="24"/>
        </w:rPr>
        <w:lastRenderedPageBreak/>
        <w:t xml:space="preserve">convinieran, ofrecieran pruebas y alegatos según corresponda al caso concreto, de esta forma para que 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presentara el informe justificado procedente.</w:t>
      </w:r>
    </w:p>
    <w:p w:rsidR="00944BE2" w:rsidRPr="006242E2" w:rsidRDefault="00944BE2">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i/>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El particular fue omiso en realizar manifestaciones que  a su derecho conviniera y asistiera. Por su parte el </w:t>
      </w:r>
      <w:r w:rsidRPr="006242E2">
        <w:rPr>
          <w:rFonts w:ascii="Palatino Linotype" w:eastAsia="Palatino Linotype" w:hAnsi="Palatino Linotype" w:cs="Palatino Linotype"/>
          <w:b/>
          <w:color w:val="000000"/>
          <w:sz w:val="24"/>
          <w:szCs w:val="24"/>
        </w:rPr>
        <w:t xml:space="preserve">SUJETO OBLIGADO </w:t>
      </w:r>
      <w:r w:rsidRPr="006242E2">
        <w:rPr>
          <w:rFonts w:ascii="Palatino Linotype" w:eastAsia="Palatino Linotype" w:hAnsi="Palatino Linotype" w:cs="Palatino Linotype"/>
          <w:color w:val="000000"/>
          <w:sz w:val="24"/>
          <w:szCs w:val="24"/>
        </w:rPr>
        <w:t>no rindió el informe justificado correspondiente.</w:t>
      </w:r>
    </w:p>
    <w:p w:rsidR="00944BE2" w:rsidRPr="006242E2" w:rsidRDefault="00944BE2">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El dieciocho de octubre de dos mil veinticuatro, la Comisionada Ponente decretó el cierre de instrucción. Por lo que turnó la presente resolución para su aprobación.</w:t>
      </w:r>
    </w:p>
    <w:p w:rsidR="00944BE2" w:rsidRPr="006242E2" w:rsidRDefault="00944BE2">
      <w:pPr>
        <w:spacing w:line="360" w:lineRule="auto"/>
        <w:rPr>
          <w:rFonts w:ascii="Palatino Linotype" w:eastAsia="Palatino Linotype" w:hAnsi="Palatino Linotype" w:cs="Palatino Linotype"/>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El once de noviembre de dos mil veinticuatro, se notificó a las partes la Resolución recaída al Recurso de Revisión </w:t>
      </w:r>
      <w:r w:rsidRPr="006242E2">
        <w:rPr>
          <w:rFonts w:ascii="Palatino Linotype" w:eastAsia="Palatino Linotype" w:hAnsi="Palatino Linotype" w:cs="Palatino Linotype"/>
          <w:b/>
          <w:color w:val="000000"/>
          <w:sz w:val="24"/>
          <w:szCs w:val="24"/>
        </w:rPr>
        <w:t>05883/INFOEM/IP/RR/2024</w:t>
      </w:r>
      <w:r w:rsidRPr="006242E2">
        <w:rPr>
          <w:rFonts w:ascii="Palatino Linotype" w:eastAsia="Palatino Linotype" w:hAnsi="Palatino Linotype" w:cs="Palatino Linotype"/>
          <w:color w:val="000000"/>
          <w:sz w:val="24"/>
          <w:szCs w:val="24"/>
        </w:rPr>
        <w:t>, vía SAIMEX.</w:t>
      </w:r>
    </w:p>
    <w:p w:rsidR="00944BE2" w:rsidRPr="006242E2" w:rsidRDefault="00944BE2">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Ante el incumplimiento de la Resolución notificada, el veintiocho de noviembre de dos mil veinticuatro, la Dirección de Cumplimientos de este Instituto, notificó el acuerdo de incumplimiento a la resolución emitida al recurso de revisión y ordenó al Departamento de Medidas de Apremio de la Dirección de Cumplimientos de este Instituto, a efecto de que integre la calificación de la gravedad de la falta.</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El trece de diciembre de dos mil veinticuatro, se notificó entre otros, el acuerdo mediante el cual el Pleno impone el apercibimiento como medida de apremio a diversos servidores públicos de los sujetos obligados, por el incumplimiento a resoluciones de recursos de revisión, de conformidad con lo dispuesto por el artículo 214, fracción I de la </w:t>
      </w:r>
      <w:r w:rsidRPr="006242E2">
        <w:rPr>
          <w:rFonts w:ascii="Palatino Linotype" w:eastAsia="Palatino Linotype" w:hAnsi="Palatino Linotype" w:cs="Palatino Linotype"/>
          <w:color w:val="000000"/>
          <w:sz w:val="24"/>
          <w:szCs w:val="24"/>
        </w:rPr>
        <w:lastRenderedPageBreak/>
        <w:t>Ley de Transparencia y Acceso a la Información Pública del Estado de México y Municipios.</w:t>
      </w:r>
    </w:p>
    <w:p w:rsidR="00944BE2" w:rsidRPr="006242E2" w:rsidRDefault="00944BE2">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El veinte de mayo de dos mil veinticinco, se notició, entre otros, el Acuerdo mediante el cual el Pleno impone el apercibimiento como medida de apremio a diversos servidores públicos de los Sujetos Obligados, por el incumplimiento a resoluciones de recursos de revisión, de conformidad con lo dispuesto por el artículo 214, fracción I de la Ley de Transparencia y Acceso a la Información Pública del Estado de México y Municipios.</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El día veintiuno de mayo del año en curso, el </w:t>
      </w:r>
      <w:r w:rsidRPr="006242E2">
        <w:rPr>
          <w:rFonts w:ascii="Palatino Linotype" w:eastAsia="Palatino Linotype" w:hAnsi="Palatino Linotype" w:cs="Palatino Linotype"/>
          <w:b/>
          <w:color w:val="000000"/>
          <w:sz w:val="24"/>
          <w:szCs w:val="24"/>
        </w:rPr>
        <w:t>RECURRENTE</w:t>
      </w:r>
      <w:r w:rsidRPr="006242E2">
        <w:rPr>
          <w:rFonts w:ascii="Palatino Linotype" w:eastAsia="Palatino Linotype" w:hAnsi="Palatino Linotype" w:cs="Palatino Linotype"/>
          <w:color w:val="000000"/>
          <w:sz w:val="24"/>
          <w:szCs w:val="24"/>
        </w:rPr>
        <w:t xml:space="preserve"> interpuso un segundo recurso de revisión en contra de la falta de cumplimiento a la resolución notificada, en el que señaló como </w:t>
      </w:r>
      <w:r w:rsidRPr="006242E2">
        <w:rPr>
          <w:rFonts w:ascii="Palatino Linotype" w:eastAsia="Palatino Linotype" w:hAnsi="Palatino Linotype" w:cs="Palatino Linotype"/>
          <w:b/>
          <w:color w:val="000000"/>
          <w:sz w:val="24"/>
          <w:szCs w:val="24"/>
        </w:rPr>
        <w:t>Acto Impugnado</w:t>
      </w:r>
      <w:r w:rsidRPr="006242E2">
        <w:rPr>
          <w:rFonts w:ascii="Palatino Linotype" w:eastAsia="Palatino Linotype" w:hAnsi="Palatino Linotype" w:cs="Palatino Linotype"/>
          <w:color w:val="000000"/>
          <w:sz w:val="24"/>
          <w:szCs w:val="24"/>
        </w:rPr>
        <w:t xml:space="preserve"> y </w:t>
      </w:r>
      <w:r w:rsidRPr="006242E2">
        <w:rPr>
          <w:rFonts w:ascii="Palatino Linotype" w:eastAsia="Palatino Linotype" w:hAnsi="Palatino Linotype" w:cs="Palatino Linotype"/>
          <w:b/>
          <w:color w:val="000000"/>
          <w:sz w:val="24"/>
          <w:szCs w:val="24"/>
        </w:rPr>
        <w:t>Razones o Motivos de la Inconformidad</w:t>
      </w:r>
      <w:r w:rsidRPr="006242E2">
        <w:rPr>
          <w:rFonts w:ascii="Palatino Linotype" w:eastAsia="Palatino Linotype" w:hAnsi="Palatino Linotype" w:cs="Palatino Linotype"/>
          <w:color w:val="000000"/>
          <w:sz w:val="24"/>
          <w:szCs w:val="24"/>
        </w:rPr>
        <w:t xml:space="preserve"> lo que a continuación se transcribe:</w:t>
      </w:r>
    </w:p>
    <w:p w:rsidR="00944BE2" w:rsidRPr="006242E2" w:rsidRDefault="00944BE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2"/>
        </w:numPr>
        <w:pBdr>
          <w:top w:val="nil"/>
          <w:left w:val="nil"/>
          <w:bottom w:val="nil"/>
          <w:right w:val="nil"/>
          <w:between w:val="nil"/>
        </w:pBdr>
        <w:spacing w:line="360" w:lineRule="auto"/>
        <w:ind w:right="397"/>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b/>
          <w:color w:val="000000"/>
          <w:sz w:val="24"/>
          <w:szCs w:val="24"/>
        </w:rPr>
        <w:t>Acto impugnado</w:t>
      </w:r>
      <w:r w:rsidRPr="006242E2">
        <w:rPr>
          <w:rFonts w:ascii="Palatino Linotype" w:eastAsia="Palatino Linotype" w:hAnsi="Palatino Linotype" w:cs="Palatino Linotype"/>
          <w:color w:val="000000"/>
          <w:sz w:val="24"/>
          <w:szCs w:val="24"/>
        </w:rPr>
        <w:t xml:space="preserve"> “</w:t>
      </w:r>
      <w:r w:rsidRPr="006242E2">
        <w:rPr>
          <w:rFonts w:ascii="Palatino Linotype" w:eastAsia="Palatino Linotype" w:hAnsi="Palatino Linotype" w:cs="Palatino Linotype"/>
          <w:i/>
          <w:color w:val="000000"/>
          <w:sz w:val="24"/>
          <w:szCs w:val="24"/>
        </w:rPr>
        <w:t>La falta de respuesta a la solicitud de información 00038/NOPALTE/IP/2024”</w:t>
      </w:r>
    </w:p>
    <w:p w:rsidR="00944BE2" w:rsidRPr="006242E2" w:rsidRDefault="00944BE2">
      <w:pPr>
        <w:spacing w:line="360" w:lineRule="auto"/>
        <w:ind w:left="1134" w:right="397"/>
        <w:jc w:val="both"/>
        <w:rPr>
          <w:rFonts w:ascii="Palatino Linotype" w:eastAsia="Palatino Linotype" w:hAnsi="Palatino Linotype" w:cs="Palatino Linotype"/>
          <w:sz w:val="24"/>
          <w:szCs w:val="24"/>
        </w:rPr>
      </w:pPr>
    </w:p>
    <w:p w:rsidR="00944BE2" w:rsidRPr="006242E2" w:rsidRDefault="00326A97">
      <w:pPr>
        <w:numPr>
          <w:ilvl w:val="0"/>
          <w:numId w:val="2"/>
        </w:numPr>
        <w:pBdr>
          <w:top w:val="nil"/>
          <w:left w:val="nil"/>
          <w:bottom w:val="nil"/>
          <w:right w:val="nil"/>
          <w:between w:val="nil"/>
        </w:pBdr>
        <w:spacing w:line="360" w:lineRule="auto"/>
        <w:ind w:right="397"/>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b/>
          <w:color w:val="000000"/>
          <w:sz w:val="24"/>
          <w:szCs w:val="24"/>
        </w:rPr>
        <w:t>Razones o motivos de la inconformidad</w:t>
      </w:r>
      <w:r w:rsidRPr="006242E2">
        <w:rPr>
          <w:rFonts w:ascii="Palatino Linotype" w:eastAsia="Palatino Linotype" w:hAnsi="Palatino Linotype" w:cs="Palatino Linotype"/>
          <w:color w:val="000000"/>
          <w:sz w:val="24"/>
          <w:szCs w:val="24"/>
        </w:rPr>
        <w:t xml:space="preserve"> “</w:t>
      </w:r>
      <w:r w:rsidRPr="006242E2">
        <w:rPr>
          <w:rFonts w:ascii="Palatino Linotype" w:eastAsia="Palatino Linotype" w:hAnsi="Palatino Linotype" w:cs="Palatino Linotype"/>
          <w:i/>
          <w:color w:val="000000"/>
          <w:sz w:val="24"/>
          <w:szCs w:val="24"/>
        </w:rPr>
        <w:t>A la fecha, (después de casi OCHO MESES) el Sujeto Obligado continua sin emitir respuesta a la solicitud de información interpuesta. Se deduce entonces que los apercibimientos, medidas de apremio y demás actos intimidatorios de quienes se supone velan por el cumplimiento de la Ley, le importan un cacahuate. O a la autoridad ahora tampoco le importa. Vamos muy bien. Se acabó el INAI. Sigue el Infoem. Gracias.</w:t>
      </w:r>
      <w:r w:rsidRPr="006242E2">
        <w:rPr>
          <w:rFonts w:ascii="Palatino Linotype" w:eastAsia="Palatino Linotype" w:hAnsi="Palatino Linotype" w:cs="Palatino Linotype"/>
          <w:color w:val="000000"/>
          <w:sz w:val="24"/>
          <w:szCs w:val="24"/>
        </w:rPr>
        <w:t>” (Sic)</w:t>
      </w: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color w:val="000000"/>
          <w:sz w:val="24"/>
          <w:szCs w:val="24"/>
        </w:rPr>
        <w:lastRenderedPageBreak/>
        <w:t xml:space="preserve">La Comisionada Ponente, con fundamento en lo dispuesto por el artículo 185, fracción II, de la ley de la materia, a través del acuerdo de admisión de veintiocho de mayo de dos mil veinticinco, puso a disposición de las partes el expediente electrónico vía </w:t>
      </w:r>
      <w:r w:rsidRPr="006242E2">
        <w:rPr>
          <w:rFonts w:ascii="Palatino Linotype" w:eastAsia="Palatino Linotype" w:hAnsi="Palatino Linotype" w:cs="Palatino Linotype"/>
          <w:b/>
          <w:color w:val="000000"/>
          <w:sz w:val="24"/>
          <w:szCs w:val="24"/>
        </w:rPr>
        <w:t xml:space="preserve">SAIMEX </w:t>
      </w:r>
      <w:r w:rsidRPr="006242E2">
        <w:rPr>
          <w:rFonts w:ascii="Palatino Linotype" w:eastAsia="Palatino Linotype" w:hAnsi="Palatino Linotype" w:cs="Palatino Linotype"/>
          <w:color w:val="000000"/>
          <w:sz w:val="24"/>
          <w:szCs w:val="24"/>
        </w:rPr>
        <w:t xml:space="preserve">a efecto de que en un plazo máximo de siete días manifestaran lo que a derecho convinieran, ofrecieran pruebas y alegatos según corresponda al caso concreto, de esta forma para que 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presentara el informe justificado procedente; siendo omisas ambas partes.</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Finalmente, el diecinueve de junio de dos mil veinticinco, al no existir diligencia o pendiente por desahogar, la Comisionada Ponente decretó el cierre del periodo de instrucción, por lo que ordenó turnar el expediente para su resolución, misma que ahora se pronuncia; y ------------------------------------------------------------------------------------</w:t>
      </w:r>
      <w:r w:rsidR="00067328">
        <w:rPr>
          <w:rFonts w:ascii="Palatino Linotype" w:eastAsia="Palatino Linotype" w:hAnsi="Palatino Linotype" w:cs="Palatino Linotype"/>
          <w:color w:val="000000"/>
          <w:sz w:val="24"/>
          <w:szCs w:val="24"/>
        </w:rPr>
        <w:t>------------</w:t>
      </w:r>
    </w:p>
    <w:p w:rsidR="00944BE2" w:rsidRPr="006242E2" w:rsidRDefault="00944BE2">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944BE2" w:rsidRPr="006242E2" w:rsidRDefault="00326A97">
      <w:pPr>
        <w:pStyle w:val="Ttulo1"/>
        <w:spacing w:before="0" w:line="360" w:lineRule="auto"/>
        <w:jc w:val="center"/>
        <w:rPr>
          <w:rFonts w:ascii="Palatino Linotype" w:eastAsia="Palatino Linotype" w:hAnsi="Palatino Linotype" w:cs="Palatino Linotype"/>
          <w:b/>
          <w:color w:val="000000"/>
          <w:sz w:val="24"/>
          <w:szCs w:val="24"/>
        </w:rPr>
      </w:pPr>
      <w:bookmarkStart w:id="2" w:name="_heading=h.yg8j2327ezjs" w:colFirst="0" w:colLast="0"/>
      <w:bookmarkEnd w:id="2"/>
      <w:r w:rsidRPr="006242E2">
        <w:rPr>
          <w:rFonts w:ascii="Palatino Linotype" w:eastAsia="Palatino Linotype" w:hAnsi="Palatino Linotype" w:cs="Palatino Linotype"/>
          <w:b/>
          <w:color w:val="000000"/>
          <w:sz w:val="24"/>
          <w:szCs w:val="24"/>
        </w:rPr>
        <w:t xml:space="preserve">C O N S I D E R A N D O </w:t>
      </w:r>
    </w:p>
    <w:p w:rsidR="00944BE2" w:rsidRPr="006242E2" w:rsidRDefault="00944BE2">
      <w:pPr>
        <w:spacing w:line="360" w:lineRule="auto"/>
        <w:rPr>
          <w:rFonts w:ascii="Palatino Linotype" w:eastAsia="Palatino Linotype" w:hAnsi="Palatino Linotype" w:cs="Palatino Linotype"/>
          <w:sz w:val="24"/>
          <w:szCs w:val="24"/>
        </w:rPr>
      </w:pPr>
    </w:p>
    <w:p w:rsidR="00944BE2" w:rsidRPr="006242E2" w:rsidRDefault="00326A97">
      <w:pPr>
        <w:pStyle w:val="Ttulo2"/>
        <w:spacing w:before="0" w:line="360" w:lineRule="auto"/>
        <w:rPr>
          <w:rFonts w:ascii="Palatino Linotype" w:eastAsia="Palatino Linotype" w:hAnsi="Palatino Linotype" w:cs="Palatino Linotype"/>
          <w:b/>
          <w:color w:val="000000"/>
          <w:sz w:val="24"/>
          <w:szCs w:val="24"/>
        </w:rPr>
      </w:pPr>
      <w:bookmarkStart w:id="3" w:name="_heading=h.9nuapjy9kcsr" w:colFirst="0" w:colLast="0"/>
      <w:bookmarkEnd w:id="3"/>
      <w:r w:rsidRPr="006242E2">
        <w:rPr>
          <w:rFonts w:ascii="Palatino Linotype" w:eastAsia="Palatino Linotype" w:hAnsi="Palatino Linotype" w:cs="Palatino Linotype"/>
          <w:b/>
          <w:color w:val="000000"/>
          <w:sz w:val="24"/>
          <w:szCs w:val="24"/>
        </w:rPr>
        <w:t>PRIMERO. De la competencia</w:t>
      </w: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w:t>
      </w:r>
      <w:r w:rsidRPr="006242E2">
        <w:rPr>
          <w:rFonts w:ascii="Palatino Linotype" w:eastAsia="Palatino Linotype" w:hAnsi="Palatino Linotype" w:cs="Palatino Linotype"/>
          <w:sz w:val="24"/>
          <w:szCs w:val="24"/>
        </w:rPr>
        <w:t>r</w:t>
      </w:r>
      <w:r w:rsidRPr="006242E2">
        <w:rPr>
          <w:rFonts w:ascii="Palatino Linotype" w:eastAsia="Palatino Linotype" w:hAnsi="Palatino Linotype" w:cs="Palatino Linotype"/>
          <w:color w:val="000000"/>
          <w:sz w:val="24"/>
          <w:szCs w:val="24"/>
        </w:rPr>
        <w:t xml:space="preserve">rafos trigésimo séptimo, trigésimo octavo y trigésimo noveno fracciones IV y V de la Constitución Política del Estado Libre y Soberano de México; </w:t>
      </w:r>
      <w:r w:rsidRPr="006242E2">
        <w:rPr>
          <w:rFonts w:ascii="Palatino Linotype" w:eastAsia="Palatino Linotype" w:hAnsi="Palatino Linotype" w:cs="Palatino Linotype"/>
          <w:sz w:val="24"/>
          <w:szCs w:val="24"/>
        </w:rPr>
        <w:t>ordinal</w:t>
      </w:r>
      <w:r w:rsidRPr="006242E2">
        <w:rPr>
          <w:rFonts w:ascii="Palatino Linotype" w:eastAsia="Palatino Linotype" w:hAnsi="Palatino Linotype" w:cs="Palatino Linotype"/>
          <w:color w:val="000000"/>
          <w:sz w:val="24"/>
          <w:szCs w:val="24"/>
        </w:rPr>
        <w:t xml:space="preserve"> 2, fracción II, 13, 29, 36, fracciones I y II, 176, 178, 179, 181 párrafo tercero y 185 de la Ley de Transparencia y Acceso a la Información Pública del Estado de México y Municipios; y 9, fracciones I y </w:t>
      </w:r>
      <w:r w:rsidRPr="006242E2">
        <w:rPr>
          <w:rFonts w:ascii="Palatino Linotype" w:eastAsia="Palatino Linotype" w:hAnsi="Palatino Linotype" w:cs="Palatino Linotype"/>
          <w:color w:val="000000"/>
          <w:sz w:val="24"/>
          <w:szCs w:val="24"/>
        </w:rPr>
        <w:lastRenderedPageBreak/>
        <w:t xml:space="preserve">XXIII y 11 del Reglamento </w:t>
      </w:r>
      <w:r w:rsidRPr="006242E2">
        <w:rPr>
          <w:rFonts w:ascii="Palatino Linotype" w:eastAsia="Palatino Linotype" w:hAnsi="Palatino Linotype" w:cs="Palatino Linotype"/>
          <w:sz w:val="24"/>
          <w:szCs w:val="24"/>
        </w:rPr>
        <w:t>Interior</w:t>
      </w:r>
      <w:r w:rsidRPr="006242E2">
        <w:rPr>
          <w:rFonts w:ascii="Palatino Linotype" w:eastAsia="Palatino Linotype" w:hAnsi="Palatino Linotype" w:cs="Palatino Linotype"/>
          <w:color w:val="000000"/>
          <w:sz w:val="24"/>
          <w:szCs w:val="24"/>
        </w:rPr>
        <w:t xml:space="preserve"> del Instituto de Transparencia, Acceso a la Información Pública y Protección de Datos Personales del Estado de México y Municipios.</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pStyle w:val="Ttulo2"/>
        <w:spacing w:before="0" w:line="360" w:lineRule="auto"/>
        <w:rPr>
          <w:rFonts w:ascii="Palatino Linotype" w:eastAsia="Palatino Linotype" w:hAnsi="Palatino Linotype" w:cs="Palatino Linotype"/>
          <w:b/>
          <w:color w:val="000000"/>
          <w:sz w:val="24"/>
          <w:szCs w:val="24"/>
        </w:rPr>
      </w:pPr>
      <w:bookmarkStart w:id="4" w:name="_heading=h.qpzna2o7msrd" w:colFirst="0" w:colLast="0"/>
      <w:bookmarkEnd w:id="4"/>
      <w:r w:rsidRPr="006242E2">
        <w:rPr>
          <w:rFonts w:ascii="Palatino Linotype" w:eastAsia="Palatino Linotype" w:hAnsi="Palatino Linotype" w:cs="Palatino Linotype"/>
          <w:b/>
          <w:color w:val="000000"/>
          <w:sz w:val="24"/>
          <w:szCs w:val="24"/>
        </w:rPr>
        <w:t>SEGUNDO. De la oportunidad y procedencia.</w:t>
      </w: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6242E2">
        <w:rPr>
          <w:rFonts w:ascii="Palatino Linotype" w:eastAsia="Palatino Linotype" w:hAnsi="Palatino Linotype" w:cs="Palatino Linotype"/>
          <w:b/>
          <w:sz w:val="24"/>
          <w:szCs w:val="24"/>
        </w:rPr>
        <w:t>SUJETO OBLIGADO</w:t>
      </w:r>
      <w:r w:rsidRPr="006242E2">
        <w:rPr>
          <w:rFonts w:ascii="Palatino Linotype" w:eastAsia="Palatino Linotype" w:hAnsi="Palatino Linotype" w:cs="Palatino Linotype"/>
          <w:sz w:val="24"/>
          <w:szCs w:val="24"/>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44BE2" w:rsidRPr="006242E2" w:rsidRDefault="00944BE2">
      <w:pP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sz w:val="24"/>
          <w:szCs w:val="24"/>
        </w:rPr>
        <w:t xml:space="preserve">Por ende, se constituye la figura jurídica de la </w:t>
      </w:r>
      <w:r w:rsidRPr="006242E2">
        <w:rPr>
          <w:rFonts w:ascii="Palatino Linotype" w:eastAsia="Palatino Linotype" w:hAnsi="Palatino Linotype" w:cs="Palatino Linotype"/>
          <w:i/>
          <w:sz w:val="24"/>
          <w:szCs w:val="24"/>
        </w:rPr>
        <w:t>negativa ficta</w:t>
      </w:r>
      <w:r w:rsidRPr="006242E2">
        <w:rPr>
          <w:rFonts w:ascii="Palatino Linotype" w:eastAsia="Palatino Linotype" w:hAnsi="Palatino Linotype" w:cs="Palatino Linotype"/>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6242E2">
        <w:rPr>
          <w:rFonts w:ascii="Palatino Linotype" w:eastAsia="Palatino Linotype" w:hAnsi="Palatino Linotype" w:cs="Palatino Linotype"/>
          <w:b/>
          <w:sz w:val="24"/>
          <w:szCs w:val="24"/>
        </w:rPr>
        <w:t>178</w:t>
      </w:r>
      <w:r w:rsidRPr="006242E2">
        <w:rPr>
          <w:rFonts w:ascii="Palatino Linotype" w:eastAsia="Palatino Linotype" w:hAnsi="Palatino Linotype" w:cs="Palatino Linotype"/>
          <w:sz w:val="24"/>
          <w:szCs w:val="24"/>
        </w:rPr>
        <w:t xml:space="preserve"> segundo párrafo de </w:t>
      </w:r>
      <w:r w:rsidRPr="006242E2">
        <w:rPr>
          <w:rFonts w:ascii="Palatino Linotype" w:eastAsia="Palatino Linotype" w:hAnsi="Palatino Linotype" w:cs="Palatino Linotype"/>
          <w:b/>
          <w:sz w:val="24"/>
          <w:szCs w:val="24"/>
        </w:rPr>
        <w:t>Ley de Transparencia y Acceso a la Información Pública del Estado de México y Municipios</w:t>
      </w:r>
      <w:r w:rsidRPr="006242E2">
        <w:rPr>
          <w:rFonts w:ascii="Palatino Linotype" w:eastAsia="Palatino Linotype" w:hAnsi="Palatino Linotype" w:cs="Palatino Linotype"/>
          <w:color w:val="000000"/>
          <w:sz w:val="24"/>
          <w:szCs w:val="24"/>
        </w:rPr>
        <w:t xml:space="preserve">, que dispone; ante la falta de respuesta del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dentro de los plazos establecidos en esta Ley, a una solicitud de acceso a la información pública, el recurso </w:t>
      </w:r>
      <w:r w:rsidRPr="006242E2">
        <w:rPr>
          <w:rFonts w:ascii="Palatino Linotype" w:eastAsia="Palatino Linotype" w:hAnsi="Palatino Linotype" w:cs="Palatino Linotype"/>
          <w:b/>
          <w:color w:val="000000"/>
          <w:sz w:val="24"/>
          <w:szCs w:val="24"/>
        </w:rPr>
        <w:t xml:space="preserve">podrá ser interpuesto en cualquier momento. </w:t>
      </w:r>
    </w:p>
    <w:p w:rsidR="00944BE2" w:rsidRPr="006242E2" w:rsidRDefault="00944BE2">
      <w:pPr>
        <w:tabs>
          <w:tab w:val="left" w:pos="426"/>
        </w:tabs>
        <w:spacing w:line="360" w:lineRule="auto"/>
        <w:rPr>
          <w:rFonts w:ascii="Palatino Linotype" w:eastAsia="Palatino Linotype" w:hAnsi="Palatino Linotype" w:cs="Palatino Linotype"/>
          <w:color w:val="000000"/>
          <w:sz w:val="24"/>
          <w:szCs w:val="24"/>
        </w:rPr>
      </w:pP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sz w:val="24"/>
          <w:szCs w:val="24"/>
        </w:rPr>
        <w:lastRenderedPageBreak/>
        <w:t xml:space="preserve">Por lo que, tratándose de la </w:t>
      </w:r>
      <w:r w:rsidRPr="006242E2">
        <w:rPr>
          <w:rFonts w:ascii="Palatino Linotype" w:eastAsia="Palatino Linotype" w:hAnsi="Palatino Linotype" w:cs="Palatino Linotype"/>
          <w:i/>
          <w:sz w:val="24"/>
          <w:szCs w:val="24"/>
        </w:rPr>
        <w:t>negativa ficta</w:t>
      </w:r>
      <w:r w:rsidRPr="006242E2">
        <w:rPr>
          <w:rFonts w:ascii="Palatino Linotype" w:eastAsia="Palatino Linotype" w:hAnsi="Palatino Linotype" w:cs="Palatino Linotype"/>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veinticuatro de abril de dos mil quince, relativo a la interposición del recurso de revisión en cualquier tiempo cuando exista </w:t>
      </w:r>
      <w:r w:rsidRPr="006242E2">
        <w:rPr>
          <w:rFonts w:ascii="Palatino Linotype" w:eastAsia="Palatino Linotype" w:hAnsi="Palatino Linotype" w:cs="Palatino Linotype"/>
          <w:i/>
          <w:sz w:val="24"/>
          <w:szCs w:val="24"/>
        </w:rPr>
        <w:t>negativa ficta</w:t>
      </w:r>
      <w:r w:rsidRPr="006242E2">
        <w:rPr>
          <w:rFonts w:ascii="Palatino Linotype" w:eastAsia="Palatino Linotype" w:hAnsi="Palatino Linotype" w:cs="Palatino Linotype"/>
          <w:sz w:val="24"/>
          <w:szCs w:val="24"/>
        </w:rPr>
        <w:t>, que señala:</w:t>
      </w:r>
    </w:p>
    <w:p w:rsidR="00944BE2" w:rsidRPr="006242E2" w:rsidRDefault="00326A97">
      <w:pPr>
        <w:tabs>
          <w:tab w:val="left" w:pos="284"/>
          <w:tab w:val="left" w:pos="7655"/>
        </w:tabs>
        <w:spacing w:line="360" w:lineRule="auto"/>
        <w:ind w:left="567" w:right="822"/>
        <w:jc w:val="center"/>
        <w:rPr>
          <w:rFonts w:ascii="Palatino Linotype" w:eastAsia="Palatino Linotype" w:hAnsi="Palatino Linotype" w:cs="Palatino Linotype"/>
          <w:b/>
          <w:sz w:val="24"/>
          <w:szCs w:val="24"/>
        </w:rPr>
      </w:pPr>
      <w:r w:rsidRPr="006242E2">
        <w:rPr>
          <w:rFonts w:ascii="Palatino Linotype" w:eastAsia="Palatino Linotype" w:hAnsi="Palatino Linotype" w:cs="Palatino Linotype"/>
          <w:b/>
          <w:sz w:val="24"/>
          <w:szCs w:val="24"/>
        </w:rPr>
        <w:t>Criterio 0001-15</w:t>
      </w:r>
    </w:p>
    <w:p w:rsidR="00944BE2" w:rsidRPr="006242E2" w:rsidRDefault="00326A97">
      <w:pPr>
        <w:tabs>
          <w:tab w:val="left" w:pos="284"/>
          <w:tab w:val="left" w:pos="7655"/>
        </w:tabs>
        <w:spacing w:line="360" w:lineRule="auto"/>
        <w:ind w:left="567" w:right="822"/>
        <w:jc w:val="both"/>
        <w:rPr>
          <w:rFonts w:ascii="Palatino Linotype" w:eastAsia="Palatino Linotype" w:hAnsi="Palatino Linotype" w:cs="Palatino Linotype"/>
          <w:i/>
          <w:sz w:val="24"/>
          <w:szCs w:val="24"/>
        </w:rPr>
      </w:pPr>
      <w:r w:rsidRPr="006242E2">
        <w:rPr>
          <w:rFonts w:ascii="Palatino Linotype" w:eastAsia="Palatino Linotype" w:hAnsi="Palatino Linotype" w:cs="Palatino Linotype"/>
          <w:b/>
          <w:i/>
          <w:sz w:val="24"/>
          <w:szCs w:val="24"/>
        </w:rPr>
        <w:t>NEGATIVA FICTA. PLAZO PARA INTERPONER EL RECURSO DE REVISIÓN TRATÁNDOSE DE.</w:t>
      </w:r>
      <w:r w:rsidRPr="006242E2">
        <w:rPr>
          <w:rFonts w:ascii="Palatino Linotype" w:eastAsia="Palatino Linotype" w:hAnsi="Palatino Linotype" w:cs="Palatino Linotype"/>
          <w:i/>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6242E2">
        <w:rPr>
          <w:rFonts w:ascii="Palatino Linotype" w:eastAsia="Palatino Linotype" w:hAnsi="Palatino Linotype" w:cs="Palatino Linotype"/>
          <w:i/>
          <w:sz w:val="24"/>
          <w:szCs w:val="24"/>
        </w:rPr>
        <w:lastRenderedPageBreak/>
        <w:t>dicte resolución expresa; es decir, mientras no haya respuesta por parte del Sujeto Obligado, momento a partir del cual deberá computarse el plazo previsto en el artículo 72 de la citada Ley.”</w:t>
      </w:r>
    </w:p>
    <w:p w:rsidR="00944BE2" w:rsidRPr="006242E2" w:rsidRDefault="00944BE2">
      <w:pPr>
        <w:tabs>
          <w:tab w:val="left" w:pos="284"/>
          <w:tab w:val="left" w:pos="7655"/>
        </w:tabs>
        <w:spacing w:line="360" w:lineRule="auto"/>
        <w:ind w:left="567" w:right="822"/>
        <w:jc w:val="both"/>
        <w:rPr>
          <w:rFonts w:ascii="Palatino Linotype" w:eastAsia="Palatino Linotype" w:hAnsi="Palatino Linotype" w:cs="Palatino Linotype"/>
          <w:i/>
          <w:sz w:val="24"/>
          <w:szCs w:val="24"/>
        </w:rPr>
      </w:pP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Lo anterior, se explica porque la </w:t>
      </w:r>
      <w:r w:rsidRPr="006242E2">
        <w:rPr>
          <w:rFonts w:ascii="Palatino Linotype" w:eastAsia="Palatino Linotype" w:hAnsi="Palatino Linotype" w:cs="Palatino Linotype"/>
          <w:b/>
          <w:color w:val="000000"/>
          <w:sz w:val="24"/>
          <w:szCs w:val="24"/>
          <w:u w:val="single"/>
        </w:rPr>
        <w:t>posible ausencia</w:t>
      </w:r>
      <w:r w:rsidRPr="006242E2">
        <w:rPr>
          <w:rFonts w:ascii="Palatino Linotype" w:eastAsia="Palatino Linotype" w:hAnsi="Palatino Linotype" w:cs="Palatino Linotype"/>
          <w:color w:val="000000"/>
          <w:sz w:val="24"/>
          <w:szCs w:val="24"/>
        </w:rPr>
        <w:t xml:space="preserve"> de una respuesta en la solicitud constituye un acto que vulnera el derecho de manera continua y actualizable cada día, en tanto no se emita la respuesta a la que esté impuesto 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w:t>
      </w:r>
    </w:p>
    <w:p w:rsidR="00944BE2" w:rsidRPr="006242E2" w:rsidRDefault="00944BE2">
      <w:pP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sz w:val="24"/>
          <w:szCs w:val="24"/>
        </w:rPr>
      </w:pPr>
      <w:r w:rsidRPr="006242E2">
        <w:rPr>
          <w:rFonts w:ascii="Palatino Linotype" w:eastAsia="Palatino Linotype" w:hAnsi="Palatino Linotype" w:cs="Palatino Linotype"/>
          <w:sz w:val="24"/>
          <w:szCs w:val="24"/>
        </w:rPr>
        <w:t xml:space="preserve">Por otra parte, de la revisión al expediente electrónico del </w:t>
      </w:r>
      <w:r w:rsidRPr="006242E2">
        <w:rPr>
          <w:rFonts w:ascii="Palatino Linotype" w:eastAsia="Palatino Linotype" w:hAnsi="Palatino Linotype" w:cs="Palatino Linotype"/>
          <w:b/>
          <w:sz w:val="24"/>
          <w:szCs w:val="24"/>
        </w:rPr>
        <w:t>SAIMEX</w:t>
      </w:r>
      <w:r w:rsidRPr="006242E2">
        <w:rPr>
          <w:rFonts w:ascii="Palatino Linotype" w:eastAsia="Palatino Linotype" w:hAnsi="Palatino Linotype" w:cs="Palatino Linotype"/>
          <w:sz w:val="24"/>
          <w:szCs w:val="24"/>
        </w:rPr>
        <w:t xml:space="preserve"> se desprende que la parte solicitante, en ejercicio de su derecho de acceso a la información pública en el expediente que se revisa, tanto en la solicitud de información como en el recurso de revisión </w:t>
      </w:r>
      <w:r w:rsidRPr="006242E2">
        <w:rPr>
          <w:rFonts w:ascii="Palatino Linotype" w:eastAsia="Palatino Linotype" w:hAnsi="Palatino Linotype" w:cs="Palatino Linotype"/>
          <w:b/>
          <w:sz w:val="24"/>
          <w:szCs w:val="24"/>
        </w:rPr>
        <w:t>no proporcionó ningún nombre, seudónimo o carácter para ser identificado, ni se tiene certeza de su identidad</w:t>
      </w:r>
      <w:r w:rsidRPr="006242E2">
        <w:rPr>
          <w:rFonts w:ascii="Palatino Linotype" w:eastAsia="Palatino Linotype" w:hAnsi="Palatino Linotype" w:cs="Palatino Linotype"/>
          <w:sz w:val="24"/>
          <w:szCs w:val="24"/>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944BE2" w:rsidRPr="006242E2" w:rsidRDefault="00944BE2">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sz w:val="24"/>
          <w:szCs w:val="24"/>
        </w:rPr>
      </w:pP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sz w:val="24"/>
          <w:szCs w:val="24"/>
        </w:rPr>
      </w:pPr>
      <w:r w:rsidRPr="006242E2">
        <w:rPr>
          <w:rFonts w:ascii="Palatino Linotype" w:eastAsia="Palatino Linotype" w:hAnsi="Palatino Linotype" w:cs="Palatino Linotype"/>
          <w:sz w:val="24"/>
          <w:szCs w:val="24"/>
        </w:rPr>
        <w:t xml:space="preserve">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w:t>
      </w:r>
      <w:r w:rsidRPr="006242E2">
        <w:rPr>
          <w:rFonts w:ascii="Palatino Linotype" w:eastAsia="Palatino Linotype" w:hAnsi="Palatino Linotype" w:cs="Palatino Linotype"/>
          <w:sz w:val="24"/>
          <w:szCs w:val="24"/>
        </w:rPr>
        <w:lastRenderedPageBreak/>
        <w:t>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44BE2" w:rsidRPr="006242E2" w:rsidRDefault="00944BE2">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sz w:val="24"/>
          <w:szCs w:val="24"/>
        </w:rPr>
      </w:pPr>
      <w:r w:rsidRPr="006242E2">
        <w:rPr>
          <w:rFonts w:ascii="Palatino Linotype" w:eastAsia="Palatino Linotype" w:hAnsi="Palatino Linotype" w:cs="Palatino Linotype"/>
          <w:sz w:val="24"/>
          <w:szCs w:val="24"/>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44BE2" w:rsidRPr="006242E2" w:rsidRDefault="00944BE2">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sz w:val="24"/>
          <w:szCs w:val="24"/>
        </w:rPr>
      </w:pP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sz w:val="24"/>
          <w:szCs w:val="24"/>
        </w:rPr>
      </w:pPr>
      <w:r w:rsidRPr="006242E2">
        <w:rPr>
          <w:rFonts w:ascii="Palatino Linotype" w:eastAsia="Palatino Linotype" w:hAnsi="Palatino Linotype" w:cs="Palatino Linotype"/>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44BE2" w:rsidRPr="006242E2" w:rsidRDefault="00944BE2">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sz w:val="24"/>
          <w:szCs w:val="24"/>
        </w:rPr>
      </w:pPr>
    </w:p>
    <w:p w:rsidR="00944BE2" w:rsidRPr="006242E2" w:rsidRDefault="00326A97">
      <w:pPr>
        <w:numPr>
          <w:ilvl w:val="0"/>
          <w:numId w:val="1"/>
        </w:numPr>
        <w:tabs>
          <w:tab w:val="left" w:pos="426"/>
        </w:tabs>
        <w:spacing w:line="360" w:lineRule="auto"/>
        <w:ind w:left="0" w:firstLine="0"/>
        <w:jc w:val="both"/>
        <w:rPr>
          <w:rFonts w:ascii="Palatino Linotype" w:eastAsia="Palatino Linotype" w:hAnsi="Palatino Linotype" w:cs="Palatino Linotype"/>
          <w:sz w:val="24"/>
          <w:szCs w:val="24"/>
        </w:rPr>
      </w:pPr>
      <w:r w:rsidRPr="006242E2">
        <w:rPr>
          <w:rFonts w:ascii="Palatino Linotype" w:eastAsia="Palatino Linotype" w:hAnsi="Palatino Linotype" w:cs="Palatino Linotype"/>
          <w:sz w:val="24"/>
          <w:szCs w:val="24"/>
        </w:rPr>
        <w:t xml:space="preserve">Por lo que el nombre del </w:t>
      </w:r>
      <w:r w:rsidRPr="006242E2">
        <w:rPr>
          <w:rFonts w:ascii="Palatino Linotype" w:eastAsia="Palatino Linotype" w:hAnsi="Palatino Linotype" w:cs="Palatino Linotype"/>
          <w:b/>
          <w:sz w:val="24"/>
          <w:szCs w:val="24"/>
        </w:rPr>
        <w:t>SOLICITANTE</w:t>
      </w:r>
      <w:r w:rsidRPr="006242E2">
        <w:rPr>
          <w:rFonts w:ascii="Palatino Linotype" w:eastAsia="Palatino Linotype" w:hAnsi="Palatino Linotype" w:cs="Palatino Linotype"/>
          <w:sz w:val="24"/>
          <w:szCs w:val="24"/>
        </w:rPr>
        <w:t xml:space="preserve"> y subsecuente </w:t>
      </w:r>
      <w:r w:rsidRPr="006242E2">
        <w:rPr>
          <w:rFonts w:ascii="Palatino Linotype" w:eastAsia="Palatino Linotype" w:hAnsi="Palatino Linotype" w:cs="Palatino Linotype"/>
          <w:b/>
          <w:sz w:val="24"/>
          <w:szCs w:val="24"/>
        </w:rPr>
        <w:t>RECURRENTE</w:t>
      </w:r>
      <w:r w:rsidRPr="006242E2">
        <w:rPr>
          <w:rFonts w:ascii="Palatino Linotype" w:eastAsia="Palatino Linotype" w:hAnsi="Palatino Linotype" w:cs="Palatino Linotype"/>
          <w:sz w:val="24"/>
          <w:szCs w:val="24"/>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944BE2" w:rsidRPr="006242E2" w:rsidRDefault="00326A97">
      <w:pPr>
        <w:numPr>
          <w:ilvl w:val="0"/>
          <w:numId w:val="1"/>
        </w:numPr>
        <w:tabs>
          <w:tab w:val="left" w:pos="426"/>
        </w:tabs>
        <w:spacing w:line="360" w:lineRule="auto"/>
        <w:ind w:left="0" w:right="49" w:firstLine="0"/>
        <w:jc w:val="both"/>
        <w:rPr>
          <w:rFonts w:ascii="Palatino Linotype" w:eastAsia="Palatino Linotype" w:hAnsi="Palatino Linotype" w:cs="Palatino Linotype"/>
          <w:b/>
          <w:sz w:val="24"/>
          <w:szCs w:val="24"/>
        </w:rPr>
      </w:pPr>
      <w:r w:rsidRPr="006242E2">
        <w:rPr>
          <w:rFonts w:ascii="Palatino Linotype" w:eastAsia="Palatino Linotype" w:hAnsi="Palatino Linotype" w:cs="Palatino Linotype"/>
          <w:sz w:val="24"/>
          <w:szCs w:val="24"/>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44BE2" w:rsidRPr="006242E2" w:rsidRDefault="00326A97">
      <w:pPr>
        <w:pStyle w:val="Ttulo1"/>
        <w:spacing w:before="0" w:line="360" w:lineRule="auto"/>
        <w:rPr>
          <w:rFonts w:ascii="Palatino Linotype" w:eastAsia="Palatino Linotype" w:hAnsi="Palatino Linotype" w:cs="Palatino Linotype"/>
          <w:b/>
          <w:color w:val="000000"/>
          <w:sz w:val="24"/>
          <w:szCs w:val="24"/>
        </w:rPr>
      </w:pPr>
      <w:bookmarkStart w:id="5" w:name="_heading=h.fongjul83uvw" w:colFirst="0" w:colLast="0"/>
      <w:bookmarkEnd w:id="5"/>
      <w:r w:rsidRPr="006242E2">
        <w:rPr>
          <w:rFonts w:ascii="Palatino Linotype" w:eastAsia="Palatino Linotype" w:hAnsi="Palatino Linotype" w:cs="Palatino Linotype"/>
          <w:b/>
          <w:color w:val="000000"/>
          <w:sz w:val="24"/>
          <w:szCs w:val="24"/>
        </w:rPr>
        <w:t xml:space="preserve">TERCERO. De las causales del sobreseimiento </w:t>
      </w:r>
    </w:p>
    <w:p w:rsidR="00944BE2" w:rsidRPr="006242E2" w:rsidRDefault="00944BE2">
      <w:pPr>
        <w:spacing w:line="360" w:lineRule="auto"/>
        <w:rPr>
          <w:rFonts w:ascii="Palatino Linotype" w:eastAsia="Palatino Linotype" w:hAnsi="Palatino Linotype" w:cs="Palatino Linotype"/>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Tal y como se puede apreciar en el expediente electrónico que obra en el SAIMEX, 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fue omiso en atender la solicitud de información que formuló el particular, aún y cuando la Constitución Política de los Estados Unidos Mexicanos establece que “[t]</w:t>
      </w:r>
      <w:r w:rsidRPr="006242E2">
        <w:rPr>
          <w:rFonts w:ascii="Palatino Linotype" w:eastAsia="Palatino Linotype" w:hAnsi="Palatino Linotype" w:cs="Palatino Linotype"/>
          <w:i/>
          <w:color w:val="000000"/>
          <w:sz w:val="24"/>
          <w:szCs w:val="24"/>
        </w:rPr>
        <w:t>odas las autoridades, en el ámbito de sus competencias, tienen la obligación de promover, respetar, proteger y garantizar los derechos humanos de conformidad con los principios de universalidad, interdependencia, indivisibilidad y progresividad…”</w:t>
      </w:r>
      <w:r w:rsidRPr="006242E2">
        <w:rPr>
          <w:rFonts w:ascii="Palatino Linotype" w:eastAsia="Palatino Linotype" w:hAnsi="Palatino Linotype" w:cs="Palatino Linotype"/>
          <w:i/>
          <w:color w:val="000000"/>
          <w:sz w:val="24"/>
          <w:szCs w:val="24"/>
          <w:vertAlign w:val="superscript"/>
        </w:rPr>
        <w:footnoteReference w:id="1"/>
      </w:r>
      <w:r w:rsidRPr="006242E2">
        <w:rPr>
          <w:rFonts w:ascii="Palatino Linotype" w:eastAsia="Palatino Linotype" w:hAnsi="Palatino Linotype" w:cs="Palatino Linotype"/>
          <w:color w:val="000000"/>
          <w:sz w:val="24"/>
          <w:szCs w:val="24"/>
        </w:rPr>
        <w:t>; por lo tanto, como el mismo ordenamiento refiere que “[t]</w:t>
      </w:r>
      <w:r w:rsidRPr="006242E2">
        <w:rPr>
          <w:rFonts w:ascii="Palatino Linotype" w:eastAsia="Palatino Linotype" w:hAnsi="Palatino Linotype" w:cs="Palatino Linotype"/>
          <w:i/>
          <w:color w:val="000000"/>
          <w:sz w:val="24"/>
          <w:szCs w:val="24"/>
        </w:rPr>
        <w:t>oda persona tiene derecho al libre acceso a información plural y oportuna, así como a buscar, recibir y difundir información e ideas de toda índole por cualquier medio de expresión.”</w:t>
      </w:r>
      <w:r w:rsidRPr="006242E2">
        <w:rPr>
          <w:rFonts w:ascii="Palatino Linotype" w:eastAsia="Palatino Linotype" w:hAnsi="Palatino Linotype" w:cs="Palatino Linotype"/>
          <w:i/>
          <w:color w:val="000000"/>
          <w:sz w:val="24"/>
          <w:szCs w:val="24"/>
          <w:vertAlign w:val="superscript"/>
        </w:rPr>
        <w:footnoteReference w:id="2"/>
      </w:r>
      <w:r w:rsidRPr="006242E2">
        <w:rPr>
          <w:rFonts w:ascii="Palatino Linotype" w:eastAsia="Palatino Linotype" w:hAnsi="Palatino Linotype" w:cs="Palatino Linotype"/>
          <w:i/>
          <w:color w:val="000000"/>
          <w:sz w:val="24"/>
          <w:szCs w:val="24"/>
        </w:rPr>
        <w:t xml:space="preserve">,  </w:t>
      </w:r>
      <w:r w:rsidRPr="006242E2">
        <w:rPr>
          <w:rFonts w:ascii="Palatino Linotype" w:eastAsia="Palatino Linotype" w:hAnsi="Palatino Linotype" w:cs="Palatino Linotype"/>
          <w:color w:val="000000"/>
          <w:sz w:val="24"/>
          <w:szCs w:val="24"/>
        </w:rPr>
        <w:t xml:space="preserve">se entiende que el acceso a la información es un derecho, por lo tanto, todas las autoridades en el ámbito de su competencia se ven impuestas por la obligación de </w:t>
      </w:r>
      <w:r w:rsidRPr="006242E2">
        <w:rPr>
          <w:rFonts w:ascii="Palatino Linotype" w:eastAsia="Palatino Linotype" w:hAnsi="Palatino Linotype" w:cs="Palatino Linotype"/>
          <w:b/>
          <w:color w:val="000000"/>
          <w:sz w:val="24"/>
          <w:szCs w:val="24"/>
        </w:rPr>
        <w:t>promover, proteger, respetar y garantizar</w:t>
      </w:r>
      <w:r w:rsidRPr="006242E2">
        <w:rPr>
          <w:rFonts w:ascii="Palatino Linotype" w:eastAsia="Palatino Linotype" w:hAnsi="Palatino Linotype" w:cs="Palatino Linotype"/>
          <w:color w:val="000000"/>
          <w:sz w:val="24"/>
          <w:szCs w:val="24"/>
        </w:rPr>
        <w:t xml:space="preserve"> el libre acceso a la información.</w:t>
      </w:r>
    </w:p>
    <w:p w:rsidR="00944BE2" w:rsidRPr="006242E2" w:rsidRDefault="00944BE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Es así, que la falta de respuesta a una solicitud implica una afectación directa al derecho humano que le asiste a la persona que solicita acceder a la información. En </w:t>
      </w:r>
      <w:r w:rsidRPr="006242E2">
        <w:rPr>
          <w:rFonts w:ascii="Palatino Linotype" w:eastAsia="Palatino Linotype" w:hAnsi="Palatino Linotype" w:cs="Palatino Linotype"/>
          <w:color w:val="000000"/>
          <w:sz w:val="24"/>
          <w:szCs w:val="24"/>
        </w:rPr>
        <w:lastRenderedPageBreak/>
        <w:t xml:space="preserve">conclusión tenemos que la autoridad responsable al ser omiso en emitir respuesta </w:t>
      </w:r>
      <w:r w:rsidRPr="006242E2">
        <w:rPr>
          <w:rFonts w:ascii="Palatino Linotype" w:eastAsia="Palatino Linotype" w:hAnsi="Palatino Linotype" w:cs="Palatino Linotype"/>
          <w:b/>
          <w:color w:val="000000"/>
          <w:sz w:val="24"/>
          <w:szCs w:val="24"/>
        </w:rPr>
        <w:t>no promovió, protegió, respetó ni garantizó el derecho constitucional y convencionalmente reconocido de acceso a la información</w:t>
      </w:r>
      <w:r w:rsidRPr="006242E2">
        <w:rPr>
          <w:rFonts w:ascii="Palatino Linotype" w:eastAsia="Palatino Linotype" w:hAnsi="Palatino Linotype" w:cs="Palatino Linotype"/>
          <w:color w:val="000000"/>
          <w:sz w:val="24"/>
          <w:szCs w:val="24"/>
        </w:rPr>
        <w:t xml:space="preserve">, toda vez que no brindó lo que le fue solicitado en el tiempo previamente establecido para tal efecto, provocando así que el particular deba de recurrir a </w:t>
      </w:r>
      <w:r w:rsidRPr="006242E2">
        <w:rPr>
          <w:rFonts w:ascii="Palatino Linotype" w:eastAsia="Palatino Linotype" w:hAnsi="Palatino Linotype" w:cs="Palatino Linotype"/>
          <w:i/>
          <w:color w:val="000000"/>
          <w:sz w:val="24"/>
          <w:szCs w:val="24"/>
        </w:rPr>
        <w:t>“la garantía secundaria mediante la cual se pretender reparar cualquier posible afectación al derecho de acceso a la información pública…”</w:t>
      </w:r>
      <w:r w:rsidRPr="006242E2">
        <w:rPr>
          <w:rFonts w:ascii="Palatino Linotype" w:eastAsia="Palatino Linotype" w:hAnsi="Palatino Linotype" w:cs="Palatino Linotype"/>
          <w:i/>
          <w:color w:val="000000"/>
          <w:sz w:val="24"/>
          <w:szCs w:val="24"/>
          <w:vertAlign w:val="superscript"/>
        </w:rPr>
        <w:footnoteReference w:id="3"/>
      </w:r>
      <w:r w:rsidRPr="006242E2">
        <w:rPr>
          <w:rFonts w:ascii="Palatino Linotype" w:eastAsia="Palatino Linotype" w:hAnsi="Palatino Linotype" w:cs="Palatino Linotype"/>
          <w:i/>
          <w:color w:val="000000"/>
          <w:sz w:val="24"/>
          <w:szCs w:val="24"/>
        </w:rPr>
        <w:t xml:space="preserve"> </w:t>
      </w:r>
      <w:r w:rsidRPr="006242E2">
        <w:rPr>
          <w:rFonts w:ascii="Palatino Linotype" w:eastAsia="Palatino Linotype" w:hAnsi="Palatino Linotype" w:cs="Palatino Linotype"/>
          <w:color w:val="000000"/>
          <w:sz w:val="24"/>
          <w:szCs w:val="24"/>
        </w:rPr>
        <w:t xml:space="preserve">siendo el recurso de revisión, mismo que fue interpuesto por el particular, derivado de la falta de respuesta a la solicitud de información. </w:t>
      </w:r>
    </w:p>
    <w:p w:rsidR="00944BE2" w:rsidRPr="006242E2" w:rsidRDefault="00944BE2">
      <w:pPr>
        <w:pBdr>
          <w:top w:val="nil"/>
          <w:left w:val="nil"/>
          <w:bottom w:val="nil"/>
          <w:right w:val="nil"/>
          <w:between w:val="nil"/>
        </w:pBdr>
        <w:tabs>
          <w:tab w:val="left" w:pos="426"/>
        </w:tabs>
        <w:spacing w:line="360" w:lineRule="auto"/>
        <w:ind w:left="720"/>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Ahora bien, el artículo 192 de la Ley de Transparencia del Estado de México y Municipios establece las causales por la que puede ser sobreseído el recurso de revisión:</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color w:val="000000"/>
          <w:sz w:val="24"/>
          <w:szCs w:val="24"/>
        </w:rPr>
        <w:t>“</w:t>
      </w:r>
      <w:r w:rsidRPr="006242E2">
        <w:rPr>
          <w:rFonts w:ascii="Palatino Linotype" w:eastAsia="Palatino Linotype" w:hAnsi="Palatino Linotype" w:cs="Palatino Linotype"/>
          <w:b/>
          <w:i/>
          <w:color w:val="000000"/>
          <w:sz w:val="24"/>
          <w:szCs w:val="24"/>
        </w:rPr>
        <w:t>Artículo 192.</w:t>
      </w:r>
      <w:r w:rsidRPr="006242E2">
        <w:rPr>
          <w:rFonts w:ascii="Palatino Linotype" w:eastAsia="Palatino Linotype" w:hAnsi="Palatino Linotype" w:cs="Palatino Linotype"/>
          <w:i/>
          <w:color w:val="000000"/>
          <w:sz w:val="24"/>
          <w:szCs w:val="24"/>
        </w:rPr>
        <w:t xml:space="preserve"> El recurso será sobreseído, en todo o en parte, cuando una vez admitido, se actualicen alguno de los siguientes supuestos:</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w:t>
      </w:r>
      <w:r w:rsidRPr="006242E2">
        <w:rPr>
          <w:rFonts w:ascii="Palatino Linotype" w:eastAsia="Palatino Linotype" w:hAnsi="Palatino Linotype" w:cs="Palatino Linotype"/>
          <w:i/>
          <w:color w:val="000000"/>
          <w:sz w:val="24"/>
          <w:szCs w:val="24"/>
        </w:rPr>
        <w:t xml:space="preserve"> El recurrente se desista expresamente del recurso;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II.</w:t>
      </w:r>
      <w:r w:rsidRPr="006242E2">
        <w:rPr>
          <w:rFonts w:ascii="Palatino Linotype" w:eastAsia="Palatino Linotype" w:hAnsi="Palatino Linotype" w:cs="Palatino Linotype"/>
          <w:i/>
          <w:color w:val="000000"/>
          <w:sz w:val="24"/>
          <w:szCs w:val="24"/>
        </w:rPr>
        <w:t xml:space="preserve"> El recurrente fallezca o, tratándose de personas jurídicas colectivas, se disuelva;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III.</w:t>
      </w:r>
      <w:r w:rsidRPr="006242E2">
        <w:rPr>
          <w:rFonts w:ascii="Palatino Linotype" w:eastAsia="Palatino Linotype" w:hAnsi="Palatino Linotype" w:cs="Palatino Linotype"/>
          <w:i/>
          <w:color w:val="000000"/>
          <w:sz w:val="24"/>
          <w:szCs w:val="24"/>
        </w:rPr>
        <w:t xml:space="preserve"> El sujeto obligado responsable del acto lo modifique o revoque de tal manera que el recurso de revisión quede sin materia;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b/>
          <w:i/>
          <w:color w:val="000000"/>
          <w:sz w:val="24"/>
          <w:szCs w:val="24"/>
        </w:rPr>
      </w:pPr>
      <w:r w:rsidRPr="006242E2">
        <w:rPr>
          <w:rFonts w:ascii="Palatino Linotype" w:eastAsia="Palatino Linotype" w:hAnsi="Palatino Linotype" w:cs="Palatino Linotype"/>
          <w:b/>
          <w:i/>
          <w:color w:val="000000"/>
          <w:sz w:val="24"/>
          <w:szCs w:val="24"/>
        </w:rPr>
        <w:t xml:space="preserve">IV. Admitido el recurso de revisión, aparezca alguna causal de improcedencia en los términos de la presente Ley; y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V.</w:t>
      </w:r>
      <w:r w:rsidRPr="006242E2">
        <w:rPr>
          <w:rFonts w:ascii="Palatino Linotype" w:eastAsia="Palatino Linotype" w:hAnsi="Palatino Linotype" w:cs="Palatino Linotype"/>
          <w:i/>
          <w:color w:val="000000"/>
          <w:sz w:val="24"/>
          <w:szCs w:val="24"/>
        </w:rPr>
        <w:t xml:space="preserve"> Cuando por cualquier motivo quede sin materia el recurso.”</w:t>
      </w:r>
    </w:p>
    <w:p w:rsidR="00944BE2" w:rsidRPr="006242E2" w:rsidRDefault="00944BE2">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lastRenderedPageBreak/>
        <w:t>Es así que, el precepto legal establece que cuando admitido el recurso de revisión no actualice una causal de procedencia, será sobreseído en términos de la Ley; consecuentemente, es necesario traer a contexto el artículo 191, fracción III, de la Ley en la materia, establece que el recurso de revisión será desechado por improcedente, cuando dicho medio no actualice alguno de los supuestos previstos en el diverso 179 de la presente Ley que establecen:</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 xml:space="preserve">“Artículo 191. </w:t>
      </w:r>
      <w:r w:rsidRPr="006242E2">
        <w:rPr>
          <w:rFonts w:ascii="Palatino Linotype" w:eastAsia="Palatino Linotype" w:hAnsi="Palatino Linotype" w:cs="Palatino Linotype"/>
          <w:i/>
          <w:color w:val="000000"/>
          <w:sz w:val="24"/>
          <w:szCs w:val="24"/>
        </w:rPr>
        <w:t>El recurso será desechado por improcedente cuando:</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w:t>
      </w:r>
      <w:r w:rsidRPr="006242E2">
        <w:rPr>
          <w:rFonts w:ascii="Palatino Linotype" w:eastAsia="Palatino Linotype" w:hAnsi="Palatino Linotype" w:cs="Palatino Linotype"/>
          <w:i/>
          <w:color w:val="000000"/>
          <w:sz w:val="24"/>
          <w:szCs w:val="24"/>
        </w:rPr>
        <w:t xml:space="preserve"> Sea extemporáneo por haber transcurrido el plazo establecido en la presente Ley, a partir de la respuesta;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II.</w:t>
      </w:r>
      <w:r w:rsidRPr="006242E2">
        <w:rPr>
          <w:rFonts w:ascii="Palatino Linotype" w:eastAsia="Palatino Linotype" w:hAnsi="Palatino Linotype" w:cs="Palatino Linotype"/>
          <w:i/>
          <w:color w:val="000000"/>
          <w:sz w:val="24"/>
          <w:szCs w:val="24"/>
        </w:rPr>
        <w:t xml:space="preserve"> Se esté tramitando ante el Poder Judicial de la Federación algún recurso o medio de defensa interpuesto por el recurrente;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b/>
          <w:i/>
          <w:color w:val="000000"/>
          <w:sz w:val="24"/>
          <w:szCs w:val="24"/>
        </w:rPr>
      </w:pPr>
      <w:r w:rsidRPr="006242E2">
        <w:rPr>
          <w:rFonts w:ascii="Palatino Linotype" w:eastAsia="Palatino Linotype" w:hAnsi="Palatino Linotype" w:cs="Palatino Linotype"/>
          <w:b/>
          <w:i/>
          <w:color w:val="000000"/>
          <w:sz w:val="24"/>
          <w:szCs w:val="24"/>
        </w:rPr>
        <w:t xml:space="preserve">III. No actualice alguno de los supuestos previstos en la presente Ley;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IV.</w:t>
      </w:r>
      <w:r w:rsidRPr="006242E2">
        <w:rPr>
          <w:rFonts w:ascii="Palatino Linotype" w:eastAsia="Palatino Linotype" w:hAnsi="Palatino Linotype" w:cs="Palatino Linotype"/>
          <w:i/>
          <w:color w:val="000000"/>
          <w:sz w:val="24"/>
          <w:szCs w:val="24"/>
        </w:rPr>
        <w:t xml:space="preserve"> No se haya desahogado la prevención en los términos establecidos en la presente Ley;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V.</w:t>
      </w:r>
      <w:r w:rsidRPr="006242E2">
        <w:rPr>
          <w:rFonts w:ascii="Palatino Linotype" w:eastAsia="Palatino Linotype" w:hAnsi="Palatino Linotype" w:cs="Palatino Linotype"/>
          <w:i/>
          <w:color w:val="000000"/>
          <w:sz w:val="24"/>
          <w:szCs w:val="24"/>
        </w:rPr>
        <w:t xml:space="preserve"> Se impugne la veracidad de la información proporcionada;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VI.</w:t>
      </w:r>
      <w:r w:rsidRPr="006242E2">
        <w:rPr>
          <w:rFonts w:ascii="Palatino Linotype" w:eastAsia="Palatino Linotype" w:hAnsi="Palatino Linotype" w:cs="Palatino Linotype"/>
          <w:i/>
          <w:color w:val="000000"/>
          <w:sz w:val="24"/>
          <w:szCs w:val="24"/>
        </w:rPr>
        <w:t xml:space="preserve"> Se trate de una consulta, o trámite en específico; y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b/>
          <w:i/>
          <w:color w:val="000000"/>
          <w:sz w:val="24"/>
          <w:szCs w:val="24"/>
        </w:rPr>
        <w:t>VII.</w:t>
      </w:r>
      <w:r w:rsidRPr="006242E2">
        <w:rPr>
          <w:rFonts w:ascii="Palatino Linotype" w:eastAsia="Palatino Linotype" w:hAnsi="Palatino Linotype" w:cs="Palatino Linotype"/>
          <w:i/>
          <w:color w:val="000000"/>
          <w:sz w:val="24"/>
          <w:szCs w:val="24"/>
        </w:rPr>
        <w:t xml:space="preserve"> El recurrente amplíe su solicitud en el recurso de revisión, únicamente respecto de los nuevos contenidos.</w:t>
      </w:r>
    </w:p>
    <w:p w:rsidR="00944BE2" w:rsidRPr="006242E2" w:rsidRDefault="00944BE2">
      <w:pPr>
        <w:pBdr>
          <w:top w:val="nil"/>
          <w:left w:val="nil"/>
          <w:bottom w:val="nil"/>
          <w:right w:val="nil"/>
          <w:between w:val="nil"/>
        </w:pBdr>
        <w:spacing w:line="360" w:lineRule="auto"/>
        <w:ind w:left="851" w:right="822"/>
        <w:jc w:val="both"/>
        <w:rPr>
          <w:rFonts w:ascii="Palatino Linotype" w:eastAsia="Palatino Linotype" w:hAnsi="Palatino Linotype" w:cs="Palatino Linotype"/>
          <w:color w:val="000000"/>
          <w:sz w:val="24"/>
          <w:szCs w:val="24"/>
        </w:rPr>
      </w:pP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 xml:space="preserve">“Artículo 179. </w:t>
      </w:r>
      <w:r w:rsidRPr="006242E2">
        <w:rPr>
          <w:rFonts w:ascii="Palatino Linotype" w:eastAsia="Palatino Linotype" w:hAnsi="Palatino Linotype" w:cs="Palatino Linotype"/>
          <w:i/>
          <w:color w:val="000000"/>
          <w:sz w:val="24"/>
          <w:szCs w:val="24"/>
        </w:rPr>
        <w:t xml:space="preserve">El recurso de revisión es un medio de protección que la Ley otorga a los particulares, para hacer valer su derecho de acceso a la información pública, y procederá en contra de las siguientes causas: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w:t>
      </w:r>
      <w:r w:rsidRPr="006242E2">
        <w:rPr>
          <w:rFonts w:ascii="Palatino Linotype" w:eastAsia="Palatino Linotype" w:hAnsi="Palatino Linotype" w:cs="Palatino Linotype"/>
          <w:i/>
          <w:color w:val="000000"/>
          <w:sz w:val="24"/>
          <w:szCs w:val="24"/>
        </w:rPr>
        <w:t xml:space="preserve"> La negativa a la información solicitada;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lastRenderedPageBreak/>
        <w:t>II.</w:t>
      </w:r>
      <w:r w:rsidRPr="006242E2">
        <w:rPr>
          <w:rFonts w:ascii="Palatino Linotype" w:eastAsia="Palatino Linotype" w:hAnsi="Palatino Linotype" w:cs="Palatino Linotype"/>
          <w:i/>
          <w:color w:val="000000"/>
          <w:sz w:val="24"/>
          <w:szCs w:val="24"/>
        </w:rPr>
        <w:t xml:space="preserve"> La clasificación de la información;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III.</w:t>
      </w:r>
      <w:r w:rsidRPr="006242E2">
        <w:rPr>
          <w:rFonts w:ascii="Palatino Linotype" w:eastAsia="Palatino Linotype" w:hAnsi="Palatino Linotype" w:cs="Palatino Linotype"/>
          <w:i/>
          <w:color w:val="000000"/>
          <w:sz w:val="24"/>
          <w:szCs w:val="24"/>
        </w:rPr>
        <w:t xml:space="preserve"> La declaración de inexistencia de la información;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IV.</w:t>
      </w:r>
      <w:r w:rsidRPr="006242E2">
        <w:rPr>
          <w:rFonts w:ascii="Palatino Linotype" w:eastAsia="Palatino Linotype" w:hAnsi="Palatino Linotype" w:cs="Palatino Linotype"/>
          <w:i/>
          <w:color w:val="000000"/>
          <w:sz w:val="24"/>
          <w:szCs w:val="24"/>
        </w:rPr>
        <w:t xml:space="preserve"> La declaración de incompetencia por el sujeto obligado;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V.</w:t>
      </w:r>
      <w:r w:rsidRPr="006242E2">
        <w:rPr>
          <w:rFonts w:ascii="Palatino Linotype" w:eastAsia="Palatino Linotype" w:hAnsi="Palatino Linotype" w:cs="Palatino Linotype"/>
          <w:i/>
          <w:color w:val="000000"/>
          <w:sz w:val="24"/>
          <w:szCs w:val="24"/>
        </w:rPr>
        <w:t xml:space="preserve"> La entrega de información incompleta;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VI.</w:t>
      </w:r>
      <w:r w:rsidRPr="006242E2">
        <w:rPr>
          <w:rFonts w:ascii="Palatino Linotype" w:eastAsia="Palatino Linotype" w:hAnsi="Palatino Linotype" w:cs="Palatino Linotype"/>
          <w:i/>
          <w:color w:val="000000"/>
          <w:sz w:val="24"/>
          <w:szCs w:val="24"/>
        </w:rPr>
        <w:t xml:space="preserve"> La entrega de información que no corresponda con lo solicitado;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VII.</w:t>
      </w:r>
      <w:r w:rsidRPr="006242E2">
        <w:rPr>
          <w:rFonts w:ascii="Palatino Linotype" w:eastAsia="Palatino Linotype" w:hAnsi="Palatino Linotype" w:cs="Palatino Linotype"/>
          <w:i/>
          <w:color w:val="000000"/>
          <w:sz w:val="24"/>
          <w:szCs w:val="24"/>
        </w:rPr>
        <w:t xml:space="preserve"> La falta de respuesta a una solicitud de acceso a la información;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VIII.</w:t>
      </w:r>
      <w:r w:rsidRPr="006242E2">
        <w:rPr>
          <w:rFonts w:ascii="Palatino Linotype" w:eastAsia="Palatino Linotype" w:hAnsi="Palatino Linotype" w:cs="Palatino Linotype"/>
          <w:i/>
          <w:color w:val="000000"/>
          <w:sz w:val="24"/>
          <w:szCs w:val="24"/>
        </w:rPr>
        <w:t xml:space="preserve"> La notificación, entrega o puesta a disposición de información en una modalidad o formato distinto al solicitado;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 xml:space="preserve">IX. </w:t>
      </w:r>
      <w:r w:rsidRPr="006242E2">
        <w:rPr>
          <w:rFonts w:ascii="Palatino Linotype" w:eastAsia="Palatino Linotype" w:hAnsi="Palatino Linotype" w:cs="Palatino Linotype"/>
          <w:i/>
          <w:color w:val="000000"/>
          <w:sz w:val="24"/>
          <w:szCs w:val="24"/>
        </w:rPr>
        <w:t xml:space="preserve">La entrega o puesta a disposición de información en un formato incomprensible y/o no accesible para el solicitante;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X.</w:t>
      </w:r>
      <w:r w:rsidRPr="006242E2">
        <w:rPr>
          <w:rFonts w:ascii="Palatino Linotype" w:eastAsia="Palatino Linotype" w:hAnsi="Palatino Linotype" w:cs="Palatino Linotype"/>
          <w:i/>
          <w:color w:val="000000"/>
          <w:sz w:val="24"/>
          <w:szCs w:val="24"/>
        </w:rPr>
        <w:t xml:space="preserve"> Los costos o tiempos de entrega de la información;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XI.</w:t>
      </w:r>
      <w:r w:rsidRPr="006242E2">
        <w:rPr>
          <w:rFonts w:ascii="Palatino Linotype" w:eastAsia="Palatino Linotype" w:hAnsi="Palatino Linotype" w:cs="Palatino Linotype"/>
          <w:i/>
          <w:color w:val="000000"/>
          <w:sz w:val="24"/>
          <w:szCs w:val="24"/>
        </w:rPr>
        <w:t xml:space="preserve"> La falta de trámite a una solicitud;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XII.</w:t>
      </w:r>
      <w:r w:rsidRPr="006242E2">
        <w:rPr>
          <w:rFonts w:ascii="Palatino Linotype" w:eastAsia="Palatino Linotype" w:hAnsi="Palatino Linotype" w:cs="Palatino Linotype"/>
          <w:i/>
          <w:color w:val="000000"/>
          <w:sz w:val="24"/>
          <w:szCs w:val="24"/>
        </w:rPr>
        <w:t xml:space="preserve"> La negativa a permitir la consulta directa de la información; </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XIII.</w:t>
      </w:r>
      <w:r w:rsidRPr="006242E2">
        <w:rPr>
          <w:rFonts w:ascii="Palatino Linotype" w:eastAsia="Palatino Linotype" w:hAnsi="Palatino Linotype" w:cs="Palatino Linotype"/>
          <w:i/>
          <w:color w:val="000000"/>
          <w:sz w:val="24"/>
          <w:szCs w:val="24"/>
        </w:rPr>
        <w:t xml:space="preserve"> La falta, deficiencia o insuficiencia de la fundamentación y/o motivación en la respuesta; y </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b/>
          <w:i/>
          <w:color w:val="000000"/>
          <w:sz w:val="24"/>
          <w:szCs w:val="24"/>
        </w:rPr>
        <w:t>XIV.</w:t>
      </w:r>
      <w:r w:rsidRPr="006242E2">
        <w:rPr>
          <w:rFonts w:ascii="Palatino Linotype" w:eastAsia="Palatino Linotype" w:hAnsi="Palatino Linotype" w:cs="Palatino Linotype"/>
          <w:i/>
          <w:color w:val="000000"/>
          <w:sz w:val="24"/>
          <w:szCs w:val="24"/>
        </w:rPr>
        <w:t xml:space="preserve"> La orientación a un trámite específico.</w:t>
      </w:r>
    </w:p>
    <w:p w:rsidR="00944BE2" w:rsidRPr="006242E2" w:rsidRDefault="00326A97">
      <w:pPr>
        <w:pBdr>
          <w:top w:val="nil"/>
          <w:left w:val="nil"/>
          <w:bottom w:val="nil"/>
          <w:right w:val="nil"/>
          <w:between w:val="nil"/>
        </w:pBdr>
        <w:spacing w:line="360" w:lineRule="auto"/>
        <w:ind w:left="851" w:right="822"/>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i/>
          <w:color w:val="000000"/>
          <w:sz w:val="24"/>
          <w:szCs w:val="24"/>
        </w:rPr>
        <w:t>...”</w:t>
      </w:r>
    </w:p>
    <w:p w:rsidR="00944BE2" w:rsidRPr="006242E2" w:rsidRDefault="00944BE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Puntualizado lo anterior, es necesario precisar que en el presente recurso de revisión, se dictó una resolución en la trigésima octava sesión ordinaria celebrada el seis de noviembre de dos mil veinticuatro, en la que se determinó como causal de procedencia, la fracción VII, del artículo 179 de la Ley de Transparencia y Acceso a la Información </w:t>
      </w:r>
      <w:r w:rsidRPr="006242E2">
        <w:rPr>
          <w:rFonts w:ascii="Palatino Linotype" w:eastAsia="Palatino Linotype" w:hAnsi="Palatino Linotype" w:cs="Palatino Linotype"/>
          <w:color w:val="000000"/>
          <w:sz w:val="24"/>
          <w:szCs w:val="24"/>
        </w:rPr>
        <w:lastRenderedPageBreak/>
        <w:t>Pública del Estado de México y Municipios, en la que se ordenó dar trámite a la solicitud de información, tal como se reitera en las siguientes líneas:</w:t>
      </w:r>
    </w:p>
    <w:p w:rsidR="00944BE2" w:rsidRPr="006242E2" w:rsidRDefault="00326A97">
      <w:pPr>
        <w:pBdr>
          <w:top w:val="nil"/>
          <w:left w:val="nil"/>
          <w:bottom w:val="nil"/>
          <w:right w:val="nil"/>
          <w:between w:val="nil"/>
        </w:pBdr>
        <w:spacing w:line="360" w:lineRule="auto"/>
        <w:ind w:left="426" w:right="680"/>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i/>
          <w:color w:val="000000"/>
          <w:sz w:val="24"/>
          <w:szCs w:val="24"/>
        </w:rPr>
        <w:t>“PRIMERO. Resultan fundadas las razones o motivos de inconformidad hechos valer por el Recurrente, en términos del considerando TERCERO, de la presente resolución</w:t>
      </w:r>
    </w:p>
    <w:p w:rsidR="00944BE2" w:rsidRPr="006242E2" w:rsidRDefault="00944BE2">
      <w:pPr>
        <w:pBdr>
          <w:top w:val="nil"/>
          <w:left w:val="nil"/>
          <w:bottom w:val="nil"/>
          <w:right w:val="nil"/>
          <w:between w:val="nil"/>
        </w:pBdr>
        <w:spacing w:line="360" w:lineRule="auto"/>
        <w:ind w:left="426" w:right="680"/>
        <w:jc w:val="both"/>
        <w:rPr>
          <w:rFonts w:ascii="Palatino Linotype" w:eastAsia="Palatino Linotype" w:hAnsi="Palatino Linotype" w:cs="Palatino Linotype"/>
          <w:i/>
          <w:color w:val="000000"/>
          <w:sz w:val="24"/>
          <w:szCs w:val="24"/>
        </w:rPr>
      </w:pPr>
    </w:p>
    <w:p w:rsidR="00944BE2" w:rsidRPr="006242E2" w:rsidRDefault="00326A97">
      <w:pPr>
        <w:pBdr>
          <w:top w:val="nil"/>
          <w:left w:val="nil"/>
          <w:bottom w:val="nil"/>
          <w:right w:val="nil"/>
          <w:between w:val="nil"/>
        </w:pBdr>
        <w:spacing w:line="360" w:lineRule="auto"/>
        <w:ind w:left="426" w:right="680"/>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i/>
          <w:color w:val="000000"/>
          <w:sz w:val="24"/>
          <w:szCs w:val="24"/>
        </w:rPr>
        <w:t>SEGUNDO. Se ORDENA al Sujeto Obligado atienda la solicitud de información 00038/NOPALTE/IP/2024, vía Sistema de Acceso a la Información Mexiquense (SAIMEX), en términos del Considerando TERCERO de esta resolución.</w:t>
      </w:r>
    </w:p>
    <w:p w:rsidR="00944BE2" w:rsidRPr="006242E2" w:rsidRDefault="00326A97">
      <w:pPr>
        <w:pBdr>
          <w:top w:val="nil"/>
          <w:left w:val="nil"/>
          <w:bottom w:val="nil"/>
          <w:right w:val="nil"/>
          <w:between w:val="nil"/>
        </w:pBdr>
        <w:spacing w:line="360" w:lineRule="auto"/>
        <w:ind w:left="426" w:right="680"/>
        <w:jc w:val="center"/>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w:t>
      </w:r>
    </w:p>
    <w:p w:rsidR="00944BE2" w:rsidRPr="006242E2" w:rsidRDefault="00326A97">
      <w:pPr>
        <w:pBdr>
          <w:top w:val="nil"/>
          <w:left w:val="nil"/>
          <w:bottom w:val="nil"/>
          <w:right w:val="nil"/>
          <w:between w:val="nil"/>
        </w:pBdr>
        <w:spacing w:line="360" w:lineRule="auto"/>
        <w:ind w:left="426" w:right="680"/>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i/>
          <w:color w:val="000000"/>
          <w:sz w:val="24"/>
          <w:szCs w:val="24"/>
        </w:rPr>
        <w:t>QUINTO.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944BE2" w:rsidRPr="006242E2" w:rsidRDefault="00326A97">
      <w:pPr>
        <w:pBdr>
          <w:top w:val="nil"/>
          <w:left w:val="nil"/>
          <w:bottom w:val="nil"/>
          <w:right w:val="nil"/>
          <w:between w:val="nil"/>
        </w:pBdr>
        <w:spacing w:line="360" w:lineRule="auto"/>
        <w:ind w:left="426" w:right="680"/>
        <w:jc w:val="center"/>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w:t>
      </w:r>
    </w:p>
    <w:p w:rsidR="00944BE2" w:rsidRPr="006242E2" w:rsidRDefault="00944BE2">
      <w:pPr>
        <w:pBdr>
          <w:top w:val="nil"/>
          <w:left w:val="nil"/>
          <w:bottom w:val="nil"/>
          <w:right w:val="nil"/>
          <w:between w:val="nil"/>
        </w:pBdr>
        <w:spacing w:line="360" w:lineRule="auto"/>
        <w:ind w:left="851" w:right="822"/>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bookmarkStart w:id="6" w:name="_heading=h.w561bdi89tcm" w:colFirst="0" w:colLast="0"/>
      <w:bookmarkEnd w:id="6"/>
      <w:r w:rsidRPr="006242E2">
        <w:rPr>
          <w:rFonts w:ascii="Palatino Linotype" w:eastAsia="Palatino Linotype" w:hAnsi="Palatino Linotype" w:cs="Palatino Linotype"/>
          <w:color w:val="000000"/>
          <w:sz w:val="24"/>
          <w:szCs w:val="24"/>
        </w:rPr>
        <w:t xml:space="preserve">Así las cosas, como se advierte en el en el </w:t>
      </w:r>
      <w:r w:rsidRPr="006242E2">
        <w:rPr>
          <w:rFonts w:ascii="Palatino Linotype" w:eastAsia="Palatino Linotype" w:hAnsi="Palatino Linotype" w:cs="Palatino Linotype"/>
          <w:b/>
          <w:color w:val="000000"/>
          <w:sz w:val="24"/>
          <w:szCs w:val="24"/>
        </w:rPr>
        <w:t>Resolutivo QUINTO</w:t>
      </w:r>
      <w:r w:rsidRPr="006242E2">
        <w:rPr>
          <w:rFonts w:ascii="Palatino Linotype" w:eastAsia="Palatino Linotype" w:hAnsi="Palatino Linotype" w:cs="Palatino Linotype"/>
          <w:color w:val="000000"/>
          <w:sz w:val="24"/>
          <w:szCs w:val="24"/>
        </w:rPr>
        <w:t xml:space="preserve">, se hizo del conocimiento al </w:t>
      </w:r>
      <w:r w:rsidRPr="006242E2">
        <w:rPr>
          <w:rFonts w:ascii="Palatino Linotype" w:eastAsia="Palatino Linotype" w:hAnsi="Palatino Linotype" w:cs="Palatino Linotype"/>
          <w:b/>
          <w:color w:val="000000"/>
          <w:sz w:val="24"/>
          <w:szCs w:val="24"/>
        </w:rPr>
        <w:t>RECURRENTE</w:t>
      </w:r>
      <w:r w:rsidRPr="006242E2">
        <w:rPr>
          <w:rFonts w:ascii="Palatino Linotype" w:eastAsia="Palatino Linotype" w:hAnsi="Palatino Linotype" w:cs="Palatino Linotype"/>
          <w:color w:val="000000"/>
          <w:sz w:val="24"/>
          <w:szCs w:val="24"/>
        </w:rPr>
        <w:t xml:space="preserve"> que tenía derecho a interponer nuevamente Recurso de Revisión ante este Instituto, por la respuesta emitida por 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en cumplimiento a la resolución, tal y como lo contempla el último párrafo del artículo 179 de la Ley de Transparencia y Acceso a la Información Pública del Estado de México y Municipios:</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i/>
          <w:color w:val="000000"/>
          <w:sz w:val="24"/>
          <w:szCs w:val="24"/>
        </w:rPr>
        <w:lastRenderedPageBreak/>
        <w:t>“</w:t>
      </w:r>
      <w:r w:rsidRPr="006242E2">
        <w:rPr>
          <w:rFonts w:ascii="Palatino Linotype" w:eastAsia="Palatino Linotype" w:hAnsi="Palatino Linotype" w:cs="Palatino Linotype"/>
          <w:b/>
          <w:i/>
          <w:color w:val="000000"/>
          <w:sz w:val="24"/>
          <w:szCs w:val="24"/>
        </w:rPr>
        <w:t>Artículo 179.</w:t>
      </w:r>
      <w:r w:rsidRPr="006242E2">
        <w:rPr>
          <w:rFonts w:ascii="Palatino Linotype" w:eastAsia="Palatino Linotype" w:hAnsi="Palatino Linotype" w:cs="Palatino Linotype"/>
          <w:i/>
          <w:color w:val="000000"/>
          <w:sz w:val="24"/>
          <w:szCs w:val="24"/>
        </w:rPr>
        <w:t xml:space="preserve"> El recurso de revisión es un medio de protección que la Ley otorga a los particulares, para hacer valer su derecho de acceso a la información pública, y procederá en contra de las siguientes causas:</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6242E2">
        <w:rPr>
          <w:rFonts w:ascii="Palatino Linotype" w:eastAsia="Palatino Linotype" w:hAnsi="Palatino Linotype" w:cs="Palatino Linotype"/>
          <w:i/>
          <w:color w:val="000000"/>
          <w:sz w:val="24"/>
          <w:szCs w:val="24"/>
        </w:rPr>
        <w:t>(…)</w:t>
      </w:r>
    </w:p>
    <w:p w:rsidR="00944BE2" w:rsidRPr="006242E2" w:rsidRDefault="00326A97">
      <w:pPr>
        <w:pBdr>
          <w:top w:val="nil"/>
          <w:left w:val="nil"/>
          <w:bottom w:val="nil"/>
          <w:right w:val="nil"/>
          <w:between w:val="nil"/>
        </w:pBdr>
        <w:spacing w:line="360" w:lineRule="auto"/>
        <w:ind w:left="851" w:right="822"/>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b/>
          <w:i/>
          <w:color w:val="000000"/>
          <w:sz w:val="24"/>
          <w:szCs w:val="24"/>
        </w:rPr>
        <w:t>La respuesta que den los sujetos obligados derivada de la resolución a un recurso de revisión</w:t>
      </w:r>
      <w:r w:rsidRPr="006242E2">
        <w:rPr>
          <w:rFonts w:ascii="Palatino Linotype" w:eastAsia="Palatino Linotype" w:hAnsi="Palatino Linotype" w:cs="Palatino Linotype"/>
          <w:i/>
          <w:color w:val="000000"/>
          <w:sz w:val="24"/>
          <w:szCs w:val="24"/>
        </w:rPr>
        <w:t xml:space="preserve"> que proceda por las causales señaladas en las fracciones IV, VII, IX, X, XI y XII es susceptible de ser impugnada de nueva cuenta, mediante recurso de revisión, ante el Instituto.” </w:t>
      </w:r>
      <w:r w:rsidRPr="006242E2">
        <w:rPr>
          <w:rFonts w:ascii="Palatino Linotype" w:eastAsia="Palatino Linotype" w:hAnsi="Palatino Linotype" w:cs="Palatino Linotype"/>
          <w:color w:val="000000"/>
          <w:sz w:val="24"/>
          <w:szCs w:val="24"/>
        </w:rPr>
        <w:t>Énfasis añadido</w:t>
      </w:r>
    </w:p>
    <w:p w:rsidR="00944BE2" w:rsidRPr="006242E2" w:rsidRDefault="00944BE2">
      <w:pPr>
        <w:pBdr>
          <w:top w:val="nil"/>
          <w:left w:val="nil"/>
          <w:bottom w:val="nil"/>
          <w:right w:val="nil"/>
          <w:between w:val="nil"/>
        </w:pBdr>
        <w:spacing w:line="360" w:lineRule="auto"/>
        <w:ind w:left="851" w:right="822"/>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Como se advierte del precepto legal, únicamente se puede interponer recurso de revisión ante la respuesta del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en cumplimiento de la resolución dictada por el Pleno de este Instituto y que hayan derivado de un Medio de Impugnación en donde la causal de procedencia fuera alguna de las fracciones referidas en el último párrafo, del artículo 179 referido. </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En este caso, 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no emitió respuesta en cumplimiento a la resolución emitida en el recurso de revisión, por lo tanto, al interponerse el segundo recurso de revisión, no se configura ninguna causal de procedencia pues, como ya se señaló, el </w:t>
      </w:r>
      <w:r w:rsidRPr="006242E2">
        <w:rPr>
          <w:rFonts w:ascii="Palatino Linotype" w:eastAsia="Palatino Linotype" w:hAnsi="Palatino Linotype" w:cs="Palatino Linotype"/>
          <w:b/>
          <w:color w:val="000000"/>
          <w:sz w:val="24"/>
          <w:szCs w:val="24"/>
        </w:rPr>
        <w:t>SUJETO OBLIGADO</w:t>
      </w:r>
      <w:r w:rsidRPr="006242E2">
        <w:rPr>
          <w:rFonts w:ascii="Palatino Linotype" w:eastAsia="Palatino Linotype" w:hAnsi="Palatino Linotype" w:cs="Palatino Linotype"/>
          <w:color w:val="000000"/>
          <w:sz w:val="24"/>
          <w:szCs w:val="24"/>
        </w:rPr>
        <w:t xml:space="preserve"> no había emitido una respuesta de la cual se pudiera inconformar el </w:t>
      </w:r>
      <w:r w:rsidRPr="006242E2">
        <w:rPr>
          <w:rFonts w:ascii="Palatino Linotype" w:eastAsia="Palatino Linotype" w:hAnsi="Palatino Linotype" w:cs="Palatino Linotype"/>
          <w:b/>
          <w:color w:val="000000"/>
          <w:sz w:val="24"/>
          <w:szCs w:val="24"/>
        </w:rPr>
        <w:t>RECURRENTE</w:t>
      </w:r>
      <w:r w:rsidRPr="006242E2">
        <w:rPr>
          <w:rFonts w:ascii="Palatino Linotype" w:eastAsia="Palatino Linotype" w:hAnsi="Palatino Linotype" w:cs="Palatino Linotype"/>
          <w:color w:val="000000"/>
          <w:sz w:val="24"/>
          <w:szCs w:val="24"/>
        </w:rPr>
        <w:t xml:space="preserve">. </w:t>
      </w:r>
    </w:p>
    <w:p w:rsidR="00944BE2" w:rsidRPr="006242E2" w:rsidRDefault="00944BE2">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 xml:space="preserve">Siendo procedente en el presente asunto que las áreas competentes de este Instituto, continúen el procedimiento correspondiente ante el incumplimiento del </w:t>
      </w:r>
      <w:r w:rsidRPr="006242E2">
        <w:rPr>
          <w:rFonts w:ascii="Palatino Linotype" w:eastAsia="Palatino Linotype" w:hAnsi="Palatino Linotype" w:cs="Palatino Linotype"/>
          <w:b/>
          <w:color w:val="000000"/>
          <w:sz w:val="24"/>
          <w:szCs w:val="24"/>
        </w:rPr>
        <w:t xml:space="preserve">SUJETO </w:t>
      </w:r>
      <w:r w:rsidRPr="006242E2">
        <w:rPr>
          <w:rFonts w:ascii="Palatino Linotype" w:eastAsia="Palatino Linotype" w:hAnsi="Palatino Linotype" w:cs="Palatino Linotype"/>
          <w:b/>
          <w:color w:val="000000"/>
          <w:sz w:val="24"/>
          <w:szCs w:val="24"/>
        </w:rPr>
        <w:lastRenderedPageBreak/>
        <w:t>OBLIGADO</w:t>
      </w:r>
      <w:r w:rsidRPr="006242E2">
        <w:rPr>
          <w:rFonts w:ascii="Palatino Linotype" w:eastAsia="Palatino Linotype" w:hAnsi="Palatino Linotype" w:cs="Palatino Linotype"/>
          <w:color w:val="000000"/>
          <w:sz w:val="24"/>
          <w:szCs w:val="24"/>
        </w:rPr>
        <w:t>. No obstante se dejan a salvo los derechos del particular para interponer nuevas solicitudes de información que colmen sus pretensiones, ante los sujetos obligados que considere.</w:t>
      </w:r>
    </w:p>
    <w:p w:rsidR="00944BE2" w:rsidRPr="006242E2" w:rsidRDefault="00944BE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944BE2" w:rsidRPr="006242E2"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color w:val="000000"/>
          <w:sz w:val="24"/>
          <w:szCs w:val="24"/>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944BE2" w:rsidRPr="006242E2" w:rsidRDefault="00944BE2">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944BE2" w:rsidRPr="00067328" w:rsidRDefault="00326A9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sz w:val="24"/>
          <w:szCs w:val="24"/>
        </w:rPr>
      </w:pPr>
      <w:bookmarkStart w:id="7" w:name="_heading=h.b1b3jgpou07" w:colFirst="0" w:colLast="0"/>
      <w:bookmarkEnd w:id="7"/>
      <w:r w:rsidRPr="006242E2">
        <w:rPr>
          <w:rFonts w:ascii="Palatino Linotype" w:eastAsia="Palatino Linotype" w:hAnsi="Palatino Linotype" w:cs="Palatino Linotype"/>
          <w:color w:val="222222"/>
          <w:sz w:val="24"/>
          <w:szCs w:val="24"/>
        </w:rPr>
        <w:t xml:space="preserve">Por lo anteriormente expuesto y fundado, este </w:t>
      </w:r>
      <w:r w:rsidRPr="006242E2">
        <w:rPr>
          <w:rFonts w:ascii="Palatino Linotype" w:eastAsia="Palatino Linotype" w:hAnsi="Palatino Linotype" w:cs="Palatino Linotype"/>
          <w:b/>
          <w:color w:val="222222"/>
          <w:sz w:val="24"/>
          <w:szCs w:val="24"/>
        </w:rPr>
        <w:t>ÓRGANO GARANTE</w:t>
      </w:r>
      <w:r w:rsidRPr="006242E2">
        <w:rPr>
          <w:rFonts w:ascii="Palatino Linotype" w:eastAsia="Palatino Linotype" w:hAnsi="Palatino Linotype" w:cs="Palatino Linotype"/>
          <w:color w:val="222222"/>
          <w:sz w:val="24"/>
          <w:szCs w:val="24"/>
        </w:rPr>
        <w:t xml:space="preserve"> emite los siguientes: </w:t>
      </w:r>
    </w:p>
    <w:p w:rsidR="00067328" w:rsidRDefault="00067328" w:rsidP="00067328">
      <w:pPr>
        <w:pStyle w:val="Prrafodelista"/>
        <w:rPr>
          <w:rFonts w:ascii="Palatino Linotype" w:eastAsia="Palatino Linotype" w:hAnsi="Palatino Linotype" w:cs="Palatino Linotype"/>
          <w:b/>
          <w:color w:val="000000"/>
          <w:sz w:val="24"/>
        </w:rPr>
      </w:pPr>
    </w:p>
    <w:p w:rsidR="00067328" w:rsidRPr="006242E2" w:rsidRDefault="00067328" w:rsidP="0006732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4"/>
          <w:szCs w:val="24"/>
        </w:rPr>
      </w:pPr>
    </w:p>
    <w:p w:rsidR="00944BE2" w:rsidRPr="006242E2" w:rsidRDefault="00326A97">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b/>
          <w:color w:val="000000"/>
          <w:sz w:val="24"/>
          <w:szCs w:val="24"/>
        </w:rPr>
      </w:pPr>
      <w:r w:rsidRPr="006242E2">
        <w:rPr>
          <w:rFonts w:ascii="Palatino Linotype" w:eastAsia="Palatino Linotype" w:hAnsi="Palatino Linotype" w:cs="Palatino Linotype"/>
          <w:b/>
          <w:color w:val="000000"/>
          <w:sz w:val="24"/>
          <w:szCs w:val="24"/>
        </w:rPr>
        <w:t>R E S O L U T I V O S</w:t>
      </w:r>
    </w:p>
    <w:p w:rsidR="00944BE2" w:rsidRPr="006242E2" w:rsidRDefault="00944BE2">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sz w:val="24"/>
          <w:szCs w:val="24"/>
        </w:rPr>
      </w:pPr>
      <w:bookmarkStart w:id="8" w:name="_heading=h.id7ze92mrhn2" w:colFirst="0" w:colLast="0"/>
      <w:bookmarkEnd w:id="8"/>
    </w:p>
    <w:p w:rsidR="00944BE2" w:rsidRDefault="00326A97">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sz w:val="24"/>
          <w:szCs w:val="24"/>
        </w:rPr>
      </w:pPr>
      <w:r w:rsidRPr="006242E2">
        <w:rPr>
          <w:rFonts w:ascii="Palatino Linotype" w:eastAsia="Palatino Linotype" w:hAnsi="Palatino Linotype" w:cs="Palatino Linotype"/>
          <w:b/>
          <w:color w:val="000000"/>
          <w:sz w:val="24"/>
          <w:szCs w:val="24"/>
        </w:rPr>
        <w:t xml:space="preserve">PRIMERO. </w:t>
      </w:r>
      <w:r w:rsidRPr="006242E2">
        <w:rPr>
          <w:rFonts w:ascii="Palatino Linotype" w:eastAsia="Palatino Linotype" w:hAnsi="Palatino Linotype" w:cs="Palatino Linotype"/>
          <w:color w:val="000000"/>
          <w:sz w:val="24"/>
          <w:szCs w:val="24"/>
        </w:rPr>
        <w:t xml:space="preserve">Se </w:t>
      </w:r>
      <w:r w:rsidRPr="006242E2">
        <w:rPr>
          <w:rFonts w:ascii="Palatino Linotype" w:eastAsia="Palatino Linotype" w:hAnsi="Palatino Linotype" w:cs="Palatino Linotype"/>
          <w:b/>
          <w:color w:val="000000"/>
          <w:sz w:val="24"/>
          <w:szCs w:val="24"/>
        </w:rPr>
        <w:t>SOBRESEE</w:t>
      </w:r>
      <w:r w:rsidRPr="006242E2">
        <w:rPr>
          <w:rFonts w:ascii="Palatino Linotype" w:eastAsia="Palatino Linotype" w:hAnsi="Palatino Linotype" w:cs="Palatino Linotype"/>
          <w:color w:val="000000"/>
          <w:sz w:val="24"/>
          <w:szCs w:val="24"/>
        </w:rPr>
        <w:t xml:space="preserve"> el Recurso de Revisión número </w:t>
      </w:r>
      <w:r w:rsidRPr="006242E2">
        <w:rPr>
          <w:rFonts w:ascii="Palatino Linotype" w:eastAsia="Palatino Linotype" w:hAnsi="Palatino Linotype" w:cs="Palatino Linotype"/>
          <w:b/>
          <w:color w:val="000000"/>
          <w:sz w:val="24"/>
          <w:szCs w:val="24"/>
        </w:rPr>
        <w:t xml:space="preserve">05883/INFOEM/ICR-34/IP/RR/2024, </w:t>
      </w:r>
      <w:r w:rsidRPr="006242E2">
        <w:rPr>
          <w:rFonts w:ascii="Palatino Linotype" w:eastAsia="Palatino Linotype" w:hAnsi="Palatino Linotype" w:cs="Palatino Linotype"/>
          <w:color w:val="000000"/>
          <w:sz w:val="24"/>
          <w:szCs w:val="24"/>
        </w:rPr>
        <w:t xml:space="preserve">conforme al artículo 192, fracción IV, en relación con la fracción III, del artículo 191 de la Ley de Transparencia y Acceso a la Información Pública del Estado de México y Municipios, en términos del </w:t>
      </w:r>
      <w:r w:rsidRPr="006242E2">
        <w:rPr>
          <w:rFonts w:ascii="Palatino Linotype" w:eastAsia="Palatino Linotype" w:hAnsi="Palatino Linotype" w:cs="Palatino Linotype"/>
          <w:b/>
          <w:color w:val="000000"/>
          <w:sz w:val="24"/>
          <w:szCs w:val="24"/>
        </w:rPr>
        <w:t>Considerando</w:t>
      </w:r>
      <w:r w:rsidRPr="006242E2">
        <w:rPr>
          <w:rFonts w:ascii="Palatino Linotype" w:eastAsia="Palatino Linotype" w:hAnsi="Palatino Linotype" w:cs="Palatino Linotype"/>
          <w:color w:val="000000"/>
          <w:sz w:val="24"/>
          <w:szCs w:val="24"/>
        </w:rPr>
        <w:t xml:space="preserve"> </w:t>
      </w:r>
      <w:r w:rsidRPr="006242E2">
        <w:rPr>
          <w:rFonts w:ascii="Palatino Linotype" w:eastAsia="Palatino Linotype" w:hAnsi="Palatino Linotype" w:cs="Palatino Linotype"/>
          <w:b/>
          <w:color w:val="000000"/>
          <w:sz w:val="24"/>
          <w:szCs w:val="24"/>
        </w:rPr>
        <w:t>TERCERO</w:t>
      </w:r>
      <w:r w:rsidRPr="006242E2">
        <w:rPr>
          <w:rFonts w:ascii="Palatino Linotype" w:eastAsia="Palatino Linotype" w:hAnsi="Palatino Linotype" w:cs="Palatino Linotype"/>
          <w:color w:val="000000"/>
          <w:sz w:val="24"/>
          <w:szCs w:val="24"/>
        </w:rPr>
        <w:t xml:space="preserve"> de la presente Resolución.</w:t>
      </w:r>
    </w:p>
    <w:p w:rsidR="00067328" w:rsidRPr="006242E2" w:rsidRDefault="00067328">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sz w:val="24"/>
          <w:szCs w:val="24"/>
        </w:rPr>
      </w:pPr>
    </w:p>
    <w:p w:rsidR="00944BE2" w:rsidRPr="006242E2" w:rsidRDefault="00326A97">
      <w:pPr>
        <w:spacing w:line="360" w:lineRule="auto"/>
        <w:jc w:val="both"/>
        <w:rPr>
          <w:rFonts w:ascii="Palatino Linotype" w:eastAsia="Palatino Linotype" w:hAnsi="Palatino Linotype" w:cs="Palatino Linotype"/>
          <w:color w:val="000000"/>
          <w:sz w:val="24"/>
          <w:szCs w:val="24"/>
        </w:rPr>
      </w:pPr>
      <w:bookmarkStart w:id="9" w:name="_heading=h.i6541h2jtqk6" w:colFirst="0" w:colLast="0"/>
      <w:bookmarkEnd w:id="9"/>
      <w:r w:rsidRPr="006242E2">
        <w:rPr>
          <w:rFonts w:ascii="Palatino Linotype" w:eastAsia="Palatino Linotype" w:hAnsi="Palatino Linotype" w:cs="Palatino Linotype"/>
          <w:b/>
          <w:sz w:val="24"/>
          <w:szCs w:val="24"/>
        </w:rPr>
        <w:t>SEGUNDO.</w:t>
      </w:r>
      <w:r w:rsidRPr="006242E2">
        <w:rPr>
          <w:rFonts w:ascii="Palatino Linotype" w:eastAsia="Palatino Linotype" w:hAnsi="Palatino Linotype" w:cs="Palatino Linotype"/>
          <w:b/>
          <w:color w:val="000000"/>
          <w:sz w:val="24"/>
          <w:szCs w:val="24"/>
        </w:rPr>
        <w:t xml:space="preserve"> </w:t>
      </w:r>
      <w:r w:rsidR="0067245B" w:rsidRPr="006242E2">
        <w:rPr>
          <w:rFonts w:ascii="Palatino Linotype" w:eastAsia="Palatino Linotype" w:hAnsi="Palatino Linotype" w:cs="Palatino Linotype"/>
          <w:b/>
          <w:color w:val="000000"/>
          <w:sz w:val="24"/>
          <w:szCs w:val="24"/>
        </w:rPr>
        <w:t>Notifíquese</w:t>
      </w:r>
      <w:r w:rsidRPr="006242E2">
        <w:rPr>
          <w:rFonts w:ascii="Palatino Linotype" w:eastAsia="Palatino Linotype" w:hAnsi="Palatino Linotype" w:cs="Palatino Linotype"/>
          <w:b/>
          <w:color w:val="000000"/>
          <w:sz w:val="24"/>
          <w:szCs w:val="24"/>
        </w:rPr>
        <w:t xml:space="preserve"> </w:t>
      </w:r>
      <w:r w:rsidRPr="006242E2">
        <w:rPr>
          <w:rFonts w:ascii="Palatino Linotype" w:eastAsia="Palatino Linotype" w:hAnsi="Palatino Linotype" w:cs="Palatino Linotype"/>
          <w:color w:val="000000"/>
          <w:sz w:val="24"/>
          <w:szCs w:val="24"/>
        </w:rPr>
        <w:t>al Titular de la Unidad de Transparencia del</w:t>
      </w:r>
      <w:r w:rsidRPr="006242E2">
        <w:rPr>
          <w:rFonts w:ascii="Palatino Linotype" w:eastAsia="Palatino Linotype" w:hAnsi="Palatino Linotype" w:cs="Palatino Linotype"/>
          <w:b/>
          <w:color w:val="000000"/>
          <w:sz w:val="24"/>
          <w:szCs w:val="24"/>
        </w:rPr>
        <w:t xml:space="preserve"> SUJETO OBLIGADO</w:t>
      </w:r>
      <w:r w:rsidRPr="006242E2">
        <w:rPr>
          <w:rFonts w:ascii="Palatino Linotype" w:eastAsia="Palatino Linotype" w:hAnsi="Palatino Linotype" w:cs="Palatino Linotype"/>
          <w:color w:val="000000"/>
          <w:sz w:val="24"/>
          <w:szCs w:val="24"/>
        </w:rPr>
        <w:t xml:space="preserve"> vía Sistema de Acceso a Información Mexiquense (SAIMEX), la presente Resolución para su conocimiento. </w:t>
      </w:r>
    </w:p>
    <w:p w:rsidR="00944BE2" w:rsidRPr="006242E2" w:rsidRDefault="00326A97">
      <w:pPr>
        <w:spacing w:line="360" w:lineRule="auto"/>
        <w:jc w:val="both"/>
        <w:rPr>
          <w:rFonts w:ascii="Palatino Linotype" w:eastAsia="Palatino Linotype" w:hAnsi="Palatino Linotype" w:cs="Palatino Linotype"/>
          <w:sz w:val="24"/>
          <w:szCs w:val="24"/>
        </w:rPr>
      </w:pPr>
      <w:bookmarkStart w:id="10" w:name="_heading=h.qwjqd5foncyp" w:colFirst="0" w:colLast="0"/>
      <w:bookmarkEnd w:id="10"/>
      <w:r w:rsidRPr="006242E2">
        <w:rPr>
          <w:rFonts w:ascii="Palatino Linotype" w:eastAsia="Palatino Linotype" w:hAnsi="Palatino Linotype" w:cs="Palatino Linotype"/>
          <w:b/>
          <w:sz w:val="24"/>
          <w:szCs w:val="24"/>
        </w:rPr>
        <w:lastRenderedPageBreak/>
        <w:t xml:space="preserve">TERCERO. </w:t>
      </w:r>
      <w:r w:rsidRPr="006242E2">
        <w:rPr>
          <w:rFonts w:ascii="Palatino Linotype" w:eastAsia="Palatino Linotype" w:hAnsi="Palatino Linotype" w:cs="Palatino Linotype"/>
          <w:b/>
          <w:color w:val="222222"/>
          <w:sz w:val="24"/>
          <w:szCs w:val="24"/>
        </w:rPr>
        <w:t xml:space="preserve">Notifíquese </w:t>
      </w:r>
      <w:r w:rsidRPr="006242E2">
        <w:rPr>
          <w:rFonts w:ascii="Palatino Linotype" w:eastAsia="Palatino Linotype" w:hAnsi="Palatino Linotype" w:cs="Palatino Linotype"/>
          <w:color w:val="222222"/>
          <w:sz w:val="24"/>
          <w:szCs w:val="24"/>
        </w:rPr>
        <w:t>a</w:t>
      </w:r>
      <w:r w:rsidRPr="006242E2">
        <w:rPr>
          <w:rFonts w:ascii="Palatino Linotype" w:eastAsia="Palatino Linotype" w:hAnsi="Palatino Linotype" w:cs="Palatino Linotype"/>
          <w:sz w:val="24"/>
          <w:szCs w:val="24"/>
        </w:rPr>
        <w:t>l</w:t>
      </w:r>
      <w:r w:rsidRPr="006242E2">
        <w:rPr>
          <w:rFonts w:ascii="Palatino Linotype" w:eastAsia="Palatino Linotype" w:hAnsi="Palatino Linotype" w:cs="Palatino Linotype"/>
          <w:b/>
          <w:sz w:val="24"/>
          <w:szCs w:val="24"/>
        </w:rPr>
        <w:t xml:space="preserve"> RECURRENTE </w:t>
      </w:r>
      <w:r w:rsidRPr="006242E2">
        <w:rPr>
          <w:rFonts w:ascii="Palatino Linotype" w:eastAsia="Palatino Linotype" w:hAnsi="Palatino Linotype" w:cs="Palatino Linotype"/>
          <w:sz w:val="24"/>
          <w:szCs w:val="24"/>
        </w:rPr>
        <w:t>la presente Resolución</w:t>
      </w:r>
      <w:r w:rsidR="0067245B" w:rsidRPr="006242E2">
        <w:rPr>
          <w:rFonts w:ascii="Palatino Linotype" w:eastAsia="Palatino Linotype" w:hAnsi="Palatino Linotype" w:cs="Palatino Linotype"/>
          <w:sz w:val="24"/>
          <w:szCs w:val="24"/>
        </w:rPr>
        <w:t xml:space="preserve"> vía SAMEX</w:t>
      </w:r>
      <w:r w:rsidRPr="006242E2">
        <w:rPr>
          <w:rFonts w:ascii="Palatino Linotype" w:eastAsia="Palatino Linotype" w:hAnsi="Palatino Linotype" w:cs="Palatino Linotype"/>
          <w:sz w:val="24"/>
          <w:szCs w:val="24"/>
        </w:rPr>
        <w:t>.</w:t>
      </w:r>
    </w:p>
    <w:p w:rsidR="00944BE2" w:rsidRPr="006242E2" w:rsidRDefault="00944BE2">
      <w:pPr>
        <w:spacing w:line="360" w:lineRule="auto"/>
        <w:jc w:val="both"/>
        <w:rPr>
          <w:rFonts w:ascii="Palatino Linotype" w:eastAsia="Palatino Linotype" w:hAnsi="Palatino Linotype" w:cs="Palatino Linotype"/>
          <w:sz w:val="24"/>
          <w:szCs w:val="24"/>
        </w:rPr>
      </w:pPr>
    </w:p>
    <w:p w:rsidR="00944BE2" w:rsidRPr="006242E2" w:rsidRDefault="00326A97">
      <w:pPr>
        <w:spacing w:line="360" w:lineRule="auto"/>
        <w:jc w:val="both"/>
        <w:rPr>
          <w:rFonts w:ascii="Palatino Linotype" w:eastAsia="Palatino Linotype" w:hAnsi="Palatino Linotype" w:cs="Palatino Linotype"/>
          <w:sz w:val="24"/>
          <w:szCs w:val="24"/>
        </w:rPr>
      </w:pPr>
      <w:bookmarkStart w:id="11" w:name="_heading=h.etathwhnegmr" w:colFirst="0" w:colLast="0"/>
      <w:bookmarkEnd w:id="11"/>
      <w:r w:rsidRPr="006242E2">
        <w:rPr>
          <w:rFonts w:ascii="Palatino Linotype" w:eastAsia="Palatino Linotype" w:hAnsi="Palatino Linotype" w:cs="Palatino Linotype"/>
          <w:b/>
          <w:sz w:val="24"/>
          <w:szCs w:val="24"/>
        </w:rPr>
        <w:t>CUARTO.</w:t>
      </w:r>
      <w:r w:rsidRPr="006242E2">
        <w:rPr>
          <w:rFonts w:ascii="Palatino Linotype" w:eastAsia="Palatino Linotype" w:hAnsi="Palatino Linotype" w:cs="Palatino Linotype"/>
          <w:sz w:val="24"/>
          <w:szCs w:val="24"/>
        </w:rPr>
        <w:t xml:space="preserve"> Se hace del conocimiento del </w:t>
      </w:r>
      <w:r w:rsidRPr="006242E2">
        <w:rPr>
          <w:rFonts w:ascii="Palatino Linotype" w:eastAsia="Palatino Linotype" w:hAnsi="Palatino Linotype" w:cs="Palatino Linotype"/>
          <w:b/>
          <w:sz w:val="24"/>
          <w:szCs w:val="24"/>
        </w:rPr>
        <w:t>RECURRENTE</w:t>
      </w:r>
      <w:r w:rsidRPr="006242E2">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44BE2" w:rsidRPr="006242E2" w:rsidRDefault="00944BE2">
      <w:pPr>
        <w:spacing w:line="360" w:lineRule="auto"/>
        <w:jc w:val="both"/>
        <w:rPr>
          <w:rFonts w:ascii="Palatino Linotype" w:eastAsia="Palatino Linotype" w:hAnsi="Palatino Linotype" w:cs="Palatino Linotype"/>
          <w:sz w:val="24"/>
          <w:szCs w:val="24"/>
        </w:rPr>
      </w:pPr>
    </w:p>
    <w:p w:rsidR="0067245B" w:rsidRDefault="006242E2" w:rsidP="0067245B">
      <w:pPr>
        <w:spacing w:before="240" w:after="240" w:line="360" w:lineRule="auto"/>
        <w:ind w:firstLine="1"/>
        <w:jc w:val="both"/>
        <w:rPr>
          <w:rFonts w:ascii="Palatino Linotype" w:hAnsi="Palatino Linotype" w:cs="Palatino Linotype"/>
          <w:color w:val="000000" w:themeColor="text1"/>
          <w:sz w:val="24"/>
        </w:rPr>
      </w:pPr>
      <w:bookmarkStart w:id="12" w:name="_Hlk99014733"/>
      <w:r w:rsidRPr="006242E2">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ALEXIS TAPIA RAMÍREZ</w:t>
      </w:r>
      <w:r w:rsidR="0067245B" w:rsidRPr="006242E2">
        <w:rPr>
          <w:rFonts w:ascii="Palatino Linotype" w:hAnsi="Palatino Linotype" w:cs="Palatino Linotype"/>
          <w:color w:val="000000" w:themeColor="text1"/>
          <w:sz w:val="24"/>
        </w:rPr>
        <w:t>.</w:t>
      </w:r>
    </w:p>
    <w:p w:rsidR="00067328" w:rsidRDefault="00067328" w:rsidP="0067245B">
      <w:pPr>
        <w:spacing w:before="240" w:after="240" w:line="360" w:lineRule="auto"/>
        <w:ind w:firstLine="1"/>
        <w:jc w:val="both"/>
        <w:rPr>
          <w:rFonts w:ascii="Palatino Linotype" w:hAnsi="Palatino Linotype" w:cs="Palatino Linotype"/>
          <w:color w:val="000000" w:themeColor="text1"/>
          <w:sz w:val="24"/>
        </w:rPr>
      </w:pPr>
    </w:p>
    <w:p w:rsidR="00067328" w:rsidRDefault="00067328" w:rsidP="0067245B">
      <w:pPr>
        <w:spacing w:before="240" w:after="240" w:line="360" w:lineRule="auto"/>
        <w:ind w:firstLine="1"/>
        <w:jc w:val="both"/>
        <w:rPr>
          <w:rFonts w:ascii="Palatino Linotype" w:hAnsi="Palatino Linotype" w:cs="Palatino Linotype"/>
          <w:color w:val="000000" w:themeColor="text1"/>
          <w:sz w:val="24"/>
        </w:rPr>
      </w:pPr>
    </w:p>
    <w:p w:rsidR="00067328" w:rsidRPr="0067245B" w:rsidRDefault="00067328" w:rsidP="0067245B">
      <w:pPr>
        <w:spacing w:before="240" w:after="240" w:line="360" w:lineRule="auto"/>
        <w:ind w:firstLine="1"/>
        <w:jc w:val="both"/>
        <w:rPr>
          <w:rFonts w:ascii="Palatino Linotype" w:hAnsi="Palatino Linotype"/>
          <w:sz w:val="24"/>
        </w:rPr>
      </w:pPr>
    </w:p>
    <w:p w:rsidR="0067245B" w:rsidRPr="0067245B" w:rsidRDefault="0067245B" w:rsidP="0067245B">
      <w:pPr>
        <w:spacing w:before="240" w:after="240" w:line="360" w:lineRule="auto"/>
        <w:ind w:firstLine="1"/>
        <w:jc w:val="both"/>
        <w:rPr>
          <w:rFonts w:ascii="Palatino Linotype" w:hAnsi="Palatino Linotype"/>
          <w:sz w:val="24"/>
        </w:rPr>
      </w:pPr>
    </w:p>
    <w:bookmarkEnd w:id="12"/>
    <w:p w:rsidR="00944BE2" w:rsidRDefault="00944BE2">
      <w:pPr>
        <w:spacing w:line="360" w:lineRule="auto"/>
        <w:rPr>
          <w:rFonts w:ascii="Palatino Linotype" w:eastAsia="Palatino Linotype" w:hAnsi="Palatino Linotype" w:cs="Palatino Linotype"/>
          <w:sz w:val="24"/>
          <w:szCs w:val="24"/>
        </w:rPr>
      </w:pPr>
    </w:p>
    <w:sectPr w:rsidR="00944BE2" w:rsidSect="00067328">
      <w:headerReference w:type="even" r:id="rId8"/>
      <w:headerReference w:type="default" r:id="rId9"/>
      <w:footerReference w:type="default" r:id="rId10"/>
      <w:headerReference w:type="first" r:id="rId11"/>
      <w:footerReference w:type="first" r:id="rId12"/>
      <w:pgSz w:w="12240" w:h="15840"/>
      <w:pgMar w:top="80" w:right="1325"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833" w:rsidRDefault="00682833">
      <w:r>
        <w:separator/>
      </w:r>
    </w:p>
  </w:endnote>
  <w:endnote w:type="continuationSeparator" w:id="0">
    <w:p w:rsidR="00682833" w:rsidRDefault="0068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E2" w:rsidRDefault="00944BE2">
    <w:pPr>
      <w:pBdr>
        <w:top w:val="nil"/>
        <w:left w:val="nil"/>
        <w:bottom w:val="nil"/>
        <w:right w:val="nil"/>
        <w:between w:val="nil"/>
      </w:pBdr>
      <w:tabs>
        <w:tab w:val="center" w:pos="4419"/>
        <w:tab w:val="right" w:pos="8838"/>
      </w:tabs>
      <w:jc w:val="right"/>
      <w:rPr>
        <w:color w:val="000000"/>
      </w:rPr>
    </w:pPr>
  </w:p>
  <w:p w:rsidR="00944BE2" w:rsidRDefault="00326A9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5B1B">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5B1B">
      <w:rPr>
        <w:b/>
        <w:noProof/>
        <w:color w:val="000000"/>
        <w:sz w:val="24"/>
        <w:szCs w:val="24"/>
      </w:rPr>
      <w:t>18</w:t>
    </w:r>
    <w:r>
      <w:rPr>
        <w:b/>
        <w:color w:val="000000"/>
        <w:sz w:val="24"/>
        <w:szCs w:val="24"/>
      </w:rPr>
      <w:fldChar w:fldCharType="end"/>
    </w:r>
  </w:p>
  <w:p w:rsidR="00944BE2" w:rsidRDefault="00944BE2">
    <w:pPr>
      <w:pBdr>
        <w:top w:val="nil"/>
        <w:left w:val="nil"/>
        <w:bottom w:val="nil"/>
        <w:right w:val="nil"/>
        <w:between w:val="nil"/>
      </w:pBdr>
      <w:tabs>
        <w:tab w:val="center" w:pos="4419"/>
        <w:tab w:val="right" w:pos="8838"/>
      </w:tabs>
      <w:rPr>
        <w:color w:val="000000"/>
      </w:rPr>
    </w:pPr>
  </w:p>
  <w:p w:rsidR="00944BE2" w:rsidRDefault="00944BE2"/>
  <w:p w:rsidR="00944BE2" w:rsidRDefault="00944BE2"/>
  <w:p w:rsidR="00944BE2" w:rsidRDefault="00944B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E2" w:rsidRDefault="00326A9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5B1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5B1B">
      <w:rPr>
        <w:b/>
        <w:noProof/>
        <w:color w:val="000000"/>
        <w:sz w:val="24"/>
        <w:szCs w:val="24"/>
      </w:rPr>
      <w:t>18</w:t>
    </w:r>
    <w:r>
      <w:rPr>
        <w:b/>
        <w:color w:val="000000"/>
        <w:sz w:val="24"/>
        <w:szCs w:val="24"/>
      </w:rPr>
      <w:fldChar w:fldCharType="end"/>
    </w:r>
  </w:p>
  <w:p w:rsidR="00944BE2" w:rsidRDefault="00944BE2">
    <w:pPr>
      <w:pBdr>
        <w:top w:val="nil"/>
        <w:left w:val="nil"/>
        <w:bottom w:val="nil"/>
        <w:right w:val="nil"/>
        <w:between w:val="nil"/>
      </w:pBdr>
      <w:tabs>
        <w:tab w:val="center" w:pos="4419"/>
        <w:tab w:val="right" w:pos="8838"/>
      </w:tabs>
      <w:rPr>
        <w:color w:val="000000"/>
      </w:rPr>
    </w:pPr>
  </w:p>
  <w:p w:rsidR="00944BE2" w:rsidRDefault="00944BE2"/>
  <w:p w:rsidR="00944BE2" w:rsidRDefault="00944BE2"/>
  <w:p w:rsidR="00944BE2" w:rsidRDefault="00944BE2"/>
  <w:p w:rsidR="00944BE2" w:rsidRDefault="00944B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833" w:rsidRDefault="00682833">
      <w:r>
        <w:separator/>
      </w:r>
    </w:p>
  </w:footnote>
  <w:footnote w:type="continuationSeparator" w:id="0">
    <w:p w:rsidR="00682833" w:rsidRDefault="00682833">
      <w:r>
        <w:continuationSeparator/>
      </w:r>
    </w:p>
  </w:footnote>
  <w:footnote w:id="1">
    <w:p w:rsidR="00944BE2" w:rsidRDefault="00326A97">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Tercer párrafo, artículo 1º, Constitución Política de los Estados Unidos Mexicanos.</w:t>
      </w:r>
    </w:p>
  </w:footnote>
  <w:footnote w:id="2">
    <w:p w:rsidR="00944BE2" w:rsidRDefault="00326A97">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Segundo Párrafo, artículo 6º, Constitución Política de los Estados Unidos Mexicanos.</w:t>
      </w:r>
    </w:p>
  </w:footnote>
  <w:footnote w:id="3">
    <w:p w:rsidR="00944BE2" w:rsidRDefault="00326A97">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E2" w:rsidRDefault="0068283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rsidR="00944BE2" w:rsidRDefault="00944BE2"/>
  <w:p w:rsidR="00944BE2" w:rsidRDefault="00944BE2"/>
  <w:p w:rsidR="00944BE2" w:rsidRDefault="00944B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490" w:type="dxa"/>
      <w:tblInd w:w="0" w:type="dxa"/>
      <w:tblLayout w:type="fixed"/>
      <w:tblLook w:val="0400" w:firstRow="0" w:lastRow="0" w:firstColumn="0" w:lastColumn="0" w:noHBand="0" w:noVBand="1"/>
    </w:tblPr>
    <w:tblGrid>
      <w:gridCol w:w="2268"/>
      <w:gridCol w:w="8222"/>
    </w:tblGrid>
    <w:tr w:rsidR="00944BE2" w:rsidTr="00067328">
      <w:trPr>
        <w:trHeight w:val="1435"/>
      </w:trPr>
      <w:tc>
        <w:tcPr>
          <w:tcW w:w="2268" w:type="dxa"/>
          <w:shd w:val="clear" w:color="auto" w:fill="auto"/>
        </w:tcPr>
        <w:p w:rsidR="00944BE2" w:rsidRDefault="00326A97">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222" w:type="dxa"/>
          <w:shd w:val="clear" w:color="auto" w:fill="auto"/>
        </w:tcPr>
        <w:tbl>
          <w:tblPr>
            <w:tblStyle w:val="a0"/>
            <w:tblW w:w="7801" w:type="dxa"/>
            <w:tblInd w:w="879" w:type="dxa"/>
            <w:tblBorders>
              <w:top w:val="nil"/>
              <w:left w:val="nil"/>
              <w:bottom w:val="nil"/>
              <w:right w:val="nil"/>
              <w:insideH w:val="nil"/>
              <w:insideV w:val="nil"/>
            </w:tblBorders>
            <w:tblLayout w:type="fixed"/>
            <w:tblLook w:val="0400" w:firstRow="0" w:lastRow="0" w:firstColumn="0" w:lastColumn="0" w:noHBand="0" w:noVBand="1"/>
          </w:tblPr>
          <w:tblGrid>
            <w:gridCol w:w="2833"/>
            <w:gridCol w:w="4968"/>
          </w:tblGrid>
          <w:tr w:rsidR="00944BE2" w:rsidTr="00067328">
            <w:trPr>
              <w:trHeight w:val="338"/>
            </w:trPr>
            <w:tc>
              <w:tcPr>
                <w:tcW w:w="2833" w:type="dxa"/>
              </w:tcPr>
              <w:p w:rsidR="00944BE2" w:rsidRPr="00067328" w:rsidRDefault="00326A97">
                <w:pPr>
                  <w:tabs>
                    <w:tab w:val="right" w:pos="8838"/>
                  </w:tabs>
                  <w:ind w:right="-105"/>
                  <w:rPr>
                    <w:rFonts w:ascii="Palatino Linotype" w:eastAsia="Palatino Linotype" w:hAnsi="Palatino Linotype" w:cs="Palatino Linotype"/>
                    <w:b/>
                    <w:sz w:val="24"/>
                    <w:szCs w:val="22"/>
                  </w:rPr>
                </w:pPr>
                <w:r w:rsidRPr="00067328">
                  <w:rPr>
                    <w:rFonts w:ascii="Palatino Linotype" w:eastAsia="Palatino Linotype" w:hAnsi="Palatino Linotype" w:cs="Palatino Linotype"/>
                    <w:b/>
                    <w:sz w:val="24"/>
                    <w:szCs w:val="22"/>
                  </w:rPr>
                  <w:t>Recurso de Revisión:</w:t>
                </w:r>
              </w:p>
            </w:tc>
            <w:tc>
              <w:tcPr>
                <w:tcW w:w="4968" w:type="dxa"/>
              </w:tcPr>
              <w:p w:rsidR="00944BE2" w:rsidRPr="00067328" w:rsidRDefault="00326A97">
                <w:pPr>
                  <w:tabs>
                    <w:tab w:val="right" w:pos="8838"/>
                  </w:tabs>
                  <w:ind w:right="-105" w:hanging="101"/>
                  <w:jc w:val="both"/>
                  <w:rPr>
                    <w:rFonts w:ascii="Palatino Linotype" w:eastAsia="Palatino Linotype" w:hAnsi="Palatino Linotype" w:cs="Palatino Linotype"/>
                    <w:sz w:val="24"/>
                    <w:szCs w:val="22"/>
                  </w:rPr>
                </w:pPr>
                <w:r w:rsidRPr="00067328">
                  <w:rPr>
                    <w:rFonts w:ascii="Palatino Linotype" w:eastAsia="Palatino Linotype" w:hAnsi="Palatino Linotype" w:cs="Palatino Linotype"/>
                    <w:sz w:val="24"/>
                    <w:szCs w:val="22"/>
                  </w:rPr>
                  <w:t>05883/INFOEM/ICR-34/IP/RR/2024</w:t>
                </w:r>
              </w:p>
            </w:tc>
          </w:tr>
          <w:tr w:rsidR="00944BE2" w:rsidTr="00067328">
            <w:trPr>
              <w:trHeight w:val="283"/>
            </w:trPr>
            <w:tc>
              <w:tcPr>
                <w:tcW w:w="2833" w:type="dxa"/>
              </w:tcPr>
              <w:p w:rsidR="00944BE2" w:rsidRPr="00067328" w:rsidRDefault="00326A97">
                <w:pPr>
                  <w:tabs>
                    <w:tab w:val="right" w:pos="8838"/>
                  </w:tabs>
                  <w:ind w:right="-105"/>
                  <w:rPr>
                    <w:rFonts w:ascii="Palatino Linotype" w:eastAsia="Palatino Linotype" w:hAnsi="Palatino Linotype" w:cs="Palatino Linotype"/>
                    <w:b/>
                    <w:sz w:val="24"/>
                    <w:szCs w:val="22"/>
                  </w:rPr>
                </w:pPr>
                <w:bookmarkStart w:id="13" w:name="_heading=h.mwgf19j338p4" w:colFirst="0" w:colLast="0"/>
                <w:bookmarkEnd w:id="13"/>
                <w:r w:rsidRPr="00067328">
                  <w:rPr>
                    <w:rFonts w:ascii="Palatino Linotype" w:eastAsia="Palatino Linotype" w:hAnsi="Palatino Linotype" w:cs="Palatino Linotype"/>
                    <w:b/>
                    <w:sz w:val="24"/>
                    <w:szCs w:val="22"/>
                  </w:rPr>
                  <w:t>Sujeto Obligado:</w:t>
                </w:r>
              </w:p>
            </w:tc>
            <w:tc>
              <w:tcPr>
                <w:tcW w:w="4968" w:type="dxa"/>
              </w:tcPr>
              <w:p w:rsidR="00944BE2" w:rsidRPr="00067328" w:rsidRDefault="00326A97">
                <w:pPr>
                  <w:tabs>
                    <w:tab w:val="left" w:pos="2834"/>
                    <w:tab w:val="right" w:pos="8838"/>
                  </w:tabs>
                  <w:ind w:left="-113" w:right="1318"/>
                  <w:jc w:val="both"/>
                  <w:rPr>
                    <w:rFonts w:ascii="Palatino Linotype" w:eastAsia="Palatino Linotype" w:hAnsi="Palatino Linotype" w:cs="Palatino Linotype"/>
                    <w:sz w:val="24"/>
                    <w:szCs w:val="22"/>
                  </w:rPr>
                </w:pPr>
                <w:r w:rsidRPr="00067328">
                  <w:rPr>
                    <w:rFonts w:ascii="Palatino Linotype" w:eastAsia="Palatino Linotype" w:hAnsi="Palatino Linotype" w:cs="Palatino Linotype"/>
                    <w:sz w:val="24"/>
                    <w:szCs w:val="22"/>
                  </w:rPr>
                  <w:t>Ayuntamiento de Nopaltepec</w:t>
                </w:r>
              </w:p>
            </w:tc>
          </w:tr>
          <w:tr w:rsidR="00944BE2" w:rsidTr="00067328">
            <w:trPr>
              <w:trHeight w:val="283"/>
            </w:trPr>
            <w:tc>
              <w:tcPr>
                <w:tcW w:w="2833" w:type="dxa"/>
              </w:tcPr>
              <w:p w:rsidR="00944BE2" w:rsidRPr="00067328" w:rsidRDefault="00326A97">
                <w:pPr>
                  <w:tabs>
                    <w:tab w:val="right" w:pos="8838"/>
                  </w:tabs>
                  <w:ind w:right="-105"/>
                  <w:rPr>
                    <w:rFonts w:ascii="Palatino Linotype" w:eastAsia="Palatino Linotype" w:hAnsi="Palatino Linotype" w:cs="Palatino Linotype"/>
                    <w:b/>
                    <w:sz w:val="24"/>
                    <w:szCs w:val="22"/>
                  </w:rPr>
                </w:pPr>
                <w:r w:rsidRPr="00067328">
                  <w:rPr>
                    <w:rFonts w:ascii="Palatino Linotype" w:eastAsia="Palatino Linotype" w:hAnsi="Palatino Linotype" w:cs="Palatino Linotype"/>
                    <w:b/>
                    <w:sz w:val="24"/>
                    <w:szCs w:val="22"/>
                  </w:rPr>
                  <w:t>Comisionada Ponente:</w:t>
                </w:r>
              </w:p>
            </w:tc>
            <w:tc>
              <w:tcPr>
                <w:tcW w:w="4968" w:type="dxa"/>
              </w:tcPr>
              <w:p w:rsidR="00944BE2" w:rsidRPr="00067328" w:rsidRDefault="00326A97">
                <w:pPr>
                  <w:tabs>
                    <w:tab w:val="right" w:pos="8838"/>
                  </w:tabs>
                  <w:ind w:left="-113" w:right="-105"/>
                  <w:jc w:val="both"/>
                  <w:rPr>
                    <w:rFonts w:ascii="Palatino Linotype" w:eastAsia="Palatino Linotype" w:hAnsi="Palatino Linotype" w:cs="Palatino Linotype"/>
                    <w:sz w:val="24"/>
                    <w:szCs w:val="22"/>
                  </w:rPr>
                </w:pPr>
                <w:r w:rsidRPr="00067328">
                  <w:rPr>
                    <w:rFonts w:ascii="Palatino Linotype" w:eastAsia="Palatino Linotype" w:hAnsi="Palatino Linotype" w:cs="Palatino Linotype"/>
                    <w:sz w:val="24"/>
                    <w:szCs w:val="22"/>
                  </w:rPr>
                  <w:t>María del Rosario Mejía Ayala</w:t>
                </w:r>
              </w:p>
            </w:tc>
          </w:tr>
        </w:tbl>
        <w:p w:rsidR="00944BE2" w:rsidRDefault="00944BE2">
          <w:pPr>
            <w:tabs>
              <w:tab w:val="right" w:pos="8838"/>
            </w:tabs>
            <w:ind w:left="-28"/>
            <w:jc w:val="both"/>
            <w:rPr>
              <w:rFonts w:ascii="Arial" w:eastAsia="Arial" w:hAnsi="Arial" w:cs="Arial"/>
              <w:b/>
              <w:sz w:val="22"/>
              <w:szCs w:val="22"/>
            </w:rPr>
          </w:pPr>
        </w:p>
      </w:tc>
    </w:tr>
  </w:tbl>
  <w:p w:rsidR="00944BE2" w:rsidRDefault="00682833" w:rsidP="00067328">
    <w:pPr>
      <w:pBdr>
        <w:top w:val="nil"/>
        <w:left w:val="nil"/>
        <w:bottom w:val="nil"/>
        <w:right w:val="nil"/>
        <w:between w:val="nil"/>
      </w:pBdr>
      <w:tabs>
        <w:tab w:val="center" w:pos="4419"/>
        <w:tab w:val="right" w:pos="8838"/>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7.1pt;margin-top:-131.85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206" w:type="dxa"/>
      <w:tblInd w:w="0" w:type="dxa"/>
      <w:tblLayout w:type="fixed"/>
      <w:tblLook w:val="0400" w:firstRow="0" w:lastRow="0" w:firstColumn="0" w:lastColumn="0" w:noHBand="0" w:noVBand="1"/>
    </w:tblPr>
    <w:tblGrid>
      <w:gridCol w:w="1560"/>
      <w:gridCol w:w="8646"/>
    </w:tblGrid>
    <w:tr w:rsidR="00944BE2" w:rsidTr="00067328">
      <w:trPr>
        <w:trHeight w:val="1435"/>
      </w:trPr>
      <w:tc>
        <w:tcPr>
          <w:tcW w:w="1560" w:type="dxa"/>
          <w:shd w:val="clear" w:color="auto" w:fill="auto"/>
        </w:tcPr>
        <w:p w:rsidR="00944BE2" w:rsidRDefault="00944BE2">
          <w:pPr>
            <w:tabs>
              <w:tab w:val="right" w:pos="4273"/>
            </w:tabs>
            <w:rPr>
              <w:rFonts w:ascii="Garamond" w:eastAsia="Garamond" w:hAnsi="Garamond" w:cs="Garamond"/>
              <w:sz w:val="22"/>
              <w:szCs w:val="22"/>
            </w:rPr>
          </w:pPr>
        </w:p>
      </w:tc>
      <w:tc>
        <w:tcPr>
          <w:tcW w:w="8646" w:type="dxa"/>
          <w:shd w:val="clear" w:color="auto" w:fill="auto"/>
        </w:tcPr>
        <w:tbl>
          <w:tblPr>
            <w:tblStyle w:val="a2"/>
            <w:tblW w:w="11013"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688"/>
            <w:gridCol w:w="4923"/>
            <w:gridCol w:w="3402"/>
          </w:tblGrid>
          <w:tr w:rsidR="00944BE2" w:rsidTr="00067328">
            <w:trPr>
              <w:trHeight w:val="144"/>
            </w:trPr>
            <w:tc>
              <w:tcPr>
                <w:tcW w:w="2688" w:type="dxa"/>
              </w:tcPr>
              <w:p w:rsidR="00944BE2" w:rsidRPr="00067328" w:rsidRDefault="00326A97">
                <w:pPr>
                  <w:tabs>
                    <w:tab w:val="right" w:pos="8838"/>
                  </w:tabs>
                  <w:ind w:left="-74" w:right="-105"/>
                  <w:rPr>
                    <w:rFonts w:ascii="Palatino Linotype" w:eastAsia="Palatino Linotype" w:hAnsi="Palatino Linotype" w:cs="Palatino Linotype"/>
                    <w:b/>
                    <w:sz w:val="24"/>
                    <w:szCs w:val="22"/>
                  </w:rPr>
                </w:pPr>
                <w:bookmarkStart w:id="14" w:name="_heading=h.hb2zjg50rdx" w:colFirst="0" w:colLast="0"/>
                <w:bookmarkEnd w:id="14"/>
                <w:r w:rsidRPr="00067328">
                  <w:rPr>
                    <w:rFonts w:ascii="Palatino Linotype" w:eastAsia="Palatino Linotype" w:hAnsi="Palatino Linotype" w:cs="Palatino Linotype"/>
                    <w:b/>
                    <w:sz w:val="24"/>
                    <w:szCs w:val="22"/>
                  </w:rPr>
                  <w:t>Recurso de Revisión:</w:t>
                </w:r>
              </w:p>
            </w:tc>
            <w:tc>
              <w:tcPr>
                <w:tcW w:w="4923" w:type="dxa"/>
              </w:tcPr>
              <w:p w:rsidR="00944BE2" w:rsidRPr="00067328" w:rsidRDefault="00326A97">
                <w:pPr>
                  <w:tabs>
                    <w:tab w:val="right" w:pos="8838"/>
                  </w:tabs>
                  <w:ind w:left="-3" w:right="-105"/>
                  <w:jc w:val="both"/>
                  <w:rPr>
                    <w:rFonts w:ascii="Palatino Linotype" w:eastAsia="Palatino Linotype" w:hAnsi="Palatino Linotype" w:cs="Palatino Linotype"/>
                    <w:sz w:val="24"/>
                    <w:szCs w:val="22"/>
                  </w:rPr>
                </w:pPr>
                <w:r w:rsidRPr="00067328">
                  <w:rPr>
                    <w:rFonts w:ascii="Palatino Linotype" w:eastAsia="Palatino Linotype" w:hAnsi="Palatino Linotype" w:cs="Palatino Linotype"/>
                    <w:sz w:val="24"/>
                    <w:szCs w:val="22"/>
                  </w:rPr>
                  <w:t>05883/INFOEM/ICR-34/IP/RR/2024</w:t>
                </w:r>
              </w:p>
            </w:tc>
            <w:tc>
              <w:tcPr>
                <w:tcW w:w="3402" w:type="dxa"/>
              </w:tcPr>
              <w:p w:rsidR="00944BE2" w:rsidRDefault="00944BE2">
                <w:pPr>
                  <w:tabs>
                    <w:tab w:val="right" w:pos="8838"/>
                  </w:tabs>
                  <w:ind w:left="-74" w:right="-105"/>
                  <w:jc w:val="both"/>
                  <w:rPr>
                    <w:rFonts w:ascii="Palatino Linotype" w:eastAsia="Palatino Linotype" w:hAnsi="Palatino Linotype" w:cs="Palatino Linotype"/>
                    <w:sz w:val="22"/>
                    <w:szCs w:val="22"/>
                  </w:rPr>
                </w:pPr>
              </w:p>
            </w:tc>
          </w:tr>
          <w:tr w:rsidR="00944BE2" w:rsidTr="00067328">
            <w:trPr>
              <w:trHeight w:val="144"/>
            </w:trPr>
            <w:tc>
              <w:tcPr>
                <w:tcW w:w="2688" w:type="dxa"/>
              </w:tcPr>
              <w:p w:rsidR="00944BE2" w:rsidRPr="00067328" w:rsidRDefault="00326A97">
                <w:pPr>
                  <w:tabs>
                    <w:tab w:val="right" w:pos="8838"/>
                  </w:tabs>
                  <w:ind w:left="-74" w:right="-105"/>
                  <w:rPr>
                    <w:rFonts w:ascii="Palatino Linotype" w:eastAsia="Palatino Linotype" w:hAnsi="Palatino Linotype" w:cs="Palatino Linotype"/>
                    <w:b/>
                    <w:sz w:val="24"/>
                    <w:szCs w:val="22"/>
                  </w:rPr>
                </w:pPr>
                <w:bookmarkStart w:id="15" w:name="_heading=h.appqnls6p2zj" w:colFirst="0" w:colLast="0"/>
                <w:bookmarkEnd w:id="15"/>
                <w:r w:rsidRPr="00067328">
                  <w:rPr>
                    <w:rFonts w:ascii="Palatino Linotype" w:eastAsia="Palatino Linotype" w:hAnsi="Palatino Linotype" w:cs="Palatino Linotype"/>
                    <w:b/>
                    <w:sz w:val="24"/>
                    <w:szCs w:val="22"/>
                  </w:rPr>
                  <w:t>Recurrente:</w:t>
                </w:r>
              </w:p>
            </w:tc>
            <w:tc>
              <w:tcPr>
                <w:tcW w:w="4923" w:type="dxa"/>
              </w:tcPr>
              <w:p w:rsidR="00944BE2" w:rsidRPr="00067328" w:rsidRDefault="00326A97">
                <w:pPr>
                  <w:tabs>
                    <w:tab w:val="left" w:pos="3122"/>
                    <w:tab w:val="right" w:pos="8838"/>
                  </w:tabs>
                  <w:ind w:right="1457"/>
                  <w:jc w:val="both"/>
                  <w:rPr>
                    <w:rFonts w:ascii="Palatino Linotype" w:eastAsia="Palatino Linotype" w:hAnsi="Palatino Linotype" w:cs="Palatino Linotype"/>
                    <w:sz w:val="24"/>
                    <w:szCs w:val="22"/>
                  </w:rPr>
                </w:pPr>
                <w:r w:rsidRPr="00067328">
                  <w:rPr>
                    <w:rFonts w:ascii="Palatino Linotype" w:eastAsia="Palatino Linotype" w:hAnsi="Palatino Linotype" w:cs="Palatino Linotype"/>
                    <w:sz w:val="24"/>
                    <w:szCs w:val="22"/>
                  </w:rPr>
                  <w:t>- - -</w:t>
                </w:r>
              </w:p>
            </w:tc>
            <w:tc>
              <w:tcPr>
                <w:tcW w:w="3402" w:type="dxa"/>
              </w:tcPr>
              <w:p w:rsidR="00944BE2" w:rsidRDefault="00944BE2">
                <w:pPr>
                  <w:tabs>
                    <w:tab w:val="left" w:pos="3122"/>
                    <w:tab w:val="right" w:pos="8838"/>
                  </w:tabs>
                  <w:ind w:right="-105"/>
                  <w:jc w:val="both"/>
                  <w:rPr>
                    <w:rFonts w:ascii="Palatino Linotype" w:eastAsia="Palatino Linotype" w:hAnsi="Palatino Linotype" w:cs="Palatino Linotype"/>
                    <w:sz w:val="22"/>
                    <w:szCs w:val="22"/>
                  </w:rPr>
                </w:pPr>
              </w:p>
            </w:tc>
          </w:tr>
          <w:tr w:rsidR="00944BE2" w:rsidTr="00067328">
            <w:trPr>
              <w:trHeight w:val="283"/>
            </w:trPr>
            <w:tc>
              <w:tcPr>
                <w:tcW w:w="2688" w:type="dxa"/>
              </w:tcPr>
              <w:p w:rsidR="00944BE2" w:rsidRPr="00067328" w:rsidRDefault="00326A97">
                <w:pPr>
                  <w:tabs>
                    <w:tab w:val="right" w:pos="8838"/>
                  </w:tabs>
                  <w:ind w:left="-74" w:right="-105"/>
                  <w:rPr>
                    <w:rFonts w:ascii="Palatino Linotype" w:eastAsia="Palatino Linotype" w:hAnsi="Palatino Linotype" w:cs="Palatino Linotype"/>
                    <w:b/>
                    <w:sz w:val="24"/>
                    <w:szCs w:val="22"/>
                  </w:rPr>
                </w:pPr>
                <w:r w:rsidRPr="00067328">
                  <w:rPr>
                    <w:rFonts w:ascii="Palatino Linotype" w:eastAsia="Palatino Linotype" w:hAnsi="Palatino Linotype" w:cs="Palatino Linotype"/>
                    <w:b/>
                    <w:sz w:val="24"/>
                    <w:szCs w:val="22"/>
                  </w:rPr>
                  <w:t>Sujeto Obligado:</w:t>
                </w:r>
              </w:p>
            </w:tc>
            <w:tc>
              <w:tcPr>
                <w:tcW w:w="4923" w:type="dxa"/>
              </w:tcPr>
              <w:p w:rsidR="00944BE2" w:rsidRPr="00067328" w:rsidRDefault="00326A97">
                <w:pPr>
                  <w:tabs>
                    <w:tab w:val="left" w:pos="2834"/>
                    <w:tab w:val="right" w:pos="8838"/>
                  </w:tabs>
                  <w:ind w:left="-3" w:right="1315"/>
                  <w:jc w:val="both"/>
                  <w:rPr>
                    <w:rFonts w:ascii="Palatino Linotype" w:eastAsia="Palatino Linotype" w:hAnsi="Palatino Linotype" w:cs="Palatino Linotype"/>
                    <w:sz w:val="24"/>
                    <w:szCs w:val="22"/>
                  </w:rPr>
                </w:pPr>
                <w:r w:rsidRPr="00067328">
                  <w:rPr>
                    <w:rFonts w:ascii="Palatino Linotype" w:eastAsia="Palatino Linotype" w:hAnsi="Palatino Linotype" w:cs="Palatino Linotype"/>
                    <w:sz w:val="24"/>
                    <w:szCs w:val="22"/>
                  </w:rPr>
                  <w:t>Ayuntamiento de Nopaltepec</w:t>
                </w:r>
              </w:p>
            </w:tc>
            <w:tc>
              <w:tcPr>
                <w:tcW w:w="3402" w:type="dxa"/>
              </w:tcPr>
              <w:p w:rsidR="00944BE2" w:rsidRDefault="00944BE2">
                <w:pPr>
                  <w:tabs>
                    <w:tab w:val="left" w:pos="2834"/>
                    <w:tab w:val="right" w:pos="8838"/>
                  </w:tabs>
                  <w:ind w:left="-74" w:right="-105"/>
                  <w:jc w:val="both"/>
                  <w:rPr>
                    <w:rFonts w:ascii="Palatino Linotype" w:eastAsia="Palatino Linotype" w:hAnsi="Palatino Linotype" w:cs="Palatino Linotype"/>
                    <w:sz w:val="22"/>
                    <w:szCs w:val="22"/>
                  </w:rPr>
                </w:pPr>
              </w:p>
            </w:tc>
          </w:tr>
          <w:tr w:rsidR="00944BE2" w:rsidTr="00067328">
            <w:trPr>
              <w:trHeight w:val="283"/>
            </w:trPr>
            <w:tc>
              <w:tcPr>
                <w:tcW w:w="2688" w:type="dxa"/>
              </w:tcPr>
              <w:p w:rsidR="00944BE2" w:rsidRPr="00067328" w:rsidRDefault="00326A97">
                <w:pPr>
                  <w:tabs>
                    <w:tab w:val="right" w:pos="8838"/>
                  </w:tabs>
                  <w:ind w:left="-74" w:right="-105"/>
                  <w:rPr>
                    <w:rFonts w:ascii="Palatino Linotype" w:eastAsia="Palatino Linotype" w:hAnsi="Palatino Linotype" w:cs="Palatino Linotype"/>
                    <w:b/>
                    <w:sz w:val="24"/>
                    <w:szCs w:val="22"/>
                  </w:rPr>
                </w:pPr>
                <w:r w:rsidRPr="00067328">
                  <w:rPr>
                    <w:rFonts w:ascii="Palatino Linotype" w:eastAsia="Palatino Linotype" w:hAnsi="Palatino Linotype" w:cs="Palatino Linotype"/>
                    <w:b/>
                    <w:sz w:val="24"/>
                    <w:szCs w:val="22"/>
                  </w:rPr>
                  <w:t>Comisionada Ponente:</w:t>
                </w:r>
              </w:p>
            </w:tc>
            <w:tc>
              <w:tcPr>
                <w:tcW w:w="4923" w:type="dxa"/>
              </w:tcPr>
              <w:p w:rsidR="00944BE2" w:rsidRPr="00067328" w:rsidRDefault="00326A97">
                <w:pPr>
                  <w:tabs>
                    <w:tab w:val="right" w:pos="8838"/>
                  </w:tabs>
                  <w:ind w:left="-3" w:right="-105"/>
                  <w:jc w:val="both"/>
                  <w:rPr>
                    <w:rFonts w:ascii="Palatino Linotype" w:eastAsia="Palatino Linotype" w:hAnsi="Palatino Linotype" w:cs="Palatino Linotype"/>
                    <w:sz w:val="24"/>
                    <w:szCs w:val="22"/>
                  </w:rPr>
                </w:pPr>
                <w:r w:rsidRPr="00067328">
                  <w:rPr>
                    <w:rFonts w:ascii="Palatino Linotype" w:eastAsia="Palatino Linotype" w:hAnsi="Palatino Linotype" w:cs="Palatino Linotype"/>
                    <w:sz w:val="24"/>
                    <w:szCs w:val="22"/>
                  </w:rPr>
                  <w:t>María del Rosario Mejía Ayala</w:t>
                </w:r>
              </w:p>
            </w:tc>
            <w:tc>
              <w:tcPr>
                <w:tcW w:w="3402" w:type="dxa"/>
              </w:tcPr>
              <w:p w:rsidR="00944BE2" w:rsidRDefault="00944BE2">
                <w:pPr>
                  <w:tabs>
                    <w:tab w:val="right" w:pos="8838"/>
                  </w:tabs>
                  <w:ind w:left="-74" w:right="-105"/>
                  <w:jc w:val="both"/>
                  <w:rPr>
                    <w:rFonts w:ascii="Palatino Linotype" w:eastAsia="Palatino Linotype" w:hAnsi="Palatino Linotype" w:cs="Palatino Linotype"/>
                    <w:sz w:val="22"/>
                    <w:szCs w:val="22"/>
                  </w:rPr>
                </w:pPr>
              </w:p>
            </w:tc>
          </w:tr>
        </w:tbl>
        <w:p w:rsidR="00944BE2" w:rsidRDefault="00944BE2">
          <w:pPr>
            <w:tabs>
              <w:tab w:val="right" w:pos="8838"/>
            </w:tabs>
            <w:ind w:left="-28"/>
            <w:jc w:val="both"/>
            <w:rPr>
              <w:rFonts w:ascii="Arial" w:eastAsia="Arial" w:hAnsi="Arial" w:cs="Arial"/>
              <w:b/>
              <w:sz w:val="22"/>
              <w:szCs w:val="22"/>
            </w:rPr>
          </w:pPr>
        </w:p>
      </w:tc>
    </w:tr>
  </w:tbl>
  <w:p w:rsidR="00944BE2" w:rsidRDefault="00682833" w:rsidP="00067328">
    <w:pPr>
      <w:pBdr>
        <w:top w:val="nil"/>
        <w:left w:val="nil"/>
        <w:bottom w:val="nil"/>
        <w:right w:val="nil"/>
        <w:between w:val="nil"/>
      </w:pBdr>
      <w:tabs>
        <w:tab w:val="center" w:pos="4419"/>
        <w:tab w:val="right" w:pos="8838"/>
        <w:tab w:val="center" w:pos="4522"/>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6.45pt;margin-top:-133.4pt;width:661.75pt;height:861.75pt;z-index:-25165772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4F44"/>
    <w:multiLevelType w:val="hybridMultilevel"/>
    <w:tmpl w:val="1B98D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CC05F5C"/>
    <w:multiLevelType w:val="multilevel"/>
    <w:tmpl w:val="46AA65A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8C2C89"/>
    <w:multiLevelType w:val="multilevel"/>
    <w:tmpl w:val="5CB03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E2"/>
    <w:rsid w:val="00067328"/>
    <w:rsid w:val="00305B1B"/>
    <w:rsid w:val="00326A97"/>
    <w:rsid w:val="006242E2"/>
    <w:rsid w:val="0067245B"/>
    <w:rsid w:val="00682833"/>
    <w:rsid w:val="0077158C"/>
    <w:rsid w:val="00884AE6"/>
    <w:rsid w:val="00944BE2"/>
    <w:rsid w:val="00A52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A03D09F-437B-4A46-8054-D0A67AE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nw8ZdUdpNHKtrDhc02rpL3OqA==">CgMxLjAyDmguZWFhaHRrZjFocjZtMg5oLnlnOGoyMzI3ZXpqczIOaC45bnVhcGp5OWtjc3IyDmgucXB6bmEybzdtc3JkMg5oLmZvbmdqdWw4M3V2dzIOaC53NTYxYmRpODl0Y20yDWguYjFiM2pncG91MDcyDmguaWQ3emU5Mm1yaG4yMg5oLmk2NTQxaDJqdHFrNjIOaC5xd2pxZDVmb25jeXAyDmguZXRhdGh3aG5lZ21yMg5oLm13Z2YxOWozMzhwNDINaC5oYjJ6amc1MHJkeDIOaC5hcHBxbmxzNnAyemo4AHIhMVNDNE90TG5lQWJXc2lCNWp4YjlQM2wyWGY4b1JCRm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3620</Words>
  <Characters>19911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6</cp:revision>
  <cp:lastPrinted>2025-07-17T17:55:00Z</cp:lastPrinted>
  <dcterms:created xsi:type="dcterms:W3CDTF">2025-06-19T19:51:00Z</dcterms:created>
  <dcterms:modified xsi:type="dcterms:W3CDTF">2025-08-08T19:07:00Z</dcterms:modified>
</cp:coreProperties>
</file>