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854" w:rsidRPr="00CF7E48" w:rsidRDefault="00752EA3" w:rsidP="00CF7E48">
      <w:pPr>
        <w:tabs>
          <w:tab w:val="left" w:pos="3465"/>
        </w:tabs>
        <w:spacing w:line="360" w:lineRule="auto"/>
        <w:ind w:right="49"/>
        <w:jc w:val="both"/>
        <w:rPr>
          <w:rFonts w:ascii="Palatino Linotype" w:eastAsia="Palatino Linotype" w:hAnsi="Palatino Linotype" w:cs="Palatino Linotype"/>
          <w:b/>
          <w:color w:val="000000" w:themeColor="text1"/>
          <w:sz w:val="24"/>
          <w:szCs w:val="24"/>
        </w:rPr>
      </w:pPr>
      <w:bookmarkStart w:id="0" w:name="_heading=h.3rdcrjn" w:colFirst="0" w:colLast="0"/>
      <w:bookmarkEnd w:id="0"/>
      <w:r w:rsidRPr="00CF7E48">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00657B48">
        <w:rPr>
          <w:rFonts w:ascii="Palatino Linotype" w:eastAsia="Palatino Linotype" w:hAnsi="Palatino Linotype" w:cs="Palatino Linotype"/>
          <w:b/>
          <w:color w:val="000000" w:themeColor="text1"/>
          <w:sz w:val="24"/>
          <w:szCs w:val="24"/>
        </w:rPr>
        <w:t xml:space="preserve">de fecha doce (12) </w:t>
      </w:r>
      <w:r w:rsidR="00657B48" w:rsidRPr="00157555">
        <w:rPr>
          <w:rFonts w:ascii="Palatino Linotype" w:eastAsia="Palatino Linotype" w:hAnsi="Palatino Linotype" w:cs="Palatino Linotype"/>
          <w:b/>
          <w:color w:val="000000" w:themeColor="text1"/>
          <w:sz w:val="24"/>
          <w:szCs w:val="24"/>
        </w:rPr>
        <w:t xml:space="preserve">de </w:t>
      </w:r>
      <w:r w:rsidR="00657B48">
        <w:rPr>
          <w:rFonts w:ascii="Palatino Linotype" w:eastAsia="Palatino Linotype" w:hAnsi="Palatino Linotype" w:cs="Palatino Linotype"/>
          <w:b/>
          <w:color w:val="000000" w:themeColor="text1"/>
          <w:sz w:val="24"/>
          <w:szCs w:val="24"/>
        </w:rPr>
        <w:t xml:space="preserve">noviembre </w:t>
      </w:r>
      <w:r w:rsidR="00657B48" w:rsidRPr="00157555">
        <w:rPr>
          <w:rFonts w:ascii="Palatino Linotype" w:eastAsia="Palatino Linotype" w:hAnsi="Palatino Linotype" w:cs="Palatino Linotype"/>
          <w:b/>
          <w:color w:val="000000" w:themeColor="text1"/>
          <w:sz w:val="24"/>
          <w:szCs w:val="24"/>
        </w:rPr>
        <w:t>de dos mil veinticinco</w:t>
      </w:r>
      <w:r w:rsidRPr="00CF7E48">
        <w:rPr>
          <w:rFonts w:ascii="Palatino Linotype" w:eastAsia="Palatino Linotype" w:hAnsi="Palatino Linotype" w:cs="Palatino Linotype"/>
          <w:b/>
          <w:color w:val="000000" w:themeColor="text1"/>
          <w:sz w:val="24"/>
          <w:szCs w:val="24"/>
        </w:rPr>
        <w:t>.</w:t>
      </w:r>
    </w:p>
    <w:p w:rsidR="00435854" w:rsidRPr="00CF7E48" w:rsidRDefault="00435854" w:rsidP="00CF7E48">
      <w:pPr>
        <w:tabs>
          <w:tab w:val="left" w:pos="3465"/>
        </w:tabs>
        <w:spacing w:line="360" w:lineRule="auto"/>
        <w:ind w:right="49"/>
        <w:jc w:val="both"/>
        <w:rPr>
          <w:rFonts w:ascii="Palatino Linotype" w:eastAsia="Palatino Linotype" w:hAnsi="Palatino Linotype" w:cs="Palatino Linotype"/>
          <w:color w:val="000000" w:themeColor="text1"/>
          <w:sz w:val="24"/>
          <w:szCs w:val="24"/>
        </w:rPr>
      </w:pPr>
    </w:p>
    <w:p w:rsidR="00435854" w:rsidRPr="00CF7E48" w:rsidRDefault="00752EA3" w:rsidP="00CF7E48">
      <w:pPr>
        <w:spacing w:line="360" w:lineRule="auto"/>
        <w:ind w:right="49"/>
        <w:jc w:val="both"/>
        <w:rPr>
          <w:rFonts w:ascii="Palatino Linotype" w:eastAsia="Palatino Linotype" w:hAnsi="Palatino Linotype" w:cs="Palatino Linotype"/>
          <w:color w:val="000000" w:themeColor="text1"/>
          <w:sz w:val="24"/>
          <w:szCs w:val="24"/>
        </w:rPr>
      </w:pPr>
      <w:r w:rsidRPr="00CF7E48">
        <w:rPr>
          <w:rFonts w:ascii="Palatino Linotype" w:eastAsia="Palatino Linotype" w:hAnsi="Palatino Linotype" w:cs="Palatino Linotype"/>
          <w:b/>
          <w:color w:val="000000" w:themeColor="text1"/>
          <w:sz w:val="24"/>
          <w:szCs w:val="24"/>
        </w:rPr>
        <w:t>VISTO</w:t>
      </w:r>
      <w:r w:rsidRPr="00CF7E48">
        <w:rPr>
          <w:rFonts w:ascii="Palatino Linotype" w:eastAsia="Palatino Linotype" w:hAnsi="Palatino Linotype" w:cs="Palatino Linotype"/>
          <w:color w:val="000000" w:themeColor="text1"/>
          <w:sz w:val="24"/>
          <w:szCs w:val="24"/>
        </w:rPr>
        <w:t xml:space="preserve"> el expediente electrónico formado con motivo del recurso de revisión </w:t>
      </w:r>
      <w:r w:rsidR="00546F18" w:rsidRPr="00CF7E48">
        <w:rPr>
          <w:rFonts w:ascii="Palatino Linotype" w:eastAsia="Palatino Linotype" w:hAnsi="Palatino Linotype" w:cs="Palatino Linotype"/>
          <w:b/>
          <w:color w:val="000000" w:themeColor="text1"/>
          <w:sz w:val="24"/>
          <w:szCs w:val="24"/>
        </w:rPr>
        <w:t>10323/INFOEM/IP/RR/2025</w:t>
      </w:r>
      <w:r w:rsidRPr="00CF7E48">
        <w:rPr>
          <w:rFonts w:ascii="Palatino Linotype" w:eastAsia="Palatino Linotype" w:hAnsi="Palatino Linotype" w:cs="Palatino Linotype"/>
          <w:color w:val="000000" w:themeColor="text1"/>
          <w:sz w:val="24"/>
          <w:szCs w:val="24"/>
        </w:rPr>
        <w:t>,</w:t>
      </w:r>
      <w:r w:rsidRPr="00CF7E48">
        <w:rPr>
          <w:rFonts w:ascii="Palatino Linotype" w:eastAsia="Palatino Linotype" w:hAnsi="Palatino Linotype" w:cs="Palatino Linotype"/>
          <w:b/>
          <w:color w:val="000000" w:themeColor="text1"/>
          <w:sz w:val="24"/>
          <w:szCs w:val="24"/>
        </w:rPr>
        <w:t xml:space="preserve"> </w:t>
      </w:r>
      <w:r w:rsidRPr="00CF7E48">
        <w:rPr>
          <w:rFonts w:ascii="Palatino Linotype" w:eastAsia="Palatino Linotype" w:hAnsi="Palatino Linotype" w:cs="Palatino Linotype"/>
          <w:color w:val="000000" w:themeColor="text1"/>
          <w:sz w:val="24"/>
          <w:szCs w:val="24"/>
        </w:rPr>
        <w:t>promovido por</w:t>
      </w:r>
      <w:r w:rsidRPr="00CF7E48">
        <w:rPr>
          <w:rFonts w:ascii="Palatino Linotype" w:eastAsia="Palatino Linotype" w:hAnsi="Palatino Linotype" w:cs="Palatino Linotype"/>
          <w:b/>
          <w:color w:val="000000" w:themeColor="text1"/>
          <w:sz w:val="24"/>
          <w:szCs w:val="24"/>
        </w:rPr>
        <w:t xml:space="preserve">  </w:t>
      </w:r>
      <w:r w:rsidR="003138C5">
        <w:rPr>
          <w:rFonts w:ascii="Palatino Linotype" w:eastAsia="Palatino Linotype" w:hAnsi="Palatino Linotype" w:cs="Palatino Linotype"/>
          <w:b/>
          <w:bCs/>
          <w:color w:val="000000" w:themeColor="text1"/>
          <w:sz w:val="24"/>
          <w:szCs w:val="24"/>
        </w:rPr>
        <w:t>XXXX</w:t>
      </w:r>
      <w:r w:rsidRPr="00CF7E48">
        <w:rPr>
          <w:rFonts w:ascii="Palatino Linotype" w:eastAsia="Palatino Linotype" w:hAnsi="Palatino Linotype" w:cs="Palatino Linotype"/>
          <w:color w:val="000000" w:themeColor="text1"/>
          <w:sz w:val="24"/>
          <w:szCs w:val="24"/>
        </w:rPr>
        <w:t xml:space="preserve">, a quien en lo sucesivo se le identificará como </w:t>
      </w:r>
      <w:r w:rsidRPr="00CF7E48">
        <w:rPr>
          <w:rFonts w:ascii="Palatino Linotype" w:eastAsia="Palatino Linotype" w:hAnsi="Palatino Linotype" w:cs="Palatino Linotype"/>
          <w:b/>
          <w:color w:val="000000" w:themeColor="text1"/>
          <w:sz w:val="24"/>
          <w:szCs w:val="24"/>
        </w:rPr>
        <w:t>EL RECURRENTE</w:t>
      </w:r>
      <w:r w:rsidRPr="00CF7E48">
        <w:rPr>
          <w:rFonts w:ascii="Palatino Linotype" w:eastAsia="Palatino Linotype" w:hAnsi="Palatino Linotype" w:cs="Palatino Linotype"/>
          <w:color w:val="000000" w:themeColor="text1"/>
          <w:sz w:val="24"/>
          <w:szCs w:val="24"/>
        </w:rPr>
        <w:t xml:space="preserve">, en contra de la respuesta del </w:t>
      </w:r>
      <w:r w:rsidR="00546F18" w:rsidRPr="00CF7E48">
        <w:rPr>
          <w:rFonts w:ascii="Palatino Linotype" w:eastAsia="Palatino Linotype" w:hAnsi="Palatino Linotype" w:cs="Palatino Linotype"/>
          <w:b/>
          <w:bCs/>
          <w:color w:val="000000" w:themeColor="text1"/>
          <w:sz w:val="24"/>
          <w:szCs w:val="24"/>
        </w:rPr>
        <w:t>Ayuntamiento de Tecámac</w:t>
      </w:r>
      <w:r w:rsidRPr="00CF7E48">
        <w:rPr>
          <w:rFonts w:ascii="Palatino Linotype" w:eastAsia="Palatino Linotype" w:hAnsi="Palatino Linotype" w:cs="Palatino Linotype"/>
          <w:b/>
          <w:color w:val="000000" w:themeColor="text1"/>
          <w:sz w:val="24"/>
          <w:szCs w:val="24"/>
        </w:rPr>
        <w:t xml:space="preserve">, </w:t>
      </w:r>
      <w:r w:rsidRPr="00CF7E48">
        <w:rPr>
          <w:rFonts w:ascii="Palatino Linotype" w:eastAsia="Palatino Linotype" w:hAnsi="Palatino Linotype" w:cs="Palatino Linotype"/>
          <w:color w:val="000000" w:themeColor="text1"/>
          <w:sz w:val="24"/>
          <w:szCs w:val="24"/>
        </w:rPr>
        <w:t>en adelante el</w:t>
      </w:r>
      <w:r w:rsidRPr="00CF7E48">
        <w:rPr>
          <w:rFonts w:ascii="Palatino Linotype" w:eastAsia="Palatino Linotype" w:hAnsi="Palatino Linotype" w:cs="Palatino Linotype"/>
          <w:b/>
          <w:color w:val="000000" w:themeColor="text1"/>
          <w:sz w:val="24"/>
          <w:szCs w:val="24"/>
        </w:rPr>
        <w:t xml:space="preserve"> SUJETO OBLIGADO</w:t>
      </w:r>
      <w:r w:rsidRPr="00CF7E48">
        <w:rPr>
          <w:rFonts w:ascii="Palatino Linotype" w:eastAsia="Palatino Linotype" w:hAnsi="Palatino Linotype" w:cs="Palatino Linotype"/>
          <w:color w:val="000000" w:themeColor="text1"/>
          <w:sz w:val="24"/>
          <w:szCs w:val="24"/>
        </w:rPr>
        <w:t>, se procede a dictar la presente resolución, con base en los siguientes:</w:t>
      </w:r>
    </w:p>
    <w:p w:rsidR="00435854" w:rsidRPr="00CF7E48" w:rsidRDefault="00435854" w:rsidP="00CF7E48">
      <w:pPr>
        <w:spacing w:line="360" w:lineRule="auto"/>
        <w:ind w:right="49"/>
        <w:jc w:val="both"/>
        <w:rPr>
          <w:rFonts w:ascii="Palatino Linotype" w:eastAsia="Palatino Linotype" w:hAnsi="Palatino Linotype" w:cs="Palatino Linotype"/>
          <w:b/>
          <w:color w:val="000000" w:themeColor="text1"/>
          <w:sz w:val="24"/>
          <w:szCs w:val="24"/>
        </w:rPr>
      </w:pPr>
    </w:p>
    <w:p w:rsidR="00435854" w:rsidRPr="00CF7E48" w:rsidRDefault="00752EA3" w:rsidP="00CF7E48">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CF7E48">
        <w:rPr>
          <w:rFonts w:ascii="Palatino Linotype" w:eastAsia="Palatino Linotype" w:hAnsi="Palatino Linotype" w:cs="Palatino Linotype"/>
          <w:b/>
          <w:color w:val="000000" w:themeColor="text1"/>
          <w:sz w:val="24"/>
          <w:szCs w:val="24"/>
        </w:rPr>
        <w:t>A N T E C E D E N T E S</w:t>
      </w:r>
    </w:p>
    <w:p w:rsidR="00435854" w:rsidRPr="00CF7E48" w:rsidRDefault="00435854" w:rsidP="00CF7E48">
      <w:pPr>
        <w:ind w:right="49"/>
        <w:rPr>
          <w:rFonts w:ascii="Palatino Linotype" w:eastAsia="Palatino Linotype" w:hAnsi="Palatino Linotype" w:cs="Palatino Linotype"/>
          <w:color w:val="000000" w:themeColor="text1"/>
          <w:sz w:val="24"/>
          <w:szCs w:val="24"/>
        </w:rPr>
      </w:pPr>
    </w:p>
    <w:p w:rsidR="00435854" w:rsidRPr="00CF7E48" w:rsidRDefault="00752EA3" w:rsidP="00CF7E48">
      <w:pPr>
        <w:numPr>
          <w:ilvl w:val="0"/>
          <w:numId w:val="9"/>
        </w:numPr>
        <w:pBdr>
          <w:top w:val="nil"/>
          <w:left w:val="nil"/>
          <w:bottom w:val="nil"/>
          <w:right w:val="nil"/>
          <w:between w:val="nil"/>
        </w:pBdr>
        <w:tabs>
          <w:tab w:val="left" w:pos="0"/>
        </w:tabs>
        <w:spacing w:after="0" w:line="360" w:lineRule="auto"/>
        <w:ind w:left="0" w:right="49" w:firstLine="0"/>
        <w:jc w:val="both"/>
        <w:rPr>
          <w:rFonts w:ascii="Palatino Linotype" w:hAnsi="Palatino Linotype"/>
          <w:color w:val="000000" w:themeColor="text1"/>
          <w:sz w:val="24"/>
          <w:szCs w:val="24"/>
        </w:rPr>
      </w:pPr>
      <w:r w:rsidRPr="00CF7E48">
        <w:rPr>
          <w:rFonts w:ascii="Palatino Linotype" w:eastAsia="Palatino Linotype" w:hAnsi="Palatino Linotype" w:cs="Palatino Linotype"/>
          <w:color w:val="000000" w:themeColor="text1"/>
          <w:sz w:val="24"/>
          <w:szCs w:val="24"/>
        </w:rPr>
        <w:t>El</w:t>
      </w:r>
      <w:r w:rsidRPr="00CF7E48">
        <w:rPr>
          <w:rFonts w:ascii="Palatino Linotype" w:eastAsia="Palatino Linotype" w:hAnsi="Palatino Linotype" w:cs="Palatino Linotype"/>
          <w:b/>
          <w:color w:val="000000" w:themeColor="text1"/>
          <w:sz w:val="24"/>
          <w:szCs w:val="24"/>
        </w:rPr>
        <w:t xml:space="preserve"> </w:t>
      </w:r>
      <w:r w:rsidR="00546F18" w:rsidRPr="00CF7E48">
        <w:rPr>
          <w:rFonts w:ascii="Palatino Linotype" w:eastAsia="Palatino Linotype" w:hAnsi="Palatino Linotype" w:cs="Palatino Linotype"/>
          <w:b/>
          <w:color w:val="000000" w:themeColor="text1"/>
          <w:sz w:val="24"/>
          <w:szCs w:val="24"/>
        </w:rPr>
        <w:t>dieciocho de agosto</w:t>
      </w:r>
      <w:r w:rsidRPr="00CF7E48">
        <w:rPr>
          <w:rFonts w:ascii="Palatino Linotype" w:eastAsia="Palatino Linotype" w:hAnsi="Palatino Linotype" w:cs="Palatino Linotype"/>
          <w:b/>
          <w:color w:val="000000" w:themeColor="text1"/>
          <w:sz w:val="24"/>
          <w:szCs w:val="24"/>
        </w:rPr>
        <w:t xml:space="preserve"> de dos mil veinticinco, </w:t>
      </w:r>
      <w:r w:rsidRPr="00CF7E48">
        <w:rPr>
          <w:rFonts w:ascii="Palatino Linotype" w:eastAsia="Palatino Linotype" w:hAnsi="Palatino Linotype" w:cs="Palatino Linotype"/>
          <w:color w:val="000000" w:themeColor="text1"/>
          <w:sz w:val="24"/>
          <w:szCs w:val="24"/>
        </w:rPr>
        <w:t xml:space="preserve">se presentó ante el </w:t>
      </w:r>
      <w:r w:rsidRPr="00CF7E48">
        <w:rPr>
          <w:rFonts w:ascii="Palatino Linotype" w:eastAsia="Palatino Linotype" w:hAnsi="Palatino Linotype" w:cs="Palatino Linotype"/>
          <w:b/>
          <w:color w:val="000000" w:themeColor="text1"/>
          <w:sz w:val="24"/>
          <w:szCs w:val="24"/>
        </w:rPr>
        <w:t>SUJETO OBLIGADO</w:t>
      </w:r>
      <w:r w:rsidRPr="00CF7E48">
        <w:rPr>
          <w:rFonts w:ascii="Palatino Linotype" w:eastAsia="Palatino Linotype" w:hAnsi="Palatino Linotype" w:cs="Palatino Linotype"/>
          <w:color w:val="000000" w:themeColor="text1"/>
          <w:sz w:val="24"/>
          <w:szCs w:val="24"/>
        </w:rPr>
        <w:t xml:space="preserve"> a través del Sistema de Acceso a la Información (SAIMEX) la solicitud de información pública registrada con el número</w:t>
      </w:r>
      <w:r w:rsidRPr="00CF7E48">
        <w:rPr>
          <w:rFonts w:ascii="Palatino Linotype" w:eastAsia="Palatino Linotype" w:hAnsi="Palatino Linotype" w:cs="Palatino Linotype"/>
          <w:b/>
          <w:color w:val="000000" w:themeColor="text1"/>
          <w:sz w:val="24"/>
          <w:szCs w:val="24"/>
        </w:rPr>
        <w:t> </w:t>
      </w:r>
      <w:r w:rsidR="00546F18" w:rsidRPr="00CF7E48">
        <w:rPr>
          <w:rFonts w:ascii="Palatino Linotype" w:eastAsia="Palatino Linotype" w:hAnsi="Palatino Linotype" w:cs="Palatino Linotype"/>
          <w:b/>
          <w:bCs/>
          <w:color w:val="000000" w:themeColor="text1"/>
          <w:sz w:val="24"/>
          <w:szCs w:val="24"/>
        </w:rPr>
        <w:t>00238/TECAMAC/IP/2025</w:t>
      </w:r>
      <w:r w:rsidRPr="00CF7E48">
        <w:rPr>
          <w:rFonts w:ascii="Palatino Linotype" w:eastAsia="Palatino Linotype" w:hAnsi="Palatino Linotype" w:cs="Palatino Linotype"/>
          <w:b/>
          <w:color w:val="000000" w:themeColor="text1"/>
          <w:sz w:val="24"/>
          <w:szCs w:val="24"/>
        </w:rPr>
        <w:t xml:space="preserve">; </w:t>
      </w:r>
      <w:r w:rsidRPr="00CF7E48">
        <w:rPr>
          <w:rFonts w:ascii="Palatino Linotype" w:eastAsia="Palatino Linotype" w:hAnsi="Palatino Linotype" w:cs="Palatino Linotype"/>
          <w:color w:val="000000" w:themeColor="text1"/>
          <w:sz w:val="24"/>
          <w:szCs w:val="24"/>
        </w:rPr>
        <w:t>en la que se solicitó la siguiente información:</w:t>
      </w:r>
    </w:p>
    <w:p w:rsidR="00435854" w:rsidRPr="00CF7E48" w:rsidRDefault="00435854" w:rsidP="00CF7E48">
      <w:pPr>
        <w:pBdr>
          <w:top w:val="nil"/>
          <w:left w:val="nil"/>
          <w:bottom w:val="nil"/>
          <w:right w:val="nil"/>
          <w:between w:val="nil"/>
        </w:pBdr>
        <w:tabs>
          <w:tab w:val="left" w:pos="0"/>
        </w:tabs>
        <w:spacing w:after="0" w:line="360" w:lineRule="auto"/>
        <w:ind w:right="49"/>
        <w:jc w:val="both"/>
        <w:rPr>
          <w:rFonts w:ascii="Palatino Linotype" w:eastAsia="Palatino Linotype" w:hAnsi="Palatino Linotype" w:cs="Palatino Linotype"/>
          <w:color w:val="000000" w:themeColor="text1"/>
          <w:sz w:val="24"/>
          <w:szCs w:val="24"/>
        </w:rPr>
      </w:pPr>
    </w:p>
    <w:p w:rsidR="00435854" w:rsidRPr="00CF7E48" w:rsidRDefault="00546F18" w:rsidP="00CF7E48">
      <w:pPr>
        <w:pBdr>
          <w:top w:val="nil"/>
          <w:left w:val="nil"/>
          <w:bottom w:val="nil"/>
          <w:right w:val="nil"/>
          <w:between w:val="nil"/>
        </w:pBdr>
        <w:spacing w:after="0" w:line="240" w:lineRule="auto"/>
        <w:ind w:right="49"/>
        <w:jc w:val="both"/>
        <w:rPr>
          <w:rFonts w:ascii="Palatino Linotype" w:eastAsia="Palatino Linotype" w:hAnsi="Palatino Linotype" w:cs="Palatino Linotype"/>
          <w:i/>
          <w:color w:val="000000" w:themeColor="text1"/>
          <w:sz w:val="24"/>
          <w:szCs w:val="24"/>
        </w:rPr>
      </w:pPr>
      <w:r w:rsidRPr="00CF7E48">
        <w:rPr>
          <w:rFonts w:ascii="Palatino Linotype" w:eastAsia="Palatino Linotype" w:hAnsi="Palatino Linotype" w:cs="Palatino Linotype"/>
          <w:i/>
          <w:color w:val="000000" w:themeColor="text1"/>
          <w:sz w:val="24"/>
          <w:szCs w:val="24"/>
        </w:rPr>
        <w:t xml:space="preserve">“Por medio de la presente, me permito solicitar, de manera respetuosa, se me informe con precisión el fundamento legal y reglamentario sobre el cual se rige la actuación de la Guardia Civil de Tecámac en relación con los siguientes puntos: 1. Fundamento normativo: ¿En qué ley, reglamento municipal, código reglamentario o disposición oficial se establece el procedimiento mediante el cual un elemento de la Guardia Civil, al faltar a su turno, puede ser fatigado en otro turno y, en caso de no presentarse, se le registre una segunda falta con el consecuente doble descuento salarial? Asimismo, ¿bajo qué norma se contempla la posibilidad de imponer arresto por dicha situación? 2. Documentación oficial: ¿Existe algún memorándum, circular, oficio o documento oficial, debidamente fundamentado en la </w:t>
      </w:r>
      <w:r w:rsidRPr="00CF7E48">
        <w:rPr>
          <w:rFonts w:ascii="Palatino Linotype" w:eastAsia="Palatino Linotype" w:hAnsi="Palatino Linotype" w:cs="Palatino Linotype"/>
          <w:i/>
          <w:color w:val="000000" w:themeColor="text1"/>
          <w:sz w:val="24"/>
          <w:szCs w:val="24"/>
        </w:rPr>
        <w:lastRenderedPageBreak/>
        <w:t xml:space="preserve">legislación aplicable, que haya sido firmado por cada integrante de la corporación, en el que se reconozca y acepte el procedimiento descrito anteriormente? 3. Aplicación de descuentos por lista digital: ¿Qué disposición legal o reglamentaria faculta al municipio o a la corporación para realizar descuentos salariales en caso de que el elemento no pase lista mediante la aplicación digital, aun cuando haya firmado una fatiga en papel o en otro formato? Se solicita se especifique si este procedimiento está debidamente sustentado en alguna norma oficial, y si los elementos han sido informados y han firmado de conocimiento sobre dicha medida. 4. Transparencia administrativa: En caso de que estas medidas estén contempladas en el Código Reglamentario Municipal de Tecámac, en el Bando Municipal o en alguna otra norma vigente, agradeceré se me indique el artículo específico y el documento oficial donde pueda consultarlo. La intención de esta solicitud es contar con claridad jurídica sobre los derechos y obligaciones de los elementos de seguridad pública, así como garantizar que cualquier medida administrativa esté debidamente sustentada en la ley y sea aplicada con equidad y transparencia. Sin otro particular, agradezco de antemano su atención y quedo en espera de una respuesta formal por parte de la autoridad competente. </w:t>
      </w:r>
      <w:r w:rsidR="00714C83" w:rsidRPr="00CF7E48">
        <w:rPr>
          <w:rFonts w:ascii="Palatino Linotype" w:eastAsia="Palatino Linotype" w:hAnsi="Palatino Linotype" w:cs="Palatino Linotype"/>
          <w:i/>
          <w:color w:val="000000" w:themeColor="text1"/>
          <w:sz w:val="24"/>
          <w:szCs w:val="24"/>
        </w:rPr>
        <w:t>“</w:t>
      </w:r>
      <w:r w:rsidR="00752EA3" w:rsidRPr="00CF7E48">
        <w:rPr>
          <w:rFonts w:ascii="Palatino Linotype" w:eastAsia="Palatino Linotype" w:hAnsi="Palatino Linotype" w:cs="Palatino Linotype"/>
          <w:i/>
          <w:color w:val="000000" w:themeColor="text1"/>
          <w:sz w:val="24"/>
          <w:szCs w:val="24"/>
        </w:rPr>
        <w:t>(Sic)</w:t>
      </w:r>
    </w:p>
    <w:p w:rsidR="00435854" w:rsidRPr="00CF7E48" w:rsidRDefault="00435854" w:rsidP="00CF7E48">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rsidR="00435854" w:rsidRPr="00CF7E48" w:rsidRDefault="00752EA3" w:rsidP="00CF7E48">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themeColor="text1"/>
          <w:sz w:val="24"/>
          <w:szCs w:val="24"/>
        </w:rPr>
      </w:pPr>
      <w:r w:rsidRPr="00CF7E48">
        <w:rPr>
          <w:rFonts w:ascii="Palatino Linotype" w:eastAsia="Palatino Linotype" w:hAnsi="Palatino Linotype" w:cs="Palatino Linotype"/>
          <w:color w:val="000000" w:themeColor="text1"/>
          <w:sz w:val="24"/>
          <w:szCs w:val="24"/>
        </w:rPr>
        <w:t xml:space="preserve">Se eligió como modalidad de entrega a través del </w:t>
      </w:r>
      <w:r w:rsidRPr="00CF7E48">
        <w:rPr>
          <w:rFonts w:ascii="Palatino Linotype" w:eastAsia="Palatino Linotype" w:hAnsi="Palatino Linotype" w:cs="Palatino Linotype"/>
          <w:b/>
          <w:color w:val="000000" w:themeColor="text1"/>
          <w:sz w:val="24"/>
          <w:szCs w:val="24"/>
        </w:rPr>
        <w:t>SAIMEX</w:t>
      </w:r>
    </w:p>
    <w:p w:rsidR="00435854" w:rsidRPr="00CF7E48" w:rsidRDefault="00435854" w:rsidP="00CF7E48">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rsidR="00435854" w:rsidRPr="00CF7E48" w:rsidRDefault="00752EA3" w:rsidP="00CF7E48">
      <w:pPr>
        <w:numPr>
          <w:ilvl w:val="0"/>
          <w:numId w:val="9"/>
        </w:numPr>
        <w:pBdr>
          <w:top w:val="nil"/>
          <w:left w:val="nil"/>
          <w:bottom w:val="nil"/>
          <w:right w:val="nil"/>
          <w:between w:val="nil"/>
        </w:pBdr>
        <w:tabs>
          <w:tab w:val="left" w:pos="0"/>
        </w:tabs>
        <w:spacing w:after="0" w:line="360" w:lineRule="auto"/>
        <w:ind w:left="0" w:right="49" w:firstLine="0"/>
        <w:jc w:val="both"/>
        <w:rPr>
          <w:rFonts w:ascii="Palatino Linotype" w:eastAsia="Palatino Linotype" w:hAnsi="Palatino Linotype" w:cs="Palatino Linotype"/>
          <w:b/>
          <w:color w:val="000000" w:themeColor="text1"/>
          <w:sz w:val="24"/>
          <w:szCs w:val="24"/>
        </w:rPr>
      </w:pPr>
      <w:r w:rsidRPr="00CF7E48">
        <w:rPr>
          <w:rFonts w:ascii="Palatino Linotype" w:eastAsia="Palatino Linotype" w:hAnsi="Palatino Linotype" w:cs="Palatino Linotype"/>
          <w:color w:val="000000" w:themeColor="text1"/>
          <w:sz w:val="24"/>
          <w:szCs w:val="24"/>
        </w:rPr>
        <w:t xml:space="preserve">El </w:t>
      </w:r>
      <w:r w:rsidR="00546F18" w:rsidRPr="00CF7E48">
        <w:rPr>
          <w:rFonts w:ascii="Palatino Linotype" w:eastAsia="Palatino Linotype" w:hAnsi="Palatino Linotype" w:cs="Palatino Linotype"/>
          <w:b/>
          <w:color w:val="000000" w:themeColor="text1"/>
          <w:sz w:val="24"/>
          <w:szCs w:val="24"/>
        </w:rPr>
        <w:t>treinta y uno de agosto</w:t>
      </w:r>
      <w:r w:rsidRPr="00CF7E48">
        <w:rPr>
          <w:rFonts w:ascii="Palatino Linotype" w:eastAsia="Palatino Linotype" w:hAnsi="Palatino Linotype" w:cs="Palatino Linotype"/>
          <w:b/>
          <w:color w:val="000000" w:themeColor="text1"/>
          <w:sz w:val="24"/>
          <w:szCs w:val="24"/>
        </w:rPr>
        <w:t xml:space="preserve"> de dos mil veinticinco,</w:t>
      </w:r>
      <w:r w:rsidRPr="00CF7E48">
        <w:rPr>
          <w:rFonts w:ascii="Palatino Linotype" w:eastAsia="Palatino Linotype" w:hAnsi="Palatino Linotype" w:cs="Palatino Linotype"/>
          <w:color w:val="000000" w:themeColor="text1"/>
          <w:sz w:val="24"/>
          <w:szCs w:val="24"/>
        </w:rPr>
        <w:t xml:space="preserve"> el </w:t>
      </w:r>
      <w:r w:rsidRPr="00CF7E48">
        <w:rPr>
          <w:rFonts w:ascii="Palatino Linotype" w:eastAsia="Palatino Linotype" w:hAnsi="Palatino Linotype" w:cs="Palatino Linotype"/>
          <w:b/>
          <w:color w:val="000000" w:themeColor="text1"/>
          <w:sz w:val="24"/>
          <w:szCs w:val="24"/>
        </w:rPr>
        <w:t xml:space="preserve">SUJETO OBLIGADO, </w:t>
      </w:r>
      <w:r w:rsidRPr="00CF7E48">
        <w:rPr>
          <w:rFonts w:ascii="Palatino Linotype" w:eastAsia="Palatino Linotype" w:hAnsi="Palatino Linotype" w:cs="Palatino Linotype"/>
          <w:color w:val="000000" w:themeColor="text1"/>
          <w:sz w:val="24"/>
          <w:szCs w:val="24"/>
        </w:rPr>
        <w:t>dio respuesta a manifestando lo siguiente:</w:t>
      </w:r>
    </w:p>
    <w:p w:rsidR="00714C83" w:rsidRPr="00CF7E48" w:rsidRDefault="00546F18" w:rsidP="00CF7E48">
      <w:pPr>
        <w:pStyle w:val="Prrafodelista"/>
        <w:numPr>
          <w:ilvl w:val="0"/>
          <w:numId w:val="16"/>
        </w:numPr>
        <w:ind w:left="0" w:right="49" w:firstLine="0"/>
        <w:rPr>
          <w:rFonts w:ascii="Palatino Linotype" w:hAnsi="Palatino Linotype"/>
          <w:b/>
          <w:color w:val="000000" w:themeColor="text1"/>
        </w:rPr>
      </w:pPr>
      <w:r w:rsidRPr="00CF7E48">
        <w:rPr>
          <w:rStyle w:val="Hipervnculo"/>
          <w:rFonts w:ascii="Palatino Linotype" w:hAnsi="Palatino Linotype"/>
          <w:b/>
          <w:bCs/>
          <w:color w:val="000000" w:themeColor="text1"/>
          <w:u w:val="none"/>
          <w:lang w:val="es-MX"/>
        </w:rPr>
        <w:t>Versi</w:t>
      </w:r>
      <w:r w:rsidR="00CF7E48">
        <w:rPr>
          <w:rStyle w:val="Hipervnculo"/>
          <w:rFonts w:ascii="Palatino Linotype" w:hAnsi="Palatino Linotype"/>
          <w:b/>
          <w:bCs/>
          <w:color w:val="000000" w:themeColor="text1"/>
          <w:u w:val="none"/>
          <w:lang w:val="es-MX"/>
        </w:rPr>
        <w:t xml:space="preserve">ón </w:t>
      </w:r>
      <w:r w:rsidRPr="00CF7E48">
        <w:rPr>
          <w:rStyle w:val="Hipervnculo"/>
          <w:rFonts w:ascii="Palatino Linotype" w:hAnsi="Palatino Linotype"/>
          <w:b/>
          <w:bCs/>
          <w:color w:val="000000" w:themeColor="text1"/>
          <w:u w:val="none"/>
          <w:lang w:val="es-MX"/>
        </w:rPr>
        <w:t>en PDF</w:t>
      </w:r>
      <w:r w:rsidR="00714C83" w:rsidRPr="00CF7E48">
        <w:rPr>
          <w:rFonts w:ascii="Palatino Linotype" w:hAnsi="Palatino Linotype"/>
          <w:b/>
          <w:color w:val="000000" w:themeColor="text1"/>
        </w:rPr>
        <w:t>:</w:t>
      </w:r>
    </w:p>
    <w:p w:rsidR="00546F18" w:rsidRPr="00CF7E48" w:rsidRDefault="00546F18" w:rsidP="00CF7E48">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themeColor="text1"/>
          <w:sz w:val="24"/>
          <w:szCs w:val="24"/>
        </w:rPr>
      </w:pPr>
      <w:r w:rsidRPr="00CF7E48">
        <w:rPr>
          <w:rFonts w:ascii="Palatino Linotype" w:eastAsia="Palatino Linotype" w:hAnsi="Palatino Linotype" w:cs="Palatino Linotype"/>
          <w:color w:val="000000" w:themeColor="text1"/>
          <w:sz w:val="24"/>
          <w:szCs w:val="24"/>
        </w:rPr>
        <w:t>…</w:t>
      </w:r>
      <w:r w:rsidRPr="00CF7E48">
        <w:rPr>
          <w:rFonts w:ascii="Palatino Linotype" w:eastAsia="Palatino Linotype" w:hAnsi="Palatino Linotype" w:cs="Palatino Linotype"/>
          <w:i/>
          <w:color w:val="000000" w:themeColor="text1"/>
          <w:sz w:val="24"/>
          <w:szCs w:val="24"/>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rsidR="00546F18" w:rsidRPr="00CF7E48" w:rsidRDefault="00546F18" w:rsidP="00CF7E48">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themeColor="text1"/>
          <w:sz w:val="24"/>
          <w:szCs w:val="24"/>
        </w:rPr>
      </w:pPr>
      <w:r w:rsidRPr="00CF7E48">
        <w:rPr>
          <w:rFonts w:ascii="Palatino Linotype" w:eastAsia="Palatino Linotype" w:hAnsi="Palatino Linotype" w:cs="Palatino Linotype"/>
          <w:i/>
          <w:color w:val="000000" w:themeColor="text1"/>
          <w:sz w:val="24"/>
          <w:szCs w:val="24"/>
        </w:rPr>
        <w:t>Sobre el particular le informo que respecto a ese requerimiento de información, la información solicitada es la siguiente:</w:t>
      </w:r>
    </w:p>
    <w:p w:rsidR="00752EA3" w:rsidRPr="00CF7E48" w:rsidRDefault="00546F18" w:rsidP="00CF7E48">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themeColor="text1"/>
          <w:sz w:val="24"/>
          <w:szCs w:val="24"/>
        </w:rPr>
      </w:pPr>
      <w:r w:rsidRPr="00CF7E48">
        <w:rPr>
          <w:rFonts w:ascii="Palatino Linotype" w:eastAsia="Palatino Linotype" w:hAnsi="Palatino Linotype" w:cs="Palatino Linotype"/>
          <w:i/>
          <w:color w:val="000000" w:themeColor="text1"/>
          <w:sz w:val="24"/>
          <w:szCs w:val="24"/>
        </w:rPr>
        <w:t xml:space="preserve">1. Fundamento normativo para asignación de fatigas extraordinarias y aplicación de sanciones por inasistencias El personal operativo de la Guardia Civil Tecámac se encuentra sujeto a un régimen jurídico especial, en virtud del carácter de su función pública. La asignación de fatigas extraordinarias, así como la aplicación de medidas administrativas ante inasistencias injustificadas o incumplimiento de funciones, se encuentra regulada por disposiciones de orden público contenidas en: • Ley General del Sistema Nacional de Seguridad Pública • Ley de Seguridad del Estado de México • Código Reglamentario Municipal de Tecámac Dichas normas establecen obligaciones de </w:t>
      </w:r>
      <w:r w:rsidRPr="00CF7E48">
        <w:rPr>
          <w:rFonts w:ascii="Palatino Linotype" w:eastAsia="Palatino Linotype" w:hAnsi="Palatino Linotype" w:cs="Palatino Linotype"/>
          <w:i/>
          <w:color w:val="000000" w:themeColor="text1"/>
          <w:sz w:val="24"/>
          <w:szCs w:val="24"/>
        </w:rPr>
        <w:lastRenderedPageBreak/>
        <w:t>disciplina y cumplimiento del servicio, las cuales no requieren aceptación individual ni están sujetas a voluntad del servidor público para su validez o aplicación. 2. Sobre la existencia de memorándums u oficios firmados por los elementos para aceptar tales medidas. No es necesario, ni se encuentra previsto por la normativa vigente, que los elementos operativos firmen memorándums, circulares u oficios individuales para que sean aplicables las disposiciones legales o administrativas que regulan su actuación. Las obligaciones del personal de esta Guardia Civil Tecámac, derivan directamente de la ley, reglamentos y disposiciones institucionales de carácter general, por lo que su cumplimiento no depende de la aceptación expresa ni del consentimiento de los elementos. 3. Fundamento para la aplicación de descuentos por omitir pase de lista digital El uso de herramientas digitales para el control de asistencia forma parte de los mecanismos institucionales establecidos para garantizar el cumplimiento del servicio. La omisión en el pase de lista digital puede generar consecuencias administrativas, incluyendo descuentos proporcionales, conforme a lo previsto en las normas antes citadas. Dichas medidas son parte del ejercicio legítimo de control y supervisión del personal, y su aplicación no requiere validación individual ni firma de aceptación por parte de los elementos operativos, dado su carácter institucional. 4. Disposiciones legales aplicables a los puntos anteriores Todos los aspectos mencionados en su solicitud encuentran sustento legal en el marco normativo</w:t>
      </w:r>
    </w:p>
    <w:p w:rsidR="00546F18" w:rsidRPr="00CF7E48" w:rsidRDefault="00546F18" w:rsidP="00CF7E48">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themeColor="text1"/>
          <w:sz w:val="24"/>
          <w:szCs w:val="24"/>
        </w:rPr>
      </w:pPr>
      <w:r w:rsidRPr="00CF7E48">
        <w:rPr>
          <w:rFonts w:ascii="Palatino Linotype" w:eastAsia="Palatino Linotype" w:hAnsi="Palatino Linotype" w:cs="Palatino Linotype"/>
          <w:i/>
          <w:color w:val="000000" w:themeColor="text1"/>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 vigente, particularmente en: • Ley General del Sistema Nacional de Seguridad Pública • Ley de Seguridad del Estado de México • Código Reglamentario Municipal de Tecámac • Bando Municipal vigente Estas normas tienen carácter obligatorio para todo el personal de la Guardia Civil Tecámac y son de aplicación inmediata por parte de la autoridad competente, sin que su observancia esté condicionada a la aceptación, aprobación o firma de los servidores públicos a quienes se dirige.</w:t>
      </w:r>
    </w:p>
    <w:p w:rsidR="00546F18" w:rsidRPr="00CF7E48" w:rsidRDefault="00546F18" w:rsidP="00CF7E48">
      <w:pPr>
        <w:pBdr>
          <w:top w:val="nil"/>
          <w:left w:val="nil"/>
          <w:bottom w:val="nil"/>
          <w:right w:val="nil"/>
          <w:between w:val="nil"/>
        </w:pBdr>
        <w:tabs>
          <w:tab w:val="left" w:pos="0"/>
        </w:tabs>
        <w:spacing w:after="0" w:line="360" w:lineRule="auto"/>
        <w:ind w:right="49"/>
        <w:jc w:val="both"/>
        <w:rPr>
          <w:rFonts w:ascii="Palatino Linotype" w:eastAsia="Palatino Linotype" w:hAnsi="Palatino Linotype" w:cs="Palatino Linotype"/>
          <w:b/>
          <w:color w:val="000000" w:themeColor="text1"/>
          <w:sz w:val="24"/>
          <w:szCs w:val="24"/>
        </w:rPr>
      </w:pPr>
    </w:p>
    <w:p w:rsidR="00435854" w:rsidRPr="00CF7E48" w:rsidRDefault="00752EA3" w:rsidP="00CF7E48">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CF7E48">
        <w:rPr>
          <w:rFonts w:ascii="Palatino Linotype" w:eastAsia="Palatino Linotype" w:hAnsi="Palatino Linotype" w:cs="Palatino Linotype"/>
          <w:color w:val="000000" w:themeColor="text1"/>
          <w:sz w:val="24"/>
          <w:szCs w:val="24"/>
        </w:rPr>
        <w:t xml:space="preserve">Inconforme con lo anterior, el </w:t>
      </w:r>
      <w:r w:rsidR="00546F18" w:rsidRPr="00CF7E48">
        <w:rPr>
          <w:rFonts w:ascii="Palatino Linotype" w:eastAsia="Palatino Linotype" w:hAnsi="Palatino Linotype" w:cs="Palatino Linotype"/>
          <w:b/>
          <w:color w:val="000000" w:themeColor="text1"/>
          <w:sz w:val="24"/>
          <w:szCs w:val="24"/>
        </w:rPr>
        <w:t>dos de septiembre</w:t>
      </w:r>
      <w:r w:rsidRPr="00CF7E48">
        <w:rPr>
          <w:rFonts w:ascii="Palatino Linotype" w:eastAsia="Palatino Linotype" w:hAnsi="Palatino Linotype" w:cs="Palatino Linotype"/>
          <w:b/>
          <w:color w:val="000000" w:themeColor="text1"/>
          <w:sz w:val="24"/>
          <w:szCs w:val="24"/>
        </w:rPr>
        <w:t xml:space="preserve"> de dos mil veinticinco</w:t>
      </w:r>
      <w:r w:rsidRPr="00CF7E48">
        <w:rPr>
          <w:rFonts w:ascii="Palatino Linotype" w:eastAsia="Palatino Linotype" w:hAnsi="Palatino Linotype" w:cs="Palatino Linotype"/>
          <w:color w:val="000000" w:themeColor="text1"/>
          <w:sz w:val="24"/>
          <w:szCs w:val="24"/>
        </w:rPr>
        <w:t xml:space="preserve">, el hoy </w:t>
      </w:r>
      <w:r w:rsidRPr="00CF7E48">
        <w:rPr>
          <w:rFonts w:ascii="Palatino Linotype" w:eastAsia="Palatino Linotype" w:hAnsi="Palatino Linotype" w:cs="Palatino Linotype"/>
          <w:b/>
          <w:color w:val="000000" w:themeColor="text1"/>
          <w:sz w:val="24"/>
          <w:szCs w:val="24"/>
        </w:rPr>
        <w:t xml:space="preserve">RECURRENTE, </w:t>
      </w:r>
      <w:r w:rsidRPr="00CF7E48">
        <w:rPr>
          <w:rFonts w:ascii="Palatino Linotype" w:eastAsia="Palatino Linotype" w:hAnsi="Palatino Linotype" w:cs="Palatino Linotype"/>
          <w:color w:val="000000" w:themeColor="text1"/>
          <w:sz w:val="24"/>
          <w:szCs w:val="24"/>
        </w:rPr>
        <w:t xml:space="preserve">interpuso recurso de revisión en contra de la respuesta emitida por el </w:t>
      </w:r>
      <w:r w:rsidRPr="00CF7E48">
        <w:rPr>
          <w:rFonts w:ascii="Palatino Linotype" w:eastAsia="Palatino Linotype" w:hAnsi="Palatino Linotype" w:cs="Palatino Linotype"/>
          <w:b/>
          <w:color w:val="000000" w:themeColor="text1"/>
          <w:sz w:val="24"/>
          <w:szCs w:val="24"/>
        </w:rPr>
        <w:t>SUJETO OBLIGADO</w:t>
      </w:r>
      <w:r w:rsidRPr="00CF7E48">
        <w:rPr>
          <w:rFonts w:ascii="Palatino Linotype" w:eastAsia="Palatino Linotype" w:hAnsi="Palatino Linotype" w:cs="Palatino Linotype"/>
          <w:color w:val="000000" w:themeColor="text1"/>
          <w:sz w:val="24"/>
          <w:szCs w:val="24"/>
        </w:rPr>
        <w:t>, manifestando las siguientes razones o motivos de inconformidad:</w:t>
      </w:r>
    </w:p>
    <w:p w:rsidR="00435854" w:rsidRPr="00CF7E48" w:rsidRDefault="00435854" w:rsidP="00CF7E48">
      <w:pPr>
        <w:pBdr>
          <w:top w:val="nil"/>
          <w:left w:val="nil"/>
          <w:bottom w:val="nil"/>
          <w:right w:val="nil"/>
          <w:between w:val="nil"/>
        </w:pBdr>
        <w:spacing w:after="0" w:line="276" w:lineRule="auto"/>
        <w:ind w:right="49"/>
        <w:jc w:val="both"/>
        <w:rPr>
          <w:rFonts w:ascii="Palatino Linotype" w:hAnsi="Palatino Linotype"/>
          <w:color w:val="000000" w:themeColor="text1"/>
          <w:sz w:val="24"/>
          <w:szCs w:val="24"/>
        </w:rPr>
      </w:pPr>
    </w:p>
    <w:p w:rsidR="00435854" w:rsidRPr="00CF7E48" w:rsidRDefault="00AC56EB" w:rsidP="00CF7E48">
      <w:pPr>
        <w:numPr>
          <w:ilvl w:val="0"/>
          <w:numId w:val="10"/>
        </w:numPr>
        <w:pBdr>
          <w:top w:val="nil"/>
          <w:left w:val="nil"/>
          <w:bottom w:val="nil"/>
          <w:right w:val="nil"/>
          <w:between w:val="nil"/>
        </w:pBdr>
        <w:spacing w:after="0" w:line="276" w:lineRule="auto"/>
        <w:ind w:left="0" w:right="49" w:firstLine="0"/>
        <w:jc w:val="both"/>
        <w:rPr>
          <w:rFonts w:ascii="Palatino Linotype" w:eastAsia="Palatino Linotype" w:hAnsi="Palatino Linotype" w:cs="Palatino Linotype"/>
          <w:i/>
          <w:color w:val="000000" w:themeColor="text1"/>
          <w:sz w:val="24"/>
          <w:szCs w:val="24"/>
        </w:rPr>
      </w:pPr>
      <w:bookmarkStart w:id="2" w:name="_heading=h.30j0zll" w:colFirst="0" w:colLast="0"/>
      <w:bookmarkEnd w:id="2"/>
      <w:r w:rsidRPr="00CF7E48">
        <w:rPr>
          <w:rFonts w:ascii="Palatino Linotype" w:eastAsia="Palatino Linotype" w:hAnsi="Palatino Linotype" w:cs="Palatino Linotype"/>
          <w:b/>
          <w:color w:val="000000" w:themeColor="text1"/>
          <w:sz w:val="24"/>
          <w:szCs w:val="24"/>
        </w:rPr>
        <w:lastRenderedPageBreak/>
        <w:t>ACTO IMPUGNADO</w:t>
      </w:r>
      <w:r w:rsidR="00752EA3" w:rsidRPr="00CF7E48">
        <w:rPr>
          <w:rFonts w:ascii="Palatino Linotype" w:eastAsia="Palatino Linotype" w:hAnsi="Palatino Linotype" w:cs="Palatino Linotype"/>
          <w:b/>
          <w:color w:val="000000" w:themeColor="text1"/>
          <w:sz w:val="24"/>
          <w:szCs w:val="24"/>
        </w:rPr>
        <w:t xml:space="preserve">: </w:t>
      </w:r>
      <w:r w:rsidR="00752EA3" w:rsidRPr="00CF7E48">
        <w:rPr>
          <w:rFonts w:ascii="Palatino Linotype" w:eastAsia="Palatino Linotype" w:hAnsi="Palatino Linotype" w:cs="Palatino Linotype"/>
          <w:i/>
          <w:color w:val="000000" w:themeColor="text1"/>
          <w:sz w:val="24"/>
          <w:szCs w:val="24"/>
        </w:rPr>
        <w:t>“</w:t>
      </w:r>
      <w:r w:rsidR="00546F18" w:rsidRPr="00CF7E48">
        <w:rPr>
          <w:rFonts w:ascii="Palatino Linotype" w:eastAsia="Palatino Linotype" w:hAnsi="Palatino Linotype" w:cs="Palatino Linotype"/>
          <w:i/>
          <w:color w:val="000000" w:themeColor="text1"/>
          <w:sz w:val="24"/>
          <w:szCs w:val="24"/>
        </w:rPr>
        <w:t>con relación a la solicitud respecto al fundamento jurídico mencionan que los elementos de la Guardia Civil se encuentran baja un régimen jurídico especial, podrían mencionar cual es es régimen</w:t>
      </w:r>
      <w:r w:rsidR="00752EA3" w:rsidRPr="00CF7E48">
        <w:rPr>
          <w:rFonts w:ascii="Palatino Linotype" w:eastAsia="Palatino Linotype" w:hAnsi="Palatino Linotype" w:cs="Palatino Linotype"/>
          <w:i/>
          <w:color w:val="000000" w:themeColor="text1"/>
          <w:sz w:val="24"/>
          <w:szCs w:val="24"/>
        </w:rPr>
        <w:t>”</w:t>
      </w:r>
    </w:p>
    <w:p w:rsidR="00435854" w:rsidRPr="00CF7E48" w:rsidRDefault="00435854" w:rsidP="00CF7E48">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themeColor="text1"/>
          <w:sz w:val="24"/>
          <w:szCs w:val="24"/>
        </w:rPr>
      </w:pPr>
    </w:p>
    <w:p w:rsidR="00435854" w:rsidRPr="00CF7E48" w:rsidRDefault="00AC56EB" w:rsidP="00CF7E48">
      <w:pPr>
        <w:numPr>
          <w:ilvl w:val="0"/>
          <w:numId w:val="10"/>
        </w:numPr>
        <w:pBdr>
          <w:top w:val="nil"/>
          <w:left w:val="nil"/>
          <w:bottom w:val="nil"/>
          <w:right w:val="nil"/>
          <w:between w:val="nil"/>
        </w:pBdr>
        <w:spacing w:after="0" w:line="276" w:lineRule="auto"/>
        <w:ind w:left="0" w:right="49" w:firstLine="0"/>
        <w:jc w:val="both"/>
        <w:rPr>
          <w:rFonts w:ascii="Palatino Linotype" w:eastAsia="Palatino Linotype" w:hAnsi="Palatino Linotype" w:cs="Palatino Linotype"/>
          <w:i/>
          <w:color w:val="000000" w:themeColor="text1"/>
          <w:sz w:val="24"/>
          <w:szCs w:val="24"/>
        </w:rPr>
      </w:pPr>
      <w:bookmarkStart w:id="3" w:name="_heading=h.1fob9te" w:colFirst="0" w:colLast="0"/>
      <w:bookmarkEnd w:id="3"/>
      <w:r w:rsidRPr="00CF7E48">
        <w:rPr>
          <w:rFonts w:ascii="Palatino Linotype" w:eastAsia="Palatino Linotype" w:hAnsi="Palatino Linotype" w:cs="Palatino Linotype"/>
          <w:b/>
          <w:color w:val="000000" w:themeColor="text1"/>
          <w:sz w:val="24"/>
          <w:szCs w:val="24"/>
        </w:rPr>
        <w:t>RAZONES O MOTIVOS DE INCONFORMIDAD</w:t>
      </w:r>
      <w:r w:rsidR="00752EA3" w:rsidRPr="00CF7E48">
        <w:rPr>
          <w:rFonts w:ascii="Palatino Linotype" w:eastAsia="Palatino Linotype" w:hAnsi="Palatino Linotype" w:cs="Palatino Linotype"/>
          <w:b/>
          <w:color w:val="000000" w:themeColor="text1"/>
          <w:sz w:val="24"/>
          <w:szCs w:val="24"/>
        </w:rPr>
        <w:t xml:space="preserve">: </w:t>
      </w:r>
      <w:r w:rsidR="00752EA3" w:rsidRPr="00CF7E48">
        <w:rPr>
          <w:rFonts w:ascii="Palatino Linotype" w:eastAsia="Palatino Linotype" w:hAnsi="Palatino Linotype" w:cs="Palatino Linotype"/>
          <w:i/>
          <w:color w:val="000000" w:themeColor="text1"/>
          <w:sz w:val="24"/>
          <w:szCs w:val="24"/>
        </w:rPr>
        <w:t>“</w:t>
      </w:r>
      <w:r w:rsidR="00546F18" w:rsidRPr="00CF7E48">
        <w:rPr>
          <w:rFonts w:ascii="Palatino Linotype" w:eastAsia="Palatino Linotype" w:hAnsi="Palatino Linotype" w:cs="Palatino Linotype"/>
          <w:i/>
          <w:color w:val="000000" w:themeColor="text1"/>
          <w:sz w:val="24"/>
          <w:szCs w:val="24"/>
        </w:rPr>
        <w:t>el régimen que mencionas "especial" es autoritario y carece de fundamento</w:t>
      </w:r>
      <w:bookmarkStart w:id="4" w:name="_GoBack"/>
      <w:bookmarkEnd w:id="4"/>
    </w:p>
    <w:p w:rsidR="00435854" w:rsidRPr="00CF7E48" w:rsidRDefault="00435854" w:rsidP="00CF7E48">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themeColor="text1"/>
          <w:sz w:val="24"/>
          <w:szCs w:val="24"/>
        </w:rPr>
      </w:pPr>
    </w:p>
    <w:p w:rsidR="00435854" w:rsidRPr="00CF7E48" w:rsidRDefault="00AC56EB" w:rsidP="00CF7E48">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Pr>
          <w:rFonts w:ascii="Palatino Linotype" w:eastAsia="Palatino Linotype" w:hAnsi="Palatino Linotype" w:cs="Palatino Linotype"/>
          <w:color w:val="000000" w:themeColor="text1"/>
          <w:sz w:val="24"/>
          <w:szCs w:val="24"/>
        </w:rPr>
        <w:t>La Comisionada p</w:t>
      </w:r>
      <w:r w:rsidR="00752EA3" w:rsidRPr="00CF7E48">
        <w:rPr>
          <w:rFonts w:ascii="Palatino Linotype" w:eastAsia="Palatino Linotype" w:hAnsi="Palatino Linotype" w:cs="Palatino Linotype"/>
          <w:color w:val="000000" w:themeColor="text1"/>
          <w:sz w:val="24"/>
          <w:szCs w:val="24"/>
        </w:rPr>
        <w:t xml:space="preserve">onente con fundamento en lo dispuesto por el artículo 185 fracción II de la ley de la materia, a través del acuerdo de admisión notificado el  </w:t>
      </w:r>
      <w:r w:rsidR="00243BAA" w:rsidRPr="00CF7E48">
        <w:rPr>
          <w:rFonts w:ascii="Palatino Linotype" w:eastAsia="Palatino Linotype" w:hAnsi="Palatino Linotype" w:cs="Palatino Linotype"/>
          <w:b/>
          <w:color w:val="000000" w:themeColor="text1"/>
          <w:sz w:val="24"/>
          <w:szCs w:val="24"/>
        </w:rPr>
        <w:t>tres de septiembre</w:t>
      </w:r>
      <w:r w:rsidR="00752EA3" w:rsidRPr="00CF7E48">
        <w:rPr>
          <w:rFonts w:ascii="Palatino Linotype" w:eastAsia="Palatino Linotype" w:hAnsi="Palatino Linotype" w:cs="Palatino Linotype"/>
          <w:b/>
          <w:color w:val="000000" w:themeColor="text1"/>
          <w:sz w:val="24"/>
          <w:szCs w:val="24"/>
        </w:rPr>
        <w:t xml:space="preserve"> de dos mil veinticinco</w:t>
      </w:r>
      <w:r w:rsidR="00752EA3" w:rsidRPr="00CF7E48">
        <w:rPr>
          <w:rFonts w:ascii="Palatino Linotype" w:eastAsia="Palatino Linotype" w:hAnsi="Palatino Linotype" w:cs="Palatino Linotype"/>
          <w:color w:val="000000" w:themeColor="text1"/>
          <w:sz w:val="24"/>
          <w:szCs w:val="24"/>
        </w:rPr>
        <w:t xml:space="preserve">, puso a disposición de las partes el expediente electrónico vía </w:t>
      </w:r>
      <w:r w:rsidR="00752EA3" w:rsidRPr="00CF7E48">
        <w:rPr>
          <w:rFonts w:ascii="Palatino Linotype" w:eastAsia="Palatino Linotype" w:hAnsi="Palatino Linotype" w:cs="Palatino Linotype"/>
          <w:b/>
          <w:color w:val="000000" w:themeColor="text1"/>
          <w:sz w:val="24"/>
          <w:szCs w:val="24"/>
        </w:rPr>
        <w:t xml:space="preserve">SAIMEX </w:t>
      </w:r>
      <w:r w:rsidR="00752EA3" w:rsidRPr="00CF7E48">
        <w:rPr>
          <w:rFonts w:ascii="Palatino Linotype" w:eastAsia="Palatino Linotype" w:hAnsi="Palatino Linotype" w:cs="Palatino Linotype"/>
          <w:color w:val="000000" w:themeColor="text1"/>
          <w:sz w:val="24"/>
          <w:szCs w:val="24"/>
        </w:rPr>
        <w:t xml:space="preserve">a efecto de que en un plazo máximo de siete días manifestara lo que a su derecho conviniera, ofreciera pruebas y alegatos según corresponda a los casos concretos, y el </w:t>
      </w:r>
      <w:r w:rsidR="00752EA3" w:rsidRPr="00CF7E48">
        <w:rPr>
          <w:rFonts w:ascii="Palatino Linotype" w:eastAsia="Palatino Linotype" w:hAnsi="Palatino Linotype" w:cs="Palatino Linotype"/>
          <w:b/>
          <w:color w:val="000000" w:themeColor="text1"/>
          <w:sz w:val="24"/>
          <w:szCs w:val="24"/>
        </w:rPr>
        <w:t>SUJETO OBLIGADO</w:t>
      </w:r>
      <w:r w:rsidR="00752EA3" w:rsidRPr="00CF7E48">
        <w:rPr>
          <w:rFonts w:ascii="Palatino Linotype" w:eastAsia="Palatino Linotype" w:hAnsi="Palatino Linotype" w:cs="Palatino Linotype"/>
          <w:color w:val="000000" w:themeColor="text1"/>
          <w:sz w:val="24"/>
          <w:szCs w:val="24"/>
        </w:rPr>
        <w:t xml:space="preserve"> presentará el Informe Justificado procedente.</w:t>
      </w:r>
    </w:p>
    <w:p w:rsidR="00435854" w:rsidRPr="00CF7E48" w:rsidRDefault="00435854" w:rsidP="00CF7E48">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rsidR="00714C83" w:rsidRPr="00CF7E48" w:rsidRDefault="00752EA3" w:rsidP="00CF7E48">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themeColor="text1"/>
          <w:sz w:val="24"/>
          <w:szCs w:val="24"/>
        </w:rPr>
      </w:pPr>
      <w:r w:rsidRPr="00CF7E48">
        <w:rPr>
          <w:rFonts w:ascii="Palatino Linotype" w:eastAsia="Palatino Linotype" w:hAnsi="Palatino Linotype" w:cs="Palatino Linotype"/>
          <w:color w:val="000000" w:themeColor="text1"/>
          <w:sz w:val="24"/>
          <w:szCs w:val="24"/>
        </w:rPr>
        <w:t xml:space="preserve">El </w:t>
      </w:r>
      <w:r w:rsidR="00714C83" w:rsidRPr="00CF7E48">
        <w:rPr>
          <w:rFonts w:ascii="Palatino Linotype" w:eastAsia="Palatino Linotype" w:hAnsi="Palatino Linotype" w:cs="Palatino Linotype"/>
          <w:b/>
          <w:color w:val="000000" w:themeColor="text1"/>
          <w:sz w:val="24"/>
          <w:szCs w:val="24"/>
        </w:rPr>
        <w:t xml:space="preserve">SUJETO OBLIGADO, </w:t>
      </w:r>
      <w:r w:rsidR="00243BAA" w:rsidRPr="00CF7E48">
        <w:rPr>
          <w:rFonts w:ascii="Palatino Linotype" w:eastAsia="Palatino Linotype" w:hAnsi="Palatino Linotype" w:cs="Palatino Linotype"/>
          <w:color w:val="000000" w:themeColor="text1"/>
          <w:sz w:val="24"/>
          <w:szCs w:val="24"/>
        </w:rPr>
        <w:t xml:space="preserve">el </w:t>
      </w:r>
      <w:r w:rsidR="00243BAA" w:rsidRPr="00CF7E48">
        <w:rPr>
          <w:rFonts w:ascii="Palatino Linotype" w:eastAsia="Palatino Linotype" w:hAnsi="Palatino Linotype" w:cs="Palatino Linotype"/>
          <w:b/>
          <w:color w:val="000000" w:themeColor="text1"/>
          <w:sz w:val="24"/>
          <w:szCs w:val="24"/>
        </w:rPr>
        <w:t xml:space="preserve">quince de septiembre </w:t>
      </w:r>
      <w:r w:rsidRPr="00CF7E48">
        <w:rPr>
          <w:rFonts w:ascii="Palatino Linotype" w:eastAsia="Palatino Linotype" w:hAnsi="Palatino Linotype" w:cs="Palatino Linotype"/>
          <w:b/>
          <w:color w:val="000000" w:themeColor="text1"/>
          <w:sz w:val="24"/>
          <w:szCs w:val="24"/>
        </w:rPr>
        <w:t xml:space="preserve">de dos mil veinticinco, </w:t>
      </w:r>
      <w:r w:rsidR="00243BAA" w:rsidRPr="00CF7E48">
        <w:rPr>
          <w:rFonts w:ascii="Palatino Linotype" w:eastAsia="Palatino Linotype" w:hAnsi="Palatino Linotype" w:cs="Palatino Linotype"/>
          <w:color w:val="000000" w:themeColor="text1"/>
          <w:sz w:val="24"/>
          <w:szCs w:val="24"/>
        </w:rPr>
        <w:t xml:space="preserve">remitió el archivo </w:t>
      </w:r>
      <w:r w:rsidR="00243BAA" w:rsidRPr="00CF7E48">
        <w:rPr>
          <w:rFonts w:ascii="Palatino Linotype" w:eastAsia="Palatino Linotype" w:hAnsi="Palatino Linotype" w:cs="Palatino Linotype"/>
          <w:b/>
          <w:color w:val="000000" w:themeColor="text1"/>
          <w:sz w:val="24"/>
          <w:szCs w:val="24"/>
        </w:rPr>
        <w:t>RR-10323.pd</w:t>
      </w:r>
      <w:r w:rsidR="00243BAA" w:rsidRPr="00CF7E48">
        <w:rPr>
          <w:rFonts w:ascii="Palatino Linotype" w:hAnsi="Palatino Linotype"/>
          <w:color w:val="000000" w:themeColor="text1"/>
          <w:sz w:val="24"/>
          <w:szCs w:val="24"/>
        </w:rPr>
        <w:t>f</w:t>
      </w:r>
      <w:r w:rsidRPr="00CF7E48">
        <w:rPr>
          <w:rFonts w:ascii="Palatino Linotype" w:eastAsia="Palatino Linotype" w:hAnsi="Palatino Linotype" w:cs="Palatino Linotype"/>
          <w:b/>
          <w:color w:val="000000" w:themeColor="text1"/>
          <w:sz w:val="24"/>
          <w:szCs w:val="24"/>
        </w:rPr>
        <w:t>,</w:t>
      </w:r>
      <w:r w:rsidRPr="00CF7E48">
        <w:rPr>
          <w:rFonts w:ascii="Palatino Linotype" w:eastAsia="Palatino Linotype" w:hAnsi="Palatino Linotype" w:cs="Palatino Linotype"/>
          <w:i/>
          <w:color w:val="000000" w:themeColor="text1"/>
          <w:sz w:val="24"/>
          <w:szCs w:val="24"/>
        </w:rPr>
        <w:t xml:space="preserve"> </w:t>
      </w:r>
      <w:r w:rsidR="00714C83" w:rsidRPr="00CF7E48">
        <w:rPr>
          <w:rFonts w:ascii="Palatino Linotype" w:eastAsia="Palatino Linotype" w:hAnsi="Palatino Linotype" w:cs="Palatino Linotype"/>
          <w:color w:val="000000" w:themeColor="text1"/>
          <w:sz w:val="24"/>
          <w:szCs w:val="24"/>
        </w:rPr>
        <w:t>del que se desprende lo siguiente:</w:t>
      </w:r>
    </w:p>
    <w:p w:rsidR="00714C83" w:rsidRPr="00CF7E48" w:rsidRDefault="00714C83" w:rsidP="00CF7E48">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rsidR="00714C83" w:rsidRPr="00CF7E48" w:rsidRDefault="00714C83" w:rsidP="00CF7E48">
      <w:pPr>
        <w:pBdr>
          <w:top w:val="nil"/>
          <w:left w:val="nil"/>
          <w:bottom w:val="nil"/>
          <w:right w:val="nil"/>
          <w:between w:val="nil"/>
        </w:pBdr>
        <w:spacing w:after="0" w:line="240" w:lineRule="auto"/>
        <w:ind w:right="49"/>
        <w:jc w:val="both"/>
        <w:rPr>
          <w:rFonts w:ascii="Palatino Linotype" w:eastAsia="Palatino Linotype" w:hAnsi="Palatino Linotype" w:cs="Palatino Linotype"/>
          <w:color w:val="000000" w:themeColor="text1"/>
          <w:sz w:val="24"/>
          <w:szCs w:val="24"/>
        </w:rPr>
      </w:pPr>
      <w:r w:rsidRPr="00CF7E48">
        <w:rPr>
          <w:rFonts w:ascii="Palatino Linotype" w:eastAsia="Palatino Linotype" w:hAnsi="Palatino Linotype" w:cs="Palatino Linotype"/>
          <w:color w:val="000000" w:themeColor="text1"/>
          <w:sz w:val="24"/>
          <w:szCs w:val="24"/>
        </w:rPr>
        <w:t>Oficio de ocho de julio de dos mil veinticinco, firmado por el Titular de Transparencia, por el que informo lo siguiente:</w:t>
      </w:r>
    </w:p>
    <w:p w:rsidR="0004499A" w:rsidRPr="00CF7E48" w:rsidRDefault="0004499A" w:rsidP="00CF7E48">
      <w:pPr>
        <w:pBdr>
          <w:top w:val="nil"/>
          <w:left w:val="nil"/>
          <w:bottom w:val="nil"/>
          <w:right w:val="nil"/>
          <w:between w:val="nil"/>
        </w:pBdr>
        <w:spacing w:after="0" w:line="240" w:lineRule="auto"/>
        <w:ind w:right="49"/>
        <w:jc w:val="both"/>
        <w:rPr>
          <w:rFonts w:ascii="Palatino Linotype" w:eastAsia="Palatino Linotype" w:hAnsi="Palatino Linotype" w:cs="Palatino Linotype"/>
          <w:color w:val="000000" w:themeColor="text1"/>
          <w:sz w:val="24"/>
          <w:szCs w:val="24"/>
        </w:rPr>
      </w:pPr>
    </w:p>
    <w:p w:rsidR="0004499A" w:rsidRPr="00CF7E48" w:rsidRDefault="0004499A" w:rsidP="00CF7E48">
      <w:pPr>
        <w:pBdr>
          <w:top w:val="nil"/>
          <w:left w:val="nil"/>
          <w:bottom w:val="nil"/>
          <w:right w:val="nil"/>
          <w:between w:val="nil"/>
        </w:pBdr>
        <w:spacing w:after="0" w:line="240" w:lineRule="auto"/>
        <w:ind w:right="49"/>
        <w:jc w:val="both"/>
        <w:rPr>
          <w:rFonts w:ascii="Palatino Linotype" w:eastAsia="Palatino Linotype" w:hAnsi="Palatino Linotype" w:cs="Palatino Linotype"/>
          <w:i/>
          <w:color w:val="000000" w:themeColor="text1"/>
          <w:sz w:val="24"/>
          <w:szCs w:val="24"/>
        </w:rPr>
      </w:pPr>
    </w:p>
    <w:p w:rsidR="0004499A" w:rsidRPr="00CF7E48" w:rsidRDefault="0004499A" w:rsidP="00CF7E48">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themeColor="text1"/>
          <w:sz w:val="24"/>
          <w:szCs w:val="24"/>
        </w:rPr>
      </w:pPr>
      <w:r w:rsidRPr="00CF7E48">
        <w:rPr>
          <w:rFonts w:ascii="Palatino Linotype" w:eastAsia="Palatino Linotype" w:hAnsi="Palatino Linotype" w:cs="Palatino Linotype"/>
          <w:i/>
          <w:color w:val="000000" w:themeColor="text1"/>
          <w:sz w:val="24"/>
          <w:szCs w:val="24"/>
        </w:rPr>
        <w:t>“Asi las cosas, a juicio del solicitante hoy recurrente, la respuesta obsequiada es autoritaria y carece de fundamento jurídico, sin embargo, la Constitución Política de los Estados Unidos Mexicanos en su artículo 21, la Ley General del Sistema Nacional de Seguridad Pública en su artículo 2, Ley de Seguridad del Estado de México en su articulo 100, el Bando Municipal vigente para el municipio de Tecámac en su artículo 47 y el Código Reglamentario Municipal de Tecámac en su artículo 2.286, establecen de manera puntual las obligaciones de los elementos de Seguridad Pública y concretamente respecto a elementos de la Guardia Civil de Tecamac.</w:t>
      </w:r>
    </w:p>
    <w:p w:rsidR="0004499A" w:rsidRPr="00CF7E48" w:rsidRDefault="0004499A" w:rsidP="00CF7E48">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themeColor="text1"/>
          <w:sz w:val="24"/>
          <w:szCs w:val="24"/>
        </w:rPr>
      </w:pPr>
    </w:p>
    <w:p w:rsidR="0004499A" w:rsidRPr="00CF7E48" w:rsidRDefault="0004499A" w:rsidP="00CF7E48">
      <w:pPr>
        <w:pBdr>
          <w:top w:val="nil"/>
          <w:left w:val="nil"/>
          <w:bottom w:val="nil"/>
          <w:right w:val="nil"/>
          <w:between w:val="nil"/>
        </w:pBdr>
        <w:spacing w:after="0" w:line="276" w:lineRule="auto"/>
        <w:ind w:right="49"/>
        <w:jc w:val="both"/>
        <w:rPr>
          <w:rFonts w:ascii="Palatino Linotype" w:eastAsia="Palatino Linotype" w:hAnsi="Palatino Linotype" w:cs="Palatino Linotype"/>
          <w:i/>
          <w:color w:val="000000" w:themeColor="text1"/>
          <w:sz w:val="24"/>
          <w:szCs w:val="24"/>
        </w:rPr>
      </w:pPr>
      <w:r w:rsidRPr="00CF7E48">
        <w:rPr>
          <w:rFonts w:ascii="Palatino Linotype" w:eastAsia="Palatino Linotype" w:hAnsi="Palatino Linotype" w:cs="Palatino Linotype"/>
          <w:i/>
          <w:color w:val="000000" w:themeColor="text1"/>
          <w:sz w:val="24"/>
          <w:szCs w:val="24"/>
        </w:rPr>
        <w:lastRenderedPageBreak/>
        <w:t>Por ello, el régimen especial al que pertenecen los elementos de seguridad pública de manera enunciativa mas no limitativa es de Garante, esto es, salvaguardar la vida, los derechos, la integridad y el patrimonio de las personas, así como preservar las libertades, el orden público y la paz social, en el ámbito de las respectivas competencias establecidas en la Constitución Política de los Estados Unidos Mexicanos, comprendiendo aspectos como la prevención, investigación y persecución de los delitos, la reinserción social de las personas sentenciadas, así como la sanción de las infracciones administrativas.”</w:t>
      </w:r>
    </w:p>
    <w:p w:rsidR="00714C83" w:rsidRPr="00CF7E48" w:rsidRDefault="00714C83" w:rsidP="00CF7E48">
      <w:pPr>
        <w:pBdr>
          <w:top w:val="nil"/>
          <w:left w:val="nil"/>
          <w:bottom w:val="nil"/>
          <w:right w:val="nil"/>
          <w:between w:val="nil"/>
        </w:pBdr>
        <w:spacing w:after="0" w:line="240" w:lineRule="auto"/>
        <w:ind w:right="49"/>
        <w:jc w:val="both"/>
        <w:rPr>
          <w:rFonts w:ascii="Palatino Linotype" w:eastAsia="Palatino Linotype" w:hAnsi="Palatino Linotype" w:cs="Palatino Linotype"/>
          <w:color w:val="000000" w:themeColor="text1"/>
          <w:sz w:val="24"/>
          <w:szCs w:val="24"/>
        </w:rPr>
      </w:pPr>
    </w:p>
    <w:p w:rsidR="00714C83" w:rsidRPr="00CF7E48" w:rsidRDefault="00714C83" w:rsidP="00CF7E48">
      <w:pPr>
        <w:pBdr>
          <w:top w:val="nil"/>
          <w:left w:val="nil"/>
          <w:bottom w:val="nil"/>
          <w:right w:val="nil"/>
          <w:between w:val="nil"/>
        </w:pBdr>
        <w:spacing w:after="0" w:line="360" w:lineRule="auto"/>
        <w:ind w:right="49"/>
        <w:jc w:val="center"/>
        <w:rPr>
          <w:rFonts w:ascii="Palatino Linotype" w:eastAsia="Palatino Linotype" w:hAnsi="Palatino Linotype" w:cs="Palatino Linotype"/>
          <w:color w:val="000000" w:themeColor="text1"/>
          <w:sz w:val="24"/>
          <w:szCs w:val="24"/>
        </w:rPr>
      </w:pPr>
    </w:p>
    <w:p w:rsidR="00752EA3" w:rsidRPr="00CF7E48" w:rsidRDefault="00752EA3" w:rsidP="00CF7E48">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color w:val="000000" w:themeColor="text1"/>
          <w:sz w:val="24"/>
          <w:szCs w:val="24"/>
          <w:u w:val="single"/>
        </w:rPr>
      </w:pPr>
      <w:r w:rsidRPr="00CF7E48">
        <w:rPr>
          <w:rFonts w:ascii="Palatino Linotype" w:eastAsia="Palatino Linotype" w:hAnsi="Palatino Linotype" w:cs="Palatino Linotype"/>
          <w:color w:val="000000" w:themeColor="text1"/>
          <w:sz w:val="24"/>
          <w:szCs w:val="24"/>
        </w:rPr>
        <w:t xml:space="preserve">El </w:t>
      </w:r>
      <w:r w:rsidR="00714C83" w:rsidRPr="00CF7E48">
        <w:rPr>
          <w:rFonts w:ascii="Palatino Linotype" w:eastAsia="Palatino Linotype" w:hAnsi="Palatino Linotype" w:cs="Palatino Linotype"/>
          <w:b/>
          <w:color w:val="000000" w:themeColor="text1"/>
          <w:sz w:val="24"/>
          <w:szCs w:val="24"/>
        </w:rPr>
        <w:t>PARTICULAR</w:t>
      </w:r>
      <w:r w:rsidRPr="00CF7E48">
        <w:rPr>
          <w:rFonts w:ascii="Palatino Linotype" w:eastAsia="Palatino Linotype" w:hAnsi="Palatino Linotype" w:cs="Palatino Linotype"/>
          <w:b/>
          <w:color w:val="000000" w:themeColor="text1"/>
          <w:sz w:val="24"/>
          <w:szCs w:val="24"/>
        </w:rPr>
        <w:t xml:space="preserve">, </w:t>
      </w:r>
      <w:r w:rsidR="00714C83" w:rsidRPr="00CF7E48">
        <w:rPr>
          <w:rFonts w:ascii="Palatino Linotype" w:eastAsia="Palatino Linotype" w:hAnsi="Palatino Linotype" w:cs="Palatino Linotype"/>
          <w:color w:val="000000" w:themeColor="text1"/>
          <w:sz w:val="24"/>
          <w:szCs w:val="24"/>
        </w:rPr>
        <w:t>no se pronunció al respecto.</w:t>
      </w:r>
    </w:p>
    <w:p w:rsidR="00714C83" w:rsidRPr="00CF7E48" w:rsidRDefault="00714C83" w:rsidP="00CF7E48">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u w:val="single"/>
        </w:rPr>
      </w:pPr>
    </w:p>
    <w:p w:rsidR="00435854" w:rsidRPr="00CF7E48" w:rsidRDefault="00752EA3" w:rsidP="00CF7E48">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b/>
          <w:color w:val="000000" w:themeColor="text1"/>
          <w:sz w:val="24"/>
          <w:szCs w:val="24"/>
        </w:rPr>
      </w:pPr>
      <w:r w:rsidRPr="00CF7E48">
        <w:rPr>
          <w:rFonts w:ascii="Palatino Linotype" w:eastAsia="Palatino Linotype" w:hAnsi="Palatino Linotype" w:cs="Palatino Linotype"/>
          <w:color w:val="000000" w:themeColor="text1"/>
          <w:sz w:val="24"/>
          <w:szCs w:val="24"/>
        </w:rPr>
        <w:t xml:space="preserve">El </w:t>
      </w:r>
      <w:r w:rsidR="00243BAA" w:rsidRPr="00CF7E48">
        <w:rPr>
          <w:rFonts w:ascii="Palatino Linotype" w:eastAsia="Palatino Linotype" w:hAnsi="Palatino Linotype" w:cs="Palatino Linotype"/>
          <w:b/>
          <w:color w:val="000000" w:themeColor="text1"/>
          <w:sz w:val="24"/>
          <w:szCs w:val="24"/>
        </w:rPr>
        <w:t>veintiocho de octubre</w:t>
      </w:r>
      <w:r w:rsidR="00DF7608" w:rsidRPr="00CF7E48">
        <w:rPr>
          <w:rFonts w:ascii="Palatino Linotype" w:eastAsia="Palatino Linotype" w:hAnsi="Palatino Linotype" w:cs="Palatino Linotype"/>
          <w:b/>
          <w:color w:val="000000" w:themeColor="text1"/>
          <w:sz w:val="24"/>
          <w:szCs w:val="24"/>
        </w:rPr>
        <w:t xml:space="preserve"> de dos mil veinticinco</w:t>
      </w:r>
      <w:r w:rsidRPr="00CF7E48">
        <w:rPr>
          <w:rFonts w:ascii="Palatino Linotype" w:eastAsia="Palatino Linotype" w:hAnsi="Palatino Linotype" w:cs="Palatino Linotype"/>
          <w:b/>
          <w:color w:val="000000" w:themeColor="text1"/>
          <w:sz w:val="24"/>
          <w:szCs w:val="24"/>
        </w:rPr>
        <w:t>,</w:t>
      </w:r>
      <w:r w:rsidRPr="00CF7E48">
        <w:rPr>
          <w:rFonts w:ascii="Palatino Linotype" w:eastAsia="Palatino Linotype" w:hAnsi="Palatino Linotype" w:cs="Palatino Linotype"/>
          <w:color w:val="000000" w:themeColor="text1"/>
          <w:sz w:val="24"/>
          <w:szCs w:val="24"/>
        </w:rPr>
        <w:t xml:space="preserve"> se notificó el acuerdo por medio del cual</w:t>
      </w:r>
      <w:r w:rsidRPr="00CF7E48">
        <w:rPr>
          <w:rFonts w:ascii="Palatino Linotype" w:eastAsia="Palatino Linotype" w:hAnsi="Palatino Linotype" w:cs="Palatino Linotype"/>
          <w:b/>
          <w:color w:val="000000" w:themeColor="text1"/>
          <w:sz w:val="24"/>
          <w:szCs w:val="24"/>
        </w:rPr>
        <w:t xml:space="preserve"> </w:t>
      </w:r>
      <w:r w:rsidRPr="00CF7E48">
        <w:rPr>
          <w:rFonts w:ascii="Palatino Linotype" w:eastAsia="Palatino Linotype" w:hAnsi="Palatino Linotype" w:cs="Palatino Linotype"/>
          <w:color w:val="000000" w:themeColor="text1"/>
          <w:sz w:val="24"/>
          <w:szCs w:val="24"/>
        </w:rPr>
        <w:t>se amplió el término para resolver; al respecto es menester realizar las siguientes precisiones.</w:t>
      </w:r>
    </w:p>
    <w:p w:rsidR="00435854" w:rsidRPr="00CF7E48" w:rsidRDefault="00435854" w:rsidP="00CF7E48">
      <w:pPr>
        <w:pBdr>
          <w:top w:val="nil"/>
          <w:left w:val="nil"/>
          <w:bottom w:val="nil"/>
          <w:right w:val="nil"/>
          <w:between w:val="nil"/>
        </w:pBdr>
        <w:spacing w:after="0" w:line="360" w:lineRule="auto"/>
        <w:ind w:right="49"/>
        <w:rPr>
          <w:rFonts w:ascii="Palatino Linotype" w:eastAsia="Palatino Linotype" w:hAnsi="Palatino Linotype" w:cs="Palatino Linotype"/>
          <w:color w:val="000000" w:themeColor="text1"/>
          <w:sz w:val="24"/>
          <w:szCs w:val="24"/>
        </w:rPr>
      </w:pPr>
    </w:p>
    <w:p w:rsidR="00435854" w:rsidRPr="00CF7E48" w:rsidRDefault="00243BAA" w:rsidP="00CF7E48">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b/>
          <w:color w:val="000000" w:themeColor="text1"/>
          <w:sz w:val="24"/>
          <w:szCs w:val="24"/>
        </w:rPr>
      </w:pPr>
      <w:bookmarkStart w:id="5" w:name="_heading=h.3znysh7" w:colFirst="0" w:colLast="0"/>
      <w:bookmarkEnd w:id="5"/>
      <w:r w:rsidRPr="00CF7E48">
        <w:rPr>
          <w:rFonts w:ascii="Palatino Linotype" w:eastAsia="Palatino Linotype" w:hAnsi="Palatino Linotype" w:cs="Palatino Linotype"/>
          <w:color w:val="000000" w:themeColor="text1"/>
          <w:sz w:val="24"/>
          <w:szCs w:val="24"/>
        </w:rPr>
        <w:t>M</w:t>
      </w:r>
      <w:r w:rsidR="00752EA3" w:rsidRPr="00CF7E48">
        <w:rPr>
          <w:rFonts w:ascii="Palatino Linotype" w:eastAsia="Palatino Linotype" w:hAnsi="Palatino Linotype" w:cs="Palatino Linotype"/>
          <w:color w:val="000000" w:themeColor="text1"/>
          <w:sz w:val="24"/>
          <w:szCs w:val="24"/>
        </w:rPr>
        <w:t xml:space="preserve">ediante acuerdo de </w:t>
      </w:r>
      <w:r w:rsidRPr="00CF7E48">
        <w:rPr>
          <w:rFonts w:ascii="Palatino Linotype" w:eastAsia="Palatino Linotype" w:hAnsi="Palatino Linotype" w:cs="Palatino Linotype"/>
          <w:b/>
          <w:color w:val="000000" w:themeColor="text1"/>
          <w:sz w:val="24"/>
          <w:szCs w:val="24"/>
        </w:rPr>
        <w:t xml:space="preserve">cinco </w:t>
      </w:r>
      <w:r w:rsidR="00D55134" w:rsidRPr="00CF7E48">
        <w:rPr>
          <w:rFonts w:ascii="Palatino Linotype" w:eastAsia="Palatino Linotype" w:hAnsi="Palatino Linotype" w:cs="Palatino Linotype"/>
          <w:b/>
          <w:color w:val="000000" w:themeColor="text1"/>
          <w:sz w:val="24"/>
          <w:szCs w:val="24"/>
        </w:rPr>
        <w:t xml:space="preserve">de </w:t>
      </w:r>
      <w:r w:rsidR="00DF7608" w:rsidRPr="00CF7E48">
        <w:rPr>
          <w:rFonts w:ascii="Palatino Linotype" w:eastAsia="Palatino Linotype" w:hAnsi="Palatino Linotype" w:cs="Palatino Linotype"/>
          <w:b/>
          <w:color w:val="000000" w:themeColor="text1"/>
          <w:sz w:val="24"/>
          <w:szCs w:val="24"/>
        </w:rPr>
        <w:t>o</w:t>
      </w:r>
      <w:r w:rsidRPr="00CF7E48">
        <w:rPr>
          <w:rFonts w:ascii="Palatino Linotype" w:eastAsia="Palatino Linotype" w:hAnsi="Palatino Linotype" w:cs="Palatino Linotype"/>
          <w:b/>
          <w:color w:val="000000" w:themeColor="text1"/>
          <w:sz w:val="24"/>
          <w:szCs w:val="24"/>
        </w:rPr>
        <w:t>ctubre</w:t>
      </w:r>
      <w:r w:rsidR="00DF7608" w:rsidRPr="00CF7E48">
        <w:rPr>
          <w:rFonts w:ascii="Palatino Linotype" w:eastAsia="Palatino Linotype" w:hAnsi="Palatino Linotype" w:cs="Palatino Linotype"/>
          <w:b/>
          <w:color w:val="000000" w:themeColor="text1"/>
          <w:sz w:val="24"/>
          <w:szCs w:val="24"/>
        </w:rPr>
        <w:t xml:space="preserve"> de dos mil veinticinco</w:t>
      </w:r>
      <w:r w:rsidR="00752EA3" w:rsidRPr="00CF7E48">
        <w:rPr>
          <w:rFonts w:ascii="Palatino Linotype" w:eastAsia="Palatino Linotype" w:hAnsi="Palatino Linotype" w:cs="Palatino Linotype"/>
          <w:b/>
          <w:color w:val="000000" w:themeColor="text1"/>
          <w:sz w:val="24"/>
          <w:szCs w:val="24"/>
        </w:rPr>
        <w:t xml:space="preserve">, </w:t>
      </w:r>
      <w:r w:rsidR="00752EA3" w:rsidRPr="00CF7E48">
        <w:rPr>
          <w:rFonts w:ascii="Palatino Linotype" w:eastAsia="Palatino Linotype" w:hAnsi="Palatino Linotype" w:cs="Palatino Linotype"/>
          <w:color w:val="000000" w:themeColor="text1"/>
          <w:sz w:val="24"/>
          <w:szCs w:val="24"/>
        </w:rPr>
        <w:t>se  decretó el cierre de instrucción, por lo que no ha</w:t>
      </w:r>
      <w:r w:rsidR="00CF7E48">
        <w:rPr>
          <w:rFonts w:ascii="Palatino Linotype" w:eastAsia="Palatino Linotype" w:hAnsi="Palatino Linotype" w:cs="Palatino Linotype"/>
          <w:color w:val="000000" w:themeColor="text1"/>
          <w:sz w:val="24"/>
          <w:szCs w:val="24"/>
        </w:rPr>
        <w:t>biendo más que hacer constar, y</w:t>
      </w:r>
    </w:p>
    <w:p w:rsidR="00435854" w:rsidRPr="00CF7E48" w:rsidRDefault="00435854" w:rsidP="00CF7E48">
      <w:pPr>
        <w:pBdr>
          <w:top w:val="nil"/>
          <w:left w:val="nil"/>
          <w:bottom w:val="nil"/>
          <w:right w:val="nil"/>
          <w:between w:val="nil"/>
        </w:pBdr>
        <w:spacing w:after="0" w:line="360" w:lineRule="auto"/>
        <w:ind w:right="49"/>
        <w:rPr>
          <w:rFonts w:ascii="Palatino Linotype" w:eastAsia="Palatino Linotype" w:hAnsi="Palatino Linotype" w:cs="Palatino Linotype"/>
          <w:b/>
          <w:color w:val="000000" w:themeColor="text1"/>
          <w:sz w:val="24"/>
          <w:szCs w:val="24"/>
        </w:rPr>
      </w:pPr>
    </w:p>
    <w:p w:rsidR="00435854" w:rsidRPr="00CF7E48" w:rsidRDefault="00752EA3" w:rsidP="00CF7E48">
      <w:pPr>
        <w:pBdr>
          <w:top w:val="nil"/>
          <w:left w:val="nil"/>
          <w:bottom w:val="nil"/>
          <w:right w:val="nil"/>
          <w:between w:val="nil"/>
        </w:pBdr>
        <w:spacing w:after="0" w:line="360" w:lineRule="auto"/>
        <w:ind w:right="49"/>
        <w:jc w:val="center"/>
        <w:rPr>
          <w:rFonts w:ascii="Palatino Linotype" w:eastAsia="Palatino Linotype" w:hAnsi="Palatino Linotype" w:cs="Palatino Linotype"/>
          <w:b/>
          <w:color w:val="000000" w:themeColor="text1"/>
          <w:sz w:val="24"/>
          <w:szCs w:val="24"/>
        </w:rPr>
      </w:pPr>
      <w:r w:rsidRPr="00CF7E48">
        <w:rPr>
          <w:rFonts w:ascii="Palatino Linotype" w:eastAsia="Palatino Linotype" w:hAnsi="Palatino Linotype" w:cs="Palatino Linotype"/>
          <w:b/>
          <w:color w:val="000000" w:themeColor="text1"/>
          <w:sz w:val="24"/>
          <w:szCs w:val="24"/>
        </w:rPr>
        <w:t>C O N S I D E R A N D O</w:t>
      </w:r>
    </w:p>
    <w:p w:rsidR="00435854" w:rsidRPr="00CF7E48" w:rsidRDefault="00435854" w:rsidP="00CF7E48">
      <w:pPr>
        <w:pBdr>
          <w:top w:val="nil"/>
          <w:left w:val="nil"/>
          <w:bottom w:val="nil"/>
          <w:right w:val="nil"/>
          <w:between w:val="nil"/>
        </w:pBdr>
        <w:spacing w:after="0" w:line="360" w:lineRule="auto"/>
        <w:ind w:right="49"/>
        <w:jc w:val="center"/>
        <w:rPr>
          <w:rFonts w:ascii="Palatino Linotype" w:eastAsia="Palatino Linotype" w:hAnsi="Palatino Linotype" w:cs="Palatino Linotype"/>
          <w:b/>
          <w:color w:val="000000" w:themeColor="text1"/>
          <w:sz w:val="24"/>
          <w:szCs w:val="24"/>
        </w:rPr>
      </w:pPr>
    </w:p>
    <w:p w:rsidR="00435854" w:rsidRPr="00CF7E48" w:rsidRDefault="00752EA3" w:rsidP="00CF7E48">
      <w:pPr>
        <w:pStyle w:val="Ttulo2"/>
        <w:spacing w:before="0" w:line="360" w:lineRule="auto"/>
        <w:ind w:right="49"/>
        <w:rPr>
          <w:rFonts w:ascii="Palatino Linotype" w:eastAsia="Palatino Linotype" w:hAnsi="Palatino Linotype" w:cs="Palatino Linotype"/>
          <w:b/>
          <w:color w:val="000000" w:themeColor="text1"/>
          <w:sz w:val="24"/>
          <w:szCs w:val="24"/>
        </w:rPr>
      </w:pPr>
      <w:bookmarkStart w:id="6" w:name="_heading=h.2et92p0" w:colFirst="0" w:colLast="0"/>
      <w:bookmarkEnd w:id="6"/>
      <w:r w:rsidRPr="00CF7E48">
        <w:rPr>
          <w:rFonts w:ascii="Palatino Linotype" w:eastAsia="Palatino Linotype" w:hAnsi="Palatino Linotype" w:cs="Palatino Linotype"/>
          <w:b/>
          <w:color w:val="000000" w:themeColor="text1"/>
          <w:sz w:val="24"/>
          <w:szCs w:val="24"/>
        </w:rPr>
        <w:t>PRIMERO. De la competencia</w:t>
      </w:r>
    </w:p>
    <w:p w:rsidR="00435854" w:rsidRPr="00CF7E48" w:rsidRDefault="00752EA3" w:rsidP="00CF7E48">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CF7E48">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w:t>
      </w:r>
      <w:r w:rsidRPr="00CF7E48">
        <w:rPr>
          <w:rFonts w:ascii="Palatino Linotype" w:eastAsia="Palatino Linotype" w:hAnsi="Palatino Linotype" w:cs="Palatino Linotype"/>
          <w:color w:val="000000" w:themeColor="text1"/>
          <w:sz w:val="24"/>
          <w:szCs w:val="24"/>
        </w:rPr>
        <w:lastRenderedPageBreak/>
        <w:t>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435854" w:rsidRPr="00CF7E48" w:rsidRDefault="00435854" w:rsidP="00CF7E48">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rsidR="00435854" w:rsidRPr="00CF7E48" w:rsidRDefault="00752EA3" w:rsidP="00CF7E48">
      <w:pPr>
        <w:pStyle w:val="Ttulo2"/>
        <w:spacing w:before="0" w:line="360" w:lineRule="auto"/>
        <w:ind w:right="49"/>
        <w:rPr>
          <w:rFonts w:ascii="Palatino Linotype" w:eastAsia="Palatino Linotype" w:hAnsi="Palatino Linotype" w:cs="Palatino Linotype"/>
          <w:b/>
          <w:color w:val="000000" w:themeColor="text1"/>
          <w:sz w:val="24"/>
          <w:szCs w:val="24"/>
        </w:rPr>
      </w:pPr>
      <w:bookmarkStart w:id="7" w:name="_heading=h.tyjcwt" w:colFirst="0" w:colLast="0"/>
      <w:bookmarkEnd w:id="7"/>
      <w:r w:rsidRPr="00CF7E48">
        <w:rPr>
          <w:rFonts w:ascii="Palatino Linotype" w:eastAsia="Palatino Linotype" w:hAnsi="Palatino Linotype" w:cs="Palatino Linotype"/>
          <w:b/>
          <w:color w:val="000000" w:themeColor="text1"/>
          <w:sz w:val="24"/>
          <w:szCs w:val="24"/>
        </w:rPr>
        <w:t>SEGUNDO. De la oportunidad y procedencia.</w:t>
      </w:r>
    </w:p>
    <w:p w:rsidR="00435854" w:rsidRPr="00CF7E48" w:rsidRDefault="00752EA3" w:rsidP="00CF7E48">
      <w:pPr>
        <w:numPr>
          <w:ilvl w:val="0"/>
          <w:numId w:val="9"/>
        </w:numPr>
        <w:pBdr>
          <w:top w:val="nil"/>
          <w:left w:val="nil"/>
          <w:bottom w:val="nil"/>
          <w:right w:val="nil"/>
          <w:between w:val="nil"/>
        </w:pBdr>
        <w:spacing w:after="0" w:line="360" w:lineRule="auto"/>
        <w:ind w:left="0" w:right="49" w:firstLine="0"/>
        <w:jc w:val="both"/>
        <w:rPr>
          <w:rFonts w:ascii="Palatino Linotype" w:hAnsi="Palatino Linotype"/>
          <w:color w:val="000000" w:themeColor="text1"/>
          <w:sz w:val="24"/>
          <w:szCs w:val="24"/>
        </w:rPr>
      </w:pPr>
      <w:r w:rsidRPr="00CF7E48">
        <w:rPr>
          <w:rFonts w:ascii="Palatino Linotype" w:eastAsia="Palatino Linotype" w:hAnsi="Palatino Linotype" w:cs="Palatino Linotype"/>
          <w:color w:val="000000" w:themeColor="text1"/>
          <w:sz w:val="24"/>
          <w:szCs w:val="24"/>
        </w:rPr>
        <w:t xml:space="preserve">El medio de impugnación fue presentado a través del </w:t>
      </w:r>
      <w:r w:rsidRPr="00CF7E48">
        <w:rPr>
          <w:rFonts w:ascii="Palatino Linotype" w:eastAsia="Palatino Linotype" w:hAnsi="Palatino Linotype" w:cs="Palatino Linotype"/>
          <w:b/>
          <w:color w:val="000000" w:themeColor="text1"/>
          <w:sz w:val="24"/>
          <w:szCs w:val="24"/>
        </w:rPr>
        <w:t>SAIMEX,</w:t>
      </w:r>
      <w:r w:rsidRPr="00CF7E48">
        <w:rPr>
          <w:rFonts w:ascii="Palatino Linotype" w:eastAsia="Palatino Linotype" w:hAnsi="Palatino Linotype" w:cs="Palatino Linotype"/>
          <w:color w:val="000000" w:themeColor="text1"/>
          <w:sz w:val="24"/>
          <w:szCs w:val="24"/>
        </w:rPr>
        <w:t xml:space="preserve"> en el formato previamente aprobado para tal efecto y dentro del plazo legal de quince días hábiles otorgados; para el caso en particular es de señalar que el </w:t>
      </w:r>
      <w:r w:rsidRPr="00CF7E48">
        <w:rPr>
          <w:rFonts w:ascii="Palatino Linotype" w:eastAsia="Palatino Linotype" w:hAnsi="Palatino Linotype" w:cs="Palatino Linotype"/>
          <w:b/>
          <w:color w:val="000000" w:themeColor="text1"/>
          <w:sz w:val="24"/>
          <w:szCs w:val="24"/>
        </w:rPr>
        <w:t>SUJETO OBLIGADO</w:t>
      </w:r>
      <w:r w:rsidRPr="00CF7E48">
        <w:rPr>
          <w:rFonts w:ascii="Palatino Linotype" w:eastAsia="Palatino Linotype" w:hAnsi="Palatino Linotype" w:cs="Palatino Linotype"/>
          <w:color w:val="000000" w:themeColor="text1"/>
          <w:sz w:val="24"/>
          <w:szCs w:val="24"/>
        </w:rPr>
        <w:t xml:space="preserve"> entregó su respuesta el </w:t>
      </w:r>
      <w:r w:rsidR="00243BAA" w:rsidRPr="00CF7E48">
        <w:rPr>
          <w:rFonts w:ascii="Palatino Linotype" w:eastAsia="Palatino Linotype" w:hAnsi="Palatino Linotype" w:cs="Palatino Linotype"/>
          <w:b/>
          <w:color w:val="000000" w:themeColor="text1"/>
          <w:sz w:val="24"/>
          <w:szCs w:val="24"/>
        </w:rPr>
        <w:t>treinta y uno de agosto</w:t>
      </w:r>
      <w:r w:rsidR="00DF7608" w:rsidRPr="00CF7E48">
        <w:rPr>
          <w:rFonts w:ascii="Palatino Linotype" w:eastAsia="Palatino Linotype" w:hAnsi="Palatino Linotype" w:cs="Palatino Linotype"/>
          <w:b/>
          <w:color w:val="000000" w:themeColor="text1"/>
          <w:sz w:val="24"/>
          <w:szCs w:val="24"/>
        </w:rPr>
        <w:t xml:space="preserve"> dos mil veinticinco</w:t>
      </w:r>
      <w:r w:rsidRPr="00CF7E48">
        <w:rPr>
          <w:rFonts w:ascii="Palatino Linotype" w:eastAsia="Palatino Linotype" w:hAnsi="Palatino Linotype" w:cs="Palatino Linotype"/>
          <w:color w:val="000000" w:themeColor="text1"/>
          <w:sz w:val="24"/>
          <w:szCs w:val="24"/>
        </w:rPr>
        <w:t xml:space="preserve">, de tal forma que el plazo para interponer el recurso de revisión transcurrió del </w:t>
      </w:r>
      <w:r w:rsidR="00243BAA" w:rsidRPr="00CF7E48">
        <w:rPr>
          <w:rFonts w:ascii="Palatino Linotype" w:eastAsia="Palatino Linotype" w:hAnsi="Palatino Linotype" w:cs="Palatino Linotype"/>
          <w:b/>
          <w:color w:val="000000" w:themeColor="text1"/>
          <w:sz w:val="24"/>
          <w:szCs w:val="24"/>
        </w:rPr>
        <w:t>primero al diecinueve de septiembre</w:t>
      </w:r>
      <w:r w:rsidR="00DF7608" w:rsidRPr="00CF7E48">
        <w:rPr>
          <w:rFonts w:ascii="Palatino Linotype" w:eastAsia="Palatino Linotype" w:hAnsi="Palatino Linotype" w:cs="Palatino Linotype"/>
          <w:b/>
          <w:color w:val="000000" w:themeColor="text1"/>
          <w:sz w:val="24"/>
          <w:szCs w:val="24"/>
        </w:rPr>
        <w:t xml:space="preserve"> de dos mil veinticinco</w:t>
      </w:r>
      <w:r w:rsidRPr="00CF7E48">
        <w:rPr>
          <w:rFonts w:ascii="Palatino Linotype" w:eastAsia="Palatino Linotype" w:hAnsi="Palatino Linotype" w:cs="Palatino Linotype"/>
          <w:color w:val="000000" w:themeColor="text1"/>
          <w:sz w:val="24"/>
          <w:szCs w:val="24"/>
        </w:rPr>
        <w:t xml:space="preserve">; en consecuencia, el ahora </w:t>
      </w:r>
      <w:r w:rsidRPr="00CF7E48">
        <w:rPr>
          <w:rFonts w:ascii="Palatino Linotype" w:eastAsia="Palatino Linotype" w:hAnsi="Palatino Linotype" w:cs="Palatino Linotype"/>
          <w:b/>
          <w:color w:val="000000" w:themeColor="text1"/>
          <w:sz w:val="24"/>
          <w:szCs w:val="24"/>
        </w:rPr>
        <w:t>RECURRENTE</w:t>
      </w:r>
      <w:r w:rsidRPr="00CF7E48">
        <w:rPr>
          <w:rFonts w:ascii="Palatino Linotype" w:eastAsia="Palatino Linotype" w:hAnsi="Palatino Linotype" w:cs="Palatino Linotype"/>
          <w:color w:val="000000" w:themeColor="text1"/>
          <w:sz w:val="24"/>
          <w:szCs w:val="24"/>
        </w:rPr>
        <w:t xml:space="preserve"> presentó su inconformidad el </w:t>
      </w:r>
      <w:r w:rsidR="00243BAA" w:rsidRPr="00CF7E48">
        <w:rPr>
          <w:rFonts w:ascii="Palatino Linotype" w:eastAsia="Palatino Linotype" w:hAnsi="Palatino Linotype" w:cs="Palatino Linotype"/>
          <w:b/>
          <w:color w:val="000000" w:themeColor="text1"/>
          <w:sz w:val="24"/>
          <w:szCs w:val="24"/>
        </w:rPr>
        <w:t>dos de septiembre</w:t>
      </w:r>
      <w:r w:rsidR="00DF7608" w:rsidRPr="00CF7E48">
        <w:rPr>
          <w:rFonts w:ascii="Palatino Linotype" w:eastAsia="Palatino Linotype" w:hAnsi="Palatino Linotype" w:cs="Palatino Linotype"/>
          <w:b/>
          <w:color w:val="000000" w:themeColor="text1"/>
          <w:sz w:val="24"/>
          <w:szCs w:val="24"/>
        </w:rPr>
        <w:t xml:space="preserve"> de dos mil veinticinco</w:t>
      </w:r>
      <w:r w:rsidRPr="00CF7E48">
        <w:rPr>
          <w:rFonts w:ascii="Palatino Linotype" w:eastAsia="Palatino Linotype" w:hAnsi="Palatino Linotype" w:cs="Palatino Linotype"/>
          <w:color w:val="000000" w:themeColor="text1"/>
          <w:sz w:val="24"/>
          <w:szCs w:val="24"/>
        </w:rPr>
        <w:t>; por lo que se estima que la inconformidad se presentó dentro del lapso legalmente establecido para tal efecto.</w:t>
      </w:r>
    </w:p>
    <w:p w:rsidR="00435854" w:rsidRPr="00CF7E48" w:rsidRDefault="00435854" w:rsidP="00CF7E48">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rsidR="00435854" w:rsidRPr="00CF7E48" w:rsidRDefault="00752EA3" w:rsidP="00CF7E48">
      <w:pPr>
        <w:numPr>
          <w:ilvl w:val="0"/>
          <w:numId w:val="9"/>
        </w:numPr>
        <w:spacing w:after="0" w:line="360" w:lineRule="auto"/>
        <w:ind w:left="0" w:right="49" w:firstLine="0"/>
        <w:jc w:val="both"/>
        <w:rPr>
          <w:rFonts w:ascii="Palatino Linotype" w:hAnsi="Palatino Linotype"/>
          <w:color w:val="000000" w:themeColor="text1"/>
          <w:sz w:val="24"/>
          <w:szCs w:val="24"/>
        </w:rPr>
      </w:pPr>
      <w:r w:rsidRPr="00CF7E48">
        <w:rPr>
          <w:rFonts w:ascii="Palatino Linotype" w:eastAsia="Palatino Linotype" w:hAnsi="Palatino Linotype" w:cs="Palatino Linotype"/>
          <w:color w:val="000000" w:themeColor="text1"/>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35854" w:rsidRPr="00CF7E48" w:rsidRDefault="00435854" w:rsidP="00CF7E48">
      <w:pPr>
        <w:pBdr>
          <w:top w:val="nil"/>
          <w:left w:val="nil"/>
          <w:bottom w:val="nil"/>
          <w:right w:val="nil"/>
          <w:between w:val="nil"/>
        </w:pBdr>
        <w:spacing w:after="0" w:line="240" w:lineRule="auto"/>
        <w:ind w:right="49"/>
        <w:rPr>
          <w:rFonts w:ascii="Palatino Linotype" w:hAnsi="Palatino Linotype"/>
          <w:color w:val="000000" w:themeColor="text1"/>
          <w:sz w:val="24"/>
          <w:szCs w:val="24"/>
        </w:rPr>
      </w:pPr>
    </w:p>
    <w:p w:rsidR="00435854" w:rsidRPr="00CF7E48" w:rsidRDefault="00752EA3" w:rsidP="00CF7E48">
      <w:pPr>
        <w:keepNext/>
        <w:keepLines/>
        <w:spacing w:line="360" w:lineRule="auto"/>
        <w:ind w:right="49"/>
        <w:rPr>
          <w:rFonts w:ascii="Palatino Linotype" w:eastAsia="Palatino Linotype" w:hAnsi="Palatino Linotype" w:cs="Palatino Linotype"/>
          <w:b/>
          <w:color w:val="000000" w:themeColor="text1"/>
          <w:sz w:val="24"/>
          <w:szCs w:val="24"/>
        </w:rPr>
      </w:pPr>
      <w:bookmarkStart w:id="8" w:name="_heading=h.26in1rg" w:colFirst="0" w:colLast="0"/>
      <w:bookmarkEnd w:id="8"/>
      <w:r w:rsidRPr="00CF7E48">
        <w:rPr>
          <w:rFonts w:ascii="Palatino Linotype" w:eastAsia="Palatino Linotype" w:hAnsi="Palatino Linotype" w:cs="Palatino Linotype"/>
          <w:b/>
          <w:color w:val="000000" w:themeColor="text1"/>
          <w:sz w:val="24"/>
          <w:szCs w:val="24"/>
        </w:rPr>
        <w:t>TERCERO. De las causales de sobreseimiento</w:t>
      </w:r>
    </w:p>
    <w:p w:rsidR="00724F4C" w:rsidRPr="00CF7E48" w:rsidRDefault="00724F4C" w:rsidP="00CF7E48">
      <w:pPr>
        <w:numPr>
          <w:ilvl w:val="0"/>
          <w:numId w:val="9"/>
        </w:numPr>
        <w:spacing w:after="0" w:line="360" w:lineRule="auto"/>
        <w:ind w:left="0" w:right="49" w:firstLine="0"/>
        <w:jc w:val="both"/>
        <w:rPr>
          <w:rFonts w:ascii="Palatino Linotype" w:eastAsia="Times New Roman" w:hAnsi="Palatino Linotype" w:cs="Arial"/>
          <w:bCs/>
          <w:color w:val="000000" w:themeColor="text1"/>
          <w:sz w:val="24"/>
          <w:szCs w:val="24"/>
        </w:rPr>
      </w:pPr>
      <w:r w:rsidRPr="00CF7E48">
        <w:rPr>
          <w:rFonts w:ascii="Palatino Linotype" w:eastAsia="Times New Roman" w:hAnsi="Palatino Linotype" w:cs="Tahoma"/>
          <w:color w:val="000000" w:themeColor="text1"/>
          <w:sz w:val="24"/>
          <w:szCs w:val="24"/>
        </w:rPr>
        <w:t xml:space="preserve">El artículo 192 de la </w:t>
      </w:r>
      <w:r w:rsidRPr="00CF7E48">
        <w:rPr>
          <w:rFonts w:ascii="Palatino Linotype" w:hAnsi="Palatino Linotype" w:cs="Tahoma"/>
          <w:bCs/>
          <w:color w:val="000000" w:themeColor="text1"/>
          <w:sz w:val="24"/>
          <w:szCs w:val="24"/>
          <w:lang w:eastAsia="es-ES_tradnl"/>
        </w:rPr>
        <w:t xml:space="preserve">Ley Transparencia y Acceso a la Información Pública del Estado de México y </w:t>
      </w:r>
      <w:r w:rsidRPr="00CF7E48">
        <w:rPr>
          <w:rFonts w:ascii="Palatino Linotype" w:hAnsi="Palatino Linotype" w:cs="Arial"/>
          <w:color w:val="000000" w:themeColor="text1"/>
          <w:sz w:val="24"/>
          <w:szCs w:val="24"/>
        </w:rPr>
        <w:t>Municipios</w:t>
      </w:r>
      <w:r w:rsidRPr="00CF7E48">
        <w:rPr>
          <w:rFonts w:ascii="Palatino Linotype" w:hAnsi="Palatino Linotype" w:cs="Tahoma"/>
          <w:bCs/>
          <w:color w:val="000000" w:themeColor="text1"/>
          <w:sz w:val="24"/>
          <w:szCs w:val="24"/>
          <w:lang w:eastAsia="es-ES_tradnl"/>
        </w:rPr>
        <w:t xml:space="preserve">, señala las causales por las cuales se puede sobreseer en todo o </w:t>
      </w:r>
      <w:r w:rsidRPr="00CF7E48">
        <w:rPr>
          <w:rFonts w:ascii="Palatino Linotype" w:hAnsi="Palatino Linotype" w:cs="Arial"/>
          <w:color w:val="000000" w:themeColor="text1"/>
          <w:sz w:val="24"/>
          <w:szCs w:val="24"/>
        </w:rPr>
        <w:t>en</w:t>
      </w:r>
      <w:r w:rsidRPr="00CF7E48">
        <w:rPr>
          <w:rFonts w:ascii="Palatino Linotype" w:hAnsi="Palatino Linotype" w:cs="Tahoma"/>
          <w:bCs/>
          <w:color w:val="000000" w:themeColor="text1"/>
          <w:sz w:val="24"/>
          <w:szCs w:val="24"/>
          <w:lang w:eastAsia="es-ES_tradnl"/>
        </w:rPr>
        <w:t xml:space="preserve"> </w:t>
      </w:r>
      <w:r w:rsidRPr="00CF7E48">
        <w:rPr>
          <w:rFonts w:ascii="Palatino Linotype" w:hAnsi="Palatino Linotype" w:cs="Tahoma"/>
          <w:bCs/>
          <w:color w:val="000000" w:themeColor="text1"/>
          <w:sz w:val="24"/>
          <w:szCs w:val="24"/>
          <w:lang w:eastAsia="es-ES_tradnl"/>
        </w:rPr>
        <w:lastRenderedPageBreak/>
        <w:t>parte el Recurso de Revisión;</w:t>
      </w:r>
      <w:r w:rsidRPr="00CF7E48">
        <w:rPr>
          <w:rFonts w:ascii="Palatino Linotype" w:hAnsi="Palatino Linotype" w:cs="Tahoma"/>
          <w:color w:val="000000" w:themeColor="text1"/>
          <w:sz w:val="24"/>
          <w:szCs w:val="24"/>
          <w:lang w:eastAsia="es-ES_tradnl"/>
        </w:rPr>
        <w:t xml:space="preserve"> por lo que hace a la hipótesis prevista en </w:t>
      </w:r>
      <w:r w:rsidRPr="00CF7E48">
        <w:rPr>
          <w:rFonts w:ascii="Palatino Linotype" w:hAnsi="Palatino Linotype" w:cs="Tahoma"/>
          <w:bCs/>
          <w:color w:val="000000" w:themeColor="text1"/>
          <w:sz w:val="24"/>
          <w:szCs w:val="24"/>
          <w:lang w:eastAsia="es-ES_tradnl"/>
        </w:rPr>
        <w:t>la fracción IV,</w:t>
      </w:r>
      <w:r w:rsidRPr="00CF7E48">
        <w:rPr>
          <w:rFonts w:ascii="Palatino Linotype" w:hAnsi="Palatino Linotype" w:cs="Tahoma"/>
          <w:color w:val="000000" w:themeColor="text1"/>
          <w:sz w:val="24"/>
          <w:szCs w:val="24"/>
          <w:lang w:eastAsia="es-ES_tradnl"/>
        </w:rPr>
        <w:t xml:space="preserve"> señala que una vez admitido el Recurso de Revisión, aparezca alguna causal de improcedencia en términos de la presente Ley, </w:t>
      </w:r>
      <w:r w:rsidRPr="00CF7E48">
        <w:rPr>
          <w:rFonts w:ascii="Palatino Linotype" w:hAnsi="Palatino Linotype" w:cs="Tahoma"/>
          <w:bCs/>
          <w:color w:val="000000" w:themeColor="text1"/>
          <w:sz w:val="24"/>
          <w:szCs w:val="24"/>
          <w:lang w:eastAsia="es-ES_tradnl"/>
        </w:rPr>
        <w:t>resulta necesario traer a colación</w:t>
      </w:r>
      <w:r w:rsidRPr="00CF7E48">
        <w:rPr>
          <w:rFonts w:ascii="Palatino Linotype" w:hAnsi="Palatino Linotype" w:cs="Tahoma"/>
          <w:bCs/>
          <w:color w:val="000000" w:themeColor="text1"/>
          <w:sz w:val="24"/>
          <w:szCs w:val="24"/>
          <w:lang w:val="es-ES" w:eastAsia="es-ES_tradnl"/>
        </w:rPr>
        <w:t xml:space="preserve"> el artículo 191, fracción VII, de dicho ordenamiento jurídico, que establece que el Recurso de Revisión será desechado por improcedente, cuando dicho medio no actualice alguno de los supuestos previstos en el diverso 179 de la presente Ley. </w:t>
      </w:r>
      <w:r w:rsidRPr="00CF7E48">
        <w:rPr>
          <w:rFonts w:ascii="Palatino Linotype" w:eastAsia="Times New Roman" w:hAnsi="Palatino Linotype" w:cs="Arial"/>
          <w:bCs/>
          <w:color w:val="000000" w:themeColor="text1"/>
          <w:sz w:val="24"/>
          <w:szCs w:val="24"/>
        </w:rPr>
        <w:t>En ese orden de ideas, dicho artículo prevé lo siguiente:</w:t>
      </w:r>
    </w:p>
    <w:p w:rsidR="00724F4C" w:rsidRPr="00CF7E48" w:rsidRDefault="00724F4C" w:rsidP="00CF7E48">
      <w:pPr>
        <w:ind w:right="49"/>
        <w:jc w:val="both"/>
        <w:rPr>
          <w:rFonts w:ascii="Palatino Linotype" w:hAnsi="Palatino Linotype" w:cs="Arial"/>
          <w:bCs/>
          <w:i/>
          <w:color w:val="000000" w:themeColor="text1"/>
          <w:sz w:val="24"/>
          <w:szCs w:val="24"/>
        </w:rPr>
      </w:pPr>
      <w:r w:rsidRPr="00CF7E48">
        <w:rPr>
          <w:rFonts w:ascii="Palatino Linotype" w:hAnsi="Palatino Linotype" w:cs="Arial"/>
          <w:b/>
          <w:bCs/>
          <w:i/>
          <w:color w:val="000000" w:themeColor="text1"/>
          <w:sz w:val="24"/>
          <w:szCs w:val="24"/>
        </w:rPr>
        <w:t xml:space="preserve">“Artículo 179. </w:t>
      </w:r>
      <w:r w:rsidRPr="00CF7E48">
        <w:rPr>
          <w:rFonts w:ascii="Palatino Linotype" w:hAnsi="Palatino Linotype" w:cs="Arial"/>
          <w:bCs/>
          <w:i/>
          <w:color w:val="000000" w:themeColor="text1"/>
          <w:sz w:val="24"/>
          <w:szCs w:val="24"/>
        </w:rPr>
        <w:t xml:space="preserve">El recurso de revisión es un medio de protección que la Ley otorga a los particulares, para hacer valer su derecho de acceso a la información pública, y procederá en contra de las siguientes causas: </w:t>
      </w:r>
    </w:p>
    <w:p w:rsidR="00724F4C" w:rsidRPr="00CF7E48" w:rsidRDefault="00724F4C" w:rsidP="00CF7E48">
      <w:pPr>
        <w:ind w:right="49"/>
        <w:jc w:val="both"/>
        <w:rPr>
          <w:rFonts w:ascii="Palatino Linotype" w:hAnsi="Palatino Linotype" w:cs="Arial"/>
          <w:bCs/>
          <w:i/>
          <w:color w:val="000000" w:themeColor="text1"/>
          <w:sz w:val="24"/>
          <w:szCs w:val="24"/>
        </w:rPr>
      </w:pPr>
    </w:p>
    <w:p w:rsidR="00724F4C" w:rsidRPr="00CF7E48" w:rsidRDefault="00724F4C" w:rsidP="00CF7E48">
      <w:pPr>
        <w:ind w:right="49"/>
        <w:jc w:val="both"/>
        <w:rPr>
          <w:rFonts w:ascii="Palatino Linotype" w:hAnsi="Palatino Linotype" w:cs="Arial"/>
          <w:bCs/>
          <w:i/>
          <w:color w:val="000000" w:themeColor="text1"/>
          <w:sz w:val="24"/>
          <w:szCs w:val="24"/>
        </w:rPr>
      </w:pPr>
      <w:r w:rsidRPr="00CF7E48">
        <w:rPr>
          <w:rFonts w:ascii="Palatino Linotype" w:hAnsi="Palatino Linotype" w:cs="Arial"/>
          <w:bCs/>
          <w:i/>
          <w:color w:val="000000" w:themeColor="text1"/>
          <w:sz w:val="24"/>
          <w:szCs w:val="24"/>
        </w:rPr>
        <w:t xml:space="preserve">I. La negativa a la información solicitada; </w:t>
      </w:r>
    </w:p>
    <w:p w:rsidR="00724F4C" w:rsidRPr="00CF7E48" w:rsidRDefault="00724F4C" w:rsidP="00CF7E48">
      <w:pPr>
        <w:ind w:right="49"/>
        <w:jc w:val="both"/>
        <w:rPr>
          <w:rFonts w:ascii="Palatino Linotype" w:hAnsi="Palatino Linotype" w:cs="Arial"/>
          <w:bCs/>
          <w:i/>
          <w:color w:val="000000" w:themeColor="text1"/>
          <w:sz w:val="24"/>
          <w:szCs w:val="24"/>
        </w:rPr>
      </w:pPr>
      <w:r w:rsidRPr="00CF7E48">
        <w:rPr>
          <w:rFonts w:ascii="Palatino Linotype" w:hAnsi="Palatino Linotype" w:cs="Arial"/>
          <w:bCs/>
          <w:i/>
          <w:color w:val="000000" w:themeColor="text1"/>
          <w:sz w:val="24"/>
          <w:szCs w:val="24"/>
        </w:rPr>
        <w:t xml:space="preserve">II. La clasificación de la información; </w:t>
      </w:r>
    </w:p>
    <w:p w:rsidR="00724F4C" w:rsidRPr="00CF7E48" w:rsidRDefault="00724F4C" w:rsidP="00CF7E48">
      <w:pPr>
        <w:ind w:right="49"/>
        <w:jc w:val="both"/>
        <w:rPr>
          <w:rFonts w:ascii="Palatino Linotype" w:hAnsi="Palatino Linotype" w:cs="Arial"/>
          <w:bCs/>
          <w:i/>
          <w:color w:val="000000" w:themeColor="text1"/>
          <w:sz w:val="24"/>
          <w:szCs w:val="24"/>
        </w:rPr>
      </w:pPr>
      <w:r w:rsidRPr="00CF7E48">
        <w:rPr>
          <w:rFonts w:ascii="Palatino Linotype" w:hAnsi="Palatino Linotype" w:cs="Arial"/>
          <w:bCs/>
          <w:i/>
          <w:color w:val="000000" w:themeColor="text1"/>
          <w:sz w:val="24"/>
          <w:szCs w:val="24"/>
        </w:rPr>
        <w:t xml:space="preserve">III. La declaración de inexistencia de la información; </w:t>
      </w:r>
    </w:p>
    <w:p w:rsidR="00724F4C" w:rsidRPr="00CF7E48" w:rsidRDefault="00724F4C" w:rsidP="00CF7E48">
      <w:pPr>
        <w:ind w:right="49"/>
        <w:jc w:val="both"/>
        <w:rPr>
          <w:rFonts w:ascii="Palatino Linotype" w:hAnsi="Palatino Linotype" w:cs="Arial"/>
          <w:bCs/>
          <w:i/>
          <w:color w:val="000000" w:themeColor="text1"/>
          <w:sz w:val="24"/>
          <w:szCs w:val="24"/>
        </w:rPr>
      </w:pPr>
      <w:r w:rsidRPr="00CF7E48">
        <w:rPr>
          <w:rFonts w:ascii="Palatino Linotype" w:hAnsi="Palatino Linotype" w:cs="Arial"/>
          <w:bCs/>
          <w:i/>
          <w:color w:val="000000" w:themeColor="text1"/>
          <w:sz w:val="24"/>
          <w:szCs w:val="24"/>
        </w:rPr>
        <w:t xml:space="preserve">IV. La declaración de incompetencia por el sujeto obligado; </w:t>
      </w:r>
    </w:p>
    <w:p w:rsidR="00724F4C" w:rsidRPr="00CF7E48" w:rsidRDefault="00724F4C" w:rsidP="00CF7E48">
      <w:pPr>
        <w:ind w:right="49"/>
        <w:jc w:val="both"/>
        <w:rPr>
          <w:rFonts w:ascii="Palatino Linotype" w:hAnsi="Palatino Linotype" w:cs="Arial"/>
          <w:bCs/>
          <w:i/>
          <w:color w:val="000000" w:themeColor="text1"/>
          <w:sz w:val="24"/>
          <w:szCs w:val="24"/>
        </w:rPr>
      </w:pPr>
      <w:r w:rsidRPr="00CF7E48">
        <w:rPr>
          <w:rFonts w:ascii="Palatino Linotype" w:hAnsi="Palatino Linotype" w:cs="Arial"/>
          <w:bCs/>
          <w:i/>
          <w:color w:val="000000" w:themeColor="text1"/>
          <w:sz w:val="24"/>
          <w:szCs w:val="24"/>
        </w:rPr>
        <w:t xml:space="preserve">V. La entrega de información incompleta; </w:t>
      </w:r>
    </w:p>
    <w:p w:rsidR="00724F4C" w:rsidRPr="00CF7E48" w:rsidRDefault="00724F4C" w:rsidP="00CF7E48">
      <w:pPr>
        <w:ind w:right="49"/>
        <w:jc w:val="both"/>
        <w:rPr>
          <w:rFonts w:ascii="Palatino Linotype" w:hAnsi="Palatino Linotype" w:cs="Arial"/>
          <w:bCs/>
          <w:i/>
          <w:color w:val="000000" w:themeColor="text1"/>
          <w:sz w:val="24"/>
          <w:szCs w:val="24"/>
        </w:rPr>
      </w:pPr>
      <w:r w:rsidRPr="00CF7E48">
        <w:rPr>
          <w:rFonts w:ascii="Palatino Linotype" w:hAnsi="Palatino Linotype" w:cs="Arial"/>
          <w:bCs/>
          <w:i/>
          <w:color w:val="000000" w:themeColor="text1"/>
          <w:sz w:val="24"/>
          <w:szCs w:val="24"/>
        </w:rPr>
        <w:t xml:space="preserve">VI. La entrega de información que no corresponda con lo solicitado; </w:t>
      </w:r>
    </w:p>
    <w:p w:rsidR="00724F4C" w:rsidRPr="00CF7E48" w:rsidRDefault="00724F4C" w:rsidP="00CF7E48">
      <w:pPr>
        <w:ind w:right="49"/>
        <w:jc w:val="both"/>
        <w:rPr>
          <w:rFonts w:ascii="Palatino Linotype" w:hAnsi="Palatino Linotype" w:cs="Arial"/>
          <w:bCs/>
          <w:i/>
          <w:color w:val="000000" w:themeColor="text1"/>
          <w:sz w:val="24"/>
          <w:szCs w:val="24"/>
        </w:rPr>
      </w:pPr>
      <w:r w:rsidRPr="00CF7E48">
        <w:rPr>
          <w:rFonts w:ascii="Palatino Linotype" w:hAnsi="Palatino Linotype" w:cs="Arial"/>
          <w:bCs/>
          <w:i/>
          <w:color w:val="000000" w:themeColor="text1"/>
          <w:sz w:val="24"/>
          <w:szCs w:val="24"/>
        </w:rPr>
        <w:t xml:space="preserve">VII. La falta de respuesta a una solicitud de acceso a la información; </w:t>
      </w:r>
    </w:p>
    <w:p w:rsidR="00724F4C" w:rsidRPr="00CF7E48" w:rsidRDefault="00724F4C" w:rsidP="00CF7E48">
      <w:pPr>
        <w:ind w:right="49"/>
        <w:jc w:val="both"/>
        <w:rPr>
          <w:rFonts w:ascii="Palatino Linotype" w:hAnsi="Palatino Linotype" w:cs="Arial"/>
          <w:bCs/>
          <w:i/>
          <w:color w:val="000000" w:themeColor="text1"/>
          <w:sz w:val="24"/>
          <w:szCs w:val="24"/>
        </w:rPr>
      </w:pPr>
      <w:r w:rsidRPr="00CF7E48">
        <w:rPr>
          <w:rFonts w:ascii="Palatino Linotype" w:hAnsi="Palatino Linotype" w:cs="Arial"/>
          <w:bCs/>
          <w:i/>
          <w:color w:val="000000" w:themeColor="text1"/>
          <w:sz w:val="24"/>
          <w:szCs w:val="24"/>
        </w:rPr>
        <w:t xml:space="preserve">VIII. La notificación, entrega o puesta a disposición de información en una modalidad o formato distinto al solicitado; </w:t>
      </w:r>
    </w:p>
    <w:p w:rsidR="00724F4C" w:rsidRPr="00CF7E48" w:rsidRDefault="00724F4C" w:rsidP="00CF7E48">
      <w:pPr>
        <w:ind w:right="49"/>
        <w:jc w:val="both"/>
        <w:rPr>
          <w:rFonts w:ascii="Palatino Linotype" w:hAnsi="Palatino Linotype" w:cs="Arial"/>
          <w:bCs/>
          <w:i/>
          <w:color w:val="000000" w:themeColor="text1"/>
          <w:sz w:val="24"/>
          <w:szCs w:val="24"/>
        </w:rPr>
      </w:pPr>
      <w:r w:rsidRPr="00CF7E48">
        <w:rPr>
          <w:rFonts w:ascii="Palatino Linotype" w:hAnsi="Palatino Linotype" w:cs="Arial"/>
          <w:bCs/>
          <w:i/>
          <w:color w:val="000000" w:themeColor="text1"/>
          <w:sz w:val="24"/>
          <w:szCs w:val="24"/>
        </w:rPr>
        <w:t xml:space="preserve">IX. La entrega o puesta a disposición de información en un formato incomprensible y/o no accesible para el solicitante; </w:t>
      </w:r>
    </w:p>
    <w:p w:rsidR="00724F4C" w:rsidRPr="00CF7E48" w:rsidRDefault="00724F4C" w:rsidP="00CF7E48">
      <w:pPr>
        <w:ind w:right="49"/>
        <w:jc w:val="both"/>
        <w:rPr>
          <w:rFonts w:ascii="Palatino Linotype" w:hAnsi="Palatino Linotype" w:cs="Arial"/>
          <w:bCs/>
          <w:i/>
          <w:color w:val="000000" w:themeColor="text1"/>
          <w:sz w:val="24"/>
          <w:szCs w:val="24"/>
        </w:rPr>
      </w:pPr>
      <w:r w:rsidRPr="00CF7E48">
        <w:rPr>
          <w:rFonts w:ascii="Palatino Linotype" w:hAnsi="Palatino Linotype" w:cs="Arial"/>
          <w:bCs/>
          <w:i/>
          <w:color w:val="000000" w:themeColor="text1"/>
          <w:sz w:val="24"/>
          <w:szCs w:val="24"/>
        </w:rPr>
        <w:t xml:space="preserve">X. Los costos o tiempos de entrega de la información; </w:t>
      </w:r>
    </w:p>
    <w:p w:rsidR="00724F4C" w:rsidRPr="00CF7E48" w:rsidRDefault="00724F4C" w:rsidP="00CF7E48">
      <w:pPr>
        <w:ind w:right="49"/>
        <w:jc w:val="both"/>
        <w:rPr>
          <w:rFonts w:ascii="Palatino Linotype" w:hAnsi="Palatino Linotype" w:cs="Arial"/>
          <w:bCs/>
          <w:i/>
          <w:color w:val="000000" w:themeColor="text1"/>
          <w:sz w:val="24"/>
          <w:szCs w:val="24"/>
        </w:rPr>
      </w:pPr>
      <w:r w:rsidRPr="00CF7E48">
        <w:rPr>
          <w:rFonts w:ascii="Palatino Linotype" w:hAnsi="Palatino Linotype" w:cs="Arial"/>
          <w:bCs/>
          <w:i/>
          <w:color w:val="000000" w:themeColor="text1"/>
          <w:sz w:val="24"/>
          <w:szCs w:val="24"/>
        </w:rPr>
        <w:t xml:space="preserve">XI. La falta de trámite a una solicitud; </w:t>
      </w:r>
    </w:p>
    <w:p w:rsidR="00724F4C" w:rsidRPr="00CF7E48" w:rsidRDefault="00724F4C" w:rsidP="00CF7E48">
      <w:pPr>
        <w:ind w:right="49"/>
        <w:jc w:val="both"/>
        <w:rPr>
          <w:rFonts w:ascii="Palatino Linotype" w:hAnsi="Palatino Linotype" w:cs="Arial"/>
          <w:bCs/>
          <w:i/>
          <w:color w:val="000000" w:themeColor="text1"/>
          <w:sz w:val="24"/>
          <w:szCs w:val="24"/>
        </w:rPr>
      </w:pPr>
      <w:r w:rsidRPr="00CF7E48">
        <w:rPr>
          <w:rFonts w:ascii="Palatino Linotype" w:hAnsi="Palatino Linotype" w:cs="Arial"/>
          <w:bCs/>
          <w:i/>
          <w:color w:val="000000" w:themeColor="text1"/>
          <w:sz w:val="24"/>
          <w:szCs w:val="24"/>
        </w:rPr>
        <w:t xml:space="preserve">XII. La negativa a permitir la consulta directa de la información; </w:t>
      </w:r>
    </w:p>
    <w:p w:rsidR="00724F4C" w:rsidRPr="00CF7E48" w:rsidRDefault="00724F4C" w:rsidP="00CF7E48">
      <w:pPr>
        <w:ind w:right="49"/>
        <w:jc w:val="both"/>
        <w:rPr>
          <w:rFonts w:ascii="Palatino Linotype" w:hAnsi="Palatino Linotype" w:cs="Arial"/>
          <w:bCs/>
          <w:i/>
          <w:color w:val="000000" w:themeColor="text1"/>
          <w:sz w:val="24"/>
          <w:szCs w:val="24"/>
        </w:rPr>
      </w:pPr>
      <w:r w:rsidRPr="00CF7E48">
        <w:rPr>
          <w:rFonts w:ascii="Palatino Linotype" w:hAnsi="Palatino Linotype" w:cs="Arial"/>
          <w:bCs/>
          <w:i/>
          <w:color w:val="000000" w:themeColor="text1"/>
          <w:sz w:val="24"/>
          <w:szCs w:val="24"/>
        </w:rPr>
        <w:t xml:space="preserve">XIII. La falta, deficiencia o insuficiencia de la fundamentación y/o motivación en la respuesta; y </w:t>
      </w:r>
    </w:p>
    <w:p w:rsidR="00724F4C" w:rsidRPr="00CF7E48" w:rsidRDefault="00724F4C" w:rsidP="00CF7E48">
      <w:pPr>
        <w:ind w:right="49"/>
        <w:jc w:val="both"/>
        <w:rPr>
          <w:rFonts w:ascii="Palatino Linotype" w:hAnsi="Palatino Linotype" w:cs="Arial"/>
          <w:bCs/>
          <w:i/>
          <w:color w:val="000000" w:themeColor="text1"/>
          <w:sz w:val="24"/>
          <w:szCs w:val="24"/>
        </w:rPr>
      </w:pPr>
      <w:r w:rsidRPr="00CF7E48">
        <w:rPr>
          <w:rFonts w:ascii="Palatino Linotype" w:hAnsi="Palatino Linotype" w:cs="Arial"/>
          <w:bCs/>
          <w:i/>
          <w:color w:val="000000" w:themeColor="text1"/>
          <w:sz w:val="24"/>
          <w:szCs w:val="24"/>
        </w:rPr>
        <w:lastRenderedPageBreak/>
        <w:t>XIV. La orientación a un trámite específico.</w:t>
      </w:r>
    </w:p>
    <w:p w:rsidR="00724F4C" w:rsidRDefault="00724F4C" w:rsidP="00CF7E48">
      <w:pPr>
        <w:ind w:right="49"/>
        <w:jc w:val="both"/>
        <w:rPr>
          <w:rFonts w:ascii="Palatino Linotype" w:hAnsi="Palatino Linotype" w:cs="Arial"/>
          <w:bCs/>
          <w:i/>
          <w:color w:val="000000" w:themeColor="text1"/>
          <w:sz w:val="24"/>
          <w:szCs w:val="24"/>
        </w:rPr>
      </w:pPr>
      <w:r w:rsidRPr="00CF7E48">
        <w:rPr>
          <w:rFonts w:ascii="Palatino Linotype" w:hAnsi="Palatino Linotype" w:cs="Arial"/>
          <w:bCs/>
          <w:i/>
          <w:color w:val="000000" w:themeColor="text1"/>
          <w:sz w:val="24"/>
          <w:szCs w:val="24"/>
        </w:rPr>
        <w:t>...”</w:t>
      </w:r>
    </w:p>
    <w:p w:rsidR="00AC56EB" w:rsidRPr="00CF7E48" w:rsidRDefault="00AC56EB" w:rsidP="00CF7E48">
      <w:pPr>
        <w:ind w:right="49"/>
        <w:jc w:val="both"/>
        <w:rPr>
          <w:rFonts w:ascii="Palatino Linotype" w:hAnsi="Palatino Linotype" w:cs="Arial"/>
          <w:bCs/>
          <w:i/>
          <w:color w:val="000000" w:themeColor="text1"/>
          <w:sz w:val="24"/>
          <w:szCs w:val="24"/>
        </w:rPr>
      </w:pPr>
    </w:p>
    <w:p w:rsidR="00724F4C" w:rsidRPr="00CF7E48" w:rsidRDefault="00724F4C" w:rsidP="00CF7E48">
      <w:pPr>
        <w:numPr>
          <w:ilvl w:val="0"/>
          <w:numId w:val="9"/>
        </w:numPr>
        <w:spacing w:after="0" w:line="360" w:lineRule="auto"/>
        <w:ind w:left="0" w:right="49" w:firstLine="0"/>
        <w:jc w:val="both"/>
        <w:rPr>
          <w:rFonts w:ascii="Palatino Linotype" w:hAnsi="Palatino Linotype" w:cs="Tahoma"/>
          <w:color w:val="000000" w:themeColor="text1"/>
          <w:sz w:val="24"/>
          <w:szCs w:val="24"/>
          <w:lang w:val="es-ES"/>
        </w:rPr>
      </w:pPr>
      <w:r w:rsidRPr="00CF7E48">
        <w:rPr>
          <w:rFonts w:ascii="Palatino Linotype" w:hAnsi="Palatino Linotype" w:cs="Tahoma"/>
          <w:color w:val="000000" w:themeColor="text1"/>
          <w:sz w:val="24"/>
          <w:szCs w:val="24"/>
          <w:lang w:val="es-ES"/>
        </w:rPr>
        <w:t xml:space="preserve">Ahora bien, el artículo 176 de la Ley de Transparencia y Acceso a la Información Pública del Estado de México y Municipios, establece que el Recurso de Revisión, es la garantía secundaria mediante la cual se pretende reparar cualquier afectación al </w:t>
      </w:r>
      <w:r w:rsidRPr="00CF7E48">
        <w:rPr>
          <w:rFonts w:ascii="Palatino Linotype" w:eastAsia="Times New Roman" w:hAnsi="Palatino Linotype" w:cs="Tahoma"/>
          <w:color w:val="000000" w:themeColor="text1"/>
          <w:sz w:val="24"/>
          <w:szCs w:val="24"/>
        </w:rPr>
        <w:t>derecho</w:t>
      </w:r>
      <w:r w:rsidRPr="00CF7E48">
        <w:rPr>
          <w:rFonts w:ascii="Palatino Linotype" w:hAnsi="Palatino Linotype" w:cs="Tahoma"/>
          <w:color w:val="000000" w:themeColor="text1"/>
          <w:sz w:val="24"/>
          <w:szCs w:val="24"/>
          <w:lang w:val="es-ES"/>
        </w:rPr>
        <w:t xml:space="preserve"> de acceso a la información pública.</w:t>
      </w:r>
    </w:p>
    <w:p w:rsidR="00724F4C" w:rsidRPr="00CF7E48" w:rsidRDefault="00724F4C" w:rsidP="00CF7E48">
      <w:pPr>
        <w:tabs>
          <w:tab w:val="left" w:pos="4962"/>
        </w:tabs>
        <w:spacing w:line="360" w:lineRule="auto"/>
        <w:ind w:right="49"/>
        <w:jc w:val="both"/>
        <w:rPr>
          <w:rFonts w:ascii="Palatino Linotype" w:hAnsi="Palatino Linotype" w:cs="Tahoma"/>
          <w:color w:val="000000" w:themeColor="text1"/>
          <w:sz w:val="24"/>
          <w:szCs w:val="24"/>
          <w:lang w:val="es-ES"/>
        </w:rPr>
      </w:pPr>
    </w:p>
    <w:p w:rsidR="00724F4C" w:rsidRPr="00CF7E48" w:rsidRDefault="00724F4C" w:rsidP="00CF7E48">
      <w:pPr>
        <w:numPr>
          <w:ilvl w:val="0"/>
          <w:numId w:val="9"/>
        </w:numPr>
        <w:spacing w:after="0" w:line="360" w:lineRule="auto"/>
        <w:ind w:left="0" w:right="49" w:firstLine="0"/>
        <w:jc w:val="both"/>
        <w:rPr>
          <w:rFonts w:ascii="Palatino Linotype" w:hAnsi="Palatino Linotype" w:cs="Tahoma"/>
          <w:color w:val="000000" w:themeColor="text1"/>
          <w:sz w:val="24"/>
          <w:szCs w:val="24"/>
          <w:lang w:val="es-ES"/>
        </w:rPr>
      </w:pPr>
      <w:r w:rsidRPr="00CF7E48">
        <w:rPr>
          <w:rFonts w:ascii="Palatino Linotype" w:hAnsi="Palatino Linotype" w:cs="Tahoma"/>
          <w:color w:val="000000" w:themeColor="text1"/>
          <w:sz w:val="24"/>
          <w:szCs w:val="24"/>
          <w:lang w:val="es-ES"/>
        </w:rPr>
        <w:t>Además, conforme al Diccionario de Transparencia y Acceso a la Información Pública y la página oficial de este Instituto (</w:t>
      </w:r>
      <w:hyperlink r:id="rId8" w:anchor="queEsRRdeIP" w:history="1">
        <w:r w:rsidRPr="00CF7E48">
          <w:rPr>
            <w:rFonts w:ascii="Palatino Linotype" w:hAnsi="Palatino Linotype" w:cs="Tahoma"/>
            <w:color w:val="000000" w:themeColor="text1"/>
            <w:sz w:val="24"/>
            <w:szCs w:val="24"/>
            <w:lang w:val="es-ES"/>
          </w:rPr>
          <w:t>https://www.infoem.org.mx/es/content/informacion-publica#queEsRRdeIP</w:t>
        </w:r>
      </w:hyperlink>
      <w:r w:rsidRPr="00CF7E48">
        <w:rPr>
          <w:rFonts w:ascii="Palatino Linotype" w:hAnsi="Palatino Linotype" w:cs="Tahoma"/>
          <w:color w:val="000000" w:themeColor="text1"/>
          <w:sz w:val="24"/>
          <w:szCs w:val="24"/>
          <w:lang w:val="es-ES"/>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724F4C" w:rsidRPr="00CF7E48" w:rsidRDefault="00724F4C" w:rsidP="00CF7E48">
      <w:pPr>
        <w:spacing w:line="360" w:lineRule="auto"/>
        <w:ind w:right="49"/>
        <w:contextualSpacing/>
        <w:jc w:val="both"/>
        <w:rPr>
          <w:rFonts w:ascii="Palatino Linotype" w:hAnsi="Palatino Linotype" w:cs="Tahoma"/>
          <w:color w:val="000000" w:themeColor="text1"/>
          <w:sz w:val="24"/>
          <w:szCs w:val="24"/>
          <w:lang w:val="es-ES"/>
        </w:rPr>
      </w:pPr>
    </w:p>
    <w:p w:rsidR="00724F4C" w:rsidRPr="00CF7E48" w:rsidRDefault="00724F4C" w:rsidP="00CF7E48">
      <w:pPr>
        <w:numPr>
          <w:ilvl w:val="0"/>
          <w:numId w:val="9"/>
        </w:numPr>
        <w:spacing w:after="0" w:line="360" w:lineRule="auto"/>
        <w:ind w:left="0" w:right="49" w:firstLine="0"/>
        <w:jc w:val="both"/>
        <w:rPr>
          <w:rFonts w:ascii="Palatino Linotype" w:hAnsi="Palatino Linotype" w:cs="Tahoma"/>
          <w:color w:val="000000" w:themeColor="text1"/>
          <w:sz w:val="24"/>
          <w:szCs w:val="24"/>
          <w:lang w:val="es-ES"/>
        </w:rPr>
      </w:pPr>
      <w:r w:rsidRPr="00CF7E48">
        <w:rPr>
          <w:rFonts w:ascii="Palatino Linotype" w:hAnsi="Palatino Linotype" w:cs="Tahoma"/>
          <w:color w:val="000000" w:themeColor="text1"/>
          <w:sz w:val="24"/>
          <w:szCs w:val="24"/>
          <w:lang w:val="es-ES"/>
        </w:rPr>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w:t>
      </w:r>
      <w:r w:rsidRPr="00CF7E48">
        <w:rPr>
          <w:rFonts w:ascii="Palatino Linotype" w:hAnsi="Palatino Linotype" w:cs="Tahoma"/>
          <w:b/>
          <w:color w:val="000000" w:themeColor="text1"/>
          <w:sz w:val="24"/>
          <w:szCs w:val="24"/>
          <w:u w:val="single"/>
          <w:lang w:val="es-ES"/>
        </w:rPr>
        <w:t>de la contestación realizada por los Sujetos Obligados</w:t>
      </w:r>
      <w:r w:rsidRPr="00CF7E48">
        <w:rPr>
          <w:rFonts w:ascii="Palatino Linotype" w:hAnsi="Palatino Linotype" w:cs="Tahoma"/>
          <w:color w:val="000000" w:themeColor="text1"/>
          <w:sz w:val="24"/>
          <w:szCs w:val="24"/>
          <w:lang w:val="es-ES"/>
        </w:rPr>
        <w:t xml:space="preserve"> </w:t>
      </w:r>
      <w:r w:rsidRPr="00CF7E48">
        <w:rPr>
          <w:rFonts w:ascii="Palatino Linotype" w:hAnsi="Palatino Linotype" w:cs="Tahoma"/>
          <w:b/>
          <w:color w:val="000000" w:themeColor="text1"/>
          <w:sz w:val="24"/>
          <w:szCs w:val="24"/>
          <w:u w:val="single"/>
          <w:lang w:val="es-ES"/>
        </w:rPr>
        <w:t>a una solicitud de información específica.</w:t>
      </w:r>
    </w:p>
    <w:p w:rsidR="00724F4C" w:rsidRPr="00CF7E48" w:rsidRDefault="00724F4C" w:rsidP="00CF7E48">
      <w:pPr>
        <w:pStyle w:val="Prrafodelista"/>
        <w:ind w:left="0" w:right="49"/>
        <w:rPr>
          <w:rFonts w:ascii="Palatino Linotype" w:hAnsi="Palatino Linotype" w:cs="Tahoma"/>
          <w:color w:val="000000" w:themeColor="text1"/>
          <w:lang w:val="es-ES"/>
        </w:rPr>
      </w:pPr>
    </w:p>
    <w:p w:rsidR="00724F4C" w:rsidRPr="00CF7E48" w:rsidRDefault="00724F4C" w:rsidP="00CF7E48">
      <w:pPr>
        <w:numPr>
          <w:ilvl w:val="0"/>
          <w:numId w:val="9"/>
        </w:numPr>
        <w:spacing w:after="0" w:line="360" w:lineRule="auto"/>
        <w:ind w:left="0" w:right="49" w:firstLine="0"/>
        <w:jc w:val="both"/>
        <w:rPr>
          <w:rFonts w:ascii="Palatino Linotype" w:hAnsi="Palatino Linotype" w:cs="Tahoma"/>
          <w:color w:val="000000" w:themeColor="text1"/>
          <w:sz w:val="24"/>
          <w:szCs w:val="24"/>
          <w:lang w:val="es-ES"/>
        </w:rPr>
      </w:pPr>
      <w:r w:rsidRPr="00CF7E48">
        <w:rPr>
          <w:rFonts w:ascii="Palatino Linotype" w:hAnsi="Palatino Linotype" w:cs="Tahoma"/>
          <w:color w:val="000000" w:themeColor="text1"/>
          <w:sz w:val="24"/>
          <w:szCs w:val="24"/>
          <w:lang w:val="es-ES"/>
        </w:rPr>
        <w:t>De manera preliminar en el caso concreto conviene analizar si se actualiza alguna de las causales de sobreseimiento del recurso de revisión.</w:t>
      </w:r>
    </w:p>
    <w:p w:rsidR="007009F8" w:rsidRPr="00CF7E48" w:rsidRDefault="0009455E" w:rsidP="00CF7E48">
      <w:pPr>
        <w:numPr>
          <w:ilvl w:val="0"/>
          <w:numId w:val="9"/>
        </w:numPr>
        <w:spacing w:after="0" w:line="360" w:lineRule="auto"/>
        <w:ind w:left="0" w:right="49" w:firstLine="0"/>
        <w:jc w:val="both"/>
        <w:rPr>
          <w:rFonts w:ascii="Palatino Linotype" w:eastAsia="Palatino Linotype" w:hAnsi="Palatino Linotype" w:cs="Palatino Linotype"/>
          <w:i/>
          <w:color w:val="000000" w:themeColor="text1"/>
          <w:sz w:val="24"/>
          <w:szCs w:val="24"/>
        </w:rPr>
      </w:pPr>
      <w:r w:rsidRPr="00CF7E48">
        <w:rPr>
          <w:rFonts w:ascii="Palatino Linotype" w:eastAsia="Palatino Linotype" w:hAnsi="Palatino Linotype" w:cs="Palatino Linotype"/>
          <w:color w:val="000000" w:themeColor="text1"/>
          <w:sz w:val="24"/>
          <w:szCs w:val="24"/>
        </w:rPr>
        <w:lastRenderedPageBreak/>
        <w:t>Ahora bien, resulta necesario precisar que dentro de los motivos de inconformidad, se arguyó “</w:t>
      </w:r>
      <w:r w:rsidRPr="00CF7E48">
        <w:rPr>
          <w:rFonts w:ascii="Palatino Linotype" w:eastAsia="Palatino Linotype" w:hAnsi="Palatino Linotype" w:cs="Palatino Linotype"/>
          <w:i/>
          <w:color w:val="000000" w:themeColor="text1"/>
          <w:sz w:val="24"/>
          <w:szCs w:val="24"/>
        </w:rPr>
        <w:t>con relación a la solicitud respecto al fundamento jurídico mencionan que los elementos de la Guardia Civil se encuentran baja un régimen jurídico especial, podrían mencionar cual es es régimen”,</w:t>
      </w:r>
      <w:r w:rsidRPr="00CF7E48">
        <w:rPr>
          <w:rFonts w:ascii="Palatino Linotype" w:eastAsia="Palatino Linotype" w:hAnsi="Palatino Linotype" w:cs="Palatino Linotype"/>
          <w:color w:val="000000" w:themeColor="text1"/>
          <w:sz w:val="24"/>
          <w:szCs w:val="24"/>
        </w:rPr>
        <w:t xml:space="preserve"> </w:t>
      </w:r>
      <w:r w:rsidR="007009F8" w:rsidRPr="00CF7E48">
        <w:rPr>
          <w:rFonts w:ascii="Palatino Linotype" w:eastAsia="Palatino Linotype" w:hAnsi="Palatino Linotype" w:cs="Palatino Linotype"/>
          <w:color w:val="000000" w:themeColor="text1"/>
          <w:sz w:val="24"/>
          <w:szCs w:val="24"/>
        </w:rPr>
        <w:t xml:space="preserve">y como razones y motivos de la inconformidad:  </w:t>
      </w:r>
      <w:r w:rsidR="007009F8" w:rsidRPr="00CF7E48">
        <w:rPr>
          <w:rFonts w:ascii="Palatino Linotype" w:eastAsia="Palatino Linotype" w:hAnsi="Palatino Linotype" w:cs="Palatino Linotype"/>
          <w:i/>
          <w:color w:val="000000" w:themeColor="text1"/>
          <w:sz w:val="24"/>
          <w:szCs w:val="24"/>
        </w:rPr>
        <w:t xml:space="preserve">el régimen que mencionas "especial" es autoritario y carece de fundamento, </w:t>
      </w:r>
      <w:r w:rsidR="007009F8" w:rsidRPr="00CF7E48">
        <w:rPr>
          <w:rFonts w:ascii="Palatino Linotype" w:eastAsia="Palatino Linotype" w:hAnsi="Palatino Linotype" w:cs="Palatino Linotype"/>
          <w:color w:val="000000" w:themeColor="text1"/>
          <w:sz w:val="24"/>
          <w:szCs w:val="24"/>
        </w:rPr>
        <w:t>d</w:t>
      </w:r>
      <w:r w:rsidR="007009F8" w:rsidRPr="00CF7E48">
        <w:rPr>
          <w:rFonts w:ascii="Palatino Linotype" w:eastAsia="Times New Roman" w:hAnsi="Palatino Linotype" w:cs="Palatino Linotype"/>
          <w:color w:val="000000" w:themeColor="text1"/>
          <w:sz w:val="24"/>
          <w:szCs w:val="24"/>
          <w:lang w:eastAsia="en-US"/>
        </w:rPr>
        <w:t xml:space="preserve">el resto de la información proporcionada no se advierte que exista inconformidad, por lo que se tiene como actos consentidos, de tal forma que, la parte de la solicitud que no fue impugnada debe declararse consentida, toda vez que al no realizar manifestaciones de inconformidad; no pueden producirse </w:t>
      </w:r>
      <w:r w:rsidR="007009F8" w:rsidRPr="00CF7E48">
        <w:rPr>
          <w:rFonts w:ascii="Palatino Linotype" w:eastAsia="Times New Roman" w:hAnsi="Palatino Linotype" w:cs="Arial"/>
          <w:color w:val="000000" w:themeColor="text1"/>
          <w:sz w:val="24"/>
          <w:szCs w:val="24"/>
        </w:rPr>
        <w:t>efectos</w:t>
      </w:r>
      <w:r w:rsidR="007009F8" w:rsidRPr="00CF7E48">
        <w:rPr>
          <w:rFonts w:ascii="Palatino Linotype" w:eastAsia="Times New Roman" w:hAnsi="Palatino Linotype" w:cs="Palatino Linotype"/>
          <w:color w:val="000000" w:themeColor="text1"/>
          <w:sz w:val="24"/>
          <w:szCs w:val="24"/>
          <w:lang w:eastAsia="en-US"/>
        </w:rPr>
        <w:t xml:space="preserve"> jurídicos tendentes a revocar, confirmar o modificar el acto reclamado, ya que no realizó manifestación alguna al respecto. </w:t>
      </w:r>
    </w:p>
    <w:p w:rsidR="007009F8" w:rsidRPr="00CF7E48" w:rsidRDefault="007009F8" w:rsidP="00CF7E48">
      <w:pPr>
        <w:ind w:right="49"/>
        <w:contextualSpacing/>
        <w:rPr>
          <w:rFonts w:ascii="Palatino Linotype" w:eastAsia="Times New Roman" w:hAnsi="Palatino Linotype" w:cs="Palatino Linotype"/>
          <w:color w:val="000000" w:themeColor="text1"/>
          <w:sz w:val="24"/>
          <w:szCs w:val="24"/>
        </w:rPr>
      </w:pPr>
    </w:p>
    <w:p w:rsidR="007009F8" w:rsidRPr="00CF7E48" w:rsidRDefault="007009F8" w:rsidP="00CF7E48">
      <w:pPr>
        <w:numPr>
          <w:ilvl w:val="0"/>
          <w:numId w:val="9"/>
        </w:numPr>
        <w:spacing w:after="0" w:line="360" w:lineRule="auto"/>
        <w:ind w:left="0" w:right="49" w:firstLine="0"/>
        <w:jc w:val="both"/>
        <w:rPr>
          <w:rFonts w:ascii="Palatino Linotype" w:eastAsia="Times New Roman" w:hAnsi="Palatino Linotype" w:cs="Palatino Linotype"/>
          <w:color w:val="000000" w:themeColor="text1"/>
          <w:sz w:val="24"/>
          <w:szCs w:val="24"/>
          <w:lang w:eastAsia="en-US"/>
        </w:rPr>
      </w:pPr>
      <w:r w:rsidRPr="00CF7E48">
        <w:rPr>
          <w:rFonts w:ascii="Palatino Linotype" w:eastAsia="Times New Roman" w:hAnsi="Palatino Linotype" w:cs="Palatino Linotype"/>
          <w:color w:val="000000" w:themeColor="text1"/>
          <w:sz w:val="24"/>
          <w:szCs w:val="24"/>
          <w:lang w:eastAsia="en-US"/>
        </w:rPr>
        <w:t>Sirve de sustento, la tesis jurisprudencial número VI.3o.C. J/60, publicada en el Semanario Judicial de la Federación y su Gaceta bajo el número de registro 176,608 que a la letra dice:</w:t>
      </w:r>
    </w:p>
    <w:p w:rsidR="007009F8" w:rsidRPr="00CF7E48" w:rsidRDefault="007009F8" w:rsidP="00CF7E48">
      <w:pPr>
        <w:tabs>
          <w:tab w:val="left" w:pos="851"/>
        </w:tabs>
        <w:spacing w:line="360" w:lineRule="auto"/>
        <w:ind w:right="49"/>
        <w:contextualSpacing/>
        <w:jc w:val="both"/>
        <w:rPr>
          <w:rFonts w:ascii="Palatino Linotype" w:eastAsia="Times New Roman" w:hAnsi="Palatino Linotype" w:cs="Palatino Linotype"/>
          <w:i/>
          <w:color w:val="000000" w:themeColor="text1"/>
          <w:sz w:val="24"/>
          <w:szCs w:val="24"/>
        </w:rPr>
      </w:pPr>
      <w:r w:rsidRPr="00CF7E48">
        <w:rPr>
          <w:rFonts w:ascii="Palatino Linotype" w:eastAsia="Times New Roman" w:hAnsi="Palatino Linotype" w:cs="Palatino Linotype"/>
          <w:b/>
          <w:i/>
          <w:color w:val="000000" w:themeColor="text1"/>
          <w:sz w:val="24"/>
          <w:szCs w:val="24"/>
        </w:rPr>
        <w:t xml:space="preserve">“ACTOS CONSENTIDOS. SON LOS QUE NO SE IMPUGNAN MEDIANTE EL RECURSO IDÓNEO. </w:t>
      </w:r>
      <w:r w:rsidRPr="00CF7E48">
        <w:rPr>
          <w:rFonts w:ascii="Palatino Linotype" w:eastAsia="Times New Roman" w:hAnsi="Palatino Linotype" w:cs="Palatino Linotype"/>
          <w:i/>
          <w:color w:val="000000" w:themeColor="text1"/>
          <w:sz w:val="24"/>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7009F8" w:rsidRPr="00CF7E48" w:rsidRDefault="007009F8" w:rsidP="00CF7E48">
      <w:pPr>
        <w:spacing w:line="360" w:lineRule="auto"/>
        <w:ind w:right="49"/>
        <w:contextualSpacing/>
        <w:jc w:val="both"/>
        <w:rPr>
          <w:rFonts w:ascii="Palatino Linotype" w:eastAsia="Times New Roman" w:hAnsi="Palatino Linotype" w:cs="Palatino Linotype"/>
          <w:color w:val="000000" w:themeColor="text1"/>
          <w:sz w:val="24"/>
          <w:szCs w:val="24"/>
        </w:rPr>
      </w:pPr>
    </w:p>
    <w:p w:rsidR="007009F8" w:rsidRPr="00CF7E48" w:rsidRDefault="007009F8" w:rsidP="00CF7E48">
      <w:pPr>
        <w:numPr>
          <w:ilvl w:val="0"/>
          <w:numId w:val="9"/>
        </w:numPr>
        <w:spacing w:after="0" w:line="360" w:lineRule="auto"/>
        <w:ind w:left="0" w:right="49" w:firstLine="0"/>
        <w:jc w:val="both"/>
        <w:rPr>
          <w:rFonts w:ascii="Palatino Linotype" w:eastAsia="Times New Roman" w:hAnsi="Palatino Linotype" w:cs="Palatino Linotype"/>
          <w:color w:val="000000" w:themeColor="text1"/>
          <w:sz w:val="24"/>
          <w:szCs w:val="24"/>
          <w:lang w:eastAsia="en-US"/>
        </w:rPr>
      </w:pPr>
      <w:r w:rsidRPr="00CF7E48">
        <w:rPr>
          <w:rFonts w:ascii="Palatino Linotype" w:eastAsia="Times New Roman" w:hAnsi="Palatino Linotype" w:cs="Palatino Linotype"/>
          <w:color w:val="000000" w:themeColor="text1"/>
          <w:sz w:val="24"/>
          <w:szCs w:val="24"/>
          <w:lang w:eastAsia="en-US"/>
        </w:rPr>
        <w:t xml:space="preserve">De la interpretación del criterio antes citado, se advierte que cuando el particular impugnó la respuesta del </w:t>
      </w:r>
      <w:r w:rsidRPr="00CF7E48">
        <w:rPr>
          <w:rFonts w:ascii="Palatino Linotype" w:eastAsia="Times New Roman" w:hAnsi="Palatino Linotype" w:cs="Palatino Linotype"/>
          <w:b/>
          <w:color w:val="000000" w:themeColor="text1"/>
          <w:sz w:val="24"/>
          <w:szCs w:val="24"/>
          <w:lang w:eastAsia="en-US"/>
        </w:rPr>
        <w:t>SUJETO OBLIGADO</w:t>
      </w:r>
      <w:r w:rsidRPr="00CF7E48">
        <w:rPr>
          <w:rFonts w:ascii="Palatino Linotype" w:eastAsia="Times New Roman" w:hAnsi="Palatino Linotype" w:cs="Palatino Linotype"/>
          <w:color w:val="000000" w:themeColor="text1"/>
          <w:sz w:val="24"/>
          <w:szCs w:val="24"/>
          <w:lang w:eastAsia="en-US"/>
        </w:rPr>
        <w:t xml:space="preserve">, no expresó razón o motivo de inconformidad en contra de todos los rubros solicitados, por tanto estos deben declararse </w:t>
      </w:r>
      <w:r w:rsidRPr="00CF7E48">
        <w:rPr>
          <w:rFonts w:ascii="Palatino Linotype" w:eastAsia="Times New Roman" w:hAnsi="Palatino Linotype" w:cs="Palatino Linotype"/>
          <w:color w:val="000000" w:themeColor="text1"/>
          <w:sz w:val="24"/>
          <w:szCs w:val="24"/>
          <w:lang w:eastAsia="en-US"/>
        </w:rPr>
        <w:lastRenderedPageBreak/>
        <w:t xml:space="preserve">atendidos, pues se entiende que </w:t>
      </w:r>
      <w:r w:rsidRPr="00CF7E48">
        <w:rPr>
          <w:rFonts w:ascii="Palatino Linotype" w:eastAsia="Times New Roman" w:hAnsi="Palatino Linotype" w:cs="Palatino Linotype"/>
          <w:b/>
          <w:color w:val="000000" w:themeColor="text1"/>
          <w:sz w:val="24"/>
          <w:szCs w:val="24"/>
          <w:lang w:eastAsia="en-US"/>
        </w:rPr>
        <w:t>EL RECURRENTE</w:t>
      </w:r>
      <w:r w:rsidRPr="00CF7E48">
        <w:rPr>
          <w:rFonts w:ascii="Palatino Linotype" w:eastAsia="Times New Roman" w:hAnsi="Palatino Linotype" w:cs="Palatino Linotype"/>
          <w:color w:val="000000" w:themeColor="text1"/>
          <w:sz w:val="24"/>
          <w:szCs w:val="24"/>
          <w:lang w:eastAsia="en-US"/>
        </w:rPr>
        <w:t xml:space="preserve"> está conforme con la respuesta proporcionada por </w:t>
      </w:r>
      <w:r w:rsidRPr="00CF7E48">
        <w:rPr>
          <w:rFonts w:ascii="Palatino Linotype" w:eastAsia="Times New Roman" w:hAnsi="Palatino Linotype" w:cs="Palatino Linotype"/>
          <w:b/>
          <w:color w:val="000000" w:themeColor="text1"/>
          <w:sz w:val="24"/>
          <w:szCs w:val="24"/>
          <w:lang w:eastAsia="en-US"/>
        </w:rPr>
        <w:t>EL SUJETO OBLIGADO,</w:t>
      </w:r>
      <w:r w:rsidRPr="00CF7E48">
        <w:rPr>
          <w:rFonts w:ascii="Palatino Linotype" w:eastAsia="Times New Roman" w:hAnsi="Palatino Linotype" w:cs="Palatino Linotype"/>
          <w:color w:val="000000" w:themeColor="text1"/>
          <w:sz w:val="24"/>
          <w:szCs w:val="24"/>
          <w:lang w:eastAsia="en-US"/>
        </w:rPr>
        <w:t xml:space="preserve"> al no contravenir la misma. </w:t>
      </w:r>
    </w:p>
    <w:p w:rsidR="007009F8" w:rsidRPr="00CF7E48" w:rsidRDefault="007009F8" w:rsidP="00CF7E48">
      <w:pPr>
        <w:spacing w:line="360" w:lineRule="auto"/>
        <w:ind w:right="49"/>
        <w:contextualSpacing/>
        <w:jc w:val="both"/>
        <w:rPr>
          <w:rFonts w:ascii="Palatino Linotype" w:eastAsia="Times New Roman" w:hAnsi="Palatino Linotype" w:cs="Palatino Linotype"/>
          <w:color w:val="000000" w:themeColor="text1"/>
          <w:sz w:val="24"/>
          <w:szCs w:val="24"/>
          <w:lang w:eastAsia="en-US"/>
        </w:rPr>
      </w:pPr>
    </w:p>
    <w:p w:rsidR="007009F8" w:rsidRPr="00CF7E48" w:rsidRDefault="007009F8" w:rsidP="00CF7E48">
      <w:pPr>
        <w:numPr>
          <w:ilvl w:val="0"/>
          <w:numId w:val="9"/>
        </w:numPr>
        <w:spacing w:after="0" w:line="360" w:lineRule="auto"/>
        <w:ind w:left="0" w:right="49" w:firstLine="0"/>
        <w:jc w:val="both"/>
        <w:rPr>
          <w:rFonts w:ascii="Palatino Linotype" w:eastAsia="Times New Roman" w:hAnsi="Palatino Linotype" w:cs="Palatino Linotype"/>
          <w:color w:val="000000" w:themeColor="text1"/>
          <w:sz w:val="24"/>
          <w:szCs w:val="24"/>
          <w:lang w:eastAsia="en-US"/>
        </w:rPr>
      </w:pPr>
      <w:r w:rsidRPr="00CF7E48">
        <w:rPr>
          <w:rFonts w:ascii="Palatino Linotype" w:eastAsia="Times New Roman" w:hAnsi="Palatino Linotype" w:cs="Palatino Linotype"/>
          <w:color w:val="000000" w:themeColor="text1"/>
          <w:sz w:val="24"/>
          <w:szCs w:val="24"/>
          <w:lang w:eastAsia="en-US"/>
        </w:rPr>
        <w:t>Atento a ello, es importante traer a contexto la Tesis Jurisprudencial Número 3ª./J.7/91, Publicada en el Semanario Judicial de la Federación y su Gaceta bajo el número de registro 174,177, que establece lo siguiente:</w:t>
      </w:r>
    </w:p>
    <w:p w:rsidR="007009F8" w:rsidRPr="00CF7E48" w:rsidRDefault="007009F8" w:rsidP="00CF7E48">
      <w:pPr>
        <w:tabs>
          <w:tab w:val="left" w:pos="7937"/>
          <w:tab w:val="left" w:pos="8222"/>
        </w:tabs>
        <w:spacing w:line="360" w:lineRule="auto"/>
        <w:ind w:right="49"/>
        <w:contextualSpacing/>
        <w:jc w:val="both"/>
        <w:rPr>
          <w:rFonts w:ascii="Palatino Linotype" w:eastAsia="Times New Roman" w:hAnsi="Palatino Linotype" w:cs="Palatino Linotype"/>
          <w:i/>
          <w:color w:val="000000" w:themeColor="text1"/>
          <w:sz w:val="24"/>
          <w:szCs w:val="24"/>
        </w:rPr>
      </w:pPr>
      <w:r w:rsidRPr="00CF7E48">
        <w:rPr>
          <w:rFonts w:ascii="Palatino Linotype" w:eastAsia="Times New Roman" w:hAnsi="Palatino Linotype" w:cs="Palatino Linotype"/>
          <w:b/>
          <w:i/>
          <w:color w:val="000000" w:themeColor="text1"/>
          <w:sz w:val="24"/>
          <w:szCs w:val="24"/>
        </w:rPr>
        <w:t xml:space="preserve">“REVISIÓN EN AMPARO. LOS RESOLUTIVOS NO COMBATIDOS DEBEN DECLARARSE FIRMES. </w:t>
      </w:r>
      <w:r w:rsidRPr="00CF7E48">
        <w:rPr>
          <w:rFonts w:ascii="Palatino Linotype" w:eastAsia="Times New Roman" w:hAnsi="Palatino Linotype" w:cs="Palatino Linotype"/>
          <w:i/>
          <w:color w:val="000000" w:themeColor="text1"/>
          <w:sz w:val="24"/>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7009F8" w:rsidRPr="00CF7E48" w:rsidRDefault="007009F8" w:rsidP="00CF7E48">
      <w:pPr>
        <w:spacing w:line="360" w:lineRule="auto"/>
        <w:ind w:right="49"/>
        <w:contextualSpacing/>
        <w:jc w:val="both"/>
        <w:rPr>
          <w:rFonts w:ascii="Palatino Linotype" w:hAnsi="Palatino Linotype"/>
          <w:i/>
          <w:color w:val="000000" w:themeColor="text1"/>
          <w:sz w:val="24"/>
          <w:szCs w:val="24"/>
          <w:lang w:val="es-ES"/>
        </w:rPr>
      </w:pPr>
    </w:p>
    <w:p w:rsidR="00D541CC" w:rsidRPr="00CF7E48" w:rsidRDefault="00170A5C" w:rsidP="00CF7E48">
      <w:pPr>
        <w:numPr>
          <w:ilvl w:val="0"/>
          <w:numId w:val="9"/>
        </w:numPr>
        <w:spacing w:after="0" w:line="360" w:lineRule="auto"/>
        <w:ind w:left="0" w:right="49" w:firstLine="0"/>
        <w:jc w:val="both"/>
        <w:rPr>
          <w:rFonts w:ascii="Palatino Linotype" w:eastAsia="Palatino Linotype" w:hAnsi="Palatino Linotype" w:cs="Palatino Linotype"/>
          <w:i/>
          <w:color w:val="000000" w:themeColor="text1"/>
          <w:sz w:val="24"/>
          <w:szCs w:val="24"/>
        </w:rPr>
      </w:pPr>
      <w:r w:rsidRPr="00CF7E48">
        <w:rPr>
          <w:rFonts w:ascii="Palatino Linotype" w:hAnsi="Palatino Linotype"/>
          <w:color w:val="000000" w:themeColor="text1"/>
          <w:sz w:val="24"/>
          <w:szCs w:val="24"/>
        </w:rPr>
        <w:t xml:space="preserve">Ahora bien, respecto de los motivos de inconformidad </w:t>
      </w:r>
      <w:r w:rsidR="00D541CC" w:rsidRPr="00CF7E48">
        <w:rPr>
          <w:rFonts w:ascii="Palatino Linotype" w:eastAsia="Palatino Linotype" w:hAnsi="Palatino Linotype" w:cs="Palatino Linotype"/>
          <w:color w:val="000000" w:themeColor="text1"/>
          <w:sz w:val="24"/>
          <w:szCs w:val="24"/>
        </w:rPr>
        <w:t>se refiere lo siguiente:</w:t>
      </w:r>
    </w:p>
    <w:p w:rsidR="00D541CC" w:rsidRPr="00CF7E48" w:rsidRDefault="00D541CC" w:rsidP="00CF7E48">
      <w:pPr>
        <w:spacing w:after="0" w:line="360" w:lineRule="auto"/>
        <w:ind w:right="49"/>
        <w:jc w:val="both"/>
        <w:rPr>
          <w:rFonts w:ascii="Palatino Linotype" w:eastAsia="Palatino Linotype" w:hAnsi="Palatino Linotype" w:cs="Palatino Linotype"/>
          <w:color w:val="000000" w:themeColor="text1"/>
          <w:sz w:val="24"/>
          <w:szCs w:val="24"/>
        </w:rPr>
      </w:pPr>
    </w:p>
    <w:tbl>
      <w:tblPr>
        <w:tblStyle w:val="Tablaconcuadrcula"/>
        <w:tblW w:w="9898" w:type="dxa"/>
        <w:jc w:val="center"/>
        <w:tblLook w:val="04A0" w:firstRow="1" w:lastRow="0" w:firstColumn="1" w:lastColumn="0" w:noHBand="0" w:noVBand="1"/>
      </w:tblPr>
      <w:tblGrid>
        <w:gridCol w:w="2207"/>
        <w:gridCol w:w="2750"/>
        <w:gridCol w:w="2976"/>
        <w:gridCol w:w="1965"/>
      </w:tblGrid>
      <w:tr w:rsidR="00CF7E48" w:rsidRPr="00CF7E48" w:rsidTr="00AC56EB">
        <w:trPr>
          <w:jc w:val="center"/>
        </w:trPr>
        <w:tc>
          <w:tcPr>
            <w:tcW w:w="2207" w:type="dxa"/>
            <w:shd w:val="clear" w:color="auto" w:fill="D5DCE4" w:themeFill="text2" w:themeFillTint="33"/>
            <w:vAlign w:val="center"/>
          </w:tcPr>
          <w:p w:rsidR="00D541CC" w:rsidRPr="00CF7E48" w:rsidRDefault="00D541CC" w:rsidP="00CF7E48">
            <w:pPr>
              <w:ind w:right="49"/>
              <w:jc w:val="center"/>
              <w:rPr>
                <w:rFonts w:ascii="Palatino Linotype" w:hAnsi="Palatino Linotype"/>
                <w:b/>
                <w:color w:val="000000" w:themeColor="text1"/>
                <w:sz w:val="24"/>
                <w:szCs w:val="24"/>
              </w:rPr>
            </w:pPr>
            <w:r w:rsidRPr="00CF7E48">
              <w:rPr>
                <w:rFonts w:ascii="Palatino Linotype" w:hAnsi="Palatino Linotype"/>
                <w:b/>
                <w:color w:val="000000" w:themeColor="text1"/>
                <w:sz w:val="24"/>
                <w:szCs w:val="24"/>
              </w:rPr>
              <w:t>Solicitud</w:t>
            </w:r>
          </w:p>
        </w:tc>
        <w:tc>
          <w:tcPr>
            <w:tcW w:w="2750" w:type="dxa"/>
            <w:shd w:val="clear" w:color="auto" w:fill="D5DCE4" w:themeFill="text2" w:themeFillTint="33"/>
            <w:vAlign w:val="center"/>
          </w:tcPr>
          <w:p w:rsidR="00D541CC" w:rsidRPr="00CF7E48" w:rsidRDefault="00D541CC" w:rsidP="00CF7E48">
            <w:pPr>
              <w:ind w:right="49"/>
              <w:jc w:val="center"/>
              <w:rPr>
                <w:rFonts w:ascii="Palatino Linotype" w:hAnsi="Palatino Linotype"/>
                <w:b/>
                <w:color w:val="000000" w:themeColor="text1"/>
                <w:sz w:val="24"/>
                <w:szCs w:val="24"/>
              </w:rPr>
            </w:pPr>
            <w:r w:rsidRPr="00CF7E48">
              <w:rPr>
                <w:rFonts w:ascii="Palatino Linotype" w:hAnsi="Palatino Linotype"/>
                <w:b/>
                <w:color w:val="000000" w:themeColor="text1"/>
                <w:sz w:val="24"/>
                <w:szCs w:val="24"/>
              </w:rPr>
              <w:t>Respuesta</w:t>
            </w:r>
          </w:p>
        </w:tc>
        <w:tc>
          <w:tcPr>
            <w:tcW w:w="2976" w:type="dxa"/>
            <w:shd w:val="clear" w:color="auto" w:fill="D5DCE4" w:themeFill="text2" w:themeFillTint="33"/>
            <w:vAlign w:val="center"/>
          </w:tcPr>
          <w:p w:rsidR="00D541CC" w:rsidRPr="00CF7E48" w:rsidRDefault="00170A5C" w:rsidP="00CF7E48">
            <w:pPr>
              <w:ind w:right="49"/>
              <w:jc w:val="center"/>
              <w:rPr>
                <w:rFonts w:ascii="Palatino Linotype" w:hAnsi="Palatino Linotype"/>
                <w:b/>
                <w:color w:val="000000" w:themeColor="text1"/>
                <w:sz w:val="24"/>
                <w:szCs w:val="24"/>
              </w:rPr>
            </w:pPr>
            <w:r w:rsidRPr="00CF7E48">
              <w:rPr>
                <w:rFonts w:ascii="Palatino Linotype" w:hAnsi="Palatino Linotype"/>
                <w:b/>
                <w:color w:val="000000" w:themeColor="text1"/>
                <w:sz w:val="24"/>
                <w:szCs w:val="24"/>
              </w:rPr>
              <w:t>Inconformidad</w:t>
            </w:r>
          </w:p>
        </w:tc>
        <w:tc>
          <w:tcPr>
            <w:tcW w:w="1965" w:type="dxa"/>
            <w:shd w:val="clear" w:color="auto" w:fill="D5DCE4" w:themeFill="text2" w:themeFillTint="33"/>
            <w:vAlign w:val="center"/>
          </w:tcPr>
          <w:p w:rsidR="00D541CC" w:rsidRPr="00CF7E48" w:rsidRDefault="00170A5C" w:rsidP="00CF7E48">
            <w:pPr>
              <w:ind w:right="49"/>
              <w:jc w:val="center"/>
              <w:rPr>
                <w:rFonts w:ascii="Palatino Linotype" w:hAnsi="Palatino Linotype"/>
                <w:b/>
                <w:color w:val="000000" w:themeColor="text1"/>
                <w:sz w:val="24"/>
                <w:szCs w:val="24"/>
              </w:rPr>
            </w:pPr>
            <w:r w:rsidRPr="00CF7E48">
              <w:rPr>
                <w:rFonts w:ascii="Palatino Linotype" w:hAnsi="Palatino Linotype"/>
                <w:b/>
                <w:color w:val="000000" w:themeColor="text1"/>
                <w:sz w:val="24"/>
                <w:szCs w:val="24"/>
              </w:rPr>
              <w:t>Informe Justificado</w:t>
            </w:r>
          </w:p>
        </w:tc>
      </w:tr>
      <w:tr w:rsidR="00CF7E48" w:rsidRPr="00CF7E48" w:rsidTr="00AC56EB">
        <w:trPr>
          <w:jc w:val="center"/>
        </w:trPr>
        <w:tc>
          <w:tcPr>
            <w:tcW w:w="2207" w:type="dxa"/>
            <w:vAlign w:val="center"/>
          </w:tcPr>
          <w:p w:rsidR="00D541CC" w:rsidRPr="00CF7E48" w:rsidRDefault="00D541CC" w:rsidP="00CF7E48">
            <w:pPr>
              <w:ind w:right="49"/>
              <w:jc w:val="both"/>
              <w:rPr>
                <w:rFonts w:ascii="Palatino Linotype" w:hAnsi="Palatino Linotype"/>
                <w:color w:val="000000" w:themeColor="text1"/>
                <w:sz w:val="24"/>
                <w:szCs w:val="24"/>
              </w:rPr>
            </w:pPr>
          </w:p>
          <w:p w:rsidR="00D541CC" w:rsidRPr="00CF7E48" w:rsidRDefault="00170A5C" w:rsidP="00CF7E48">
            <w:pPr>
              <w:ind w:right="49"/>
              <w:jc w:val="both"/>
              <w:rPr>
                <w:rFonts w:ascii="Palatino Linotype" w:hAnsi="Palatino Linotype"/>
                <w:color w:val="000000" w:themeColor="text1"/>
                <w:sz w:val="24"/>
                <w:szCs w:val="24"/>
              </w:rPr>
            </w:pPr>
            <w:r w:rsidRPr="00CF7E48">
              <w:rPr>
                <w:rFonts w:ascii="Palatino Linotype" w:hAnsi="Palatino Linotype"/>
                <w:color w:val="000000" w:themeColor="text1"/>
                <w:sz w:val="24"/>
                <w:szCs w:val="24"/>
              </w:rPr>
              <w:t xml:space="preserve">1. Fundamento normativo: ¿En qué ley, reglamento municipal, código reglamentario o disposición oficial se establece el </w:t>
            </w:r>
            <w:r w:rsidRPr="00CF7E48">
              <w:rPr>
                <w:rFonts w:ascii="Palatino Linotype" w:hAnsi="Palatino Linotype"/>
                <w:color w:val="000000" w:themeColor="text1"/>
                <w:sz w:val="24"/>
                <w:szCs w:val="24"/>
              </w:rPr>
              <w:lastRenderedPageBreak/>
              <w:t>procedimiento mediante el cual un elemento de la Guardia Civil, al faltar a su turno, puede ser fatigado en otro turno y, en caso de no presentarse, se le registre una segunda falta con el consecuente doble descuento salarial? Asimismo, ¿bajo qué norma se contempla la posibilidad de imponer arresto por dicha situación? </w:t>
            </w:r>
          </w:p>
        </w:tc>
        <w:tc>
          <w:tcPr>
            <w:tcW w:w="2750" w:type="dxa"/>
            <w:vAlign w:val="center"/>
          </w:tcPr>
          <w:p w:rsidR="00D541CC" w:rsidRPr="00CF7E48" w:rsidRDefault="00D541CC" w:rsidP="00CF7E48">
            <w:pPr>
              <w:ind w:right="49"/>
              <w:rPr>
                <w:rFonts w:ascii="Palatino Linotype" w:hAnsi="Palatino Linotype"/>
                <w:b/>
                <w:color w:val="000000" w:themeColor="text1"/>
                <w:sz w:val="24"/>
                <w:szCs w:val="24"/>
              </w:rPr>
            </w:pPr>
          </w:p>
          <w:p w:rsidR="00D541CC" w:rsidRPr="00CF7E48" w:rsidRDefault="00170A5C" w:rsidP="00CF7E48">
            <w:pPr>
              <w:ind w:right="49"/>
              <w:jc w:val="both"/>
              <w:rPr>
                <w:rFonts w:ascii="Palatino Linotype" w:hAnsi="Palatino Linotype"/>
                <w:i/>
                <w:color w:val="000000" w:themeColor="text1"/>
                <w:sz w:val="24"/>
                <w:szCs w:val="24"/>
              </w:rPr>
            </w:pPr>
            <w:r w:rsidRPr="00CF7E48">
              <w:rPr>
                <w:rFonts w:ascii="Palatino Linotype" w:hAnsi="Palatino Linotype"/>
                <w:i/>
                <w:color w:val="000000" w:themeColor="text1"/>
                <w:sz w:val="24"/>
                <w:szCs w:val="24"/>
              </w:rPr>
              <w:t xml:space="preserve">sobre el particular le informo que respecto a ese requerimiento de información, la información solicitada es la siguiente: 1. Fundamento normativo para asignación de fatigas </w:t>
            </w:r>
            <w:r w:rsidRPr="00CF7E48">
              <w:rPr>
                <w:rFonts w:ascii="Palatino Linotype" w:hAnsi="Palatino Linotype"/>
                <w:i/>
                <w:color w:val="000000" w:themeColor="text1"/>
                <w:sz w:val="24"/>
                <w:szCs w:val="24"/>
              </w:rPr>
              <w:lastRenderedPageBreak/>
              <w:t xml:space="preserve">extraordinarias y aplicación de sanciones por inasistencias El personal operativo de la Guardia Civil Tecámac se encuentra sujeto a un régimen jurídico especial, en virtud del carácter de su función pública. La asignación de fatigas extraordinarias, así como la aplicación de medidas administrativas ante inasistencias injustificadas o incumplimiento de funciones, se encuentra regulada por disposiciones de orden público contenidas en: • Ley General del Sistema Nacional de Seguridad Pública • Ley de Seguridad del Estado de México • Código Reglamentario Municipal de Tecámac Dichas normas establecen obligaciones de disciplina y cumplimiento del servicio, las cuales no requieren aceptación individual ni están sujetas a voluntad del servidor público para su validez o aplicación. </w:t>
            </w:r>
          </w:p>
          <w:p w:rsidR="00D541CC" w:rsidRPr="00CF7E48" w:rsidRDefault="00D541CC" w:rsidP="00CF7E48">
            <w:pPr>
              <w:ind w:right="49"/>
              <w:jc w:val="both"/>
              <w:rPr>
                <w:rFonts w:ascii="Palatino Linotype" w:hAnsi="Palatino Linotype"/>
                <w:color w:val="000000" w:themeColor="text1"/>
                <w:sz w:val="24"/>
                <w:szCs w:val="24"/>
              </w:rPr>
            </w:pPr>
          </w:p>
          <w:p w:rsidR="00D541CC" w:rsidRPr="00CF7E48" w:rsidRDefault="00D541CC" w:rsidP="00CF7E48">
            <w:pPr>
              <w:ind w:right="49"/>
              <w:jc w:val="both"/>
              <w:rPr>
                <w:rFonts w:ascii="Palatino Linotype" w:hAnsi="Palatino Linotype"/>
                <w:color w:val="000000" w:themeColor="text1"/>
                <w:sz w:val="24"/>
                <w:szCs w:val="24"/>
              </w:rPr>
            </w:pPr>
          </w:p>
          <w:p w:rsidR="00D541CC" w:rsidRPr="00CF7E48" w:rsidRDefault="00D541CC" w:rsidP="00CF7E48">
            <w:pPr>
              <w:ind w:right="49"/>
              <w:jc w:val="both"/>
              <w:rPr>
                <w:rFonts w:ascii="Palatino Linotype" w:hAnsi="Palatino Linotype"/>
                <w:color w:val="000000" w:themeColor="text1"/>
                <w:sz w:val="24"/>
                <w:szCs w:val="24"/>
              </w:rPr>
            </w:pPr>
          </w:p>
          <w:p w:rsidR="00D541CC" w:rsidRPr="00CF7E48" w:rsidRDefault="00D541CC" w:rsidP="00CF7E48">
            <w:pPr>
              <w:ind w:right="49"/>
              <w:jc w:val="both"/>
              <w:rPr>
                <w:rFonts w:ascii="Palatino Linotype" w:hAnsi="Palatino Linotype"/>
                <w:color w:val="000000" w:themeColor="text1"/>
                <w:sz w:val="24"/>
                <w:szCs w:val="24"/>
              </w:rPr>
            </w:pPr>
          </w:p>
        </w:tc>
        <w:tc>
          <w:tcPr>
            <w:tcW w:w="2976" w:type="dxa"/>
            <w:vAlign w:val="center"/>
          </w:tcPr>
          <w:p w:rsidR="00D541CC" w:rsidRPr="00CF7E48" w:rsidRDefault="00D541CC" w:rsidP="00CF7E48">
            <w:pPr>
              <w:ind w:right="49"/>
              <w:rPr>
                <w:rStyle w:val="Hipervnculo"/>
                <w:rFonts w:ascii="Palatino Linotype" w:hAnsi="Palatino Linotype"/>
                <w:b/>
                <w:bCs/>
                <w:color w:val="000000" w:themeColor="text1"/>
                <w:sz w:val="24"/>
                <w:szCs w:val="24"/>
              </w:rPr>
            </w:pPr>
          </w:p>
          <w:p w:rsidR="00170A5C" w:rsidRPr="00CF7E48" w:rsidRDefault="00170A5C" w:rsidP="00CF7E48">
            <w:pPr>
              <w:ind w:right="49"/>
              <w:jc w:val="both"/>
              <w:rPr>
                <w:rFonts w:ascii="Palatino Linotype" w:hAnsi="Palatino Linotype"/>
                <w:color w:val="000000" w:themeColor="text1"/>
                <w:sz w:val="24"/>
                <w:szCs w:val="24"/>
              </w:rPr>
            </w:pPr>
            <w:r w:rsidRPr="00CF7E48">
              <w:rPr>
                <w:rFonts w:ascii="Palatino Linotype" w:hAnsi="Palatino Linotype"/>
                <w:color w:val="000000" w:themeColor="text1"/>
                <w:sz w:val="24"/>
                <w:szCs w:val="24"/>
              </w:rPr>
              <w:t>●</w:t>
            </w:r>
            <w:r w:rsidRPr="00CF7E48">
              <w:rPr>
                <w:rFonts w:ascii="Palatino Linotype" w:hAnsi="Palatino Linotype"/>
                <w:color w:val="000000" w:themeColor="text1"/>
                <w:sz w:val="24"/>
                <w:szCs w:val="24"/>
              </w:rPr>
              <w:tab/>
            </w:r>
            <w:r w:rsidRPr="00CF7E48">
              <w:rPr>
                <w:rFonts w:ascii="Palatino Linotype" w:hAnsi="Palatino Linotype"/>
                <w:b/>
                <w:color w:val="000000" w:themeColor="text1"/>
                <w:sz w:val="24"/>
                <w:szCs w:val="24"/>
              </w:rPr>
              <w:t xml:space="preserve">Acto impugnado: </w:t>
            </w:r>
            <w:r w:rsidRPr="00CF7E48">
              <w:rPr>
                <w:rFonts w:ascii="Palatino Linotype" w:hAnsi="Palatino Linotype"/>
                <w:i/>
                <w:color w:val="000000" w:themeColor="text1"/>
                <w:sz w:val="24"/>
                <w:szCs w:val="24"/>
              </w:rPr>
              <w:t xml:space="preserve">“con relación a la solicitud respecto al fundamento jurídico mencionan que los elementos de la Guardia Civil se encuentran baja un régimen jurídico especial, </w:t>
            </w:r>
            <w:r w:rsidRPr="00CF7E48">
              <w:rPr>
                <w:rFonts w:ascii="Palatino Linotype" w:hAnsi="Palatino Linotype"/>
                <w:i/>
                <w:color w:val="000000" w:themeColor="text1"/>
                <w:sz w:val="24"/>
                <w:szCs w:val="24"/>
              </w:rPr>
              <w:lastRenderedPageBreak/>
              <w:t>podrían mencionar cual es es régimen”</w:t>
            </w:r>
          </w:p>
          <w:p w:rsidR="00170A5C" w:rsidRPr="00CF7E48" w:rsidRDefault="00170A5C" w:rsidP="00CF7E48">
            <w:pPr>
              <w:ind w:right="49"/>
              <w:jc w:val="both"/>
              <w:rPr>
                <w:rFonts w:ascii="Palatino Linotype" w:hAnsi="Palatino Linotype"/>
                <w:color w:val="000000" w:themeColor="text1"/>
                <w:sz w:val="24"/>
                <w:szCs w:val="24"/>
              </w:rPr>
            </w:pPr>
          </w:p>
          <w:p w:rsidR="00D541CC" w:rsidRPr="00CF7E48" w:rsidRDefault="00170A5C" w:rsidP="00CF7E48">
            <w:pPr>
              <w:ind w:right="49"/>
              <w:jc w:val="both"/>
              <w:rPr>
                <w:rFonts w:ascii="Palatino Linotype" w:hAnsi="Palatino Linotype"/>
                <w:color w:val="000000" w:themeColor="text1"/>
                <w:sz w:val="24"/>
                <w:szCs w:val="24"/>
              </w:rPr>
            </w:pPr>
            <w:r w:rsidRPr="00CF7E48">
              <w:rPr>
                <w:rFonts w:ascii="Palatino Linotype" w:hAnsi="Palatino Linotype"/>
                <w:color w:val="000000" w:themeColor="text1"/>
                <w:sz w:val="24"/>
                <w:szCs w:val="24"/>
              </w:rPr>
              <w:t>●</w:t>
            </w:r>
            <w:r w:rsidRPr="00CF7E48">
              <w:rPr>
                <w:rFonts w:ascii="Palatino Linotype" w:hAnsi="Palatino Linotype"/>
                <w:color w:val="000000" w:themeColor="text1"/>
                <w:sz w:val="24"/>
                <w:szCs w:val="24"/>
              </w:rPr>
              <w:tab/>
            </w:r>
            <w:r w:rsidRPr="00CF7E48">
              <w:rPr>
                <w:rFonts w:ascii="Palatino Linotype" w:hAnsi="Palatino Linotype"/>
                <w:b/>
                <w:color w:val="000000" w:themeColor="text1"/>
                <w:sz w:val="24"/>
                <w:szCs w:val="24"/>
              </w:rPr>
              <w:t>Razones o Motivos de inconformidad:</w:t>
            </w:r>
            <w:r w:rsidRPr="00CF7E48">
              <w:rPr>
                <w:rFonts w:ascii="Palatino Linotype" w:hAnsi="Palatino Linotype"/>
                <w:color w:val="000000" w:themeColor="text1"/>
                <w:sz w:val="24"/>
                <w:szCs w:val="24"/>
              </w:rPr>
              <w:t xml:space="preserve"> </w:t>
            </w:r>
            <w:r w:rsidRPr="00CF7E48">
              <w:rPr>
                <w:rFonts w:ascii="Palatino Linotype" w:hAnsi="Palatino Linotype"/>
                <w:i/>
                <w:color w:val="000000" w:themeColor="text1"/>
                <w:sz w:val="24"/>
                <w:szCs w:val="24"/>
              </w:rPr>
              <w:t>“el régimen que mencionas "especial" es autoritario y carece de fundamento</w:t>
            </w:r>
          </w:p>
        </w:tc>
        <w:tc>
          <w:tcPr>
            <w:tcW w:w="1965" w:type="dxa"/>
            <w:vAlign w:val="center"/>
          </w:tcPr>
          <w:p w:rsidR="00D541CC" w:rsidRPr="00CF7E48" w:rsidRDefault="00D541CC" w:rsidP="00CF7E48">
            <w:pPr>
              <w:ind w:right="49"/>
              <w:rPr>
                <w:rFonts w:ascii="Palatino Linotype" w:hAnsi="Palatino Linotype"/>
                <w:color w:val="000000" w:themeColor="text1"/>
                <w:sz w:val="24"/>
                <w:szCs w:val="24"/>
              </w:rPr>
            </w:pPr>
          </w:p>
          <w:p w:rsidR="00D541CC" w:rsidRPr="00CF7E48" w:rsidRDefault="00D541CC" w:rsidP="00CF7E48">
            <w:pPr>
              <w:ind w:right="49"/>
              <w:rPr>
                <w:rFonts w:ascii="Palatino Linotype" w:hAnsi="Palatino Linotype"/>
                <w:color w:val="000000" w:themeColor="text1"/>
                <w:sz w:val="24"/>
                <w:szCs w:val="24"/>
              </w:rPr>
            </w:pPr>
          </w:p>
          <w:p w:rsidR="00D541CC" w:rsidRPr="00CF7E48" w:rsidRDefault="00D541CC" w:rsidP="00CF7E48">
            <w:pPr>
              <w:spacing w:line="276" w:lineRule="auto"/>
              <w:ind w:right="49"/>
              <w:rPr>
                <w:rFonts w:ascii="Palatino Linotype" w:hAnsi="Palatino Linotype"/>
                <w:color w:val="000000" w:themeColor="text1"/>
                <w:sz w:val="24"/>
                <w:szCs w:val="24"/>
              </w:rPr>
            </w:pPr>
          </w:p>
          <w:p w:rsidR="00B51538" w:rsidRPr="00CF7E48" w:rsidRDefault="00B51538" w:rsidP="00CF7E48">
            <w:pPr>
              <w:spacing w:line="276" w:lineRule="auto"/>
              <w:ind w:right="49"/>
              <w:jc w:val="both"/>
              <w:rPr>
                <w:rFonts w:ascii="Palatino Linotype" w:hAnsi="Palatino Linotype"/>
                <w:color w:val="000000" w:themeColor="text1"/>
                <w:sz w:val="24"/>
                <w:szCs w:val="24"/>
              </w:rPr>
            </w:pPr>
            <w:r w:rsidRPr="00CF7E48">
              <w:rPr>
                <w:rFonts w:ascii="Palatino Linotype" w:hAnsi="Palatino Linotype"/>
                <w:color w:val="000000" w:themeColor="text1"/>
                <w:sz w:val="24"/>
                <w:szCs w:val="24"/>
              </w:rPr>
              <w:t>La</w:t>
            </w:r>
            <w:r w:rsidR="00170A5C" w:rsidRPr="00CF7E48">
              <w:rPr>
                <w:rFonts w:ascii="Palatino Linotype" w:hAnsi="Palatino Linotype"/>
                <w:color w:val="000000" w:themeColor="text1"/>
                <w:sz w:val="24"/>
                <w:szCs w:val="24"/>
              </w:rPr>
              <w:t xml:space="preserve"> Comisionada de la Guardia Civil, </w:t>
            </w:r>
            <w:r w:rsidRPr="00CF7E48">
              <w:rPr>
                <w:rFonts w:ascii="Palatino Linotype" w:hAnsi="Palatino Linotype"/>
                <w:color w:val="000000" w:themeColor="text1"/>
                <w:sz w:val="24"/>
                <w:szCs w:val="24"/>
              </w:rPr>
              <w:t>informó lo siguiente:</w:t>
            </w:r>
          </w:p>
          <w:p w:rsidR="00B51538" w:rsidRPr="00CF7E48" w:rsidRDefault="00B51538" w:rsidP="00CF7E48">
            <w:pPr>
              <w:spacing w:line="276" w:lineRule="auto"/>
              <w:ind w:right="49"/>
              <w:jc w:val="both"/>
              <w:rPr>
                <w:rFonts w:ascii="Palatino Linotype" w:hAnsi="Palatino Linotype"/>
                <w:color w:val="000000" w:themeColor="text1"/>
                <w:sz w:val="24"/>
                <w:szCs w:val="24"/>
              </w:rPr>
            </w:pPr>
          </w:p>
          <w:p w:rsidR="00B51538" w:rsidRPr="00CF7E48" w:rsidRDefault="00B51538" w:rsidP="00CF7E48">
            <w:pPr>
              <w:spacing w:line="276" w:lineRule="auto"/>
              <w:ind w:right="49"/>
              <w:jc w:val="both"/>
              <w:rPr>
                <w:rFonts w:ascii="Palatino Linotype" w:hAnsi="Palatino Linotype"/>
                <w:color w:val="000000" w:themeColor="text1"/>
                <w:sz w:val="24"/>
                <w:szCs w:val="24"/>
              </w:rPr>
            </w:pPr>
          </w:p>
          <w:p w:rsidR="00B51538" w:rsidRPr="00CF7E48" w:rsidRDefault="00B51538" w:rsidP="00CF7E48">
            <w:pPr>
              <w:spacing w:line="276" w:lineRule="auto"/>
              <w:ind w:right="49"/>
              <w:jc w:val="both"/>
              <w:rPr>
                <w:rFonts w:ascii="Palatino Linotype" w:hAnsi="Palatino Linotype"/>
                <w:i/>
                <w:color w:val="000000" w:themeColor="text1"/>
                <w:sz w:val="24"/>
                <w:szCs w:val="24"/>
              </w:rPr>
            </w:pPr>
            <w:r w:rsidRPr="00CF7E48">
              <w:rPr>
                <w:rFonts w:ascii="Palatino Linotype" w:hAnsi="Palatino Linotype"/>
                <w:color w:val="000000" w:themeColor="text1"/>
                <w:sz w:val="24"/>
                <w:szCs w:val="24"/>
              </w:rPr>
              <w:t>“</w:t>
            </w:r>
            <w:r w:rsidRPr="00CF7E48">
              <w:rPr>
                <w:rFonts w:ascii="Palatino Linotype" w:hAnsi="Palatino Linotype"/>
                <w:i/>
                <w:color w:val="000000" w:themeColor="text1"/>
                <w:sz w:val="24"/>
                <w:szCs w:val="24"/>
              </w:rPr>
              <w:t xml:space="preserve">Asi las cosas, a juicio del solicitante hoy recurrente, la respuesta obsequiada es autoritaria y carece de fundamento jurídico, sin embargo, la Constitución Política de los Estados Unidos Mexicanos en su artículo 21, la Ley General del Sistema Nacional de Seguridad Pública en su artículo 2, Ley de Seguridad del Estado de México en su articulo 100, el Bando Municipal vigente para el municipio de Tecámac en su </w:t>
            </w:r>
            <w:r w:rsidRPr="00CF7E48">
              <w:rPr>
                <w:rFonts w:ascii="Palatino Linotype" w:hAnsi="Palatino Linotype"/>
                <w:i/>
                <w:color w:val="000000" w:themeColor="text1"/>
                <w:sz w:val="24"/>
                <w:szCs w:val="24"/>
              </w:rPr>
              <w:lastRenderedPageBreak/>
              <w:t>artículo 47 y el Código Reglamentario Municipal de Tecámac en su artículo 2.286, establecen de manera puntual las obligaciones de los elementos de Seguridad Pública y concretamente respecto a elementos de la Guardia Civil de Tecamac.</w:t>
            </w:r>
          </w:p>
          <w:p w:rsidR="00B51538" w:rsidRPr="00CF7E48" w:rsidRDefault="00B51538" w:rsidP="00CF7E48">
            <w:pPr>
              <w:spacing w:line="276" w:lineRule="auto"/>
              <w:ind w:right="49"/>
              <w:jc w:val="both"/>
              <w:rPr>
                <w:rFonts w:ascii="Palatino Linotype" w:hAnsi="Palatino Linotype"/>
                <w:i/>
                <w:color w:val="000000" w:themeColor="text1"/>
                <w:sz w:val="24"/>
                <w:szCs w:val="24"/>
              </w:rPr>
            </w:pPr>
          </w:p>
          <w:p w:rsidR="00B51538" w:rsidRPr="00CF7E48" w:rsidRDefault="00B51538" w:rsidP="00CF7E48">
            <w:pPr>
              <w:spacing w:line="276" w:lineRule="auto"/>
              <w:ind w:right="49"/>
              <w:jc w:val="both"/>
              <w:rPr>
                <w:rFonts w:ascii="Palatino Linotype" w:hAnsi="Palatino Linotype"/>
                <w:b/>
                <w:i/>
                <w:color w:val="000000" w:themeColor="text1"/>
                <w:sz w:val="24"/>
                <w:szCs w:val="24"/>
              </w:rPr>
            </w:pPr>
            <w:r w:rsidRPr="00CF7E48">
              <w:rPr>
                <w:rFonts w:ascii="Palatino Linotype" w:hAnsi="Palatino Linotype"/>
                <w:i/>
                <w:color w:val="000000" w:themeColor="text1"/>
                <w:sz w:val="24"/>
                <w:szCs w:val="24"/>
              </w:rPr>
              <w:t xml:space="preserve">Por ello, el régimen especial al que pertenecen los elementos de seguridad pública de manera enunciativa mas no limitativa es de </w:t>
            </w:r>
            <w:r w:rsidRPr="00CF7E48">
              <w:rPr>
                <w:rFonts w:ascii="Palatino Linotype" w:hAnsi="Palatino Linotype"/>
                <w:b/>
                <w:i/>
                <w:color w:val="000000" w:themeColor="text1"/>
                <w:sz w:val="24"/>
                <w:szCs w:val="24"/>
              </w:rPr>
              <w:t>Garante,</w:t>
            </w:r>
            <w:r w:rsidRPr="00CF7E48">
              <w:rPr>
                <w:rFonts w:ascii="Palatino Linotype" w:hAnsi="Palatino Linotype"/>
                <w:i/>
                <w:color w:val="000000" w:themeColor="text1"/>
                <w:sz w:val="24"/>
                <w:szCs w:val="24"/>
              </w:rPr>
              <w:t xml:space="preserve"> esto es, salvaguardar la vida, los derechos, la integridad y el </w:t>
            </w:r>
            <w:r w:rsidRPr="00CF7E48">
              <w:rPr>
                <w:rFonts w:ascii="Palatino Linotype" w:hAnsi="Palatino Linotype"/>
                <w:i/>
                <w:color w:val="000000" w:themeColor="text1"/>
                <w:sz w:val="24"/>
                <w:szCs w:val="24"/>
              </w:rPr>
              <w:lastRenderedPageBreak/>
              <w:t>patrimonio de las personas, así como preservar las libertades, el orden público y la paz social, en el ámbito de las respectivas competencias establecidas en la Constitución Política de los Estados Unidos Mexicanos, comprendiendo aspectos como la prevención, investigación y persecución de los delitos, la reinserción social de las personas sentenciadas, así como la sanción de las infracciones administrativas.”</w:t>
            </w:r>
          </w:p>
          <w:p w:rsidR="00D541CC" w:rsidRPr="00CF7E48" w:rsidRDefault="00D541CC" w:rsidP="00CF7E48">
            <w:pPr>
              <w:spacing w:line="276" w:lineRule="auto"/>
              <w:ind w:right="49"/>
              <w:rPr>
                <w:rFonts w:ascii="Palatino Linotype" w:hAnsi="Palatino Linotype"/>
                <w:b/>
                <w:color w:val="000000" w:themeColor="text1"/>
                <w:sz w:val="24"/>
                <w:szCs w:val="24"/>
              </w:rPr>
            </w:pPr>
          </w:p>
        </w:tc>
      </w:tr>
    </w:tbl>
    <w:p w:rsidR="00435854" w:rsidRPr="00CF7E48" w:rsidRDefault="00435854" w:rsidP="00CF7E48">
      <w:pPr>
        <w:spacing w:after="0" w:line="360" w:lineRule="auto"/>
        <w:ind w:right="49"/>
        <w:jc w:val="both"/>
        <w:rPr>
          <w:rFonts w:ascii="Palatino Linotype" w:eastAsia="Palatino Linotype" w:hAnsi="Palatino Linotype" w:cs="Palatino Linotype"/>
          <w:color w:val="000000" w:themeColor="text1"/>
          <w:sz w:val="24"/>
          <w:szCs w:val="24"/>
        </w:rPr>
      </w:pPr>
    </w:p>
    <w:p w:rsidR="00B51538" w:rsidRPr="00CF7E48" w:rsidRDefault="00D541CC" w:rsidP="00CF7E48">
      <w:pPr>
        <w:numPr>
          <w:ilvl w:val="0"/>
          <w:numId w:val="9"/>
        </w:numPr>
        <w:spacing w:after="0" w:line="360" w:lineRule="auto"/>
        <w:ind w:left="0" w:right="49" w:firstLine="0"/>
        <w:jc w:val="both"/>
        <w:rPr>
          <w:rFonts w:ascii="Palatino Linotype" w:hAnsi="Palatino Linotype" w:cs="Arial"/>
          <w:color w:val="000000" w:themeColor="text1"/>
          <w:sz w:val="24"/>
          <w:szCs w:val="24"/>
        </w:rPr>
      </w:pPr>
      <w:r w:rsidRPr="00CF7E48">
        <w:rPr>
          <w:rFonts w:ascii="Palatino Linotype" w:eastAsia="Palatino Linotype" w:hAnsi="Palatino Linotype" w:cs="Palatino Linotype"/>
          <w:color w:val="000000" w:themeColor="text1"/>
          <w:sz w:val="24"/>
          <w:szCs w:val="24"/>
        </w:rPr>
        <w:t xml:space="preserve">De lo anterior, se observa </w:t>
      </w:r>
      <w:r w:rsidR="00B51538" w:rsidRPr="00CF7E48">
        <w:rPr>
          <w:rFonts w:ascii="Palatino Linotype" w:eastAsia="Palatino Linotype" w:hAnsi="Palatino Linotype" w:cs="Palatino Linotype"/>
          <w:color w:val="000000" w:themeColor="text1"/>
          <w:sz w:val="24"/>
          <w:szCs w:val="24"/>
        </w:rPr>
        <w:t>que el</w:t>
      </w:r>
      <w:r w:rsidR="00B51538" w:rsidRPr="00CF7E48">
        <w:rPr>
          <w:rFonts w:ascii="Palatino Linotype" w:hAnsi="Palatino Linotype" w:cs="Arial"/>
          <w:color w:val="000000" w:themeColor="text1"/>
          <w:sz w:val="24"/>
          <w:szCs w:val="24"/>
          <w:lang w:val="es-ES"/>
        </w:rPr>
        <w:t xml:space="preserve"> </w:t>
      </w:r>
      <w:r w:rsidR="00B51538" w:rsidRPr="00CF7E48">
        <w:rPr>
          <w:rFonts w:ascii="Palatino Linotype" w:hAnsi="Palatino Linotype" w:cs="Arial"/>
          <w:b/>
          <w:color w:val="000000" w:themeColor="text1"/>
          <w:sz w:val="24"/>
          <w:szCs w:val="24"/>
          <w:lang w:val="es-ES"/>
        </w:rPr>
        <w:t>RECURRENTE</w:t>
      </w:r>
      <w:r w:rsidR="00B51538" w:rsidRPr="00CF7E48">
        <w:rPr>
          <w:rFonts w:ascii="Palatino Linotype" w:hAnsi="Palatino Linotype" w:cs="Arial"/>
          <w:color w:val="000000" w:themeColor="text1"/>
          <w:sz w:val="24"/>
          <w:szCs w:val="24"/>
          <w:lang w:val="es-ES"/>
        </w:rPr>
        <w:t xml:space="preserve"> hizo uso del recurso de revisión que nos ocupa para </w:t>
      </w:r>
      <w:r w:rsidR="00B51538" w:rsidRPr="00CF7E48">
        <w:rPr>
          <w:rFonts w:ascii="Palatino Linotype" w:hAnsi="Palatino Linotype" w:cs="Arial"/>
          <w:b/>
          <w:color w:val="000000" w:themeColor="text1"/>
          <w:sz w:val="24"/>
          <w:szCs w:val="24"/>
          <w:lang w:val="es-ES"/>
        </w:rPr>
        <w:t>ampliar</w:t>
      </w:r>
      <w:r w:rsidR="00B51538" w:rsidRPr="00CF7E48">
        <w:rPr>
          <w:rFonts w:ascii="Palatino Linotype" w:hAnsi="Palatino Linotype" w:cs="Arial"/>
          <w:color w:val="000000" w:themeColor="text1"/>
          <w:sz w:val="24"/>
          <w:szCs w:val="24"/>
          <w:lang w:val="es-ES"/>
        </w:rPr>
        <w:t xml:space="preserve"> su solicitud de información inicial, al inconformarse respecto </w:t>
      </w:r>
      <w:r w:rsidR="00034CCD" w:rsidRPr="00CF7E48">
        <w:rPr>
          <w:rFonts w:ascii="Palatino Linotype" w:hAnsi="Palatino Linotype" w:cs="Arial"/>
          <w:i/>
          <w:color w:val="000000" w:themeColor="text1"/>
          <w:sz w:val="24"/>
          <w:szCs w:val="24"/>
        </w:rPr>
        <w:t xml:space="preserve">cual </w:t>
      </w:r>
      <w:r w:rsidR="00034CCD" w:rsidRPr="00CF7E48">
        <w:rPr>
          <w:rFonts w:ascii="Palatino Linotype" w:hAnsi="Palatino Linotype" w:cs="Arial"/>
          <w:i/>
          <w:color w:val="000000" w:themeColor="text1"/>
          <w:sz w:val="24"/>
          <w:szCs w:val="24"/>
        </w:rPr>
        <w:lastRenderedPageBreak/>
        <w:t>es es régimen”</w:t>
      </w:r>
      <w:r w:rsidR="00B51538" w:rsidRPr="00CF7E48">
        <w:rPr>
          <w:rFonts w:ascii="Palatino Linotype" w:hAnsi="Palatino Linotype" w:cs="Arial"/>
          <w:color w:val="000000" w:themeColor="text1"/>
          <w:sz w:val="24"/>
          <w:szCs w:val="24"/>
          <w:lang w:val="es-ES"/>
        </w:rPr>
        <w:t xml:space="preserve">, sin embargo, esta información no fue realizada en la solicitud de origen, situación </w:t>
      </w:r>
      <w:r w:rsidR="00B51538" w:rsidRPr="00CF7E48">
        <w:rPr>
          <w:rFonts w:ascii="Palatino Linotype" w:hAnsi="Palatino Linotype"/>
          <w:color w:val="000000" w:themeColor="text1"/>
          <w:sz w:val="24"/>
          <w:szCs w:val="24"/>
        </w:rPr>
        <w:t xml:space="preserve"> que </w:t>
      </w:r>
      <w:r w:rsidR="00B51538" w:rsidRPr="00CF7E48">
        <w:rPr>
          <w:rFonts w:ascii="Palatino Linotype" w:hAnsi="Palatino Linotype" w:cs="Arial"/>
          <w:color w:val="000000" w:themeColor="text1"/>
          <w:sz w:val="24"/>
          <w:szCs w:val="24"/>
          <w:lang w:val="es-ES"/>
        </w:rPr>
        <w:t xml:space="preserve">se </w:t>
      </w:r>
      <w:r w:rsidR="00B51538" w:rsidRPr="00CF7E48">
        <w:rPr>
          <w:rFonts w:ascii="Palatino Linotype" w:eastAsia="MS Mincho" w:hAnsi="Palatino Linotype" w:cstheme="majorBidi"/>
          <w:color w:val="000000" w:themeColor="text1"/>
          <w:sz w:val="24"/>
          <w:szCs w:val="24"/>
        </w:rPr>
        <w:t xml:space="preserve">se traduce como una </w:t>
      </w:r>
      <w:r w:rsidR="00B51538" w:rsidRPr="00CF7E48">
        <w:rPr>
          <w:rFonts w:ascii="Palatino Linotype" w:eastAsia="MS Mincho" w:hAnsi="Palatino Linotype" w:cstheme="majorBidi"/>
          <w:b/>
          <w:bCs/>
          <w:i/>
          <w:iCs/>
          <w:color w:val="000000" w:themeColor="text1"/>
          <w:sz w:val="24"/>
          <w:szCs w:val="24"/>
        </w:rPr>
        <w:t>plus petitio</w:t>
      </w:r>
      <w:r w:rsidR="00B51538" w:rsidRPr="00CF7E48">
        <w:rPr>
          <w:rFonts w:ascii="Palatino Linotype" w:eastAsia="MS Mincho" w:hAnsi="Palatino Linotype" w:cstheme="majorBidi"/>
          <w:color w:val="000000" w:themeColor="text1"/>
          <w:sz w:val="24"/>
          <w:szCs w:val="24"/>
        </w:rPr>
        <w:t xml:space="preserve">, al ser información novedosa a la originalmente requerida en la solicitud de información </w:t>
      </w:r>
      <w:r w:rsidR="00034CCD" w:rsidRPr="00CF7E48">
        <w:rPr>
          <w:rFonts w:ascii="Palatino Linotype" w:eastAsia="MS Mincho" w:hAnsi="Palatino Linotype" w:cstheme="majorBidi"/>
          <w:b/>
          <w:bCs/>
          <w:color w:val="000000" w:themeColor="text1"/>
          <w:sz w:val="24"/>
          <w:szCs w:val="24"/>
        </w:rPr>
        <w:t>00238/TECAMAC/IP/2025.</w:t>
      </w:r>
    </w:p>
    <w:p w:rsidR="00B51538" w:rsidRPr="00CF7E48" w:rsidRDefault="00B51538" w:rsidP="00CF7E48">
      <w:pPr>
        <w:spacing w:line="360" w:lineRule="auto"/>
        <w:ind w:right="49"/>
        <w:contextualSpacing/>
        <w:jc w:val="both"/>
        <w:rPr>
          <w:rFonts w:ascii="Palatino Linotype" w:hAnsi="Palatino Linotype"/>
          <w:color w:val="000000" w:themeColor="text1"/>
          <w:sz w:val="24"/>
          <w:szCs w:val="24"/>
        </w:rPr>
      </w:pPr>
    </w:p>
    <w:p w:rsidR="00936552" w:rsidRPr="00CF7E48" w:rsidRDefault="00B51538" w:rsidP="00CF7E48">
      <w:pPr>
        <w:numPr>
          <w:ilvl w:val="0"/>
          <w:numId w:val="9"/>
        </w:numPr>
        <w:spacing w:after="0" w:line="360" w:lineRule="auto"/>
        <w:ind w:left="0" w:right="49" w:firstLine="0"/>
        <w:jc w:val="both"/>
        <w:rPr>
          <w:rFonts w:ascii="Palatino Linotype" w:hAnsi="Palatino Linotype"/>
          <w:color w:val="000000" w:themeColor="text1"/>
          <w:sz w:val="24"/>
          <w:szCs w:val="24"/>
        </w:rPr>
      </w:pPr>
      <w:r w:rsidRPr="00CF7E48">
        <w:rPr>
          <w:rFonts w:ascii="Palatino Linotype" w:hAnsi="Palatino Linotype"/>
          <w:color w:val="000000" w:themeColor="text1"/>
          <w:sz w:val="24"/>
          <w:szCs w:val="24"/>
        </w:rPr>
        <w:t xml:space="preserve">Conforme a lo anterior, debemos aclarar que </w:t>
      </w:r>
      <w:r w:rsidRPr="00CF7E48">
        <w:rPr>
          <w:rFonts w:ascii="Palatino Linotype" w:hAnsi="Palatino Linotype" w:cs="Arial"/>
          <w:color w:val="000000" w:themeColor="text1"/>
          <w:sz w:val="24"/>
          <w:szCs w:val="24"/>
        </w:rPr>
        <w:t>el sistema de medios de impugnación se centra en el análisis de los agravios o motivos de inconformidad, los que deben tener relación directa con el acto de autoridad que lo motiva. En materia de transparencia, los motivos de la inconformidad deben versar sobre la respuesta de información proporcionada por los Sujetos Obligados o la negativa de entrega de la misma, derivada de la solicitud de información pública.</w:t>
      </w:r>
    </w:p>
    <w:p w:rsidR="00936552" w:rsidRPr="00CF7E48" w:rsidRDefault="00B51538" w:rsidP="00CF7E48">
      <w:pPr>
        <w:spacing w:after="0" w:line="360" w:lineRule="auto"/>
        <w:ind w:right="49"/>
        <w:jc w:val="both"/>
        <w:rPr>
          <w:rFonts w:ascii="Palatino Linotype" w:hAnsi="Palatino Linotype"/>
          <w:color w:val="000000" w:themeColor="text1"/>
          <w:sz w:val="24"/>
          <w:szCs w:val="24"/>
        </w:rPr>
      </w:pPr>
      <w:r w:rsidRPr="00CF7E48">
        <w:rPr>
          <w:rFonts w:ascii="Palatino Linotype" w:hAnsi="Palatino Linotype" w:cs="Arial"/>
          <w:color w:val="000000" w:themeColor="text1"/>
          <w:sz w:val="24"/>
          <w:szCs w:val="24"/>
        </w:rPr>
        <w:t xml:space="preserve"> </w:t>
      </w:r>
    </w:p>
    <w:p w:rsidR="00B51538" w:rsidRPr="00CF7E48" w:rsidRDefault="00B51538" w:rsidP="00CF7E48">
      <w:pPr>
        <w:numPr>
          <w:ilvl w:val="0"/>
          <w:numId w:val="9"/>
        </w:numPr>
        <w:spacing w:after="0" w:line="360" w:lineRule="auto"/>
        <w:ind w:left="0" w:right="49" w:firstLine="0"/>
        <w:jc w:val="both"/>
        <w:rPr>
          <w:rFonts w:ascii="Palatino Linotype" w:hAnsi="Palatino Linotype"/>
          <w:color w:val="000000" w:themeColor="text1"/>
          <w:sz w:val="24"/>
          <w:szCs w:val="24"/>
        </w:rPr>
      </w:pPr>
      <w:r w:rsidRPr="00CF7E48">
        <w:rPr>
          <w:rFonts w:ascii="Palatino Linotype" w:hAnsi="Palatino Linotype" w:cs="Arial"/>
          <w:color w:val="000000" w:themeColor="text1"/>
          <w:sz w:val="24"/>
          <w:szCs w:val="24"/>
        </w:rPr>
        <w:t xml:space="preserve">De este modo, en los motivos de inconformidad, los Recurrentes no pueden incluir situaciones novedosas o solicitudes de información nuevas de las que el </w:t>
      </w:r>
      <w:r w:rsidRPr="00CF7E48">
        <w:rPr>
          <w:rFonts w:ascii="Palatino Linotype" w:hAnsi="Palatino Linotype" w:cs="Arial"/>
          <w:b/>
          <w:bCs/>
          <w:color w:val="000000" w:themeColor="text1"/>
          <w:sz w:val="24"/>
          <w:szCs w:val="24"/>
        </w:rPr>
        <w:t>SUJETO OBLIGADO</w:t>
      </w:r>
      <w:r w:rsidRPr="00CF7E48">
        <w:rPr>
          <w:rFonts w:ascii="Palatino Linotype" w:hAnsi="Palatino Linotype" w:cs="Arial"/>
          <w:color w:val="000000" w:themeColor="text1"/>
          <w:sz w:val="24"/>
          <w:szCs w:val="24"/>
        </w:rPr>
        <w:t xml:space="preserve"> no tuvo la oportunidad de conocer y, por consiguiente, producir un posicionamiento.</w:t>
      </w:r>
    </w:p>
    <w:p w:rsidR="00B51538" w:rsidRPr="00CF7E48" w:rsidRDefault="00B51538" w:rsidP="00CF7E48">
      <w:pPr>
        <w:ind w:right="49"/>
        <w:rPr>
          <w:rFonts w:ascii="Palatino Linotype" w:hAnsi="Palatino Linotype"/>
          <w:color w:val="000000" w:themeColor="text1"/>
          <w:sz w:val="24"/>
          <w:szCs w:val="24"/>
        </w:rPr>
      </w:pPr>
    </w:p>
    <w:p w:rsidR="00B51538" w:rsidRPr="00CF7E48" w:rsidRDefault="00B51538" w:rsidP="00CF7E48">
      <w:pPr>
        <w:numPr>
          <w:ilvl w:val="0"/>
          <w:numId w:val="9"/>
        </w:numPr>
        <w:spacing w:after="0" w:line="360" w:lineRule="auto"/>
        <w:ind w:left="0" w:right="49" w:firstLine="0"/>
        <w:jc w:val="both"/>
        <w:rPr>
          <w:rFonts w:ascii="Palatino Linotype" w:hAnsi="Palatino Linotype"/>
          <w:color w:val="000000" w:themeColor="text1"/>
          <w:sz w:val="24"/>
          <w:szCs w:val="24"/>
        </w:rPr>
      </w:pPr>
      <w:r w:rsidRPr="00CF7E48">
        <w:rPr>
          <w:rFonts w:ascii="Palatino Linotype" w:hAnsi="Palatino Linotype"/>
          <w:color w:val="000000" w:themeColor="text1"/>
          <w:sz w:val="24"/>
          <w:szCs w:val="24"/>
        </w:rPr>
        <w:t xml:space="preserve">Es </w:t>
      </w:r>
      <w:r w:rsidRPr="00CF7E48">
        <w:rPr>
          <w:rFonts w:ascii="Palatino Linotype" w:hAnsi="Palatino Linotype" w:cs="Arial"/>
          <w:color w:val="000000" w:themeColor="text1"/>
          <w:sz w:val="24"/>
          <w:szCs w:val="24"/>
        </w:rPr>
        <w:t xml:space="preserve">por ello que la Ley de la materia contempla que en los casos en que a través del recurso de revisión se pretenda ampliar los requerimientos de información, la inconformidad relativa a estas situaciones novedosas no debe ser tomada en cuenta como parte de la </w:t>
      </w:r>
      <w:r w:rsidRPr="00CF7E48">
        <w:rPr>
          <w:rFonts w:ascii="Palatino Linotype" w:hAnsi="Palatino Linotype" w:cs="Arial"/>
          <w:i/>
          <w:iCs/>
          <w:color w:val="000000" w:themeColor="text1"/>
          <w:sz w:val="24"/>
          <w:szCs w:val="24"/>
        </w:rPr>
        <w:t>Litis</w:t>
      </w:r>
      <w:r w:rsidRPr="00CF7E48">
        <w:rPr>
          <w:rFonts w:ascii="Palatino Linotype" w:hAnsi="Palatino Linotype" w:cs="Arial"/>
          <w:color w:val="000000" w:themeColor="text1"/>
          <w:sz w:val="24"/>
          <w:szCs w:val="24"/>
        </w:rPr>
        <w:t xml:space="preserve"> y debe ser desechada, tal y como lo establece el artículo 191, fracción VII, mismo que se transcribe a continuación:</w:t>
      </w:r>
    </w:p>
    <w:p w:rsidR="00B51538" w:rsidRPr="00CF7E48" w:rsidRDefault="00B51538" w:rsidP="00CF7E48">
      <w:pPr>
        <w:ind w:right="49"/>
        <w:contextualSpacing/>
        <w:jc w:val="both"/>
        <w:rPr>
          <w:rFonts w:ascii="Palatino Linotype" w:hAnsi="Palatino Linotype" w:cs="Arial"/>
          <w:i/>
          <w:color w:val="000000" w:themeColor="text1"/>
          <w:sz w:val="24"/>
          <w:szCs w:val="24"/>
        </w:rPr>
      </w:pPr>
      <w:r w:rsidRPr="00CF7E48">
        <w:rPr>
          <w:rFonts w:ascii="Palatino Linotype" w:hAnsi="Palatino Linotype" w:cs="Arial"/>
          <w:b/>
          <w:bCs/>
          <w:i/>
          <w:color w:val="000000" w:themeColor="text1"/>
          <w:sz w:val="24"/>
          <w:szCs w:val="24"/>
        </w:rPr>
        <w:t>“Artículo 191.</w:t>
      </w:r>
      <w:r w:rsidRPr="00CF7E48">
        <w:rPr>
          <w:rFonts w:ascii="Palatino Linotype" w:hAnsi="Palatino Linotype" w:cs="Arial"/>
          <w:i/>
          <w:color w:val="000000" w:themeColor="text1"/>
          <w:sz w:val="24"/>
          <w:szCs w:val="24"/>
        </w:rPr>
        <w:t xml:space="preserve"> El recurso será desechado por improcedente cuando:</w:t>
      </w:r>
    </w:p>
    <w:p w:rsidR="00B51538" w:rsidRPr="00CF7E48" w:rsidRDefault="00B51538" w:rsidP="00CF7E48">
      <w:pPr>
        <w:ind w:right="49"/>
        <w:contextualSpacing/>
        <w:jc w:val="both"/>
        <w:rPr>
          <w:rFonts w:ascii="Palatino Linotype" w:hAnsi="Palatino Linotype" w:cs="Arial"/>
          <w:i/>
          <w:color w:val="000000" w:themeColor="text1"/>
          <w:sz w:val="24"/>
          <w:szCs w:val="24"/>
        </w:rPr>
      </w:pPr>
      <w:r w:rsidRPr="00CF7E48">
        <w:rPr>
          <w:rFonts w:ascii="Palatino Linotype" w:hAnsi="Palatino Linotype" w:cs="Arial"/>
          <w:i/>
          <w:color w:val="000000" w:themeColor="text1"/>
          <w:sz w:val="24"/>
          <w:szCs w:val="24"/>
        </w:rPr>
        <w:t>…</w:t>
      </w:r>
    </w:p>
    <w:p w:rsidR="00B51538" w:rsidRPr="00CF7E48" w:rsidRDefault="00B51538" w:rsidP="00CF7E48">
      <w:pPr>
        <w:ind w:right="49"/>
        <w:contextualSpacing/>
        <w:jc w:val="both"/>
        <w:rPr>
          <w:rFonts w:ascii="Palatino Linotype" w:hAnsi="Palatino Linotype" w:cs="Arial"/>
          <w:i/>
          <w:color w:val="000000" w:themeColor="text1"/>
          <w:sz w:val="24"/>
          <w:szCs w:val="24"/>
        </w:rPr>
      </w:pPr>
      <w:r w:rsidRPr="00CF7E48">
        <w:rPr>
          <w:rFonts w:ascii="Palatino Linotype" w:hAnsi="Palatino Linotype" w:cs="Arial"/>
          <w:b/>
          <w:bCs/>
          <w:i/>
          <w:color w:val="000000" w:themeColor="text1"/>
          <w:sz w:val="24"/>
          <w:szCs w:val="24"/>
        </w:rPr>
        <w:t>VII.</w:t>
      </w:r>
      <w:r w:rsidRPr="00CF7E48">
        <w:rPr>
          <w:rFonts w:ascii="Palatino Linotype" w:hAnsi="Palatino Linotype" w:cs="Arial"/>
          <w:i/>
          <w:color w:val="000000" w:themeColor="text1"/>
          <w:sz w:val="24"/>
          <w:szCs w:val="24"/>
        </w:rPr>
        <w:t xml:space="preserve"> El recurrente amplíe su solicitud en el recurso de revisión, únicamente respecto de los nuevos contenidos”</w:t>
      </w:r>
    </w:p>
    <w:p w:rsidR="00B51538" w:rsidRPr="00CF7E48" w:rsidRDefault="00B51538" w:rsidP="00CF7E48">
      <w:pPr>
        <w:ind w:right="49"/>
        <w:contextualSpacing/>
        <w:jc w:val="both"/>
        <w:rPr>
          <w:rFonts w:ascii="Palatino Linotype" w:hAnsi="Palatino Linotype" w:cs="Arial"/>
          <w:iCs/>
          <w:color w:val="000000" w:themeColor="text1"/>
          <w:sz w:val="24"/>
          <w:szCs w:val="24"/>
        </w:rPr>
      </w:pPr>
      <w:r w:rsidRPr="00CF7E48">
        <w:rPr>
          <w:rFonts w:ascii="Palatino Linotype" w:hAnsi="Palatino Linotype" w:cs="Arial"/>
          <w:iCs/>
          <w:color w:val="000000" w:themeColor="text1"/>
          <w:sz w:val="24"/>
          <w:szCs w:val="24"/>
        </w:rPr>
        <w:lastRenderedPageBreak/>
        <w:t>(Énfasis Añadido)</w:t>
      </w:r>
    </w:p>
    <w:p w:rsidR="002B650A" w:rsidRPr="00CF7E48" w:rsidRDefault="002B650A" w:rsidP="00CF7E48">
      <w:pPr>
        <w:ind w:right="49"/>
        <w:contextualSpacing/>
        <w:jc w:val="both"/>
        <w:rPr>
          <w:rFonts w:ascii="Palatino Linotype" w:hAnsi="Palatino Linotype" w:cs="Arial"/>
          <w:iCs/>
          <w:color w:val="000000" w:themeColor="text1"/>
          <w:sz w:val="24"/>
          <w:szCs w:val="24"/>
        </w:rPr>
      </w:pPr>
    </w:p>
    <w:p w:rsidR="002B650A" w:rsidRPr="00CF7E48" w:rsidRDefault="002B650A" w:rsidP="00CF7E48">
      <w:pPr>
        <w:ind w:right="49"/>
        <w:contextualSpacing/>
        <w:jc w:val="both"/>
        <w:rPr>
          <w:rFonts w:ascii="Palatino Linotype" w:hAnsi="Palatino Linotype" w:cs="Arial"/>
          <w:i/>
          <w:iCs/>
          <w:color w:val="000000" w:themeColor="text1"/>
          <w:sz w:val="24"/>
          <w:szCs w:val="24"/>
          <w:lang w:val="es-ES_tradnl"/>
        </w:rPr>
      </w:pPr>
      <w:r w:rsidRPr="00CF7E48">
        <w:rPr>
          <w:rFonts w:ascii="Palatino Linotype" w:hAnsi="Palatino Linotype" w:cs="Arial"/>
          <w:b/>
          <w:i/>
          <w:iCs/>
          <w:color w:val="000000" w:themeColor="text1"/>
          <w:sz w:val="24"/>
          <w:szCs w:val="24"/>
          <w:lang w:val="es-ES_tradnl"/>
        </w:rPr>
        <w:t>Artículo 192.</w:t>
      </w:r>
      <w:r w:rsidRPr="00CF7E48">
        <w:rPr>
          <w:rFonts w:ascii="Palatino Linotype" w:hAnsi="Palatino Linotype" w:cs="Arial"/>
          <w:i/>
          <w:iCs/>
          <w:color w:val="000000" w:themeColor="text1"/>
          <w:sz w:val="24"/>
          <w:szCs w:val="24"/>
          <w:lang w:val="es-ES_tradnl"/>
        </w:rPr>
        <w:t xml:space="preserve"> El recurso será sobreseído, en todo o en parte, cuando una vez admitido, se actualicen alguno de los siguientes supuestos:</w:t>
      </w:r>
    </w:p>
    <w:p w:rsidR="002B650A" w:rsidRPr="00CF7E48" w:rsidRDefault="002B650A" w:rsidP="00CF7E48">
      <w:pPr>
        <w:ind w:right="49"/>
        <w:contextualSpacing/>
        <w:jc w:val="both"/>
        <w:rPr>
          <w:rFonts w:ascii="Palatino Linotype" w:hAnsi="Palatino Linotype" w:cs="Arial"/>
          <w:i/>
          <w:iCs/>
          <w:color w:val="000000" w:themeColor="text1"/>
          <w:sz w:val="24"/>
          <w:szCs w:val="24"/>
          <w:lang w:val="es-ES_tradnl"/>
        </w:rPr>
      </w:pPr>
    </w:p>
    <w:p w:rsidR="002B650A" w:rsidRPr="00CF7E48" w:rsidRDefault="002B650A" w:rsidP="00CF7E48">
      <w:pPr>
        <w:ind w:right="49"/>
        <w:contextualSpacing/>
        <w:jc w:val="both"/>
        <w:rPr>
          <w:rFonts w:ascii="Palatino Linotype" w:hAnsi="Palatino Linotype" w:cs="Arial"/>
          <w:i/>
          <w:iCs/>
          <w:color w:val="000000" w:themeColor="text1"/>
          <w:sz w:val="24"/>
          <w:szCs w:val="24"/>
          <w:lang w:val="es-ES_tradnl"/>
        </w:rPr>
      </w:pPr>
      <w:r w:rsidRPr="00CF7E48">
        <w:rPr>
          <w:rFonts w:ascii="Palatino Linotype" w:hAnsi="Palatino Linotype" w:cs="Arial"/>
          <w:b/>
          <w:i/>
          <w:iCs/>
          <w:color w:val="000000" w:themeColor="text1"/>
          <w:sz w:val="24"/>
          <w:szCs w:val="24"/>
          <w:lang w:val="es-ES_tradnl"/>
        </w:rPr>
        <w:t>IV</w:t>
      </w:r>
      <w:r w:rsidRPr="00CF7E48">
        <w:rPr>
          <w:rFonts w:ascii="Palatino Linotype" w:hAnsi="Palatino Linotype" w:cs="Arial"/>
          <w:i/>
          <w:iCs/>
          <w:color w:val="000000" w:themeColor="text1"/>
          <w:sz w:val="24"/>
          <w:szCs w:val="24"/>
          <w:lang w:val="es-ES_tradnl"/>
        </w:rPr>
        <w:t xml:space="preserve">. Admitido el recurso de revisión, </w:t>
      </w:r>
      <w:r w:rsidRPr="00CF7E48">
        <w:rPr>
          <w:rFonts w:ascii="Palatino Linotype" w:hAnsi="Palatino Linotype" w:cs="Arial"/>
          <w:b/>
          <w:i/>
          <w:iCs/>
          <w:color w:val="000000" w:themeColor="text1"/>
          <w:sz w:val="24"/>
          <w:szCs w:val="24"/>
          <w:lang w:val="es-ES_tradnl"/>
        </w:rPr>
        <w:t>aparezca alguna causal de improcedencia</w:t>
      </w:r>
      <w:r w:rsidRPr="00CF7E48">
        <w:rPr>
          <w:rFonts w:ascii="Palatino Linotype" w:hAnsi="Palatino Linotype" w:cs="Arial"/>
          <w:i/>
          <w:iCs/>
          <w:color w:val="000000" w:themeColor="text1"/>
          <w:sz w:val="24"/>
          <w:szCs w:val="24"/>
          <w:lang w:val="es-ES_tradnl"/>
        </w:rPr>
        <w:t xml:space="preserve"> en los términos de la presente Ley. “</w:t>
      </w:r>
    </w:p>
    <w:p w:rsidR="002B650A" w:rsidRPr="00CF7E48" w:rsidRDefault="002B650A" w:rsidP="00CF7E48">
      <w:pPr>
        <w:ind w:right="49"/>
        <w:contextualSpacing/>
        <w:jc w:val="both"/>
        <w:rPr>
          <w:rFonts w:ascii="Palatino Linotype" w:hAnsi="Palatino Linotype" w:cs="Arial"/>
          <w:iCs/>
          <w:color w:val="000000" w:themeColor="text1"/>
          <w:sz w:val="24"/>
          <w:szCs w:val="24"/>
        </w:rPr>
      </w:pPr>
    </w:p>
    <w:p w:rsidR="00B51538" w:rsidRPr="00CF7E48" w:rsidRDefault="00B51538" w:rsidP="00CF7E48">
      <w:pPr>
        <w:spacing w:line="360" w:lineRule="auto"/>
        <w:ind w:right="49"/>
        <w:contextualSpacing/>
        <w:jc w:val="both"/>
        <w:rPr>
          <w:rFonts w:ascii="Palatino Linotype" w:hAnsi="Palatino Linotype"/>
          <w:color w:val="000000" w:themeColor="text1"/>
          <w:sz w:val="24"/>
          <w:szCs w:val="24"/>
        </w:rPr>
      </w:pPr>
    </w:p>
    <w:p w:rsidR="00B51538" w:rsidRPr="00CF7E48" w:rsidRDefault="00B51538" w:rsidP="00CF7E48">
      <w:pPr>
        <w:numPr>
          <w:ilvl w:val="0"/>
          <w:numId w:val="9"/>
        </w:numPr>
        <w:spacing w:after="0" w:line="360" w:lineRule="auto"/>
        <w:ind w:left="0" w:right="49" w:firstLine="0"/>
        <w:jc w:val="both"/>
        <w:rPr>
          <w:rFonts w:ascii="Palatino Linotype" w:hAnsi="Palatino Linotype"/>
          <w:color w:val="000000" w:themeColor="text1"/>
          <w:sz w:val="24"/>
          <w:szCs w:val="24"/>
        </w:rPr>
      </w:pPr>
      <w:r w:rsidRPr="00CF7E48">
        <w:rPr>
          <w:rFonts w:ascii="Palatino Linotype" w:hAnsi="Palatino Linotype"/>
          <w:color w:val="000000" w:themeColor="text1"/>
          <w:sz w:val="24"/>
          <w:szCs w:val="24"/>
        </w:rPr>
        <w:t xml:space="preserve">Por </w:t>
      </w:r>
      <w:r w:rsidRPr="00CF7E48">
        <w:rPr>
          <w:rFonts w:ascii="Palatino Linotype" w:hAnsi="Palatino Linotype" w:cs="Arial"/>
          <w:color w:val="000000" w:themeColor="text1"/>
          <w:sz w:val="24"/>
          <w:szCs w:val="24"/>
        </w:rPr>
        <w:t xml:space="preserve">lo anterior, resulta improcedente el referido motivo de inconformidad, ya que se aprecia que el </w:t>
      </w:r>
      <w:r w:rsidRPr="00CF7E48">
        <w:rPr>
          <w:rFonts w:ascii="Palatino Linotype" w:hAnsi="Palatino Linotype" w:cs="Arial"/>
          <w:b/>
          <w:bCs/>
          <w:color w:val="000000" w:themeColor="text1"/>
          <w:sz w:val="24"/>
          <w:szCs w:val="24"/>
        </w:rPr>
        <w:t>RECURRENTE</w:t>
      </w:r>
      <w:r w:rsidRPr="00CF7E48">
        <w:rPr>
          <w:rFonts w:ascii="Palatino Linotype" w:hAnsi="Palatino Linotype" w:cs="Arial"/>
          <w:color w:val="000000" w:themeColor="text1"/>
          <w:sz w:val="24"/>
          <w:szCs w:val="24"/>
        </w:rPr>
        <w:t xml:space="preserve"> se excedió dentro de su inconformidad respecto a lo requerido originalmente en la solicitud de información, siendo el caso que pretende ampliar lo solicitado de origen, lo que hace que se surta lo que en la teoría jurídica se le denomina </w:t>
      </w:r>
      <w:r w:rsidRPr="00CF7E48">
        <w:rPr>
          <w:rFonts w:ascii="Palatino Linotype" w:hAnsi="Palatino Linotype" w:cs="Arial"/>
          <w:b/>
          <w:bCs/>
          <w:i/>
          <w:iCs/>
          <w:color w:val="000000" w:themeColor="text1"/>
          <w:sz w:val="24"/>
          <w:szCs w:val="24"/>
        </w:rPr>
        <w:t>Plus Petitio.</w:t>
      </w:r>
    </w:p>
    <w:p w:rsidR="00B51538" w:rsidRPr="00CF7E48" w:rsidRDefault="00B51538" w:rsidP="00CF7E48">
      <w:pPr>
        <w:spacing w:line="360" w:lineRule="auto"/>
        <w:ind w:right="49"/>
        <w:contextualSpacing/>
        <w:jc w:val="both"/>
        <w:rPr>
          <w:rFonts w:ascii="Palatino Linotype" w:hAnsi="Palatino Linotype"/>
          <w:color w:val="000000" w:themeColor="text1"/>
          <w:sz w:val="24"/>
          <w:szCs w:val="24"/>
        </w:rPr>
      </w:pPr>
    </w:p>
    <w:p w:rsidR="00B51538" w:rsidRPr="00CF7E48" w:rsidRDefault="00B51538" w:rsidP="00CF7E48">
      <w:pPr>
        <w:numPr>
          <w:ilvl w:val="0"/>
          <w:numId w:val="9"/>
        </w:numPr>
        <w:spacing w:after="0" w:line="360" w:lineRule="auto"/>
        <w:ind w:left="0" w:right="49" w:firstLine="0"/>
        <w:jc w:val="both"/>
        <w:rPr>
          <w:rFonts w:ascii="Palatino Linotype" w:hAnsi="Palatino Linotype"/>
          <w:color w:val="000000" w:themeColor="text1"/>
          <w:sz w:val="24"/>
          <w:szCs w:val="24"/>
        </w:rPr>
      </w:pPr>
      <w:r w:rsidRPr="00CF7E48">
        <w:rPr>
          <w:rFonts w:ascii="Palatino Linotype" w:hAnsi="Palatino Linotype"/>
          <w:color w:val="000000" w:themeColor="text1"/>
          <w:sz w:val="24"/>
          <w:szCs w:val="24"/>
        </w:rPr>
        <w:t>Sustenta lo anterior</w:t>
      </w:r>
      <w:r w:rsidRPr="00CF7E48">
        <w:rPr>
          <w:rFonts w:ascii="Palatino Linotype" w:hAnsi="Palatino Linotype" w:cs="Arial"/>
          <w:color w:val="000000" w:themeColor="text1"/>
          <w:sz w:val="24"/>
          <w:szCs w:val="24"/>
        </w:rPr>
        <w:t xml:space="preserve"> el Criterio de Interpretación 01/17 emitido por el Instituto Nacional de Transparencia, Acceso a la Información y Protección de Datos Personales que establece lo siguiente:</w:t>
      </w:r>
    </w:p>
    <w:p w:rsidR="00B51538" w:rsidRPr="00CF7E48" w:rsidRDefault="00B51538" w:rsidP="00CF7E48">
      <w:pPr>
        <w:ind w:right="49"/>
        <w:contextualSpacing/>
        <w:jc w:val="both"/>
        <w:rPr>
          <w:rFonts w:ascii="Palatino Linotype" w:hAnsi="Palatino Linotype" w:cs="Arial"/>
          <w:i/>
          <w:color w:val="000000" w:themeColor="text1"/>
          <w:sz w:val="24"/>
          <w:szCs w:val="24"/>
        </w:rPr>
      </w:pPr>
      <w:r w:rsidRPr="00CF7E48">
        <w:rPr>
          <w:rFonts w:ascii="Palatino Linotype" w:hAnsi="Palatino Linotype" w:cs="Arial"/>
          <w:b/>
          <w:i/>
          <w:color w:val="000000" w:themeColor="text1"/>
          <w:sz w:val="24"/>
          <w:szCs w:val="24"/>
        </w:rPr>
        <w:t>ES IMPROCEDENTE AMPLIAR LAS SOLICITUDES DE ACCESO A INFORMACIÓN, A TRAVÉS DE LA INTERPOSICIÓN DEL RECURSO DE REVISIÓN.</w:t>
      </w:r>
      <w:r w:rsidRPr="00CF7E48">
        <w:rPr>
          <w:rFonts w:ascii="Palatino Linotype" w:hAnsi="Palatino Linotype" w:cs="Arial"/>
          <w:i/>
          <w:color w:val="000000" w:themeColor="text1"/>
          <w:sz w:val="24"/>
          <w:szCs w:val="24"/>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B51538" w:rsidRPr="00CF7E48" w:rsidRDefault="00B51538" w:rsidP="00CF7E48">
      <w:pPr>
        <w:spacing w:line="360" w:lineRule="auto"/>
        <w:ind w:right="49"/>
        <w:contextualSpacing/>
        <w:jc w:val="both"/>
        <w:rPr>
          <w:rFonts w:ascii="Palatino Linotype" w:hAnsi="Palatino Linotype"/>
          <w:color w:val="000000" w:themeColor="text1"/>
          <w:sz w:val="24"/>
          <w:szCs w:val="24"/>
        </w:rPr>
      </w:pPr>
    </w:p>
    <w:p w:rsidR="00B51538" w:rsidRPr="00CF7E48" w:rsidRDefault="00B51538" w:rsidP="00CF7E48">
      <w:pPr>
        <w:numPr>
          <w:ilvl w:val="0"/>
          <w:numId w:val="9"/>
        </w:numPr>
        <w:spacing w:after="0" w:line="360" w:lineRule="auto"/>
        <w:ind w:left="0" w:right="49" w:firstLine="0"/>
        <w:jc w:val="both"/>
        <w:rPr>
          <w:rFonts w:ascii="Palatino Linotype" w:hAnsi="Palatino Linotype"/>
          <w:color w:val="000000" w:themeColor="text1"/>
          <w:sz w:val="24"/>
          <w:szCs w:val="24"/>
        </w:rPr>
      </w:pPr>
      <w:r w:rsidRPr="00CF7E48">
        <w:rPr>
          <w:rFonts w:ascii="Palatino Linotype" w:hAnsi="Palatino Linotype"/>
          <w:color w:val="000000" w:themeColor="text1"/>
          <w:sz w:val="24"/>
          <w:szCs w:val="24"/>
        </w:rPr>
        <w:lastRenderedPageBreak/>
        <w:t xml:space="preserve">Asimismo, </w:t>
      </w:r>
      <w:r w:rsidRPr="00CF7E48">
        <w:rPr>
          <w:rFonts w:ascii="Palatino Linotype" w:hAnsi="Palatino Linotype" w:cs="Arial"/>
          <w:color w:val="000000" w:themeColor="text1"/>
          <w:sz w:val="24"/>
          <w:szCs w:val="24"/>
        </w:rPr>
        <w:t>sirve de apoyo, por analogía, la Jurisprudencia No. 29 visible a foja 19 del Apéndice al Semanario Judicial de la Federación 1917-1995, Torno VI, Materia Común, Primera Parte, Tesis de la Suprema Corte de Justicia, que contiene:</w:t>
      </w:r>
    </w:p>
    <w:p w:rsidR="00B51538" w:rsidRPr="00CF7E48" w:rsidRDefault="00B51538" w:rsidP="00CF7E48">
      <w:pPr>
        <w:ind w:right="49"/>
        <w:contextualSpacing/>
        <w:jc w:val="both"/>
        <w:rPr>
          <w:rFonts w:ascii="Palatino Linotype" w:hAnsi="Palatino Linotype"/>
          <w:color w:val="000000" w:themeColor="text1"/>
          <w:sz w:val="24"/>
          <w:szCs w:val="24"/>
        </w:rPr>
      </w:pPr>
      <w:r w:rsidRPr="00CF7E48">
        <w:rPr>
          <w:rFonts w:ascii="Palatino Linotype" w:hAnsi="Palatino Linotype" w:cs="Arial"/>
          <w:b/>
          <w:i/>
          <w:color w:val="000000" w:themeColor="text1"/>
          <w:sz w:val="24"/>
          <w:szCs w:val="24"/>
        </w:rPr>
        <w:t xml:space="preserve">AGRAVIOS EN LA REVISION. DEBEN ESTAR EN RELACION DIRECTA CON LOS FUNDAMENTOS Y CONSIDERACIONES DE LA SENTENCIA. </w:t>
      </w:r>
      <w:r w:rsidRPr="00CF7E48">
        <w:rPr>
          <w:rFonts w:ascii="Palatino Linotype" w:hAnsi="Palatino Linotype" w:cs="Arial"/>
          <w:bCs/>
          <w:i/>
          <w:color w:val="000000" w:themeColor="text1"/>
          <w:sz w:val="24"/>
          <w:szCs w:val="24"/>
        </w:rPr>
        <w:t>“</w:t>
      </w:r>
      <w:r w:rsidRPr="00CF7E48">
        <w:rPr>
          <w:rFonts w:ascii="Palatino Linotype" w:hAnsi="Palatino Linotype" w:cs="Arial"/>
          <w:i/>
          <w:color w:val="000000" w:themeColor="text1"/>
          <w:sz w:val="24"/>
          <w:szCs w:val="24"/>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rsidR="00B51538" w:rsidRPr="00CF7E48" w:rsidRDefault="00B51538" w:rsidP="00CF7E48">
      <w:pPr>
        <w:spacing w:after="0" w:line="360" w:lineRule="auto"/>
        <w:ind w:right="49"/>
        <w:jc w:val="both"/>
        <w:rPr>
          <w:rFonts w:ascii="Palatino Linotype" w:eastAsia="Palatino Linotype" w:hAnsi="Palatino Linotype" w:cs="Palatino Linotype"/>
          <w:color w:val="000000" w:themeColor="text1"/>
          <w:sz w:val="24"/>
          <w:szCs w:val="24"/>
        </w:rPr>
      </w:pPr>
    </w:p>
    <w:p w:rsidR="002B650A" w:rsidRPr="00CF7E48" w:rsidRDefault="002B650A" w:rsidP="00CF7E48">
      <w:pPr>
        <w:numPr>
          <w:ilvl w:val="0"/>
          <w:numId w:val="9"/>
        </w:numPr>
        <w:spacing w:after="0" w:line="360" w:lineRule="auto"/>
        <w:ind w:left="0" w:right="49" w:firstLine="0"/>
        <w:jc w:val="both"/>
        <w:rPr>
          <w:rFonts w:ascii="Palatino Linotype" w:eastAsia="Palatino Linotype" w:hAnsi="Palatino Linotype" w:cs="Palatino Linotype"/>
          <w:color w:val="000000" w:themeColor="text1"/>
          <w:sz w:val="24"/>
          <w:szCs w:val="24"/>
        </w:rPr>
      </w:pPr>
      <w:bookmarkStart w:id="9" w:name="_heading=h.3dy6vkm" w:colFirst="0" w:colLast="0"/>
      <w:bookmarkEnd w:id="9"/>
      <w:r w:rsidRPr="00CF7E48">
        <w:rPr>
          <w:rFonts w:ascii="Palatino Linotype" w:eastAsia="Palatino Linotype" w:hAnsi="Palatino Linotype" w:cs="Palatino Linotype"/>
          <w:color w:val="000000" w:themeColor="text1"/>
          <w:sz w:val="24"/>
          <w:szCs w:val="24"/>
        </w:rPr>
        <w:t xml:space="preserve">Siendo el </w:t>
      </w:r>
      <w:r w:rsidRPr="00CF7E48">
        <w:rPr>
          <w:rFonts w:ascii="Palatino Linotype" w:eastAsia="Palatino Linotype" w:hAnsi="Palatino Linotype" w:cs="Palatino Linotype"/>
          <w:i/>
          <w:color w:val="000000" w:themeColor="text1"/>
          <w:sz w:val="24"/>
          <w:szCs w:val="24"/>
        </w:rPr>
        <w:t>sobreseimiento</w:t>
      </w:r>
      <w:r w:rsidRPr="00CF7E48">
        <w:rPr>
          <w:rFonts w:ascii="Palatino Linotype" w:eastAsia="Palatino Linotype" w:hAnsi="Palatino Linotype" w:cs="Palatino Linotype"/>
          <w:color w:val="000000" w:themeColor="text1"/>
          <w:sz w:val="24"/>
          <w:szCs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2B650A" w:rsidRPr="00CF7E48" w:rsidRDefault="002B650A" w:rsidP="00CF7E48">
      <w:pPr>
        <w:pStyle w:val="Prrafodelista"/>
        <w:spacing w:after="120"/>
        <w:ind w:left="0" w:right="49"/>
        <w:jc w:val="both"/>
        <w:rPr>
          <w:rFonts w:ascii="Palatino Linotype" w:eastAsia="Palatino Linotype" w:hAnsi="Palatino Linotype" w:cs="Palatino Linotype"/>
          <w:b/>
          <w:i/>
          <w:color w:val="000000" w:themeColor="text1"/>
        </w:rPr>
      </w:pPr>
      <w:r w:rsidRPr="00CF7E48">
        <w:rPr>
          <w:rFonts w:ascii="Palatino Linotype" w:eastAsia="Palatino Linotype" w:hAnsi="Palatino Linotype" w:cs="Palatino Linotype"/>
          <w:i/>
          <w:color w:val="000000" w:themeColor="text1"/>
        </w:rPr>
        <w:t>“</w:t>
      </w:r>
      <w:r w:rsidRPr="00CF7E48">
        <w:rPr>
          <w:rFonts w:ascii="Palatino Linotype" w:eastAsia="Palatino Linotype" w:hAnsi="Palatino Linotype" w:cs="Palatino Linotype"/>
          <w:b/>
          <w:i/>
          <w:color w:val="000000" w:themeColor="text1"/>
        </w:rPr>
        <w:t>SOBRESEIMIENTO, NO PERMITE ENTRAR AL ESTUDIO DE LAS CUESTIONES DE FONDO</w:t>
      </w:r>
    </w:p>
    <w:p w:rsidR="002B650A" w:rsidRPr="00CF7E48" w:rsidRDefault="002B650A" w:rsidP="00CF7E48">
      <w:pPr>
        <w:pStyle w:val="Prrafodelista"/>
        <w:spacing w:before="120" w:after="120"/>
        <w:ind w:left="0" w:right="49"/>
        <w:jc w:val="both"/>
        <w:rPr>
          <w:rFonts w:ascii="Palatino Linotype" w:eastAsia="Palatino Linotype" w:hAnsi="Palatino Linotype" w:cs="Palatino Linotype"/>
          <w:i/>
          <w:color w:val="000000" w:themeColor="text1"/>
        </w:rPr>
      </w:pPr>
      <w:r w:rsidRPr="00CF7E48">
        <w:rPr>
          <w:rFonts w:ascii="Palatino Linotype" w:eastAsia="Palatino Linotype" w:hAnsi="Palatino Linotype" w:cs="Palatino Linotype"/>
          <w:i/>
          <w:color w:val="000000" w:themeColor="text1"/>
        </w:rPr>
        <w:t>Localización: 213609. II.2o.183 K. Tribunales Colegiados de Circuito. Octava Época. Semanario Judicial de la Federación. Tomo XIII, Febrero de 1994, Pág. 420</w:t>
      </w:r>
    </w:p>
    <w:p w:rsidR="002B650A" w:rsidRPr="00CF7E48" w:rsidRDefault="002B650A" w:rsidP="00CF7E48">
      <w:pPr>
        <w:pStyle w:val="Prrafodelista"/>
        <w:spacing w:before="120" w:after="120"/>
        <w:ind w:left="0" w:right="49"/>
        <w:jc w:val="both"/>
        <w:rPr>
          <w:rFonts w:ascii="Palatino Linotype" w:eastAsia="Palatino Linotype" w:hAnsi="Palatino Linotype" w:cs="Palatino Linotype"/>
          <w:i/>
          <w:color w:val="000000" w:themeColor="text1"/>
        </w:rPr>
      </w:pPr>
      <w:r w:rsidRPr="00CF7E48">
        <w:rPr>
          <w:rFonts w:ascii="Palatino Linotype" w:eastAsia="Palatino Linotype" w:hAnsi="Palatino Linotype" w:cs="Palatino Linotype"/>
          <w:i/>
          <w:color w:val="000000" w:themeColor="text1"/>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2B650A" w:rsidRPr="00CF7E48" w:rsidRDefault="002B650A" w:rsidP="00CF7E48">
      <w:pPr>
        <w:pStyle w:val="Prrafodelista"/>
        <w:spacing w:before="120" w:after="120"/>
        <w:ind w:left="0" w:right="49"/>
        <w:jc w:val="both"/>
        <w:rPr>
          <w:rFonts w:ascii="Palatino Linotype" w:eastAsia="Palatino Linotype" w:hAnsi="Palatino Linotype" w:cs="Palatino Linotype"/>
          <w:i/>
          <w:color w:val="000000" w:themeColor="text1"/>
        </w:rPr>
      </w:pPr>
    </w:p>
    <w:p w:rsidR="002B650A" w:rsidRPr="00CF7E48" w:rsidRDefault="002B650A" w:rsidP="00CF7E48">
      <w:pPr>
        <w:numPr>
          <w:ilvl w:val="0"/>
          <w:numId w:val="9"/>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CF7E48">
        <w:rPr>
          <w:rFonts w:ascii="Palatino Linotype" w:eastAsia="Palatino Linotype" w:hAnsi="Palatino Linotype" w:cs="Palatino Linotype"/>
          <w:color w:val="000000" w:themeColor="text1"/>
          <w:sz w:val="24"/>
          <w:szCs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2B650A" w:rsidRPr="00CF7E48" w:rsidRDefault="002B650A" w:rsidP="00CF7E48">
      <w:pPr>
        <w:pStyle w:val="Prrafodelista"/>
        <w:spacing w:before="120" w:after="120"/>
        <w:ind w:left="0" w:right="49"/>
        <w:jc w:val="both"/>
        <w:rPr>
          <w:rFonts w:ascii="Palatino Linotype" w:eastAsia="Palatino Linotype" w:hAnsi="Palatino Linotype" w:cs="Palatino Linotype"/>
          <w:b/>
          <w:i/>
          <w:color w:val="000000" w:themeColor="text1"/>
        </w:rPr>
      </w:pPr>
      <w:r w:rsidRPr="00CF7E48">
        <w:rPr>
          <w:rFonts w:ascii="Palatino Linotype" w:eastAsia="Palatino Linotype" w:hAnsi="Palatino Linotype" w:cs="Palatino Linotype"/>
          <w:b/>
          <w:i/>
          <w:color w:val="000000" w:themeColor="text1"/>
        </w:rPr>
        <w:lastRenderedPageBreak/>
        <w:t>“DESECHAMIENTO O SOBRESEIMIENTO EN EL JUICIO DE AMPARO. NO IMPLICA DENEGACIÓN DE JUSTICIA NI GENERA INSEGURIDAD JURÍDICA”</w:t>
      </w:r>
    </w:p>
    <w:p w:rsidR="002B650A" w:rsidRPr="00CF7E48" w:rsidRDefault="002B650A" w:rsidP="00CF7E48">
      <w:pPr>
        <w:pStyle w:val="Prrafodelista"/>
        <w:spacing w:before="120" w:after="120"/>
        <w:ind w:left="0" w:right="49"/>
        <w:jc w:val="both"/>
        <w:rPr>
          <w:rFonts w:ascii="Palatino Linotype" w:eastAsia="Palatino Linotype" w:hAnsi="Palatino Linotype" w:cs="Palatino Linotype"/>
          <w:i/>
          <w:color w:val="000000" w:themeColor="text1"/>
        </w:rPr>
      </w:pPr>
      <w:r w:rsidRPr="00CF7E48">
        <w:rPr>
          <w:rFonts w:ascii="Palatino Linotype" w:eastAsia="Palatino Linotype" w:hAnsi="Palatino Linotype" w:cs="Palatino Linotype"/>
          <w:i/>
          <w:color w:val="000000" w:themeColor="text1"/>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2B650A" w:rsidRPr="00CF7E48" w:rsidRDefault="002B650A" w:rsidP="00CF7E48">
      <w:pPr>
        <w:pStyle w:val="Prrafodelista"/>
        <w:spacing w:before="120" w:after="120"/>
        <w:ind w:left="0" w:right="49"/>
        <w:jc w:val="both"/>
        <w:rPr>
          <w:rFonts w:ascii="Palatino Linotype" w:eastAsia="Palatino Linotype" w:hAnsi="Palatino Linotype" w:cs="Palatino Linotype"/>
          <w:i/>
          <w:color w:val="000000" w:themeColor="text1"/>
        </w:rPr>
      </w:pPr>
    </w:p>
    <w:p w:rsidR="002B650A" w:rsidRPr="00CF7E48" w:rsidRDefault="002B650A" w:rsidP="00CF7E48">
      <w:pPr>
        <w:numPr>
          <w:ilvl w:val="0"/>
          <w:numId w:val="9"/>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CF7E48">
        <w:rPr>
          <w:rFonts w:ascii="Palatino Linotype" w:eastAsia="Palatino Linotype" w:hAnsi="Palatino Linotype" w:cs="Palatino Linotype"/>
          <w:color w:val="000000" w:themeColor="text1"/>
          <w:sz w:val="24"/>
          <w:szCs w:val="24"/>
        </w:rPr>
        <w:t xml:space="preserve">Finalmente, se dejan a salvo los derechos de la particular a fin de que de considerarlo pertinente, interponga una nueva solicitud de acceso ante el </w:t>
      </w:r>
      <w:r w:rsidRPr="00CF7E48">
        <w:rPr>
          <w:rFonts w:ascii="Palatino Linotype" w:eastAsia="Palatino Linotype" w:hAnsi="Palatino Linotype" w:cs="Palatino Linotype"/>
          <w:b/>
          <w:color w:val="000000" w:themeColor="text1"/>
          <w:sz w:val="24"/>
          <w:szCs w:val="24"/>
        </w:rPr>
        <w:t>SUJETO OBLIGADO</w:t>
      </w:r>
      <w:r w:rsidRPr="00CF7E48">
        <w:rPr>
          <w:rFonts w:ascii="Palatino Linotype" w:eastAsia="Palatino Linotype" w:hAnsi="Palatino Linotype" w:cs="Palatino Linotype"/>
          <w:color w:val="000000" w:themeColor="text1"/>
          <w:sz w:val="24"/>
          <w:szCs w:val="24"/>
        </w:rPr>
        <w:t xml:space="preserve">, a fin de solicitar la información de su interés. </w:t>
      </w:r>
    </w:p>
    <w:p w:rsidR="002B650A" w:rsidRPr="00CF7E48" w:rsidRDefault="002B650A" w:rsidP="00CF7E48">
      <w:pPr>
        <w:spacing w:after="0" w:line="360" w:lineRule="auto"/>
        <w:ind w:right="49"/>
        <w:jc w:val="both"/>
        <w:rPr>
          <w:rFonts w:ascii="Palatino Linotype" w:eastAsia="Palatino Linotype" w:hAnsi="Palatino Linotype" w:cs="Palatino Linotype"/>
          <w:color w:val="000000" w:themeColor="text1"/>
          <w:sz w:val="24"/>
          <w:szCs w:val="24"/>
        </w:rPr>
      </w:pPr>
    </w:p>
    <w:p w:rsidR="002B650A" w:rsidRPr="00CF7E48" w:rsidRDefault="002B650A" w:rsidP="00CF7E48">
      <w:pPr>
        <w:numPr>
          <w:ilvl w:val="0"/>
          <w:numId w:val="9"/>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CF7E48">
        <w:rPr>
          <w:rFonts w:ascii="Palatino Linotype" w:eastAsia="Palatino Linotype" w:hAnsi="Palatino Linotype" w:cs="Palatino Linotype"/>
          <w:color w:val="000000" w:themeColor="text1"/>
          <w:sz w:val="24"/>
          <w:szCs w:val="24"/>
        </w:rPr>
        <w:t xml:space="preserve">Bajo ese tenor con fundamento en la segunda hipótesis de la fracción I del artículo 186, de la Ley de Transparencia y Acceso a la Información Pública del Estado de México y Municipios, se </w:t>
      </w:r>
      <w:r w:rsidRPr="00CF7E48">
        <w:rPr>
          <w:rFonts w:ascii="Palatino Linotype" w:eastAsia="Palatino Linotype" w:hAnsi="Palatino Linotype" w:cs="Palatino Linotype"/>
          <w:b/>
          <w:color w:val="000000" w:themeColor="text1"/>
          <w:sz w:val="24"/>
          <w:szCs w:val="24"/>
        </w:rPr>
        <w:t xml:space="preserve">Sobresee </w:t>
      </w:r>
      <w:r w:rsidRPr="00CF7E48">
        <w:rPr>
          <w:rFonts w:ascii="Palatino Linotype" w:eastAsia="Palatino Linotype" w:hAnsi="Palatino Linotype" w:cs="Palatino Linotype"/>
          <w:color w:val="000000" w:themeColor="text1"/>
          <w:sz w:val="24"/>
          <w:szCs w:val="24"/>
        </w:rPr>
        <w:t xml:space="preserve">el recurso de revisión </w:t>
      </w:r>
      <w:r w:rsidRPr="00CF7E48">
        <w:rPr>
          <w:rFonts w:ascii="Palatino Linotype" w:eastAsia="Palatino Linotype" w:hAnsi="Palatino Linotype" w:cs="Palatino Linotype"/>
          <w:b/>
          <w:color w:val="000000" w:themeColor="text1"/>
          <w:sz w:val="24"/>
          <w:szCs w:val="24"/>
        </w:rPr>
        <w:t>10323/INFOEM/IP/RR/2025</w:t>
      </w:r>
      <w:r w:rsidRPr="00CF7E48">
        <w:rPr>
          <w:rFonts w:ascii="Palatino Linotype" w:eastAsia="Palatino Linotype" w:hAnsi="Palatino Linotype" w:cs="Palatino Linotype"/>
          <w:color w:val="000000" w:themeColor="text1"/>
          <w:sz w:val="24"/>
          <w:szCs w:val="24"/>
        </w:rPr>
        <w:t>, que ha sido materia del presente fallo.</w:t>
      </w:r>
    </w:p>
    <w:p w:rsidR="002B650A" w:rsidRPr="00CF7E48" w:rsidRDefault="002B650A" w:rsidP="00CF7E48">
      <w:pPr>
        <w:spacing w:after="0" w:line="360" w:lineRule="auto"/>
        <w:ind w:right="49"/>
        <w:jc w:val="both"/>
        <w:rPr>
          <w:rFonts w:ascii="Palatino Linotype" w:eastAsia="Palatino Linotype" w:hAnsi="Palatino Linotype" w:cs="Palatino Linotype"/>
          <w:color w:val="000000" w:themeColor="text1"/>
          <w:sz w:val="24"/>
          <w:szCs w:val="24"/>
        </w:rPr>
      </w:pPr>
    </w:p>
    <w:p w:rsidR="002B650A" w:rsidRPr="00CF7E48" w:rsidRDefault="002B650A" w:rsidP="00CF7E48">
      <w:pPr>
        <w:numPr>
          <w:ilvl w:val="0"/>
          <w:numId w:val="9"/>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CF7E48">
        <w:rPr>
          <w:rFonts w:ascii="Palatino Linotype" w:eastAsia="Palatino Linotype" w:hAnsi="Palatino Linotype" w:cs="Palatino Linotype"/>
          <w:color w:val="000000" w:themeColor="text1"/>
          <w:sz w:val="24"/>
          <w:szCs w:val="24"/>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la Ley de </w:t>
      </w:r>
      <w:r w:rsidRPr="00CF7E48">
        <w:rPr>
          <w:rFonts w:ascii="Palatino Linotype" w:eastAsia="Palatino Linotype" w:hAnsi="Palatino Linotype" w:cs="Palatino Linotype"/>
          <w:color w:val="000000" w:themeColor="text1"/>
          <w:sz w:val="24"/>
          <w:szCs w:val="24"/>
        </w:rPr>
        <w:lastRenderedPageBreak/>
        <w:t>Transparencia y Acceso a la Información Pública del Estado de México y Municipios, este Pleno:</w:t>
      </w:r>
    </w:p>
    <w:p w:rsidR="002B650A" w:rsidRPr="00CF7E48" w:rsidRDefault="002B650A" w:rsidP="00CF7E48">
      <w:pPr>
        <w:pStyle w:val="Prrafodelista"/>
        <w:tabs>
          <w:tab w:val="left" w:pos="426"/>
        </w:tabs>
        <w:spacing w:line="360" w:lineRule="auto"/>
        <w:ind w:left="0" w:right="49"/>
        <w:jc w:val="both"/>
        <w:rPr>
          <w:rFonts w:ascii="Palatino Linotype" w:hAnsi="Palatino Linotype" w:cs="Tahoma"/>
          <w:color w:val="000000" w:themeColor="text1"/>
          <w:lang w:val="es-ES"/>
        </w:rPr>
      </w:pPr>
    </w:p>
    <w:p w:rsidR="002B650A" w:rsidRPr="00CF7E48" w:rsidRDefault="002B650A" w:rsidP="00CF7E48">
      <w:pPr>
        <w:pStyle w:val="Ttulo1"/>
        <w:spacing w:before="0" w:line="360" w:lineRule="auto"/>
        <w:ind w:right="49"/>
        <w:jc w:val="center"/>
        <w:rPr>
          <w:rFonts w:ascii="Palatino Linotype" w:eastAsia="Calibri" w:hAnsi="Palatino Linotype"/>
          <w:b/>
          <w:color w:val="000000" w:themeColor="text1"/>
          <w:sz w:val="24"/>
          <w:szCs w:val="24"/>
          <w:lang w:val="es-ES"/>
        </w:rPr>
      </w:pPr>
      <w:bookmarkStart w:id="10" w:name="_Toc504500693"/>
      <w:bookmarkStart w:id="11" w:name="_Toc534742545"/>
      <w:bookmarkStart w:id="12" w:name="_Toc2248738"/>
      <w:bookmarkStart w:id="13" w:name="_Toc34819440"/>
      <w:bookmarkStart w:id="14" w:name="_Toc51259595"/>
      <w:bookmarkStart w:id="15" w:name="_Toc83128595"/>
      <w:r w:rsidRPr="00CF7E48">
        <w:rPr>
          <w:rFonts w:ascii="Palatino Linotype" w:eastAsia="Calibri" w:hAnsi="Palatino Linotype"/>
          <w:b/>
          <w:color w:val="000000" w:themeColor="text1"/>
          <w:sz w:val="24"/>
          <w:szCs w:val="24"/>
          <w:lang w:val="es-ES"/>
        </w:rPr>
        <w:t>R E S O L U T I V O S</w:t>
      </w:r>
      <w:bookmarkEnd w:id="10"/>
      <w:bookmarkEnd w:id="11"/>
      <w:bookmarkEnd w:id="12"/>
      <w:bookmarkEnd w:id="13"/>
      <w:bookmarkEnd w:id="14"/>
      <w:bookmarkEnd w:id="15"/>
    </w:p>
    <w:p w:rsidR="002B650A" w:rsidRPr="00CF7E48" w:rsidRDefault="002B650A" w:rsidP="00CF7E48">
      <w:pPr>
        <w:ind w:right="49"/>
        <w:rPr>
          <w:rFonts w:ascii="Palatino Linotype" w:hAnsi="Palatino Linotype"/>
          <w:color w:val="000000" w:themeColor="text1"/>
          <w:sz w:val="24"/>
          <w:szCs w:val="24"/>
          <w:lang w:val="es-ES"/>
        </w:rPr>
      </w:pPr>
    </w:p>
    <w:p w:rsidR="002B650A" w:rsidRPr="00CF7E48" w:rsidRDefault="00CF7E48" w:rsidP="00CF7E48">
      <w:pPr>
        <w:pBdr>
          <w:top w:val="nil"/>
          <w:left w:val="nil"/>
          <w:bottom w:val="nil"/>
          <w:right w:val="nil"/>
          <w:between w:val="nil"/>
        </w:pBdr>
        <w:tabs>
          <w:tab w:val="left" w:pos="7936"/>
          <w:tab w:val="left" w:pos="8505"/>
        </w:tabs>
        <w:spacing w:before="240" w:after="240" w:line="360" w:lineRule="auto"/>
        <w:ind w:right="49"/>
        <w:jc w:val="both"/>
        <w:rPr>
          <w:rFonts w:ascii="Palatino Linotype" w:eastAsia="Palatino Linotype" w:hAnsi="Palatino Linotype" w:cs="Palatino Linotype"/>
          <w:color w:val="000000" w:themeColor="text1"/>
          <w:sz w:val="24"/>
          <w:szCs w:val="24"/>
        </w:rPr>
      </w:pPr>
      <w:r w:rsidRPr="00CF7E48">
        <w:rPr>
          <w:rFonts w:ascii="Palatino Linotype" w:eastAsia="Palatino Linotype" w:hAnsi="Palatino Linotype" w:cs="Palatino Linotype"/>
          <w:b/>
          <w:color w:val="000000" w:themeColor="text1"/>
          <w:sz w:val="24"/>
          <w:szCs w:val="24"/>
        </w:rPr>
        <w:t>PRIMERO.</w:t>
      </w:r>
      <w:r w:rsidR="002B650A" w:rsidRPr="00CF7E48">
        <w:rPr>
          <w:rFonts w:ascii="Palatino Linotype" w:eastAsia="Palatino Linotype" w:hAnsi="Palatino Linotype" w:cs="Palatino Linotype"/>
          <w:b/>
          <w:color w:val="000000" w:themeColor="text1"/>
          <w:sz w:val="24"/>
          <w:szCs w:val="24"/>
        </w:rPr>
        <w:t xml:space="preserve"> </w:t>
      </w:r>
      <w:r w:rsidR="002B650A" w:rsidRPr="00CF7E48">
        <w:rPr>
          <w:rFonts w:ascii="Palatino Linotype" w:eastAsia="Palatino Linotype" w:hAnsi="Palatino Linotype" w:cs="Palatino Linotype"/>
          <w:color w:val="000000" w:themeColor="text1"/>
          <w:sz w:val="24"/>
          <w:szCs w:val="24"/>
        </w:rPr>
        <w:t>Se</w:t>
      </w:r>
      <w:r w:rsidR="002B650A" w:rsidRPr="00CF7E48">
        <w:rPr>
          <w:rFonts w:ascii="Palatino Linotype" w:eastAsia="Palatino Linotype" w:hAnsi="Palatino Linotype" w:cs="Palatino Linotype"/>
          <w:b/>
          <w:color w:val="000000" w:themeColor="text1"/>
          <w:sz w:val="24"/>
          <w:szCs w:val="24"/>
        </w:rPr>
        <w:t xml:space="preserve"> Sobresee </w:t>
      </w:r>
      <w:r w:rsidR="002B650A" w:rsidRPr="00CF7E48">
        <w:rPr>
          <w:rFonts w:ascii="Palatino Linotype" w:eastAsia="Palatino Linotype" w:hAnsi="Palatino Linotype" w:cs="Palatino Linotype"/>
          <w:color w:val="000000" w:themeColor="text1"/>
          <w:sz w:val="24"/>
          <w:szCs w:val="24"/>
        </w:rPr>
        <w:t xml:space="preserve">el recurso de revisión número </w:t>
      </w:r>
      <w:r w:rsidR="002B650A" w:rsidRPr="00CF7E48">
        <w:rPr>
          <w:rFonts w:ascii="Palatino Linotype" w:eastAsia="Palatino Linotype" w:hAnsi="Palatino Linotype" w:cs="Palatino Linotype"/>
          <w:b/>
          <w:color w:val="000000" w:themeColor="text1"/>
          <w:sz w:val="24"/>
          <w:szCs w:val="24"/>
        </w:rPr>
        <w:t xml:space="preserve">10323/INFOEM/IP/RR/2025, </w:t>
      </w:r>
      <w:r w:rsidR="002B650A" w:rsidRPr="00CF7E48">
        <w:rPr>
          <w:rFonts w:ascii="Palatino Linotype" w:eastAsia="Palatino Linotype" w:hAnsi="Palatino Linotype" w:cs="Palatino Linotype"/>
          <w:color w:val="000000" w:themeColor="text1"/>
          <w:sz w:val="24"/>
          <w:szCs w:val="24"/>
        </w:rPr>
        <w:t xml:space="preserve">porque una vez admitido se actualizó la causal de improcedencia </w:t>
      </w:r>
      <w:r w:rsidR="002B650A" w:rsidRPr="00AC56EB">
        <w:rPr>
          <w:rFonts w:ascii="Palatino Linotype" w:eastAsia="Palatino Linotype" w:hAnsi="Palatino Linotype" w:cs="Palatino Linotype"/>
          <w:color w:val="000000" w:themeColor="text1"/>
          <w:sz w:val="24"/>
          <w:szCs w:val="24"/>
        </w:rPr>
        <w:t>prevista en artículo 192 fracción IV, en relación con la fracción VII del artículo 191, de la Ley de Trans</w:t>
      </w:r>
      <w:r w:rsidR="00672EAF" w:rsidRPr="00AC56EB">
        <w:rPr>
          <w:rFonts w:ascii="Palatino Linotype" w:eastAsia="Palatino Linotype" w:hAnsi="Palatino Linotype" w:cs="Palatino Linotype"/>
          <w:color w:val="000000" w:themeColor="text1"/>
          <w:sz w:val="24"/>
          <w:szCs w:val="24"/>
        </w:rPr>
        <w:t>parencia</w:t>
      </w:r>
      <w:r w:rsidR="00672EAF" w:rsidRPr="00CF7E48">
        <w:rPr>
          <w:rFonts w:ascii="Palatino Linotype" w:eastAsia="Palatino Linotype" w:hAnsi="Palatino Linotype" w:cs="Palatino Linotype"/>
          <w:color w:val="000000" w:themeColor="text1"/>
          <w:sz w:val="24"/>
          <w:szCs w:val="24"/>
        </w:rPr>
        <w:t xml:space="preserve"> vigente en la entidad, </w:t>
      </w:r>
      <w:r w:rsidR="002B650A" w:rsidRPr="00CF7E48">
        <w:rPr>
          <w:rFonts w:ascii="Palatino Linotype" w:eastAsia="Palatino Linotype" w:hAnsi="Palatino Linotype" w:cs="Palatino Linotype"/>
          <w:color w:val="000000" w:themeColor="text1"/>
          <w:sz w:val="24"/>
          <w:szCs w:val="24"/>
        </w:rPr>
        <w:t>en términos del Considerando</w:t>
      </w:r>
      <w:r w:rsidR="002B650A" w:rsidRPr="00CF7E48">
        <w:rPr>
          <w:rFonts w:ascii="Palatino Linotype" w:eastAsia="Palatino Linotype" w:hAnsi="Palatino Linotype" w:cs="Palatino Linotype"/>
          <w:b/>
          <w:color w:val="000000" w:themeColor="text1"/>
          <w:sz w:val="24"/>
          <w:szCs w:val="24"/>
        </w:rPr>
        <w:t xml:space="preserve"> Tercero d</w:t>
      </w:r>
      <w:r w:rsidR="002B650A" w:rsidRPr="00CF7E48">
        <w:rPr>
          <w:rFonts w:ascii="Palatino Linotype" w:eastAsia="Palatino Linotype" w:hAnsi="Palatino Linotype" w:cs="Palatino Linotype"/>
          <w:color w:val="000000" w:themeColor="text1"/>
          <w:sz w:val="24"/>
          <w:szCs w:val="24"/>
        </w:rPr>
        <w:t>e la presente resolución.</w:t>
      </w:r>
    </w:p>
    <w:p w:rsidR="002B650A" w:rsidRPr="00CF7E48" w:rsidRDefault="00CF7E48" w:rsidP="00CF7E48">
      <w:pPr>
        <w:pBdr>
          <w:top w:val="nil"/>
          <w:left w:val="nil"/>
          <w:bottom w:val="nil"/>
          <w:right w:val="nil"/>
          <w:between w:val="nil"/>
        </w:pBdr>
        <w:tabs>
          <w:tab w:val="left" w:pos="7936"/>
          <w:tab w:val="left" w:pos="8505"/>
        </w:tabs>
        <w:spacing w:before="240" w:after="240" w:line="360" w:lineRule="auto"/>
        <w:ind w:right="49"/>
        <w:jc w:val="both"/>
        <w:rPr>
          <w:rFonts w:ascii="Palatino Linotype" w:eastAsia="Palatino Linotype" w:hAnsi="Palatino Linotype" w:cs="Palatino Linotype"/>
          <w:color w:val="000000" w:themeColor="text1"/>
          <w:sz w:val="24"/>
          <w:szCs w:val="24"/>
        </w:rPr>
      </w:pPr>
      <w:r w:rsidRPr="00CF7E48">
        <w:rPr>
          <w:rFonts w:ascii="Palatino Linotype" w:eastAsia="Palatino Linotype" w:hAnsi="Palatino Linotype" w:cs="Palatino Linotype"/>
          <w:b/>
          <w:color w:val="000000" w:themeColor="text1"/>
          <w:sz w:val="24"/>
          <w:szCs w:val="24"/>
        </w:rPr>
        <w:t xml:space="preserve">SEGUNDO. </w:t>
      </w:r>
      <w:r w:rsidR="002B650A" w:rsidRPr="00CF7E48">
        <w:rPr>
          <w:rFonts w:ascii="Palatino Linotype" w:eastAsia="Palatino Linotype" w:hAnsi="Palatino Linotype" w:cs="Palatino Linotype"/>
          <w:b/>
          <w:color w:val="000000" w:themeColor="text1"/>
          <w:sz w:val="24"/>
          <w:szCs w:val="24"/>
        </w:rPr>
        <w:t xml:space="preserve">Notifíquese, </w:t>
      </w:r>
      <w:r w:rsidR="002B650A" w:rsidRPr="00CF7E48">
        <w:rPr>
          <w:rFonts w:ascii="Palatino Linotype" w:eastAsia="Palatino Linotype" w:hAnsi="Palatino Linotype" w:cs="Palatino Linotype"/>
          <w:color w:val="000000" w:themeColor="text1"/>
          <w:sz w:val="24"/>
          <w:szCs w:val="24"/>
        </w:rPr>
        <w:t>vía</w:t>
      </w:r>
      <w:r w:rsidR="002B650A" w:rsidRPr="00CF7E48">
        <w:rPr>
          <w:rFonts w:ascii="Palatino Linotype" w:eastAsia="Palatino Linotype" w:hAnsi="Palatino Linotype" w:cs="Palatino Linotype"/>
          <w:b/>
          <w:color w:val="000000" w:themeColor="text1"/>
          <w:sz w:val="24"/>
          <w:szCs w:val="24"/>
        </w:rPr>
        <w:t xml:space="preserve"> SAIMEX,</w:t>
      </w:r>
      <w:r w:rsidR="002B650A" w:rsidRPr="00CF7E48">
        <w:rPr>
          <w:rFonts w:ascii="Palatino Linotype" w:eastAsia="Palatino Linotype" w:hAnsi="Palatino Linotype" w:cs="Palatino Linotype"/>
          <w:color w:val="000000" w:themeColor="text1"/>
          <w:sz w:val="24"/>
          <w:szCs w:val="24"/>
        </w:rPr>
        <w:t xml:space="preserve"> al Responsable de la Unidad de Transparencia del </w:t>
      </w:r>
      <w:r w:rsidR="002B650A" w:rsidRPr="00CF7E48">
        <w:rPr>
          <w:rFonts w:ascii="Palatino Linotype" w:eastAsia="Palatino Linotype" w:hAnsi="Palatino Linotype" w:cs="Palatino Linotype"/>
          <w:b/>
          <w:color w:val="000000" w:themeColor="text1"/>
          <w:sz w:val="24"/>
          <w:szCs w:val="24"/>
        </w:rPr>
        <w:t>Sujeto Obligado</w:t>
      </w:r>
      <w:r w:rsidR="002B650A" w:rsidRPr="00CF7E48">
        <w:rPr>
          <w:rFonts w:ascii="Palatino Linotype" w:eastAsia="Palatino Linotype" w:hAnsi="Palatino Linotype" w:cs="Palatino Linotype"/>
          <w:color w:val="000000" w:themeColor="text1"/>
          <w:sz w:val="24"/>
          <w:szCs w:val="24"/>
        </w:rPr>
        <w:t xml:space="preserve"> la presente resolución, para su conocimiento.</w:t>
      </w:r>
    </w:p>
    <w:p w:rsidR="002B650A" w:rsidRPr="00CF7E48" w:rsidRDefault="002B650A" w:rsidP="00CF7E48">
      <w:pPr>
        <w:pStyle w:val="Prrafodelista"/>
        <w:widowControl w:val="0"/>
        <w:tabs>
          <w:tab w:val="left" w:pos="1701"/>
          <w:tab w:val="left" w:pos="8505"/>
        </w:tabs>
        <w:autoSpaceDE w:val="0"/>
        <w:autoSpaceDN w:val="0"/>
        <w:adjustRightInd w:val="0"/>
        <w:spacing w:before="240" w:after="240" w:line="360" w:lineRule="auto"/>
        <w:ind w:left="0" w:right="49"/>
        <w:jc w:val="both"/>
        <w:rPr>
          <w:rFonts w:ascii="Palatino Linotype" w:hAnsi="Palatino Linotype"/>
          <w:color w:val="000000" w:themeColor="text1"/>
          <w:lang w:eastAsia="es-ES_tradnl"/>
        </w:rPr>
      </w:pPr>
      <w:r w:rsidRPr="00CF7E48">
        <w:rPr>
          <w:rFonts w:ascii="Palatino Linotype" w:hAnsi="Palatino Linotype" w:cs="Arial"/>
          <w:b/>
          <w:color w:val="000000" w:themeColor="text1"/>
        </w:rPr>
        <w:t>TERCERO</w:t>
      </w:r>
      <w:r w:rsidRPr="00CF7E48">
        <w:rPr>
          <w:rFonts w:ascii="Palatino Linotype" w:hAnsi="Palatino Linotype"/>
          <w:b/>
          <w:color w:val="000000" w:themeColor="text1"/>
          <w:lang w:eastAsia="es-ES_tradnl"/>
        </w:rPr>
        <w:t xml:space="preserve">. Notifíquese </w:t>
      </w:r>
      <w:r w:rsidRPr="00CF7E48">
        <w:rPr>
          <w:rFonts w:ascii="Palatino Linotype" w:hAnsi="Palatino Linotype"/>
          <w:color w:val="000000" w:themeColor="text1"/>
          <w:lang w:eastAsia="es-ES_tradnl"/>
        </w:rPr>
        <w:t>a</w:t>
      </w:r>
      <w:r w:rsidRPr="00CF7E48">
        <w:rPr>
          <w:rFonts w:ascii="Palatino Linotype" w:hAnsi="Palatino Linotype"/>
          <w:b/>
          <w:color w:val="000000" w:themeColor="text1"/>
          <w:lang w:eastAsia="es-ES_tradnl"/>
        </w:rPr>
        <w:t xml:space="preserve"> </w:t>
      </w:r>
      <w:r w:rsidRPr="00CF7E48">
        <w:rPr>
          <w:rFonts w:ascii="Palatino Linotype" w:hAnsi="Palatino Linotype"/>
          <w:b/>
          <w:color w:val="000000" w:themeColor="text1"/>
        </w:rPr>
        <w:t>EL RECURRENTE</w:t>
      </w:r>
      <w:r w:rsidRPr="00CF7E48">
        <w:rPr>
          <w:rFonts w:ascii="Palatino Linotype" w:hAnsi="Palatino Linotype"/>
          <w:color w:val="000000" w:themeColor="text1"/>
          <w:lang w:eastAsia="es-ES_tradnl"/>
        </w:rPr>
        <w:t xml:space="preserve"> la presente resolución, vía </w:t>
      </w:r>
      <w:r w:rsidRPr="00CF7E48">
        <w:rPr>
          <w:rFonts w:ascii="Palatino Linotype" w:hAnsi="Palatino Linotype"/>
          <w:b/>
          <w:color w:val="000000" w:themeColor="text1"/>
          <w:lang w:eastAsia="es-ES_tradnl"/>
        </w:rPr>
        <w:t>SAIMEX</w:t>
      </w:r>
      <w:r w:rsidRPr="00CF7E48">
        <w:rPr>
          <w:rFonts w:ascii="Palatino Linotype" w:hAnsi="Palatino Linotype"/>
          <w:color w:val="000000" w:themeColor="text1"/>
          <w:lang w:eastAsia="es-ES_tradnl"/>
        </w:rPr>
        <w:t>.</w:t>
      </w:r>
    </w:p>
    <w:p w:rsidR="002B650A" w:rsidRPr="00CF7E48" w:rsidRDefault="002B650A" w:rsidP="00CF7E48">
      <w:pPr>
        <w:pStyle w:val="Prrafodelista"/>
        <w:widowControl w:val="0"/>
        <w:tabs>
          <w:tab w:val="left" w:pos="1701"/>
          <w:tab w:val="left" w:pos="8505"/>
        </w:tabs>
        <w:autoSpaceDE w:val="0"/>
        <w:autoSpaceDN w:val="0"/>
        <w:adjustRightInd w:val="0"/>
        <w:spacing w:before="240" w:after="240" w:line="360" w:lineRule="auto"/>
        <w:ind w:left="0" w:right="49"/>
        <w:jc w:val="both"/>
        <w:rPr>
          <w:rFonts w:ascii="Palatino Linotype" w:hAnsi="Palatino Linotype"/>
          <w:color w:val="000000" w:themeColor="text1"/>
          <w:lang w:eastAsia="es-ES_tradnl"/>
        </w:rPr>
      </w:pPr>
    </w:p>
    <w:p w:rsidR="002B650A" w:rsidRPr="00CF7E48" w:rsidRDefault="002B650A" w:rsidP="00CF7E48">
      <w:pPr>
        <w:pStyle w:val="Prrafodelista"/>
        <w:widowControl w:val="0"/>
        <w:tabs>
          <w:tab w:val="left" w:pos="1701"/>
          <w:tab w:val="left" w:pos="8505"/>
        </w:tabs>
        <w:autoSpaceDE w:val="0"/>
        <w:autoSpaceDN w:val="0"/>
        <w:adjustRightInd w:val="0"/>
        <w:spacing w:line="360" w:lineRule="auto"/>
        <w:ind w:left="0" w:right="49"/>
        <w:jc w:val="both"/>
        <w:rPr>
          <w:rFonts w:ascii="Palatino Linotype" w:eastAsia="MS Mincho" w:hAnsi="Palatino Linotype"/>
          <w:color w:val="000000" w:themeColor="text1"/>
        </w:rPr>
      </w:pPr>
      <w:r w:rsidRPr="00CF7E48">
        <w:rPr>
          <w:rFonts w:ascii="Palatino Linotype" w:hAnsi="Palatino Linotype"/>
          <w:b/>
          <w:color w:val="000000" w:themeColor="text1"/>
          <w:lang w:eastAsia="es-ES_tradnl"/>
        </w:rPr>
        <w:t xml:space="preserve">CUARTO. </w:t>
      </w:r>
      <w:r w:rsidRPr="00CF7E48">
        <w:rPr>
          <w:rFonts w:ascii="Palatino Linotype" w:eastAsia="MS Mincho" w:hAnsi="Palatino Linotype"/>
          <w:color w:val="000000" w:themeColor="text1"/>
        </w:rPr>
        <w:t xml:space="preserve">Se hace del conocimiento de </w:t>
      </w:r>
      <w:r w:rsidRPr="00CF7E48">
        <w:rPr>
          <w:rFonts w:ascii="Palatino Linotype" w:eastAsia="MS Mincho" w:hAnsi="Palatino Linotype"/>
          <w:b/>
          <w:color w:val="000000" w:themeColor="text1"/>
        </w:rPr>
        <w:t>EL RECURRENTE</w:t>
      </w:r>
      <w:r w:rsidRPr="00CF7E48">
        <w:rPr>
          <w:rFonts w:ascii="Palatino Linotype" w:hAnsi="Palatino Linotype"/>
          <w:color w:val="000000" w:themeColor="text1"/>
        </w:rPr>
        <w:t xml:space="preserve"> </w:t>
      </w:r>
      <w:r w:rsidRPr="00CF7E48">
        <w:rPr>
          <w:rFonts w:ascii="Palatino Linotype" w:eastAsia="MS Mincho" w:hAnsi="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w:t>
      </w:r>
      <w:r w:rsidRPr="00CF7E48">
        <w:rPr>
          <w:rFonts w:ascii="Palatino Linotype" w:eastAsia="MS Mincho" w:hAnsi="Palatino Linotype"/>
          <w:bCs/>
          <w:color w:val="000000" w:themeColor="text1"/>
        </w:rPr>
        <w:t>vía juicio de amparo</w:t>
      </w:r>
      <w:r w:rsidRPr="00CF7E48">
        <w:rPr>
          <w:rFonts w:ascii="Palatino Linotype" w:eastAsia="MS Mincho" w:hAnsi="Palatino Linotype"/>
          <w:color w:val="000000" w:themeColor="text1"/>
        </w:rPr>
        <w:t> en los términos de las leyes aplicables.</w:t>
      </w:r>
    </w:p>
    <w:p w:rsidR="002B650A" w:rsidRDefault="002B650A" w:rsidP="00CF7E48">
      <w:pPr>
        <w:pStyle w:val="Prrafodelista"/>
        <w:widowControl w:val="0"/>
        <w:tabs>
          <w:tab w:val="left" w:pos="1701"/>
          <w:tab w:val="left" w:pos="8505"/>
        </w:tabs>
        <w:autoSpaceDE w:val="0"/>
        <w:autoSpaceDN w:val="0"/>
        <w:adjustRightInd w:val="0"/>
        <w:spacing w:line="360" w:lineRule="auto"/>
        <w:ind w:left="0" w:right="49"/>
        <w:jc w:val="both"/>
        <w:rPr>
          <w:rFonts w:ascii="Palatino Linotype" w:hAnsi="Palatino Linotype"/>
          <w:color w:val="000000" w:themeColor="text1"/>
          <w:lang w:eastAsia="es-ES_tradnl"/>
        </w:rPr>
      </w:pPr>
    </w:p>
    <w:p w:rsidR="00CF7E48" w:rsidRPr="00444783" w:rsidRDefault="00CF7E48" w:rsidP="00CF7E48">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575AE2">
        <w:rPr>
          <w:rFonts w:ascii="Palatino Linotype" w:eastAsia="Palatino Linotype" w:hAnsi="Palatino Linotype" w:cs="Palatino Linotype"/>
          <w:sz w:val="24"/>
          <w:szCs w:val="24"/>
        </w:rPr>
        <w:lastRenderedPageBreak/>
        <w:t xml:space="preserve">AYALA, SHARON CRISTINA MORALES MARTÍNEZ, LUIS GUSTAVO PARRA NORIEGA Y GUADALUPE RAMÍREZ PEÑA; </w:t>
      </w:r>
      <w:r w:rsidR="004253AA" w:rsidRPr="00575AE2">
        <w:rPr>
          <w:rFonts w:ascii="Palatino Linotype" w:eastAsia="Palatino Linotype" w:hAnsi="Palatino Linotype" w:cs="Palatino Linotype"/>
          <w:sz w:val="24"/>
          <w:szCs w:val="24"/>
        </w:rPr>
        <w:t xml:space="preserve">EN LA </w:t>
      </w:r>
      <w:r w:rsidR="004253AA">
        <w:rPr>
          <w:rFonts w:ascii="Palatino Linotype" w:eastAsia="Palatino Linotype" w:hAnsi="Palatino Linotype" w:cs="Palatino Linotype"/>
          <w:sz w:val="24"/>
          <w:szCs w:val="24"/>
        </w:rPr>
        <w:t xml:space="preserve">CUADRAGÉSIMA </w:t>
      </w:r>
      <w:r w:rsidR="004253AA" w:rsidRPr="00575AE2">
        <w:rPr>
          <w:rFonts w:ascii="Palatino Linotype" w:eastAsia="Palatino Linotype" w:hAnsi="Palatino Linotype" w:cs="Palatino Linotype"/>
          <w:sz w:val="24"/>
          <w:szCs w:val="24"/>
        </w:rPr>
        <w:t>SESIÓN ORDINARIA, CELEBRADA EL</w:t>
      </w:r>
      <w:r w:rsidR="004253AA">
        <w:rPr>
          <w:rFonts w:ascii="Palatino Linotype" w:eastAsia="Palatino Linotype" w:hAnsi="Palatino Linotype" w:cs="Palatino Linotype"/>
          <w:sz w:val="24"/>
          <w:szCs w:val="24"/>
        </w:rPr>
        <w:t xml:space="preserve"> DOCE (12</w:t>
      </w:r>
      <w:r w:rsidR="004253AA" w:rsidRPr="00575AE2">
        <w:rPr>
          <w:rFonts w:ascii="Palatino Linotype" w:eastAsia="Palatino Linotype" w:hAnsi="Palatino Linotype" w:cs="Palatino Linotype"/>
          <w:sz w:val="24"/>
          <w:szCs w:val="24"/>
        </w:rPr>
        <w:t xml:space="preserve">) DE </w:t>
      </w:r>
      <w:r w:rsidR="004253AA">
        <w:rPr>
          <w:rFonts w:ascii="Palatino Linotype" w:eastAsia="Palatino Linotype" w:hAnsi="Palatino Linotype" w:cs="Palatino Linotype"/>
          <w:sz w:val="24"/>
          <w:szCs w:val="24"/>
        </w:rPr>
        <w:t>NOVIEMBRE</w:t>
      </w:r>
      <w:r>
        <w:rPr>
          <w:rFonts w:ascii="Palatino Linotype" w:eastAsia="Palatino Linotype" w:hAnsi="Palatino Linotype" w:cs="Palatino Linotype"/>
          <w:sz w:val="24"/>
          <w:szCs w:val="24"/>
        </w:rPr>
        <w:t xml:space="preserve"> </w:t>
      </w:r>
      <w:r w:rsidRPr="00575AE2">
        <w:rPr>
          <w:rFonts w:ascii="Palatino Linotype" w:eastAsia="Palatino Linotype" w:hAnsi="Palatino Linotype" w:cs="Palatino Linotype"/>
          <w:sz w:val="24"/>
          <w:szCs w:val="24"/>
        </w:rPr>
        <w:t>DE DOS MIL VEINTICINCO, ANTE EL SECRETARIO TÉCNICO DEL PLENO ALEXIS TAPIA RAMÍREZ.</w:t>
      </w:r>
    </w:p>
    <w:p w:rsidR="002B650A" w:rsidRPr="00CF7E48" w:rsidRDefault="002B650A" w:rsidP="00CF7E48">
      <w:pPr>
        <w:tabs>
          <w:tab w:val="left" w:pos="8505"/>
        </w:tabs>
        <w:spacing w:line="360" w:lineRule="auto"/>
        <w:ind w:right="49"/>
        <w:jc w:val="both"/>
        <w:rPr>
          <w:rFonts w:ascii="Palatino Linotype" w:hAnsi="Palatino Linotype"/>
          <w:color w:val="000000" w:themeColor="text1"/>
          <w:sz w:val="24"/>
          <w:szCs w:val="24"/>
        </w:rPr>
      </w:pPr>
    </w:p>
    <w:p w:rsidR="002B650A" w:rsidRPr="00CF7E48" w:rsidRDefault="002B650A" w:rsidP="00CF7E48">
      <w:pPr>
        <w:tabs>
          <w:tab w:val="left" w:pos="8505"/>
        </w:tabs>
        <w:spacing w:line="360" w:lineRule="auto"/>
        <w:ind w:right="49"/>
        <w:jc w:val="both"/>
        <w:rPr>
          <w:rFonts w:ascii="Palatino Linotype" w:hAnsi="Palatino Linotype"/>
          <w:color w:val="000000" w:themeColor="text1"/>
          <w:sz w:val="24"/>
          <w:szCs w:val="24"/>
        </w:rPr>
      </w:pPr>
    </w:p>
    <w:p w:rsidR="002B650A" w:rsidRPr="00CF7E48" w:rsidRDefault="002B650A" w:rsidP="00CF7E48">
      <w:pPr>
        <w:tabs>
          <w:tab w:val="left" w:pos="8505"/>
        </w:tabs>
        <w:spacing w:line="360" w:lineRule="auto"/>
        <w:ind w:right="49"/>
        <w:jc w:val="both"/>
        <w:rPr>
          <w:rFonts w:ascii="Palatino Linotype" w:hAnsi="Palatino Linotype"/>
          <w:color w:val="000000" w:themeColor="text1"/>
          <w:sz w:val="24"/>
          <w:szCs w:val="24"/>
        </w:rPr>
      </w:pPr>
    </w:p>
    <w:p w:rsidR="002B650A" w:rsidRPr="00CF7E48" w:rsidRDefault="002B650A" w:rsidP="00CF7E48">
      <w:pPr>
        <w:spacing w:line="360" w:lineRule="auto"/>
        <w:ind w:right="49"/>
        <w:jc w:val="both"/>
        <w:rPr>
          <w:rFonts w:ascii="Palatino Linotype" w:hAnsi="Palatino Linotype"/>
          <w:color w:val="000000" w:themeColor="text1"/>
          <w:sz w:val="24"/>
          <w:szCs w:val="24"/>
        </w:rPr>
      </w:pPr>
    </w:p>
    <w:p w:rsidR="002B650A" w:rsidRPr="00CF7E48" w:rsidRDefault="002B650A" w:rsidP="00CF7E48">
      <w:pPr>
        <w:spacing w:line="360" w:lineRule="auto"/>
        <w:ind w:right="49"/>
        <w:jc w:val="both"/>
        <w:rPr>
          <w:rFonts w:ascii="Palatino Linotype" w:hAnsi="Palatino Linotype"/>
          <w:color w:val="000000" w:themeColor="text1"/>
          <w:sz w:val="24"/>
          <w:szCs w:val="24"/>
        </w:rPr>
      </w:pPr>
    </w:p>
    <w:p w:rsidR="002B650A" w:rsidRPr="00CF7E48" w:rsidRDefault="002B650A" w:rsidP="00CF7E48">
      <w:pPr>
        <w:spacing w:line="360" w:lineRule="auto"/>
        <w:ind w:right="49"/>
        <w:jc w:val="both"/>
        <w:rPr>
          <w:rFonts w:ascii="Palatino Linotype" w:hAnsi="Palatino Linotype"/>
          <w:color w:val="000000" w:themeColor="text1"/>
          <w:sz w:val="24"/>
          <w:szCs w:val="24"/>
        </w:rPr>
      </w:pPr>
    </w:p>
    <w:p w:rsidR="002B650A" w:rsidRPr="00CF7E48" w:rsidRDefault="002B650A" w:rsidP="00CF7E48">
      <w:pPr>
        <w:spacing w:line="360" w:lineRule="auto"/>
        <w:ind w:right="49"/>
        <w:jc w:val="both"/>
        <w:rPr>
          <w:rFonts w:ascii="Palatino Linotype" w:hAnsi="Palatino Linotype"/>
          <w:color w:val="000000" w:themeColor="text1"/>
          <w:sz w:val="24"/>
          <w:szCs w:val="24"/>
        </w:rPr>
      </w:pPr>
    </w:p>
    <w:p w:rsidR="002B650A" w:rsidRPr="00CF7E48" w:rsidRDefault="002B650A" w:rsidP="00CF7E48">
      <w:pPr>
        <w:spacing w:line="360" w:lineRule="auto"/>
        <w:ind w:right="49"/>
        <w:jc w:val="both"/>
        <w:rPr>
          <w:rFonts w:ascii="Palatino Linotype" w:hAnsi="Palatino Linotype"/>
          <w:color w:val="000000" w:themeColor="text1"/>
          <w:sz w:val="24"/>
          <w:szCs w:val="24"/>
        </w:rPr>
      </w:pPr>
    </w:p>
    <w:p w:rsidR="002B650A" w:rsidRPr="00CF7E48" w:rsidRDefault="002B650A" w:rsidP="00CF7E48">
      <w:pPr>
        <w:spacing w:line="360" w:lineRule="auto"/>
        <w:ind w:right="49"/>
        <w:jc w:val="both"/>
        <w:rPr>
          <w:rFonts w:ascii="Palatino Linotype" w:hAnsi="Palatino Linotype"/>
          <w:color w:val="000000" w:themeColor="text1"/>
          <w:sz w:val="24"/>
          <w:szCs w:val="24"/>
        </w:rPr>
      </w:pPr>
    </w:p>
    <w:p w:rsidR="002B650A" w:rsidRPr="00CF7E48" w:rsidRDefault="002B650A" w:rsidP="00CF7E48">
      <w:pPr>
        <w:ind w:right="49"/>
        <w:rPr>
          <w:rFonts w:ascii="Palatino Linotype" w:hAnsi="Palatino Linotype"/>
          <w:color w:val="000000" w:themeColor="text1"/>
          <w:sz w:val="24"/>
          <w:szCs w:val="24"/>
        </w:rPr>
      </w:pPr>
    </w:p>
    <w:p w:rsidR="002B650A" w:rsidRPr="00CF7E48" w:rsidRDefault="002B650A" w:rsidP="00CF7E48">
      <w:pPr>
        <w:ind w:right="49"/>
        <w:rPr>
          <w:rFonts w:ascii="Palatino Linotype" w:hAnsi="Palatino Linotype"/>
          <w:color w:val="000000" w:themeColor="text1"/>
          <w:sz w:val="24"/>
          <w:szCs w:val="24"/>
        </w:rPr>
      </w:pPr>
    </w:p>
    <w:p w:rsidR="002B650A" w:rsidRPr="00CF7E48" w:rsidRDefault="002B650A" w:rsidP="00CF7E48">
      <w:pPr>
        <w:ind w:right="49"/>
        <w:rPr>
          <w:rFonts w:ascii="Palatino Linotype" w:hAnsi="Palatino Linotype"/>
          <w:color w:val="000000" w:themeColor="text1"/>
          <w:sz w:val="24"/>
          <w:szCs w:val="24"/>
        </w:rPr>
      </w:pPr>
    </w:p>
    <w:p w:rsidR="002B650A" w:rsidRPr="00CF7E48" w:rsidRDefault="002B650A" w:rsidP="00CF7E48">
      <w:pPr>
        <w:ind w:right="49"/>
        <w:rPr>
          <w:rFonts w:ascii="Palatino Linotype" w:hAnsi="Palatino Linotype"/>
          <w:color w:val="000000" w:themeColor="text1"/>
          <w:sz w:val="24"/>
          <w:szCs w:val="24"/>
        </w:rPr>
      </w:pPr>
    </w:p>
    <w:p w:rsidR="002B650A" w:rsidRPr="00CF7E48" w:rsidRDefault="002B650A" w:rsidP="00CF7E48">
      <w:pPr>
        <w:ind w:right="49"/>
        <w:rPr>
          <w:rFonts w:ascii="Palatino Linotype" w:hAnsi="Palatino Linotype"/>
          <w:color w:val="000000" w:themeColor="text1"/>
          <w:sz w:val="24"/>
          <w:szCs w:val="24"/>
        </w:rPr>
      </w:pPr>
    </w:p>
    <w:p w:rsidR="002B650A" w:rsidRPr="00CF7E48" w:rsidRDefault="002B650A" w:rsidP="00CF7E48">
      <w:pPr>
        <w:ind w:right="49"/>
        <w:rPr>
          <w:rFonts w:ascii="Palatino Linotype" w:hAnsi="Palatino Linotype"/>
          <w:color w:val="000000" w:themeColor="text1"/>
          <w:sz w:val="24"/>
          <w:szCs w:val="24"/>
        </w:rPr>
      </w:pPr>
    </w:p>
    <w:p w:rsidR="002B650A" w:rsidRPr="00CF7E48" w:rsidRDefault="002B650A" w:rsidP="00CF7E48">
      <w:pPr>
        <w:ind w:right="49"/>
        <w:rPr>
          <w:rFonts w:ascii="Palatino Linotype" w:hAnsi="Palatino Linotype"/>
          <w:color w:val="000000" w:themeColor="text1"/>
          <w:sz w:val="24"/>
          <w:szCs w:val="24"/>
        </w:rPr>
      </w:pPr>
    </w:p>
    <w:p w:rsidR="002B650A" w:rsidRPr="00CF7E48" w:rsidRDefault="002B650A" w:rsidP="00CF7E48">
      <w:pPr>
        <w:tabs>
          <w:tab w:val="left" w:pos="3374"/>
        </w:tabs>
        <w:ind w:right="49"/>
        <w:rPr>
          <w:rFonts w:ascii="Palatino Linotype" w:hAnsi="Palatino Linotype"/>
          <w:color w:val="000000" w:themeColor="text1"/>
          <w:sz w:val="24"/>
          <w:szCs w:val="24"/>
        </w:rPr>
      </w:pPr>
      <w:r w:rsidRPr="00CF7E48">
        <w:rPr>
          <w:rFonts w:ascii="Palatino Linotype" w:hAnsi="Palatino Linotype"/>
          <w:color w:val="000000" w:themeColor="text1"/>
          <w:sz w:val="24"/>
          <w:szCs w:val="24"/>
        </w:rPr>
        <w:tab/>
      </w:r>
    </w:p>
    <w:p w:rsidR="002B650A" w:rsidRPr="00CF7E48" w:rsidRDefault="002B650A" w:rsidP="00CF7E48">
      <w:pPr>
        <w:tabs>
          <w:tab w:val="left" w:pos="3374"/>
        </w:tabs>
        <w:ind w:right="49"/>
        <w:rPr>
          <w:rFonts w:ascii="Palatino Linotype" w:hAnsi="Palatino Linotype"/>
          <w:color w:val="000000" w:themeColor="text1"/>
          <w:sz w:val="24"/>
          <w:szCs w:val="24"/>
        </w:rPr>
      </w:pPr>
    </w:p>
    <w:sectPr w:rsidR="002B650A" w:rsidRPr="00CF7E48" w:rsidSect="00AC56EB">
      <w:headerReference w:type="even" r:id="rId9"/>
      <w:headerReference w:type="default" r:id="rId10"/>
      <w:footerReference w:type="default" r:id="rId11"/>
      <w:headerReference w:type="first" r:id="rId12"/>
      <w:footerReference w:type="first" r:id="rId13"/>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3AA" w:rsidRDefault="001073AA">
      <w:pPr>
        <w:spacing w:after="0" w:line="240" w:lineRule="auto"/>
      </w:pPr>
      <w:r>
        <w:separator/>
      </w:r>
    </w:p>
  </w:endnote>
  <w:endnote w:type="continuationSeparator" w:id="0">
    <w:p w:rsidR="001073AA" w:rsidRDefault="0010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9F8" w:rsidRDefault="007009F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sidRPr="00BA5221">
      <w:rPr>
        <w:rFonts w:ascii="Palatino Linotype" w:eastAsia="Palatino Linotype" w:hAnsi="Palatino Linotype" w:cs="Palatino Linotype"/>
        <w:color w:val="000000"/>
        <w:szCs w:val="20"/>
      </w:rPr>
      <w:t xml:space="preserve">Página </w:t>
    </w:r>
    <w:r w:rsidRPr="00BA5221">
      <w:rPr>
        <w:rFonts w:ascii="Palatino Linotype" w:eastAsia="Palatino Linotype" w:hAnsi="Palatino Linotype" w:cs="Palatino Linotype"/>
        <w:color w:val="000000"/>
        <w:szCs w:val="20"/>
      </w:rPr>
      <w:fldChar w:fldCharType="begin"/>
    </w:r>
    <w:r w:rsidRPr="00BA5221">
      <w:rPr>
        <w:rFonts w:ascii="Palatino Linotype" w:eastAsia="Palatino Linotype" w:hAnsi="Palatino Linotype" w:cs="Palatino Linotype"/>
        <w:color w:val="000000"/>
        <w:szCs w:val="20"/>
      </w:rPr>
      <w:instrText>PAGE</w:instrText>
    </w:r>
    <w:r w:rsidRPr="00BA5221">
      <w:rPr>
        <w:rFonts w:ascii="Palatino Linotype" w:eastAsia="Palatino Linotype" w:hAnsi="Palatino Linotype" w:cs="Palatino Linotype"/>
        <w:color w:val="000000"/>
        <w:szCs w:val="20"/>
      </w:rPr>
      <w:fldChar w:fldCharType="separate"/>
    </w:r>
    <w:r w:rsidR="003138C5">
      <w:rPr>
        <w:rFonts w:ascii="Palatino Linotype" w:eastAsia="Palatino Linotype" w:hAnsi="Palatino Linotype" w:cs="Palatino Linotype"/>
        <w:noProof/>
        <w:color w:val="000000"/>
        <w:szCs w:val="20"/>
      </w:rPr>
      <w:t>6</w:t>
    </w:r>
    <w:r w:rsidRPr="00BA5221">
      <w:rPr>
        <w:rFonts w:ascii="Palatino Linotype" w:eastAsia="Palatino Linotype" w:hAnsi="Palatino Linotype" w:cs="Palatino Linotype"/>
        <w:color w:val="000000"/>
        <w:szCs w:val="20"/>
      </w:rPr>
      <w:fldChar w:fldCharType="end"/>
    </w:r>
    <w:r w:rsidRPr="00BA5221">
      <w:rPr>
        <w:rFonts w:ascii="Palatino Linotype" w:eastAsia="Palatino Linotype" w:hAnsi="Palatino Linotype" w:cs="Palatino Linotype"/>
        <w:color w:val="000000"/>
        <w:szCs w:val="20"/>
      </w:rPr>
      <w:t xml:space="preserve"> de </w:t>
    </w:r>
    <w:r w:rsidRPr="00BA5221">
      <w:rPr>
        <w:rFonts w:ascii="Palatino Linotype" w:eastAsia="Palatino Linotype" w:hAnsi="Palatino Linotype" w:cs="Palatino Linotype"/>
        <w:color w:val="000000"/>
        <w:szCs w:val="20"/>
      </w:rPr>
      <w:fldChar w:fldCharType="begin"/>
    </w:r>
    <w:r w:rsidRPr="00BA5221">
      <w:rPr>
        <w:rFonts w:ascii="Palatino Linotype" w:eastAsia="Palatino Linotype" w:hAnsi="Palatino Linotype" w:cs="Palatino Linotype"/>
        <w:color w:val="000000"/>
        <w:szCs w:val="20"/>
      </w:rPr>
      <w:instrText>NUMPAGES</w:instrText>
    </w:r>
    <w:r w:rsidRPr="00BA5221">
      <w:rPr>
        <w:rFonts w:ascii="Palatino Linotype" w:eastAsia="Palatino Linotype" w:hAnsi="Palatino Linotype" w:cs="Palatino Linotype"/>
        <w:color w:val="000000"/>
        <w:szCs w:val="20"/>
      </w:rPr>
      <w:fldChar w:fldCharType="separate"/>
    </w:r>
    <w:r w:rsidR="003138C5">
      <w:rPr>
        <w:rFonts w:ascii="Palatino Linotype" w:eastAsia="Palatino Linotype" w:hAnsi="Palatino Linotype" w:cs="Palatino Linotype"/>
        <w:noProof/>
        <w:color w:val="000000"/>
        <w:szCs w:val="20"/>
      </w:rPr>
      <w:t>20</w:t>
    </w:r>
    <w:r w:rsidRPr="00BA5221">
      <w:rPr>
        <w:rFonts w:ascii="Palatino Linotype" w:eastAsia="Palatino Linotype" w:hAnsi="Palatino Linotype" w:cs="Palatino Linotype"/>
        <w:color w:val="000000"/>
        <w:szCs w:val="20"/>
      </w:rPr>
      <w:fldChar w:fldCharType="end"/>
    </w:r>
  </w:p>
  <w:p w:rsidR="007009F8" w:rsidRDefault="007009F8">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9F8" w:rsidRPr="00BA5221" w:rsidRDefault="007009F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BA5221">
      <w:rPr>
        <w:rFonts w:ascii="Palatino Linotype" w:eastAsia="Palatino Linotype" w:hAnsi="Palatino Linotype" w:cs="Palatino Linotype"/>
        <w:color w:val="000000"/>
        <w:szCs w:val="20"/>
      </w:rPr>
      <w:t xml:space="preserve">Página </w:t>
    </w:r>
    <w:r w:rsidRPr="00BA5221">
      <w:rPr>
        <w:rFonts w:ascii="Palatino Linotype" w:eastAsia="Palatino Linotype" w:hAnsi="Palatino Linotype" w:cs="Palatino Linotype"/>
        <w:color w:val="000000"/>
        <w:szCs w:val="20"/>
      </w:rPr>
      <w:fldChar w:fldCharType="begin"/>
    </w:r>
    <w:r w:rsidRPr="00BA5221">
      <w:rPr>
        <w:rFonts w:ascii="Palatino Linotype" w:eastAsia="Palatino Linotype" w:hAnsi="Palatino Linotype" w:cs="Palatino Linotype"/>
        <w:color w:val="000000"/>
        <w:szCs w:val="20"/>
      </w:rPr>
      <w:instrText>PAGE</w:instrText>
    </w:r>
    <w:r w:rsidRPr="00BA5221">
      <w:rPr>
        <w:rFonts w:ascii="Palatino Linotype" w:eastAsia="Palatino Linotype" w:hAnsi="Palatino Linotype" w:cs="Palatino Linotype"/>
        <w:color w:val="000000"/>
        <w:szCs w:val="20"/>
      </w:rPr>
      <w:fldChar w:fldCharType="separate"/>
    </w:r>
    <w:r w:rsidR="003138C5">
      <w:rPr>
        <w:rFonts w:ascii="Palatino Linotype" w:eastAsia="Palatino Linotype" w:hAnsi="Palatino Linotype" w:cs="Palatino Linotype"/>
        <w:noProof/>
        <w:color w:val="000000"/>
        <w:szCs w:val="20"/>
      </w:rPr>
      <w:t>1</w:t>
    </w:r>
    <w:r w:rsidRPr="00BA5221">
      <w:rPr>
        <w:rFonts w:ascii="Palatino Linotype" w:eastAsia="Palatino Linotype" w:hAnsi="Palatino Linotype" w:cs="Palatino Linotype"/>
        <w:color w:val="000000"/>
        <w:szCs w:val="20"/>
      </w:rPr>
      <w:fldChar w:fldCharType="end"/>
    </w:r>
    <w:r w:rsidRPr="00BA5221">
      <w:rPr>
        <w:rFonts w:ascii="Palatino Linotype" w:eastAsia="Palatino Linotype" w:hAnsi="Palatino Linotype" w:cs="Palatino Linotype"/>
        <w:color w:val="000000"/>
        <w:szCs w:val="20"/>
      </w:rPr>
      <w:t xml:space="preserve"> de </w:t>
    </w:r>
    <w:r w:rsidRPr="00BA5221">
      <w:rPr>
        <w:rFonts w:ascii="Palatino Linotype" w:eastAsia="Palatino Linotype" w:hAnsi="Palatino Linotype" w:cs="Palatino Linotype"/>
        <w:color w:val="000000"/>
        <w:szCs w:val="20"/>
      </w:rPr>
      <w:fldChar w:fldCharType="begin"/>
    </w:r>
    <w:r w:rsidRPr="00BA5221">
      <w:rPr>
        <w:rFonts w:ascii="Palatino Linotype" w:eastAsia="Palatino Linotype" w:hAnsi="Palatino Linotype" w:cs="Palatino Linotype"/>
        <w:color w:val="000000"/>
        <w:szCs w:val="20"/>
      </w:rPr>
      <w:instrText>NUMPAGES</w:instrText>
    </w:r>
    <w:r w:rsidRPr="00BA5221">
      <w:rPr>
        <w:rFonts w:ascii="Palatino Linotype" w:eastAsia="Palatino Linotype" w:hAnsi="Palatino Linotype" w:cs="Palatino Linotype"/>
        <w:color w:val="000000"/>
        <w:szCs w:val="20"/>
      </w:rPr>
      <w:fldChar w:fldCharType="separate"/>
    </w:r>
    <w:r w:rsidR="003138C5">
      <w:rPr>
        <w:rFonts w:ascii="Palatino Linotype" w:eastAsia="Palatino Linotype" w:hAnsi="Palatino Linotype" w:cs="Palatino Linotype"/>
        <w:noProof/>
        <w:color w:val="000000"/>
        <w:szCs w:val="20"/>
      </w:rPr>
      <w:t>20</w:t>
    </w:r>
    <w:r w:rsidRPr="00BA5221">
      <w:rPr>
        <w:rFonts w:ascii="Palatino Linotype" w:eastAsia="Palatino Linotype" w:hAnsi="Palatino Linotype" w:cs="Palatino Linotype"/>
        <w:color w:val="000000"/>
        <w:szCs w:val="20"/>
      </w:rPr>
      <w:fldChar w:fldCharType="end"/>
    </w:r>
  </w:p>
  <w:p w:rsidR="007009F8" w:rsidRDefault="007009F8">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3AA" w:rsidRDefault="001073AA">
      <w:pPr>
        <w:spacing w:after="0" w:line="240" w:lineRule="auto"/>
      </w:pPr>
      <w:r>
        <w:separator/>
      </w:r>
    </w:p>
  </w:footnote>
  <w:footnote w:type="continuationSeparator" w:id="0">
    <w:p w:rsidR="001073AA" w:rsidRDefault="0010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9F8" w:rsidRDefault="001073AA">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6803" w:type="dxa"/>
      <w:tblInd w:w="3261" w:type="dxa"/>
      <w:tblLayout w:type="fixed"/>
      <w:tblLook w:val="0400" w:firstRow="0" w:lastRow="0" w:firstColumn="0" w:lastColumn="0" w:noHBand="0" w:noVBand="1"/>
    </w:tblPr>
    <w:tblGrid>
      <w:gridCol w:w="2693"/>
      <w:gridCol w:w="4110"/>
    </w:tblGrid>
    <w:tr w:rsidR="007009F8" w:rsidTr="00BA5221">
      <w:trPr>
        <w:trHeight w:val="227"/>
      </w:trPr>
      <w:tc>
        <w:tcPr>
          <w:tcW w:w="2693" w:type="dxa"/>
          <w:vAlign w:val="center"/>
        </w:tcPr>
        <w:p w:rsidR="007009F8" w:rsidRPr="00CF7E48" w:rsidRDefault="007009F8" w:rsidP="00CF7E48">
          <w:pPr>
            <w:spacing w:after="0" w:line="240" w:lineRule="auto"/>
            <w:ind w:right="34"/>
            <w:jc w:val="right"/>
            <w:rPr>
              <w:rFonts w:ascii="Palatino Linotype" w:eastAsia="Palatino Linotype" w:hAnsi="Palatino Linotype" w:cs="Palatino Linotype"/>
              <w:b/>
              <w:sz w:val="24"/>
              <w:szCs w:val="24"/>
            </w:rPr>
          </w:pPr>
          <w:r w:rsidRPr="00CF7E48">
            <w:rPr>
              <w:rFonts w:ascii="Palatino Linotype" w:eastAsia="Palatino Linotype" w:hAnsi="Palatino Linotype" w:cs="Palatino Linotype"/>
              <w:b/>
              <w:sz w:val="24"/>
              <w:szCs w:val="24"/>
            </w:rPr>
            <w:t>Recurso de Revisión:</w:t>
          </w:r>
        </w:p>
      </w:tc>
      <w:tc>
        <w:tcPr>
          <w:tcW w:w="4110" w:type="dxa"/>
          <w:vAlign w:val="center"/>
        </w:tcPr>
        <w:p w:rsidR="007009F8" w:rsidRPr="00CF7E48" w:rsidRDefault="007009F8" w:rsidP="00CF7E48">
          <w:pPr>
            <w:pBdr>
              <w:top w:val="nil"/>
              <w:left w:val="nil"/>
              <w:bottom w:val="nil"/>
              <w:right w:val="nil"/>
              <w:between w:val="nil"/>
            </w:pBdr>
            <w:tabs>
              <w:tab w:val="right" w:pos="8838"/>
            </w:tabs>
            <w:spacing w:after="0" w:line="240" w:lineRule="auto"/>
            <w:ind w:right="-578"/>
            <w:rPr>
              <w:rFonts w:ascii="Palatino Linotype" w:eastAsia="Palatino Linotype" w:hAnsi="Palatino Linotype" w:cs="Palatino Linotype"/>
              <w:color w:val="000000" w:themeColor="text1"/>
              <w:sz w:val="24"/>
              <w:szCs w:val="24"/>
            </w:rPr>
          </w:pPr>
          <w:r w:rsidRPr="00CF7E48">
            <w:rPr>
              <w:rFonts w:ascii="Palatino Linotype" w:eastAsia="Palatino Linotype" w:hAnsi="Palatino Linotype" w:cs="Palatino Linotype"/>
              <w:bCs/>
              <w:color w:val="000000" w:themeColor="text1"/>
              <w:sz w:val="24"/>
              <w:szCs w:val="24"/>
            </w:rPr>
            <w:t>10323/INFOEM/IP/RR/2025</w:t>
          </w:r>
        </w:p>
      </w:tc>
    </w:tr>
    <w:tr w:rsidR="007009F8" w:rsidTr="00BA5221">
      <w:trPr>
        <w:trHeight w:val="242"/>
      </w:trPr>
      <w:tc>
        <w:tcPr>
          <w:tcW w:w="2693" w:type="dxa"/>
          <w:vAlign w:val="center"/>
        </w:tcPr>
        <w:p w:rsidR="007009F8" w:rsidRPr="00CF7E48" w:rsidRDefault="007009F8" w:rsidP="00CF7E48">
          <w:pPr>
            <w:spacing w:after="0" w:line="240" w:lineRule="auto"/>
            <w:ind w:right="34"/>
            <w:jc w:val="right"/>
            <w:rPr>
              <w:rFonts w:ascii="Palatino Linotype" w:eastAsia="Palatino Linotype" w:hAnsi="Palatino Linotype" w:cs="Palatino Linotype"/>
              <w:b/>
              <w:sz w:val="24"/>
              <w:szCs w:val="24"/>
            </w:rPr>
          </w:pPr>
          <w:r w:rsidRPr="00CF7E48">
            <w:rPr>
              <w:rFonts w:ascii="Palatino Linotype" w:eastAsia="Palatino Linotype" w:hAnsi="Palatino Linotype" w:cs="Palatino Linotype"/>
              <w:b/>
              <w:sz w:val="24"/>
              <w:szCs w:val="24"/>
            </w:rPr>
            <w:t>Sujeto Obligado:</w:t>
          </w:r>
        </w:p>
      </w:tc>
      <w:tc>
        <w:tcPr>
          <w:tcW w:w="4110" w:type="dxa"/>
          <w:vAlign w:val="center"/>
        </w:tcPr>
        <w:p w:rsidR="007009F8" w:rsidRPr="00CF7E48" w:rsidRDefault="007009F8" w:rsidP="00CF7E48">
          <w:pPr>
            <w:pBdr>
              <w:top w:val="nil"/>
              <w:left w:val="nil"/>
              <w:bottom w:val="nil"/>
              <w:right w:val="nil"/>
              <w:between w:val="nil"/>
            </w:pBdr>
            <w:tabs>
              <w:tab w:val="right" w:pos="8838"/>
            </w:tabs>
            <w:spacing w:after="0" w:line="240" w:lineRule="auto"/>
            <w:ind w:right="-578"/>
            <w:rPr>
              <w:rFonts w:ascii="Palatino Linotype" w:eastAsia="Palatino Linotype" w:hAnsi="Palatino Linotype" w:cs="Palatino Linotype"/>
              <w:color w:val="000000" w:themeColor="text1"/>
              <w:sz w:val="24"/>
              <w:szCs w:val="24"/>
            </w:rPr>
          </w:pPr>
          <w:r w:rsidRPr="00CF7E48">
            <w:rPr>
              <w:rFonts w:ascii="Palatino Linotype" w:eastAsia="Palatino Linotype" w:hAnsi="Palatino Linotype" w:cs="Palatino Linotype"/>
              <w:bCs/>
              <w:color w:val="000000" w:themeColor="text1"/>
              <w:sz w:val="24"/>
              <w:szCs w:val="24"/>
            </w:rPr>
            <w:t>Ayuntamiento de Tecámac</w:t>
          </w:r>
        </w:p>
      </w:tc>
    </w:tr>
    <w:tr w:rsidR="007009F8" w:rsidTr="00BA5221">
      <w:trPr>
        <w:trHeight w:val="342"/>
      </w:trPr>
      <w:tc>
        <w:tcPr>
          <w:tcW w:w="2693" w:type="dxa"/>
          <w:vAlign w:val="center"/>
        </w:tcPr>
        <w:p w:rsidR="007009F8" w:rsidRPr="00CF7E48" w:rsidRDefault="007009F8" w:rsidP="00CF7E48">
          <w:pPr>
            <w:spacing w:after="0" w:line="240" w:lineRule="auto"/>
            <w:ind w:right="34"/>
            <w:jc w:val="right"/>
            <w:rPr>
              <w:rFonts w:ascii="Palatino Linotype" w:eastAsia="Palatino Linotype" w:hAnsi="Palatino Linotype" w:cs="Palatino Linotype"/>
              <w:b/>
              <w:sz w:val="24"/>
              <w:szCs w:val="24"/>
            </w:rPr>
          </w:pPr>
          <w:r w:rsidRPr="00CF7E48">
            <w:rPr>
              <w:rFonts w:ascii="Palatino Linotype" w:eastAsia="Palatino Linotype" w:hAnsi="Palatino Linotype" w:cs="Palatino Linotype"/>
              <w:b/>
              <w:sz w:val="24"/>
              <w:szCs w:val="24"/>
            </w:rPr>
            <w:t>Comisionada Ponente:</w:t>
          </w:r>
        </w:p>
      </w:tc>
      <w:tc>
        <w:tcPr>
          <w:tcW w:w="4110" w:type="dxa"/>
          <w:vAlign w:val="center"/>
        </w:tcPr>
        <w:p w:rsidR="007009F8" w:rsidRPr="00CF7E48" w:rsidRDefault="007009F8" w:rsidP="00CF7E48">
          <w:pPr>
            <w:pBdr>
              <w:top w:val="nil"/>
              <w:left w:val="nil"/>
              <w:bottom w:val="nil"/>
              <w:right w:val="nil"/>
              <w:between w:val="nil"/>
            </w:pBdr>
            <w:tabs>
              <w:tab w:val="right" w:pos="8838"/>
            </w:tabs>
            <w:spacing w:after="0" w:line="240" w:lineRule="auto"/>
            <w:ind w:right="-578"/>
            <w:rPr>
              <w:rFonts w:ascii="Palatino Linotype" w:eastAsia="Palatino Linotype" w:hAnsi="Palatino Linotype" w:cs="Palatino Linotype"/>
              <w:color w:val="000000" w:themeColor="text1"/>
              <w:sz w:val="24"/>
              <w:szCs w:val="24"/>
            </w:rPr>
          </w:pPr>
          <w:r w:rsidRPr="00CF7E48">
            <w:rPr>
              <w:rFonts w:ascii="Palatino Linotype" w:eastAsia="Palatino Linotype" w:hAnsi="Palatino Linotype" w:cs="Palatino Linotype"/>
              <w:color w:val="000000" w:themeColor="text1"/>
              <w:sz w:val="24"/>
              <w:szCs w:val="24"/>
            </w:rPr>
            <w:t>María del Rosario Mejía Ayala</w:t>
          </w:r>
        </w:p>
      </w:tc>
    </w:tr>
  </w:tbl>
  <w:p w:rsidR="007009F8" w:rsidRDefault="001073AA">
    <w:pPr>
      <w:pBdr>
        <w:top w:val="nil"/>
        <w:left w:val="nil"/>
        <w:bottom w:val="nil"/>
        <w:right w:val="nil"/>
        <w:between w:val="nil"/>
      </w:pBdr>
      <w:tabs>
        <w:tab w:val="center" w:pos="4419"/>
        <w:tab w:val="right" w:pos="8838"/>
        <w:tab w:val="left" w:pos="6005"/>
      </w:tabs>
      <w:spacing w:after="0" w:line="240" w:lineRule="auto"/>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20.3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6804" w:type="dxa"/>
      <w:tblInd w:w="3261" w:type="dxa"/>
      <w:tblLayout w:type="fixed"/>
      <w:tblLook w:val="0400" w:firstRow="0" w:lastRow="0" w:firstColumn="0" w:lastColumn="0" w:noHBand="0" w:noVBand="1"/>
    </w:tblPr>
    <w:tblGrid>
      <w:gridCol w:w="2977"/>
      <w:gridCol w:w="3827"/>
    </w:tblGrid>
    <w:tr w:rsidR="007009F8" w:rsidTr="00BA5221">
      <w:trPr>
        <w:trHeight w:val="426"/>
      </w:trPr>
      <w:tc>
        <w:tcPr>
          <w:tcW w:w="2977" w:type="dxa"/>
          <w:vAlign w:val="center"/>
        </w:tcPr>
        <w:p w:rsidR="007009F8" w:rsidRPr="00CF7E48" w:rsidRDefault="007009F8" w:rsidP="00CF7E48">
          <w:pPr>
            <w:spacing w:after="0" w:line="240" w:lineRule="auto"/>
            <w:jc w:val="right"/>
            <w:rPr>
              <w:rFonts w:ascii="Palatino Linotype" w:eastAsia="Palatino Linotype" w:hAnsi="Palatino Linotype" w:cs="Palatino Linotype"/>
              <w:b/>
              <w:color w:val="000000" w:themeColor="text1"/>
              <w:sz w:val="24"/>
              <w:szCs w:val="24"/>
            </w:rPr>
          </w:pPr>
          <w:r w:rsidRPr="00CF7E48">
            <w:rPr>
              <w:rFonts w:ascii="Palatino Linotype" w:eastAsia="Palatino Linotype" w:hAnsi="Palatino Linotype" w:cs="Palatino Linotype"/>
              <w:b/>
              <w:color w:val="000000" w:themeColor="text1"/>
              <w:sz w:val="24"/>
              <w:szCs w:val="24"/>
            </w:rPr>
            <w:t>Recurso de Revisión:</w:t>
          </w:r>
        </w:p>
      </w:tc>
      <w:tc>
        <w:tcPr>
          <w:tcW w:w="3827" w:type="dxa"/>
          <w:vAlign w:val="center"/>
        </w:tcPr>
        <w:p w:rsidR="007009F8" w:rsidRPr="00CF7E48" w:rsidRDefault="007009F8" w:rsidP="00CF7E48">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themeColor="text1"/>
              <w:sz w:val="24"/>
              <w:szCs w:val="24"/>
            </w:rPr>
          </w:pPr>
          <w:r w:rsidRPr="00CF7E48">
            <w:rPr>
              <w:rFonts w:ascii="Palatino Linotype" w:eastAsia="Palatino Linotype" w:hAnsi="Palatino Linotype" w:cs="Palatino Linotype"/>
              <w:bCs/>
              <w:color w:val="000000" w:themeColor="text1"/>
              <w:sz w:val="24"/>
              <w:szCs w:val="24"/>
            </w:rPr>
            <w:t>10323/INFOEM/IP/RR/2025</w:t>
          </w:r>
        </w:p>
      </w:tc>
    </w:tr>
    <w:tr w:rsidR="007009F8" w:rsidTr="00BA5221">
      <w:trPr>
        <w:trHeight w:val="242"/>
      </w:trPr>
      <w:tc>
        <w:tcPr>
          <w:tcW w:w="2977" w:type="dxa"/>
          <w:vAlign w:val="center"/>
        </w:tcPr>
        <w:p w:rsidR="007009F8" w:rsidRPr="00CF7E48" w:rsidRDefault="007009F8" w:rsidP="00CF7E48">
          <w:pPr>
            <w:spacing w:after="0" w:line="240" w:lineRule="auto"/>
            <w:jc w:val="right"/>
            <w:rPr>
              <w:rFonts w:ascii="Palatino Linotype" w:eastAsia="Palatino Linotype" w:hAnsi="Palatino Linotype" w:cs="Palatino Linotype"/>
              <w:b/>
              <w:color w:val="000000" w:themeColor="text1"/>
              <w:sz w:val="24"/>
              <w:szCs w:val="24"/>
            </w:rPr>
          </w:pPr>
          <w:r w:rsidRPr="00CF7E48">
            <w:rPr>
              <w:rFonts w:ascii="Palatino Linotype" w:eastAsia="Palatino Linotype" w:hAnsi="Palatino Linotype" w:cs="Palatino Linotype"/>
              <w:b/>
              <w:color w:val="000000" w:themeColor="text1"/>
              <w:sz w:val="24"/>
              <w:szCs w:val="24"/>
            </w:rPr>
            <w:t>Recurrente:</w:t>
          </w:r>
        </w:p>
      </w:tc>
      <w:tc>
        <w:tcPr>
          <w:tcW w:w="3827" w:type="dxa"/>
        </w:tcPr>
        <w:p w:rsidR="007009F8" w:rsidRPr="00CF7E48" w:rsidRDefault="003138C5" w:rsidP="00CF7E48">
          <w:pPr>
            <w:pBdr>
              <w:top w:val="nil"/>
              <w:left w:val="nil"/>
              <w:bottom w:val="nil"/>
              <w:right w:val="nil"/>
              <w:between w:val="nil"/>
            </w:pBdr>
            <w:tabs>
              <w:tab w:val="right" w:pos="8838"/>
              <w:tab w:val="left" w:pos="521"/>
            </w:tabs>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7009F8" w:rsidTr="00BA5221">
      <w:trPr>
        <w:trHeight w:val="342"/>
      </w:trPr>
      <w:tc>
        <w:tcPr>
          <w:tcW w:w="2977" w:type="dxa"/>
          <w:vAlign w:val="center"/>
        </w:tcPr>
        <w:p w:rsidR="007009F8" w:rsidRPr="00CF7E48" w:rsidRDefault="007009F8" w:rsidP="00CF7E48">
          <w:pPr>
            <w:spacing w:after="0" w:line="240" w:lineRule="auto"/>
            <w:jc w:val="right"/>
            <w:rPr>
              <w:rFonts w:ascii="Palatino Linotype" w:eastAsia="Palatino Linotype" w:hAnsi="Palatino Linotype" w:cs="Palatino Linotype"/>
              <w:b/>
              <w:color w:val="000000" w:themeColor="text1"/>
              <w:sz w:val="24"/>
              <w:szCs w:val="24"/>
            </w:rPr>
          </w:pPr>
          <w:r w:rsidRPr="00CF7E48">
            <w:rPr>
              <w:rFonts w:ascii="Palatino Linotype" w:eastAsia="Palatino Linotype" w:hAnsi="Palatino Linotype" w:cs="Palatino Linotype"/>
              <w:b/>
              <w:color w:val="000000" w:themeColor="text1"/>
              <w:sz w:val="24"/>
              <w:szCs w:val="24"/>
            </w:rPr>
            <w:t>Sujeto Obligado:</w:t>
          </w:r>
        </w:p>
      </w:tc>
      <w:tc>
        <w:tcPr>
          <w:tcW w:w="3827" w:type="dxa"/>
          <w:vAlign w:val="center"/>
        </w:tcPr>
        <w:p w:rsidR="007009F8" w:rsidRPr="00CF7E48" w:rsidRDefault="007009F8" w:rsidP="00CF7E48">
          <w:pPr>
            <w:pBdr>
              <w:top w:val="nil"/>
              <w:left w:val="nil"/>
              <w:bottom w:val="nil"/>
              <w:right w:val="nil"/>
              <w:between w:val="nil"/>
            </w:pBdr>
            <w:tabs>
              <w:tab w:val="right" w:pos="8838"/>
            </w:tabs>
            <w:spacing w:after="0" w:line="240" w:lineRule="auto"/>
            <w:jc w:val="both"/>
            <w:rPr>
              <w:rFonts w:ascii="Palatino Linotype" w:eastAsia="Palatino Linotype" w:hAnsi="Palatino Linotype" w:cs="Palatino Linotype"/>
              <w:color w:val="000000" w:themeColor="text1"/>
              <w:sz w:val="24"/>
              <w:szCs w:val="24"/>
            </w:rPr>
          </w:pPr>
          <w:r w:rsidRPr="00CF7E48">
            <w:rPr>
              <w:rFonts w:ascii="Palatino Linotype" w:eastAsia="Palatino Linotype" w:hAnsi="Palatino Linotype" w:cs="Palatino Linotype"/>
              <w:bCs/>
              <w:color w:val="000000" w:themeColor="text1"/>
              <w:sz w:val="24"/>
              <w:szCs w:val="24"/>
            </w:rPr>
            <w:t>Ayuntamiento de Tecámac</w:t>
          </w:r>
        </w:p>
      </w:tc>
    </w:tr>
    <w:tr w:rsidR="007009F8" w:rsidTr="00BA5221">
      <w:trPr>
        <w:trHeight w:val="342"/>
      </w:trPr>
      <w:tc>
        <w:tcPr>
          <w:tcW w:w="2977" w:type="dxa"/>
          <w:vAlign w:val="center"/>
        </w:tcPr>
        <w:p w:rsidR="007009F8" w:rsidRPr="00CF7E48" w:rsidRDefault="007009F8" w:rsidP="00CF7E48">
          <w:pPr>
            <w:spacing w:after="0" w:line="240" w:lineRule="auto"/>
            <w:jc w:val="right"/>
            <w:rPr>
              <w:rFonts w:ascii="Palatino Linotype" w:eastAsia="Palatino Linotype" w:hAnsi="Palatino Linotype" w:cs="Palatino Linotype"/>
              <w:b/>
              <w:color w:val="000000" w:themeColor="text1"/>
              <w:sz w:val="24"/>
              <w:szCs w:val="24"/>
            </w:rPr>
          </w:pPr>
          <w:r w:rsidRPr="00CF7E48">
            <w:rPr>
              <w:rFonts w:ascii="Palatino Linotype" w:eastAsia="Palatino Linotype" w:hAnsi="Palatino Linotype" w:cs="Palatino Linotype"/>
              <w:b/>
              <w:color w:val="000000" w:themeColor="text1"/>
              <w:sz w:val="24"/>
              <w:szCs w:val="24"/>
            </w:rPr>
            <w:t>Comisionada Ponente:</w:t>
          </w:r>
        </w:p>
      </w:tc>
      <w:tc>
        <w:tcPr>
          <w:tcW w:w="3827" w:type="dxa"/>
          <w:vAlign w:val="center"/>
        </w:tcPr>
        <w:p w:rsidR="007009F8" w:rsidRPr="00CF7E48" w:rsidRDefault="007009F8" w:rsidP="00CF7E48">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themeColor="text1"/>
              <w:sz w:val="24"/>
              <w:szCs w:val="24"/>
            </w:rPr>
          </w:pPr>
          <w:r w:rsidRPr="00CF7E48">
            <w:rPr>
              <w:rFonts w:ascii="Palatino Linotype" w:eastAsia="Palatino Linotype" w:hAnsi="Palatino Linotype" w:cs="Palatino Linotype"/>
              <w:color w:val="000000" w:themeColor="text1"/>
              <w:sz w:val="24"/>
              <w:szCs w:val="24"/>
            </w:rPr>
            <w:t>María del Rosario Mejía Ayala</w:t>
          </w:r>
        </w:p>
      </w:tc>
    </w:tr>
  </w:tbl>
  <w:p w:rsidR="007009F8" w:rsidRDefault="001073AA">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2F10"/>
    <w:multiLevelType w:val="hybridMultilevel"/>
    <w:tmpl w:val="8AE4E6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E75286"/>
    <w:multiLevelType w:val="hybridMultilevel"/>
    <w:tmpl w:val="C20843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4351B1"/>
    <w:multiLevelType w:val="multilevel"/>
    <w:tmpl w:val="72267668"/>
    <w:lvl w:ilvl="0">
      <w:start w:val="15"/>
      <w:numFmt w:val="upperRoman"/>
      <w:lvlText w:val="%1."/>
      <w:lvlJc w:val="left"/>
      <w:pPr>
        <w:ind w:left="1146"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E51161"/>
    <w:multiLevelType w:val="multilevel"/>
    <w:tmpl w:val="CBD0881E"/>
    <w:lvl w:ilvl="0">
      <w:start w:val="13"/>
      <w:numFmt w:val="upperRoman"/>
      <w:lvlText w:val="%1."/>
      <w:lvlJc w:val="left"/>
      <w:pPr>
        <w:ind w:left="1146"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D65455"/>
    <w:multiLevelType w:val="multilevel"/>
    <w:tmpl w:val="1C4E60D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F620424"/>
    <w:multiLevelType w:val="multilevel"/>
    <w:tmpl w:val="D590A908"/>
    <w:lvl w:ilvl="0">
      <w:start w:val="29"/>
      <w:numFmt w:val="decimal"/>
      <w:lvlText w:val="%1."/>
      <w:lvlJc w:val="left"/>
      <w:pPr>
        <w:ind w:left="502" w:hanging="360"/>
      </w:pPr>
      <w:rPr>
        <w:b/>
        <w:i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C12AA2"/>
    <w:multiLevelType w:val="multilevel"/>
    <w:tmpl w:val="90DA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8056840"/>
    <w:multiLevelType w:val="hybridMultilevel"/>
    <w:tmpl w:val="43962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0" w15:restartNumberingAfterBreak="0">
    <w:nsid w:val="3E6E3C7D"/>
    <w:multiLevelType w:val="multilevel"/>
    <w:tmpl w:val="87DC888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1" w15:restartNumberingAfterBreak="0">
    <w:nsid w:val="40F23F1B"/>
    <w:multiLevelType w:val="multilevel"/>
    <w:tmpl w:val="68AAD4D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 w15:restartNumberingAfterBreak="0">
    <w:nsid w:val="5E372419"/>
    <w:multiLevelType w:val="multilevel"/>
    <w:tmpl w:val="FE12BF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766BA9"/>
    <w:multiLevelType w:val="multilevel"/>
    <w:tmpl w:val="1FE4D63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045AE9"/>
    <w:multiLevelType w:val="multilevel"/>
    <w:tmpl w:val="B748E3F2"/>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5" w15:restartNumberingAfterBreak="0">
    <w:nsid w:val="799B083C"/>
    <w:multiLevelType w:val="multilevel"/>
    <w:tmpl w:val="3C26EFEC"/>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11"/>
  </w:num>
  <w:num w:numId="2">
    <w:abstractNumId w:val="14"/>
  </w:num>
  <w:num w:numId="3">
    <w:abstractNumId w:val="7"/>
  </w:num>
  <w:num w:numId="4">
    <w:abstractNumId w:val="3"/>
  </w:num>
  <w:num w:numId="5">
    <w:abstractNumId w:val="5"/>
  </w:num>
  <w:num w:numId="6">
    <w:abstractNumId w:val="2"/>
  </w:num>
  <w:num w:numId="7">
    <w:abstractNumId w:val="15"/>
  </w:num>
  <w:num w:numId="8">
    <w:abstractNumId w:val="12"/>
  </w:num>
  <w:num w:numId="9">
    <w:abstractNumId w:val="13"/>
  </w:num>
  <w:num w:numId="10">
    <w:abstractNumId w:val="10"/>
  </w:num>
  <w:num w:numId="11">
    <w:abstractNumId w:val="4"/>
  </w:num>
  <w:num w:numId="12">
    <w:abstractNumId w:val="1"/>
  </w:num>
  <w:num w:numId="13">
    <w:abstractNumId w:val="0"/>
  </w:num>
  <w:num w:numId="14">
    <w:abstractNumId w:val="6"/>
  </w:num>
  <w:num w:numId="15">
    <w:abstractNumId w:val="9"/>
  </w:num>
  <w:num w:numId="16">
    <w:abstractNumId w:val="8"/>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854"/>
    <w:rsid w:val="00034CCD"/>
    <w:rsid w:val="0004499A"/>
    <w:rsid w:val="0009455E"/>
    <w:rsid w:val="001073AA"/>
    <w:rsid w:val="00170A5C"/>
    <w:rsid w:val="00243BAA"/>
    <w:rsid w:val="002B4050"/>
    <w:rsid w:val="002B650A"/>
    <w:rsid w:val="003138C5"/>
    <w:rsid w:val="004253AA"/>
    <w:rsid w:val="00435854"/>
    <w:rsid w:val="00453824"/>
    <w:rsid w:val="00482833"/>
    <w:rsid w:val="005316B4"/>
    <w:rsid w:val="00546F18"/>
    <w:rsid w:val="005F03EB"/>
    <w:rsid w:val="006052C6"/>
    <w:rsid w:val="00657B48"/>
    <w:rsid w:val="00672EAF"/>
    <w:rsid w:val="00676FFB"/>
    <w:rsid w:val="007009F8"/>
    <w:rsid w:val="00714C83"/>
    <w:rsid w:val="00724F4C"/>
    <w:rsid w:val="00752EA3"/>
    <w:rsid w:val="0076206B"/>
    <w:rsid w:val="007F6062"/>
    <w:rsid w:val="008175EC"/>
    <w:rsid w:val="008B4740"/>
    <w:rsid w:val="008C6912"/>
    <w:rsid w:val="008E71ED"/>
    <w:rsid w:val="00936552"/>
    <w:rsid w:val="00945D0E"/>
    <w:rsid w:val="00A34FFE"/>
    <w:rsid w:val="00A50933"/>
    <w:rsid w:val="00AA194B"/>
    <w:rsid w:val="00AB0419"/>
    <w:rsid w:val="00AC56EB"/>
    <w:rsid w:val="00B51538"/>
    <w:rsid w:val="00BA5221"/>
    <w:rsid w:val="00C122C6"/>
    <w:rsid w:val="00C4021B"/>
    <w:rsid w:val="00C95C11"/>
    <w:rsid w:val="00CC566B"/>
    <w:rsid w:val="00CF7E48"/>
    <w:rsid w:val="00D541CC"/>
    <w:rsid w:val="00D55134"/>
    <w:rsid w:val="00DF7608"/>
    <w:rsid w:val="00F22B96"/>
    <w:rsid w:val="00F438E6"/>
    <w:rsid w:val="00F84BB1"/>
    <w:rsid w:val="00F97831"/>
    <w:rsid w:val="00FB63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50E35EE-9DDE-4EFB-BFF4-0E1ABCA4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CC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paragraph" w:styleId="Sinespaciado">
    <w:name w:val="No Spacing"/>
    <w:aliases w:val="Francesa,INAI"/>
    <w:link w:val="SinespaciadoCar"/>
    <w:uiPriority w:val="1"/>
    <w:qFormat/>
    <w:rsid w:val="00380F80"/>
    <w:pPr>
      <w:spacing w:after="0" w:line="240" w:lineRule="auto"/>
    </w:pPr>
    <w:rPr>
      <w:rFonts w:asciiTheme="minorHAnsi" w:eastAsiaTheme="minorHAnsi" w:hAnsiTheme="minorHAnsi" w:cstheme="minorBidi"/>
      <w:lang w:eastAsia="en-US"/>
    </w:rPr>
  </w:style>
  <w:style w:type="character" w:customStyle="1" w:styleId="SinespaciadoCar">
    <w:name w:val="Sin espaciado Car"/>
    <w:aliases w:val="Francesa Car,INAI Car"/>
    <w:link w:val="Sinespaciado"/>
    <w:uiPriority w:val="1"/>
    <w:qFormat/>
    <w:locked/>
    <w:rsid w:val="00380F80"/>
    <w:rPr>
      <w:rFonts w:asciiTheme="minorHAnsi" w:eastAsiaTheme="minorHAnsi" w:hAnsiTheme="minorHAnsi" w:cstheme="minorBidi"/>
      <w:lang w:eastAsia="en-US"/>
    </w:r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styleId="Tablaconcuadrcula">
    <w:name w:val="Table Grid"/>
    <w:basedOn w:val="Tablanormal"/>
    <w:uiPriority w:val="39"/>
    <w:rsid w:val="00D541C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95479">
      <w:bodyDiv w:val="1"/>
      <w:marLeft w:val="0"/>
      <w:marRight w:val="0"/>
      <w:marTop w:val="0"/>
      <w:marBottom w:val="0"/>
      <w:divBdr>
        <w:top w:val="none" w:sz="0" w:space="0" w:color="auto"/>
        <w:left w:val="none" w:sz="0" w:space="0" w:color="auto"/>
        <w:bottom w:val="none" w:sz="0" w:space="0" w:color="auto"/>
        <w:right w:val="none" w:sz="0" w:space="0" w:color="auto"/>
      </w:divBdr>
    </w:div>
    <w:div w:id="934749670">
      <w:bodyDiv w:val="1"/>
      <w:marLeft w:val="0"/>
      <w:marRight w:val="0"/>
      <w:marTop w:val="0"/>
      <w:marBottom w:val="0"/>
      <w:divBdr>
        <w:top w:val="none" w:sz="0" w:space="0" w:color="auto"/>
        <w:left w:val="none" w:sz="0" w:space="0" w:color="auto"/>
        <w:bottom w:val="none" w:sz="0" w:space="0" w:color="auto"/>
        <w:right w:val="none" w:sz="0" w:space="0" w:color="auto"/>
      </w:divBdr>
    </w:div>
    <w:div w:id="1575820405">
      <w:bodyDiv w:val="1"/>
      <w:marLeft w:val="0"/>
      <w:marRight w:val="0"/>
      <w:marTop w:val="0"/>
      <w:marBottom w:val="0"/>
      <w:divBdr>
        <w:top w:val="none" w:sz="0" w:space="0" w:color="auto"/>
        <w:left w:val="none" w:sz="0" w:space="0" w:color="auto"/>
        <w:bottom w:val="none" w:sz="0" w:space="0" w:color="auto"/>
        <w:right w:val="none" w:sz="0" w:space="0" w:color="auto"/>
      </w:divBdr>
    </w:div>
    <w:div w:id="1632782537">
      <w:bodyDiv w:val="1"/>
      <w:marLeft w:val="0"/>
      <w:marRight w:val="0"/>
      <w:marTop w:val="0"/>
      <w:marBottom w:val="0"/>
      <w:divBdr>
        <w:top w:val="none" w:sz="0" w:space="0" w:color="auto"/>
        <w:left w:val="none" w:sz="0" w:space="0" w:color="auto"/>
        <w:bottom w:val="none" w:sz="0" w:space="0" w:color="auto"/>
        <w:right w:val="none" w:sz="0" w:space="0" w:color="auto"/>
      </w:divBdr>
    </w:div>
    <w:div w:id="1837766842">
      <w:bodyDiv w:val="1"/>
      <w:marLeft w:val="0"/>
      <w:marRight w:val="0"/>
      <w:marTop w:val="0"/>
      <w:marBottom w:val="0"/>
      <w:divBdr>
        <w:top w:val="none" w:sz="0" w:space="0" w:color="auto"/>
        <w:left w:val="none" w:sz="0" w:space="0" w:color="auto"/>
        <w:bottom w:val="none" w:sz="0" w:space="0" w:color="auto"/>
        <w:right w:val="none" w:sz="0" w:space="0" w:color="auto"/>
      </w:divBdr>
    </w:div>
    <w:div w:id="1874806285">
      <w:bodyDiv w:val="1"/>
      <w:marLeft w:val="0"/>
      <w:marRight w:val="0"/>
      <w:marTop w:val="0"/>
      <w:marBottom w:val="0"/>
      <w:divBdr>
        <w:top w:val="none" w:sz="0" w:space="0" w:color="auto"/>
        <w:left w:val="none" w:sz="0" w:space="0" w:color="auto"/>
        <w:bottom w:val="none" w:sz="0" w:space="0" w:color="auto"/>
        <w:right w:val="none" w:sz="0" w:space="0" w:color="auto"/>
      </w:divBdr>
    </w:div>
    <w:div w:id="1908228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t/informacion-publ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blAIzoOpyZa+p0V7jspR3xZpNA==">CgMxLjAyCWguM3JkY3JqbjIIaC5namRneHMyCWguMzBqMHpsbDIJaC4xZm9iOXRlMgloLjN6bnlzaDcyCWguMmV0OTJwMDIIaC50eWpjd3QyCWguMjZpbjFyZzIJaC4xdDNoNXNmMghoLmxueGJ6OTIJaC4zNW5rdW4yMgloLjNkeTZ2a204AHIhMWtNQjJlSUlxbFVvZkNCUEpfYlJWYi04czBQVF9IeWJK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4608</Words>
  <Characters>25344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13</cp:revision>
  <dcterms:created xsi:type="dcterms:W3CDTF">2025-11-03T20:21:00Z</dcterms:created>
  <dcterms:modified xsi:type="dcterms:W3CDTF">2026-01-14T19:42:00Z</dcterms:modified>
</cp:coreProperties>
</file>