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D20F9" w14:textId="74A85C74"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Re</w:t>
      </w:r>
      <w:bookmarkStart w:id="0" w:name="_GoBack"/>
      <w:bookmarkEnd w:id="0"/>
      <w:r w:rsidRPr="00E06668">
        <w:rPr>
          <w:rFonts w:ascii="Palatino Linotype" w:eastAsia="Palatino Linotype" w:hAnsi="Palatino Linotype" w:cs="Palatino Linotype"/>
          <w:color w:val="000000" w:themeColor="text1"/>
        </w:rPr>
        <w:t xml:space="preserve">solución del Pleno del Instituto de Transparencia, Acceso a la Información Pública y Protección de Datos Personales del Estado de México y Municipios, con domicilio en Metepec, Estado de México; </w:t>
      </w:r>
      <w:r w:rsidRPr="00E101AE">
        <w:rPr>
          <w:rFonts w:ascii="Palatino Linotype" w:eastAsia="Palatino Linotype" w:hAnsi="Palatino Linotype" w:cs="Palatino Linotype"/>
          <w:color w:val="000000" w:themeColor="text1"/>
        </w:rPr>
        <w:t>de fecha</w:t>
      </w:r>
      <w:r w:rsidRPr="00E06668">
        <w:rPr>
          <w:rFonts w:ascii="Palatino Linotype" w:eastAsia="Palatino Linotype" w:hAnsi="Palatino Linotype" w:cs="Palatino Linotype"/>
          <w:b/>
          <w:color w:val="000000" w:themeColor="text1"/>
        </w:rPr>
        <w:t xml:space="preserve"> </w:t>
      </w:r>
      <w:r w:rsidR="00B30489" w:rsidRPr="00E06668">
        <w:rPr>
          <w:rFonts w:ascii="Palatino Linotype" w:eastAsia="Palatino Linotype" w:hAnsi="Palatino Linotype" w:cs="Palatino Linotype"/>
          <w:b/>
          <w:color w:val="000000" w:themeColor="text1"/>
        </w:rPr>
        <w:t>cuatro</w:t>
      </w:r>
      <w:r w:rsidR="00E101AE">
        <w:rPr>
          <w:rFonts w:ascii="Palatino Linotype" w:eastAsia="Palatino Linotype" w:hAnsi="Palatino Linotype" w:cs="Palatino Linotype"/>
          <w:b/>
          <w:color w:val="000000" w:themeColor="text1"/>
        </w:rPr>
        <w:t xml:space="preserve"> (04)</w:t>
      </w:r>
      <w:r w:rsidR="00B30489" w:rsidRPr="00E06668">
        <w:rPr>
          <w:rFonts w:ascii="Palatino Linotype" w:eastAsia="Palatino Linotype" w:hAnsi="Palatino Linotype" w:cs="Palatino Linotype"/>
          <w:b/>
          <w:color w:val="000000" w:themeColor="text1"/>
        </w:rPr>
        <w:t xml:space="preserve"> de junio</w:t>
      </w:r>
      <w:r w:rsidRPr="00E06668">
        <w:rPr>
          <w:rFonts w:ascii="Palatino Linotype" w:eastAsia="Palatino Linotype" w:hAnsi="Palatino Linotype" w:cs="Palatino Linotype"/>
          <w:b/>
          <w:color w:val="000000" w:themeColor="text1"/>
        </w:rPr>
        <w:t xml:space="preserve"> de dos mil veinticinco</w:t>
      </w:r>
      <w:r w:rsidRPr="00E06668">
        <w:rPr>
          <w:rFonts w:ascii="Palatino Linotype" w:eastAsia="Palatino Linotype" w:hAnsi="Palatino Linotype" w:cs="Palatino Linotype"/>
          <w:color w:val="000000" w:themeColor="text1"/>
        </w:rPr>
        <w:t xml:space="preserve">. </w:t>
      </w:r>
    </w:p>
    <w:p w14:paraId="19F6C487"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2ADE413E" w14:textId="5B9770E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b/>
          <w:color w:val="000000" w:themeColor="text1"/>
        </w:rPr>
        <w:t>VISTO</w:t>
      </w:r>
      <w:r w:rsidRPr="00E06668">
        <w:rPr>
          <w:rFonts w:ascii="Palatino Linotype" w:eastAsia="Palatino Linotype" w:hAnsi="Palatino Linotype" w:cs="Palatino Linotype"/>
          <w:color w:val="000000" w:themeColor="text1"/>
        </w:rPr>
        <w:t xml:space="preserve"> el expediente electrónico formado con motivo del recurso de revisión </w:t>
      </w:r>
      <w:r w:rsidRPr="00E06668">
        <w:rPr>
          <w:rFonts w:ascii="Palatino Linotype" w:eastAsia="Palatino Linotype" w:hAnsi="Palatino Linotype" w:cs="Palatino Linotype"/>
          <w:b/>
          <w:color w:val="000000" w:themeColor="text1"/>
        </w:rPr>
        <w:t xml:space="preserve">01453/INFOEM/IP/RR/2025, </w:t>
      </w:r>
      <w:r w:rsidRPr="00E06668">
        <w:rPr>
          <w:rFonts w:ascii="Palatino Linotype" w:eastAsia="Palatino Linotype" w:hAnsi="Palatino Linotype" w:cs="Palatino Linotype"/>
          <w:color w:val="000000" w:themeColor="text1"/>
        </w:rPr>
        <w:t xml:space="preserve">promovido por </w:t>
      </w:r>
      <w:r w:rsidRPr="00E06668">
        <w:rPr>
          <w:rFonts w:ascii="Palatino Linotype" w:eastAsia="Palatino Linotype" w:hAnsi="Palatino Linotype" w:cs="Palatino Linotype"/>
          <w:b/>
          <w:color w:val="000000" w:themeColor="text1"/>
        </w:rPr>
        <w:t>una persona que no proporciona datos de identificación</w:t>
      </w:r>
      <w:r w:rsidRPr="00E06668">
        <w:rPr>
          <w:rFonts w:ascii="Palatino Linotype" w:eastAsia="Palatino Linotype" w:hAnsi="Palatino Linotype" w:cs="Palatino Linotype"/>
          <w:color w:val="000000" w:themeColor="text1"/>
        </w:rPr>
        <w:t xml:space="preserve">, a quien en lo </w:t>
      </w:r>
      <w:r w:rsidR="00E3154F" w:rsidRPr="00E06668">
        <w:rPr>
          <w:rFonts w:ascii="Palatino Linotype" w:eastAsia="Palatino Linotype" w:hAnsi="Palatino Linotype" w:cs="Palatino Linotype"/>
          <w:color w:val="000000" w:themeColor="text1"/>
        </w:rPr>
        <w:t xml:space="preserve">sucesivo se identificará como EL </w:t>
      </w:r>
      <w:r w:rsidRPr="00E06668">
        <w:rPr>
          <w:rFonts w:ascii="Palatino Linotype" w:eastAsia="Palatino Linotype" w:hAnsi="Palatino Linotype" w:cs="Palatino Linotype"/>
          <w:b/>
          <w:color w:val="000000" w:themeColor="text1"/>
        </w:rPr>
        <w:t>RECURRENTE</w:t>
      </w:r>
      <w:r w:rsidRPr="00E06668">
        <w:rPr>
          <w:rFonts w:ascii="Palatino Linotype" w:eastAsia="Palatino Linotype" w:hAnsi="Palatino Linotype" w:cs="Palatino Linotype"/>
          <w:color w:val="000000" w:themeColor="text1"/>
        </w:rPr>
        <w:t xml:space="preserve">, en contra de la respuesta del </w:t>
      </w:r>
      <w:r w:rsidRPr="00E06668">
        <w:rPr>
          <w:rFonts w:ascii="Palatino Linotype" w:eastAsia="Palatino Linotype" w:hAnsi="Palatino Linotype" w:cs="Palatino Linotype"/>
          <w:b/>
          <w:color w:val="000000" w:themeColor="text1"/>
        </w:rPr>
        <w:t xml:space="preserve">Ayuntamiento de Cuautitlán, </w:t>
      </w:r>
      <w:r w:rsidRPr="00E06668">
        <w:rPr>
          <w:rFonts w:ascii="Palatino Linotype" w:eastAsia="Palatino Linotype" w:hAnsi="Palatino Linotype" w:cs="Palatino Linotype"/>
          <w:color w:val="000000" w:themeColor="text1"/>
        </w:rPr>
        <w:t>en adelante el</w:t>
      </w:r>
      <w:r w:rsidRPr="00E06668">
        <w:rPr>
          <w:rFonts w:ascii="Palatino Linotype" w:eastAsia="Palatino Linotype" w:hAnsi="Palatino Linotype" w:cs="Palatino Linotype"/>
          <w:b/>
          <w:color w:val="000000" w:themeColor="text1"/>
        </w:rPr>
        <w:t xml:space="preserve"> SUJETO OBLIGADO</w:t>
      </w:r>
      <w:r w:rsidRPr="00E06668">
        <w:rPr>
          <w:rFonts w:ascii="Palatino Linotype" w:eastAsia="Palatino Linotype" w:hAnsi="Palatino Linotype" w:cs="Palatino Linotype"/>
          <w:color w:val="000000" w:themeColor="text1"/>
        </w:rPr>
        <w:t>, por lo que se procede a dictar la presente resolución, con base en los siguientes:</w:t>
      </w:r>
    </w:p>
    <w:p w14:paraId="5BD3408F" w14:textId="77777777" w:rsidR="00E3154F" w:rsidRPr="00E06668" w:rsidRDefault="00E3154F" w:rsidP="0037630E">
      <w:pPr>
        <w:spacing w:line="360" w:lineRule="auto"/>
        <w:jc w:val="both"/>
        <w:rPr>
          <w:rFonts w:ascii="Palatino Linotype" w:eastAsia="Palatino Linotype" w:hAnsi="Palatino Linotype" w:cs="Palatino Linotype"/>
          <w:b/>
          <w:color w:val="000000" w:themeColor="text1"/>
        </w:rPr>
      </w:pPr>
    </w:p>
    <w:p w14:paraId="2B79A4F7" w14:textId="77777777" w:rsidR="00023BFF" w:rsidRPr="00E06668" w:rsidRDefault="00987374" w:rsidP="0037630E">
      <w:pPr>
        <w:keepNext/>
        <w:keepLines/>
        <w:spacing w:line="360" w:lineRule="auto"/>
        <w:jc w:val="center"/>
        <w:rPr>
          <w:rFonts w:ascii="Palatino Linotype" w:eastAsia="Palatino Linotype" w:hAnsi="Palatino Linotype" w:cs="Palatino Linotype"/>
          <w:b/>
          <w:color w:val="000000" w:themeColor="text1"/>
        </w:rPr>
      </w:pPr>
      <w:bookmarkStart w:id="1" w:name="_heading=h.gjdgxs" w:colFirst="0" w:colLast="0"/>
      <w:bookmarkEnd w:id="1"/>
      <w:r w:rsidRPr="00E06668">
        <w:rPr>
          <w:rFonts w:ascii="Palatino Linotype" w:eastAsia="Palatino Linotype" w:hAnsi="Palatino Linotype" w:cs="Palatino Linotype"/>
          <w:b/>
          <w:color w:val="000000" w:themeColor="text1"/>
        </w:rPr>
        <w:t>A N T E C E D E N T E S</w:t>
      </w:r>
    </w:p>
    <w:p w14:paraId="74BA6F78" w14:textId="77777777" w:rsidR="00023BFF" w:rsidRPr="00E06668" w:rsidRDefault="00023BFF" w:rsidP="0037630E">
      <w:pPr>
        <w:spacing w:line="360" w:lineRule="auto"/>
        <w:rPr>
          <w:rFonts w:ascii="Palatino Linotype" w:eastAsia="Palatino Linotype" w:hAnsi="Palatino Linotype" w:cs="Palatino Linotype"/>
          <w:color w:val="000000" w:themeColor="text1"/>
        </w:rPr>
      </w:pPr>
    </w:p>
    <w:p w14:paraId="2F534355"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ocho de enero de dos mil veinticinco</w:t>
      </w:r>
      <w:r w:rsidRPr="00E06668">
        <w:rPr>
          <w:rFonts w:ascii="Palatino Linotype" w:eastAsia="Palatino Linotype" w:hAnsi="Palatino Linotype" w:cs="Palatino Linotype"/>
          <w:color w:val="000000" w:themeColor="text1"/>
        </w:rPr>
        <w:t xml:space="preserve">, </w:t>
      </w:r>
      <w:r w:rsidRPr="00E06668">
        <w:rPr>
          <w:rFonts w:ascii="Palatino Linotype" w:eastAsia="Palatino Linotype" w:hAnsi="Palatino Linotype" w:cs="Palatino Linotype"/>
          <w:b/>
          <w:color w:val="000000" w:themeColor="text1"/>
        </w:rPr>
        <w:t>EL RECURRENTE,</w:t>
      </w:r>
      <w:r w:rsidRPr="00E06668">
        <w:rPr>
          <w:rFonts w:ascii="Palatino Linotype" w:eastAsia="Palatino Linotype" w:hAnsi="Palatino Linotype" w:cs="Palatino Linotype"/>
          <w:color w:val="000000" w:themeColor="text1"/>
        </w:rPr>
        <w:t xml:space="preserve"> ante 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vía Sistema de Acceso a la Información Mexiquense (</w:t>
      </w:r>
      <w:r w:rsidRPr="00E06668">
        <w:rPr>
          <w:rFonts w:ascii="Palatino Linotype" w:eastAsia="Palatino Linotype" w:hAnsi="Palatino Linotype" w:cs="Palatino Linotype"/>
          <w:b/>
          <w:color w:val="000000" w:themeColor="text1"/>
        </w:rPr>
        <w:t>SAIMEX)</w:t>
      </w:r>
      <w:r w:rsidRPr="00E06668">
        <w:rPr>
          <w:rFonts w:ascii="Palatino Linotype" w:eastAsia="Palatino Linotype" w:hAnsi="Palatino Linotype" w:cs="Palatino Linotype"/>
          <w:color w:val="000000" w:themeColor="text1"/>
        </w:rPr>
        <w:t xml:space="preserve">, presentó una solicitud de información registrada con el número </w:t>
      </w:r>
      <w:r w:rsidRPr="00E06668">
        <w:rPr>
          <w:rFonts w:ascii="Palatino Linotype" w:eastAsia="Palatino Linotype" w:hAnsi="Palatino Linotype" w:cs="Palatino Linotype"/>
          <w:b/>
          <w:color w:val="000000" w:themeColor="text1"/>
        </w:rPr>
        <w:t xml:space="preserve">00019/CUAUTIT/IP/2025, misma que fue registrada en el sistema el trece de enero subsecuente, toda vez que este Órgano Garante se encontraba en periodo vacacional, </w:t>
      </w:r>
      <w:r w:rsidRPr="00E06668">
        <w:rPr>
          <w:rFonts w:ascii="Palatino Linotype" w:eastAsia="Palatino Linotype" w:hAnsi="Palatino Linotype" w:cs="Palatino Linotype"/>
          <w:color w:val="000000" w:themeColor="text1"/>
        </w:rPr>
        <w:t>la solicitud de información consistió en obtener las siguiente información:</w:t>
      </w:r>
    </w:p>
    <w:p w14:paraId="284AEDB8"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D8E7D84"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“Solicito la información relacionada al monto que recibió el Ayuntamiento por concepto del FORTAMUN en los años 2021, 2022, 2023 Y 2024 además de conocer en qué fueron ejercidos para sus respectivas áreas del ayuntamiento, anexar a la respuesta las Actas de Cabildo de la aprobación y modificación del ejercicio de dichos recursos; asi como la propuesta que se aprobó en ele Proyecto de Presupuesto del 2025..” (Sic) </w:t>
      </w:r>
    </w:p>
    <w:p w14:paraId="3E720A58"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803A032"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Se solicitó la entrega de la información a través de SAIMEX.</w:t>
      </w:r>
    </w:p>
    <w:p w14:paraId="7E2569EA"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C5D2858"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veintinueve de enero de dos mil veinticinco,</w:t>
      </w:r>
      <w:r w:rsidRPr="00E06668">
        <w:rPr>
          <w:rFonts w:ascii="Palatino Linotype" w:eastAsia="Palatino Linotype" w:hAnsi="Palatino Linotype" w:cs="Palatino Linotype"/>
          <w:color w:val="000000" w:themeColor="text1"/>
        </w:rPr>
        <w:t xml:space="preserve"> 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giro el requerimiento de información para que fuera atendida la solicitud de información </w:t>
      </w:r>
      <w:r w:rsidRPr="00E06668">
        <w:rPr>
          <w:rFonts w:ascii="Palatino Linotype" w:eastAsia="Palatino Linotype" w:hAnsi="Palatino Linotype" w:cs="Palatino Linotype"/>
          <w:b/>
          <w:color w:val="000000" w:themeColor="text1"/>
        </w:rPr>
        <w:t xml:space="preserve">00019/CUAUTIT/IP/2025. </w:t>
      </w:r>
    </w:p>
    <w:p w14:paraId="1CE1BF5E"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1B773552"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 xml:space="preserve">cuatro de febrero de dos mil veinticinco, </w:t>
      </w: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emitió el acuerdo de prórroga para que fuera atendida la solicitud de información </w:t>
      </w:r>
      <w:r w:rsidRPr="00E06668">
        <w:rPr>
          <w:rFonts w:ascii="Palatino Linotype" w:eastAsia="Palatino Linotype" w:hAnsi="Palatino Linotype" w:cs="Palatino Linotype"/>
          <w:b/>
          <w:color w:val="000000" w:themeColor="text1"/>
        </w:rPr>
        <w:t>00019/CUAUTIT/IP/2025.</w:t>
      </w:r>
    </w:p>
    <w:p w14:paraId="474538CB"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45A0B1D1" w14:textId="53A7BE63"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doce de febrero de dos mil veinticinco</w:t>
      </w:r>
      <w:r w:rsidRPr="00E06668">
        <w:rPr>
          <w:rFonts w:ascii="Palatino Linotype" w:eastAsia="Palatino Linotype" w:hAnsi="Palatino Linotype" w:cs="Palatino Linotype"/>
          <w:color w:val="000000" w:themeColor="text1"/>
        </w:rPr>
        <w:t xml:space="preserve">, 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b/>
          <w:i/>
          <w:color w:val="000000" w:themeColor="text1"/>
        </w:rPr>
        <w:t xml:space="preserve"> </w:t>
      </w:r>
      <w:r w:rsidRPr="00E06668">
        <w:rPr>
          <w:rFonts w:ascii="Palatino Linotype" w:eastAsia="Palatino Linotype" w:hAnsi="Palatino Linotype" w:cs="Palatino Linotype"/>
          <w:color w:val="000000" w:themeColor="text1"/>
        </w:rPr>
        <w:t>dio respuesta a la solicitud de información mediante un archivo electrónico en formato pdf, cuyo conten</w:t>
      </w:r>
      <w:r w:rsidR="00E101AE">
        <w:rPr>
          <w:rFonts w:ascii="Palatino Linotype" w:eastAsia="Palatino Linotype" w:hAnsi="Palatino Linotype" w:cs="Palatino Linotype"/>
          <w:color w:val="000000" w:themeColor="text1"/>
        </w:rPr>
        <w:t>ido grosso modo es el siguiente:</w:t>
      </w:r>
      <w:r w:rsidRPr="00E06668">
        <w:rPr>
          <w:rFonts w:ascii="Palatino Linotype" w:eastAsia="Palatino Linotype" w:hAnsi="Palatino Linotype" w:cs="Palatino Linotype"/>
          <w:color w:val="000000" w:themeColor="text1"/>
        </w:rPr>
        <w:t xml:space="preserve"> </w:t>
      </w:r>
    </w:p>
    <w:p w14:paraId="6475B420"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 xml:space="preserve">Resp. sol. 00019.pdf: </w:t>
      </w:r>
      <w:r w:rsidRPr="00E06668">
        <w:rPr>
          <w:rFonts w:ascii="Palatino Linotype" w:eastAsia="Palatino Linotype" w:hAnsi="Palatino Linotype" w:cs="Palatino Linotype"/>
          <w:i/>
          <w:color w:val="000000" w:themeColor="text1"/>
        </w:rPr>
        <w:t xml:space="preserve">documento que se compone de treinta fojas entre las cuales se encuentra el oficio de solicitud de información que remite el Titular de la Unidad de Transparencia al Tesorero Municipal. </w:t>
      </w:r>
    </w:p>
    <w:p w14:paraId="128C1648"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El documento también contiene la respuesta del </w:t>
      </w:r>
      <w:r w:rsidRPr="00E06668">
        <w:rPr>
          <w:rFonts w:ascii="Palatino Linotype" w:eastAsia="Palatino Linotype" w:hAnsi="Palatino Linotype" w:cs="Palatino Linotype"/>
          <w:b/>
          <w:i/>
          <w:color w:val="000000" w:themeColor="text1"/>
        </w:rPr>
        <w:t>Tesorero Municipal</w:t>
      </w:r>
      <w:r w:rsidRPr="00E06668">
        <w:rPr>
          <w:rFonts w:ascii="Palatino Linotype" w:eastAsia="Palatino Linotype" w:hAnsi="Palatino Linotype" w:cs="Palatino Linotype"/>
          <w:i/>
          <w:color w:val="000000" w:themeColor="text1"/>
        </w:rPr>
        <w:t xml:space="preserve">, mediante el cual informa  que previa búsqueda exhaustiva y razonada de la información en los archivos de la dependencia a su cargo, adjunta copia simple de las GACETAS DEL GOBIERNO Tomo CCXI, número 21, con fecha viernes 29 enero de 2021, GACETA DEL GOBIERNO Tomo CCXIII, número 51, con fecha jueves 17 de marzo de 2022, GACETA DEL GOBIERNO Tomo CCXV, número 19, con fecha martes 31 de enero del 2023 y GACETA DEL GOBIERNO Tomo CCXVII, número 19, con fecha miércoles 31 de enero de 2024, mismas que contienen el presupuesto asignado por FORTAMUN para los años 2021, 2022, 2023 y 2024. </w:t>
      </w:r>
    </w:p>
    <w:p w14:paraId="233F75CA" w14:textId="77777777" w:rsidR="00023BFF" w:rsidRPr="00E06668" w:rsidRDefault="00023BFF" w:rsidP="0037630E">
      <w:pPr>
        <w:pBdr>
          <w:top w:val="nil"/>
          <w:left w:val="nil"/>
          <w:bottom w:val="nil"/>
          <w:right w:val="nil"/>
          <w:between w:val="nil"/>
        </w:pBdr>
        <w:jc w:val="both"/>
        <w:rPr>
          <w:rFonts w:ascii="Palatino Linotype" w:eastAsia="Palatino Linotype" w:hAnsi="Palatino Linotype" w:cs="Palatino Linotype"/>
          <w:i/>
          <w:color w:val="000000" w:themeColor="text1"/>
        </w:rPr>
      </w:pPr>
    </w:p>
    <w:p w14:paraId="5496919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quince de febrero de dos mil veinticinco</w:t>
      </w:r>
      <w:r w:rsidRPr="00E06668">
        <w:rPr>
          <w:rFonts w:ascii="Palatino Linotype" w:eastAsia="Palatino Linotype" w:hAnsi="Palatino Linotype" w:cs="Palatino Linotype"/>
          <w:color w:val="000000" w:themeColor="text1"/>
        </w:rPr>
        <w:t xml:space="preserve">, </w:t>
      </w:r>
      <w:r w:rsidRPr="00E06668">
        <w:rPr>
          <w:rFonts w:ascii="Palatino Linotype" w:eastAsia="Palatino Linotype" w:hAnsi="Palatino Linotype" w:cs="Palatino Linotype"/>
          <w:b/>
          <w:color w:val="000000" w:themeColor="text1"/>
        </w:rPr>
        <w:t>el RECURRENTE</w:t>
      </w:r>
      <w:r w:rsidRPr="00E06668">
        <w:rPr>
          <w:rFonts w:ascii="Palatino Linotype" w:eastAsia="Palatino Linotype" w:hAnsi="Palatino Linotype" w:cs="Palatino Linotype"/>
          <w:color w:val="000000" w:themeColor="text1"/>
        </w:rPr>
        <w:t xml:space="preserve"> interpuso el recurso de revisión, en contra de la respuesta, señalando como:</w:t>
      </w:r>
    </w:p>
    <w:p w14:paraId="52608457" w14:textId="77777777" w:rsidR="00E3154F" w:rsidRPr="00E101AE" w:rsidRDefault="00E3154F" w:rsidP="00E101A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F5CF599" w14:textId="77777777" w:rsidR="00023BFF" w:rsidRPr="00E101AE" w:rsidRDefault="00987374" w:rsidP="00E101AE">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i/>
          <w:color w:val="000000" w:themeColor="text1"/>
        </w:rPr>
      </w:pPr>
      <w:r w:rsidRPr="00E101AE">
        <w:rPr>
          <w:rFonts w:ascii="Palatino Linotype" w:eastAsia="Palatino Linotype" w:hAnsi="Palatino Linotype" w:cs="Palatino Linotype"/>
          <w:b/>
          <w:color w:val="000000" w:themeColor="text1"/>
        </w:rPr>
        <w:t>Acto impugnado</w:t>
      </w:r>
      <w:r w:rsidRPr="00E101AE">
        <w:rPr>
          <w:rFonts w:ascii="Palatino Linotype" w:eastAsia="Palatino Linotype" w:hAnsi="Palatino Linotype" w:cs="Palatino Linotype"/>
          <w:b/>
          <w:i/>
          <w:color w:val="000000" w:themeColor="text1"/>
        </w:rPr>
        <w:t>:</w:t>
      </w:r>
      <w:r w:rsidRPr="00E101AE">
        <w:rPr>
          <w:rFonts w:ascii="Palatino Linotype" w:eastAsia="Palatino Linotype" w:hAnsi="Palatino Linotype" w:cs="Palatino Linotype"/>
          <w:i/>
          <w:color w:val="000000" w:themeColor="text1"/>
        </w:rPr>
        <w:t xml:space="preserve"> “No dio la información, con una justificación incongruente" (Sic)</w:t>
      </w:r>
    </w:p>
    <w:p w14:paraId="1C46C5F3" w14:textId="77777777" w:rsidR="00023BFF" w:rsidRPr="00E06668" w:rsidRDefault="00023BFF" w:rsidP="0037630E">
      <w:pPr>
        <w:pBdr>
          <w:top w:val="nil"/>
          <w:left w:val="nil"/>
          <w:bottom w:val="nil"/>
          <w:right w:val="nil"/>
          <w:between w:val="nil"/>
        </w:pBdr>
        <w:jc w:val="both"/>
        <w:rPr>
          <w:rFonts w:ascii="Palatino Linotype" w:eastAsia="Palatino Linotype" w:hAnsi="Palatino Linotype" w:cs="Palatino Linotype"/>
          <w:i/>
          <w:color w:val="000000" w:themeColor="text1"/>
        </w:rPr>
      </w:pPr>
    </w:p>
    <w:p w14:paraId="6224CD2C" w14:textId="77777777" w:rsidR="00023BFF" w:rsidRPr="00E101AE" w:rsidRDefault="00987374" w:rsidP="00E101AE">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color w:val="000000" w:themeColor="text1"/>
        </w:rPr>
      </w:pPr>
      <w:r w:rsidRPr="00E101AE">
        <w:rPr>
          <w:rFonts w:ascii="Palatino Linotype" w:eastAsia="Palatino Linotype" w:hAnsi="Palatino Linotype" w:cs="Palatino Linotype"/>
          <w:b/>
          <w:color w:val="000000" w:themeColor="text1"/>
        </w:rPr>
        <w:t xml:space="preserve">Razones o Motivos de inconformidad: </w:t>
      </w:r>
      <w:r w:rsidRPr="00E101AE">
        <w:rPr>
          <w:rFonts w:ascii="Palatino Linotype" w:eastAsia="Palatino Linotype" w:hAnsi="Palatino Linotype" w:cs="Palatino Linotype"/>
          <w:color w:val="000000" w:themeColor="text1"/>
        </w:rPr>
        <w:t>“</w:t>
      </w:r>
      <w:r w:rsidRPr="00E101AE">
        <w:rPr>
          <w:rFonts w:ascii="Palatino Linotype" w:eastAsia="Palatino Linotype" w:hAnsi="Palatino Linotype" w:cs="Palatino Linotype"/>
          <w:i/>
          <w:color w:val="000000" w:themeColor="text1"/>
        </w:rPr>
        <w:t>No dio la información, con una justificación incongruente.” (Sic)</w:t>
      </w:r>
      <w:r w:rsidRPr="00E101AE">
        <w:rPr>
          <w:rFonts w:ascii="Palatino Linotype" w:eastAsia="Palatino Linotype" w:hAnsi="Palatino Linotype" w:cs="Palatino Linotype"/>
          <w:color w:val="000000" w:themeColor="text1"/>
        </w:rPr>
        <w:t xml:space="preserve">. </w:t>
      </w:r>
    </w:p>
    <w:p w14:paraId="38DFFF48"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04512F06"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E06668">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E06668">
        <w:rPr>
          <w:rFonts w:ascii="Palatino Linotype" w:eastAsia="Palatino Linotype" w:hAnsi="Palatino Linotype" w:cs="Palatino Linotype"/>
          <w:color w:val="000000" w:themeColor="text1"/>
        </w:rPr>
        <w:t xml:space="preserve">se turna a la </w:t>
      </w:r>
      <w:r w:rsidRPr="00E06668">
        <w:rPr>
          <w:rFonts w:ascii="Palatino Linotype" w:eastAsia="Palatino Linotype" w:hAnsi="Palatino Linotype" w:cs="Palatino Linotype"/>
          <w:b/>
          <w:color w:val="000000" w:themeColor="text1"/>
        </w:rPr>
        <w:t xml:space="preserve">Comisionada María del Rosario Mejía Ayala, </w:t>
      </w:r>
      <w:r w:rsidRPr="00E06668">
        <w:rPr>
          <w:rFonts w:ascii="Palatino Linotype" w:eastAsia="Palatino Linotype" w:hAnsi="Palatino Linotype" w:cs="Palatino Linotype"/>
          <w:color w:val="000000" w:themeColor="text1"/>
        </w:rPr>
        <w:t xml:space="preserve">para su análisis. </w:t>
      </w:r>
    </w:p>
    <w:p w14:paraId="39859FB2"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64C3113"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w:t>
      </w:r>
      <w:r w:rsidRPr="00E06668">
        <w:rPr>
          <w:rFonts w:ascii="Palatino Linotype" w:eastAsia="Palatino Linotype" w:hAnsi="Palatino Linotype" w:cs="Palatino Linotype"/>
          <w:b/>
          <w:color w:val="000000" w:themeColor="text1"/>
        </w:rPr>
        <w:t>diecinueve de febrero de dos mil veinticinco</w:t>
      </w:r>
      <w:r w:rsidRPr="00E06668">
        <w:rPr>
          <w:rFonts w:ascii="Palatino Linotype" w:eastAsia="Palatino Linotype" w:hAnsi="Palatino Linotype" w:cs="Palatino Linotype"/>
          <w:color w:val="000000" w:themeColor="text1"/>
        </w:rPr>
        <w:t xml:space="preserve">, puso a disposición de las partes el expediente electrónico vía </w:t>
      </w:r>
      <w:r w:rsidRPr="00E06668">
        <w:rPr>
          <w:rFonts w:ascii="Palatino Linotype" w:eastAsia="Palatino Linotype" w:hAnsi="Palatino Linotype" w:cs="Palatino Linotype"/>
          <w:b/>
          <w:color w:val="000000" w:themeColor="text1"/>
        </w:rPr>
        <w:t xml:space="preserve">SAIMEX </w:t>
      </w:r>
      <w:r w:rsidRPr="00E06668">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corresponda al caso concreto, de esta forma para que 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presentará el informe justificado procedente. De las constancias que obran en el expediente electrónico SAIMEX el particular no realizó manifestaciones. </w:t>
      </w:r>
    </w:p>
    <w:p w14:paraId="440395B2"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892A7CD" w14:textId="77777777" w:rsidR="00023BFF" w:rsidRPr="00E06668" w:rsidRDefault="00987374" w:rsidP="0037630E">
      <w:pPr>
        <w:numPr>
          <w:ilvl w:val="0"/>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bookmarkStart w:id="2" w:name="_heading=h.tbhowgyssmd" w:colFirst="0" w:colLast="0"/>
      <w:bookmarkEnd w:id="2"/>
      <w:r w:rsidRPr="00E06668">
        <w:rPr>
          <w:rFonts w:ascii="Palatino Linotype" w:eastAsia="Palatino Linotype" w:hAnsi="Palatino Linotype" w:cs="Palatino Linotype"/>
          <w:color w:val="000000" w:themeColor="text1"/>
        </w:rPr>
        <w:t xml:space="preserve">Tal y como se observa en el expediente electrónico el </w:t>
      </w:r>
      <w:r w:rsidRPr="00E06668">
        <w:rPr>
          <w:rFonts w:ascii="Palatino Linotype" w:eastAsia="Palatino Linotype" w:hAnsi="Palatino Linotype" w:cs="Palatino Linotype"/>
          <w:b/>
          <w:color w:val="000000" w:themeColor="text1"/>
        </w:rPr>
        <w:t xml:space="preserve">veintiocho de febrero de dos mil veinticinco </w:t>
      </w: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entregó un archivo electrónico en formato pdf, cuyo contenido grosso modo es el siguiente y que se puso a la vista del </w:t>
      </w:r>
      <w:r w:rsidRPr="00E06668">
        <w:rPr>
          <w:rFonts w:ascii="Palatino Linotype" w:eastAsia="Palatino Linotype" w:hAnsi="Palatino Linotype" w:cs="Palatino Linotype"/>
          <w:b/>
          <w:color w:val="000000" w:themeColor="text1"/>
        </w:rPr>
        <w:t xml:space="preserve">RECURRENTE </w:t>
      </w: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 xml:space="preserve">veinte de mayo de dos mil veinticinco. </w:t>
      </w:r>
    </w:p>
    <w:p w14:paraId="5BC1E801" w14:textId="77777777" w:rsidR="00E3154F" w:rsidRPr="00E06668" w:rsidRDefault="00E3154F" w:rsidP="00E3154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38EE4581" w14:textId="551EBDA3" w:rsidR="00E3154F" w:rsidRPr="00E06668" w:rsidRDefault="00987374" w:rsidP="0037630E">
      <w:pPr>
        <w:pBdr>
          <w:top w:val="nil"/>
          <w:left w:val="nil"/>
          <w:bottom w:val="nil"/>
          <w:right w:val="nil"/>
          <w:between w:val="nil"/>
        </w:pBdr>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 xml:space="preserve">Recurso de Revisión 01453.pdf: </w:t>
      </w:r>
      <w:r w:rsidRPr="00E06668">
        <w:rPr>
          <w:rFonts w:ascii="Palatino Linotype" w:eastAsia="Palatino Linotype" w:hAnsi="Palatino Linotype" w:cs="Palatino Linotype"/>
          <w:i/>
          <w:color w:val="000000" w:themeColor="text1"/>
        </w:rPr>
        <w:t>respuesta mediante la cual ratifica la respuesta inicial.</w:t>
      </w:r>
    </w:p>
    <w:p w14:paraId="27ED4938" w14:textId="77777777" w:rsidR="00E3154F" w:rsidRPr="00E06668" w:rsidRDefault="00E3154F" w:rsidP="0037630E">
      <w:pPr>
        <w:pBdr>
          <w:top w:val="nil"/>
          <w:left w:val="nil"/>
          <w:bottom w:val="nil"/>
          <w:right w:val="nil"/>
          <w:between w:val="nil"/>
        </w:pBdr>
        <w:rPr>
          <w:rFonts w:ascii="Palatino Linotype" w:eastAsia="Palatino Linotype" w:hAnsi="Palatino Linotype" w:cs="Palatino Linotype"/>
          <w:i/>
          <w:color w:val="000000" w:themeColor="text1"/>
        </w:rPr>
      </w:pPr>
    </w:p>
    <w:p w14:paraId="5DFCF5B8" w14:textId="77777777" w:rsidR="00023BFF" w:rsidRPr="00E06668" w:rsidRDefault="00987374" w:rsidP="0037630E">
      <w:pPr>
        <w:pBdr>
          <w:top w:val="nil"/>
          <w:left w:val="nil"/>
          <w:bottom w:val="nil"/>
          <w:right w:val="nil"/>
          <w:between w:val="nil"/>
        </w:pBdr>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 </w:t>
      </w:r>
    </w:p>
    <w:p w14:paraId="4C6B89EE" w14:textId="77777777" w:rsidR="00023BFF" w:rsidRPr="00E06668" w:rsidRDefault="00987374" w:rsidP="0037630E">
      <w:pPr>
        <w:numPr>
          <w:ilvl w:val="0"/>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Por su parte el </w:t>
      </w:r>
      <w:r w:rsidRPr="00E06668">
        <w:rPr>
          <w:rFonts w:ascii="Palatino Linotype" w:eastAsia="Palatino Linotype" w:hAnsi="Palatino Linotype" w:cs="Palatino Linotype"/>
          <w:b/>
          <w:color w:val="000000" w:themeColor="text1"/>
        </w:rPr>
        <w:t xml:space="preserve">RECURRENTE </w:t>
      </w:r>
      <w:r w:rsidRPr="00E06668">
        <w:rPr>
          <w:rFonts w:ascii="Palatino Linotype" w:eastAsia="Palatino Linotype" w:hAnsi="Palatino Linotype" w:cs="Palatino Linotype"/>
          <w:color w:val="000000" w:themeColor="text1"/>
        </w:rPr>
        <w:t xml:space="preserve">dejó de realizar manifestaciones que a su derecho conviniera y asistiera. </w:t>
      </w:r>
    </w:p>
    <w:p w14:paraId="5497537D"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4C6ACF0E" w14:textId="27F19484" w:rsidR="00023BFF" w:rsidRPr="00E06668" w:rsidRDefault="00987374" w:rsidP="0037630E">
      <w:pPr>
        <w:numPr>
          <w:ilvl w:val="0"/>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veinte de mayo de dos mil veinticinco</w:t>
      </w:r>
      <w:r w:rsidRPr="00E06668">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de</w:t>
      </w:r>
      <w:r w:rsidR="00E3154F" w:rsidRPr="00E06668">
        <w:rPr>
          <w:rFonts w:ascii="Palatino Linotype" w:eastAsia="Palatino Linotype" w:hAnsi="Palatino Linotype" w:cs="Palatino Linotype"/>
          <w:color w:val="000000" w:themeColor="text1"/>
        </w:rPr>
        <w:t>l Estado de México y Municipios</w:t>
      </w:r>
    </w:p>
    <w:p w14:paraId="38963476"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1BE78BBF" w14:textId="487C4BE8" w:rsidR="00023BFF" w:rsidRPr="00E06668" w:rsidRDefault="00987374" w:rsidP="0037630E">
      <w:pPr>
        <w:numPr>
          <w:ilvl w:val="0"/>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Seguidamente, mediante acuerdo de fecha </w:t>
      </w:r>
      <w:r w:rsidRPr="00E06668">
        <w:rPr>
          <w:rFonts w:ascii="Palatino Linotype" w:eastAsia="Palatino Linotype" w:hAnsi="Palatino Linotype" w:cs="Palatino Linotype"/>
          <w:b/>
          <w:color w:val="000000" w:themeColor="text1"/>
        </w:rPr>
        <w:t xml:space="preserve">veinticuatro de mayo de dos mil veinticinco, </w:t>
      </w:r>
      <w:r w:rsidRPr="00E06668">
        <w:rPr>
          <w:rFonts w:ascii="Palatino Linotype" w:eastAsia="Palatino Linotype" w:hAnsi="Palatino Linotype" w:cs="Palatino Linotype"/>
          <w:color w:val="000000" w:themeColor="text1"/>
        </w:rPr>
        <w:t>se decretó el cierre de instrucción, en términos del artículo 185 fracción VI de la Ley de Transparencia y Acceso a la Información Pública del Estado de México y Municipios, por lo que no h</w:t>
      </w:r>
      <w:r w:rsidR="00E3154F" w:rsidRPr="00E06668">
        <w:rPr>
          <w:rFonts w:ascii="Palatino Linotype" w:eastAsia="Palatino Linotype" w:hAnsi="Palatino Linotype" w:cs="Palatino Linotype"/>
          <w:color w:val="000000" w:themeColor="text1"/>
        </w:rPr>
        <w:t>abiendo más que hacer constar:</w:t>
      </w:r>
    </w:p>
    <w:p w14:paraId="1CE8E8A5"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2E31B5A5" w14:textId="77777777" w:rsidR="00023BFF" w:rsidRPr="00E06668" w:rsidRDefault="00987374" w:rsidP="0037630E">
      <w:pPr>
        <w:spacing w:line="360" w:lineRule="auto"/>
        <w:jc w:val="center"/>
        <w:rPr>
          <w:rFonts w:ascii="Palatino Linotype" w:eastAsia="Palatino Linotype" w:hAnsi="Palatino Linotype" w:cs="Palatino Linotype"/>
          <w:color w:val="000000" w:themeColor="text1"/>
        </w:rPr>
      </w:pPr>
      <w:bookmarkStart w:id="3" w:name="_heading=h.1fob9te" w:colFirst="0" w:colLast="0"/>
      <w:bookmarkEnd w:id="3"/>
      <w:r w:rsidRPr="00E06668">
        <w:rPr>
          <w:rFonts w:ascii="Palatino Linotype" w:eastAsia="Palatino Linotype" w:hAnsi="Palatino Linotype" w:cs="Palatino Linotype"/>
          <w:b/>
          <w:color w:val="000000" w:themeColor="text1"/>
        </w:rPr>
        <w:t>C O N S I D E R A N D O</w:t>
      </w:r>
    </w:p>
    <w:p w14:paraId="44123B28"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                                                                                                                     </w:t>
      </w:r>
    </w:p>
    <w:p w14:paraId="0A743A90" w14:textId="77777777" w:rsidR="00023BFF" w:rsidRPr="00E06668" w:rsidRDefault="00987374" w:rsidP="0037630E">
      <w:pPr>
        <w:spacing w:line="360" w:lineRule="auto"/>
        <w:jc w:val="both"/>
        <w:rPr>
          <w:rFonts w:ascii="Palatino Linotype" w:eastAsia="Palatino Linotype" w:hAnsi="Palatino Linotype" w:cs="Palatino Linotype"/>
          <w:b/>
          <w:color w:val="000000" w:themeColor="text1"/>
        </w:rPr>
      </w:pPr>
      <w:bookmarkStart w:id="4" w:name="_heading=h.3znysh7" w:colFirst="0" w:colLast="0"/>
      <w:bookmarkEnd w:id="4"/>
      <w:r w:rsidRPr="00E06668">
        <w:rPr>
          <w:rFonts w:ascii="Palatino Linotype" w:eastAsia="Palatino Linotype" w:hAnsi="Palatino Linotype" w:cs="Palatino Linotype"/>
          <w:b/>
          <w:color w:val="000000" w:themeColor="text1"/>
        </w:rPr>
        <w:t>PRIMERO. De la competencia</w:t>
      </w:r>
    </w:p>
    <w:p w14:paraId="27F74F4D" w14:textId="77777777" w:rsidR="00023BFF" w:rsidRPr="00E06668" w:rsidRDefault="00987374" w:rsidP="0037630E">
      <w:pPr>
        <w:numPr>
          <w:ilvl w:val="0"/>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w:t>
      </w:r>
      <w:r w:rsidRPr="00E06668">
        <w:rPr>
          <w:rFonts w:ascii="Palatino Linotype" w:eastAsia="Palatino Linotype" w:hAnsi="Palatino Linotype" w:cs="Palatino Linotype"/>
          <w:color w:val="000000" w:themeColor="text1"/>
        </w:rPr>
        <w:lastRenderedPageBreak/>
        <w:t>Información Pública y Protección de Datos Personales del Estado de México y Municipios.</w:t>
      </w:r>
    </w:p>
    <w:p w14:paraId="55A9FE29"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58845C8" w14:textId="77777777" w:rsidR="00023BFF" w:rsidRPr="00E06668" w:rsidRDefault="00987374" w:rsidP="0037630E">
      <w:pPr>
        <w:keepNext/>
        <w:keepLines/>
        <w:spacing w:line="360" w:lineRule="auto"/>
        <w:rPr>
          <w:rFonts w:ascii="Palatino Linotype" w:eastAsia="Palatino Linotype" w:hAnsi="Palatino Linotype" w:cs="Palatino Linotype"/>
          <w:b/>
          <w:color w:val="000000" w:themeColor="text1"/>
        </w:rPr>
      </w:pPr>
      <w:bookmarkStart w:id="5" w:name="_heading=h.2et92p0" w:colFirst="0" w:colLast="0"/>
      <w:bookmarkEnd w:id="5"/>
      <w:r w:rsidRPr="00E06668">
        <w:rPr>
          <w:rFonts w:ascii="Palatino Linotype" w:eastAsia="Palatino Linotype" w:hAnsi="Palatino Linotype" w:cs="Palatino Linotype"/>
          <w:b/>
          <w:color w:val="000000" w:themeColor="text1"/>
        </w:rPr>
        <w:t>SEGUNDO. De la oportunidad y procedencia.</w:t>
      </w:r>
    </w:p>
    <w:p w14:paraId="07E9F029"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medio de impugnación fue presentado a través del </w:t>
      </w:r>
      <w:r w:rsidRPr="00E06668">
        <w:rPr>
          <w:rFonts w:ascii="Palatino Linotype" w:eastAsia="Palatino Linotype" w:hAnsi="Palatino Linotype" w:cs="Palatino Linotype"/>
          <w:b/>
          <w:color w:val="000000" w:themeColor="text1"/>
        </w:rPr>
        <w:t>SAIMEX,</w:t>
      </w:r>
      <w:r w:rsidRPr="00E06668">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entregó respuesta a la solicitud el día </w:t>
      </w:r>
      <w:r w:rsidRPr="00E06668">
        <w:rPr>
          <w:rFonts w:ascii="Palatino Linotype" w:eastAsia="Palatino Linotype" w:hAnsi="Palatino Linotype" w:cs="Palatino Linotype"/>
          <w:b/>
          <w:color w:val="000000" w:themeColor="text1"/>
        </w:rPr>
        <w:t>doce de febrero de dos mil veinticinco</w:t>
      </w:r>
      <w:r w:rsidRPr="00E06668">
        <w:rPr>
          <w:rFonts w:ascii="Palatino Linotype" w:eastAsia="Palatino Linotype" w:hAnsi="Palatino Linotype" w:cs="Palatino Linotype"/>
          <w:color w:val="000000" w:themeColor="text1"/>
        </w:rPr>
        <w:t xml:space="preserve">, de tal forma que el plazo para interponer el recurso de revisión transcurrió del </w:t>
      </w:r>
      <w:r w:rsidRPr="00E06668">
        <w:rPr>
          <w:rFonts w:ascii="Palatino Linotype" w:eastAsia="Palatino Linotype" w:hAnsi="Palatino Linotype" w:cs="Palatino Linotype"/>
          <w:b/>
          <w:color w:val="000000" w:themeColor="text1"/>
        </w:rPr>
        <w:t>trece de febrero al seis de marzo de dos mil veinticinco</w:t>
      </w:r>
      <w:r w:rsidRPr="00E06668">
        <w:rPr>
          <w:rFonts w:ascii="Palatino Linotype" w:eastAsia="Palatino Linotype" w:hAnsi="Palatino Linotype" w:cs="Palatino Linotype"/>
          <w:color w:val="000000" w:themeColor="text1"/>
        </w:rPr>
        <w:t xml:space="preserve">; en consecuencia, presentó su inconformidad el día </w:t>
      </w:r>
      <w:r w:rsidRPr="00E06668">
        <w:rPr>
          <w:rFonts w:ascii="Palatino Linotype" w:eastAsia="Palatino Linotype" w:hAnsi="Palatino Linotype" w:cs="Palatino Linotype"/>
          <w:b/>
          <w:color w:val="000000" w:themeColor="text1"/>
        </w:rPr>
        <w:t>quince de febrero de dos mil veinticinco</w:t>
      </w:r>
      <w:r w:rsidRPr="00E06668">
        <w:rPr>
          <w:rFonts w:ascii="Palatino Linotype" w:eastAsia="Palatino Linotype" w:hAnsi="Palatino Linotype" w:cs="Palatino Linotype"/>
          <w:color w:val="000000" w:themeColor="text1"/>
        </w:rPr>
        <w:t xml:space="preserve">, por lo que se encuentra dentro de los márgenes temporales previstos en el artículo 178 de la </w:t>
      </w:r>
      <w:r w:rsidRPr="00E06668">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E06668">
        <w:rPr>
          <w:rFonts w:ascii="Palatino Linotype" w:eastAsia="Palatino Linotype" w:hAnsi="Palatino Linotype" w:cs="Palatino Linotype"/>
          <w:color w:val="000000" w:themeColor="text1"/>
        </w:rPr>
        <w:t>vigente.</w:t>
      </w:r>
    </w:p>
    <w:p w14:paraId="34AF1AF4" w14:textId="77777777" w:rsidR="00023BFF" w:rsidRPr="00E06668" w:rsidRDefault="00023BFF" w:rsidP="0037630E">
      <w:pPr>
        <w:spacing w:line="360" w:lineRule="auto"/>
        <w:rPr>
          <w:rFonts w:ascii="Palatino Linotype" w:eastAsia="Palatino Linotype" w:hAnsi="Palatino Linotype" w:cs="Palatino Linotype"/>
          <w:color w:val="000000" w:themeColor="text1"/>
        </w:rPr>
      </w:pPr>
    </w:p>
    <w:p w14:paraId="3CA9D61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85D4FBE"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r w:rsidRPr="00E06668">
        <w:rPr>
          <w:rFonts w:ascii="Palatino Linotype" w:eastAsia="Palatino Linotype" w:hAnsi="Palatino Linotype" w:cs="Palatino Linotype"/>
          <w:b/>
          <w:i/>
          <w:color w:val="000000" w:themeColor="text1"/>
        </w:rPr>
        <w:t>Las solicitudes anónimas</w:t>
      </w:r>
      <w:r w:rsidRPr="00E06668">
        <w:rPr>
          <w:rFonts w:ascii="Palatino Linotype" w:eastAsia="Palatino Linotype" w:hAnsi="Palatino Linotype" w:cs="Palatino Linotype"/>
          <w:i/>
          <w:color w:val="000000" w:themeColor="text1"/>
        </w:rPr>
        <w:t xml:space="preserve">, con nombre incompleto o seudónimo </w:t>
      </w:r>
      <w:r w:rsidRPr="00E06668">
        <w:rPr>
          <w:rFonts w:ascii="Palatino Linotype" w:eastAsia="Palatino Linotype" w:hAnsi="Palatino Linotype" w:cs="Palatino Linotype"/>
          <w:b/>
          <w:i/>
          <w:color w:val="000000" w:themeColor="text1"/>
        </w:rPr>
        <w:t>serán procedentes para su trámite por parte del sujeto obligado ante quien se presente</w:t>
      </w:r>
      <w:r w:rsidRPr="00E06668">
        <w:rPr>
          <w:rFonts w:ascii="Palatino Linotype" w:eastAsia="Palatino Linotype" w:hAnsi="Palatino Linotype" w:cs="Palatino Linotype"/>
          <w:i/>
          <w:color w:val="000000" w:themeColor="text1"/>
        </w:rPr>
        <w:t>. No podrá requerirse información adicional con motivo del nombre proporcionado por el solicitante."</w:t>
      </w:r>
    </w:p>
    <w:p w14:paraId="1EC900C5" w14:textId="00B8A1D7" w:rsidR="00023BFF" w:rsidRPr="00E06668" w:rsidRDefault="00E101AE" w:rsidP="00E101AE">
      <w:pPr>
        <w:tabs>
          <w:tab w:val="left" w:pos="258"/>
        </w:tabs>
        <w:spacing w:line="360" w:lineRule="auto"/>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ab/>
      </w:r>
    </w:p>
    <w:p w14:paraId="202F49C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Robusteciendo lo anterior se encuentra lo dispuesto en el artículo 6, Apartado A, fracciones III de la Constitución Política de los Estados Unidos Mexicanos que establece:</w:t>
      </w:r>
    </w:p>
    <w:p w14:paraId="4D90B321"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r w:rsidRPr="00E06668">
        <w:rPr>
          <w:rFonts w:ascii="Palatino Linotype" w:eastAsia="Palatino Linotype" w:hAnsi="Palatino Linotype" w:cs="Palatino Linotype"/>
          <w:b/>
          <w:i/>
          <w:color w:val="000000" w:themeColor="text1"/>
        </w:rPr>
        <w:t>Artículo 6.-</w:t>
      </w:r>
      <w:r w:rsidRPr="00E06668">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34CE08"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Para efectos de lo dispuesto en el presente artículo se observará lo siguiente:</w:t>
      </w:r>
    </w:p>
    <w:p w14:paraId="5BD0E8F7" w14:textId="77777777" w:rsidR="00023BFF" w:rsidRPr="00E06668" w:rsidRDefault="00023BFF" w:rsidP="0037630E">
      <w:pPr>
        <w:ind w:firstLine="1134"/>
        <w:jc w:val="both"/>
        <w:rPr>
          <w:rFonts w:ascii="Palatino Linotype" w:eastAsia="Palatino Linotype" w:hAnsi="Palatino Linotype" w:cs="Palatino Linotype"/>
          <w:i/>
          <w:color w:val="000000" w:themeColor="text1"/>
        </w:rPr>
      </w:pPr>
    </w:p>
    <w:p w14:paraId="78862052"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4C92ECC3" w14:textId="77777777" w:rsidR="00023BFF" w:rsidRPr="00E06668" w:rsidRDefault="00023BFF" w:rsidP="0037630E">
      <w:pPr>
        <w:ind w:firstLine="1134"/>
        <w:jc w:val="both"/>
        <w:rPr>
          <w:rFonts w:ascii="Palatino Linotype" w:eastAsia="Palatino Linotype" w:hAnsi="Palatino Linotype" w:cs="Palatino Linotype"/>
          <w:i/>
          <w:color w:val="000000" w:themeColor="text1"/>
        </w:rPr>
      </w:pPr>
    </w:p>
    <w:p w14:paraId="3B91E229"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E06668">
        <w:rPr>
          <w:rFonts w:ascii="Palatino Linotype" w:eastAsia="Palatino Linotype" w:hAnsi="Palatino Linotype" w:cs="Palatino Linotype"/>
          <w:color w:val="000000" w:themeColor="text1"/>
        </w:rPr>
        <w:t>(Sic)</w:t>
      </w:r>
    </w:p>
    <w:p w14:paraId="669E1942" w14:textId="77777777" w:rsidR="00023BFF" w:rsidRPr="00E06668" w:rsidRDefault="00023BFF" w:rsidP="0037630E">
      <w:pPr>
        <w:spacing w:line="360" w:lineRule="auto"/>
        <w:jc w:val="both"/>
        <w:rPr>
          <w:rFonts w:ascii="Palatino Linotype" w:eastAsia="Palatino Linotype" w:hAnsi="Palatino Linotype" w:cs="Palatino Linotype"/>
          <w:i/>
          <w:color w:val="000000" w:themeColor="text1"/>
        </w:rPr>
      </w:pPr>
    </w:p>
    <w:p w14:paraId="5A3BD510"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24A0C8B2"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r w:rsidRPr="00E06668">
        <w:rPr>
          <w:rFonts w:ascii="Palatino Linotype" w:eastAsia="Palatino Linotype" w:hAnsi="Palatino Linotype" w:cs="Palatino Linotype"/>
          <w:b/>
          <w:i/>
          <w:color w:val="000000" w:themeColor="text1"/>
        </w:rPr>
        <w:t>Artículo 5.-</w:t>
      </w:r>
      <w:r w:rsidRPr="00E06668">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74007C4"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7E76BF65"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2C9973B0"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15F7F34B"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643D3B3E"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Para garantizar el ejercicio del derecho de transparencia, acceso a la información pública y protección de datos personales, los poderes públicos y los organismos autónomos, transparentarán </w:t>
      </w:r>
      <w:r w:rsidRPr="00E06668">
        <w:rPr>
          <w:rFonts w:ascii="Palatino Linotype" w:eastAsia="Palatino Linotype" w:hAnsi="Palatino Linotype" w:cs="Palatino Linotype"/>
          <w:i/>
          <w:color w:val="000000" w:themeColor="text1"/>
        </w:rPr>
        <w:lastRenderedPageBreak/>
        <w:t>sus acciones, en términos de las disposiciones aplicables, la información será oportuna, clara, veraz y de fácil acceso. Este derecho se regirá por los principios y bases siguientes:</w:t>
      </w:r>
    </w:p>
    <w:p w14:paraId="1C169FCE"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2AFD52FE"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536593BE"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E06668">
        <w:rPr>
          <w:rFonts w:ascii="Palatino Linotype" w:eastAsia="Palatino Linotype" w:hAnsi="Palatino Linotype" w:cs="Palatino Linotype"/>
          <w:color w:val="000000" w:themeColor="text1"/>
        </w:rPr>
        <w:t>(Sic)</w:t>
      </w:r>
    </w:p>
    <w:p w14:paraId="7AE1C613" w14:textId="77777777" w:rsidR="00023BFF" w:rsidRPr="00E06668" w:rsidRDefault="00023BFF" w:rsidP="0037630E">
      <w:pPr>
        <w:spacing w:line="360" w:lineRule="auto"/>
        <w:jc w:val="both"/>
        <w:rPr>
          <w:rFonts w:ascii="Palatino Linotype" w:eastAsia="Palatino Linotype" w:hAnsi="Palatino Linotype" w:cs="Palatino Linotype"/>
          <w:i/>
          <w:color w:val="000000" w:themeColor="text1"/>
        </w:rPr>
      </w:pPr>
    </w:p>
    <w:p w14:paraId="4278AFE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2B0010A6"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r w:rsidRPr="00E06668">
        <w:rPr>
          <w:rFonts w:ascii="Palatino Linotype" w:eastAsia="Palatino Linotype" w:hAnsi="Palatino Linotype" w:cs="Palatino Linotype"/>
          <w:b/>
          <w:i/>
          <w:color w:val="000000" w:themeColor="text1"/>
        </w:rPr>
        <w:t>Artículo 1</w:t>
      </w:r>
      <w:r w:rsidRPr="00E06668">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C8B75D7"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4D348229"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2723C8D" w14:textId="77777777" w:rsidR="00023BFF" w:rsidRPr="00E06668" w:rsidRDefault="00023BFF" w:rsidP="0037630E">
      <w:pPr>
        <w:spacing w:line="360" w:lineRule="auto"/>
        <w:jc w:val="both"/>
        <w:rPr>
          <w:rFonts w:ascii="Palatino Linotype" w:eastAsia="Palatino Linotype" w:hAnsi="Palatino Linotype" w:cs="Palatino Linotype"/>
          <w:i/>
          <w:color w:val="000000" w:themeColor="text1"/>
        </w:rPr>
      </w:pPr>
    </w:p>
    <w:p w14:paraId="2389EF60"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E06668">
        <w:rPr>
          <w:rFonts w:ascii="Palatino Linotype" w:eastAsia="Palatino Linotype" w:hAnsi="Palatino Linotype" w:cs="Palatino Linotype"/>
          <w:i/>
          <w:color w:val="000000" w:themeColor="text1"/>
        </w:rPr>
        <w:t>derecho fundamental exime a quien lo ejerce</w:t>
      </w:r>
      <w:r w:rsidRPr="00E06668">
        <w:rPr>
          <w:rFonts w:ascii="Palatino Linotype" w:eastAsia="Palatino Linotype" w:hAnsi="Palatino Linotype" w:cs="Palatino Linotype"/>
          <w:color w:val="000000" w:themeColor="text1"/>
        </w:rPr>
        <w:t xml:space="preserve">, de acreditar su legitimación en la causa o su interés en el asunto, lo que </w:t>
      </w:r>
      <w:r w:rsidRPr="00E06668">
        <w:rPr>
          <w:rFonts w:ascii="Palatino Linotype" w:eastAsia="Palatino Linotype" w:hAnsi="Palatino Linotype" w:cs="Palatino Linotype"/>
          <w:color w:val="000000" w:themeColor="text1"/>
        </w:rPr>
        <w:lastRenderedPageBreak/>
        <w:t>permite la posibilidad de que, incluso, la solicitud de acceso a la información pueda ser anónima o no contener un nombre que identifique al solicitante o que permita tener certeza sobre su identidad.</w:t>
      </w:r>
    </w:p>
    <w:p w14:paraId="7DB0FCFA"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09E6117D"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E06668">
        <w:rPr>
          <w:rFonts w:ascii="Palatino Linotype" w:eastAsia="Palatino Linotype" w:hAnsi="Palatino Linotype" w:cs="Palatino Linotype"/>
          <w:b/>
          <w:color w:val="000000" w:themeColor="text1"/>
        </w:rPr>
        <w:t>RECURRENTE</w:t>
      </w:r>
      <w:r w:rsidRPr="00E06668">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5A3995E4" w14:textId="77777777" w:rsidR="00023BFF" w:rsidRPr="00E06668" w:rsidRDefault="00023BFF" w:rsidP="0037630E">
      <w:pPr>
        <w:rPr>
          <w:rFonts w:ascii="Palatino Linotype" w:eastAsia="Palatino Linotype" w:hAnsi="Palatino Linotype" w:cs="Palatino Linotype"/>
          <w:color w:val="000000" w:themeColor="text1"/>
        </w:rPr>
      </w:pPr>
    </w:p>
    <w:p w14:paraId="6E382F7B"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8271D9" w14:textId="77777777" w:rsidR="00023BFF" w:rsidRPr="00E06668" w:rsidRDefault="00023BFF" w:rsidP="0037630E">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33568EE3" w14:textId="77777777" w:rsidR="00023BFF" w:rsidRPr="00E06668" w:rsidRDefault="00987374" w:rsidP="0037630E">
      <w:pPr>
        <w:pStyle w:val="Ttulo1"/>
        <w:spacing w:before="0" w:line="360" w:lineRule="auto"/>
        <w:rPr>
          <w:rFonts w:ascii="Palatino Linotype" w:eastAsia="Palatino Linotype" w:hAnsi="Palatino Linotype" w:cs="Palatino Linotype"/>
          <w:b/>
          <w:color w:val="000000" w:themeColor="text1"/>
          <w:sz w:val="24"/>
          <w:szCs w:val="24"/>
        </w:rPr>
      </w:pPr>
      <w:bookmarkStart w:id="6" w:name="_heading=h.1t3h5sf" w:colFirst="0" w:colLast="0"/>
      <w:bookmarkEnd w:id="6"/>
      <w:r w:rsidRPr="00E06668">
        <w:rPr>
          <w:rFonts w:ascii="Palatino Linotype" w:eastAsia="Palatino Linotype" w:hAnsi="Palatino Linotype" w:cs="Palatino Linotype"/>
          <w:b/>
          <w:color w:val="000000" w:themeColor="text1"/>
          <w:sz w:val="24"/>
          <w:szCs w:val="24"/>
        </w:rPr>
        <w:t xml:space="preserve">TERCERO. Del planteamiento de la </w:t>
      </w:r>
      <w:r w:rsidRPr="00E06668">
        <w:rPr>
          <w:rFonts w:ascii="Palatino Linotype" w:eastAsia="Palatino Linotype" w:hAnsi="Palatino Linotype" w:cs="Palatino Linotype"/>
          <w:b/>
          <w:i/>
          <w:color w:val="000000" w:themeColor="text1"/>
          <w:sz w:val="24"/>
          <w:szCs w:val="24"/>
        </w:rPr>
        <w:t>Litis</w:t>
      </w:r>
      <w:r w:rsidRPr="00E06668">
        <w:rPr>
          <w:rFonts w:ascii="Palatino Linotype" w:eastAsia="Palatino Linotype" w:hAnsi="Palatino Linotype" w:cs="Palatino Linotype"/>
          <w:b/>
          <w:color w:val="000000" w:themeColor="text1"/>
          <w:sz w:val="24"/>
          <w:szCs w:val="24"/>
        </w:rPr>
        <w:t>.</w:t>
      </w:r>
    </w:p>
    <w:p w14:paraId="18CA5B68"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Se solicitó tener acceso, a la información que a continuación se desagrega:</w:t>
      </w:r>
    </w:p>
    <w:p w14:paraId="26215F27" w14:textId="76BECB77" w:rsidR="00023BFF" w:rsidRPr="00E06668" w:rsidRDefault="00E101AE" w:rsidP="0037630E">
      <w:pPr>
        <w:pBdr>
          <w:top w:val="nil"/>
          <w:left w:val="nil"/>
          <w:bottom w:val="nil"/>
          <w:right w:val="nil"/>
          <w:between w:val="nil"/>
        </w:pBdr>
        <w:jc w:val="both"/>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lastRenderedPageBreak/>
        <w:t>1.</w:t>
      </w:r>
      <w:r w:rsidR="00987374" w:rsidRPr="00E06668">
        <w:rPr>
          <w:rFonts w:ascii="Palatino Linotype" w:eastAsia="Palatino Linotype" w:hAnsi="Palatino Linotype" w:cs="Palatino Linotype"/>
          <w:b/>
          <w:color w:val="000000" w:themeColor="text1"/>
        </w:rPr>
        <w:t xml:space="preserve"> Monto que recibió el Ayuntamiento por concepto del FORTAMUN en los años 2021, 2022, 2023 y 2024 y en que fueron ejercidos por las respectivas áreas del Ayuntamiento;</w:t>
      </w:r>
    </w:p>
    <w:p w14:paraId="694C21C0" w14:textId="77777777" w:rsidR="00023BFF" w:rsidRPr="00E06668" w:rsidRDefault="00023BFF" w:rsidP="0037630E">
      <w:pPr>
        <w:pBdr>
          <w:top w:val="nil"/>
          <w:left w:val="nil"/>
          <w:bottom w:val="nil"/>
          <w:right w:val="nil"/>
          <w:between w:val="nil"/>
        </w:pBdr>
        <w:jc w:val="both"/>
        <w:rPr>
          <w:rFonts w:ascii="Palatino Linotype" w:eastAsia="Palatino Linotype" w:hAnsi="Palatino Linotype" w:cs="Palatino Linotype"/>
          <w:b/>
          <w:color w:val="000000" w:themeColor="text1"/>
        </w:rPr>
      </w:pPr>
    </w:p>
    <w:p w14:paraId="28B7A0A3" w14:textId="13C6AD14" w:rsidR="00023BFF" w:rsidRPr="00E06668" w:rsidRDefault="00E101AE" w:rsidP="0037630E">
      <w:pPr>
        <w:pBdr>
          <w:top w:val="nil"/>
          <w:left w:val="nil"/>
          <w:bottom w:val="nil"/>
          <w:right w:val="nil"/>
          <w:between w:val="nil"/>
        </w:pBdr>
        <w:jc w:val="both"/>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t xml:space="preserve"> 2.</w:t>
      </w:r>
      <w:r w:rsidR="00987374" w:rsidRPr="00E06668">
        <w:rPr>
          <w:rFonts w:ascii="Palatino Linotype" w:eastAsia="Palatino Linotype" w:hAnsi="Palatino Linotype" w:cs="Palatino Linotype"/>
          <w:b/>
          <w:color w:val="000000" w:themeColor="text1"/>
        </w:rPr>
        <w:t xml:space="preserve"> Actas de Cabildo de la aprobación y modificación del ejercicio de dichos recursos; y</w:t>
      </w:r>
    </w:p>
    <w:p w14:paraId="279A578C" w14:textId="77777777" w:rsidR="00023BFF" w:rsidRPr="00E06668" w:rsidRDefault="00023BFF" w:rsidP="0037630E">
      <w:pPr>
        <w:pBdr>
          <w:top w:val="nil"/>
          <w:left w:val="nil"/>
          <w:bottom w:val="nil"/>
          <w:right w:val="nil"/>
          <w:between w:val="nil"/>
        </w:pBdr>
        <w:jc w:val="both"/>
        <w:rPr>
          <w:rFonts w:ascii="Palatino Linotype" w:eastAsia="Palatino Linotype" w:hAnsi="Palatino Linotype" w:cs="Palatino Linotype"/>
          <w:b/>
          <w:color w:val="000000" w:themeColor="text1"/>
        </w:rPr>
      </w:pPr>
    </w:p>
    <w:p w14:paraId="671D5087" w14:textId="0EDCC8B8" w:rsidR="00023BFF" w:rsidRPr="00E06668" w:rsidRDefault="00E101AE" w:rsidP="0037630E">
      <w:pPr>
        <w:pBdr>
          <w:top w:val="nil"/>
          <w:left w:val="nil"/>
          <w:bottom w:val="nil"/>
          <w:right w:val="nil"/>
          <w:between w:val="nil"/>
        </w:pBdr>
        <w:jc w:val="both"/>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t>3.</w:t>
      </w:r>
      <w:r w:rsidR="00987374" w:rsidRPr="00E06668">
        <w:rPr>
          <w:rFonts w:ascii="Palatino Linotype" w:eastAsia="Palatino Linotype" w:hAnsi="Palatino Linotype" w:cs="Palatino Linotype"/>
          <w:b/>
          <w:color w:val="000000" w:themeColor="text1"/>
        </w:rPr>
        <w:t xml:space="preserve"> Propuesta que se aprobó en el Proyecto de Presupuesto del 2025.</w:t>
      </w:r>
    </w:p>
    <w:p w14:paraId="6AA72D7F" w14:textId="77777777" w:rsidR="00023BFF" w:rsidRPr="00E06668" w:rsidRDefault="00023BFF" w:rsidP="0037630E">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2A8954E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color w:val="000000" w:themeColor="text1"/>
        </w:rPr>
        <w:t xml:space="preserve">En respuesta, 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entregó los documentos que fueron descritos en el párrafo cinco de la presente resolución. </w:t>
      </w:r>
    </w:p>
    <w:p w14:paraId="718AEDBE" w14:textId="77777777" w:rsidR="00023BFF" w:rsidRPr="00E06668" w:rsidRDefault="00023BFF" w:rsidP="0037630E">
      <w:pPr>
        <w:jc w:val="both"/>
        <w:rPr>
          <w:rFonts w:ascii="Palatino Linotype" w:eastAsia="Palatino Linotype" w:hAnsi="Palatino Linotype" w:cs="Palatino Linotype"/>
          <w:i/>
          <w:color w:val="000000" w:themeColor="text1"/>
        </w:rPr>
      </w:pPr>
    </w:p>
    <w:p w14:paraId="79CF8B54"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En dichas condiciones, la </w:t>
      </w:r>
      <w:r w:rsidRPr="00E06668">
        <w:rPr>
          <w:rFonts w:ascii="Palatino Linotype" w:eastAsia="Palatino Linotype" w:hAnsi="Palatino Linotype" w:cs="Palatino Linotype"/>
          <w:i/>
          <w:color w:val="000000" w:themeColor="text1"/>
        </w:rPr>
        <w:t>Litis</w:t>
      </w:r>
      <w:r w:rsidRPr="00E06668">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w:t>
      </w:r>
      <w:r w:rsidRPr="00E06668">
        <w:rPr>
          <w:rFonts w:ascii="Palatino Linotype" w:eastAsia="Palatino Linotype" w:hAnsi="Palatino Linotype" w:cs="Palatino Linotype"/>
          <w:b/>
          <w:color w:val="000000" w:themeColor="text1"/>
        </w:rPr>
        <w:t xml:space="preserve">fracción I </w:t>
      </w:r>
      <w:r w:rsidRPr="00E06668">
        <w:rPr>
          <w:rFonts w:ascii="Palatino Linotype" w:eastAsia="Palatino Linotype" w:hAnsi="Palatino Linotype" w:cs="Palatino Linotype"/>
          <w:color w:val="000000" w:themeColor="text1"/>
        </w:rPr>
        <w:t xml:space="preserve">de la </w:t>
      </w:r>
      <w:r w:rsidRPr="00E06668">
        <w:rPr>
          <w:rFonts w:ascii="Palatino Linotype" w:eastAsia="Palatino Linotype" w:hAnsi="Palatino Linotype" w:cs="Palatino Linotype"/>
          <w:b/>
          <w:color w:val="000000" w:themeColor="text1"/>
        </w:rPr>
        <w:t xml:space="preserve">Ley de Transparencia y Acceso a la Información Pública del Estado de </w:t>
      </w:r>
      <w:r w:rsidRPr="00E06668">
        <w:rPr>
          <w:rFonts w:ascii="Palatino Linotype" w:eastAsia="Palatino Linotype" w:hAnsi="Palatino Linotype" w:cs="Palatino Linotype"/>
          <w:color w:val="000000" w:themeColor="text1"/>
        </w:rPr>
        <w:t>México</w:t>
      </w:r>
      <w:r w:rsidRPr="00E06668">
        <w:rPr>
          <w:rFonts w:ascii="Palatino Linotype" w:eastAsia="Palatino Linotype" w:hAnsi="Palatino Linotype" w:cs="Palatino Linotype"/>
          <w:b/>
          <w:color w:val="000000" w:themeColor="text1"/>
        </w:rPr>
        <w:t xml:space="preserve"> y </w:t>
      </w:r>
      <w:r w:rsidRPr="00E06668">
        <w:rPr>
          <w:rFonts w:ascii="Palatino Linotype" w:eastAsia="Palatino Linotype" w:hAnsi="Palatino Linotype" w:cs="Palatino Linotype"/>
          <w:color w:val="000000" w:themeColor="text1"/>
        </w:rPr>
        <w:t xml:space="preserve">Municipios; fracción que determina la hipótesis jurídica relativa la negativa de la información solicitada; contexto del cual se dolió </w:t>
      </w:r>
      <w:r w:rsidRPr="00E06668">
        <w:rPr>
          <w:rFonts w:ascii="Palatino Linotype" w:eastAsia="Palatino Linotype" w:hAnsi="Palatino Linotype" w:cs="Palatino Linotype"/>
          <w:b/>
          <w:color w:val="000000" w:themeColor="text1"/>
        </w:rPr>
        <w:t xml:space="preserve">EL RECURRENTE </w:t>
      </w:r>
      <w:r w:rsidRPr="00E06668">
        <w:rPr>
          <w:rFonts w:ascii="Palatino Linotype" w:eastAsia="Palatino Linotype" w:hAnsi="Palatino Linotype" w:cs="Palatino Linotype"/>
          <w:color w:val="000000" w:themeColor="text1"/>
        </w:rPr>
        <w:t xml:space="preserve">al momento de interponer su inconformidad. De modo tal que el presente recurso de revisión se abocará en determinar si el </w:t>
      </w:r>
      <w:r w:rsidRPr="00E06668">
        <w:rPr>
          <w:rFonts w:ascii="Palatino Linotype" w:eastAsia="Palatino Linotype" w:hAnsi="Palatino Linotype" w:cs="Palatino Linotype"/>
          <w:b/>
          <w:color w:val="000000" w:themeColor="text1"/>
        </w:rPr>
        <w:t>SUJETO</w:t>
      </w:r>
      <w:r w:rsidRPr="00E06668">
        <w:rPr>
          <w:rFonts w:ascii="Palatino Linotype" w:eastAsia="Palatino Linotype" w:hAnsi="Palatino Linotype" w:cs="Palatino Linotype"/>
          <w:color w:val="000000" w:themeColor="text1"/>
        </w:rPr>
        <w:t xml:space="preserve"> </w:t>
      </w:r>
      <w:r w:rsidRPr="00E06668">
        <w:rPr>
          <w:rFonts w:ascii="Palatino Linotype" w:eastAsia="Palatino Linotype" w:hAnsi="Palatino Linotype" w:cs="Palatino Linotype"/>
          <w:b/>
          <w:color w:val="000000" w:themeColor="text1"/>
        </w:rPr>
        <w:t>OBLIGADO</w:t>
      </w:r>
      <w:r w:rsidRPr="00E06668">
        <w:rPr>
          <w:rFonts w:ascii="Palatino Linotype" w:eastAsia="Palatino Linotype" w:hAnsi="Palatino Linotype" w:cs="Palatino Linotype"/>
          <w:color w:val="000000" w:themeColor="text1"/>
        </w:rPr>
        <w:t xml:space="preserve"> con su respuesta ciertamente actualiza la causal de procedencia</w:t>
      </w:r>
      <w:r w:rsidRPr="00E06668">
        <w:rPr>
          <w:rFonts w:ascii="Palatino Linotype" w:eastAsia="Palatino Linotype" w:hAnsi="Palatino Linotype" w:cs="Palatino Linotype"/>
          <w:b/>
          <w:color w:val="000000" w:themeColor="text1"/>
        </w:rPr>
        <w:t xml:space="preserve"> </w:t>
      </w:r>
      <w:r w:rsidRPr="00E06668">
        <w:rPr>
          <w:rFonts w:ascii="Palatino Linotype" w:eastAsia="Palatino Linotype" w:hAnsi="Palatino Linotype" w:cs="Palatino Linotype"/>
          <w:color w:val="000000" w:themeColor="text1"/>
        </w:rPr>
        <w:t xml:space="preserve">antes señalada. </w:t>
      </w:r>
    </w:p>
    <w:p w14:paraId="2A2118B7" w14:textId="77777777" w:rsidR="00023BFF" w:rsidRPr="00E06668" w:rsidRDefault="00023BFF" w:rsidP="0037630E">
      <w:pPr>
        <w:spacing w:line="360" w:lineRule="auto"/>
        <w:rPr>
          <w:rFonts w:ascii="Palatino Linotype" w:eastAsia="Palatino Linotype" w:hAnsi="Palatino Linotype" w:cs="Palatino Linotype"/>
          <w:color w:val="000000" w:themeColor="text1"/>
        </w:rPr>
      </w:pPr>
    </w:p>
    <w:p w14:paraId="52BE006B" w14:textId="77777777" w:rsidR="00023BFF" w:rsidRPr="00E06668" w:rsidRDefault="00987374" w:rsidP="0037630E">
      <w:pPr>
        <w:pStyle w:val="Ttulo2"/>
        <w:spacing w:before="0" w:line="360" w:lineRule="auto"/>
        <w:rPr>
          <w:rFonts w:ascii="Palatino Linotype" w:eastAsia="Palatino Linotype" w:hAnsi="Palatino Linotype" w:cs="Palatino Linotype"/>
          <w:b/>
          <w:color w:val="000000" w:themeColor="text1"/>
          <w:sz w:val="24"/>
          <w:szCs w:val="24"/>
        </w:rPr>
      </w:pPr>
      <w:bookmarkStart w:id="7" w:name="_heading=h.4d34og8" w:colFirst="0" w:colLast="0"/>
      <w:bookmarkEnd w:id="7"/>
      <w:r w:rsidRPr="00E06668">
        <w:rPr>
          <w:rFonts w:ascii="Palatino Linotype" w:eastAsia="Palatino Linotype" w:hAnsi="Palatino Linotype" w:cs="Palatino Linotype"/>
          <w:b/>
          <w:color w:val="000000" w:themeColor="text1"/>
          <w:sz w:val="24"/>
          <w:szCs w:val="24"/>
        </w:rPr>
        <w:t>CUARTO. Del estudio y resolución del asunto.</w:t>
      </w:r>
    </w:p>
    <w:p w14:paraId="7AA55A31" w14:textId="77777777" w:rsidR="00023BFF" w:rsidRPr="00E06668" w:rsidRDefault="00987374" w:rsidP="0037630E">
      <w:pPr>
        <w:pStyle w:val="Ttulo1"/>
        <w:numPr>
          <w:ilvl w:val="0"/>
          <w:numId w:val="1"/>
        </w:numPr>
        <w:spacing w:before="0" w:after="240" w:line="360" w:lineRule="auto"/>
        <w:ind w:left="0" w:hanging="360"/>
        <w:rPr>
          <w:rFonts w:ascii="Palatino Linotype" w:eastAsia="Palatino Linotype" w:hAnsi="Palatino Linotype" w:cs="Palatino Linotype"/>
          <w:b/>
          <w:color w:val="000000" w:themeColor="text1"/>
          <w:sz w:val="24"/>
          <w:szCs w:val="24"/>
        </w:rPr>
      </w:pPr>
      <w:bookmarkStart w:id="8" w:name="_heading=h.2s8eyo1" w:colFirst="0" w:colLast="0"/>
      <w:bookmarkEnd w:id="8"/>
      <w:r w:rsidRPr="00E06668">
        <w:rPr>
          <w:rFonts w:ascii="Palatino Linotype" w:eastAsia="Palatino Linotype" w:hAnsi="Palatino Linotype" w:cs="Palatino Linotype"/>
          <w:b/>
          <w:color w:val="000000" w:themeColor="text1"/>
          <w:sz w:val="24"/>
          <w:szCs w:val="24"/>
        </w:rPr>
        <w:t>Del derecho de acceso a la información.</w:t>
      </w:r>
    </w:p>
    <w:p w14:paraId="348208E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6EFF04D"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Definiendo el Derecho de Acceso a la Información Pública como: </w:t>
      </w:r>
      <w:r w:rsidRPr="00E06668">
        <w:rPr>
          <w:rFonts w:ascii="Palatino Linotype" w:eastAsia="Palatino Linotype" w:hAnsi="Palatino Linotype" w:cs="Palatino Linotype"/>
          <w:i/>
          <w:color w:val="000000" w:themeColor="text1"/>
        </w:rPr>
        <w:t>La igualdad de oportunidades para recibir, buscar e impartir información</w:t>
      </w:r>
      <w:r w:rsidRPr="00E06668">
        <w:rPr>
          <w:rFonts w:ascii="Palatino Linotype" w:eastAsia="Palatino Linotype" w:hAnsi="Palatino Linotype" w:cs="Palatino Linotype"/>
          <w:i/>
          <w:color w:val="000000" w:themeColor="text1"/>
          <w:vertAlign w:val="superscript"/>
        </w:rPr>
        <w:footnoteReference w:id="1"/>
      </w:r>
      <w:r w:rsidRPr="00E06668">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06668">
        <w:rPr>
          <w:rFonts w:ascii="Palatino Linotype" w:eastAsia="Palatino Linotype" w:hAnsi="Palatino Linotype" w:cs="Palatino Linotype"/>
          <w:i/>
          <w:color w:val="000000" w:themeColor="text1"/>
          <w:vertAlign w:val="superscript"/>
        </w:rPr>
        <w:footnoteReference w:id="2"/>
      </w:r>
      <w:r w:rsidRPr="00E06668">
        <w:rPr>
          <w:rFonts w:ascii="Palatino Linotype" w:eastAsia="Palatino Linotype" w:hAnsi="Palatino Linotype" w:cs="Palatino Linotype"/>
          <w:color w:val="000000" w:themeColor="text1"/>
        </w:rPr>
        <w:t>que se constituye como una herramienta fundamental para ejercer</w:t>
      </w:r>
      <w:r w:rsidRPr="00E06668">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E06668">
        <w:rPr>
          <w:rFonts w:ascii="Palatino Linotype" w:eastAsia="Palatino Linotype" w:hAnsi="Palatino Linotype" w:cs="Palatino Linotype"/>
          <w:i/>
          <w:color w:val="000000" w:themeColor="text1"/>
          <w:vertAlign w:val="superscript"/>
        </w:rPr>
        <w:footnoteReference w:id="3"/>
      </w:r>
      <w:r w:rsidRPr="00E06668">
        <w:rPr>
          <w:rFonts w:ascii="Palatino Linotype" w:eastAsia="Palatino Linotype" w:hAnsi="Palatino Linotype" w:cs="Palatino Linotype"/>
          <w:color w:val="000000" w:themeColor="text1"/>
        </w:rPr>
        <w:t>fomentando</w:t>
      </w:r>
      <w:r w:rsidRPr="00E06668">
        <w:rPr>
          <w:rFonts w:ascii="Palatino Linotype" w:eastAsia="Palatino Linotype" w:hAnsi="Palatino Linotype" w:cs="Palatino Linotype"/>
          <w:i/>
          <w:color w:val="000000" w:themeColor="text1"/>
        </w:rPr>
        <w:t xml:space="preserve"> la transparencia de las actividades estatales y </w:t>
      </w:r>
      <w:r w:rsidRPr="00E06668">
        <w:rPr>
          <w:rFonts w:ascii="Palatino Linotype" w:eastAsia="Palatino Linotype" w:hAnsi="Palatino Linotype" w:cs="Palatino Linotype"/>
          <w:color w:val="000000" w:themeColor="text1"/>
        </w:rPr>
        <w:t>promoviendo</w:t>
      </w:r>
      <w:r w:rsidRPr="00E06668">
        <w:rPr>
          <w:rFonts w:ascii="Palatino Linotype" w:eastAsia="Palatino Linotype" w:hAnsi="Palatino Linotype" w:cs="Palatino Linotype"/>
          <w:i/>
          <w:color w:val="000000" w:themeColor="text1"/>
        </w:rPr>
        <w:t xml:space="preserve"> la responsabilidad de los funcionarios sobre su gestión pública,</w:t>
      </w:r>
      <w:r w:rsidRPr="00E06668">
        <w:rPr>
          <w:rFonts w:ascii="Palatino Linotype" w:eastAsia="Palatino Linotype" w:hAnsi="Palatino Linotype" w:cs="Palatino Linotype"/>
          <w:i/>
          <w:color w:val="000000" w:themeColor="text1"/>
          <w:vertAlign w:val="superscript"/>
        </w:rPr>
        <w:footnoteReference w:id="4"/>
      </w:r>
      <w:r w:rsidRPr="00E06668">
        <w:rPr>
          <w:rFonts w:ascii="Palatino Linotype" w:eastAsia="Palatino Linotype" w:hAnsi="Palatino Linotype" w:cs="Palatino Linotype"/>
          <w:color w:val="000000" w:themeColor="text1"/>
        </w:rPr>
        <w:t>que permite</w:t>
      </w:r>
      <w:r w:rsidRPr="00E06668">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0DE282BB"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5BE01B8"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438D306F"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r w:rsidRPr="00E06668">
        <w:rPr>
          <w:rFonts w:ascii="Palatino Linotype" w:eastAsia="Palatino Linotype" w:hAnsi="Palatino Linotype" w:cs="Palatino Linotype"/>
          <w:b/>
          <w:i/>
          <w:color w:val="000000" w:themeColor="text1"/>
        </w:rPr>
        <w:t>Artículo 1.-</w:t>
      </w:r>
      <w:r w:rsidRPr="00E06668">
        <w:rPr>
          <w:rFonts w:ascii="Palatino Linotype" w:eastAsia="Palatino Linotype" w:hAnsi="Palatino Linotype" w:cs="Palatino Linotype"/>
          <w:i/>
          <w:color w:val="000000" w:themeColor="text1"/>
        </w:rPr>
        <w:t xml:space="preserve"> </w:t>
      </w:r>
    </w:p>
    <w:p w14:paraId="1A87DB62"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68F7F5E5"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Todas las</w:t>
      </w:r>
      <w:r w:rsidRPr="00E06668">
        <w:rPr>
          <w:rFonts w:ascii="Palatino Linotype" w:eastAsia="Palatino Linotype" w:hAnsi="Palatino Linotype" w:cs="Palatino Linotype"/>
          <w:color w:val="000000" w:themeColor="text1"/>
        </w:rPr>
        <w:t xml:space="preserve"> </w:t>
      </w:r>
      <w:r w:rsidRPr="00E06668">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A15458" w14:textId="77777777" w:rsidR="00023BFF" w:rsidRPr="00E06668" w:rsidRDefault="00987374" w:rsidP="0037630E">
      <w:pPr>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i/>
          <w:color w:val="000000" w:themeColor="text1"/>
        </w:rPr>
        <w:t>(…)</w:t>
      </w:r>
      <w:r w:rsidRPr="00E06668">
        <w:rPr>
          <w:rFonts w:ascii="Palatino Linotype" w:eastAsia="Palatino Linotype" w:hAnsi="Palatino Linotype" w:cs="Palatino Linotype"/>
          <w:color w:val="000000" w:themeColor="text1"/>
        </w:rPr>
        <w:t>”.</w:t>
      </w:r>
    </w:p>
    <w:p w14:paraId="472D7B00" w14:textId="77777777" w:rsidR="00023BFF" w:rsidRPr="00E06668" w:rsidRDefault="00023BFF" w:rsidP="0037630E">
      <w:pPr>
        <w:jc w:val="both"/>
        <w:rPr>
          <w:rFonts w:ascii="Palatino Linotype" w:eastAsia="Palatino Linotype" w:hAnsi="Palatino Linotype" w:cs="Palatino Linotype"/>
          <w:b/>
          <w:color w:val="000000" w:themeColor="text1"/>
        </w:rPr>
      </w:pPr>
    </w:p>
    <w:p w14:paraId="36D49055"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3B1E4D9"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2AA515C0"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C1AA820" w14:textId="77777777" w:rsidR="00023BFF" w:rsidRPr="00E06668" w:rsidRDefault="00987374" w:rsidP="0037630E">
      <w:pPr>
        <w:spacing w:after="240"/>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Constitución Política de los Estados Unidos Mexicanos</w:t>
      </w:r>
    </w:p>
    <w:p w14:paraId="15B0AAB2" w14:textId="77777777" w:rsidR="00023BFF" w:rsidRPr="00E06668" w:rsidRDefault="00987374" w:rsidP="0037630E">
      <w:pPr>
        <w:spacing w:before="240" w:after="240"/>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“Artículo 6.</w:t>
      </w:r>
    </w:p>
    <w:p w14:paraId="359124B0" w14:textId="77777777" w:rsidR="00023BFF" w:rsidRPr="00E06668" w:rsidRDefault="00987374" w:rsidP="0037630E">
      <w:pPr>
        <w:spacing w:before="240" w:after="24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1C394C5B" w14:textId="77777777" w:rsidR="00023BFF" w:rsidRPr="00E06668" w:rsidRDefault="00987374" w:rsidP="0037630E">
      <w:pPr>
        <w:spacing w:before="240" w:after="24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Para efectos de lo dispuesto en el presente artículo se observará lo siguiente:</w:t>
      </w:r>
    </w:p>
    <w:p w14:paraId="5D32FF6C" w14:textId="77777777" w:rsidR="00023BFF" w:rsidRPr="00E06668" w:rsidRDefault="00987374" w:rsidP="0037630E">
      <w:pPr>
        <w:spacing w:before="240" w:after="240"/>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A</w:t>
      </w:r>
      <w:r w:rsidRPr="00E06668">
        <w:rPr>
          <w:rFonts w:ascii="Palatino Linotype" w:eastAsia="Palatino Linotype" w:hAnsi="Palatino Linotype" w:cs="Palatino Linotype"/>
          <w:i/>
          <w:color w:val="000000" w:themeColor="text1"/>
        </w:rPr>
        <w:t xml:space="preserve">. </w:t>
      </w:r>
      <w:r w:rsidRPr="00E06668">
        <w:rPr>
          <w:rFonts w:ascii="Palatino Linotype" w:eastAsia="Palatino Linotype" w:hAnsi="Palatino Linotype" w:cs="Palatino Linotype"/>
          <w:b/>
          <w:i/>
          <w:color w:val="000000" w:themeColor="text1"/>
        </w:rPr>
        <w:t>Para el ejercicio del derecho de acceso a la información</w:t>
      </w:r>
      <w:r w:rsidRPr="00E06668">
        <w:rPr>
          <w:rFonts w:ascii="Palatino Linotype" w:eastAsia="Palatino Linotype" w:hAnsi="Palatino Linotype" w:cs="Palatino Linotype"/>
          <w:i/>
          <w:color w:val="000000" w:themeColor="text1"/>
        </w:rPr>
        <w:t xml:space="preserve">, la Federación y </w:t>
      </w:r>
      <w:r w:rsidRPr="00E06668">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087DAD33" w14:textId="77777777" w:rsidR="00023BFF" w:rsidRPr="00E06668" w:rsidRDefault="00987374" w:rsidP="0037630E">
      <w:pPr>
        <w:spacing w:before="240" w:after="24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 xml:space="preserve">I. </w:t>
      </w:r>
      <w:r w:rsidRPr="00E06668">
        <w:rPr>
          <w:rFonts w:ascii="Palatino Linotype" w:eastAsia="Palatino Linotype" w:hAnsi="Palatino Linotype" w:cs="Palatino Linotype"/>
          <w:b/>
          <w:i/>
          <w:color w:val="000000" w:themeColor="text1"/>
        </w:rPr>
        <w:tab/>
        <w:t>Toda la información en posesión de cualquier</w:t>
      </w:r>
      <w:r w:rsidRPr="00E06668">
        <w:rPr>
          <w:rFonts w:ascii="Palatino Linotype" w:eastAsia="Palatino Linotype" w:hAnsi="Palatino Linotype" w:cs="Palatino Linotype"/>
          <w:i/>
          <w:color w:val="000000" w:themeColor="text1"/>
        </w:rPr>
        <w:t xml:space="preserve"> </w:t>
      </w:r>
      <w:r w:rsidRPr="00E06668">
        <w:rPr>
          <w:rFonts w:ascii="Palatino Linotype" w:eastAsia="Palatino Linotype" w:hAnsi="Palatino Linotype" w:cs="Palatino Linotype"/>
          <w:b/>
          <w:i/>
          <w:color w:val="000000" w:themeColor="text1"/>
        </w:rPr>
        <w:t>autoridad</w:t>
      </w:r>
      <w:r w:rsidRPr="00E06668">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06668">
        <w:rPr>
          <w:rFonts w:ascii="Palatino Linotype" w:eastAsia="Palatino Linotype" w:hAnsi="Palatino Linotype" w:cs="Palatino Linotype"/>
          <w:b/>
          <w:i/>
          <w:color w:val="000000" w:themeColor="text1"/>
        </w:rPr>
        <w:t>municipal</w:t>
      </w:r>
      <w:r w:rsidRPr="00E06668">
        <w:rPr>
          <w:rFonts w:ascii="Palatino Linotype" w:eastAsia="Palatino Linotype" w:hAnsi="Palatino Linotype" w:cs="Palatino Linotype"/>
          <w:i/>
          <w:color w:val="000000" w:themeColor="text1"/>
        </w:rPr>
        <w:t xml:space="preserve">, </w:t>
      </w:r>
      <w:r w:rsidRPr="00E06668">
        <w:rPr>
          <w:rFonts w:ascii="Palatino Linotype" w:eastAsia="Palatino Linotype" w:hAnsi="Palatino Linotype" w:cs="Palatino Linotype"/>
          <w:b/>
          <w:i/>
          <w:color w:val="000000" w:themeColor="text1"/>
        </w:rPr>
        <w:t>es pública</w:t>
      </w:r>
      <w:r w:rsidRPr="00E06668">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E06668">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E06668">
        <w:rPr>
          <w:rFonts w:ascii="Palatino Linotype" w:eastAsia="Palatino Linotype" w:hAnsi="Palatino Linotype" w:cs="Palatino Linotype"/>
          <w:i/>
          <w:color w:val="000000" w:themeColor="text1"/>
        </w:rPr>
        <w:t xml:space="preserve">, la ley </w:t>
      </w:r>
      <w:r w:rsidRPr="00E06668">
        <w:rPr>
          <w:rFonts w:ascii="Palatino Linotype" w:eastAsia="Palatino Linotype" w:hAnsi="Palatino Linotype" w:cs="Palatino Linotype"/>
          <w:i/>
          <w:color w:val="000000" w:themeColor="text1"/>
        </w:rPr>
        <w:lastRenderedPageBreak/>
        <w:t>determinará los supuestos específicos bajo los cuales procederá la declaración de inexistencia de la información.”</w:t>
      </w:r>
    </w:p>
    <w:p w14:paraId="586A44A2" w14:textId="77777777" w:rsidR="00023BFF" w:rsidRPr="00E06668" w:rsidRDefault="00023BFF" w:rsidP="0037630E">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themeColor="text1"/>
        </w:rPr>
      </w:pPr>
    </w:p>
    <w:p w14:paraId="7FD7E326" w14:textId="77777777" w:rsidR="00023BFF" w:rsidRPr="00E06668" w:rsidRDefault="00987374" w:rsidP="0037630E">
      <w:pPr>
        <w:spacing w:before="240" w:after="240"/>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Constitución Política del Estado Libre y Soberano de México</w:t>
      </w:r>
    </w:p>
    <w:p w14:paraId="18322304" w14:textId="77777777" w:rsidR="00023BFF" w:rsidRPr="00E06668" w:rsidRDefault="00987374" w:rsidP="0037630E">
      <w:pPr>
        <w:spacing w:before="240" w:after="24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“Artículo 5</w:t>
      </w:r>
      <w:r w:rsidRPr="00E06668">
        <w:rPr>
          <w:rFonts w:ascii="Palatino Linotype" w:eastAsia="Palatino Linotype" w:hAnsi="Palatino Linotype" w:cs="Palatino Linotype"/>
          <w:i/>
          <w:color w:val="000000" w:themeColor="text1"/>
        </w:rPr>
        <w:t xml:space="preserve">.- </w:t>
      </w:r>
    </w:p>
    <w:p w14:paraId="56760DD1" w14:textId="77777777" w:rsidR="00023BFF" w:rsidRPr="00E06668" w:rsidRDefault="00987374" w:rsidP="0037630E">
      <w:pPr>
        <w:spacing w:before="240" w:after="24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09FD0211" w14:textId="77777777" w:rsidR="00023BFF" w:rsidRPr="00E06668" w:rsidRDefault="00987374" w:rsidP="0037630E">
      <w:pPr>
        <w:spacing w:before="240" w:after="24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E06668">
        <w:rPr>
          <w:rFonts w:ascii="Palatino Linotype" w:eastAsia="Palatino Linotype" w:hAnsi="Palatino Linotype" w:cs="Palatino Linotype"/>
          <w:i/>
          <w:color w:val="000000" w:themeColor="text1"/>
        </w:rPr>
        <w:t>.</w:t>
      </w:r>
    </w:p>
    <w:p w14:paraId="4A44F24F" w14:textId="77777777" w:rsidR="00023BFF" w:rsidRPr="00E06668" w:rsidRDefault="00987374" w:rsidP="0037630E">
      <w:pPr>
        <w:spacing w:before="240" w:after="24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2109A03" w14:textId="77777777" w:rsidR="00023BFF" w:rsidRPr="00E06668" w:rsidRDefault="00987374" w:rsidP="0037630E">
      <w:pPr>
        <w:spacing w:before="240" w:after="24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Este derecho se regirá por los principios y bases siguientes</w:t>
      </w:r>
      <w:r w:rsidRPr="00E06668">
        <w:rPr>
          <w:rFonts w:ascii="Palatino Linotype" w:eastAsia="Palatino Linotype" w:hAnsi="Palatino Linotype" w:cs="Palatino Linotype"/>
          <w:i/>
          <w:color w:val="000000" w:themeColor="text1"/>
        </w:rPr>
        <w:t>:</w:t>
      </w:r>
    </w:p>
    <w:p w14:paraId="61F152B5" w14:textId="77777777" w:rsidR="00023BFF" w:rsidRPr="00E06668" w:rsidRDefault="00987374" w:rsidP="0037630E">
      <w:pPr>
        <w:spacing w:before="240" w:after="24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I. Toda la información en posesión de cualquier autoridad, entidad, órgano y organismos de los</w:t>
      </w:r>
      <w:r w:rsidRPr="00E06668">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E06668">
        <w:rPr>
          <w:rFonts w:ascii="Palatino Linotype" w:eastAsia="Palatino Linotype" w:hAnsi="Palatino Linotype" w:cs="Palatino Linotype"/>
          <w:b/>
          <w:i/>
          <w:color w:val="000000" w:themeColor="text1"/>
        </w:rPr>
        <w:t>municipales</w:t>
      </w:r>
      <w:r w:rsidRPr="00E06668">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06668">
        <w:rPr>
          <w:rFonts w:ascii="Palatino Linotype" w:eastAsia="Palatino Linotype" w:hAnsi="Palatino Linotype" w:cs="Palatino Linotype"/>
          <w:b/>
          <w:i/>
          <w:color w:val="000000" w:themeColor="text1"/>
        </w:rPr>
        <w:t>es pública</w:t>
      </w:r>
      <w:r w:rsidRPr="00E06668">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E06668">
        <w:rPr>
          <w:rFonts w:ascii="Palatino Linotype" w:eastAsia="Palatino Linotype" w:hAnsi="Palatino Linotype" w:cs="Palatino Linotype"/>
          <w:b/>
          <w:i/>
          <w:color w:val="000000" w:themeColor="text1"/>
        </w:rPr>
        <w:t>En la interpretación de este derecho deberá prevalecer el principio de máxima publicidad</w:t>
      </w:r>
      <w:r w:rsidRPr="00E06668">
        <w:rPr>
          <w:rFonts w:ascii="Palatino Linotype" w:eastAsia="Palatino Linotype" w:hAnsi="Palatino Linotype" w:cs="Palatino Linotype"/>
          <w:i/>
          <w:color w:val="000000" w:themeColor="text1"/>
        </w:rPr>
        <w:t xml:space="preserve">. </w:t>
      </w:r>
      <w:r w:rsidRPr="00E06668">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E06668">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01FEDFFF" w14:textId="77777777" w:rsidR="00023BFF" w:rsidRPr="00E06668" w:rsidRDefault="00023BFF" w:rsidP="0037630E">
      <w:pPr>
        <w:tabs>
          <w:tab w:val="left" w:pos="567"/>
        </w:tabs>
        <w:spacing w:before="240" w:after="240"/>
        <w:jc w:val="both"/>
        <w:rPr>
          <w:rFonts w:ascii="Palatino Linotype" w:eastAsia="Palatino Linotype" w:hAnsi="Palatino Linotype" w:cs="Palatino Linotype"/>
          <w:b/>
          <w:i/>
          <w:color w:val="000000" w:themeColor="text1"/>
        </w:rPr>
      </w:pPr>
    </w:p>
    <w:p w14:paraId="29E3DEE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w:t>
      </w:r>
      <w:r w:rsidRPr="00E06668">
        <w:rPr>
          <w:rFonts w:ascii="Palatino Linotype" w:eastAsia="Palatino Linotype" w:hAnsi="Palatino Linotype" w:cs="Palatino Linotype"/>
          <w:color w:val="000000" w:themeColor="text1"/>
        </w:rPr>
        <w:lastRenderedPageBreak/>
        <w:t xml:space="preserve">regirá </w:t>
      </w:r>
      <w:r w:rsidRPr="00E06668">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E06668">
        <w:rPr>
          <w:rFonts w:ascii="Palatino Linotype" w:eastAsia="Palatino Linotype" w:hAnsi="Palatino Linotype" w:cs="Palatino Linotype"/>
          <w:color w:val="000000" w:themeColor="text1"/>
        </w:rPr>
        <w:t>, contemplando el derecho de las personas con discapacidad y hablantes de lengua indígena.</w:t>
      </w:r>
    </w:p>
    <w:p w14:paraId="25EA1BC8"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2138A16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E06668">
        <w:rPr>
          <w:rFonts w:ascii="Palatino Linotype" w:eastAsia="Palatino Linotype" w:hAnsi="Palatino Linotype" w:cs="Palatino Linotype"/>
          <w:i/>
          <w:color w:val="000000" w:themeColor="text1"/>
        </w:rPr>
        <w:t>solicitudes de acceso a la información</w:t>
      </w:r>
      <w:r w:rsidRPr="00E06668">
        <w:rPr>
          <w:rFonts w:ascii="Palatino Linotype" w:eastAsia="Palatino Linotype" w:hAnsi="Palatino Linotype" w:cs="Palatino Linotype"/>
          <w:color w:val="000000" w:themeColor="text1"/>
        </w:rPr>
        <w:t>.</w:t>
      </w:r>
    </w:p>
    <w:p w14:paraId="149576F1"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500B2B3"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9" w:name="_heading=h.17dp8vu" w:colFirst="0" w:colLast="0"/>
      <w:bookmarkEnd w:id="9"/>
      <w:r w:rsidRPr="00E06668">
        <w:rPr>
          <w:rFonts w:ascii="Palatino Linotype" w:eastAsia="Palatino Linotype" w:hAnsi="Palatino Linotype" w:cs="Palatino Linotype"/>
          <w:color w:val="000000" w:themeColor="text1"/>
        </w:rPr>
        <w:t xml:space="preserve">Así entonces, se procede analizar, en primer lugar, si 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6D44AE1"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59496903" w14:textId="77777777" w:rsidR="00023BFF" w:rsidRPr="00E06668" w:rsidRDefault="00987374" w:rsidP="0037630E">
      <w:pPr>
        <w:pStyle w:val="Ttulo1"/>
        <w:spacing w:before="0" w:after="240" w:line="360" w:lineRule="auto"/>
        <w:rPr>
          <w:rFonts w:ascii="Palatino Linotype" w:eastAsia="Palatino Linotype" w:hAnsi="Palatino Linotype" w:cs="Palatino Linotype"/>
          <w:b/>
          <w:color w:val="000000" w:themeColor="text1"/>
          <w:sz w:val="24"/>
          <w:szCs w:val="24"/>
        </w:rPr>
      </w:pPr>
      <w:bookmarkStart w:id="10" w:name="_heading=h.3rdcrjn" w:colFirst="0" w:colLast="0"/>
      <w:bookmarkEnd w:id="10"/>
      <w:r w:rsidRPr="00E06668">
        <w:rPr>
          <w:rFonts w:ascii="Palatino Linotype" w:eastAsia="Palatino Linotype" w:hAnsi="Palatino Linotype" w:cs="Palatino Linotype"/>
          <w:b/>
          <w:color w:val="000000" w:themeColor="text1"/>
          <w:sz w:val="24"/>
          <w:szCs w:val="24"/>
        </w:rPr>
        <w:t>II. De la información solicitada y la respuesta del SUJETO OBLIGADO</w:t>
      </w:r>
    </w:p>
    <w:p w14:paraId="704E78AB"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Acotada la </w:t>
      </w:r>
      <w:r w:rsidRPr="00E06668">
        <w:rPr>
          <w:rFonts w:ascii="Palatino Linotype" w:eastAsia="Palatino Linotype" w:hAnsi="Palatino Linotype" w:cs="Palatino Linotype"/>
          <w:i/>
          <w:color w:val="000000" w:themeColor="text1"/>
        </w:rPr>
        <w:t>Litis</w:t>
      </w:r>
      <w:r w:rsidRPr="00E06668">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la entrega de información incompleta. </w:t>
      </w:r>
    </w:p>
    <w:p w14:paraId="0D783D7F"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58DBF0E6"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En ese sentido,  se determina que la información que solicitó el </w:t>
      </w:r>
      <w:r w:rsidRPr="00E06668">
        <w:rPr>
          <w:rFonts w:ascii="Palatino Linotype" w:eastAsia="Palatino Linotype" w:hAnsi="Palatino Linotype" w:cs="Palatino Linotype"/>
          <w:b/>
          <w:color w:val="000000" w:themeColor="text1"/>
        </w:rPr>
        <w:t xml:space="preserve">RECURRENTE </w:t>
      </w:r>
      <w:r w:rsidRPr="00E06668">
        <w:rPr>
          <w:rFonts w:ascii="Palatino Linotype" w:eastAsia="Palatino Linotype" w:hAnsi="Palatino Linotype" w:cs="Palatino Linotype"/>
          <w:color w:val="000000" w:themeColor="text1"/>
        </w:rPr>
        <w:t xml:space="preserve">consistió en lo siguiente, así como su procedencia para el análisis de cada punto solicitado. </w:t>
      </w:r>
    </w:p>
    <w:p w14:paraId="08B59780"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3981CB36"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tbl>
      <w:tblPr>
        <w:tblStyle w:val="a"/>
        <w:tblW w:w="8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2"/>
        <w:gridCol w:w="1769"/>
        <w:gridCol w:w="1807"/>
        <w:gridCol w:w="1820"/>
      </w:tblGrid>
      <w:tr w:rsidR="001D4751" w:rsidRPr="00E06668" w14:paraId="0916E86B" w14:textId="77777777">
        <w:tc>
          <w:tcPr>
            <w:tcW w:w="2712" w:type="dxa"/>
          </w:tcPr>
          <w:p w14:paraId="435DBBEC"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lastRenderedPageBreak/>
              <w:t>Información Solicitada</w:t>
            </w:r>
          </w:p>
        </w:tc>
        <w:tc>
          <w:tcPr>
            <w:tcW w:w="1769" w:type="dxa"/>
          </w:tcPr>
          <w:p w14:paraId="7DFF1663"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Respuesta </w:t>
            </w:r>
          </w:p>
        </w:tc>
        <w:tc>
          <w:tcPr>
            <w:tcW w:w="1807" w:type="dxa"/>
          </w:tcPr>
          <w:p w14:paraId="3E0AC302"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Informe Justificado </w:t>
            </w:r>
          </w:p>
        </w:tc>
        <w:tc>
          <w:tcPr>
            <w:tcW w:w="1820" w:type="dxa"/>
          </w:tcPr>
          <w:p w14:paraId="3DE8050F"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Colma</w:t>
            </w:r>
          </w:p>
        </w:tc>
      </w:tr>
      <w:tr w:rsidR="001D4751" w:rsidRPr="00E06668" w14:paraId="55993845" w14:textId="77777777">
        <w:tc>
          <w:tcPr>
            <w:tcW w:w="2712" w:type="dxa"/>
          </w:tcPr>
          <w:p w14:paraId="4EDF0DCA" w14:textId="598C4A04" w:rsidR="00023BFF" w:rsidRPr="00E06668" w:rsidRDefault="00E101AE" w:rsidP="0037630E">
            <w:pPr>
              <w:jc w:val="both"/>
              <w:rPr>
                <w:rFonts w:ascii="Palatino Linotype" w:eastAsia="Palatino Linotype" w:hAnsi="Palatino Linotype" w:cs="Palatino Linotype"/>
                <w:i/>
                <w:color w:val="000000" w:themeColor="text1"/>
              </w:rPr>
            </w:pPr>
            <w:r>
              <w:rPr>
                <w:rFonts w:ascii="Palatino Linotype" w:eastAsia="Palatino Linotype" w:hAnsi="Palatino Linotype" w:cs="Palatino Linotype"/>
                <w:b/>
                <w:i/>
                <w:color w:val="000000" w:themeColor="text1"/>
              </w:rPr>
              <w:t>1.</w:t>
            </w:r>
            <w:r w:rsidR="00987374" w:rsidRPr="00E06668">
              <w:rPr>
                <w:rFonts w:ascii="Palatino Linotype" w:eastAsia="Palatino Linotype" w:hAnsi="Palatino Linotype" w:cs="Palatino Linotype"/>
                <w:b/>
                <w:i/>
                <w:color w:val="000000" w:themeColor="text1"/>
              </w:rPr>
              <w:t xml:space="preserve"> Monto que recibió el Ayuntamiento por concepto del FORTAMUN en los años 2021, 2022, 2023 y 2024 y en que fueron ejercidos por las respectivas áreas del Ayuntamiento</w:t>
            </w:r>
          </w:p>
        </w:tc>
        <w:tc>
          <w:tcPr>
            <w:tcW w:w="1769" w:type="dxa"/>
          </w:tcPr>
          <w:p w14:paraId="5E20CBB5"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Documento que se compone de treinta fojas entre las cuales se encuentra el oficio de solicitud de información que remite el Titular de la Unidad de Transparencia al Tesorero Municipal. </w:t>
            </w:r>
          </w:p>
          <w:p w14:paraId="2B33C9FA"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El documento también contiene la respuesta del </w:t>
            </w:r>
            <w:r w:rsidRPr="00E06668">
              <w:rPr>
                <w:rFonts w:ascii="Palatino Linotype" w:eastAsia="Palatino Linotype" w:hAnsi="Palatino Linotype" w:cs="Palatino Linotype"/>
                <w:b/>
                <w:i/>
                <w:color w:val="000000" w:themeColor="text1"/>
              </w:rPr>
              <w:t>Tesorero Municipal</w:t>
            </w:r>
            <w:r w:rsidRPr="00E06668">
              <w:rPr>
                <w:rFonts w:ascii="Palatino Linotype" w:eastAsia="Palatino Linotype" w:hAnsi="Palatino Linotype" w:cs="Palatino Linotype"/>
                <w:i/>
                <w:color w:val="000000" w:themeColor="text1"/>
              </w:rPr>
              <w:t xml:space="preserve">, mediante el cual informa  que previa búsqueda exhaustiva y razonada de la información en los archivos de la dependencia a su cargo, adjunta copia simple de las GACETAS DEL </w:t>
            </w:r>
            <w:r w:rsidRPr="00E06668">
              <w:rPr>
                <w:rFonts w:ascii="Palatino Linotype" w:eastAsia="Palatino Linotype" w:hAnsi="Palatino Linotype" w:cs="Palatino Linotype"/>
                <w:i/>
                <w:color w:val="000000" w:themeColor="text1"/>
              </w:rPr>
              <w:lastRenderedPageBreak/>
              <w:t xml:space="preserve">GOBIERNO Tomo CCXI, número 21, con fecha viernes 29 enero de 2021, GACETA DEL GOBIERNO Tomo CCXIII, número 51, con fecha jueves 17 de marzo de 2022, GACETA DEL GOBIERNO Tomo CCXV, número 19, con fecha martes 31 de enero del 2023 y GACETA DEL GOBIERNO Tomo CCXVII, número 19, con fecha miércoles 31 de enero de 2024, mismas que contienen el presupuesto asignado por FORTAMUN para los años 2021, 2022, 2023 y 2024. </w:t>
            </w:r>
          </w:p>
          <w:p w14:paraId="7CD852E2" w14:textId="77777777" w:rsidR="00023BFF" w:rsidRPr="00E06668" w:rsidRDefault="00023BFF" w:rsidP="0037630E">
            <w:pPr>
              <w:jc w:val="both"/>
              <w:rPr>
                <w:rFonts w:ascii="Palatino Linotype" w:eastAsia="Palatino Linotype" w:hAnsi="Palatino Linotype" w:cs="Palatino Linotype"/>
                <w:i/>
                <w:color w:val="000000" w:themeColor="text1"/>
              </w:rPr>
            </w:pPr>
          </w:p>
        </w:tc>
        <w:tc>
          <w:tcPr>
            <w:tcW w:w="1807" w:type="dxa"/>
          </w:tcPr>
          <w:p w14:paraId="11F0AADB"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lastRenderedPageBreak/>
              <w:t xml:space="preserve">Ratifica la respuesta </w:t>
            </w:r>
          </w:p>
        </w:tc>
        <w:tc>
          <w:tcPr>
            <w:tcW w:w="1820" w:type="dxa"/>
          </w:tcPr>
          <w:p w14:paraId="58D745AF"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Colma parcialmente, toda vez que solo se entregó el documento que contiene el monto asignado para el año 2021, 2022, 2023 y 2024, sin embargo no se entregó el documento donde conste en que fue ejercido.  </w:t>
            </w:r>
          </w:p>
        </w:tc>
      </w:tr>
      <w:tr w:rsidR="001D4751" w:rsidRPr="00E06668" w14:paraId="0B577900" w14:textId="77777777">
        <w:tc>
          <w:tcPr>
            <w:tcW w:w="2712" w:type="dxa"/>
          </w:tcPr>
          <w:p w14:paraId="721085E8" w14:textId="071F810D" w:rsidR="00023BFF" w:rsidRPr="00E06668" w:rsidRDefault="00E101AE" w:rsidP="0037630E">
            <w:pPr>
              <w:jc w:val="both"/>
              <w:rPr>
                <w:rFonts w:ascii="Palatino Linotype" w:eastAsia="Palatino Linotype" w:hAnsi="Palatino Linotype" w:cs="Palatino Linotype"/>
                <w:b/>
                <w:i/>
                <w:color w:val="000000" w:themeColor="text1"/>
              </w:rPr>
            </w:pPr>
            <w:r>
              <w:rPr>
                <w:rFonts w:ascii="Palatino Linotype" w:eastAsia="Palatino Linotype" w:hAnsi="Palatino Linotype" w:cs="Palatino Linotype"/>
                <w:b/>
                <w:i/>
                <w:color w:val="000000" w:themeColor="text1"/>
              </w:rPr>
              <w:lastRenderedPageBreak/>
              <w:t>2.</w:t>
            </w:r>
            <w:r w:rsidR="00987374" w:rsidRPr="00E06668">
              <w:rPr>
                <w:rFonts w:ascii="Palatino Linotype" w:eastAsia="Palatino Linotype" w:hAnsi="Palatino Linotype" w:cs="Palatino Linotype"/>
                <w:b/>
                <w:i/>
                <w:color w:val="000000" w:themeColor="text1"/>
              </w:rPr>
              <w:t xml:space="preserve"> Actas de Cabildo de la aprobación y modificación del ejercicio de dichos recursos</w:t>
            </w:r>
          </w:p>
        </w:tc>
        <w:tc>
          <w:tcPr>
            <w:tcW w:w="1769" w:type="dxa"/>
          </w:tcPr>
          <w:p w14:paraId="7EEE031F"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No hay pronunciamiento </w:t>
            </w:r>
          </w:p>
        </w:tc>
        <w:tc>
          <w:tcPr>
            <w:tcW w:w="1807" w:type="dxa"/>
          </w:tcPr>
          <w:p w14:paraId="0BFAC78F"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No se pronuncia</w:t>
            </w:r>
          </w:p>
        </w:tc>
        <w:tc>
          <w:tcPr>
            <w:tcW w:w="1820" w:type="dxa"/>
          </w:tcPr>
          <w:p w14:paraId="2EC65FD7"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No colma, toda vez que de acuerdo con el análisis a realizar puede haber adecuaciones en dicha </w:t>
            </w:r>
          </w:p>
        </w:tc>
      </w:tr>
      <w:tr w:rsidR="00023BFF" w:rsidRPr="00E06668" w14:paraId="604F14F1" w14:textId="77777777">
        <w:tc>
          <w:tcPr>
            <w:tcW w:w="2712" w:type="dxa"/>
          </w:tcPr>
          <w:p w14:paraId="35C9A9D3" w14:textId="5EA67543" w:rsidR="00023BFF" w:rsidRPr="00E06668" w:rsidRDefault="00987374" w:rsidP="00E101AE">
            <w:pP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3. Propuesta que se aprobó en el Proyecto de Presupuesto del 2025</w:t>
            </w:r>
          </w:p>
        </w:tc>
        <w:tc>
          <w:tcPr>
            <w:tcW w:w="1769" w:type="dxa"/>
          </w:tcPr>
          <w:p w14:paraId="1484DFAB"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No hay pronunciamiento </w:t>
            </w:r>
          </w:p>
        </w:tc>
        <w:tc>
          <w:tcPr>
            <w:tcW w:w="1807" w:type="dxa"/>
          </w:tcPr>
          <w:p w14:paraId="488558B2"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No hay pronunciamiento</w:t>
            </w:r>
          </w:p>
        </w:tc>
        <w:tc>
          <w:tcPr>
            <w:tcW w:w="1820" w:type="dxa"/>
          </w:tcPr>
          <w:p w14:paraId="3EA879A2"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No colma, toda vez que lo solicitado se puede encontrar en el Presupuesto Anual de Egresos e Ingresos.</w:t>
            </w:r>
          </w:p>
        </w:tc>
      </w:tr>
    </w:tbl>
    <w:p w14:paraId="54E33A44" w14:textId="77777777" w:rsidR="00023BFF" w:rsidRDefault="00023BFF" w:rsidP="0037630E">
      <w:pPr>
        <w:spacing w:line="360" w:lineRule="auto"/>
        <w:jc w:val="both"/>
        <w:rPr>
          <w:rFonts w:ascii="Palatino Linotype" w:eastAsia="Palatino Linotype" w:hAnsi="Palatino Linotype" w:cs="Palatino Linotype"/>
          <w:color w:val="000000" w:themeColor="text1"/>
        </w:rPr>
      </w:pPr>
    </w:p>
    <w:p w14:paraId="32ED6541" w14:textId="77777777" w:rsidR="00E101AE" w:rsidRPr="00E06668" w:rsidRDefault="00E101AE" w:rsidP="0037630E">
      <w:pPr>
        <w:spacing w:line="360" w:lineRule="auto"/>
        <w:jc w:val="both"/>
        <w:rPr>
          <w:rFonts w:ascii="Palatino Linotype" w:eastAsia="Palatino Linotype" w:hAnsi="Palatino Linotype" w:cs="Palatino Linotype"/>
          <w:color w:val="000000" w:themeColor="text1"/>
        </w:rPr>
      </w:pPr>
    </w:p>
    <w:p w14:paraId="2C3F1EF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Del análisis realizado en la tabla, se colige que el derecho de acceso a la información del </w:t>
      </w:r>
      <w:r w:rsidRPr="00E06668">
        <w:rPr>
          <w:rFonts w:ascii="Palatino Linotype" w:eastAsia="Palatino Linotype" w:hAnsi="Palatino Linotype" w:cs="Palatino Linotype"/>
          <w:b/>
          <w:color w:val="000000" w:themeColor="text1"/>
        </w:rPr>
        <w:t xml:space="preserve">RECURRENTE </w:t>
      </w:r>
      <w:r w:rsidRPr="00E06668">
        <w:rPr>
          <w:rFonts w:ascii="Palatino Linotype" w:eastAsia="Palatino Linotype" w:hAnsi="Palatino Linotype" w:cs="Palatino Linotype"/>
          <w:color w:val="000000" w:themeColor="text1"/>
        </w:rPr>
        <w:t xml:space="preserve">fue colmado parcialmente, toda vez que solo entregó las gacetas mediante las cuales se le asignó al Ayuntamiento de Cuautitlán el monto por el recurso federal denominado FORTAMUN, para los ejercicios fiscales 2021, 2022, 2023 y 2024, tal y como se observa a continuación. </w:t>
      </w:r>
    </w:p>
    <w:p w14:paraId="0C92CE08"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6F6D182"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5D068CD"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378D553" w14:textId="77777777" w:rsidR="00E3154F" w:rsidRPr="00E06668" w:rsidRDefault="00E3154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D9CCD63" w14:textId="77777777" w:rsidR="00E3154F" w:rsidRPr="00E06668" w:rsidRDefault="00E3154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75174FC"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B01D2C4"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212C951" w14:textId="38EB606D" w:rsidR="00023BFF" w:rsidRPr="00E06668" w:rsidRDefault="00987374" w:rsidP="0037630E">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E06668">
        <w:rPr>
          <w:rFonts w:ascii="Palatino Linotype" w:hAnsi="Palatino Linotype"/>
          <w:noProof/>
          <w:color w:val="000000" w:themeColor="text1"/>
          <w:lang w:val="es-MX" w:eastAsia="es-MX"/>
        </w:rPr>
        <mc:AlternateContent>
          <mc:Choice Requires="wps">
            <w:drawing>
              <wp:anchor distT="0" distB="0" distL="114300" distR="114300" simplePos="0" relativeHeight="251658240" behindDoc="0" locked="0" layoutInCell="1" hidden="0" allowOverlap="1" wp14:anchorId="581D4268" wp14:editId="5D01B428">
                <wp:simplePos x="0" y="0"/>
                <wp:positionH relativeFrom="column">
                  <wp:posOffset>-190499</wp:posOffset>
                </wp:positionH>
                <wp:positionV relativeFrom="paragraph">
                  <wp:posOffset>152400</wp:posOffset>
                </wp:positionV>
                <wp:extent cx="1819555" cy="385775"/>
                <wp:effectExtent l="0" t="0" r="0" b="0"/>
                <wp:wrapNone/>
                <wp:docPr id="135" name="Rectángulo 135"/>
                <wp:cNvGraphicFramePr/>
                <a:graphic xmlns:a="http://schemas.openxmlformats.org/drawingml/2006/main">
                  <a:graphicData uri="http://schemas.microsoft.com/office/word/2010/wordprocessingShape">
                    <wps:wsp>
                      <wps:cNvSpPr/>
                      <wps:spPr>
                        <a:xfrm>
                          <a:off x="4442573" y="3593463"/>
                          <a:ext cx="1806855" cy="373075"/>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0059C0AD" w14:textId="77777777" w:rsidR="00023BFF" w:rsidRDefault="00987374">
                            <w:pPr>
                              <w:jc w:val="center"/>
                              <w:textDirection w:val="btLr"/>
                            </w:pPr>
                            <w:r>
                              <w:rPr>
                                <w:rFonts w:ascii="Palatino Linotype" w:eastAsia="Palatino Linotype" w:hAnsi="Palatino Linotype" w:cs="Palatino Linotype"/>
                                <w:color w:val="000000"/>
                              </w:rPr>
                              <w:t>2021</w:t>
                            </w:r>
                          </w:p>
                        </w:txbxContent>
                      </wps:txbx>
                      <wps:bodyPr spcFirstLastPara="1" wrap="square" lIns="91425" tIns="45700" rIns="91425" bIns="45700" anchor="ctr" anchorCtr="0">
                        <a:noAutofit/>
                      </wps:bodyPr>
                    </wps:wsp>
                  </a:graphicData>
                </a:graphic>
              </wp:anchor>
            </w:drawing>
          </mc:Choice>
          <mc:Fallback>
            <w:pict>
              <v:rect w14:anchorId="581D4268" id="Rectángulo 135" o:spid="_x0000_s1026" style="position:absolute;left:0;text-align:left;margin-left:-15pt;margin-top:12pt;width:143.25pt;height:3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" fillcolor="white [3201]" strokecolor="#ed7d31 [3205]" strokeweight="1pt">
                <v:stroke startarrowwidth="narrow" startarrowlength="short" endarrowwidth="narrow" endarrowlength="short"/>
                <v:textbox inset="2.53958mm,1.2694mm,2.53958mm,1.2694mm">
                  <w:txbxContent>
                    <w:p w14:paraId="0059C0AD" w14:textId="77777777" w:rsidR="00023BFF" w:rsidRDefault="00987374">
                      <w:pPr>
                        <w:jc w:val="center"/>
                        <w:textDirection w:val="btLr"/>
                      </w:pPr>
                      <w:r>
                        <w:rPr>
                          <w:rFonts w:ascii="Palatino Linotype" w:eastAsia="Palatino Linotype" w:hAnsi="Palatino Linotype" w:cs="Palatino Linotype"/>
                          <w:color w:val="000000"/>
                        </w:rPr>
                        <w:t>2021</w:t>
                      </w:r>
                    </w:p>
                  </w:txbxContent>
                </v:textbox>
              </v:rect>
            </w:pict>
          </mc:Fallback>
        </mc:AlternateContent>
      </w:r>
      <w:r w:rsidRPr="00E06668">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hidden="0" allowOverlap="1" wp14:anchorId="341E8501" wp14:editId="29A33EA8">
                <wp:simplePos x="0" y="0"/>
                <wp:positionH relativeFrom="column">
                  <wp:posOffset>3263900</wp:posOffset>
                </wp:positionH>
                <wp:positionV relativeFrom="paragraph">
                  <wp:posOffset>101600</wp:posOffset>
                </wp:positionV>
                <wp:extent cx="1819555" cy="385775"/>
                <wp:effectExtent l="0" t="0" r="0" b="0"/>
                <wp:wrapNone/>
                <wp:docPr id="138" name="Rectángulo 138"/>
                <wp:cNvGraphicFramePr/>
                <a:graphic xmlns:a="http://schemas.openxmlformats.org/drawingml/2006/main">
                  <a:graphicData uri="http://schemas.microsoft.com/office/word/2010/wordprocessingShape">
                    <wps:wsp>
                      <wps:cNvSpPr/>
                      <wps:spPr>
                        <a:xfrm>
                          <a:off x="4442573" y="3593463"/>
                          <a:ext cx="1806855" cy="373075"/>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7C5E4A3A" w14:textId="77777777" w:rsidR="00023BFF" w:rsidRDefault="00987374">
                            <w:pPr>
                              <w:jc w:val="center"/>
                              <w:textDirection w:val="btLr"/>
                            </w:pPr>
                            <w:r>
                              <w:rPr>
                                <w:rFonts w:ascii="Palatino Linotype" w:eastAsia="Palatino Linotype" w:hAnsi="Palatino Linotype" w:cs="Palatino Linotype"/>
                                <w:color w:val="000000"/>
                              </w:rPr>
                              <w:t>2022</w:t>
                            </w:r>
                          </w:p>
                        </w:txbxContent>
                      </wps:txbx>
                      <wps:bodyPr spcFirstLastPara="1" wrap="square" lIns="91425" tIns="45700" rIns="91425" bIns="45700" anchor="ctr" anchorCtr="0">
                        <a:noAutofit/>
                      </wps:bodyPr>
                    </wps:wsp>
                  </a:graphicData>
                </a:graphic>
              </wp:anchor>
            </w:drawing>
          </mc:Choice>
          <mc:Fallback>
            <w:pict>
              <v:rect w14:anchorId="341E8501" id="Rectángulo 138" o:spid="_x0000_s1027" style="position:absolute;left:0;text-align:left;margin-left:257pt;margin-top:8pt;width:143.25pt;height:3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" fillcolor="white [3201]" strokecolor="#ed7d31 [3205]" strokeweight="1pt">
                <v:stroke startarrowwidth="narrow" startarrowlength="short" endarrowwidth="narrow" endarrowlength="short"/>
                <v:textbox inset="2.53958mm,1.2694mm,2.53958mm,1.2694mm">
                  <w:txbxContent>
                    <w:p w14:paraId="7C5E4A3A" w14:textId="77777777" w:rsidR="00023BFF" w:rsidRDefault="00987374">
                      <w:pPr>
                        <w:jc w:val="center"/>
                        <w:textDirection w:val="btLr"/>
                      </w:pPr>
                      <w:r>
                        <w:rPr>
                          <w:rFonts w:ascii="Palatino Linotype" w:eastAsia="Palatino Linotype" w:hAnsi="Palatino Linotype" w:cs="Palatino Linotype"/>
                          <w:color w:val="000000"/>
                        </w:rPr>
                        <w:t>2022</w:t>
                      </w:r>
                    </w:p>
                  </w:txbxContent>
                </v:textbox>
              </v:rect>
            </w:pict>
          </mc:Fallback>
        </mc:AlternateContent>
      </w:r>
    </w:p>
    <w:p w14:paraId="35C206E9" w14:textId="2573303B"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F8FF45B" w14:textId="12B5FD87" w:rsidR="00023BFF" w:rsidRPr="00E06668" w:rsidRDefault="00E101AE"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E06668">
        <w:rPr>
          <w:rFonts w:ascii="Palatino Linotype" w:hAnsi="Palatino Linotype"/>
          <w:noProof/>
          <w:color w:val="000000" w:themeColor="text1"/>
          <w:lang w:val="es-MX" w:eastAsia="es-MX"/>
        </w:rPr>
        <w:drawing>
          <wp:anchor distT="0" distB="0" distL="114300" distR="114300" simplePos="0" relativeHeight="251661312" behindDoc="0" locked="0" layoutInCell="1" hidden="0" allowOverlap="1" wp14:anchorId="20FC7B47" wp14:editId="625A909E">
            <wp:simplePos x="0" y="0"/>
            <wp:positionH relativeFrom="column">
              <wp:posOffset>3283010</wp:posOffset>
            </wp:positionH>
            <wp:positionV relativeFrom="paragraph">
              <wp:posOffset>111879</wp:posOffset>
            </wp:positionV>
            <wp:extent cx="2069492" cy="2918765"/>
            <wp:effectExtent l="0" t="0" r="0" b="0"/>
            <wp:wrapNone/>
            <wp:docPr id="1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069492" cy="2918765"/>
                    </a:xfrm>
                    <a:prstGeom prst="rect">
                      <a:avLst/>
                    </a:prstGeom>
                    <a:ln/>
                  </pic:spPr>
                </pic:pic>
              </a:graphicData>
            </a:graphic>
          </wp:anchor>
        </w:drawing>
      </w:r>
      <w:r w:rsidRPr="00E06668">
        <w:rPr>
          <w:rFonts w:ascii="Palatino Linotype" w:hAnsi="Palatino Linotype"/>
          <w:noProof/>
          <w:color w:val="000000" w:themeColor="text1"/>
          <w:lang w:val="es-MX" w:eastAsia="es-MX"/>
        </w:rPr>
        <w:drawing>
          <wp:anchor distT="0" distB="0" distL="114300" distR="114300" simplePos="0" relativeHeight="251660288" behindDoc="0" locked="0" layoutInCell="1" hidden="0" allowOverlap="1" wp14:anchorId="08F2AC3A" wp14:editId="07052C0F">
            <wp:simplePos x="0" y="0"/>
            <wp:positionH relativeFrom="column">
              <wp:posOffset>-440618</wp:posOffset>
            </wp:positionH>
            <wp:positionV relativeFrom="paragraph">
              <wp:posOffset>159014</wp:posOffset>
            </wp:positionV>
            <wp:extent cx="2593738" cy="2831453"/>
            <wp:effectExtent l="0" t="0" r="0" b="0"/>
            <wp:wrapNone/>
            <wp:docPr id="1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593738" cy="2831453"/>
                    </a:xfrm>
                    <a:prstGeom prst="rect">
                      <a:avLst/>
                    </a:prstGeom>
                    <a:ln/>
                  </pic:spPr>
                </pic:pic>
              </a:graphicData>
            </a:graphic>
            <wp14:sizeRelH relativeFrom="margin">
              <wp14:pctWidth>0</wp14:pctWidth>
            </wp14:sizeRelH>
            <wp14:sizeRelV relativeFrom="margin">
              <wp14:pctHeight>0</wp14:pctHeight>
            </wp14:sizeRelV>
          </wp:anchor>
        </w:drawing>
      </w:r>
    </w:p>
    <w:p w14:paraId="009E2D7D" w14:textId="295A9294"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F43D393"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8188CF6"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0E4A783"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EFB2707"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4151A99"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8AA3E5D"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6276D5F"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19BAB75"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C0D6817" w14:textId="77777777" w:rsidR="00023BFF" w:rsidRPr="00E06668" w:rsidRDefault="00987374"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E06668">
        <w:rPr>
          <w:rFonts w:ascii="Palatino Linotype" w:hAnsi="Palatino Linotype"/>
          <w:noProof/>
          <w:color w:val="000000" w:themeColor="text1"/>
          <w:lang w:val="es-MX" w:eastAsia="es-MX"/>
        </w:rPr>
        <mc:AlternateContent>
          <mc:Choice Requires="wps">
            <w:drawing>
              <wp:anchor distT="0" distB="0" distL="114300" distR="114300" simplePos="0" relativeHeight="251662336" behindDoc="0" locked="0" layoutInCell="1" hidden="0" allowOverlap="1" wp14:anchorId="7CE04737" wp14:editId="43190CEE">
                <wp:simplePos x="0" y="0"/>
                <wp:positionH relativeFrom="column">
                  <wp:posOffset>-215899</wp:posOffset>
                </wp:positionH>
                <wp:positionV relativeFrom="paragraph">
                  <wp:posOffset>76200</wp:posOffset>
                </wp:positionV>
                <wp:extent cx="1819555" cy="385775"/>
                <wp:effectExtent l="0" t="0" r="0" b="0"/>
                <wp:wrapNone/>
                <wp:docPr id="137" name="Rectángulo 137"/>
                <wp:cNvGraphicFramePr/>
                <a:graphic xmlns:a="http://schemas.openxmlformats.org/drawingml/2006/main">
                  <a:graphicData uri="http://schemas.microsoft.com/office/word/2010/wordprocessingShape">
                    <wps:wsp>
                      <wps:cNvSpPr/>
                      <wps:spPr>
                        <a:xfrm>
                          <a:off x="4442573" y="3593463"/>
                          <a:ext cx="1806855" cy="373075"/>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24E4C757" w14:textId="77777777" w:rsidR="00023BFF" w:rsidRDefault="00987374">
                            <w:pPr>
                              <w:jc w:val="center"/>
                              <w:textDirection w:val="btLr"/>
                            </w:pPr>
                            <w:r>
                              <w:rPr>
                                <w:rFonts w:ascii="Palatino Linotype" w:eastAsia="Palatino Linotype" w:hAnsi="Palatino Linotype" w:cs="Palatino Linotype"/>
                                <w:color w:val="000000"/>
                              </w:rPr>
                              <w:t>2023</w:t>
                            </w:r>
                          </w:p>
                        </w:txbxContent>
                      </wps:txbx>
                      <wps:bodyPr spcFirstLastPara="1" wrap="square" lIns="91425" tIns="45700" rIns="91425" bIns="45700" anchor="ctr" anchorCtr="0">
                        <a:noAutofit/>
                      </wps:bodyPr>
                    </wps:wsp>
                  </a:graphicData>
                </a:graphic>
              </wp:anchor>
            </w:drawing>
          </mc:Choice>
          <mc:Fallback>
            <w:pict>
              <v:rect w14:anchorId="7CE04737" id="Rectángulo 137" o:spid="_x0000_s1028" style="position:absolute;left:0;text-align:left;margin-left:-17pt;margin-top:6pt;width:143.25pt;height:30.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" fillcolor="white [3201]" strokecolor="#ed7d31 [3205]" strokeweight="1pt">
                <v:stroke startarrowwidth="narrow" startarrowlength="short" endarrowwidth="narrow" endarrowlength="short"/>
                <v:textbox inset="2.53958mm,1.2694mm,2.53958mm,1.2694mm">
                  <w:txbxContent>
                    <w:p w14:paraId="24E4C757" w14:textId="77777777" w:rsidR="00023BFF" w:rsidRDefault="00987374">
                      <w:pPr>
                        <w:jc w:val="center"/>
                        <w:textDirection w:val="btLr"/>
                      </w:pPr>
                      <w:r>
                        <w:rPr>
                          <w:rFonts w:ascii="Palatino Linotype" w:eastAsia="Palatino Linotype" w:hAnsi="Palatino Linotype" w:cs="Palatino Linotype"/>
                          <w:color w:val="000000"/>
                        </w:rPr>
                        <w:t>2023</w:t>
                      </w:r>
                    </w:p>
                  </w:txbxContent>
                </v:textbox>
              </v:rect>
            </w:pict>
          </mc:Fallback>
        </mc:AlternateContent>
      </w:r>
      <w:r w:rsidRPr="00E06668">
        <w:rPr>
          <w:rFonts w:ascii="Palatino Linotype" w:hAnsi="Palatino Linotype"/>
          <w:noProof/>
          <w:color w:val="000000" w:themeColor="text1"/>
          <w:lang w:val="es-MX" w:eastAsia="es-MX"/>
        </w:rPr>
        <mc:AlternateContent>
          <mc:Choice Requires="wps">
            <w:drawing>
              <wp:anchor distT="0" distB="0" distL="114300" distR="114300" simplePos="0" relativeHeight="251663360" behindDoc="0" locked="0" layoutInCell="1" hidden="0" allowOverlap="1" wp14:anchorId="3311DB5B" wp14:editId="4F19042E">
                <wp:simplePos x="0" y="0"/>
                <wp:positionH relativeFrom="column">
                  <wp:posOffset>3568700</wp:posOffset>
                </wp:positionH>
                <wp:positionV relativeFrom="paragraph">
                  <wp:posOffset>88900</wp:posOffset>
                </wp:positionV>
                <wp:extent cx="1819555" cy="385775"/>
                <wp:effectExtent l="0" t="0" r="0" b="0"/>
                <wp:wrapNone/>
                <wp:docPr id="136" name="Rectángulo 136"/>
                <wp:cNvGraphicFramePr/>
                <a:graphic xmlns:a="http://schemas.openxmlformats.org/drawingml/2006/main">
                  <a:graphicData uri="http://schemas.microsoft.com/office/word/2010/wordprocessingShape">
                    <wps:wsp>
                      <wps:cNvSpPr/>
                      <wps:spPr>
                        <a:xfrm>
                          <a:off x="4442573" y="3593463"/>
                          <a:ext cx="1806855" cy="373075"/>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1E53302C" w14:textId="77777777" w:rsidR="00023BFF" w:rsidRDefault="00987374">
                            <w:pPr>
                              <w:jc w:val="center"/>
                              <w:textDirection w:val="btLr"/>
                            </w:pPr>
                            <w:r>
                              <w:rPr>
                                <w:rFonts w:ascii="Palatino Linotype" w:eastAsia="Palatino Linotype" w:hAnsi="Palatino Linotype" w:cs="Palatino Linotype"/>
                                <w:color w:val="000000"/>
                              </w:rPr>
                              <w:t>2024</w:t>
                            </w:r>
                          </w:p>
                        </w:txbxContent>
                      </wps:txbx>
                      <wps:bodyPr spcFirstLastPara="1" wrap="square" lIns="91425" tIns="45700" rIns="91425" bIns="45700" anchor="ctr" anchorCtr="0">
                        <a:noAutofit/>
                      </wps:bodyPr>
                    </wps:wsp>
                  </a:graphicData>
                </a:graphic>
              </wp:anchor>
            </w:drawing>
          </mc:Choice>
          <mc:Fallback>
            <w:pict>
              <v:rect w14:anchorId="3311DB5B" id="Rectángulo 136" o:spid="_x0000_s1029" style="position:absolute;left:0;text-align:left;margin-left:281pt;margin-top:7pt;width:143.25pt;height:30.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" fillcolor="white [3201]" strokecolor="#ed7d31 [3205]" strokeweight="1pt">
                <v:stroke startarrowwidth="narrow" startarrowlength="short" endarrowwidth="narrow" endarrowlength="short"/>
                <v:textbox inset="2.53958mm,1.2694mm,2.53958mm,1.2694mm">
                  <w:txbxContent>
                    <w:p w14:paraId="1E53302C" w14:textId="77777777" w:rsidR="00023BFF" w:rsidRDefault="00987374">
                      <w:pPr>
                        <w:jc w:val="center"/>
                        <w:textDirection w:val="btLr"/>
                      </w:pPr>
                      <w:r>
                        <w:rPr>
                          <w:rFonts w:ascii="Palatino Linotype" w:eastAsia="Palatino Linotype" w:hAnsi="Palatino Linotype" w:cs="Palatino Linotype"/>
                          <w:color w:val="000000"/>
                        </w:rPr>
                        <w:t>2024</w:t>
                      </w:r>
                    </w:p>
                  </w:txbxContent>
                </v:textbox>
              </v:rect>
            </w:pict>
          </mc:Fallback>
        </mc:AlternateContent>
      </w:r>
    </w:p>
    <w:p w14:paraId="595F2A39"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2E3ADE4" w14:textId="77777777" w:rsidR="00023BFF" w:rsidRPr="00E06668" w:rsidRDefault="00987374"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E06668">
        <w:rPr>
          <w:rFonts w:ascii="Palatino Linotype" w:hAnsi="Palatino Linotype"/>
          <w:noProof/>
          <w:color w:val="000000" w:themeColor="text1"/>
          <w:lang w:val="es-MX" w:eastAsia="es-MX"/>
        </w:rPr>
        <w:drawing>
          <wp:anchor distT="0" distB="0" distL="114300" distR="114300" simplePos="0" relativeHeight="251664384" behindDoc="0" locked="0" layoutInCell="1" hidden="0" allowOverlap="1" wp14:anchorId="0DC2358D" wp14:editId="6E8D17B8">
            <wp:simplePos x="0" y="0"/>
            <wp:positionH relativeFrom="column">
              <wp:posOffset>-409039</wp:posOffset>
            </wp:positionH>
            <wp:positionV relativeFrom="paragraph">
              <wp:posOffset>178689</wp:posOffset>
            </wp:positionV>
            <wp:extent cx="2399385" cy="2861725"/>
            <wp:effectExtent l="0" t="0" r="0" b="0"/>
            <wp:wrapNone/>
            <wp:docPr id="1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399385" cy="2861725"/>
                    </a:xfrm>
                    <a:prstGeom prst="rect">
                      <a:avLst/>
                    </a:prstGeom>
                    <a:ln/>
                  </pic:spPr>
                </pic:pic>
              </a:graphicData>
            </a:graphic>
          </wp:anchor>
        </w:drawing>
      </w:r>
      <w:r w:rsidRPr="00E06668">
        <w:rPr>
          <w:rFonts w:ascii="Palatino Linotype" w:hAnsi="Palatino Linotype"/>
          <w:noProof/>
          <w:color w:val="000000" w:themeColor="text1"/>
          <w:lang w:val="es-MX" w:eastAsia="es-MX"/>
        </w:rPr>
        <w:drawing>
          <wp:anchor distT="0" distB="0" distL="114300" distR="114300" simplePos="0" relativeHeight="251665408" behindDoc="0" locked="0" layoutInCell="1" hidden="0" allowOverlap="1" wp14:anchorId="35D3E235" wp14:editId="1C99E88B">
            <wp:simplePos x="0" y="0"/>
            <wp:positionH relativeFrom="column">
              <wp:posOffset>3279394</wp:posOffset>
            </wp:positionH>
            <wp:positionV relativeFrom="paragraph">
              <wp:posOffset>157835</wp:posOffset>
            </wp:positionV>
            <wp:extent cx="2428646" cy="3128552"/>
            <wp:effectExtent l="0" t="0" r="0" b="0"/>
            <wp:wrapNone/>
            <wp:docPr id="1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428646" cy="3128552"/>
                    </a:xfrm>
                    <a:prstGeom prst="rect">
                      <a:avLst/>
                    </a:prstGeom>
                    <a:ln/>
                  </pic:spPr>
                </pic:pic>
              </a:graphicData>
            </a:graphic>
          </wp:anchor>
        </w:drawing>
      </w:r>
    </w:p>
    <w:p w14:paraId="6392CDDB"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1F03615"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7579035"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5440D29"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1EB99173"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500D9B0E"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35023D5B"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31F89AA9"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BE190D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De la imágenes insertadas, se colige que 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si entrego lo referente al documento que contiene el monto que le fue asignado al Ayuntamiento de Cuautitlán por el recurso federal denominado FORTAMUN. </w:t>
      </w:r>
    </w:p>
    <w:p w14:paraId="277F2AAE"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495181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Ahora bien, para el caso de  “</w:t>
      </w:r>
      <w:r w:rsidRPr="00E06668">
        <w:rPr>
          <w:rFonts w:ascii="Palatino Linotype" w:eastAsia="Palatino Linotype" w:hAnsi="Palatino Linotype" w:cs="Palatino Linotype"/>
          <w:b/>
          <w:color w:val="000000" w:themeColor="text1"/>
        </w:rPr>
        <w:t xml:space="preserve">en que fueron ejercidos por las respectivas áreas del Ayuntamiento”, </w:t>
      </w:r>
      <w:r w:rsidRPr="00E06668">
        <w:rPr>
          <w:rFonts w:ascii="Palatino Linotype" w:eastAsia="Palatino Linotype" w:hAnsi="Palatino Linotype" w:cs="Palatino Linotype"/>
          <w:color w:val="000000" w:themeColor="text1"/>
        </w:rPr>
        <w:t xml:space="preserve">se debe de referir que 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no emitió pronunciamiento respecto de este punto de la solicitud de información, situación por la cual de manera enunciativa más no limitativa se hace el análisis del Presupuesto Basado en Resultados, toda vez que es el documento que puede colmar el derecho de acceso a la información del </w:t>
      </w:r>
      <w:r w:rsidRPr="00E06668">
        <w:rPr>
          <w:rFonts w:ascii="Palatino Linotype" w:eastAsia="Palatino Linotype" w:hAnsi="Palatino Linotype" w:cs="Palatino Linotype"/>
          <w:b/>
          <w:color w:val="000000" w:themeColor="text1"/>
        </w:rPr>
        <w:t xml:space="preserve">RECURRENTE. </w:t>
      </w:r>
    </w:p>
    <w:p w14:paraId="76CB3EF7"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6E3B8489"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En esa línea,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7C5870E1" w14:textId="77777777" w:rsidR="00023BFF" w:rsidRPr="00E06668" w:rsidRDefault="00987374" w:rsidP="0037630E">
      <w:pPr>
        <w:pBdr>
          <w:top w:val="nil"/>
          <w:left w:val="nil"/>
          <w:bottom w:val="nil"/>
          <w:right w:val="nil"/>
          <w:between w:val="nil"/>
        </w:pBdr>
        <w:spacing w:after="16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“Artículo 285</w:t>
      </w:r>
      <w:r w:rsidRPr="00E06668">
        <w:rPr>
          <w:rFonts w:ascii="Palatino Linotype" w:eastAsia="Palatino Linotype" w:hAnsi="Palatino Linotype" w:cs="Palatino Linotype"/>
          <w:i/>
          <w:color w:val="000000" w:themeColor="text1"/>
        </w:rPr>
        <w:t xml:space="preserve">.- El </w:t>
      </w:r>
      <w:r w:rsidRPr="00E06668">
        <w:rPr>
          <w:rFonts w:ascii="Palatino Linotype" w:eastAsia="Palatino Linotype" w:hAnsi="Palatino Linotype" w:cs="Palatino Linotype"/>
          <w:b/>
          <w:i/>
          <w:color w:val="000000" w:themeColor="text1"/>
        </w:rPr>
        <w:t>Presupuesto de Egresos del Estado es el instrumento jurídico, de política económica y de política de gasto</w:t>
      </w:r>
      <w:r w:rsidRPr="00E06668">
        <w:rPr>
          <w:rFonts w:ascii="Palatino Linotype" w:eastAsia="Palatino Linotype" w:hAnsi="Palatino Linotype" w:cs="Palatino Linotype"/>
          <w:i/>
          <w:color w:val="000000" w:themeColor="text1"/>
        </w:rPr>
        <w:t xml:space="preserve">, que aprueba la Legislatura conforme a la iniciativa que presenta el Gobernador, </w:t>
      </w:r>
      <w:r w:rsidRPr="00E06668">
        <w:rPr>
          <w:rFonts w:ascii="Palatino Linotype" w:eastAsia="Palatino Linotype" w:hAnsi="Palatino Linotype" w:cs="Palatino Linotype"/>
          <w:b/>
          <w:i/>
          <w:color w:val="000000" w:themeColor="text1"/>
        </w:rPr>
        <w:t>en el cual se establece el ejercicio, control del gasto público y evaluación del desempeño de los Entes Públicos</w:t>
      </w:r>
      <w:r w:rsidRPr="00E06668">
        <w:rPr>
          <w:rFonts w:ascii="Palatino Linotype" w:eastAsia="Palatino Linotype" w:hAnsi="Palatino Linotype" w:cs="Palatino Linotype"/>
          <w:i/>
          <w:color w:val="000000" w:themeColor="text1"/>
        </w:rPr>
        <w:t xml:space="preserve">, de acuerdo con su naturaleza jurídica y según corresponda, </w:t>
      </w:r>
      <w:r w:rsidRPr="00E06668">
        <w:rPr>
          <w:rFonts w:ascii="Palatino Linotype" w:eastAsia="Palatino Linotype" w:hAnsi="Palatino Linotype" w:cs="Palatino Linotype"/>
          <w:b/>
          <w:i/>
          <w:color w:val="000000" w:themeColor="text1"/>
        </w:rPr>
        <w:t>con base en los objetivos, parámetros e indicadores de desempeño y programas derivados del Plan de Desarrollo del Estado de México, durante el ejercicio fiscal correspondiente</w:t>
      </w:r>
      <w:r w:rsidRPr="00E06668">
        <w:rPr>
          <w:rFonts w:ascii="Palatino Linotype" w:eastAsia="Palatino Linotype" w:hAnsi="Palatino Linotype" w:cs="Palatino Linotype"/>
          <w:i/>
          <w:color w:val="000000" w:themeColor="text1"/>
        </w:rPr>
        <w:t xml:space="preserve"> y en apego a lo establecido en la legislación aplicable.…</w:t>
      </w:r>
    </w:p>
    <w:p w14:paraId="67EF6458" w14:textId="77777777" w:rsidR="00023BFF" w:rsidRPr="00E06668" w:rsidRDefault="00987374" w:rsidP="0037630E">
      <w:pPr>
        <w:pBdr>
          <w:top w:val="nil"/>
          <w:left w:val="nil"/>
          <w:bottom w:val="nil"/>
          <w:right w:val="nil"/>
          <w:between w:val="nil"/>
        </w:pBdr>
        <w:spacing w:after="160"/>
        <w:jc w:val="both"/>
        <w:rPr>
          <w:rFonts w:ascii="Palatino Linotype" w:eastAsia="Palatino Linotype" w:hAnsi="Palatino Linotype" w:cs="Palatino Linotype"/>
          <w:b/>
          <w:i/>
          <w:color w:val="000000" w:themeColor="text1"/>
          <w:u w:val="single"/>
        </w:rPr>
      </w:pPr>
      <w:r w:rsidRPr="00E06668">
        <w:rPr>
          <w:rFonts w:ascii="Palatino Linotype" w:eastAsia="Palatino Linotype" w:hAnsi="Palatino Linotype" w:cs="Palatino Linotype"/>
          <w:b/>
          <w:i/>
          <w:color w:val="000000" w:themeColor="text1"/>
          <w:u w:val="single"/>
        </w:rPr>
        <w:t>En el caso de los municipios, el Presupuesto de Egresos, será el que se apruebe por el Ayuntamiento</w:t>
      </w:r>
      <w:r w:rsidRPr="00E06668">
        <w:rPr>
          <w:rFonts w:ascii="Palatino Linotype" w:eastAsia="Palatino Linotype" w:hAnsi="Palatino Linotype" w:cs="Palatino Linotype"/>
          <w:b/>
          <w:i/>
          <w:color w:val="000000" w:themeColor="text1"/>
        </w:rPr>
        <w:t>…”(Sic)</w:t>
      </w:r>
    </w:p>
    <w:p w14:paraId="65E96081" w14:textId="77777777" w:rsidR="00023BFF" w:rsidRPr="00E06668" w:rsidRDefault="00023BFF" w:rsidP="0037630E">
      <w:pPr>
        <w:pBdr>
          <w:top w:val="nil"/>
          <w:left w:val="nil"/>
          <w:bottom w:val="nil"/>
          <w:right w:val="nil"/>
          <w:between w:val="nil"/>
        </w:pBdr>
        <w:spacing w:after="160" w:line="259" w:lineRule="auto"/>
        <w:ind w:hanging="708"/>
        <w:jc w:val="both"/>
        <w:rPr>
          <w:rFonts w:ascii="Palatino Linotype" w:eastAsia="Palatino Linotype" w:hAnsi="Palatino Linotype" w:cs="Palatino Linotype"/>
          <w:i/>
          <w:color w:val="000000" w:themeColor="text1"/>
        </w:rPr>
      </w:pPr>
    </w:p>
    <w:p w14:paraId="45281B3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Por su parte el Manual para la Planeación, Programación y Presupuesto de Egresos Municipal para el ejercicio fiscal 2021, 2022, 2023 y 2024 señala: </w:t>
      </w:r>
    </w:p>
    <w:p w14:paraId="2EA8EB77"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Con base en lo que establece el artículo 285 del Código Financiero del Estado de México y Municipios, el </w:t>
      </w:r>
      <w:r w:rsidRPr="00E06668">
        <w:rPr>
          <w:rFonts w:ascii="Palatino Linotype" w:eastAsia="Palatino Linotype" w:hAnsi="Palatino Linotype" w:cs="Palatino Linotype"/>
          <w:b/>
          <w:i/>
          <w:color w:val="000000" w:themeColor="text1"/>
        </w:rPr>
        <w:t xml:space="preserve">Presupuesto de Egresos Municipal </w:t>
      </w:r>
      <w:r w:rsidRPr="00E06668">
        <w:rPr>
          <w:rFonts w:ascii="Palatino Linotype" w:eastAsia="Palatino Linotype" w:hAnsi="Palatino Linotype" w:cs="Palatino Linotype"/>
          <w:i/>
          <w:color w:val="000000" w:themeColor="text1"/>
        </w:rPr>
        <w:t xml:space="preserve">se conceptualiza como el instrumento jurídico, de política económica y de política de gasto, que aprueba el Cabildo, conforme a la propuesta que presenta el C. Presidente Municipal, </w:t>
      </w:r>
      <w:r w:rsidRPr="00E06668">
        <w:rPr>
          <w:rFonts w:ascii="Palatino Linotype" w:eastAsia="Palatino Linotype" w:hAnsi="Palatino Linotype" w:cs="Palatino Linotype"/>
          <w:b/>
          <w:i/>
          <w:color w:val="000000" w:themeColor="text1"/>
        </w:rPr>
        <w:t>en el cual se establece el ejercicio, control y evaluación del gasto público de las Dependencias Administrativas y Organismos Municipales Descentralizados, a través de los programas derivados del Plan de Desarrollo Municipal (PDM), durante el ejercicio fiscal correspondiente</w:t>
      </w:r>
      <w:r w:rsidRPr="00E06668">
        <w:rPr>
          <w:rFonts w:ascii="Palatino Linotype" w:eastAsia="Palatino Linotype" w:hAnsi="Palatino Linotype" w:cs="Palatino Linotype"/>
          <w:i/>
          <w:color w:val="000000" w:themeColor="text1"/>
        </w:rPr>
        <w:t xml:space="preserve">. </w:t>
      </w:r>
    </w:p>
    <w:p w14:paraId="215E0FF2"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309676FB"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Para las administraciones municipales, </w:t>
      </w:r>
      <w:r w:rsidRPr="00E06668">
        <w:rPr>
          <w:rFonts w:ascii="Palatino Linotype" w:eastAsia="Palatino Linotype" w:hAnsi="Palatino Linotype" w:cs="Palatino Linotype"/>
          <w:b/>
          <w:i/>
          <w:color w:val="000000" w:themeColor="text1"/>
        </w:rPr>
        <w:t>el Presupuesto basado en Resultados (PbR),</w:t>
      </w:r>
      <w:r w:rsidRPr="00E06668">
        <w:rPr>
          <w:rFonts w:ascii="Palatino Linotype" w:eastAsia="Palatino Linotype" w:hAnsi="Palatino Linotype" w:cs="Palatino Linotype"/>
          <w:i/>
          <w:color w:val="000000" w:themeColor="text1"/>
        </w:rPr>
        <w:t xml:space="preserve">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175F3A47" w14:textId="77777777" w:rsidR="00023BFF" w:rsidRPr="00E06668" w:rsidRDefault="00023BFF" w:rsidP="0037630E">
      <w:pPr>
        <w:jc w:val="both"/>
        <w:rPr>
          <w:rFonts w:ascii="Palatino Linotype" w:eastAsia="Palatino Linotype" w:hAnsi="Palatino Linotype" w:cs="Palatino Linotype"/>
          <w:i/>
          <w:color w:val="000000" w:themeColor="text1"/>
        </w:rPr>
      </w:pPr>
    </w:p>
    <w:p w14:paraId="3B4B6705"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56BC119E" w14:textId="77777777" w:rsidR="00023BFF" w:rsidRPr="00E06668" w:rsidRDefault="00987374" w:rsidP="0037630E">
      <w:pP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El PbR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07FCBC55" w14:textId="77777777" w:rsidR="00023BFF" w:rsidRPr="00E06668" w:rsidRDefault="00023BFF" w:rsidP="0037630E">
      <w:pPr>
        <w:jc w:val="both"/>
        <w:rPr>
          <w:rFonts w:ascii="Palatino Linotype" w:eastAsia="Palatino Linotype" w:hAnsi="Palatino Linotype" w:cs="Palatino Linotype"/>
          <w:b/>
          <w:i/>
          <w:color w:val="000000" w:themeColor="text1"/>
        </w:rPr>
      </w:pPr>
    </w:p>
    <w:p w14:paraId="05D1CBDE" w14:textId="77777777" w:rsidR="00023BFF" w:rsidRPr="00E06668" w:rsidRDefault="00987374" w:rsidP="0037630E">
      <w:pP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3. Elaboración del Presupuesto Integración Presupuestal: S</w:t>
      </w:r>
      <w:r w:rsidRPr="00E06668">
        <w:rPr>
          <w:rFonts w:ascii="Palatino Linotype" w:eastAsia="Palatino Linotype" w:hAnsi="Palatino Linotype" w:cs="Palatino Linotype"/>
          <w:i/>
          <w:color w:val="000000" w:themeColor="text1"/>
        </w:rPr>
        <w:t>e basa en la definición de las estructuras funcional-programática, administrativa y económica del presupuesto, vinculadas entre sí con los objetivos institucionales, a partir de la selección de las Categorías Programáticas (Finalidad, Funciones, Subfunciones, Programas presupuestarios, Subprogramas y Proyectos) contenidas en la Estructura Programática Municipal, a los cuales se orientan recursos para que dichos objetivos puedan llevarse a cabo por las Dependencias Generales y/o Auxiliares, así como por los Organismos Municipale</w:t>
      </w:r>
      <w:r w:rsidRPr="00E06668">
        <w:rPr>
          <w:rFonts w:ascii="Palatino Linotype" w:eastAsia="Palatino Linotype" w:hAnsi="Palatino Linotype" w:cs="Palatino Linotype"/>
          <w:b/>
          <w:i/>
          <w:color w:val="000000" w:themeColor="text1"/>
        </w:rPr>
        <w:t>s.</w:t>
      </w:r>
    </w:p>
    <w:p w14:paraId="5C86C5F5" w14:textId="77777777" w:rsidR="00023BFF" w:rsidRPr="00E06668" w:rsidRDefault="00023BFF" w:rsidP="0037630E">
      <w:pPr>
        <w:jc w:val="both"/>
        <w:rPr>
          <w:rFonts w:ascii="Palatino Linotype" w:eastAsia="Palatino Linotype" w:hAnsi="Palatino Linotype" w:cs="Palatino Linotype"/>
          <w:i/>
          <w:color w:val="000000" w:themeColor="text1"/>
        </w:rPr>
      </w:pPr>
    </w:p>
    <w:p w14:paraId="39653EB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De acuerdo a lo anterior, el Presupuesto basado en Resultados (PbR), es un instrumento que permite </w:t>
      </w:r>
      <w:r w:rsidRPr="00E06668">
        <w:rPr>
          <w:rFonts w:ascii="Palatino Linotype" w:eastAsia="Palatino Linotype" w:hAnsi="Palatino Linotype" w:cs="Palatino Linotype"/>
          <w:i/>
          <w:color w:val="000000" w:themeColor="text1"/>
          <w:u w:val="single"/>
        </w:rPr>
        <w:t>realizar las decisiones presupuestarias para la aplicación de los recursos públicos, de acuerdo a su proceso de programación para el ejercicio fiscal subsecuente a la evaluación, a efecto de optimizar la calidad del gasto público, por lo que El PbR pretende que la definición de los programas presupuestarios, considere la evaluación de los resultados alcanzados y la manera en que las Dependencias y Entidades de la Administración Pública Municipal ejercen los recursos públicos</w:t>
      </w:r>
      <w:r w:rsidRPr="00E06668">
        <w:rPr>
          <w:rFonts w:ascii="Palatino Linotype" w:eastAsia="Palatino Linotype" w:hAnsi="Palatino Linotype" w:cs="Palatino Linotype"/>
          <w:color w:val="000000" w:themeColor="text1"/>
        </w:rPr>
        <w:t xml:space="preserve">, en este sentido la elaboración del Presupuesto Integración Presupuestal, se basa en la definición de las </w:t>
      </w:r>
      <w:r w:rsidRPr="00E06668">
        <w:rPr>
          <w:rFonts w:ascii="Palatino Linotype" w:eastAsia="Palatino Linotype" w:hAnsi="Palatino Linotype" w:cs="Palatino Linotype"/>
          <w:color w:val="000000" w:themeColor="text1"/>
          <w:u w:val="single"/>
        </w:rPr>
        <w:t>estructuras funcional-programática, administrativa y económica del presupuesto, vinculadas entre sí con los objetivos institucionales, a partir de la selección de las Categorías Programáticas (Finalidad, Funciones, Subfunciones, Programas presupuestarios, Subprogramas y Proyectos)</w:t>
      </w:r>
      <w:r w:rsidRPr="00E06668">
        <w:rPr>
          <w:rFonts w:ascii="Palatino Linotype" w:eastAsia="Palatino Linotype" w:hAnsi="Palatino Linotype" w:cs="Palatino Linotype"/>
          <w:color w:val="000000" w:themeColor="text1"/>
        </w:rPr>
        <w:t xml:space="preserve"> contenidas en la Estructura Programática Municipal, a los cuales se orientan recursos para que dichos objetivos puedan llevarse a cabo por las Dependencias Generales y/o Auxiliares, así como por los Organismos Municipales, por lo que de igual forma resulta oportuno mencionar que: </w:t>
      </w:r>
    </w:p>
    <w:p w14:paraId="7C22DB59"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2. CLASIFICACIÓN FUNCIONAL - PROGRAMÁTICA MUNICIPAL </w:t>
      </w:r>
    </w:p>
    <w:p w14:paraId="6045D75F" w14:textId="77777777" w:rsidR="00023BFF" w:rsidRPr="00E06668" w:rsidRDefault="00023BFF" w:rsidP="0037630E">
      <w:pPr>
        <w:jc w:val="both"/>
        <w:rPr>
          <w:rFonts w:ascii="Palatino Linotype" w:eastAsia="Palatino Linotype" w:hAnsi="Palatino Linotype" w:cs="Palatino Linotype"/>
          <w:i/>
          <w:color w:val="000000" w:themeColor="text1"/>
        </w:rPr>
      </w:pPr>
    </w:p>
    <w:p w14:paraId="72644308"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La Estructura Programática Municipal (EPM), es un instrumento clasificador de acciones para la planeación, programación, presupuesto y control del gasto público, así como para evaluar el desempeño gubernamental, la EPM, se apoya en los elementos de la planeación estratégica y constituye un medio para ordenar las acciones y recursos de la gestión gubernamental; ésta relaciona las metas con los recursos presupuestados y los resultados que esperan alcanzar las dependencias y organismos municipales, permitiendo evaluar de forma amplia el impacto de las acciones del quehacer municipal en el ámbito social, económico y territorial.</w:t>
      </w:r>
    </w:p>
    <w:p w14:paraId="0B6C7CDA" w14:textId="77777777" w:rsidR="00023BFF" w:rsidRPr="00E06668" w:rsidRDefault="00023BFF" w:rsidP="0037630E">
      <w:pPr>
        <w:jc w:val="both"/>
        <w:rPr>
          <w:rFonts w:ascii="Palatino Linotype" w:eastAsia="Palatino Linotype" w:hAnsi="Palatino Linotype" w:cs="Palatino Linotype"/>
          <w:i/>
          <w:color w:val="000000" w:themeColor="text1"/>
        </w:rPr>
      </w:pPr>
    </w:p>
    <w:p w14:paraId="5BFE5CE2"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La EPM contribuye a la integración del Presupuesto basado en Resultados (PbR)....</w:t>
      </w:r>
    </w:p>
    <w:p w14:paraId="483E31F4" w14:textId="77777777" w:rsidR="00023BFF" w:rsidRPr="00E06668" w:rsidRDefault="00023BFF" w:rsidP="0037630E">
      <w:pPr>
        <w:jc w:val="both"/>
        <w:rPr>
          <w:rFonts w:ascii="Palatino Linotype" w:eastAsia="Palatino Linotype" w:hAnsi="Palatino Linotype" w:cs="Palatino Linotype"/>
          <w:color w:val="000000" w:themeColor="text1"/>
        </w:rPr>
      </w:pPr>
    </w:p>
    <w:p w14:paraId="150F2E0B"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De acuerdo a lo anterior, la Estructura Programática Municipal (EPM), clasifica las acciones para la planeación, programación, presupuesto y control del gasto público, que también le permite evaluar un medio para ordenar las acciones y recursos de la gestión gubernamental en donde se relacionan las metas con los recursos presupuestados y los resultados que esperan alcanzar las </w:t>
      </w:r>
      <w:r w:rsidRPr="00E06668">
        <w:rPr>
          <w:rFonts w:ascii="Palatino Linotype" w:eastAsia="Palatino Linotype" w:hAnsi="Palatino Linotype" w:cs="Palatino Linotype"/>
          <w:b/>
          <w:color w:val="000000" w:themeColor="text1"/>
        </w:rPr>
        <w:t>dependencias y organismos municipales</w:t>
      </w:r>
      <w:r w:rsidRPr="00E06668">
        <w:rPr>
          <w:rFonts w:ascii="Palatino Linotype" w:eastAsia="Palatino Linotype" w:hAnsi="Palatino Linotype" w:cs="Palatino Linotype"/>
          <w:color w:val="000000" w:themeColor="text1"/>
        </w:rPr>
        <w:t xml:space="preserve">, siendo así, que la Estructura Programática Municipal contribuye a la integración del Presupuesto basado en Resultados (PbR), aunado a ello, se menciona lo siguiente: </w:t>
      </w:r>
    </w:p>
    <w:p w14:paraId="02660BA8"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3. LINEAMIENTOS PARA LA INTEGRACIÓN DEL PRESUPUESTO DE EGRESOS MUNICIPAL</w:t>
      </w:r>
    </w:p>
    <w:p w14:paraId="1FD9CD3A" w14:textId="77777777" w:rsidR="00023BFF" w:rsidRPr="00E06668" w:rsidRDefault="00023BFF" w:rsidP="0037630E">
      <w:pPr>
        <w:ind w:hanging="568"/>
        <w:jc w:val="both"/>
        <w:rPr>
          <w:rFonts w:ascii="Palatino Linotype" w:eastAsia="Palatino Linotype" w:hAnsi="Palatino Linotype" w:cs="Palatino Linotype"/>
          <w:i/>
          <w:color w:val="000000" w:themeColor="text1"/>
        </w:rPr>
      </w:pPr>
    </w:p>
    <w:p w14:paraId="01A2EF76"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1. La Tesorería y la UIPPE serán, en el ámbito de sus competencias, los responsables de coordinar los trabajos de anteproyecto de las Dependencias Generales, Auxiliares y Organismos Municipales, para posteriormente integrar el Proyecto de Presupuesto de Egresos Municipal, que el Presidente Municipal presentará para análisis, discusión y eventual aprobación por parte del Cabildo. Es importante mencionar que en caso de no existir UIPPE, los servidores públicos serán los responsables de realizar dichas funciones.</w:t>
      </w:r>
    </w:p>
    <w:p w14:paraId="62C92DA0" w14:textId="77777777" w:rsidR="00023BFF" w:rsidRPr="00E06668" w:rsidRDefault="00023BFF" w:rsidP="0037630E">
      <w:pPr>
        <w:ind w:hanging="568"/>
        <w:jc w:val="both"/>
        <w:rPr>
          <w:rFonts w:ascii="Palatino Linotype" w:eastAsia="Palatino Linotype" w:hAnsi="Palatino Linotype" w:cs="Palatino Linotype"/>
          <w:i/>
          <w:color w:val="000000" w:themeColor="text1"/>
        </w:rPr>
      </w:pPr>
    </w:p>
    <w:p w14:paraId="5AE82FF6"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2. Las Dependencias Generales, Auxiliares y Organismos Municipales o similares, deben integrar y presentar a la UIPPE y Tesorería sus respectivos anteproyectos de acuerdo con el presente manual, identificando la congruencia con el PDM vigente y la asignación de los recursos públicos, que deberán ser presupuestados observando las disposiciones de disciplina financiera y un enfoque para resultados…..</w:t>
      </w:r>
    </w:p>
    <w:p w14:paraId="1884D7B2" w14:textId="77777777" w:rsidR="00023BFF" w:rsidRPr="00E06668" w:rsidRDefault="00023BFF" w:rsidP="0037630E">
      <w:pPr>
        <w:ind w:hanging="568"/>
        <w:jc w:val="both"/>
        <w:rPr>
          <w:rFonts w:ascii="Palatino Linotype" w:eastAsia="Palatino Linotype" w:hAnsi="Palatino Linotype" w:cs="Palatino Linotype"/>
          <w:i/>
          <w:color w:val="000000" w:themeColor="text1"/>
        </w:rPr>
      </w:pPr>
    </w:p>
    <w:p w14:paraId="3B538DA6"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Una tarea importante de la Tesorería y la UIPPE, consiste en definir conjuntamente a cada una de las Dependencias Generales y Auxiliares las responsabilidades en cuanto a la ejecución de Programas presupuestarios </w:t>
      </w:r>
      <w:r w:rsidRPr="00E06668">
        <w:rPr>
          <w:rFonts w:ascii="Palatino Linotype" w:eastAsia="Palatino Linotype" w:hAnsi="Palatino Linotype" w:cs="Palatino Linotype"/>
          <w:b/>
          <w:i/>
          <w:color w:val="000000" w:themeColor="text1"/>
        </w:rPr>
        <w:t xml:space="preserve">y proyectos por dependencia municipal; </w:t>
      </w:r>
      <w:r w:rsidRPr="00E06668">
        <w:rPr>
          <w:rFonts w:ascii="Palatino Linotype" w:eastAsia="Palatino Linotype" w:hAnsi="Palatino Linotype" w:cs="Palatino Linotype"/>
          <w:i/>
          <w:color w:val="000000" w:themeColor="text1"/>
        </w:rPr>
        <w:t>para apoyar este proceso, en este manual se encuentra el formato denominado “D</w:t>
      </w:r>
      <w:r w:rsidRPr="00E06668">
        <w:rPr>
          <w:rFonts w:ascii="Palatino Linotype" w:eastAsia="Palatino Linotype" w:hAnsi="Palatino Linotype" w:cs="Palatino Linotype"/>
          <w:b/>
          <w:i/>
          <w:color w:val="000000" w:themeColor="text1"/>
        </w:rPr>
        <w:t>imensión administrativa del gasto” (PbRM-01a), el cual permite identificar la asignación de recursos por Programa presupuestario, Proyecto y Dependencia</w:t>
      </w:r>
      <w:r w:rsidRPr="00E06668">
        <w:rPr>
          <w:rFonts w:ascii="Palatino Linotype" w:eastAsia="Palatino Linotype" w:hAnsi="Palatino Linotype" w:cs="Palatino Linotype"/>
          <w:i/>
          <w:color w:val="000000" w:themeColor="text1"/>
        </w:rPr>
        <w:t xml:space="preserve"> que realiza las acciones que permiten dar cumplimiento a objetivos definidos, asimismo asumir el compromiso y responsabilidad de cada unidad administrativa municipal en la entrega de resultados que beneficien a la población o área de enfoque que atienden.</w:t>
      </w:r>
    </w:p>
    <w:p w14:paraId="0F6DE5CF" w14:textId="77777777" w:rsidR="00023BFF" w:rsidRPr="00E06668" w:rsidRDefault="00023BFF" w:rsidP="0037630E">
      <w:pPr>
        <w:ind w:hanging="568"/>
        <w:jc w:val="both"/>
        <w:rPr>
          <w:rFonts w:ascii="Palatino Linotype" w:eastAsia="Palatino Linotype" w:hAnsi="Palatino Linotype" w:cs="Palatino Linotype"/>
          <w:color w:val="000000" w:themeColor="text1"/>
        </w:rPr>
      </w:pPr>
    </w:p>
    <w:p w14:paraId="0615FB23"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En este sentido, los responsables de coordinar los trabajos de anteproyecto de las Dependencias Generales, Auxiliares y Organismos Municipales, se encuentra el formato denominado “D</w:t>
      </w:r>
      <w:r w:rsidRPr="00E06668">
        <w:rPr>
          <w:rFonts w:ascii="Palatino Linotype" w:eastAsia="Palatino Linotype" w:hAnsi="Palatino Linotype" w:cs="Palatino Linotype"/>
          <w:b/>
          <w:color w:val="000000" w:themeColor="text1"/>
        </w:rPr>
        <w:t>imensión administrativa del gasto” (PbRM-01a), el cual permite identificar la asignación de recursos por Programa presupuestario, Proyecto y Dependencia</w:t>
      </w:r>
      <w:r w:rsidRPr="00E06668">
        <w:rPr>
          <w:rFonts w:ascii="Palatino Linotype" w:eastAsia="Palatino Linotype" w:hAnsi="Palatino Linotype" w:cs="Palatino Linotype"/>
          <w:color w:val="000000" w:themeColor="text1"/>
        </w:rPr>
        <w:t xml:space="preserve"> que realiza las acciones que permiten dar cumplimiento a objetivos definidos, asimismo asumir el compromiso y responsabilidad de cada unidad administrativa municipal.</w:t>
      </w:r>
    </w:p>
    <w:p w14:paraId="14502564"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3.2. Primera Etapa: Anteproyecto de Presupuesto de Egresos.</w:t>
      </w:r>
    </w:p>
    <w:p w14:paraId="61B71F3B"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3.2.1. Lineamientos para la integración del Programa Anual.</w:t>
      </w:r>
    </w:p>
    <w:p w14:paraId="4935F339"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35C0B4EA"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3CE93B5E" w14:textId="77777777" w:rsidR="00023BFF" w:rsidRPr="00E06668" w:rsidRDefault="00987374" w:rsidP="0037630E">
      <w:pP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i/>
          <w:color w:val="000000" w:themeColor="text1"/>
        </w:rPr>
        <w:t xml:space="preserve">Para iniciar con el llenado de los formatos que integran el Programa Anual y el Anteproyecto de Presupuesto de Egresos se deberá llenar el formato PbRM-01a “Dimensión Administrativa del Gasto”, </w:t>
      </w:r>
      <w:r w:rsidRPr="00E06668">
        <w:rPr>
          <w:rFonts w:ascii="Palatino Linotype" w:eastAsia="Palatino Linotype" w:hAnsi="Palatino Linotype" w:cs="Palatino Linotype"/>
          <w:b/>
          <w:i/>
          <w:color w:val="000000" w:themeColor="text1"/>
        </w:rPr>
        <w:t>el cual tiene como propósito identificar a nivel de estructura administrativa los programas y proyectos de los cuales se responsabiliza cada una de las Dependencias y Organismos municipales.</w:t>
      </w:r>
    </w:p>
    <w:p w14:paraId="5A974E21" w14:textId="77777777" w:rsidR="00023BFF" w:rsidRPr="00E06668" w:rsidRDefault="00023BFF" w:rsidP="0037630E">
      <w:pPr>
        <w:jc w:val="both"/>
        <w:rPr>
          <w:rFonts w:ascii="Palatino Linotype" w:eastAsia="Palatino Linotype" w:hAnsi="Palatino Linotype" w:cs="Palatino Linotype"/>
          <w:b/>
          <w:i/>
          <w:color w:val="000000" w:themeColor="text1"/>
        </w:rPr>
      </w:pPr>
    </w:p>
    <w:p w14:paraId="799D1EAD"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En este contexto se continúa con el llenado del formato PbRM-01b “Descripción del Programa presupuestario”, mismo que tiene como propósito, identificar el diagnóstico del entorno de responsabilidad del programa respectivo para sustentar y justificar la asignación del presupuesto del ejercicio fiscal 2022, definir los objetivos que se pretenden alcanzar y establecer las estrategias que serán aplicadas para dar viabilidad al logro de dichos objetivos. 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 </w:t>
      </w:r>
    </w:p>
    <w:p w14:paraId="1BAED91F" w14:textId="77777777" w:rsidR="00023BFF" w:rsidRPr="00E06668" w:rsidRDefault="00023BFF" w:rsidP="0037630E">
      <w:pPr>
        <w:jc w:val="both"/>
        <w:rPr>
          <w:rFonts w:ascii="Palatino Linotype" w:eastAsia="Palatino Linotype" w:hAnsi="Palatino Linotype" w:cs="Palatino Linotype"/>
          <w:i/>
          <w:color w:val="000000" w:themeColor="text1"/>
        </w:rPr>
      </w:pPr>
    </w:p>
    <w:p w14:paraId="1DCC40EC"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3.2.6. Formatos que integran el Anteproyecto de Presupuesto de Egresos. </w:t>
      </w:r>
    </w:p>
    <w:p w14:paraId="3FE35C3A" w14:textId="77777777" w:rsidR="00023BFF" w:rsidRPr="00E06668" w:rsidRDefault="00023BFF" w:rsidP="0037630E">
      <w:pPr>
        <w:jc w:val="both"/>
        <w:rPr>
          <w:rFonts w:ascii="Palatino Linotype" w:eastAsia="Palatino Linotype" w:hAnsi="Palatino Linotype" w:cs="Palatino Linotype"/>
          <w:i/>
          <w:color w:val="000000" w:themeColor="text1"/>
        </w:rPr>
      </w:pPr>
    </w:p>
    <w:p w14:paraId="1055E348"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Para la integración del Anteproyecto de Presupuesto de Egresos Municipal, además de los formatos: </w:t>
      </w:r>
      <w:r w:rsidRPr="00E06668">
        <w:rPr>
          <w:rFonts w:ascii="Palatino Linotype" w:eastAsia="Palatino Linotype" w:hAnsi="Palatino Linotype" w:cs="Palatino Linotype"/>
          <w:b/>
          <w:i/>
          <w:color w:val="000000" w:themeColor="text1"/>
        </w:rPr>
        <w:t xml:space="preserve">PbRM-01a, </w:t>
      </w:r>
      <w:r w:rsidRPr="00E06668">
        <w:rPr>
          <w:rFonts w:ascii="Palatino Linotype" w:eastAsia="Palatino Linotype" w:hAnsi="Palatino Linotype" w:cs="Palatino Linotype"/>
          <w:i/>
          <w:color w:val="000000" w:themeColor="text1"/>
        </w:rPr>
        <w:t xml:space="preserve">PbRM-01b, PbRM-01c, PbRM-01d y PbRM-01e que integran el Programa Anual, en los que se deben definir las necesidades y oportunidades del Municipio, mismas que deben coincidir con el Plan de Desarrollo Municipal para ser traducidas en proyectos </w:t>
      </w:r>
      <w:r w:rsidRPr="00E06668">
        <w:rPr>
          <w:rFonts w:ascii="Palatino Linotype" w:eastAsia="Palatino Linotype" w:hAnsi="Palatino Linotype" w:cs="Palatino Linotype"/>
          <w:i/>
          <w:color w:val="000000" w:themeColor="text1"/>
        </w:rPr>
        <w:lastRenderedPageBreak/>
        <w:t xml:space="preserve">y acciones concretas a desarrollarse en el periodo presupuestal determinado, se deberán integrar los formatos que identifiquen la asignación presupuestal por concepto de gasto, los cuales se mencionan a continuación: </w:t>
      </w:r>
    </w:p>
    <w:p w14:paraId="49FCFC33"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p>
    <w:p w14:paraId="09640F77"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Estimación de los egresos </w:t>
      </w:r>
    </w:p>
    <w:p w14:paraId="5EB20106" w14:textId="77777777" w:rsidR="00023BFF" w:rsidRPr="00E06668" w:rsidRDefault="00023BFF" w:rsidP="0037630E">
      <w:pPr>
        <w:jc w:val="both"/>
        <w:rPr>
          <w:rFonts w:ascii="Palatino Linotype" w:eastAsia="Palatino Linotype" w:hAnsi="Palatino Linotype" w:cs="Palatino Linotype"/>
          <w:i/>
          <w:color w:val="000000" w:themeColor="text1"/>
        </w:rPr>
      </w:pPr>
    </w:p>
    <w:p w14:paraId="6DDE373E"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Una vez conociendo la proyección de ingresos, la Tesorería podrá utilizar el siguiente formato para proporcionar a cada Dependencia General sus techos financieros, reflejando los gastos fijos e indirectos (servicios personales + materiales y suministros necesarios + servicios generales necesarios + gastos de deuda).  </w:t>
      </w:r>
    </w:p>
    <w:p w14:paraId="00FA2D3A" w14:textId="77777777" w:rsidR="00023BFF" w:rsidRPr="00E06668" w:rsidRDefault="00023BFF" w:rsidP="0037630E">
      <w:pPr>
        <w:jc w:val="both"/>
        <w:rPr>
          <w:rFonts w:ascii="Palatino Linotype" w:eastAsia="Palatino Linotype" w:hAnsi="Palatino Linotype" w:cs="Palatino Linotype"/>
          <w:i/>
          <w:color w:val="000000" w:themeColor="text1"/>
        </w:rPr>
      </w:pPr>
    </w:p>
    <w:p w14:paraId="18A5CC89"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Presupuesto de egresos detallado para el ejercicio fiscal 2022 PbRM-04a: Este formato deberá registrar los proyectos por partida de gasto, los cuales tendrán que coincidir con los formatos del Programa Anual (</w:t>
      </w:r>
      <w:r w:rsidRPr="00E06668">
        <w:rPr>
          <w:rFonts w:ascii="Palatino Linotype" w:eastAsia="Palatino Linotype" w:hAnsi="Palatino Linotype" w:cs="Palatino Linotype"/>
          <w:b/>
          <w:i/>
          <w:color w:val="000000" w:themeColor="text1"/>
        </w:rPr>
        <w:t>PbRM-01a,</w:t>
      </w:r>
      <w:r w:rsidRPr="00E06668">
        <w:rPr>
          <w:rFonts w:ascii="Palatino Linotype" w:eastAsia="Palatino Linotype" w:hAnsi="Palatino Linotype" w:cs="Palatino Linotype"/>
          <w:i/>
          <w:color w:val="000000" w:themeColor="text1"/>
        </w:rPr>
        <w:t xml:space="preserve"> PbRM-01c) en estructura programática y gasto estimado por proyecto. </w:t>
      </w:r>
    </w:p>
    <w:p w14:paraId="476AF462" w14:textId="6D2E3E86" w:rsidR="00E101AE" w:rsidRPr="00E06668" w:rsidRDefault="00987374" w:rsidP="00E101AE">
      <w:pPr>
        <w:spacing w:line="360" w:lineRule="auto"/>
        <w:jc w:val="center"/>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noProof/>
          <w:color w:val="000000" w:themeColor="text1"/>
          <w:lang w:val="es-MX" w:eastAsia="es-MX"/>
        </w:rPr>
        <w:drawing>
          <wp:inline distT="114300" distB="114300" distL="114300" distR="114300" wp14:anchorId="577AD571" wp14:editId="1E5B2BB1">
            <wp:extent cx="2713566" cy="1261010"/>
            <wp:effectExtent l="0" t="0" r="0" b="0"/>
            <wp:docPr id="1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13566" cy="1261010"/>
                    </a:xfrm>
                    <a:prstGeom prst="rect">
                      <a:avLst/>
                    </a:prstGeom>
                    <a:ln/>
                  </pic:spPr>
                </pic:pic>
              </a:graphicData>
            </a:graphic>
          </wp:inline>
        </w:drawing>
      </w:r>
    </w:p>
    <w:p w14:paraId="5B5D816E"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En el Estado de México, la Clasificación Funcional del Gasto armonizada está estructurada en 4 finalidades identificadas por el primer par de dígitos de la clasificación de 28 funciones identificadas por el segundo par de dígitos, 111 subfunciones correspondientes al tercer par de dígitos, 74 </w:t>
      </w:r>
      <w:r w:rsidRPr="00E06668">
        <w:rPr>
          <w:rFonts w:ascii="Palatino Linotype" w:eastAsia="Palatino Linotype" w:hAnsi="Palatino Linotype" w:cs="Palatino Linotype"/>
          <w:b/>
          <w:color w:val="000000" w:themeColor="text1"/>
          <w:u w:val="single"/>
        </w:rPr>
        <w:t xml:space="preserve">Programas presupuestarios </w:t>
      </w:r>
      <w:r w:rsidRPr="00E06668">
        <w:rPr>
          <w:rFonts w:ascii="Palatino Linotype" w:eastAsia="Palatino Linotype" w:hAnsi="Palatino Linotype" w:cs="Palatino Linotype"/>
          <w:color w:val="000000" w:themeColor="text1"/>
        </w:rPr>
        <w:t>que se identifican con el cuarto par, 107 subprogramas, el quinto par y 192 proyectos que pueden visualizarse en el sexto par, como se ilustra a continuación:</w:t>
      </w:r>
    </w:p>
    <w:p w14:paraId="2D3B340A" w14:textId="77777777" w:rsidR="00023BFF" w:rsidRPr="00E06668" w:rsidRDefault="00987374" w:rsidP="0037630E">
      <w:pPr>
        <w:spacing w:line="360" w:lineRule="auto"/>
        <w:jc w:val="center"/>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noProof/>
          <w:color w:val="000000" w:themeColor="text1"/>
          <w:lang w:val="es-MX" w:eastAsia="es-MX"/>
        </w:rPr>
        <w:drawing>
          <wp:inline distT="0" distB="0" distL="0" distR="0" wp14:anchorId="2AA7DE66" wp14:editId="050BB245">
            <wp:extent cx="3248950" cy="1221010"/>
            <wp:effectExtent l="0" t="0" r="0" b="0"/>
            <wp:docPr id="1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248950" cy="1221010"/>
                    </a:xfrm>
                    <a:prstGeom prst="rect">
                      <a:avLst/>
                    </a:prstGeom>
                    <a:ln/>
                  </pic:spPr>
                </pic:pic>
              </a:graphicData>
            </a:graphic>
          </wp:inline>
        </w:drawing>
      </w:r>
    </w:p>
    <w:p w14:paraId="114C2C18"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La totalidad de categorías que integrarán la Estructura Programática son:</w:t>
      </w:r>
    </w:p>
    <w:p w14:paraId="32445801" w14:textId="77777777" w:rsidR="00023BFF" w:rsidRPr="00E06668" w:rsidRDefault="00987374" w:rsidP="0037630E">
      <w:pPr>
        <w:numPr>
          <w:ilvl w:val="0"/>
          <w:numId w:val="3"/>
        </w:numPr>
        <w:pBdr>
          <w:top w:val="nil"/>
          <w:left w:val="nil"/>
          <w:bottom w:val="nil"/>
          <w:right w:val="nil"/>
          <w:between w:val="nil"/>
        </w:pBdr>
        <w:spacing w:before="240" w:after="240" w:line="259"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b/>
          <w:color w:val="000000" w:themeColor="text1"/>
        </w:rPr>
        <w:t>Finalidad:</w:t>
      </w:r>
      <w:r w:rsidRPr="00E06668">
        <w:rPr>
          <w:rFonts w:ascii="Palatino Linotype" w:eastAsia="Palatino Linotype" w:hAnsi="Palatino Linotype" w:cs="Palatino Linotype"/>
          <w:color w:val="000000" w:themeColor="text1"/>
        </w:rPr>
        <w:t xml:space="preserve"> agrupa los gastos según los propósitos u objetivos socioeconómicos que persiguen los diferentes entes públicos, es decir que presenta el gasto público según la naturaleza de los servicios gubernamentales brindados a la población, mismas que se dividen en:</w:t>
      </w:r>
    </w:p>
    <w:p w14:paraId="02F0FC8D" w14:textId="77777777" w:rsidR="00023BFF" w:rsidRPr="00E06668" w:rsidRDefault="00987374" w:rsidP="0037630E">
      <w:pPr>
        <w:numPr>
          <w:ilvl w:val="0"/>
          <w:numId w:val="4"/>
        </w:numPr>
        <w:pBdr>
          <w:top w:val="nil"/>
          <w:left w:val="nil"/>
          <w:bottom w:val="nil"/>
          <w:right w:val="nil"/>
          <w:between w:val="nil"/>
        </w:pBdr>
        <w:tabs>
          <w:tab w:val="left" w:pos="851"/>
        </w:tabs>
        <w:spacing w:before="240" w:after="240" w:line="259"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1er finalidad “</w:t>
      </w:r>
      <w:r w:rsidRPr="00E06668">
        <w:rPr>
          <w:rFonts w:ascii="Palatino Linotype" w:eastAsia="Palatino Linotype" w:hAnsi="Palatino Linotype" w:cs="Palatino Linotype"/>
          <w:i/>
          <w:color w:val="000000" w:themeColor="text1"/>
        </w:rPr>
        <w:t>Gobierno</w:t>
      </w:r>
      <w:r w:rsidRPr="00E06668">
        <w:rPr>
          <w:rFonts w:ascii="Palatino Linotype" w:eastAsia="Palatino Linotype" w:hAnsi="Palatino Linotype" w:cs="Palatino Linotype"/>
          <w:color w:val="000000" w:themeColor="text1"/>
        </w:rPr>
        <w:t>”: comprende las acciones propias de gobierno.</w:t>
      </w:r>
    </w:p>
    <w:p w14:paraId="72156D0F" w14:textId="77777777" w:rsidR="00023BFF" w:rsidRPr="00E06668" w:rsidRDefault="00987374" w:rsidP="0037630E">
      <w:pPr>
        <w:numPr>
          <w:ilvl w:val="0"/>
          <w:numId w:val="4"/>
        </w:numPr>
        <w:pBdr>
          <w:top w:val="nil"/>
          <w:left w:val="nil"/>
          <w:bottom w:val="nil"/>
          <w:right w:val="nil"/>
          <w:between w:val="nil"/>
        </w:pBdr>
        <w:tabs>
          <w:tab w:val="left" w:pos="851"/>
        </w:tabs>
        <w:spacing w:before="240" w:after="240" w:line="259"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2da finalidad “</w:t>
      </w:r>
      <w:r w:rsidRPr="00E06668">
        <w:rPr>
          <w:rFonts w:ascii="Palatino Linotype" w:eastAsia="Palatino Linotype" w:hAnsi="Palatino Linotype" w:cs="Palatino Linotype"/>
          <w:i/>
          <w:color w:val="000000" w:themeColor="text1"/>
        </w:rPr>
        <w:t>Desarrollo Social</w:t>
      </w:r>
      <w:r w:rsidRPr="00E06668">
        <w:rPr>
          <w:rFonts w:ascii="Palatino Linotype" w:eastAsia="Palatino Linotype" w:hAnsi="Palatino Linotype" w:cs="Palatino Linotype"/>
          <w:color w:val="000000" w:themeColor="text1"/>
        </w:rPr>
        <w:t>”: incluye las actividades relacionadas con la prestación de servicios sociales en beneficio de la población.</w:t>
      </w:r>
    </w:p>
    <w:p w14:paraId="3B05CF5D" w14:textId="77777777" w:rsidR="00023BFF" w:rsidRPr="00E06668" w:rsidRDefault="00987374" w:rsidP="0037630E">
      <w:pPr>
        <w:numPr>
          <w:ilvl w:val="0"/>
          <w:numId w:val="4"/>
        </w:numPr>
        <w:pBdr>
          <w:top w:val="nil"/>
          <w:left w:val="nil"/>
          <w:bottom w:val="nil"/>
          <w:right w:val="nil"/>
          <w:between w:val="nil"/>
        </w:pBdr>
        <w:tabs>
          <w:tab w:val="left" w:pos="851"/>
        </w:tabs>
        <w:spacing w:before="240" w:after="240" w:line="259"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3er finalidad “</w:t>
      </w:r>
      <w:r w:rsidRPr="00E06668">
        <w:rPr>
          <w:rFonts w:ascii="Palatino Linotype" w:eastAsia="Palatino Linotype" w:hAnsi="Palatino Linotype" w:cs="Palatino Linotype"/>
          <w:i/>
          <w:color w:val="000000" w:themeColor="text1"/>
        </w:rPr>
        <w:t>Desarrollo Económico</w:t>
      </w:r>
      <w:r w:rsidRPr="00E06668">
        <w:rPr>
          <w:rFonts w:ascii="Palatino Linotype" w:eastAsia="Palatino Linotype" w:hAnsi="Palatino Linotype" w:cs="Palatino Linotype"/>
          <w:color w:val="000000" w:themeColor="text1"/>
        </w:rPr>
        <w:t>”: comprende las actividades orientadas al desarrollo económico, fomento de la producción y prestación de bienes y servicios públicos.</w:t>
      </w:r>
    </w:p>
    <w:p w14:paraId="68F0F761" w14:textId="77777777" w:rsidR="00023BFF" w:rsidRPr="00E06668" w:rsidRDefault="00987374" w:rsidP="0037630E">
      <w:pPr>
        <w:numPr>
          <w:ilvl w:val="0"/>
          <w:numId w:val="4"/>
        </w:numPr>
        <w:pBdr>
          <w:top w:val="nil"/>
          <w:left w:val="nil"/>
          <w:bottom w:val="nil"/>
          <w:right w:val="nil"/>
          <w:between w:val="nil"/>
        </w:pBdr>
        <w:tabs>
          <w:tab w:val="left" w:pos="851"/>
        </w:tabs>
        <w:spacing w:before="240" w:after="240" w:line="259"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4ta finalidad </w:t>
      </w:r>
      <w:r w:rsidRPr="00E06668">
        <w:rPr>
          <w:rFonts w:ascii="Palatino Linotype" w:eastAsia="Palatino Linotype" w:hAnsi="Palatino Linotype" w:cs="Palatino Linotype"/>
          <w:i/>
          <w:color w:val="000000" w:themeColor="text1"/>
        </w:rPr>
        <w:t xml:space="preserve">“Otras no clasificadas en funciones anteriores”: </w:t>
      </w:r>
      <w:r w:rsidRPr="00E06668">
        <w:rPr>
          <w:rFonts w:ascii="Palatino Linotype" w:eastAsia="Palatino Linotype" w:hAnsi="Palatino Linotype" w:cs="Palatino Linotype"/>
          <w:color w:val="000000" w:themeColor="text1"/>
        </w:rPr>
        <w:t>comprende los pagos de compromisos inherentes a la contratación de deuda; las transferencias entre diferentes niveles y órdenes de gobierno, así como aquellas actividades no susceptibles de etiquetar en las funciones existentes.</w:t>
      </w:r>
    </w:p>
    <w:p w14:paraId="7F4F20D9" w14:textId="77777777" w:rsidR="00023BFF" w:rsidRPr="00E06668" w:rsidRDefault="00987374" w:rsidP="0037630E">
      <w:pPr>
        <w:numPr>
          <w:ilvl w:val="0"/>
          <w:numId w:val="3"/>
        </w:numPr>
        <w:pBdr>
          <w:top w:val="nil"/>
          <w:left w:val="nil"/>
          <w:bottom w:val="nil"/>
          <w:right w:val="nil"/>
          <w:between w:val="nil"/>
        </w:pBdr>
        <w:spacing w:before="240" w:after="240" w:line="259"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b/>
          <w:color w:val="000000" w:themeColor="text1"/>
        </w:rPr>
        <w:t>Función</w:t>
      </w:r>
      <w:r w:rsidRPr="00E06668">
        <w:rPr>
          <w:rFonts w:ascii="Palatino Linotype" w:eastAsia="Palatino Linotype" w:hAnsi="Palatino Linotype" w:cs="Palatino Linotype"/>
          <w:color w:val="000000" w:themeColor="text1"/>
        </w:rPr>
        <w:t>: nivel de agregación del destino de los recursos del sector público, que se identifica con los campos de acción que el marco jurídico le establece al sector público. Tiene por objeto agrupar los gastos del sector público con base en los objetivos de corto, mediano y largo plazo que se persiguen, lo que contribuye al logro de objetivos generales de acción.</w:t>
      </w:r>
    </w:p>
    <w:p w14:paraId="19AC1228" w14:textId="77777777" w:rsidR="00023BFF" w:rsidRPr="00E06668" w:rsidRDefault="00987374" w:rsidP="0037630E">
      <w:pPr>
        <w:numPr>
          <w:ilvl w:val="0"/>
          <w:numId w:val="3"/>
        </w:numPr>
        <w:pBdr>
          <w:top w:val="nil"/>
          <w:left w:val="nil"/>
          <w:bottom w:val="nil"/>
          <w:right w:val="nil"/>
          <w:between w:val="nil"/>
        </w:pBdr>
        <w:spacing w:before="240" w:after="240" w:line="259"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color w:val="000000" w:themeColor="text1"/>
        </w:rPr>
        <w:t>Subfunción: c</w:t>
      </w:r>
      <w:r w:rsidRPr="00E06668">
        <w:rPr>
          <w:rFonts w:ascii="Palatino Linotype" w:eastAsia="Palatino Linotype" w:hAnsi="Palatino Linotype" w:cs="Palatino Linotype"/>
          <w:color w:val="000000" w:themeColor="text1"/>
        </w:rPr>
        <w:t>orresponde a un desglose pormenorizado de la Función, para identificar con mayor detalle la participación del sector público. Muestra un conjunto de acciones que persiguen objetivos y metas específicas que favorecen el logro del objetivo de la Función, y comprende por lo general, más de un programa.</w:t>
      </w:r>
    </w:p>
    <w:p w14:paraId="79413C9A" w14:textId="77777777" w:rsidR="00023BFF" w:rsidRPr="00E06668" w:rsidRDefault="00987374" w:rsidP="0037630E">
      <w:pPr>
        <w:numPr>
          <w:ilvl w:val="0"/>
          <w:numId w:val="3"/>
        </w:numPr>
        <w:pBdr>
          <w:top w:val="nil"/>
          <w:left w:val="nil"/>
          <w:bottom w:val="nil"/>
          <w:right w:val="nil"/>
          <w:between w:val="nil"/>
        </w:pBdr>
        <w:spacing w:before="240" w:after="240" w:line="259"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color w:val="000000" w:themeColor="text1"/>
        </w:rPr>
        <w:t xml:space="preserve">Programa: </w:t>
      </w:r>
      <w:r w:rsidRPr="00E06668">
        <w:rPr>
          <w:rFonts w:ascii="Palatino Linotype" w:eastAsia="Palatino Linotype" w:hAnsi="Palatino Linotype" w:cs="Palatino Linotype"/>
          <w:color w:val="000000" w:themeColor="text1"/>
        </w:rPr>
        <w:t>es un conjunto organizado de proyectos agrupados en Subprogramas, que satisfacen un objetivo específico de las dependencias o entidades públicas para alcanzar varias metas.</w:t>
      </w:r>
    </w:p>
    <w:p w14:paraId="56BEE95D" w14:textId="77777777" w:rsidR="00023BFF" w:rsidRPr="00E06668" w:rsidRDefault="00987374" w:rsidP="0037630E">
      <w:pPr>
        <w:numPr>
          <w:ilvl w:val="0"/>
          <w:numId w:val="3"/>
        </w:numPr>
        <w:pBdr>
          <w:top w:val="nil"/>
          <w:left w:val="nil"/>
          <w:bottom w:val="nil"/>
          <w:right w:val="nil"/>
          <w:between w:val="nil"/>
        </w:pBdr>
        <w:spacing w:before="240" w:after="240" w:line="259"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color w:val="000000" w:themeColor="text1"/>
        </w:rPr>
        <w:lastRenderedPageBreak/>
        <w:t xml:space="preserve">Subprograma: </w:t>
      </w:r>
      <w:r w:rsidRPr="00E06668">
        <w:rPr>
          <w:rFonts w:ascii="Palatino Linotype" w:eastAsia="Palatino Linotype" w:hAnsi="Palatino Linotype" w:cs="Palatino Linotype"/>
          <w:color w:val="000000" w:themeColor="text1"/>
        </w:rPr>
        <w:t>subconjunto del programa que reviste las mismas características y tiene la finalidad de agrupar los proyectos con base en objetivos y metas específicas, que identifican un logro o un beneficio producto del programa.</w:t>
      </w:r>
    </w:p>
    <w:p w14:paraId="750B73B7" w14:textId="77777777" w:rsidR="00023BFF" w:rsidRPr="00E06668" w:rsidRDefault="00987374" w:rsidP="0037630E">
      <w:pPr>
        <w:numPr>
          <w:ilvl w:val="0"/>
          <w:numId w:val="3"/>
        </w:numPr>
        <w:pBdr>
          <w:top w:val="nil"/>
          <w:left w:val="nil"/>
          <w:bottom w:val="nil"/>
          <w:right w:val="nil"/>
          <w:between w:val="nil"/>
        </w:pBdr>
        <w:spacing w:before="240" w:after="240" w:line="259"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color w:val="000000" w:themeColor="text1"/>
        </w:rPr>
        <w:t xml:space="preserve">Proyecto: </w:t>
      </w:r>
      <w:r w:rsidRPr="00E06668">
        <w:rPr>
          <w:rFonts w:ascii="Palatino Linotype" w:eastAsia="Palatino Linotype" w:hAnsi="Palatino Linotype" w:cs="Palatino Linotype"/>
          <w:color w:val="000000" w:themeColor="text1"/>
        </w:rPr>
        <w:t xml:space="preserve">conjunto de actividades afines y coherentes que responden al logro de los objetivos del Programa y del Subprograma, en el que se definen metas y recursos para cada unidad ejecutora que lo lleva a cabo. </w:t>
      </w:r>
    </w:p>
    <w:p w14:paraId="53633900" w14:textId="77777777" w:rsidR="00023BFF" w:rsidRPr="00E06668" w:rsidRDefault="00023BFF" w:rsidP="0037630E">
      <w:pPr>
        <w:pBdr>
          <w:top w:val="nil"/>
          <w:left w:val="nil"/>
          <w:bottom w:val="nil"/>
          <w:right w:val="nil"/>
          <w:between w:val="nil"/>
        </w:pBdr>
        <w:spacing w:before="240" w:after="240" w:line="259" w:lineRule="auto"/>
        <w:jc w:val="both"/>
        <w:rPr>
          <w:rFonts w:ascii="Palatino Linotype" w:eastAsia="Palatino Linotype" w:hAnsi="Palatino Linotype" w:cs="Palatino Linotype"/>
          <w:color w:val="000000" w:themeColor="text1"/>
        </w:rPr>
      </w:pPr>
    </w:p>
    <w:p w14:paraId="208EA93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Conforme a lo anterior, se advierte que el presupuesto de egresos, para la clasificación de los gastos debe utilizar como herramienta la estructura programática sugerida por el Acuerdo de clasificación funcional, para lo cual se deben identificar </w:t>
      </w:r>
      <w:r w:rsidRPr="00E06668">
        <w:rPr>
          <w:rFonts w:ascii="Palatino Linotype" w:eastAsia="Palatino Linotype" w:hAnsi="Palatino Linotype" w:cs="Palatino Linotype"/>
          <w:b/>
          <w:color w:val="000000" w:themeColor="text1"/>
          <w:u w:val="single"/>
        </w:rPr>
        <w:t>los proyectos</w:t>
      </w:r>
      <w:r w:rsidRPr="00E06668">
        <w:rPr>
          <w:rFonts w:ascii="Palatino Linotype" w:eastAsia="Palatino Linotype" w:hAnsi="Palatino Linotype" w:cs="Palatino Linotype"/>
          <w:color w:val="000000" w:themeColor="text1"/>
        </w:rPr>
        <w:t xml:space="preserve"> que tendrán los egresos conforme a la estructura programática propuesta.</w:t>
      </w:r>
    </w:p>
    <w:p w14:paraId="1BFE7242"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0B720833"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Aunado a ello, la Tesorería, con base en la información proporcionada en el formato </w:t>
      </w:r>
      <w:r w:rsidRPr="00E06668">
        <w:rPr>
          <w:rFonts w:ascii="Palatino Linotype" w:eastAsia="Palatino Linotype" w:hAnsi="Palatino Linotype" w:cs="Palatino Linotype"/>
          <w:b/>
          <w:color w:val="000000" w:themeColor="text1"/>
        </w:rPr>
        <w:t>PbRM-04a,</w:t>
      </w:r>
      <w:r w:rsidRPr="00E06668">
        <w:rPr>
          <w:rFonts w:ascii="Palatino Linotype" w:eastAsia="Palatino Linotype" w:hAnsi="Palatino Linotype" w:cs="Palatino Linotype"/>
          <w:color w:val="000000" w:themeColor="text1"/>
        </w:rPr>
        <w:t xml:space="preserve"> deberá integrar el siguiente formato Presupuesto de Egresos por Objeto del Gasto y Dependencia General PbRM 04b, en el cual deberá identificar el gasto a nivel de dependencia general por partida del gasto, </w:t>
      </w:r>
      <w:r w:rsidRPr="00E06668">
        <w:rPr>
          <w:rFonts w:ascii="Palatino Linotype" w:eastAsia="Palatino Linotype" w:hAnsi="Palatino Linotype" w:cs="Palatino Linotype"/>
          <w:b/>
          <w:color w:val="000000" w:themeColor="text1"/>
        </w:rPr>
        <w:t>con calendarización mensual y total anual</w:t>
      </w:r>
      <w:r w:rsidRPr="00E06668">
        <w:rPr>
          <w:rFonts w:ascii="Palatino Linotype" w:eastAsia="Palatino Linotype" w:hAnsi="Palatino Linotype" w:cs="Palatino Linotype"/>
          <w:color w:val="000000" w:themeColor="text1"/>
        </w:rPr>
        <w:t>.</w:t>
      </w:r>
    </w:p>
    <w:p w14:paraId="30B1452D"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1BB78F1D"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3.3.1. Formatos que integran el Proyecto de Presupuesto de Egresos. </w:t>
      </w:r>
    </w:p>
    <w:p w14:paraId="6BFA151D"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7408E19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Una vez recopilada la información del Anteproyecto de Presupuesto de Egresos por la Tesorería y la UIPPE o su equivalente, mediante los formatos del Programa Anual (PbRM-01 en todas sus series), así como del Presupuesto de Egresos Detallado (PbRM-04a), se integrará el Proyecto de Presupuesto de Egresos. </w:t>
      </w:r>
    </w:p>
    <w:p w14:paraId="13C4030E"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61B5DA6B"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 </w:t>
      </w:r>
    </w:p>
    <w:p w14:paraId="18892CC4"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61871246"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Formatos del Programa Anual PbRM-01 en todas sus series, así como el PbRM-02a </w:t>
      </w:r>
      <w:r w:rsidRPr="00E06668">
        <w:rPr>
          <w:rFonts w:ascii="Palatino Linotype" w:eastAsia="Palatino Linotype" w:hAnsi="Palatino Linotype" w:cs="Palatino Linotype"/>
          <w:b/>
          <w:i/>
          <w:color w:val="000000" w:themeColor="text1"/>
          <w:u w:val="single"/>
        </w:rPr>
        <w:t>“Calendarización de metas de actividad</w:t>
      </w:r>
      <w:r w:rsidRPr="00E06668">
        <w:rPr>
          <w:rFonts w:ascii="Palatino Linotype" w:eastAsia="Palatino Linotype" w:hAnsi="Palatino Linotype" w:cs="Palatino Linotype"/>
          <w:color w:val="000000" w:themeColor="text1"/>
        </w:rPr>
        <w:t xml:space="preserve">”, el cual tiene por objeto identificar trimestralmente la ejecución de la meta anual, la cual proviene del formato PbRM-01c. </w:t>
      </w:r>
    </w:p>
    <w:p w14:paraId="15D4F4AE"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25BB643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 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21017EBC"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5167AE7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Presupuesto de Egresos por Objeto del Gasto y Dependencia General PbRM-04b. </w:t>
      </w:r>
    </w:p>
    <w:p w14:paraId="119CDF9A"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A3ADEA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En este formato se integran los conceptos por partida específica, y concentra la suma de los formatos de Presupuesto de Egresos detallado (PbRM-04a) a nivel de Dependencia General, que fijaran las bases para sustentar la asignación de recursos, como se muestra a continuación de la inserción de pantalla que se muestra:</w:t>
      </w:r>
    </w:p>
    <w:p w14:paraId="4F7C7FFD" w14:textId="77777777" w:rsidR="00023BFF" w:rsidRPr="00E06668" w:rsidRDefault="00023BFF" w:rsidP="0037630E">
      <w:pPr>
        <w:spacing w:line="360" w:lineRule="auto"/>
        <w:jc w:val="both"/>
        <w:rPr>
          <w:rFonts w:ascii="Palatino Linotype" w:eastAsia="Palatino Linotype" w:hAnsi="Palatino Linotype" w:cs="Palatino Linotype"/>
          <w:b/>
          <w:color w:val="000000" w:themeColor="text1"/>
          <w:u w:val="single"/>
        </w:rPr>
      </w:pPr>
    </w:p>
    <w:p w14:paraId="7646E626" w14:textId="77777777" w:rsidR="00023BFF" w:rsidRPr="00E06668" w:rsidRDefault="00987374" w:rsidP="0037630E">
      <w:pPr>
        <w:spacing w:line="360" w:lineRule="auto"/>
        <w:jc w:val="center"/>
        <w:rPr>
          <w:rFonts w:ascii="Palatino Linotype" w:eastAsia="Palatino Linotype" w:hAnsi="Palatino Linotype" w:cs="Palatino Linotype"/>
          <w:b/>
          <w:color w:val="000000" w:themeColor="text1"/>
          <w:u w:val="single"/>
        </w:rPr>
      </w:pPr>
      <w:r w:rsidRPr="00E06668">
        <w:rPr>
          <w:rFonts w:ascii="Palatino Linotype" w:eastAsia="Palatino Linotype" w:hAnsi="Palatino Linotype" w:cs="Palatino Linotype"/>
          <w:b/>
          <w:noProof/>
          <w:color w:val="000000" w:themeColor="text1"/>
          <w:u w:val="single"/>
          <w:lang w:val="es-MX" w:eastAsia="es-MX"/>
        </w:rPr>
        <w:lastRenderedPageBreak/>
        <w:drawing>
          <wp:inline distT="114300" distB="114300" distL="114300" distR="114300" wp14:anchorId="2CC2B1EC" wp14:editId="44306EB2">
            <wp:extent cx="2587795" cy="1554806"/>
            <wp:effectExtent l="0" t="0" r="0" b="0"/>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584" t="2562" r="5279" b="2405"/>
                    <a:stretch>
                      <a:fillRect/>
                    </a:stretch>
                  </pic:blipFill>
                  <pic:spPr>
                    <a:xfrm>
                      <a:off x="0" y="0"/>
                      <a:ext cx="2587795" cy="1554806"/>
                    </a:xfrm>
                    <a:prstGeom prst="rect">
                      <a:avLst/>
                    </a:prstGeom>
                    <a:ln/>
                  </pic:spPr>
                </pic:pic>
              </a:graphicData>
            </a:graphic>
          </wp:inline>
        </w:drawing>
      </w:r>
    </w:p>
    <w:p w14:paraId="18F82676" w14:textId="77777777" w:rsidR="00023BFF" w:rsidRPr="00E06668" w:rsidRDefault="00023BFF" w:rsidP="0037630E">
      <w:pPr>
        <w:spacing w:line="360" w:lineRule="auto"/>
        <w:jc w:val="center"/>
        <w:rPr>
          <w:rFonts w:ascii="Palatino Linotype" w:eastAsia="Palatino Linotype" w:hAnsi="Palatino Linotype" w:cs="Palatino Linotype"/>
          <w:b/>
          <w:color w:val="000000" w:themeColor="text1"/>
          <w:u w:val="single"/>
        </w:rPr>
      </w:pPr>
    </w:p>
    <w:p w14:paraId="02E82AA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En este sentido el Presupuesto de Egresos emitido por la Tesorería y la UIPPE o su equivalente, realizan mediante los formatos del Programa Anual (PbRM-01 en todas sus series), así como del Presupuesto de Egresos Detallado (PbRM-04a), que se integrará el Proyecto de Presupuesto de Egresos, con base en la información proporcionada por cada una de las Dependencias Generales y Organismos, que serán la base para sustentar la asignación de los recursos, para su presentación y aprobación por el Ayuntamiento en sesión de Cabildo en el que además se integrarán los Formatos del Programa Anual PbRM-01 en todas sus series, así como el PbRM-02a </w:t>
      </w:r>
      <w:r w:rsidRPr="00E06668">
        <w:rPr>
          <w:rFonts w:ascii="Palatino Linotype" w:eastAsia="Palatino Linotype" w:hAnsi="Palatino Linotype" w:cs="Palatino Linotype"/>
          <w:b/>
          <w:i/>
          <w:color w:val="000000" w:themeColor="text1"/>
          <w:u w:val="single"/>
        </w:rPr>
        <w:t>“Calendarización de metas de actividad</w:t>
      </w:r>
      <w:r w:rsidRPr="00E06668">
        <w:rPr>
          <w:rFonts w:ascii="Palatino Linotype" w:eastAsia="Palatino Linotype" w:hAnsi="Palatino Linotype" w:cs="Palatino Linotype"/>
          <w:color w:val="000000" w:themeColor="text1"/>
        </w:rPr>
        <w:t>”, el Presupuesto de Egresos Detallado PbRM-04a, a efecto de sustentar la asignación de recursos.</w:t>
      </w:r>
    </w:p>
    <w:p w14:paraId="1FB8FB79"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16940A48"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En tal sentido, se concluye que 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cuenta con las atribuciones necesarias por medio de la Tesorería Municipal para contar con los documentos que den cuenta de los gastos u objetos para los cuales fue asignado el recurso federal FORTAMUN  para loa ejercicios fiscales 2021, 2022, 2023 y 2024, por lo que, para colmar el derecho de acceso a la información del </w:t>
      </w:r>
      <w:r w:rsidRPr="00E06668">
        <w:rPr>
          <w:rFonts w:ascii="Palatino Linotype" w:eastAsia="Palatino Linotype" w:hAnsi="Palatino Linotype" w:cs="Palatino Linotype"/>
          <w:b/>
          <w:color w:val="000000" w:themeColor="text1"/>
        </w:rPr>
        <w:t xml:space="preserve">RECURRENTE </w:t>
      </w: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deberá de hacer la entrega del documento que contenga los gastos y objetos del destinados al recurso federal FORTAMUN. </w:t>
      </w:r>
    </w:p>
    <w:p w14:paraId="6E09B6CB"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lastRenderedPageBreak/>
        <w:t>Ahora bien, por cuanto hace al numeral dos de la solicitud de información, consistente en “</w:t>
      </w:r>
      <w:r w:rsidRPr="00E06668">
        <w:rPr>
          <w:rFonts w:ascii="Palatino Linotype" w:eastAsia="Palatino Linotype" w:hAnsi="Palatino Linotype" w:cs="Palatino Linotype"/>
          <w:b/>
          <w:color w:val="000000" w:themeColor="text1"/>
        </w:rPr>
        <w:t xml:space="preserve">Actas de Cabildo de la aprobación y modificación del ejercicio de dichos recursos”, </w:t>
      </w:r>
      <w:r w:rsidRPr="00E06668">
        <w:rPr>
          <w:rFonts w:ascii="Palatino Linotype" w:eastAsia="Palatino Linotype" w:hAnsi="Palatino Linotype" w:cs="Palatino Linotype"/>
          <w:color w:val="000000" w:themeColor="text1"/>
        </w:rPr>
        <w:t xml:space="preserve">se debe de precisar como primer punto que 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no turno la solicitud de información a todas las áreas competentes del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toda vez que le versar este punto de la solicitud de información en Actas de Cabildo, se debió de turnar la solicitud de información a la Secretaría del Ayuntamiento, de acuerdo con lo siguiente. </w:t>
      </w:r>
    </w:p>
    <w:p w14:paraId="05B67605"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b/>
          <w:color w:val="000000" w:themeColor="text1"/>
        </w:rPr>
      </w:pPr>
    </w:p>
    <w:p w14:paraId="43DA636D"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En esa línea, el artículo 50 del Bando Municipal del Ayuntamiento de Cuautitlán, regula que la Secretaría del Ayuntamiento cuenta con las siguientes atribuciones. </w:t>
      </w:r>
    </w:p>
    <w:p w14:paraId="2C251C9F" w14:textId="77777777" w:rsidR="00023BFF" w:rsidRPr="00E06668" w:rsidRDefault="00987374" w:rsidP="0037630E">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noProof/>
          <w:color w:val="000000" w:themeColor="text1"/>
          <w:lang w:val="es-MX" w:eastAsia="es-MX"/>
        </w:rPr>
        <w:drawing>
          <wp:inline distT="0" distB="0" distL="0" distR="0" wp14:anchorId="111372D7" wp14:editId="32296338">
            <wp:extent cx="3500944" cy="3402705"/>
            <wp:effectExtent l="0" t="0" r="0" b="0"/>
            <wp:docPr id="1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500944" cy="3402705"/>
                    </a:xfrm>
                    <a:prstGeom prst="rect">
                      <a:avLst/>
                    </a:prstGeom>
                    <a:ln/>
                  </pic:spPr>
                </pic:pic>
              </a:graphicData>
            </a:graphic>
          </wp:inline>
        </w:drawing>
      </w:r>
    </w:p>
    <w:p w14:paraId="26C7D94E"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b/>
          <w:color w:val="000000" w:themeColor="text1"/>
        </w:rPr>
      </w:pPr>
    </w:p>
    <w:p w14:paraId="5BE83B22"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De lo anterior, se colige que la Secretaría del Ayuntamiento es el área encargada de atender este punto de la solicitud de información, situación por la cual se colige que </w:t>
      </w:r>
      <w:r w:rsidRPr="00E06668">
        <w:rPr>
          <w:rFonts w:ascii="Palatino Linotype" w:eastAsia="Palatino Linotype" w:hAnsi="Palatino Linotype" w:cs="Palatino Linotype"/>
          <w:color w:val="000000" w:themeColor="text1"/>
        </w:rPr>
        <w:lastRenderedPageBreak/>
        <w:t xml:space="preserve">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no turno la solicitud de información a todas las áreas habilitadas del </w:t>
      </w:r>
      <w:r w:rsidRPr="00E06668">
        <w:rPr>
          <w:rFonts w:ascii="Palatino Linotype" w:eastAsia="Palatino Linotype" w:hAnsi="Palatino Linotype" w:cs="Palatino Linotype"/>
          <w:b/>
          <w:color w:val="000000" w:themeColor="text1"/>
        </w:rPr>
        <w:t xml:space="preserve">SUJETO OBLIGADO. </w:t>
      </w:r>
    </w:p>
    <w:p w14:paraId="77317139"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3ED18AC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Ahora bien, el siguiente artículo de la Constitución Política del Estado Libre y Soberano de México regula lo siguiente, en cuanto al presupuesto de egresos e ingresos y su modificación por el Cabildo. </w:t>
      </w:r>
    </w:p>
    <w:p w14:paraId="674074F2"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Artículo 125.-</w:t>
      </w:r>
      <w:r w:rsidRPr="00E06668">
        <w:rPr>
          <w:rFonts w:ascii="Palatino Linotype" w:eastAsia="Palatino Linotype" w:hAnsi="Palatino Linotype" w:cs="Palatino Linotype"/>
          <w:i/>
          <w:color w:val="000000" w:themeColor="text1"/>
        </w:rPr>
        <w:t xml:space="preserve"> Los municipios administrarán libremente su hacienda, la cual se formará de los rendimientos de los bienes que les pertenezcan, así como de las contribuciones y otros ingresos que la ley establezca, y en todo caso: </w:t>
      </w:r>
    </w:p>
    <w:p w14:paraId="2ED367AB" w14:textId="77777777" w:rsidR="00023BFF" w:rsidRPr="00E06668" w:rsidRDefault="00987374" w:rsidP="0037630E">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Percibirán las contribuciones, incluyendo tasas adicionales sobre la propiedad inmobiliaria, de su fraccionamiento, división, consolidación, traslación y mejora, así como las que tengan como base el cambio del valor de los inmuebles; Los municipios podrán celebrar convenios con el Estado, para que éste se haga cargo de algunas de las funciones relacionadas con la administración de esas contribuciones; </w:t>
      </w:r>
    </w:p>
    <w:p w14:paraId="7F3CD958"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II. Las participaciones federales que serán cubiertas por la Federación a los municipios, con arreglo a las bases, montos y plazos que anualmente determine la Legislatura; </w:t>
      </w:r>
    </w:p>
    <w:p w14:paraId="5C6AF715"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III. Los ingresos derivados de la prestación de los servicios públicos a su cargo. </w:t>
      </w:r>
    </w:p>
    <w:p w14:paraId="0E95D30C"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Las leyes del Estado no podrán establecer exenciones o subsidios en favor de persona o institución alguna, respecto de las contribuciones anteriormente citadas. Sólo estarán exentos los bienes de dominio público de la Federación, del Estado y los municipios. Los bienes públicos que sean utilizados por organismos auxiliares, fideicomisos públicos o por particulares bajo cualquier título, para fines administrativos o propósitos distintos a los de su objeto público, causarán las mencionadas contribuciones. </w:t>
      </w:r>
    </w:p>
    <w:p w14:paraId="24CE34D9"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las leyes de la materia. </w:t>
      </w:r>
    </w:p>
    <w:p w14:paraId="15CE393C"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 xml:space="preserve">Los Ayuntamientos podrán celebrar sesiones extraordinarias de cabildo cuando la Ley de ingresos aprobada por la Legislatura, implique adecuaciones a su Presupuesto de Egresos, asi como por la asignación de las participaciones y aportaciones federales y estatales. Estas sesiones tendrán como único objeto concordar con el Presupuesto de Egresos. La Presidenta o el Presidente Municipal, promulgará y publicará el Presupuesto </w:t>
      </w:r>
      <w:r w:rsidRPr="00E06668">
        <w:rPr>
          <w:rFonts w:ascii="Palatino Linotype" w:eastAsia="Palatino Linotype" w:hAnsi="Palatino Linotype" w:cs="Palatino Linotype"/>
          <w:b/>
          <w:i/>
          <w:color w:val="000000" w:themeColor="text1"/>
        </w:rPr>
        <w:lastRenderedPageBreak/>
        <w:t xml:space="preserve">de Egresos Municipal, a más tardar el día 25 de febrero de cada año debiendo enviarlo al Órgano Superior de Fiscalización en la misma fecha. </w:t>
      </w:r>
    </w:p>
    <w:p w14:paraId="23766274"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El Presupuesto deberá incluir los tabuladores desglosados de las remuneraciones que perciban las y los servidores públicos municipales, sujetándose a lo dispuesto en el artículo 147 de esta Constitución. </w:t>
      </w:r>
    </w:p>
    <w:p w14:paraId="0FABC3B3"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Los recursos que integran la hacienda municipal serán ejercidos en forma directa por los ayuntamientos, o por quien ellos autoricen, conforme a la ley, bajo los principios de eficiencia, eficacia, economía, transparencia y honradez</w:t>
      </w:r>
    </w:p>
    <w:p w14:paraId="4B7F6F69"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72E1F0A0"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De lo anterior, se colige que Ayuntamiento de Cuautitlán por medio de sesiones extraordinarias de Cabildo pueden realizar adecuaciones al Presupuesto de Egresos e Ingresos cuando la Ley de Ingresos aprobada para el ejercicio fiscal entrante implique modificaciones, así como también por la asignación de las participaciones y aportaciones federales y estatales, en este caso el del recurso federal FORTAMUN para los ejercicios fiscales 2021, 2022, 2023 y 2024. </w:t>
      </w:r>
    </w:p>
    <w:p w14:paraId="60D91007"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0248B796"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En esa línea, se determina que dentro de los archivos pudiera existir la información solicitada, sin embargo para el caso de que no se hubieran aprobados las modificaciones al recurso federal FORTAMUN para los ejercicios fiscales 2021, 2022, 2023 y 2024, bastará con que 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lo haga del conocimiento del </w:t>
      </w:r>
      <w:r w:rsidRPr="00E06668">
        <w:rPr>
          <w:rFonts w:ascii="Palatino Linotype" w:eastAsia="Palatino Linotype" w:hAnsi="Palatino Linotype" w:cs="Palatino Linotype"/>
          <w:b/>
          <w:color w:val="000000" w:themeColor="text1"/>
        </w:rPr>
        <w:t xml:space="preserve">RECURRENTE </w:t>
      </w:r>
      <w:r w:rsidRPr="00E06668">
        <w:rPr>
          <w:rFonts w:ascii="Palatino Linotype" w:eastAsia="Palatino Linotype" w:hAnsi="Palatino Linotype" w:cs="Palatino Linotype"/>
          <w:color w:val="000000" w:themeColor="text1"/>
        </w:rPr>
        <w:t xml:space="preserve">de conformidad con el artículo 19 párrafo segundo de la Ley de Transparencia y Acceso a la Información Pública del Estado de México y Municipios. </w:t>
      </w:r>
    </w:p>
    <w:p w14:paraId="3AB79D34"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3116B813"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Ahora bien, por cuanto hace al numeral tres de la solicitud de información consistente en  “</w:t>
      </w:r>
      <w:r w:rsidRPr="00E06668">
        <w:rPr>
          <w:rFonts w:ascii="Palatino Linotype" w:eastAsia="Palatino Linotype" w:hAnsi="Palatino Linotype" w:cs="Palatino Linotype"/>
          <w:b/>
          <w:color w:val="000000" w:themeColor="text1"/>
        </w:rPr>
        <w:t xml:space="preserve">Propuesta que se aprobó en el Proyecto de Presupuesto del 2025”, </w:t>
      </w:r>
      <w:r w:rsidRPr="00E06668">
        <w:rPr>
          <w:rFonts w:ascii="Palatino Linotype" w:eastAsia="Palatino Linotype" w:hAnsi="Palatino Linotype" w:cs="Palatino Linotype"/>
          <w:color w:val="000000" w:themeColor="text1"/>
        </w:rPr>
        <w:t xml:space="preserve">se debe de analizar lo siguiente. </w:t>
      </w:r>
    </w:p>
    <w:p w14:paraId="4FA075C3"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b/>
          <w:color w:val="000000" w:themeColor="text1"/>
        </w:rPr>
      </w:pPr>
    </w:p>
    <w:p w14:paraId="59D290E8"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lastRenderedPageBreak/>
        <w:t xml:space="preserve">En esa línea, se debe de determinar que el documento que colma de manera enunciativa más no limitativa la pretensión del </w:t>
      </w:r>
      <w:r w:rsidRPr="00E06668">
        <w:rPr>
          <w:rFonts w:ascii="Palatino Linotype" w:eastAsia="Palatino Linotype" w:hAnsi="Palatino Linotype" w:cs="Palatino Linotype"/>
          <w:b/>
          <w:color w:val="000000" w:themeColor="text1"/>
        </w:rPr>
        <w:t xml:space="preserve">RECURRENTE </w:t>
      </w:r>
      <w:r w:rsidRPr="00E06668">
        <w:rPr>
          <w:rFonts w:ascii="Palatino Linotype" w:eastAsia="Palatino Linotype" w:hAnsi="Palatino Linotype" w:cs="Palatino Linotype"/>
          <w:color w:val="000000" w:themeColor="text1"/>
        </w:rPr>
        <w:t xml:space="preserve">es la Propuesta del Presupuesto de Egresos para el ejercicio fiscal 2025. </w:t>
      </w:r>
    </w:p>
    <w:p w14:paraId="7E0DF0AA"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b/>
          <w:color w:val="000000" w:themeColor="text1"/>
        </w:rPr>
      </w:pPr>
    </w:p>
    <w:p w14:paraId="77D6A889"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Seguidamente, el artículo 31 de la Ley Orgánica Municipal, regula que los Ayuntamientos tienen las siguientes atribuciones. </w:t>
      </w:r>
    </w:p>
    <w:p w14:paraId="562AC12C"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Artículo 31.- Son atribuciones de los ayuntamientos </w:t>
      </w:r>
    </w:p>
    <w:p w14:paraId="4141A96D"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(I-XVIII)</w:t>
      </w:r>
    </w:p>
    <w:p w14:paraId="0F0D83E1"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14891AF1"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6ADB5EF9"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7CD764F9"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14:paraId="6E49A1A9"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 xml:space="preserve">Los ayuntamientos podrán promover el financiamiento de proyectos productivos de las mujeres emprendedoras. </w:t>
      </w:r>
    </w:p>
    <w:p w14:paraId="19CBBE51"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(XX- XLVIII)</w:t>
      </w:r>
    </w:p>
    <w:p w14:paraId="3850EEE3"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b/>
          <w:color w:val="000000" w:themeColor="text1"/>
        </w:rPr>
      </w:pPr>
    </w:p>
    <w:p w14:paraId="13E93C8E" w14:textId="0318A6DF"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De lo anterior, se colige que el Presupuesto de </w:t>
      </w:r>
      <w:r w:rsidR="008E497F" w:rsidRPr="00E06668">
        <w:rPr>
          <w:rFonts w:ascii="Palatino Linotype" w:eastAsia="Palatino Linotype" w:hAnsi="Palatino Linotype" w:cs="Palatino Linotype"/>
          <w:color w:val="000000" w:themeColor="text1"/>
        </w:rPr>
        <w:t>Egresos,</w:t>
      </w:r>
      <w:r w:rsidRPr="00E06668">
        <w:rPr>
          <w:rFonts w:ascii="Palatino Linotype" w:eastAsia="Palatino Linotype" w:hAnsi="Palatino Linotype" w:cs="Palatino Linotype"/>
          <w:color w:val="000000" w:themeColor="text1"/>
        </w:rPr>
        <w:t xml:space="preserve"> debe de aprobarse a más tardar el veinte de diciembre del ejercicio fiscal que esté por concluir, sin embargo si este </w:t>
      </w:r>
      <w:r w:rsidRPr="00E06668">
        <w:rPr>
          <w:rFonts w:ascii="Palatino Linotype" w:eastAsia="Palatino Linotype" w:hAnsi="Palatino Linotype" w:cs="Palatino Linotype"/>
          <w:color w:val="000000" w:themeColor="text1"/>
        </w:rPr>
        <w:lastRenderedPageBreak/>
        <w:t xml:space="preserve">no se hubiera emitido aún estará vigente el del año inmediato anterior hasta el veintiocho o veintinueve de febrero del ejercicio fiscal siguiente. </w:t>
      </w:r>
    </w:p>
    <w:p w14:paraId="75C4CF00"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1A4634C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En esa línea, de conformidad con la Ley de Ingresos de los Municipios del Estado de México Para El Ejercicio Fiscal 2025, publicada en la Gaceta Oficial de Gobierno el 20 de Diciembre de 2024, considera el recurso federal FORTAMUN como parte de los ingresos de los municipios para el ejercicio fiscal 2025, tal y como se observa a continuación. </w:t>
      </w:r>
    </w:p>
    <w:p w14:paraId="126380DA"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b/>
          <w:color w:val="000000" w:themeColor="text1"/>
        </w:rPr>
      </w:pPr>
    </w:p>
    <w:p w14:paraId="0E52D469" w14:textId="77777777" w:rsidR="00023BFF" w:rsidRPr="00E06668" w:rsidRDefault="00987374" w:rsidP="0037630E">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noProof/>
          <w:color w:val="000000" w:themeColor="text1"/>
          <w:lang w:val="es-MX" w:eastAsia="es-MX"/>
        </w:rPr>
        <w:drawing>
          <wp:inline distT="0" distB="0" distL="0" distR="0" wp14:anchorId="78D02F43" wp14:editId="65B207F6">
            <wp:extent cx="4723428" cy="1091871"/>
            <wp:effectExtent l="0" t="0" r="0" b="0"/>
            <wp:docPr id="1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723428" cy="1091871"/>
                    </a:xfrm>
                    <a:prstGeom prst="rect">
                      <a:avLst/>
                    </a:prstGeom>
                    <a:ln/>
                  </pic:spPr>
                </pic:pic>
              </a:graphicData>
            </a:graphic>
          </wp:inline>
        </w:drawing>
      </w:r>
    </w:p>
    <w:p w14:paraId="1AAB6FE0" w14:textId="77777777" w:rsidR="00023BFF" w:rsidRPr="00E06668" w:rsidRDefault="00987374" w:rsidP="0037630E">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noProof/>
          <w:color w:val="000000" w:themeColor="text1"/>
          <w:lang w:val="es-MX" w:eastAsia="es-MX"/>
        </w:rPr>
        <w:drawing>
          <wp:inline distT="0" distB="0" distL="0" distR="0" wp14:anchorId="79E8547C" wp14:editId="60FE1D5E">
            <wp:extent cx="2846310" cy="2629861"/>
            <wp:effectExtent l="0" t="0" r="0" b="0"/>
            <wp:docPr id="1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846310" cy="2629861"/>
                    </a:xfrm>
                    <a:prstGeom prst="rect">
                      <a:avLst/>
                    </a:prstGeom>
                    <a:ln/>
                  </pic:spPr>
                </pic:pic>
              </a:graphicData>
            </a:graphic>
          </wp:inline>
        </w:drawing>
      </w:r>
    </w:p>
    <w:p w14:paraId="3DEFB2E6" w14:textId="77777777" w:rsidR="00023BFF" w:rsidRPr="00E06668" w:rsidRDefault="00987374" w:rsidP="0037630E">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noProof/>
          <w:color w:val="000000" w:themeColor="text1"/>
          <w:lang w:val="es-MX" w:eastAsia="es-MX"/>
        </w:rPr>
        <w:lastRenderedPageBreak/>
        <w:drawing>
          <wp:inline distT="0" distB="0" distL="0" distR="0" wp14:anchorId="0FB996F6" wp14:editId="67BBE292">
            <wp:extent cx="1898883" cy="3725374"/>
            <wp:effectExtent l="0" t="0" r="0" b="0"/>
            <wp:docPr id="1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898883" cy="3725374"/>
                    </a:xfrm>
                    <a:prstGeom prst="rect">
                      <a:avLst/>
                    </a:prstGeom>
                    <a:ln/>
                  </pic:spPr>
                </pic:pic>
              </a:graphicData>
            </a:graphic>
          </wp:inline>
        </w:drawing>
      </w:r>
    </w:p>
    <w:p w14:paraId="73800895" w14:textId="77777777" w:rsidR="00E3154F" w:rsidRPr="00E06668" w:rsidRDefault="00E3154F" w:rsidP="0037630E">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2FAF092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 lo anterior, se colige que  dentro de los ingresos a considerar de los Ayuntamientos para el ejercicio fiscal 2025, si se encuentra el recurso federal FORTAMUN, por lo que, al tener que ser contemplado en el Presupuesto de Egresos e Ingresos 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cuenta con el documento que dé cuenta de lo solicitado por el </w:t>
      </w:r>
      <w:r w:rsidRPr="00E06668">
        <w:rPr>
          <w:rFonts w:ascii="Palatino Linotype" w:eastAsia="Palatino Linotype" w:hAnsi="Palatino Linotype" w:cs="Palatino Linotype"/>
          <w:b/>
          <w:color w:val="000000" w:themeColor="text1"/>
        </w:rPr>
        <w:t xml:space="preserve">RECURRENTE. </w:t>
      </w:r>
    </w:p>
    <w:p w14:paraId="69000B91" w14:textId="77777777" w:rsidR="00023BFF" w:rsidRPr="00E06668" w:rsidRDefault="00023BFF" w:rsidP="003763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1C89C0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En esa línea se determina que la aprobación del Presupuesto de Egresos e Ingresos debe de realizarse a más tardar el veinte de diciembre del ejercicio fiscal que esté por concluir, en este caso al presentarse la solicitud de información el ocho de enero de enero  dos mil veinticinco y ser tomada por el sistema SAIMEX el trece de enero subsecuente al </w:t>
      </w:r>
      <w:r w:rsidRPr="00E06668">
        <w:rPr>
          <w:rFonts w:ascii="Palatino Linotype" w:eastAsia="Palatino Linotype" w:hAnsi="Palatino Linotype" w:cs="Palatino Linotype"/>
          <w:color w:val="000000" w:themeColor="text1"/>
        </w:rPr>
        <w:lastRenderedPageBreak/>
        <w:t>haberse encontrado este Órgano Garante en periodo vacacional, es que la información ya debió de haber sido generada.</w:t>
      </w:r>
    </w:p>
    <w:p w14:paraId="4817B1E2"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500FFB0D"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Ahora bien, se debe de referir que la información solicitada por el </w:t>
      </w:r>
      <w:r w:rsidRPr="00E06668">
        <w:rPr>
          <w:rFonts w:ascii="Palatino Linotype" w:eastAsia="Palatino Linotype" w:hAnsi="Palatino Linotype" w:cs="Palatino Linotype"/>
          <w:b/>
          <w:color w:val="000000" w:themeColor="text1"/>
        </w:rPr>
        <w:t xml:space="preserve">RECURRENTE </w:t>
      </w:r>
      <w:r w:rsidRPr="00E06668">
        <w:rPr>
          <w:rFonts w:ascii="Palatino Linotype" w:eastAsia="Palatino Linotype" w:hAnsi="Palatino Linotype" w:cs="Palatino Linotype"/>
          <w:color w:val="000000" w:themeColor="text1"/>
        </w:rPr>
        <w:t xml:space="preserve">puede contener información que deba de ser clasificada como confidencial, situación por la cual de manera enunciativa más no limitativa se analizan los siguientes datos. </w:t>
      </w:r>
    </w:p>
    <w:p w14:paraId="101EF44C"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0E8EC188"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b/>
          <w:color w:val="000000" w:themeColor="text1"/>
        </w:rPr>
        <w:t>Registro Federal de Contribuyentes</w:t>
      </w:r>
      <w:r w:rsidRPr="00E06668">
        <w:rPr>
          <w:rFonts w:ascii="Palatino Linotype" w:eastAsia="Palatino Linotype" w:hAnsi="Palatino Linotype" w:cs="Palatino Linotype"/>
          <w:color w:val="000000" w:themeColor="text1"/>
        </w:rPr>
        <w:t xml:space="preserve"> (RFC)</w:t>
      </w:r>
    </w:p>
    <w:p w14:paraId="331641B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77E50477"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27E93F65"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3A31CA67"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232E9A8D"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w:t>
      </w:r>
      <w:r w:rsidRPr="00E06668">
        <w:rPr>
          <w:rFonts w:ascii="Palatino Linotype" w:eastAsia="Palatino Linotype" w:hAnsi="Palatino Linotype" w:cs="Palatino Linotype"/>
          <w:color w:val="000000" w:themeColor="text1"/>
        </w:rPr>
        <w:lastRenderedPageBreak/>
        <w:t>único propósito de realizar mediante esa clave de identificación, operaciones o actividades de naturaleza fiscal.</w:t>
      </w:r>
    </w:p>
    <w:p w14:paraId="4DEBD17D"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6AD08013"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BCE46AC"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137A125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14:paraId="4F046923"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r w:rsidRPr="00E06668">
        <w:rPr>
          <w:rFonts w:ascii="Palatino Linotype" w:eastAsia="Palatino Linotype" w:hAnsi="Palatino Linotype" w:cs="Palatino Linotype"/>
          <w:b/>
          <w:i/>
          <w:color w:val="000000" w:themeColor="text1"/>
        </w:rPr>
        <w:t>Registro Federal de Contribuyentes (RFC) de personas físicas</w:t>
      </w:r>
      <w:r w:rsidRPr="00E06668">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14:paraId="7742462B" w14:textId="77777777" w:rsidR="00023BFF" w:rsidRPr="00E06668" w:rsidRDefault="00023BFF" w:rsidP="0037630E">
      <w:pPr>
        <w:jc w:val="both"/>
        <w:rPr>
          <w:rFonts w:ascii="Palatino Linotype" w:eastAsia="Palatino Linotype" w:hAnsi="Palatino Linotype" w:cs="Palatino Linotype"/>
          <w:color w:val="000000" w:themeColor="text1"/>
        </w:rPr>
      </w:pPr>
    </w:p>
    <w:p w14:paraId="448AD363"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CDC48DF"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9E44690" w14:textId="77777777" w:rsidR="00023BFF" w:rsidRPr="00E06668" w:rsidRDefault="00987374" w:rsidP="0037630E">
      <w:pPr>
        <w:spacing w:line="360" w:lineRule="auto"/>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color w:val="000000" w:themeColor="text1"/>
        </w:rPr>
        <w:t>Clave única de Registro de Población –CURP-.</w:t>
      </w:r>
    </w:p>
    <w:p w14:paraId="58A397E8"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Nacional de Ciudadanos. </w:t>
      </w:r>
    </w:p>
    <w:p w14:paraId="18CEFD1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57D145A2"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12693A9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9FA3595" w14:textId="77777777" w:rsidR="00023BFF" w:rsidRPr="00E06668" w:rsidRDefault="00023BFF" w:rsidP="0037630E">
      <w:pPr>
        <w:spacing w:line="360" w:lineRule="auto"/>
        <w:jc w:val="both"/>
        <w:rPr>
          <w:rFonts w:ascii="Palatino Linotype" w:eastAsia="Palatino Linotype" w:hAnsi="Palatino Linotype" w:cs="Palatino Linotype"/>
          <w:b/>
          <w:color w:val="000000" w:themeColor="text1"/>
        </w:rPr>
      </w:pPr>
    </w:p>
    <w:p w14:paraId="3EE676D6"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 conformidad con lo precisado por la propia Secretaría de Gobernación en la dirección </w:t>
      </w:r>
      <w:hyperlink r:id="rId19">
        <w:r w:rsidRPr="00E06668">
          <w:rPr>
            <w:rFonts w:ascii="Palatino Linotype" w:eastAsia="Palatino Linotype" w:hAnsi="Palatino Linotype" w:cs="Palatino Linotype"/>
            <w:color w:val="000000" w:themeColor="text1"/>
            <w:u w:val="single"/>
          </w:rPr>
          <w:t>https://consultas.curp.gob.mx/CurpSP/html/informacionecurpPS.html</w:t>
        </w:r>
      </w:hyperlink>
      <w:r w:rsidRPr="00E06668">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E06668">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E06668">
        <w:rPr>
          <w:rFonts w:ascii="Palatino Linotype" w:eastAsia="Palatino Linotype" w:hAnsi="Palatino Linotype" w:cs="Palatino Linotype"/>
          <w:color w:val="000000" w:themeColor="text1"/>
        </w:rPr>
        <w:t>(acta de nacimiento, carta de naturalización o documento migratorio) de la siguiente forma:</w:t>
      </w:r>
    </w:p>
    <w:p w14:paraId="3698341D"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 • El primero y segundo apellidos, así como al nombre de pila.</w:t>
      </w:r>
    </w:p>
    <w:p w14:paraId="08140BBD"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 • La fecha de nacimiento.</w:t>
      </w:r>
    </w:p>
    <w:p w14:paraId="041304EA"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 • El sexo.</w:t>
      </w:r>
    </w:p>
    <w:p w14:paraId="68B041C6"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 • La entidad federativa de nacimiento.</w:t>
      </w:r>
    </w:p>
    <w:p w14:paraId="4CD82EAF"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Los dos últimos elementos de la CURP evitan la duplicidad de la Clave y garantizan su correcta integración.</w:t>
      </w:r>
    </w:p>
    <w:p w14:paraId="04EA0F2B"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2254A1B1"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23CBB834"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Resulta aplicable en la especie, como argumento orientador, el Criterio 3/10, emitido por el INAI.</w:t>
      </w:r>
    </w:p>
    <w:p w14:paraId="476AD60B"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 xml:space="preserve">Clave Única de Registro de Población (CURP) es un dato personal confidencial. </w:t>
      </w:r>
      <w:r w:rsidRPr="00E06668">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8A23956" w14:textId="77777777" w:rsidR="00023BFF" w:rsidRPr="00E06668" w:rsidRDefault="00023BFF" w:rsidP="0037630E">
      <w:pPr>
        <w:jc w:val="both"/>
        <w:rPr>
          <w:rFonts w:ascii="Palatino Linotype" w:eastAsia="Palatino Linotype" w:hAnsi="Palatino Linotype" w:cs="Palatino Linotype"/>
          <w:color w:val="000000" w:themeColor="text1"/>
        </w:rPr>
      </w:pPr>
    </w:p>
    <w:p w14:paraId="327E942D"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De acuerdo con lo anterior, se la clave CURP, es un dato personal confidencial, en términos del artículo 143, fracción I, de la Ley de Transparencia y Acceso a la Información Pública del Estado de México y Municipios.</w:t>
      </w:r>
    </w:p>
    <w:p w14:paraId="3D074675"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5B26D49D" w14:textId="77777777" w:rsidR="00023BFF" w:rsidRPr="00E06668" w:rsidRDefault="00987374" w:rsidP="0037630E">
      <w:pPr>
        <w:spacing w:line="360" w:lineRule="auto"/>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color w:val="000000" w:themeColor="text1"/>
        </w:rPr>
        <w:t>Nombre de persona física, Domicilio</w:t>
      </w:r>
    </w:p>
    <w:p w14:paraId="4674ADB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w:t>
      </w:r>
      <w:r w:rsidRPr="00E06668">
        <w:rPr>
          <w:rFonts w:ascii="Palatino Linotype" w:eastAsia="Palatino Linotype" w:hAnsi="Palatino Linotype" w:cs="Palatino Linotype"/>
          <w:color w:val="000000" w:themeColor="text1"/>
        </w:rPr>
        <w:lastRenderedPageBreak/>
        <w:t xml:space="preserve">Código Civil del Estado de México, de tal suerte, el nombre </w:t>
      </w:r>
      <w:r w:rsidRPr="00E06668">
        <w:rPr>
          <w:rFonts w:ascii="Palatino Linotype" w:eastAsia="Palatino Linotype" w:hAnsi="Palatino Linotype" w:cs="Palatino Linotype"/>
          <w:i/>
          <w:color w:val="000000" w:themeColor="text1"/>
        </w:rPr>
        <w:t>perse</w:t>
      </w:r>
      <w:r w:rsidRPr="00E06668">
        <w:rPr>
          <w:rFonts w:ascii="Palatino Linotype" w:eastAsia="Palatino Linotype" w:hAnsi="Palatino Linotype" w:cs="Palatino Linotype"/>
          <w:color w:val="000000" w:themeColor="text1"/>
        </w:rPr>
        <w:t xml:space="preserve"> es un elemento que hace a una persona física identificada o identificable, por lo que, se considera un dato personal.</w:t>
      </w:r>
    </w:p>
    <w:p w14:paraId="0539E908" w14:textId="77777777" w:rsidR="00023BFF" w:rsidRPr="00E06668" w:rsidRDefault="00023BFF" w:rsidP="0037630E">
      <w:pPr>
        <w:spacing w:line="360" w:lineRule="auto"/>
        <w:jc w:val="both"/>
        <w:rPr>
          <w:rFonts w:ascii="Palatino Linotype" w:eastAsia="Palatino Linotype" w:hAnsi="Palatino Linotype" w:cs="Palatino Linotype"/>
          <w:b/>
          <w:color w:val="000000" w:themeColor="text1"/>
        </w:rPr>
      </w:pPr>
    </w:p>
    <w:p w14:paraId="19AD825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E06668">
        <w:rPr>
          <w:rFonts w:ascii="Palatino Linotype" w:eastAsia="Palatino Linotype" w:hAnsi="Palatino Linotype" w:cs="Palatino Linotype"/>
          <w:b/>
          <w:color w:val="000000" w:themeColor="text1"/>
        </w:rPr>
        <w:t>el domicilio particular</w:t>
      </w:r>
      <w:r w:rsidRPr="00E06668">
        <w:rPr>
          <w:rFonts w:ascii="Palatino Linotype" w:eastAsia="Palatino Linotype" w:hAnsi="Palatino Linotype" w:cs="Palatino Linotype"/>
          <w:color w:val="000000" w:themeColor="text1"/>
        </w:rPr>
        <w:t xml:space="preserve"> es confidencial, en términos del artículo 143, fracción I de la Ley de Transparencia y Acceso a la Información Pública del Estado de México y Municipios. </w:t>
      </w:r>
    </w:p>
    <w:p w14:paraId="306D2FEC"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67D44A0C" w14:textId="77777777" w:rsidR="00023BFF" w:rsidRPr="00E06668" w:rsidRDefault="00987374" w:rsidP="0037630E">
      <w:pPr>
        <w:spacing w:line="360" w:lineRule="auto"/>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color w:val="000000" w:themeColor="text1"/>
        </w:rPr>
        <w:t>Estado civil.</w:t>
      </w:r>
    </w:p>
    <w:p w14:paraId="1551BC0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7BA8570C"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0420722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6BC71EBF"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50F37F85"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b/>
          <w:color w:val="000000" w:themeColor="text1"/>
        </w:rPr>
        <w:t>Teléfono y celular particular.</w:t>
      </w:r>
    </w:p>
    <w:p w14:paraId="69102A0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número asignado a un teléfono particular o celular permite localizar a una persona física identificada o identificable, ya sea a través de un dispositivo móvil o bien, en un lugar como el domicilio. </w:t>
      </w:r>
    </w:p>
    <w:p w14:paraId="2C2942E8"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5F89B7E"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En tales consideraciones, dicho dato personal es susceptible de ser clasificado como confidencial, con fundamento en el artículo 143, fracción I de la Ley de Transparencia y Acceso a la Información Pública.</w:t>
      </w:r>
    </w:p>
    <w:p w14:paraId="6D72091D"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4AD47D4B"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Finalmente se debe se determinar que para el caso de las Actas Cabildo 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 xml:space="preserve">no turno la solicitud de información al área habilitada que es la Secretaría del Ayuntamiento, por lo que, se analiza lo siguiente. </w:t>
      </w:r>
    </w:p>
    <w:p w14:paraId="54D7857B"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6B28945A"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 lo anterior, al artículo 162 de la de la Ley de Transparencia y Acceso a la Información Pública del Estado de México y Municipios, regula que las Unidades de Transparencia deben de garantizar que las solicitudes </w:t>
      </w:r>
      <w:r w:rsidRPr="00E06668">
        <w:rPr>
          <w:rFonts w:ascii="Palatino Linotype" w:eastAsia="Palatino Linotype" w:hAnsi="Palatino Linotype" w:cs="Palatino Linotype"/>
          <w:b/>
          <w:color w:val="000000" w:themeColor="text1"/>
        </w:rPr>
        <w:t>se turnen a todas las Áreas competentes que cuenten con la información o deban tenerla de acuerdo a sus facultades,</w:t>
      </w:r>
      <w:r w:rsidRPr="00E06668">
        <w:rPr>
          <w:rFonts w:ascii="Palatino Linotype" w:eastAsia="Palatino Linotype" w:hAnsi="Palatino Linotype" w:cs="Palatino Linotype"/>
          <w:color w:val="000000" w:themeColor="text1"/>
        </w:rPr>
        <w:t xml:space="preserve"> competencias y funciones, </w:t>
      </w:r>
      <w:r w:rsidRPr="00E06668">
        <w:rPr>
          <w:rFonts w:ascii="Palatino Linotype" w:eastAsia="Palatino Linotype" w:hAnsi="Palatino Linotype" w:cs="Palatino Linotype"/>
          <w:b/>
          <w:color w:val="000000" w:themeColor="text1"/>
          <w:u w:val="single"/>
        </w:rPr>
        <w:t>con el objeto de que realicen una búsqueda exhaustiva y razonable de la información solicitada</w:t>
      </w:r>
      <w:r w:rsidRPr="00E06668">
        <w:rPr>
          <w:rFonts w:ascii="Palatino Linotype" w:eastAsia="Palatino Linotype" w:hAnsi="Palatino Linotype" w:cs="Palatino Linotype"/>
          <w:color w:val="000000" w:themeColor="text1"/>
        </w:rPr>
        <w:t xml:space="preserve">, situación que no fue realizada por el Titular de la Unidad de Transparencia del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w:t>
      </w:r>
    </w:p>
    <w:p w14:paraId="620C7AB4"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A efecto de determinar la legalidad de dicha respuesta, es necesario tomar en cuenta las siguientes disposiciones de la Ley de la materia.</w:t>
      </w:r>
    </w:p>
    <w:p w14:paraId="13CC2D1A"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w:t>
      </w:r>
      <w:r w:rsidRPr="00E06668">
        <w:rPr>
          <w:rFonts w:ascii="Palatino Linotype" w:eastAsia="Palatino Linotype" w:hAnsi="Palatino Linotype" w:cs="Palatino Linotype"/>
          <w:b/>
          <w:i/>
          <w:color w:val="000000" w:themeColor="text1"/>
        </w:rPr>
        <w:t>Artículo 50.</w:t>
      </w:r>
      <w:r w:rsidRPr="00E06668">
        <w:rPr>
          <w:rFonts w:ascii="Palatino Linotype" w:eastAsia="Palatino Linotype" w:hAnsi="Palatino Linotype" w:cs="Palatino Linotype"/>
          <w:i/>
          <w:color w:val="000000" w:themeColor="text1"/>
        </w:rPr>
        <w:t xml:space="preserve"> Los sujetos obligados contarán con un área responsable para la atención de las solicitudes de información, a la que se le denominará Unidad de Transparencia.</w:t>
      </w:r>
    </w:p>
    <w:p w14:paraId="1AEAEC87" w14:textId="77777777" w:rsidR="00023BFF" w:rsidRPr="00E06668" w:rsidRDefault="00023BFF" w:rsidP="0037630E">
      <w:pPr>
        <w:jc w:val="both"/>
        <w:rPr>
          <w:rFonts w:ascii="Palatino Linotype" w:eastAsia="Palatino Linotype" w:hAnsi="Palatino Linotype" w:cs="Palatino Linotype"/>
          <w:i/>
          <w:color w:val="000000" w:themeColor="text1"/>
        </w:rPr>
      </w:pPr>
    </w:p>
    <w:p w14:paraId="4180C5B8"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Artículo 51</w:t>
      </w:r>
      <w:r w:rsidRPr="00E06668">
        <w:rPr>
          <w:rFonts w:ascii="Palatino Linotype" w:eastAsia="Palatino Linotype" w:hAnsi="Palatino Linotype" w:cs="Palatino Linotype"/>
          <w:i/>
          <w:color w:val="000000" w:themeColor="text1"/>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42DF30C" w14:textId="77777777" w:rsidR="00023BFF" w:rsidRPr="00E06668" w:rsidRDefault="00023BFF" w:rsidP="0037630E">
      <w:pPr>
        <w:jc w:val="both"/>
        <w:rPr>
          <w:rFonts w:ascii="Palatino Linotype" w:eastAsia="Palatino Linotype" w:hAnsi="Palatino Linotype" w:cs="Palatino Linotype"/>
          <w:i/>
          <w:color w:val="000000" w:themeColor="text1"/>
        </w:rPr>
      </w:pPr>
    </w:p>
    <w:p w14:paraId="71D1C69C"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Artículo 53</w:t>
      </w:r>
      <w:r w:rsidRPr="00E06668">
        <w:rPr>
          <w:rFonts w:ascii="Palatino Linotype" w:eastAsia="Palatino Linotype" w:hAnsi="Palatino Linotype" w:cs="Palatino Linotype"/>
          <w:i/>
          <w:color w:val="000000" w:themeColor="text1"/>
        </w:rPr>
        <w:t>. Las Unidades de Transparencia tendrán las siguientes funciones:</w:t>
      </w:r>
    </w:p>
    <w:p w14:paraId="17BD31CE"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502C6B4D" w14:textId="77777777" w:rsidR="00023BFF" w:rsidRPr="00E06668" w:rsidRDefault="00987374" w:rsidP="0037630E">
      <w:pP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 xml:space="preserve">II. Recibir, </w:t>
      </w:r>
      <w:r w:rsidRPr="00E06668">
        <w:rPr>
          <w:rFonts w:ascii="Palatino Linotype" w:eastAsia="Palatino Linotype" w:hAnsi="Palatino Linotype" w:cs="Palatino Linotype"/>
          <w:b/>
          <w:i/>
          <w:color w:val="000000" w:themeColor="text1"/>
          <w:u w:val="single"/>
        </w:rPr>
        <w:t>tramitar</w:t>
      </w:r>
      <w:r w:rsidRPr="00E06668">
        <w:rPr>
          <w:rFonts w:ascii="Palatino Linotype" w:eastAsia="Palatino Linotype" w:hAnsi="Palatino Linotype" w:cs="Palatino Linotype"/>
          <w:b/>
          <w:i/>
          <w:color w:val="000000" w:themeColor="text1"/>
        </w:rPr>
        <w:t xml:space="preserve"> y dar respuesta a las solicitudes de acceso a la información;</w:t>
      </w:r>
    </w:p>
    <w:p w14:paraId="531D3D0B"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III. Auxiliar a los particulares en la elaboración de solicitudes de acceso a la información y, en su caso, orientarlos sobre los sujetos obligados competentes conforme a la normatividad aplicable;</w:t>
      </w:r>
    </w:p>
    <w:p w14:paraId="23BBA132" w14:textId="77777777" w:rsidR="00023BFF" w:rsidRPr="00E06668" w:rsidRDefault="00987374" w:rsidP="0037630E">
      <w:pP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IV. Realizar, con efectividad, los trámites internos necesarios para la atención de las solicitudes de acceso a la información;</w:t>
      </w:r>
    </w:p>
    <w:p w14:paraId="7023B89A" w14:textId="77777777" w:rsidR="00023BFF" w:rsidRPr="00E06668" w:rsidRDefault="00987374" w:rsidP="0037630E">
      <w:pP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V. Entregar, en su caso, a los particulares la información solicitada;</w:t>
      </w:r>
    </w:p>
    <w:p w14:paraId="256DEA0D"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VI. Efectuar las notificaciones a los solicitantes;</w:t>
      </w:r>
    </w:p>
    <w:p w14:paraId="04B8C32D"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VII. Proponer al Comité de Transparencia, los procedimientos internos que aseguren la mayor eficiencia en la gestión de las solicitudes de acceso a la información, conforme a la normatividad aplicable;</w:t>
      </w:r>
    </w:p>
    <w:p w14:paraId="3F244FA4"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VIII. Proponer a quien preside el Comité de Transparencia, personal habilitado que sea necesario para recibir y dar trámite a las solicitudes de acceso a la información;</w:t>
      </w:r>
    </w:p>
    <w:p w14:paraId="6F102C8E"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IX. Llevar un registro de las solicitudes de acceso a la información, sus respuestas, resultados, costos de reproducción y envío, resolución a los recursos de revisión que se hayan emitido en contra de sus respuestas y del cumplimiento de las mismas;</w:t>
      </w:r>
    </w:p>
    <w:p w14:paraId="5A8A2597"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X. Presentar ante el Comité, el proyecto de clasificación de información;</w:t>
      </w:r>
    </w:p>
    <w:p w14:paraId="00D1022D"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XI. Promover e implementar políticas de transparencia proactiva procurando su accesibilidad;</w:t>
      </w:r>
    </w:p>
    <w:p w14:paraId="6D4D3689"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XII. Fomentar la transparencia y accesibilidad al interior del sujeto obligado;</w:t>
      </w:r>
    </w:p>
    <w:p w14:paraId="46321CD5"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lastRenderedPageBreak/>
        <w:t>XIII. Hacer del conocimiento de la instancia competente la probable responsabilidad por el incumplimiento de las obligaciones previstas en la presente Ley; y</w:t>
      </w:r>
    </w:p>
    <w:p w14:paraId="0B88EE86"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XIV. Las demás que resulten necesarias para facilitar el acceso a la información y aquellas que se desprenden de la presente Ley y demás disposiciones jurídicas aplicables.</w:t>
      </w:r>
    </w:p>
    <w:p w14:paraId="1F3347AC"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D5165C8"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6BA6A66" w14:textId="77777777" w:rsidR="00023BFF" w:rsidRPr="00E06668" w:rsidRDefault="00023BFF" w:rsidP="0037630E">
      <w:pPr>
        <w:jc w:val="both"/>
        <w:rPr>
          <w:rFonts w:ascii="Palatino Linotype" w:eastAsia="Palatino Linotype" w:hAnsi="Palatino Linotype" w:cs="Palatino Linotype"/>
          <w:i/>
          <w:color w:val="000000" w:themeColor="text1"/>
        </w:rPr>
      </w:pPr>
    </w:p>
    <w:p w14:paraId="38907C22"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Artículo 59</w:t>
      </w:r>
      <w:r w:rsidRPr="00E06668">
        <w:rPr>
          <w:rFonts w:ascii="Palatino Linotype" w:eastAsia="Palatino Linotype" w:hAnsi="Palatino Linotype" w:cs="Palatino Linotype"/>
          <w:i/>
          <w:color w:val="000000" w:themeColor="text1"/>
        </w:rPr>
        <w:t xml:space="preserve">. </w:t>
      </w:r>
      <w:r w:rsidRPr="00E06668">
        <w:rPr>
          <w:rFonts w:ascii="Palatino Linotype" w:eastAsia="Palatino Linotype" w:hAnsi="Palatino Linotype" w:cs="Palatino Linotype"/>
          <w:b/>
          <w:i/>
          <w:color w:val="000000" w:themeColor="text1"/>
        </w:rPr>
        <w:t>Los servidores públicos habilitados</w:t>
      </w:r>
      <w:r w:rsidRPr="00E06668">
        <w:rPr>
          <w:rFonts w:ascii="Palatino Linotype" w:eastAsia="Palatino Linotype" w:hAnsi="Palatino Linotype" w:cs="Palatino Linotype"/>
          <w:i/>
          <w:color w:val="000000" w:themeColor="text1"/>
        </w:rPr>
        <w:t xml:space="preserve"> tendrán las funciones siguientes:</w:t>
      </w:r>
    </w:p>
    <w:p w14:paraId="19F6FD38"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I. Localizar la información que le solicite la Unidad de Transparencia;</w:t>
      </w:r>
    </w:p>
    <w:p w14:paraId="335D1128"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II. Proporcionar la información que obre en los archivos y que le sea solicitada por la Unidad de Transparencia;</w:t>
      </w:r>
    </w:p>
    <w:p w14:paraId="1467EDC5"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III. Apoyar a la Unidad de Transparencia en lo que esta le solicite para el cumplimiento de sus funciones;</w:t>
      </w:r>
    </w:p>
    <w:p w14:paraId="721967EB"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IV. Proporcionar a la Unidad de Transparencia, las modificaciones a la información pública de oficio que obre en su poder;</w:t>
      </w:r>
    </w:p>
    <w:p w14:paraId="53B49BE7"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V. Integrar y presentar al responsable de la Unidad de Transparencia la propuesta de clasificación de información, la cual tendrá los fundamentos y argumentos en que se basa dicha propuesta;</w:t>
      </w:r>
    </w:p>
    <w:p w14:paraId="52CDDEBC"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VI. Verificar, una vez analizado el contenido de la información, que no se encuentre en los supuestos de información clasificada; y</w:t>
      </w:r>
    </w:p>
    <w:p w14:paraId="3EE6A8C4"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VII. Dar cuenta a la Unidad de Transparencia del vencimiento de los plazos de reserva.</w:t>
      </w:r>
    </w:p>
    <w:p w14:paraId="31E53235" w14:textId="77777777" w:rsidR="00023BFF" w:rsidRPr="00E06668" w:rsidRDefault="00023BFF" w:rsidP="0037630E">
      <w:pPr>
        <w:jc w:val="both"/>
        <w:rPr>
          <w:rFonts w:ascii="Palatino Linotype" w:eastAsia="Palatino Linotype" w:hAnsi="Palatino Linotype" w:cs="Palatino Linotype"/>
          <w:i/>
          <w:color w:val="000000" w:themeColor="text1"/>
        </w:rPr>
      </w:pPr>
    </w:p>
    <w:p w14:paraId="40C3EE46" w14:textId="77777777" w:rsidR="00023BFF" w:rsidRPr="00E06668" w:rsidRDefault="00987374" w:rsidP="0037630E">
      <w:pPr>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b/>
          <w:i/>
          <w:color w:val="000000" w:themeColor="text1"/>
        </w:rPr>
        <w:t>Artículo 162</w:t>
      </w:r>
      <w:r w:rsidRPr="00E06668">
        <w:rPr>
          <w:rFonts w:ascii="Palatino Linotype" w:eastAsia="Palatino Linotype" w:hAnsi="Palatino Linotype" w:cs="Palatino Linotype"/>
          <w:i/>
          <w:color w:val="000000" w:themeColor="text1"/>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798D729" w14:textId="77777777" w:rsidR="00023BFF" w:rsidRPr="00E06668" w:rsidRDefault="00023BFF" w:rsidP="0037630E">
      <w:pPr>
        <w:jc w:val="both"/>
        <w:rPr>
          <w:rFonts w:ascii="Palatino Linotype" w:eastAsia="Palatino Linotype" w:hAnsi="Palatino Linotype" w:cs="Palatino Linotype"/>
          <w:i/>
          <w:color w:val="000000" w:themeColor="text1"/>
        </w:rPr>
      </w:pPr>
    </w:p>
    <w:p w14:paraId="7D8310AA"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 la normatividad en cita, se desprende que las Unidades de Transparencia, se erigen como el área responsable en cada Sujeto Obligado que tiene a su cargo la atención </w:t>
      </w:r>
      <w:r w:rsidRPr="00E06668">
        <w:rPr>
          <w:rFonts w:ascii="Palatino Linotype" w:eastAsia="Palatino Linotype" w:hAnsi="Palatino Linotype" w:cs="Palatino Linotype"/>
          <w:color w:val="000000" w:themeColor="text1"/>
        </w:rPr>
        <w:lastRenderedPageBreak/>
        <w:t>de las solicitudes de información que se realicen al amparo de la Ley. El responsable de dicha área funge como enlace entre el</w:t>
      </w:r>
      <w:r w:rsidRPr="00E06668">
        <w:rPr>
          <w:rFonts w:ascii="Palatino Linotype" w:eastAsia="Palatino Linotype" w:hAnsi="Palatino Linotype" w:cs="Palatino Linotype"/>
          <w:b/>
          <w:color w:val="000000" w:themeColor="text1"/>
        </w:rPr>
        <w:t xml:space="preserve"> SUJETO OBLIGADO</w:t>
      </w:r>
      <w:r w:rsidRPr="00E06668">
        <w:rPr>
          <w:rFonts w:ascii="Palatino Linotype" w:eastAsia="Palatino Linotype" w:hAnsi="Palatino Linotype" w:cs="Palatino Linotype"/>
          <w:color w:val="000000" w:themeColor="text1"/>
        </w:rPr>
        <w:t xml:space="preserve"> y los solicitantes, y tiene bajo su responsabilidad el tramitar internamente la solicitud de información.</w:t>
      </w:r>
    </w:p>
    <w:p w14:paraId="2823429E"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6BBF80C9"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 tal manera que, si bien, el Titular de la Unidad de Transparencia dio respuesta a la solicitud de información en cuestión, tenía que haber realizado el procedimiento, de turnar dentro de las áreas que conforman la estructura del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a fin de que el responsable del área diera respuesta a la misma, tal y como lo marca la normatividad invocada, es por ello que debe turnar la solicitud a todas las áreas que y que pudieran generar, administrar o poseer la información requerida por el particular; pues los mismos, tienen como función, buscar, localizar y poseer la información, así como entregarla.</w:t>
      </w:r>
    </w:p>
    <w:p w14:paraId="2CBC939C"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5977936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5B5F8893"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7B075048"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 lo anterior, es de precisar que la información que resulta de interés para el particular obra en los archivos del </w:t>
      </w:r>
      <w:r w:rsidRPr="00E06668">
        <w:rPr>
          <w:rFonts w:ascii="Palatino Linotype" w:eastAsia="Palatino Linotype" w:hAnsi="Palatino Linotype" w:cs="Palatino Linotype"/>
          <w:b/>
          <w:color w:val="000000" w:themeColor="text1"/>
        </w:rPr>
        <w:t xml:space="preserve">SUJETO OBLIGADO </w:t>
      </w:r>
      <w:r w:rsidRPr="00E06668">
        <w:rPr>
          <w:rFonts w:ascii="Palatino Linotype" w:eastAsia="Palatino Linotype" w:hAnsi="Palatino Linotype" w:cs="Palatino Linotype"/>
          <w:color w:val="000000" w:themeColor="text1"/>
        </w:rPr>
        <w:t>y por lo tanto debe proceder a realizar una búsqueda exhaustiva a efecto de proporcionar los documentos donde obre la misma de tal forma que cumpla con los requisitos de la Ley en la materia.</w:t>
      </w:r>
    </w:p>
    <w:p w14:paraId="629FD509"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28BCB64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Conforme a lo anterior, se puede advertir que 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no turnó la solicitud de información a todas  las unidad administrativa habilitadas de conocer de la solicitud de información, por lo que se concluye, que 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 en principio, resulta necesario determinar, que es una investigación con esas características.</w:t>
      </w:r>
    </w:p>
    <w:p w14:paraId="6AA98CDE"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058E210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894DC9C"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1E01DD2"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En ese contexto, de conformidad con los </w:t>
      </w:r>
      <w:r w:rsidRPr="00E06668">
        <w:rPr>
          <w:rFonts w:ascii="Palatino Linotype" w:eastAsia="Palatino Linotype" w:hAnsi="Palatino Linotype" w:cs="Palatino Linotype"/>
          <w:b/>
          <w:color w:val="000000" w:themeColor="text1"/>
        </w:rPr>
        <w:t>criterios 12/10 y 04/19,</w:t>
      </w:r>
      <w:r w:rsidRPr="00E06668">
        <w:rPr>
          <w:rFonts w:ascii="Palatino Linotype" w:eastAsia="Palatino Linotype" w:hAnsi="Palatino Linotype" w:cs="Palatino Linotype"/>
          <w:color w:val="000000" w:themeColor="text1"/>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E06668">
        <w:rPr>
          <w:rFonts w:ascii="Palatino Linotype" w:eastAsia="Palatino Linotype" w:hAnsi="Palatino Linotype" w:cs="Palatino Linotype"/>
          <w:b/>
          <w:color w:val="000000" w:themeColor="text1"/>
        </w:rPr>
        <w:t>elementos suficientes</w:t>
      </w:r>
      <w:r w:rsidRPr="00E06668">
        <w:rPr>
          <w:rFonts w:ascii="Palatino Linotype" w:eastAsia="Palatino Linotype" w:hAnsi="Palatino Linotype" w:cs="Palatino Linotype"/>
          <w:color w:val="000000" w:themeColor="text1"/>
        </w:rPr>
        <w:t xml:space="preserve"> del carácter exhaustivo de la indagación realizada, a saber, los siguientes:</w:t>
      </w:r>
    </w:p>
    <w:p w14:paraId="5E168569" w14:textId="77777777" w:rsidR="00023BFF" w:rsidRPr="00E06668" w:rsidRDefault="00987374" w:rsidP="0037630E">
      <w:pPr>
        <w:numPr>
          <w:ilvl w:val="0"/>
          <w:numId w:val="6"/>
        </w:numPr>
        <w:ind w:left="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Motivación por las que se buscó la información, en determinadas unidades administrativas;</w:t>
      </w:r>
    </w:p>
    <w:p w14:paraId="2108FCA4" w14:textId="77777777" w:rsidR="00023BFF" w:rsidRPr="00E06668" w:rsidRDefault="00987374" w:rsidP="0037630E">
      <w:pPr>
        <w:numPr>
          <w:ilvl w:val="0"/>
          <w:numId w:val="6"/>
        </w:numPr>
        <w:ind w:left="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Los criterios de búsqueda utilizados, y</w:t>
      </w:r>
    </w:p>
    <w:p w14:paraId="70D0DDD7" w14:textId="77777777" w:rsidR="00023BFF" w:rsidRPr="00E06668" w:rsidRDefault="00987374" w:rsidP="0037630E">
      <w:pPr>
        <w:numPr>
          <w:ilvl w:val="0"/>
          <w:numId w:val="6"/>
        </w:numPr>
        <w:ind w:left="0"/>
        <w:jc w:val="both"/>
        <w:rPr>
          <w:rFonts w:ascii="Palatino Linotype" w:eastAsia="Palatino Linotype" w:hAnsi="Palatino Linotype" w:cs="Palatino Linotype"/>
          <w:i/>
          <w:color w:val="000000" w:themeColor="text1"/>
        </w:rPr>
      </w:pPr>
      <w:r w:rsidRPr="00E06668">
        <w:rPr>
          <w:rFonts w:ascii="Palatino Linotype" w:eastAsia="Palatino Linotype" w:hAnsi="Palatino Linotype" w:cs="Palatino Linotype"/>
          <w:i/>
          <w:color w:val="000000" w:themeColor="text1"/>
        </w:rPr>
        <w:t>Las circunstancias que fueron tomadas en cuenta.</w:t>
      </w:r>
    </w:p>
    <w:p w14:paraId="17DB7F23"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5AA92945"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De tales circunstancias, se considera que para que los Sujetos Obligado justifiquen que realizaron una búsqueda exhaustiva y razonable, deben indicar de manera clara, lo siguiente:</w:t>
      </w:r>
    </w:p>
    <w:p w14:paraId="26A127D1" w14:textId="77777777" w:rsidR="00023BFF" w:rsidRPr="00E06668" w:rsidRDefault="00987374" w:rsidP="0037630E">
      <w:pPr>
        <w:numPr>
          <w:ilvl w:val="0"/>
          <w:numId w:val="7"/>
        </w:numPr>
        <w:ind w:left="0" w:firstLine="0"/>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Las áreas donde se buscó la información;</w:t>
      </w:r>
    </w:p>
    <w:p w14:paraId="0F81380C" w14:textId="77777777" w:rsidR="00023BFF" w:rsidRPr="00E06668" w:rsidRDefault="00987374" w:rsidP="0037630E">
      <w:pPr>
        <w:numPr>
          <w:ilvl w:val="0"/>
          <w:numId w:val="7"/>
        </w:numPr>
        <w:ind w:left="0" w:firstLine="0"/>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Tipo de archivos buscados (físicos o electrónicos);</w:t>
      </w:r>
    </w:p>
    <w:p w14:paraId="6B4FE3E5" w14:textId="77777777" w:rsidR="00023BFF" w:rsidRPr="00E06668" w:rsidRDefault="00987374" w:rsidP="0037630E">
      <w:pPr>
        <w:numPr>
          <w:ilvl w:val="0"/>
          <w:numId w:val="7"/>
        </w:numPr>
        <w:ind w:left="0" w:firstLine="0"/>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 xml:space="preserve">Los criterios de búsqueda utilizados, y </w:t>
      </w:r>
    </w:p>
    <w:p w14:paraId="72E6C997" w14:textId="77777777" w:rsidR="00023BFF" w:rsidRPr="00E06668" w:rsidRDefault="00987374" w:rsidP="0037630E">
      <w:pPr>
        <w:numPr>
          <w:ilvl w:val="0"/>
          <w:numId w:val="7"/>
        </w:numPr>
        <w:ind w:left="0" w:firstLine="0"/>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Las circunstancias que fueron tomadas en cuenta.</w:t>
      </w:r>
      <w:r w:rsidRPr="00E06668">
        <w:rPr>
          <w:rFonts w:ascii="Palatino Linotype" w:eastAsia="Palatino Linotype" w:hAnsi="Palatino Linotype" w:cs="Palatino Linotype"/>
          <w:b/>
          <w:i/>
          <w:color w:val="000000" w:themeColor="text1"/>
        </w:rPr>
        <w:tab/>
      </w:r>
    </w:p>
    <w:p w14:paraId="1AD09A5F"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FBEF35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Conforme a lo anterior, este Instituto considera que el </w:t>
      </w:r>
      <w:r w:rsidRPr="00E06668">
        <w:rPr>
          <w:rFonts w:ascii="Palatino Linotype" w:eastAsia="Palatino Linotype" w:hAnsi="Palatino Linotype" w:cs="Palatino Linotype"/>
          <w:b/>
          <w:color w:val="000000" w:themeColor="text1"/>
        </w:rPr>
        <w:t>Ayuntamiento de Cuautitlán</w:t>
      </w:r>
      <w:r w:rsidRPr="00E06668">
        <w:rPr>
          <w:rFonts w:ascii="Palatino Linotype" w:eastAsia="Palatino Linotype" w:hAnsi="Palatino Linotype" w:cs="Palatino Linotype"/>
          <w:color w:val="000000" w:themeColor="text1"/>
        </w:rPr>
        <w:t xml:space="preserve">, no cumplió con ninguno de los requisitos previamente señalados por lo consiguiente no turnó la solicitud de información a las diversas áreas, toda vez que de la respuesta entregada no se pronuncian todos los servidores públicos habilitados, por lo que, no se logró advertir que esta haya realizado una indagación de lo requerido, </w:t>
      </w:r>
      <w:r w:rsidRPr="00E06668">
        <w:rPr>
          <w:rFonts w:ascii="Palatino Linotype" w:eastAsia="Palatino Linotype" w:hAnsi="Palatino Linotype" w:cs="Palatino Linotype"/>
          <w:b/>
          <w:color w:val="000000" w:themeColor="text1"/>
        </w:rPr>
        <w:t>no se indago en documentos físicos o también electrónicos y no se logró desprender los criterios de búsqueda utilizados, pues no precisó cómo realizó la misma.</w:t>
      </w:r>
    </w:p>
    <w:p w14:paraId="6B8B5A93" w14:textId="77777777" w:rsidR="00023BFF" w:rsidRPr="00E06668" w:rsidRDefault="00023BFF" w:rsidP="0037630E">
      <w:pPr>
        <w:spacing w:line="360" w:lineRule="auto"/>
        <w:jc w:val="both"/>
        <w:rPr>
          <w:rFonts w:ascii="Palatino Linotype" w:eastAsia="Palatino Linotype" w:hAnsi="Palatino Linotype" w:cs="Palatino Linotype"/>
          <w:i/>
          <w:color w:val="000000" w:themeColor="text1"/>
        </w:rPr>
      </w:pPr>
    </w:p>
    <w:p w14:paraId="5C1EBC27"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De lo anterior, se concluye que la búsqueda exhaustiva y razonable de la información debe estar sustentada con los respectivos criterios de búsqueda exhaustiva que el sujeto obligado utilizó.</w:t>
      </w:r>
    </w:p>
    <w:p w14:paraId="2224FCA9" w14:textId="77777777" w:rsidR="00023BFF" w:rsidRPr="00E06668" w:rsidRDefault="00023BFF" w:rsidP="0037630E">
      <w:pPr>
        <w:rPr>
          <w:rFonts w:ascii="Palatino Linotype" w:eastAsia="Palatino Linotype" w:hAnsi="Palatino Linotype" w:cs="Palatino Linotype"/>
          <w:color w:val="000000" w:themeColor="text1"/>
        </w:rPr>
      </w:pPr>
    </w:p>
    <w:p w14:paraId="7FFDA6B9"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0F2046A" w14:textId="77777777" w:rsidR="00023BFF" w:rsidRPr="00E06668" w:rsidRDefault="00987374" w:rsidP="0037630E">
      <w:pPr>
        <w:keepNext/>
        <w:keepLines/>
        <w:spacing w:after="160" w:line="360" w:lineRule="auto"/>
        <w:ind w:hanging="708"/>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color w:val="000000" w:themeColor="text1"/>
        </w:rPr>
        <w:t>QUINTO. De la versión pública.</w:t>
      </w:r>
    </w:p>
    <w:p w14:paraId="1FA01E11" w14:textId="77777777" w:rsidR="00023BFF" w:rsidRPr="00E06668" w:rsidRDefault="00987374" w:rsidP="0037630E">
      <w:pPr>
        <w:keepNext/>
        <w:keepLines/>
        <w:numPr>
          <w:ilvl w:val="0"/>
          <w:numId w:val="8"/>
        </w:numPr>
        <w:tabs>
          <w:tab w:val="left" w:pos="284"/>
        </w:tabs>
        <w:spacing w:after="160" w:line="360" w:lineRule="auto"/>
        <w:ind w:left="0" w:firstLine="0"/>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b/>
          <w:color w:val="000000" w:themeColor="text1"/>
        </w:rPr>
        <w:t xml:space="preserve">Nociones generales. </w:t>
      </w:r>
    </w:p>
    <w:p w14:paraId="5CAE378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Debe destacarse, que debido a la información solicitada por el RECURRENTE, respecto de la Acta de Cabildo faltante pueden obrar datos personales susceptibles de </w:t>
      </w:r>
      <w:r w:rsidRPr="00E06668">
        <w:rPr>
          <w:rFonts w:ascii="Palatino Linotype" w:eastAsia="Palatino Linotype" w:hAnsi="Palatino Linotype" w:cs="Palatino Linotype"/>
          <w:color w:val="000000" w:themeColor="text1"/>
        </w:rPr>
        <w:lastRenderedPageBreak/>
        <w:t xml:space="preserve">protegerse, así como información susceptible de clasificarse como confidencial,  por lo que el SUJETO OBLIGADO deberá de hacer la adecuada versión pública, protegiendo los datos que no son susceptibles de ser proporcionados. </w:t>
      </w:r>
    </w:p>
    <w:p w14:paraId="22964A6F" w14:textId="77777777" w:rsidR="00023BFF" w:rsidRPr="00E06668" w:rsidRDefault="00023BFF" w:rsidP="0037630E">
      <w:pPr>
        <w:tabs>
          <w:tab w:val="left" w:pos="0"/>
          <w:tab w:val="left" w:pos="284"/>
        </w:tabs>
        <w:spacing w:line="360" w:lineRule="auto"/>
        <w:jc w:val="both"/>
        <w:rPr>
          <w:rFonts w:ascii="Palatino Linotype" w:eastAsia="Palatino Linotype" w:hAnsi="Palatino Linotype" w:cs="Palatino Linotype"/>
          <w:color w:val="000000" w:themeColor="text1"/>
        </w:rPr>
      </w:pPr>
    </w:p>
    <w:p w14:paraId="7AB243DC"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No pasa desapercibido para este Órgano Garante que los sujetos obligados</w:t>
      </w:r>
      <w:r w:rsidRPr="00E06668">
        <w:rPr>
          <w:rFonts w:ascii="Palatino Linotype" w:eastAsia="Palatino Linotype" w:hAnsi="Palatino Linotype" w:cs="Palatino Linotype"/>
          <w:b/>
          <w:color w:val="000000" w:themeColor="text1"/>
        </w:rPr>
        <w:t xml:space="preserve"> </w:t>
      </w:r>
      <w:r w:rsidRPr="00E06668">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3E25053" w14:textId="77777777" w:rsidR="00023BFF" w:rsidRPr="00E06668" w:rsidRDefault="00023BFF" w:rsidP="0037630E">
      <w:pPr>
        <w:tabs>
          <w:tab w:val="left" w:pos="284"/>
        </w:tabs>
        <w:spacing w:after="160" w:line="360" w:lineRule="auto"/>
        <w:jc w:val="both"/>
        <w:rPr>
          <w:rFonts w:ascii="Palatino Linotype" w:eastAsia="Palatino Linotype" w:hAnsi="Palatino Linotype" w:cs="Palatino Linotype"/>
          <w:color w:val="000000" w:themeColor="text1"/>
        </w:rPr>
      </w:pPr>
    </w:p>
    <w:tbl>
      <w:tblPr>
        <w:tblStyle w:val="a0"/>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1D4751" w:rsidRPr="00E06668" w14:paraId="228907C0" w14:textId="77777777">
        <w:tc>
          <w:tcPr>
            <w:tcW w:w="2689" w:type="dxa"/>
          </w:tcPr>
          <w:p w14:paraId="3C304E4E" w14:textId="77777777" w:rsidR="00023BFF" w:rsidRPr="00E06668" w:rsidRDefault="00987374" w:rsidP="0037630E">
            <w:pPr>
              <w:tabs>
                <w:tab w:val="left" w:pos="284"/>
              </w:tabs>
              <w:spacing w:line="360" w:lineRule="auto"/>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a) Requisitos previos.</w:t>
            </w:r>
          </w:p>
        </w:tc>
        <w:tc>
          <w:tcPr>
            <w:tcW w:w="6520" w:type="dxa"/>
          </w:tcPr>
          <w:p w14:paraId="2438CB1F"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1D5345C"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5B468DEE"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3CBFBB81"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El último de estos requisitos previos consiste en que no se pueden emitir acuerdos de carácter general ni particular, esto es, </w:t>
            </w:r>
            <w:r w:rsidRPr="00E06668">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E06668">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1D4751" w:rsidRPr="00E06668" w14:paraId="0F6A1110" w14:textId="77777777">
        <w:tc>
          <w:tcPr>
            <w:tcW w:w="2689" w:type="dxa"/>
          </w:tcPr>
          <w:p w14:paraId="7DFB19F4" w14:textId="77777777" w:rsidR="00023BFF" w:rsidRPr="00E06668" w:rsidRDefault="00987374" w:rsidP="0037630E">
            <w:pPr>
              <w:tabs>
                <w:tab w:val="left" w:pos="284"/>
              </w:tabs>
              <w:spacing w:line="360" w:lineRule="auto"/>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b) Supuestos de clasificación.</w:t>
            </w:r>
          </w:p>
        </w:tc>
        <w:tc>
          <w:tcPr>
            <w:tcW w:w="6520" w:type="dxa"/>
          </w:tcPr>
          <w:p w14:paraId="251F913D"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4713A4B5"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7A27B89"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w:t>
            </w:r>
            <w:r w:rsidRPr="00E06668">
              <w:rPr>
                <w:rFonts w:ascii="Palatino Linotype" w:eastAsia="Palatino Linotype" w:hAnsi="Palatino Linotype" w:cs="Palatino Linotype"/>
                <w:color w:val="000000" w:themeColor="text1"/>
              </w:rPr>
              <w:lastRenderedPageBreak/>
              <w:t>estrictamente con la hipótesis jurídica. Esto también lo debe de realizar el servidor público habilitado y el titular del área que administra la información.</w:t>
            </w:r>
          </w:p>
        </w:tc>
      </w:tr>
      <w:tr w:rsidR="001D4751" w:rsidRPr="00E06668" w14:paraId="0D73E0C2" w14:textId="77777777">
        <w:tc>
          <w:tcPr>
            <w:tcW w:w="2689" w:type="dxa"/>
          </w:tcPr>
          <w:p w14:paraId="731D4191" w14:textId="77777777" w:rsidR="00023BFF" w:rsidRPr="00E06668" w:rsidRDefault="00987374" w:rsidP="0037630E">
            <w:pPr>
              <w:tabs>
                <w:tab w:val="left" w:pos="284"/>
              </w:tabs>
              <w:spacing w:line="360" w:lineRule="auto"/>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c) Formalidades para emitir el acuerdo de clasificación.</w:t>
            </w:r>
          </w:p>
        </w:tc>
        <w:tc>
          <w:tcPr>
            <w:tcW w:w="6520" w:type="dxa"/>
          </w:tcPr>
          <w:p w14:paraId="44693EB4"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14974FF1"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Es necesario que </w:t>
            </w:r>
            <w:r w:rsidRPr="00E06668">
              <w:rPr>
                <w:rFonts w:ascii="Palatino Linotype" w:eastAsia="Palatino Linotype" w:hAnsi="Palatino Linotype" w:cs="Palatino Linotype"/>
                <w:b/>
                <w:color w:val="000000" w:themeColor="text1"/>
                <w:u w:val="single"/>
              </w:rPr>
              <w:t>el acto reúna con los requisitos elementales</w:t>
            </w:r>
            <w:r w:rsidRPr="00E06668">
              <w:rPr>
                <w:rFonts w:ascii="Palatino Linotype" w:eastAsia="Palatino Linotype" w:hAnsi="Palatino Linotype" w:cs="Palatino Linotype"/>
                <w:color w:val="000000" w:themeColor="text1"/>
              </w:rPr>
              <w:t>, entre ellos, que la autoridad que va a emitir el acto de autoridad sea la legalmente facultada para ello.</w:t>
            </w:r>
          </w:p>
          <w:p w14:paraId="0BE28E25"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D4751" w:rsidRPr="00E06668" w14:paraId="30D756E2" w14:textId="77777777">
        <w:tc>
          <w:tcPr>
            <w:tcW w:w="2689" w:type="dxa"/>
          </w:tcPr>
          <w:p w14:paraId="3182389C" w14:textId="77777777" w:rsidR="00023BFF" w:rsidRPr="00E06668" w:rsidRDefault="00023BFF" w:rsidP="0037630E">
            <w:pPr>
              <w:tabs>
                <w:tab w:val="left" w:pos="284"/>
              </w:tabs>
              <w:spacing w:line="360" w:lineRule="auto"/>
              <w:rPr>
                <w:rFonts w:ascii="Palatino Linotype" w:eastAsia="Palatino Linotype" w:hAnsi="Palatino Linotype" w:cs="Palatino Linotype"/>
                <w:color w:val="000000" w:themeColor="text1"/>
              </w:rPr>
            </w:pPr>
          </w:p>
          <w:p w14:paraId="6BC2931C"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 Requisitos de fondo del acuerdo de clasificación. </w:t>
            </w:r>
          </w:p>
        </w:tc>
        <w:tc>
          <w:tcPr>
            <w:tcW w:w="6520" w:type="dxa"/>
          </w:tcPr>
          <w:p w14:paraId="22927C3B"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w:t>
            </w:r>
            <w:r w:rsidRPr="00E06668">
              <w:rPr>
                <w:rFonts w:ascii="Palatino Linotype" w:eastAsia="Palatino Linotype" w:hAnsi="Palatino Linotype" w:cs="Palatino Linotype"/>
                <w:color w:val="000000" w:themeColor="text1"/>
              </w:rPr>
              <w:lastRenderedPageBreak/>
              <w:t xml:space="preserve">que la carga de la prueba, para justificar las restricciones, corresponde a los </w:t>
            </w:r>
            <w:r w:rsidRPr="00E06668">
              <w:rPr>
                <w:rFonts w:ascii="Palatino Linotype" w:eastAsia="Palatino Linotype" w:hAnsi="Palatino Linotype" w:cs="Palatino Linotype"/>
                <w:b/>
                <w:color w:val="000000" w:themeColor="text1"/>
              </w:rPr>
              <w:t>Sujetos Obligados</w:t>
            </w:r>
            <w:r w:rsidRPr="00E06668">
              <w:rPr>
                <w:rFonts w:ascii="Palatino Linotype" w:eastAsia="Palatino Linotype" w:hAnsi="Palatino Linotype" w:cs="Palatino Linotype"/>
                <w:color w:val="000000" w:themeColor="text1"/>
              </w:rPr>
              <w:t xml:space="preserve">, por lo que deberán fundar y motivar debidamente la clasificación. </w:t>
            </w:r>
          </w:p>
          <w:p w14:paraId="68B49C01"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 lo anterior, se desprende que para una correcta </w:t>
            </w:r>
            <w:r w:rsidRPr="00E06668">
              <w:rPr>
                <w:rFonts w:ascii="Palatino Linotype" w:eastAsia="Palatino Linotype" w:hAnsi="Palatino Linotype" w:cs="Palatino Linotype"/>
                <w:b/>
                <w:color w:val="000000" w:themeColor="text1"/>
              </w:rPr>
              <w:t>clasificación total o parcial</w:t>
            </w:r>
            <w:r w:rsidRPr="00E06668">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3D1B185"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E942F61"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25EA8404"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Ahora bien, </w:t>
            </w:r>
            <w:r w:rsidRPr="00E06668">
              <w:rPr>
                <w:rFonts w:ascii="Palatino Linotype" w:eastAsia="Palatino Linotype" w:hAnsi="Palatino Linotype" w:cs="Palatino Linotype"/>
                <w:b/>
                <w:color w:val="000000" w:themeColor="text1"/>
                <w:u w:val="single"/>
              </w:rPr>
              <w:t>para cada caso además de fundar y motivar</w:t>
            </w:r>
            <w:r w:rsidRPr="00E06668">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23BFF" w:rsidRPr="00E06668" w14:paraId="15206CEE" w14:textId="77777777">
        <w:tc>
          <w:tcPr>
            <w:tcW w:w="2689" w:type="dxa"/>
          </w:tcPr>
          <w:p w14:paraId="502CF63D"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520" w:type="dxa"/>
          </w:tcPr>
          <w:p w14:paraId="67EF6FB4"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679D3BA8" w14:textId="77777777" w:rsidR="00023BFF" w:rsidRPr="00E06668" w:rsidRDefault="00987374" w:rsidP="0037630E">
            <w:pPr>
              <w:tabs>
                <w:tab w:val="left" w:pos="284"/>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606921F" w14:textId="77777777" w:rsidR="00023BFF" w:rsidRPr="00E06668" w:rsidRDefault="00987374" w:rsidP="0037630E">
            <w:pPr>
              <w:tabs>
                <w:tab w:val="left" w:pos="284"/>
              </w:tabs>
              <w:spacing w:line="360" w:lineRule="auto"/>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Pero si la información que se pretende clasificar como confidencial no se encuentra en los supuestos de los artículos señalados y es posible, se deberá consultar al titular de los datos si permite o no el acceso. De no ser </w:t>
            </w:r>
            <w:r w:rsidRPr="00E06668">
              <w:rPr>
                <w:rFonts w:ascii="Palatino Linotype" w:eastAsia="Palatino Linotype" w:hAnsi="Palatino Linotype" w:cs="Palatino Linotype"/>
                <w:color w:val="000000" w:themeColor="text1"/>
              </w:rPr>
              <w:lastRenderedPageBreak/>
              <w:t>posible, la realización de la consulta, procede, fundando y motivando, la clasificación.</w:t>
            </w:r>
          </w:p>
        </w:tc>
      </w:tr>
    </w:tbl>
    <w:p w14:paraId="17FFACBF"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4692DD66"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0B446CDF"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Si el servidor público incumple con estas formalidades y entrega la información sin proteger los datos personales incumple con lo que estipula las disposiciones legales establecidas. </w:t>
      </w:r>
    </w:p>
    <w:p w14:paraId="5B11602E"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4A3B541" w14:textId="77777777" w:rsidR="00023BFF" w:rsidRPr="00E06668" w:rsidRDefault="00987374" w:rsidP="00376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11" w:name="_heading=h.s34wazsjs8q1" w:colFirst="0" w:colLast="0"/>
      <w:bookmarkEnd w:id="11"/>
      <w:r w:rsidRPr="00E06668">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E06668">
        <w:rPr>
          <w:rFonts w:ascii="Palatino Linotype" w:eastAsia="Palatino Linotype" w:hAnsi="Palatino Linotype" w:cs="Palatino Linotype"/>
          <w:b/>
          <w:color w:val="000000" w:themeColor="text1"/>
        </w:rPr>
        <w:t xml:space="preserve"> RECURRENTE</w:t>
      </w:r>
      <w:r w:rsidRPr="00E06668">
        <w:rPr>
          <w:rFonts w:ascii="Palatino Linotype" w:eastAsia="Palatino Linotype" w:hAnsi="Palatino Linotype" w:cs="Palatino Linotype"/>
          <w:color w:val="000000" w:themeColor="text1"/>
        </w:rPr>
        <w:t xml:space="preserve">, determinando </w:t>
      </w:r>
      <w:r w:rsidRPr="00E06668">
        <w:rPr>
          <w:rFonts w:ascii="Palatino Linotype" w:eastAsia="Palatino Linotype" w:hAnsi="Palatino Linotype" w:cs="Palatino Linotype"/>
          <w:b/>
          <w:color w:val="000000" w:themeColor="text1"/>
        </w:rPr>
        <w:t xml:space="preserve">MODIFICAR </w:t>
      </w:r>
      <w:r w:rsidRPr="00E06668">
        <w:rPr>
          <w:rFonts w:ascii="Palatino Linotype" w:eastAsia="Palatino Linotype" w:hAnsi="Palatino Linotype" w:cs="Palatino Linotype"/>
          <w:color w:val="000000" w:themeColor="text1"/>
        </w:rPr>
        <w:t xml:space="preserve">la respuesta del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E06668">
        <w:rPr>
          <w:rFonts w:ascii="Palatino Linotype" w:eastAsia="Palatino Linotype" w:hAnsi="Palatino Linotype" w:cs="Palatino Linotype"/>
          <w:b/>
          <w:color w:val="000000" w:themeColor="text1"/>
        </w:rPr>
        <w:t>ÓRGANO GARANTE</w:t>
      </w:r>
      <w:r w:rsidRPr="00E06668">
        <w:rPr>
          <w:rFonts w:ascii="Palatino Linotype" w:eastAsia="Palatino Linotype" w:hAnsi="Palatino Linotype" w:cs="Palatino Linotype"/>
          <w:color w:val="000000" w:themeColor="text1"/>
        </w:rPr>
        <w:t xml:space="preserve"> emite los siguientes.</w:t>
      </w:r>
    </w:p>
    <w:p w14:paraId="576D51B5" w14:textId="77777777" w:rsidR="00023BFF" w:rsidRPr="00E06668" w:rsidRDefault="00023BFF" w:rsidP="0037630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17E47774" w14:textId="77777777" w:rsidR="00023BFF" w:rsidRPr="00E06668" w:rsidRDefault="00987374" w:rsidP="0037630E">
      <w:pPr>
        <w:pStyle w:val="Ttulo1"/>
        <w:spacing w:before="0" w:line="360" w:lineRule="auto"/>
        <w:jc w:val="center"/>
        <w:rPr>
          <w:rFonts w:ascii="Palatino Linotype" w:eastAsia="Palatino Linotype" w:hAnsi="Palatino Linotype" w:cs="Palatino Linotype"/>
          <w:b/>
          <w:color w:val="000000" w:themeColor="text1"/>
          <w:sz w:val="24"/>
          <w:szCs w:val="24"/>
        </w:rPr>
      </w:pPr>
      <w:r w:rsidRPr="00E06668">
        <w:rPr>
          <w:rFonts w:ascii="Palatino Linotype" w:eastAsia="Palatino Linotype" w:hAnsi="Palatino Linotype" w:cs="Palatino Linotype"/>
          <w:b/>
          <w:color w:val="000000" w:themeColor="text1"/>
          <w:sz w:val="24"/>
          <w:szCs w:val="24"/>
        </w:rPr>
        <w:t>R E S O L U T I V O S</w:t>
      </w:r>
    </w:p>
    <w:p w14:paraId="32C769CB" w14:textId="77777777" w:rsidR="00023BFF" w:rsidRPr="00E06668" w:rsidRDefault="00023BFF" w:rsidP="0037630E">
      <w:pPr>
        <w:spacing w:line="360" w:lineRule="auto"/>
        <w:rPr>
          <w:rFonts w:ascii="Palatino Linotype" w:eastAsia="Palatino Linotype" w:hAnsi="Palatino Linotype" w:cs="Palatino Linotype"/>
          <w:color w:val="000000" w:themeColor="text1"/>
        </w:rPr>
      </w:pPr>
    </w:p>
    <w:p w14:paraId="2732639E"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b/>
          <w:color w:val="000000" w:themeColor="text1"/>
        </w:rPr>
        <w:t>PRIMERO</w:t>
      </w:r>
      <w:r w:rsidRPr="00E06668">
        <w:rPr>
          <w:rFonts w:ascii="Palatino Linotype" w:eastAsia="Palatino Linotype" w:hAnsi="Palatino Linotype" w:cs="Palatino Linotype"/>
          <w:color w:val="000000" w:themeColor="text1"/>
        </w:rPr>
        <w:t xml:space="preserve">. Resultan parcialmente fundadas las razones o motivos de inconformidad hechos valer en el Recurso de Revisión </w:t>
      </w:r>
      <w:r w:rsidRPr="00E06668">
        <w:rPr>
          <w:rFonts w:ascii="Palatino Linotype" w:eastAsia="Palatino Linotype" w:hAnsi="Palatino Linotype" w:cs="Palatino Linotype"/>
          <w:b/>
          <w:color w:val="000000" w:themeColor="text1"/>
        </w:rPr>
        <w:t xml:space="preserve">01453/INFOEM/IP/RR/2025, </w:t>
      </w:r>
      <w:r w:rsidRPr="00E06668">
        <w:rPr>
          <w:rFonts w:ascii="Palatino Linotype" w:eastAsia="Palatino Linotype" w:hAnsi="Palatino Linotype" w:cs="Palatino Linotype"/>
          <w:color w:val="000000" w:themeColor="text1"/>
        </w:rPr>
        <w:t xml:space="preserve">en términos de los  Considerandos </w:t>
      </w:r>
      <w:r w:rsidRPr="00E06668">
        <w:rPr>
          <w:rFonts w:ascii="Palatino Linotype" w:eastAsia="Palatino Linotype" w:hAnsi="Palatino Linotype" w:cs="Palatino Linotype"/>
          <w:b/>
          <w:color w:val="000000" w:themeColor="text1"/>
        </w:rPr>
        <w:t xml:space="preserve">Cuarto y Quinto </w:t>
      </w:r>
      <w:r w:rsidRPr="00E06668">
        <w:rPr>
          <w:rFonts w:ascii="Palatino Linotype" w:eastAsia="Palatino Linotype" w:hAnsi="Palatino Linotype" w:cs="Palatino Linotype"/>
          <w:color w:val="000000" w:themeColor="text1"/>
        </w:rPr>
        <w:t xml:space="preserve">de la presente resolución. </w:t>
      </w:r>
    </w:p>
    <w:p w14:paraId="53247A31"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397082D1" w14:textId="77777777" w:rsidR="00023BFF" w:rsidRPr="00E06668" w:rsidRDefault="00987374" w:rsidP="0037630E">
      <w:pPr>
        <w:spacing w:line="360" w:lineRule="auto"/>
        <w:jc w:val="both"/>
        <w:rPr>
          <w:rFonts w:ascii="Palatino Linotype" w:eastAsia="Palatino Linotype" w:hAnsi="Palatino Linotype" w:cs="Palatino Linotype"/>
          <w:b/>
          <w:color w:val="000000" w:themeColor="text1"/>
        </w:rPr>
      </w:pPr>
      <w:bookmarkStart w:id="12" w:name="_heading=h.z337ya" w:colFirst="0" w:colLast="0"/>
      <w:bookmarkEnd w:id="12"/>
      <w:r w:rsidRPr="00E06668">
        <w:rPr>
          <w:rFonts w:ascii="Palatino Linotype" w:eastAsia="Palatino Linotype" w:hAnsi="Palatino Linotype" w:cs="Palatino Linotype"/>
          <w:b/>
          <w:color w:val="000000" w:themeColor="text1"/>
        </w:rPr>
        <w:t xml:space="preserve">SEGUNDO. </w:t>
      </w:r>
      <w:r w:rsidRPr="00E06668">
        <w:rPr>
          <w:rFonts w:ascii="Palatino Linotype" w:eastAsia="Palatino Linotype" w:hAnsi="Palatino Linotype" w:cs="Palatino Linotype"/>
          <w:color w:val="000000" w:themeColor="text1"/>
        </w:rPr>
        <w:t xml:space="preserve">Se </w:t>
      </w:r>
      <w:r w:rsidRPr="00E06668">
        <w:rPr>
          <w:rFonts w:ascii="Palatino Linotype" w:eastAsia="Palatino Linotype" w:hAnsi="Palatino Linotype" w:cs="Palatino Linotype"/>
          <w:b/>
          <w:color w:val="000000" w:themeColor="text1"/>
        </w:rPr>
        <w:t xml:space="preserve">MODIFICA </w:t>
      </w:r>
      <w:r w:rsidRPr="00E06668">
        <w:rPr>
          <w:rFonts w:ascii="Palatino Linotype" w:eastAsia="Palatino Linotype" w:hAnsi="Palatino Linotype" w:cs="Palatino Linotype"/>
          <w:color w:val="000000" w:themeColor="text1"/>
        </w:rPr>
        <w:t xml:space="preserve">la respuesta emitida por el </w:t>
      </w:r>
      <w:r w:rsidRPr="00E06668">
        <w:rPr>
          <w:rFonts w:ascii="Palatino Linotype" w:eastAsia="Palatino Linotype" w:hAnsi="Palatino Linotype" w:cs="Palatino Linotype"/>
          <w:b/>
          <w:color w:val="000000" w:themeColor="text1"/>
        </w:rPr>
        <w:t>Ayuntamiento de Cuautitlán</w:t>
      </w:r>
      <w:r w:rsidRPr="00E06668">
        <w:rPr>
          <w:rFonts w:ascii="Palatino Linotype" w:eastAsia="Palatino Linotype" w:hAnsi="Palatino Linotype" w:cs="Palatino Linotype"/>
          <w:color w:val="000000" w:themeColor="text1"/>
        </w:rPr>
        <w:t xml:space="preserve"> se </w:t>
      </w:r>
      <w:r w:rsidRPr="00E06668">
        <w:rPr>
          <w:rFonts w:ascii="Palatino Linotype" w:eastAsia="Palatino Linotype" w:hAnsi="Palatino Linotype" w:cs="Palatino Linotype"/>
          <w:b/>
          <w:color w:val="000000" w:themeColor="text1"/>
        </w:rPr>
        <w:t>ORDENA</w:t>
      </w:r>
      <w:r w:rsidRPr="00E06668">
        <w:rPr>
          <w:rFonts w:ascii="Palatino Linotype" w:eastAsia="Palatino Linotype" w:hAnsi="Palatino Linotype" w:cs="Palatino Linotype"/>
          <w:color w:val="000000" w:themeColor="text1"/>
        </w:rPr>
        <w:t xml:space="preserve"> entregar previa búsqueda exhaustiva y razonable, vía Sistema de Acceso a la </w:t>
      </w:r>
      <w:r w:rsidRPr="00E06668">
        <w:rPr>
          <w:rFonts w:ascii="Palatino Linotype" w:eastAsia="Palatino Linotype" w:hAnsi="Palatino Linotype" w:cs="Palatino Linotype"/>
          <w:color w:val="000000" w:themeColor="text1"/>
        </w:rPr>
        <w:lastRenderedPageBreak/>
        <w:t xml:space="preserve">Información Mexiquense </w:t>
      </w:r>
      <w:r w:rsidRPr="00E06668">
        <w:rPr>
          <w:rFonts w:ascii="Palatino Linotype" w:eastAsia="Palatino Linotype" w:hAnsi="Palatino Linotype" w:cs="Palatino Linotype"/>
          <w:b/>
          <w:color w:val="000000" w:themeColor="text1"/>
        </w:rPr>
        <w:t>(SAIMEX)</w:t>
      </w:r>
      <w:r w:rsidRPr="00E06668">
        <w:rPr>
          <w:rFonts w:ascii="Palatino Linotype" w:eastAsia="Palatino Linotype" w:hAnsi="Palatino Linotype" w:cs="Palatino Linotype"/>
          <w:color w:val="000000" w:themeColor="text1"/>
        </w:rPr>
        <w:t>, la siguiente información, de ser el caso en versión pública.</w:t>
      </w:r>
    </w:p>
    <w:p w14:paraId="2C575DAD"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1.- Documento donde conste o se advierta en que fue ejercido el monto recibido por el recurso federal FORTAMUN por las áreas del Ayuntamiento  de Cuautitlán en los ejercicios fiscales 2021, 2022, 2023 y 2024;</w:t>
      </w:r>
    </w:p>
    <w:p w14:paraId="2EB16FD8" w14:textId="77777777" w:rsidR="00023BFF" w:rsidRPr="00E06668" w:rsidRDefault="00023BFF" w:rsidP="0037630E">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681C7B92"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 xml:space="preserve"> 2.- Actas de Cabildo donde se aprobó la modificación del recurso federal FORTAMUN en los ejercicios fiscales 2021, 2022, 2023 y 2024; y</w:t>
      </w:r>
    </w:p>
    <w:p w14:paraId="27BD8288" w14:textId="77777777" w:rsidR="00023BFF" w:rsidRPr="00E06668" w:rsidRDefault="00023BFF" w:rsidP="0037630E">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2C4563DD" w14:textId="77777777" w:rsidR="00023BFF" w:rsidRPr="00E06668" w:rsidRDefault="00987374" w:rsidP="0037630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06668">
        <w:rPr>
          <w:rFonts w:ascii="Palatino Linotype" w:eastAsia="Palatino Linotype" w:hAnsi="Palatino Linotype" w:cs="Palatino Linotype"/>
          <w:b/>
          <w:i/>
          <w:color w:val="000000" w:themeColor="text1"/>
        </w:rPr>
        <w:t>3.- Documento donde conste o se advierta donde aprobó la propuesta del recurso federal FORTAMUN para el ejercicio fiscal 2025.</w:t>
      </w:r>
    </w:p>
    <w:p w14:paraId="7D14E18F" w14:textId="77777777" w:rsidR="00023BFF" w:rsidRPr="00E06668" w:rsidRDefault="00023BFF" w:rsidP="0037630E">
      <w:pPr>
        <w:pBdr>
          <w:top w:val="nil"/>
          <w:left w:val="nil"/>
          <w:bottom w:val="nil"/>
          <w:right w:val="nil"/>
          <w:between w:val="nil"/>
        </w:pBdr>
        <w:rPr>
          <w:rFonts w:ascii="Palatino Linotype" w:eastAsia="Palatino Linotype" w:hAnsi="Palatino Linotype" w:cs="Palatino Linotype"/>
          <w:color w:val="000000" w:themeColor="text1"/>
        </w:rPr>
      </w:pPr>
    </w:p>
    <w:p w14:paraId="251E27B5" w14:textId="77777777" w:rsidR="00023BFF" w:rsidRPr="00E06668" w:rsidRDefault="00023BFF" w:rsidP="0037630E">
      <w:pPr>
        <w:pBdr>
          <w:top w:val="nil"/>
          <w:left w:val="nil"/>
          <w:bottom w:val="nil"/>
          <w:right w:val="nil"/>
          <w:between w:val="nil"/>
        </w:pBdr>
        <w:jc w:val="both"/>
        <w:rPr>
          <w:rFonts w:ascii="Palatino Linotype" w:eastAsia="Palatino Linotype" w:hAnsi="Palatino Linotype" w:cs="Palatino Linotype"/>
          <w:color w:val="000000" w:themeColor="text1"/>
        </w:rPr>
      </w:pPr>
    </w:p>
    <w:p w14:paraId="10E60EDE" w14:textId="77777777" w:rsidR="00023BFF" w:rsidRPr="00E06668" w:rsidRDefault="00987374" w:rsidP="0037630E">
      <w:pPr>
        <w:tabs>
          <w:tab w:val="left" w:pos="8080"/>
        </w:tabs>
        <w:spacing w:line="360" w:lineRule="auto"/>
        <w:jc w:val="both"/>
        <w:rPr>
          <w:rFonts w:ascii="Palatino Linotype" w:eastAsia="Palatino Linotype" w:hAnsi="Palatino Linotype" w:cs="Palatino Linotype"/>
          <w:b/>
          <w:color w:val="000000" w:themeColor="text1"/>
        </w:rPr>
      </w:pPr>
      <w:r w:rsidRPr="00E06668">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E06668">
        <w:rPr>
          <w:rFonts w:ascii="Palatino Linotype" w:eastAsia="Palatino Linotype" w:hAnsi="Palatino Linotype" w:cs="Palatino Linotype"/>
          <w:b/>
          <w:color w:val="000000" w:themeColor="text1"/>
        </w:rPr>
        <w:t>RECURRENTE.</w:t>
      </w:r>
    </w:p>
    <w:p w14:paraId="64D51265" w14:textId="77777777" w:rsidR="00023BFF" w:rsidRPr="00E06668" w:rsidRDefault="00023BFF" w:rsidP="0037630E">
      <w:pPr>
        <w:tabs>
          <w:tab w:val="left" w:pos="8080"/>
        </w:tabs>
        <w:spacing w:line="360" w:lineRule="auto"/>
        <w:jc w:val="both"/>
        <w:rPr>
          <w:rFonts w:ascii="Palatino Linotype" w:eastAsia="Palatino Linotype" w:hAnsi="Palatino Linotype" w:cs="Palatino Linotype"/>
          <w:b/>
          <w:color w:val="000000" w:themeColor="text1"/>
        </w:rPr>
      </w:pPr>
    </w:p>
    <w:p w14:paraId="5D2F8BEC" w14:textId="77777777" w:rsidR="00023BFF" w:rsidRPr="00E06668" w:rsidRDefault="00987374" w:rsidP="0037630E">
      <w:pPr>
        <w:tabs>
          <w:tab w:val="left" w:pos="8080"/>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t xml:space="preserve">De ser el caso que la información del numeral 2 no obre en los archivos del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por no haber generado modificaciones al recurso federal FORTAMUN, bastará con que 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lo haga del conocimiento del </w:t>
      </w:r>
      <w:r w:rsidRPr="00E06668">
        <w:rPr>
          <w:rFonts w:ascii="Palatino Linotype" w:eastAsia="Palatino Linotype" w:hAnsi="Palatino Linotype" w:cs="Palatino Linotype"/>
          <w:b/>
          <w:color w:val="000000" w:themeColor="text1"/>
        </w:rPr>
        <w:t>RECURRENTE</w:t>
      </w:r>
      <w:r w:rsidRPr="00E06668">
        <w:rPr>
          <w:rFonts w:ascii="Palatino Linotype" w:eastAsia="Palatino Linotype" w:hAnsi="Palatino Linotype" w:cs="Palatino Linotype"/>
          <w:color w:val="000000" w:themeColor="text1"/>
        </w:rPr>
        <w:t xml:space="preserve"> de conformidad con el artículo 19 párrafo segundo de la Ley de Transparencia y Acceso a la Información Pública del Estado de México y Municipios. </w:t>
      </w:r>
    </w:p>
    <w:p w14:paraId="0417D7C5" w14:textId="77777777" w:rsidR="00023BFF" w:rsidRPr="00E06668" w:rsidRDefault="00023BFF" w:rsidP="0037630E">
      <w:pPr>
        <w:tabs>
          <w:tab w:val="left" w:pos="8080"/>
        </w:tabs>
        <w:spacing w:line="360" w:lineRule="auto"/>
        <w:jc w:val="both"/>
        <w:rPr>
          <w:rFonts w:ascii="Palatino Linotype" w:eastAsia="Palatino Linotype" w:hAnsi="Palatino Linotype" w:cs="Palatino Linotype"/>
          <w:color w:val="000000" w:themeColor="text1"/>
        </w:rPr>
      </w:pPr>
    </w:p>
    <w:p w14:paraId="21BD5DC9" w14:textId="77777777" w:rsidR="00023BFF" w:rsidRPr="00E06668" w:rsidRDefault="00023BFF" w:rsidP="0037630E">
      <w:pPr>
        <w:tabs>
          <w:tab w:val="left" w:pos="8080"/>
        </w:tabs>
        <w:spacing w:line="360" w:lineRule="auto"/>
        <w:jc w:val="both"/>
        <w:rPr>
          <w:rFonts w:ascii="Palatino Linotype" w:eastAsia="Palatino Linotype" w:hAnsi="Palatino Linotype" w:cs="Palatino Linotype"/>
          <w:b/>
          <w:color w:val="000000" w:themeColor="text1"/>
        </w:rPr>
      </w:pPr>
    </w:p>
    <w:p w14:paraId="78C3AADA" w14:textId="77777777" w:rsidR="00023BFF" w:rsidRPr="00E06668" w:rsidRDefault="00987374" w:rsidP="0037630E">
      <w:pPr>
        <w:tabs>
          <w:tab w:val="left" w:pos="8080"/>
        </w:tabs>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b/>
          <w:color w:val="000000" w:themeColor="text1"/>
        </w:rPr>
        <w:lastRenderedPageBreak/>
        <w:t xml:space="preserve">TERCERO. NOTIFÍQUESE </w:t>
      </w:r>
      <w:r w:rsidRPr="00E06668">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E06668">
        <w:rPr>
          <w:rFonts w:ascii="Palatino Linotype" w:eastAsia="Palatino Linotype" w:hAnsi="Palatino Linotype" w:cs="Palatino Linotype"/>
          <w:b/>
          <w:color w:val="000000" w:themeColor="text1"/>
        </w:rPr>
        <w:t xml:space="preserve">dé cumplimiento a lo ordenado dentro del plazo de diez días hábiles, </w:t>
      </w:r>
      <w:r w:rsidRPr="00E06668">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057E6E4D" w14:textId="77777777" w:rsidR="00023BFF" w:rsidRPr="00E06668" w:rsidRDefault="00023BFF" w:rsidP="0037630E">
      <w:pPr>
        <w:tabs>
          <w:tab w:val="left" w:pos="8080"/>
        </w:tabs>
        <w:spacing w:line="360" w:lineRule="auto"/>
        <w:jc w:val="both"/>
        <w:rPr>
          <w:rFonts w:ascii="Palatino Linotype" w:eastAsia="Palatino Linotype" w:hAnsi="Palatino Linotype" w:cs="Palatino Linotype"/>
          <w:color w:val="000000" w:themeColor="text1"/>
        </w:rPr>
      </w:pPr>
    </w:p>
    <w:p w14:paraId="5E5A323F" w14:textId="77777777" w:rsidR="00023BFF" w:rsidRPr="00E06668" w:rsidRDefault="00987374"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b/>
          <w:color w:val="000000" w:themeColor="text1"/>
        </w:rPr>
        <w:t xml:space="preserve">CUARTO. </w:t>
      </w:r>
      <w:r w:rsidRPr="00E06668">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E06668">
        <w:rPr>
          <w:rFonts w:ascii="Palatino Linotype" w:eastAsia="Palatino Linotype" w:hAnsi="Palatino Linotype" w:cs="Palatino Linotype"/>
          <w:b/>
          <w:color w:val="000000" w:themeColor="text1"/>
        </w:rPr>
        <w:t>SUJETO OBLIGADO</w:t>
      </w:r>
      <w:r w:rsidRPr="00E06668">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45469685" w14:textId="77777777" w:rsidR="00023BFF" w:rsidRPr="00E06668" w:rsidRDefault="00023BFF" w:rsidP="0037630E">
      <w:pPr>
        <w:spacing w:line="360" w:lineRule="auto"/>
        <w:jc w:val="both"/>
        <w:rPr>
          <w:rFonts w:ascii="Palatino Linotype" w:eastAsia="Palatino Linotype" w:hAnsi="Palatino Linotype" w:cs="Palatino Linotype"/>
          <w:color w:val="000000" w:themeColor="text1"/>
        </w:rPr>
      </w:pPr>
    </w:p>
    <w:p w14:paraId="40093AEB" w14:textId="77777777" w:rsidR="00023BFF" w:rsidRPr="00E06668" w:rsidRDefault="00987374" w:rsidP="0037630E">
      <w:pPr>
        <w:tabs>
          <w:tab w:val="left" w:pos="8080"/>
        </w:tabs>
        <w:spacing w:line="360" w:lineRule="auto"/>
        <w:jc w:val="both"/>
        <w:rPr>
          <w:rFonts w:ascii="Palatino Linotype" w:eastAsia="Palatino Linotype" w:hAnsi="Palatino Linotype" w:cs="Palatino Linotype"/>
          <w:color w:val="000000" w:themeColor="text1"/>
        </w:rPr>
      </w:pPr>
      <w:bookmarkStart w:id="13" w:name="_heading=h.1y810tw" w:colFirst="0" w:colLast="0"/>
      <w:bookmarkEnd w:id="13"/>
      <w:r w:rsidRPr="00E06668">
        <w:rPr>
          <w:rFonts w:ascii="Palatino Linotype" w:eastAsia="Palatino Linotype" w:hAnsi="Palatino Linotype" w:cs="Palatino Linotype"/>
          <w:b/>
          <w:color w:val="000000" w:themeColor="text1"/>
        </w:rPr>
        <w:t xml:space="preserve">QUINTO. </w:t>
      </w:r>
      <w:r w:rsidRPr="00E06668">
        <w:rPr>
          <w:rFonts w:ascii="Palatino Linotype" w:eastAsia="Palatino Linotype" w:hAnsi="Palatino Linotype" w:cs="Palatino Linotype"/>
          <w:color w:val="000000" w:themeColor="text1"/>
        </w:rPr>
        <w:t xml:space="preserve">Notifíquese a </w:t>
      </w:r>
      <w:r w:rsidRPr="00E06668">
        <w:rPr>
          <w:rFonts w:ascii="Palatino Linotype" w:eastAsia="Palatino Linotype" w:hAnsi="Palatino Linotype" w:cs="Palatino Linotype"/>
          <w:b/>
          <w:color w:val="000000" w:themeColor="text1"/>
        </w:rPr>
        <w:t>EL RECURRENTE</w:t>
      </w:r>
      <w:r w:rsidRPr="00E06668">
        <w:rPr>
          <w:rFonts w:ascii="Palatino Linotype" w:eastAsia="Palatino Linotype" w:hAnsi="Palatino Linotype" w:cs="Palatino Linotype"/>
          <w:color w:val="000000" w:themeColor="text1"/>
        </w:rPr>
        <w:t xml:space="preserve"> la presente resolución, vía SAIMEX.</w:t>
      </w:r>
    </w:p>
    <w:p w14:paraId="3D26119A" w14:textId="77777777" w:rsidR="00023BFF" w:rsidRPr="00E06668" w:rsidRDefault="00023BFF" w:rsidP="0037630E">
      <w:pPr>
        <w:tabs>
          <w:tab w:val="left" w:pos="8080"/>
        </w:tabs>
        <w:spacing w:line="360" w:lineRule="auto"/>
        <w:jc w:val="both"/>
        <w:rPr>
          <w:rFonts w:ascii="Palatino Linotype" w:eastAsia="Palatino Linotype" w:hAnsi="Palatino Linotype" w:cs="Palatino Linotype"/>
          <w:color w:val="000000" w:themeColor="text1"/>
        </w:rPr>
      </w:pPr>
    </w:p>
    <w:p w14:paraId="787E1EAD" w14:textId="77777777" w:rsidR="00023BFF" w:rsidRPr="00E06668" w:rsidRDefault="00987374" w:rsidP="0037630E">
      <w:pPr>
        <w:shd w:val="clear" w:color="auto" w:fill="FFFFFF"/>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b/>
          <w:color w:val="000000" w:themeColor="text1"/>
        </w:rPr>
        <w:t>SEXTO.</w:t>
      </w:r>
      <w:r w:rsidRPr="00E06668">
        <w:rPr>
          <w:rFonts w:ascii="Palatino Linotype" w:eastAsia="Palatino Linotype" w:hAnsi="Palatino Linotype" w:cs="Palatino Linotype"/>
          <w:color w:val="000000" w:themeColor="text1"/>
        </w:rPr>
        <w:t xml:space="preserve"> Se hace del conocimiento de </w:t>
      </w:r>
      <w:r w:rsidRPr="00E06668">
        <w:rPr>
          <w:rFonts w:ascii="Palatino Linotype" w:eastAsia="Palatino Linotype" w:hAnsi="Palatino Linotype" w:cs="Palatino Linotype"/>
          <w:b/>
          <w:color w:val="000000" w:themeColor="text1"/>
        </w:rPr>
        <w:t>EL RECURRENTE</w:t>
      </w:r>
      <w:r w:rsidRPr="00E06668">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96BDBF8" w14:textId="77777777" w:rsidR="00023BFF" w:rsidRPr="00E06668" w:rsidRDefault="00023BFF" w:rsidP="0037630E">
      <w:pPr>
        <w:shd w:val="clear" w:color="auto" w:fill="FFFFFF"/>
        <w:spacing w:line="360" w:lineRule="auto"/>
        <w:jc w:val="both"/>
        <w:rPr>
          <w:rFonts w:ascii="Palatino Linotype" w:eastAsia="Palatino Linotype" w:hAnsi="Palatino Linotype" w:cs="Palatino Linotype"/>
          <w:color w:val="000000" w:themeColor="text1"/>
        </w:rPr>
      </w:pPr>
    </w:p>
    <w:p w14:paraId="06E79EC5" w14:textId="0F79DAFC" w:rsidR="00023BFF" w:rsidRPr="001D4751" w:rsidRDefault="00E06668" w:rsidP="0037630E">
      <w:pPr>
        <w:spacing w:line="360" w:lineRule="auto"/>
        <w:jc w:val="both"/>
        <w:rPr>
          <w:rFonts w:ascii="Palatino Linotype" w:eastAsia="Palatino Linotype" w:hAnsi="Palatino Linotype" w:cs="Palatino Linotype"/>
          <w:color w:val="000000" w:themeColor="text1"/>
        </w:rPr>
      </w:pPr>
      <w:r w:rsidRPr="00E06668">
        <w:rPr>
          <w:rFonts w:ascii="Palatino Linotype" w:eastAsia="Palatino Linotype" w:hAnsi="Palatino Linotype" w:cs="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CUATRO (04) DE JUNIO DE DOS MIL VEINTICINCO, ANTE EL SECRETARIO TÉCNICO DEL PLENO ALEXIS TAPIA RAMÍREZ.</w:t>
      </w:r>
    </w:p>
    <w:p w14:paraId="7EC294A0" w14:textId="77777777" w:rsidR="00023BFF" w:rsidRPr="001D4751" w:rsidRDefault="00023BFF" w:rsidP="0037630E">
      <w:pPr>
        <w:spacing w:line="360" w:lineRule="auto"/>
        <w:jc w:val="both"/>
        <w:rPr>
          <w:rFonts w:ascii="Palatino Linotype" w:eastAsia="Palatino Linotype" w:hAnsi="Palatino Linotype" w:cs="Palatino Linotype"/>
          <w:color w:val="000000" w:themeColor="text1"/>
        </w:rPr>
      </w:pPr>
    </w:p>
    <w:p w14:paraId="09CCACA6" w14:textId="77777777" w:rsidR="00023BFF" w:rsidRPr="001D4751" w:rsidRDefault="00023BFF" w:rsidP="0037630E">
      <w:pPr>
        <w:spacing w:line="360" w:lineRule="auto"/>
        <w:jc w:val="both"/>
        <w:rPr>
          <w:rFonts w:ascii="Palatino Linotype" w:eastAsia="Palatino Linotype" w:hAnsi="Palatino Linotype" w:cs="Palatino Linotype"/>
          <w:color w:val="000000" w:themeColor="text1"/>
        </w:rPr>
      </w:pPr>
    </w:p>
    <w:p w14:paraId="0C080CC9" w14:textId="77777777" w:rsidR="00023BFF" w:rsidRPr="001D4751" w:rsidRDefault="00023BFF" w:rsidP="0037630E">
      <w:pPr>
        <w:spacing w:line="360" w:lineRule="auto"/>
        <w:jc w:val="both"/>
        <w:rPr>
          <w:rFonts w:ascii="Palatino Linotype" w:eastAsia="Palatino Linotype" w:hAnsi="Palatino Linotype" w:cs="Palatino Linotype"/>
          <w:color w:val="000000" w:themeColor="text1"/>
        </w:rPr>
      </w:pPr>
    </w:p>
    <w:p w14:paraId="2BDF4281" w14:textId="77777777" w:rsidR="00023BFF" w:rsidRPr="001D4751" w:rsidRDefault="00023BFF" w:rsidP="0037630E">
      <w:pPr>
        <w:spacing w:line="360" w:lineRule="auto"/>
        <w:jc w:val="both"/>
        <w:rPr>
          <w:rFonts w:ascii="Palatino Linotype" w:eastAsia="Palatino Linotype" w:hAnsi="Palatino Linotype" w:cs="Palatino Linotype"/>
          <w:color w:val="000000" w:themeColor="text1"/>
        </w:rPr>
      </w:pPr>
    </w:p>
    <w:p w14:paraId="2F070D48" w14:textId="77777777" w:rsidR="00023BFF" w:rsidRPr="001D4751" w:rsidRDefault="00023BFF" w:rsidP="0037630E">
      <w:pPr>
        <w:spacing w:line="360" w:lineRule="auto"/>
        <w:jc w:val="both"/>
        <w:rPr>
          <w:rFonts w:ascii="Palatino Linotype" w:eastAsia="Palatino Linotype" w:hAnsi="Palatino Linotype" w:cs="Palatino Linotype"/>
          <w:color w:val="000000" w:themeColor="text1"/>
        </w:rPr>
      </w:pPr>
    </w:p>
    <w:p w14:paraId="3C954265" w14:textId="77777777" w:rsidR="00023BFF" w:rsidRPr="001D4751" w:rsidRDefault="00023BFF" w:rsidP="0037630E">
      <w:pPr>
        <w:spacing w:line="360" w:lineRule="auto"/>
        <w:jc w:val="both"/>
        <w:rPr>
          <w:rFonts w:ascii="Palatino Linotype" w:eastAsia="Palatino Linotype" w:hAnsi="Palatino Linotype" w:cs="Palatino Linotype"/>
          <w:color w:val="000000" w:themeColor="text1"/>
        </w:rPr>
      </w:pPr>
    </w:p>
    <w:p w14:paraId="45210238" w14:textId="77777777" w:rsidR="00023BFF" w:rsidRPr="001D4751" w:rsidRDefault="00023BFF" w:rsidP="0037630E">
      <w:pPr>
        <w:spacing w:line="360" w:lineRule="auto"/>
        <w:jc w:val="both"/>
        <w:rPr>
          <w:rFonts w:ascii="Palatino Linotype" w:eastAsia="Palatino Linotype" w:hAnsi="Palatino Linotype" w:cs="Palatino Linotype"/>
          <w:color w:val="000000" w:themeColor="text1"/>
        </w:rPr>
      </w:pPr>
    </w:p>
    <w:p w14:paraId="1E5EFCE8" w14:textId="77777777" w:rsidR="00023BFF" w:rsidRPr="001D4751" w:rsidRDefault="00023BFF" w:rsidP="0037630E">
      <w:pPr>
        <w:spacing w:line="360" w:lineRule="auto"/>
        <w:rPr>
          <w:rFonts w:ascii="Palatino Linotype" w:eastAsia="Palatino Linotype" w:hAnsi="Palatino Linotype" w:cs="Palatino Linotype"/>
          <w:color w:val="000000" w:themeColor="text1"/>
        </w:rPr>
      </w:pPr>
    </w:p>
    <w:p w14:paraId="3D190C99" w14:textId="77777777" w:rsidR="00023BFF" w:rsidRPr="001D4751" w:rsidRDefault="00023BFF" w:rsidP="0037630E">
      <w:pPr>
        <w:spacing w:line="360" w:lineRule="auto"/>
        <w:rPr>
          <w:rFonts w:ascii="Palatino Linotype" w:eastAsia="Palatino Linotype" w:hAnsi="Palatino Linotype" w:cs="Palatino Linotype"/>
          <w:color w:val="000000" w:themeColor="text1"/>
        </w:rPr>
      </w:pPr>
    </w:p>
    <w:p w14:paraId="05052BE4" w14:textId="77777777" w:rsidR="00023BFF" w:rsidRPr="001D4751" w:rsidRDefault="00023BFF" w:rsidP="0037630E">
      <w:pPr>
        <w:spacing w:line="360" w:lineRule="auto"/>
        <w:rPr>
          <w:rFonts w:ascii="Palatino Linotype" w:eastAsia="Palatino Linotype" w:hAnsi="Palatino Linotype" w:cs="Palatino Linotype"/>
          <w:color w:val="000000" w:themeColor="text1"/>
        </w:rPr>
      </w:pPr>
    </w:p>
    <w:p w14:paraId="3271894B" w14:textId="77777777" w:rsidR="00023BFF" w:rsidRPr="001D4751" w:rsidRDefault="00023BFF" w:rsidP="0037630E">
      <w:pPr>
        <w:spacing w:line="360" w:lineRule="auto"/>
        <w:rPr>
          <w:rFonts w:ascii="Palatino Linotype" w:eastAsia="Palatino Linotype" w:hAnsi="Palatino Linotype" w:cs="Palatino Linotype"/>
          <w:color w:val="000000" w:themeColor="text1"/>
        </w:rPr>
      </w:pPr>
    </w:p>
    <w:p w14:paraId="48ACD651" w14:textId="77777777" w:rsidR="00023BFF" w:rsidRPr="001D4751" w:rsidRDefault="00023BFF" w:rsidP="0037630E">
      <w:pPr>
        <w:spacing w:line="360" w:lineRule="auto"/>
        <w:rPr>
          <w:rFonts w:ascii="Palatino Linotype" w:eastAsia="Palatino Linotype" w:hAnsi="Palatino Linotype" w:cs="Palatino Linotype"/>
          <w:color w:val="000000" w:themeColor="text1"/>
        </w:rPr>
      </w:pPr>
    </w:p>
    <w:p w14:paraId="29A6B3A0" w14:textId="77777777" w:rsidR="00023BFF" w:rsidRPr="001D4751" w:rsidRDefault="00023BFF" w:rsidP="0037630E">
      <w:pPr>
        <w:spacing w:line="360" w:lineRule="auto"/>
        <w:rPr>
          <w:rFonts w:ascii="Palatino Linotype" w:eastAsia="Palatino Linotype" w:hAnsi="Palatino Linotype" w:cs="Palatino Linotype"/>
          <w:color w:val="000000" w:themeColor="text1"/>
        </w:rPr>
      </w:pPr>
    </w:p>
    <w:p w14:paraId="7B45BE90" w14:textId="77777777" w:rsidR="00023BFF" w:rsidRPr="001D4751" w:rsidRDefault="00023BFF" w:rsidP="0037630E">
      <w:pPr>
        <w:spacing w:line="360" w:lineRule="auto"/>
        <w:rPr>
          <w:rFonts w:ascii="Palatino Linotype" w:eastAsia="Palatino Linotype" w:hAnsi="Palatino Linotype" w:cs="Palatino Linotype"/>
          <w:color w:val="000000" w:themeColor="text1"/>
        </w:rPr>
      </w:pPr>
    </w:p>
    <w:p w14:paraId="3DAC986B" w14:textId="77777777" w:rsidR="00023BFF" w:rsidRPr="001D4751" w:rsidRDefault="00987374" w:rsidP="0037630E">
      <w:pPr>
        <w:tabs>
          <w:tab w:val="left" w:pos="3374"/>
        </w:tabs>
        <w:spacing w:line="360" w:lineRule="auto"/>
        <w:rPr>
          <w:rFonts w:ascii="Palatino Linotype" w:eastAsia="Palatino Linotype" w:hAnsi="Palatino Linotype" w:cs="Palatino Linotype"/>
          <w:color w:val="000000" w:themeColor="text1"/>
        </w:rPr>
      </w:pPr>
      <w:r w:rsidRPr="001D4751">
        <w:rPr>
          <w:rFonts w:ascii="Palatino Linotype" w:eastAsia="Palatino Linotype" w:hAnsi="Palatino Linotype" w:cs="Palatino Linotype"/>
          <w:color w:val="000000" w:themeColor="text1"/>
        </w:rPr>
        <w:tab/>
      </w:r>
    </w:p>
    <w:p w14:paraId="21600F53"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7D389D71"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7FFD0463"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289E5269"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5CCC5724"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2637E77B"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49B826A2"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38AF0399"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2D29C9E4"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37330A58"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3C2095A1"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49191C27"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6359D5C3"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086A92A1"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7B87D678" w14:textId="77777777" w:rsidR="00023BFF" w:rsidRPr="001D4751" w:rsidRDefault="00023BFF" w:rsidP="0037630E">
      <w:pPr>
        <w:tabs>
          <w:tab w:val="left" w:pos="3374"/>
        </w:tabs>
        <w:spacing w:line="360" w:lineRule="auto"/>
        <w:rPr>
          <w:rFonts w:ascii="Palatino Linotype" w:eastAsia="Palatino Linotype" w:hAnsi="Palatino Linotype" w:cs="Palatino Linotype"/>
          <w:color w:val="000000" w:themeColor="text1"/>
        </w:rPr>
      </w:pPr>
    </w:p>
    <w:p w14:paraId="43275CBB" w14:textId="77777777" w:rsidR="00023BFF" w:rsidRPr="001D4751" w:rsidRDefault="00023BFF" w:rsidP="0037630E">
      <w:pPr>
        <w:rPr>
          <w:rFonts w:ascii="Palatino Linotype" w:eastAsia="Palatino Linotype" w:hAnsi="Palatino Linotype" w:cs="Palatino Linotype"/>
          <w:color w:val="000000" w:themeColor="text1"/>
        </w:rPr>
      </w:pPr>
    </w:p>
    <w:sectPr w:rsidR="00023BFF" w:rsidRPr="001D4751" w:rsidSect="0037630E">
      <w:headerReference w:type="even" r:id="rId20"/>
      <w:headerReference w:type="default" r:id="rId21"/>
      <w:footerReference w:type="default" r:id="rId22"/>
      <w:headerReference w:type="first" r:id="rId23"/>
      <w:footerReference w:type="first" r:id="rId24"/>
      <w:pgSz w:w="12240" w:h="15840"/>
      <w:pgMar w:top="2268" w:right="1183"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33C4C" w14:textId="77777777" w:rsidR="002B027C" w:rsidRDefault="002B027C">
      <w:r>
        <w:separator/>
      </w:r>
    </w:p>
  </w:endnote>
  <w:endnote w:type="continuationSeparator" w:id="0">
    <w:p w14:paraId="10C6CAA3" w14:textId="77777777" w:rsidR="002B027C" w:rsidRDefault="002B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8060F" w14:textId="77777777" w:rsidR="00023BFF" w:rsidRDefault="0098737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101AE">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101AE">
      <w:rPr>
        <w:rFonts w:ascii="Palatino Linotype" w:eastAsia="Palatino Linotype" w:hAnsi="Palatino Linotype" w:cs="Palatino Linotype"/>
        <w:noProof/>
        <w:color w:val="000000"/>
        <w:sz w:val="20"/>
        <w:szCs w:val="20"/>
      </w:rPr>
      <w:t>54</w:t>
    </w:r>
    <w:r>
      <w:rPr>
        <w:rFonts w:ascii="Palatino Linotype" w:eastAsia="Palatino Linotype" w:hAnsi="Palatino Linotype" w:cs="Palatino Linotype"/>
        <w:color w:val="000000"/>
        <w:sz w:val="20"/>
        <w:szCs w:val="20"/>
      </w:rPr>
      <w:fldChar w:fldCharType="end"/>
    </w:r>
  </w:p>
  <w:p w14:paraId="469D49C3" w14:textId="77777777" w:rsidR="00023BFF" w:rsidRDefault="00023BF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9080A" w14:textId="77777777" w:rsidR="00023BFF" w:rsidRDefault="0098737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101AE">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101AE">
      <w:rPr>
        <w:rFonts w:ascii="Palatino Linotype" w:eastAsia="Palatino Linotype" w:hAnsi="Palatino Linotype" w:cs="Palatino Linotype"/>
        <w:noProof/>
        <w:color w:val="000000"/>
        <w:sz w:val="20"/>
        <w:szCs w:val="20"/>
      </w:rPr>
      <w:t>54</w:t>
    </w:r>
    <w:r>
      <w:rPr>
        <w:rFonts w:ascii="Palatino Linotype" w:eastAsia="Palatino Linotype" w:hAnsi="Palatino Linotype" w:cs="Palatino Linotype"/>
        <w:color w:val="000000"/>
        <w:sz w:val="20"/>
        <w:szCs w:val="20"/>
      </w:rPr>
      <w:fldChar w:fldCharType="end"/>
    </w:r>
  </w:p>
  <w:p w14:paraId="423647C4" w14:textId="77777777" w:rsidR="00023BFF" w:rsidRDefault="00023BF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B5219" w14:textId="77777777" w:rsidR="002B027C" w:rsidRDefault="002B027C">
      <w:r>
        <w:separator/>
      </w:r>
    </w:p>
  </w:footnote>
  <w:footnote w:type="continuationSeparator" w:id="0">
    <w:p w14:paraId="6F34DA55" w14:textId="77777777" w:rsidR="002B027C" w:rsidRDefault="002B027C">
      <w:r>
        <w:continuationSeparator/>
      </w:r>
    </w:p>
  </w:footnote>
  <w:footnote w:id="1">
    <w:p w14:paraId="0AFDCA31" w14:textId="77777777" w:rsidR="00023BFF" w:rsidRDefault="0098737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454260B0" w14:textId="77777777" w:rsidR="00023BFF" w:rsidRDefault="0098737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1E842432" w14:textId="77777777" w:rsidR="00023BFF" w:rsidRDefault="0098737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4E6D46FD" w14:textId="77777777" w:rsidR="00023BFF" w:rsidRDefault="0098737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155D2" w14:textId="77777777" w:rsidR="00023BFF" w:rsidRDefault="002B027C">
    <w:pPr>
      <w:pBdr>
        <w:top w:val="nil"/>
        <w:left w:val="nil"/>
        <w:bottom w:val="nil"/>
        <w:right w:val="nil"/>
        <w:between w:val="nil"/>
      </w:pBdr>
      <w:tabs>
        <w:tab w:val="center" w:pos="4419"/>
        <w:tab w:val="right" w:pos="8838"/>
      </w:tabs>
      <w:rPr>
        <w:color w:val="000000"/>
      </w:rPr>
    </w:pPr>
    <w:r>
      <w:rPr>
        <w:color w:val="000000"/>
      </w:rPr>
      <w:pict w14:anchorId="3C285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348" w:type="dxa"/>
      <w:tblInd w:w="0" w:type="dxa"/>
      <w:tblLayout w:type="fixed"/>
      <w:tblLook w:val="0400" w:firstRow="0" w:lastRow="0" w:firstColumn="0" w:lastColumn="0" w:noHBand="0" w:noVBand="1"/>
    </w:tblPr>
    <w:tblGrid>
      <w:gridCol w:w="2311"/>
      <w:gridCol w:w="8037"/>
    </w:tblGrid>
    <w:tr w:rsidR="00023BFF" w14:paraId="5D3D1723" w14:textId="77777777">
      <w:trPr>
        <w:trHeight w:val="1230"/>
      </w:trPr>
      <w:tc>
        <w:tcPr>
          <w:tcW w:w="2311" w:type="dxa"/>
          <w:shd w:val="clear" w:color="auto" w:fill="auto"/>
        </w:tcPr>
        <w:p w14:paraId="66EB4BB0" w14:textId="77777777" w:rsidR="00023BFF" w:rsidRDefault="00023BFF">
          <w:pPr>
            <w:tabs>
              <w:tab w:val="right" w:pos="4273"/>
            </w:tabs>
            <w:rPr>
              <w:rFonts w:ascii="Garamond" w:eastAsia="Garamond" w:hAnsi="Garamond" w:cs="Garamond"/>
              <w:sz w:val="16"/>
              <w:szCs w:val="16"/>
            </w:rPr>
          </w:pPr>
        </w:p>
      </w:tc>
      <w:tc>
        <w:tcPr>
          <w:tcW w:w="8037" w:type="dxa"/>
          <w:shd w:val="clear" w:color="auto" w:fill="auto"/>
        </w:tcPr>
        <w:tbl>
          <w:tblPr>
            <w:tblStyle w:val="a2"/>
            <w:tblW w:w="6955" w:type="dxa"/>
            <w:tblInd w:w="1330" w:type="dxa"/>
            <w:tblLayout w:type="fixed"/>
            <w:tblLook w:val="0400" w:firstRow="0" w:lastRow="0" w:firstColumn="0" w:lastColumn="0" w:noHBand="0" w:noVBand="1"/>
          </w:tblPr>
          <w:tblGrid>
            <w:gridCol w:w="2765"/>
            <w:gridCol w:w="4190"/>
          </w:tblGrid>
          <w:tr w:rsidR="00023BFF" w:rsidRPr="0037630E" w14:paraId="533D2405" w14:textId="77777777" w:rsidTr="0037630E">
            <w:trPr>
              <w:trHeight w:val="128"/>
            </w:trPr>
            <w:tc>
              <w:tcPr>
                <w:tcW w:w="2765" w:type="dxa"/>
                <w:shd w:val="clear" w:color="auto" w:fill="auto"/>
              </w:tcPr>
              <w:p w14:paraId="453F58FE" w14:textId="77777777" w:rsidR="00023BFF" w:rsidRPr="0037630E" w:rsidRDefault="00987374" w:rsidP="0037630E">
                <w:pPr>
                  <w:tabs>
                    <w:tab w:val="right" w:pos="8838"/>
                  </w:tabs>
                  <w:ind w:right="-105"/>
                  <w:jc w:val="right"/>
                  <w:rPr>
                    <w:rFonts w:ascii="Palatino Linotype" w:eastAsia="Palatino Linotype" w:hAnsi="Palatino Linotype" w:cs="Palatino Linotype"/>
                    <w:b/>
                  </w:rPr>
                </w:pPr>
                <w:r w:rsidRPr="0037630E">
                  <w:rPr>
                    <w:rFonts w:ascii="Palatino Linotype" w:eastAsia="Palatino Linotype" w:hAnsi="Palatino Linotype" w:cs="Palatino Linotype"/>
                    <w:b/>
                  </w:rPr>
                  <w:t>Recurso de Revisión:</w:t>
                </w:r>
              </w:p>
            </w:tc>
            <w:tc>
              <w:tcPr>
                <w:tcW w:w="4190" w:type="dxa"/>
                <w:shd w:val="clear" w:color="auto" w:fill="auto"/>
              </w:tcPr>
              <w:p w14:paraId="2A45CFAF" w14:textId="77777777" w:rsidR="00023BFF" w:rsidRPr="0037630E" w:rsidRDefault="00987374" w:rsidP="0037630E">
                <w:pPr>
                  <w:tabs>
                    <w:tab w:val="right" w:pos="8838"/>
                  </w:tabs>
                  <w:ind w:right="-102"/>
                  <w:jc w:val="both"/>
                  <w:rPr>
                    <w:rFonts w:ascii="Palatino Linotype" w:eastAsia="Palatino Linotype" w:hAnsi="Palatino Linotype" w:cs="Palatino Linotype"/>
                  </w:rPr>
                </w:pPr>
                <w:r w:rsidRPr="0037630E">
                  <w:rPr>
                    <w:rFonts w:ascii="Palatino Linotype" w:eastAsia="Palatino Linotype" w:hAnsi="Palatino Linotype" w:cs="Palatino Linotype"/>
                  </w:rPr>
                  <w:t>01453/INFOEM/IP/RR/2025</w:t>
                </w:r>
              </w:p>
            </w:tc>
          </w:tr>
          <w:tr w:rsidR="00023BFF" w:rsidRPr="0037630E" w14:paraId="6CEC9EC0" w14:textId="77777777" w:rsidTr="0037630E">
            <w:trPr>
              <w:trHeight w:val="252"/>
            </w:trPr>
            <w:tc>
              <w:tcPr>
                <w:tcW w:w="2765" w:type="dxa"/>
                <w:shd w:val="clear" w:color="auto" w:fill="auto"/>
              </w:tcPr>
              <w:p w14:paraId="6B9BBD8A" w14:textId="77777777" w:rsidR="00023BFF" w:rsidRPr="0037630E" w:rsidRDefault="00987374" w:rsidP="0037630E">
                <w:pPr>
                  <w:tabs>
                    <w:tab w:val="right" w:pos="8838"/>
                  </w:tabs>
                  <w:ind w:right="-105"/>
                  <w:jc w:val="right"/>
                  <w:rPr>
                    <w:rFonts w:ascii="Palatino Linotype" w:eastAsia="Palatino Linotype" w:hAnsi="Palatino Linotype" w:cs="Palatino Linotype"/>
                    <w:b/>
                  </w:rPr>
                </w:pPr>
                <w:r w:rsidRPr="0037630E">
                  <w:rPr>
                    <w:rFonts w:ascii="Palatino Linotype" w:eastAsia="Palatino Linotype" w:hAnsi="Palatino Linotype" w:cs="Palatino Linotype"/>
                    <w:b/>
                  </w:rPr>
                  <w:t>Sujeto Obligado:</w:t>
                </w:r>
              </w:p>
            </w:tc>
            <w:tc>
              <w:tcPr>
                <w:tcW w:w="4190" w:type="dxa"/>
                <w:shd w:val="clear" w:color="auto" w:fill="auto"/>
              </w:tcPr>
              <w:p w14:paraId="50C33C49" w14:textId="77777777" w:rsidR="00023BFF" w:rsidRPr="0037630E" w:rsidRDefault="00987374" w:rsidP="0037630E">
                <w:pPr>
                  <w:tabs>
                    <w:tab w:val="left" w:pos="2834"/>
                    <w:tab w:val="right" w:pos="8838"/>
                  </w:tabs>
                  <w:ind w:right="-102"/>
                  <w:jc w:val="both"/>
                  <w:rPr>
                    <w:rFonts w:ascii="Palatino Linotype" w:eastAsia="Palatino Linotype" w:hAnsi="Palatino Linotype" w:cs="Palatino Linotype"/>
                  </w:rPr>
                </w:pPr>
                <w:r w:rsidRPr="0037630E">
                  <w:rPr>
                    <w:rFonts w:ascii="Palatino Linotype" w:eastAsia="Palatino Linotype" w:hAnsi="Palatino Linotype" w:cs="Palatino Linotype"/>
                  </w:rPr>
                  <w:t>Ayuntamiento de Cuautitlán</w:t>
                </w:r>
              </w:p>
            </w:tc>
          </w:tr>
          <w:tr w:rsidR="00023BFF" w:rsidRPr="0037630E" w14:paraId="1A6520EB" w14:textId="77777777" w:rsidTr="0037630E">
            <w:trPr>
              <w:trHeight w:val="252"/>
            </w:trPr>
            <w:tc>
              <w:tcPr>
                <w:tcW w:w="2765" w:type="dxa"/>
                <w:shd w:val="clear" w:color="auto" w:fill="auto"/>
              </w:tcPr>
              <w:p w14:paraId="4C930A9C" w14:textId="77777777" w:rsidR="00023BFF" w:rsidRPr="0037630E" w:rsidRDefault="00987374" w:rsidP="0037630E">
                <w:pPr>
                  <w:tabs>
                    <w:tab w:val="right" w:pos="8838"/>
                  </w:tabs>
                  <w:ind w:right="-105"/>
                  <w:jc w:val="right"/>
                  <w:rPr>
                    <w:rFonts w:ascii="Palatino Linotype" w:eastAsia="Palatino Linotype" w:hAnsi="Palatino Linotype" w:cs="Palatino Linotype"/>
                    <w:b/>
                  </w:rPr>
                </w:pPr>
                <w:r w:rsidRPr="0037630E">
                  <w:rPr>
                    <w:rFonts w:ascii="Palatino Linotype" w:eastAsia="Palatino Linotype" w:hAnsi="Palatino Linotype" w:cs="Palatino Linotype"/>
                    <w:b/>
                  </w:rPr>
                  <w:t>Comisionado ponente:</w:t>
                </w:r>
              </w:p>
            </w:tc>
            <w:tc>
              <w:tcPr>
                <w:tcW w:w="4190" w:type="dxa"/>
                <w:shd w:val="clear" w:color="auto" w:fill="auto"/>
              </w:tcPr>
              <w:p w14:paraId="400ADB03" w14:textId="77777777" w:rsidR="00023BFF" w:rsidRPr="0037630E" w:rsidRDefault="00987374" w:rsidP="0037630E">
                <w:pPr>
                  <w:tabs>
                    <w:tab w:val="right" w:pos="8838"/>
                  </w:tabs>
                  <w:ind w:right="171"/>
                  <w:jc w:val="both"/>
                  <w:rPr>
                    <w:rFonts w:ascii="Palatino Linotype" w:eastAsia="Palatino Linotype" w:hAnsi="Palatino Linotype" w:cs="Palatino Linotype"/>
                  </w:rPr>
                </w:pPr>
                <w:r w:rsidRPr="0037630E">
                  <w:rPr>
                    <w:rFonts w:ascii="Palatino Linotype" w:eastAsia="Palatino Linotype" w:hAnsi="Palatino Linotype" w:cs="Palatino Linotype"/>
                  </w:rPr>
                  <w:t>María del Rosario Mejía Ayala</w:t>
                </w:r>
              </w:p>
              <w:p w14:paraId="7B80E1D8" w14:textId="77777777" w:rsidR="00023BFF" w:rsidRPr="0037630E" w:rsidRDefault="00023BFF" w:rsidP="0037630E">
                <w:pPr>
                  <w:tabs>
                    <w:tab w:val="right" w:pos="8838"/>
                  </w:tabs>
                  <w:ind w:right="171"/>
                  <w:jc w:val="both"/>
                  <w:rPr>
                    <w:rFonts w:ascii="Palatino Linotype" w:eastAsia="Palatino Linotype" w:hAnsi="Palatino Linotype" w:cs="Palatino Linotype"/>
                  </w:rPr>
                </w:pPr>
              </w:p>
            </w:tc>
          </w:tr>
        </w:tbl>
        <w:p w14:paraId="34AC9E2E" w14:textId="77777777" w:rsidR="00023BFF" w:rsidRDefault="00023BFF">
          <w:pPr>
            <w:tabs>
              <w:tab w:val="right" w:pos="8838"/>
            </w:tabs>
            <w:ind w:left="-28"/>
            <w:jc w:val="both"/>
            <w:rPr>
              <w:rFonts w:ascii="Arial" w:eastAsia="Arial" w:hAnsi="Arial" w:cs="Arial"/>
              <w:b/>
              <w:sz w:val="22"/>
              <w:szCs w:val="22"/>
            </w:rPr>
          </w:pPr>
        </w:p>
      </w:tc>
    </w:tr>
  </w:tbl>
  <w:p w14:paraId="0BAD7E0C" w14:textId="77777777" w:rsidR="00023BFF" w:rsidRDefault="002B027C">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735E1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490" w:type="dxa"/>
      <w:tblInd w:w="0" w:type="dxa"/>
      <w:tblLayout w:type="fixed"/>
      <w:tblLook w:val="0400" w:firstRow="0" w:lastRow="0" w:firstColumn="0" w:lastColumn="0" w:noHBand="0" w:noVBand="1"/>
    </w:tblPr>
    <w:tblGrid>
      <w:gridCol w:w="2410"/>
      <w:gridCol w:w="8080"/>
    </w:tblGrid>
    <w:tr w:rsidR="00023BFF" w14:paraId="7D81754D" w14:textId="77777777">
      <w:trPr>
        <w:trHeight w:val="1435"/>
      </w:trPr>
      <w:tc>
        <w:tcPr>
          <w:tcW w:w="2410" w:type="dxa"/>
          <w:shd w:val="clear" w:color="auto" w:fill="auto"/>
        </w:tcPr>
        <w:p w14:paraId="3DC5C6BD" w14:textId="77777777" w:rsidR="00023BFF" w:rsidRDefault="00023BFF">
          <w:pPr>
            <w:tabs>
              <w:tab w:val="right" w:pos="4273"/>
            </w:tabs>
            <w:rPr>
              <w:rFonts w:ascii="Garamond" w:eastAsia="Garamond" w:hAnsi="Garamond" w:cs="Garamond"/>
              <w:sz w:val="22"/>
              <w:szCs w:val="22"/>
            </w:rPr>
          </w:pPr>
        </w:p>
      </w:tc>
      <w:tc>
        <w:tcPr>
          <w:tcW w:w="8080" w:type="dxa"/>
          <w:shd w:val="clear" w:color="auto" w:fill="auto"/>
        </w:tcPr>
        <w:tbl>
          <w:tblPr>
            <w:tblStyle w:val="a4"/>
            <w:tblW w:w="7231" w:type="dxa"/>
            <w:tblInd w:w="1019" w:type="dxa"/>
            <w:tblLayout w:type="fixed"/>
            <w:tblLook w:val="0400" w:firstRow="0" w:lastRow="0" w:firstColumn="0" w:lastColumn="0" w:noHBand="0" w:noVBand="1"/>
          </w:tblPr>
          <w:tblGrid>
            <w:gridCol w:w="2548"/>
            <w:gridCol w:w="4683"/>
          </w:tblGrid>
          <w:tr w:rsidR="00023BFF" w:rsidRPr="0037630E" w14:paraId="59DC26F0" w14:textId="77777777">
            <w:trPr>
              <w:trHeight w:val="148"/>
            </w:trPr>
            <w:tc>
              <w:tcPr>
                <w:tcW w:w="2548" w:type="dxa"/>
                <w:shd w:val="clear" w:color="auto" w:fill="auto"/>
              </w:tcPr>
              <w:p w14:paraId="50CBEC6D" w14:textId="77777777" w:rsidR="00023BFF" w:rsidRPr="0037630E" w:rsidRDefault="00987374" w:rsidP="0037630E">
                <w:pPr>
                  <w:tabs>
                    <w:tab w:val="right" w:pos="8838"/>
                  </w:tabs>
                  <w:ind w:left="-264" w:right="-105" w:firstLine="195"/>
                  <w:jc w:val="right"/>
                  <w:rPr>
                    <w:rFonts w:ascii="Palatino Linotype" w:eastAsia="Palatino Linotype" w:hAnsi="Palatino Linotype" w:cs="Palatino Linotype"/>
                    <w:b/>
                  </w:rPr>
                </w:pPr>
                <w:r w:rsidRPr="0037630E">
                  <w:rPr>
                    <w:rFonts w:ascii="Palatino Linotype" w:eastAsia="Palatino Linotype" w:hAnsi="Palatino Linotype" w:cs="Palatino Linotype"/>
                    <w:b/>
                  </w:rPr>
                  <w:t>Recurso de Revisión:</w:t>
                </w:r>
              </w:p>
            </w:tc>
            <w:tc>
              <w:tcPr>
                <w:tcW w:w="4683" w:type="dxa"/>
                <w:shd w:val="clear" w:color="auto" w:fill="auto"/>
              </w:tcPr>
              <w:p w14:paraId="3A39E392" w14:textId="77777777" w:rsidR="00023BFF" w:rsidRPr="0037630E" w:rsidRDefault="00987374">
                <w:pPr>
                  <w:tabs>
                    <w:tab w:val="right" w:pos="8838"/>
                  </w:tabs>
                  <w:ind w:left="-74" w:right="-105"/>
                  <w:jc w:val="both"/>
                  <w:rPr>
                    <w:rFonts w:ascii="Palatino Linotype" w:eastAsia="Palatino Linotype" w:hAnsi="Palatino Linotype" w:cs="Palatino Linotype"/>
                  </w:rPr>
                </w:pPr>
                <w:r w:rsidRPr="0037630E">
                  <w:rPr>
                    <w:rFonts w:ascii="Palatino Linotype" w:eastAsia="Palatino Linotype" w:hAnsi="Palatino Linotype" w:cs="Palatino Linotype"/>
                  </w:rPr>
                  <w:t>01453/INFOEM/IP/RR/2025</w:t>
                </w:r>
              </w:p>
            </w:tc>
          </w:tr>
          <w:tr w:rsidR="00023BFF" w:rsidRPr="0037630E" w14:paraId="655F3F77" w14:textId="77777777">
            <w:trPr>
              <w:trHeight w:val="148"/>
            </w:trPr>
            <w:tc>
              <w:tcPr>
                <w:tcW w:w="2548" w:type="dxa"/>
                <w:shd w:val="clear" w:color="auto" w:fill="auto"/>
              </w:tcPr>
              <w:p w14:paraId="6DCEA94A" w14:textId="77777777" w:rsidR="00023BFF" w:rsidRPr="0037630E" w:rsidRDefault="00987374" w:rsidP="0037630E">
                <w:pPr>
                  <w:tabs>
                    <w:tab w:val="right" w:pos="8838"/>
                  </w:tabs>
                  <w:ind w:left="-74" w:right="-105"/>
                  <w:jc w:val="right"/>
                  <w:rPr>
                    <w:rFonts w:ascii="Palatino Linotype" w:eastAsia="Palatino Linotype" w:hAnsi="Palatino Linotype" w:cs="Palatino Linotype"/>
                    <w:b/>
                  </w:rPr>
                </w:pPr>
                <w:r w:rsidRPr="0037630E">
                  <w:rPr>
                    <w:rFonts w:ascii="Palatino Linotype" w:eastAsia="Palatino Linotype" w:hAnsi="Palatino Linotype" w:cs="Palatino Linotype"/>
                    <w:b/>
                  </w:rPr>
                  <w:t>Recurrente:</w:t>
                </w:r>
              </w:p>
            </w:tc>
            <w:tc>
              <w:tcPr>
                <w:tcW w:w="4683" w:type="dxa"/>
                <w:shd w:val="clear" w:color="auto" w:fill="auto"/>
              </w:tcPr>
              <w:p w14:paraId="2C416F80" w14:textId="1F854E43" w:rsidR="00023BFF" w:rsidRPr="0037630E" w:rsidRDefault="00023BFF">
                <w:pPr>
                  <w:tabs>
                    <w:tab w:val="left" w:pos="3122"/>
                    <w:tab w:val="right" w:pos="8838"/>
                  </w:tabs>
                  <w:ind w:left="-74" w:right="-105"/>
                  <w:jc w:val="both"/>
                  <w:rPr>
                    <w:rFonts w:ascii="Palatino Linotype" w:eastAsia="Palatino Linotype" w:hAnsi="Palatino Linotype" w:cs="Palatino Linotype"/>
                  </w:rPr>
                </w:pPr>
              </w:p>
            </w:tc>
          </w:tr>
          <w:tr w:rsidR="00023BFF" w:rsidRPr="0037630E" w14:paraId="623670DE" w14:textId="77777777">
            <w:trPr>
              <w:trHeight w:val="292"/>
            </w:trPr>
            <w:tc>
              <w:tcPr>
                <w:tcW w:w="2548" w:type="dxa"/>
                <w:shd w:val="clear" w:color="auto" w:fill="auto"/>
              </w:tcPr>
              <w:p w14:paraId="12129A64" w14:textId="77777777" w:rsidR="00023BFF" w:rsidRPr="0037630E" w:rsidRDefault="00987374" w:rsidP="0037630E">
                <w:pPr>
                  <w:tabs>
                    <w:tab w:val="right" w:pos="8838"/>
                  </w:tabs>
                  <w:ind w:left="-74" w:right="-105"/>
                  <w:jc w:val="right"/>
                  <w:rPr>
                    <w:rFonts w:ascii="Palatino Linotype" w:eastAsia="Palatino Linotype" w:hAnsi="Palatino Linotype" w:cs="Palatino Linotype"/>
                    <w:b/>
                  </w:rPr>
                </w:pPr>
                <w:r w:rsidRPr="0037630E">
                  <w:rPr>
                    <w:rFonts w:ascii="Palatino Linotype" w:eastAsia="Palatino Linotype" w:hAnsi="Palatino Linotype" w:cs="Palatino Linotype"/>
                    <w:b/>
                  </w:rPr>
                  <w:t>Sujeto Obligado:</w:t>
                </w:r>
              </w:p>
            </w:tc>
            <w:tc>
              <w:tcPr>
                <w:tcW w:w="4683" w:type="dxa"/>
                <w:shd w:val="clear" w:color="auto" w:fill="auto"/>
              </w:tcPr>
              <w:p w14:paraId="6EB99FDA" w14:textId="77777777" w:rsidR="00023BFF" w:rsidRPr="0037630E" w:rsidRDefault="00987374">
                <w:pPr>
                  <w:tabs>
                    <w:tab w:val="right" w:pos="8838"/>
                  </w:tabs>
                  <w:ind w:left="-74" w:right="-105"/>
                  <w:jc w:val="both"/>
                  <w:rPr>
                    <w:rFonts w:ascii="Palatino Linotype" w:eastAsia="Palatino Linotype" w:hAnsi="Palatino Linotype" w:cs="Palatino Linotype"/>
                  </w:rPr>
                </w:pPr>
                <w:r w:rsidRPr="0037630E">
                  <w:rPr>
                    <w:rFonts w:ascii="Palatino Linotype" w:eastAsia="Palatino Linotype" w:hAnsi="Palatino Linotype" w:cs="Palatino Linotype"/>
                  </w:rPr>
                  <w:t>Ayuntamiento de Cuautitlán</w:t>
                </w:r>
              </w:p>
            </w:tc>
          </w:tr>
          <w:tr w:rsidR="00023BFF" w:rsidRPr="0037630E" w14:paraId="1FAB3D27" w14:textId="77777777">
            <w:trPr>
              <w:trHeight w:val="292"/>
            </w:trPr>
            <w:tc>
              <w:tcPr>
                <w:tcW w:w="2548" w:type="dxa"/>
                <w:shd w:val="clear" w:color="auto" w:fill="auto"/>
              </w:tcPr>
              <w:p w14:paraId="5D94EC75" w14:textId="77777777" w:rsidR="00023BFF" w:rsidRPr="0037630E" w:rsidRDefault="00987374" w:rsidP="0037630E">
                <w:pPr>
                  <w:tabs>
                    <w:tab w:val="right" w:pos="8838"/>
                  </w:tabs>
                  <w:ind w:left="-74" w:right="-105"/>
                  <w:jc w:val="right"/>
                  <w:rPr>
                    <w:rFonts w:ascii="Palatino Linotype" w:eastAsia="Palatino Linotype" w:hAnsi="Palatino Linotype" w:cs="Palatino Linotype"/>
                    <w:b/>
                  </w:rPr>
                </w:pPr>
                <w:r w:rsidRPr="0037630E">
                  <w:rPr>
                    <w:rFonts w:ascii="Palatino Linotype" w:eastAsia="Palatino Linotype" w:hAnsi="Palatino Linotype" w:cs="Palatino Linotype"/>
                    <w:b/>
                  </w:rPr>
                  <w:t>Comisionado ponente:</w:t>
                </w:r>
              </w:p>
            </w:tc>
            <w:tc>
              <w:tcPr>
                <w:tcW w:w="4683" w:type="dxa"/>
                <w:shd w:val="clear" w:color="auto" w:fill="auto"/>
              </w:tcPr>
              <w:p w14:paraId="35402F5A" w14:textId="77777777" w:rsidR="00023BFF" w:rsidRPr="0037630E" w:rsidRDefault="00987374">
                <w:pPr>
                  <w:tabs>
                    <w:tab w:val="right" w:pos="8838"/>
                  </w:tabs>
                  <w:ind w:left="-74" w:right="-105"/>
                  <w:jc w:val="both"/>
                  <w:rPr>
                    <w:rFonts w:ascii="Palatino Linotype" w:eastAsia="Palatino Linotype" w:hAnsi="Palatino Linotype" w:cs="Palatino Linotype"/>
                  </w:rPr>
                </w:pPr>
                <w:r w:rsidRPr="0037630E">
                  <w:rPr>
                    <w:rFonts w:ascii="Palatino Linotype" w:eastAsia="Palatino Linotype" w:hAnsi="Palatino Linotype" w:cs="Palatino Linotype"/>
                  </w:rPr>
                  <w:t>María del Rosario Mejía Ayala</w:t>
                </w:r>
              </w:p>
              <w:p w14:paraId="7A656A48" w14:textId="77777777" w:rsidR="00023BFF" w:rsidRPr="0037630E" w:rsidRDefault="00023BFF">
                <w:pPr>
                  <w:tabs>
                    <w:tab w:val="right" w:pos="8838"/>
                  </w:tabs>
                  <w:ind w:left="-74" w:right="-105"/>
                  <w:jc w:val="both"/>
                  <w:rPr>
                    <w:rFonts w:ascii="Palatino Linotype" w:eastAsia="Palatino Linotype" w:hAnsi="Palatino Linotype" w:cs="Palatino Linotype"/>
                  </w:rPr>
                </w:pPr>
              </w:p>
            </w:tc>
          </w:tr>
        </w:tbl>
        <w:p w14:paraId="0755B15A" w14:textId="77777777" w:rsidR="00023BFF" w:rsidRDefault="00023BFF">
          <w:pPr>
            <w:tabs>
              <w:tab w:val="right" w:pos="8838"/>
            </w:tabs>
            <w:ind w:left="-28"/>
            <w:jc w:val="both"/>
            <w:rPr>
              <w:rFonts w:ascii="Arial" w:eastAsia="Arial" w:hAnsi="Arial" w:cs="Arial"/>
              <w:b/>
              <w:sz w:val="22"/>
              <w:szCs w:val="22"/>
            </w:rPr>
          </w:pPr>
        </w:p>
      </w:tc>
    </w:tr>
  </w:tbl>
  <w:p w14:paraId="6A7E003C" w14:textId="77777777" w:rsidR="00023BFF" w:rsidRDefault="002B027C">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7C776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B5382"/>
    <w:multiLevelType w:val="multilevel"/>
    <w:tmpl w:val="B3288D14"/>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6C41A2"/>
    <w:multiLevelType w:val="multilevel"/>
    <w:tmpl w:val="605C3F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EF53A7"/>
    <w:multiLevelType w:val="hybridMultilevel"/>
    <w:tmpl w:val="0666C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1F39D3"/>
    <w:multiLevelType w:val="multilevel"/>
    <w:tmpl w:val="24A662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474561"/>
    <w:multiLevelType w:val="multilevel"/>
    <w:tmpl w:val="B032F62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5D764920"/>
    <w:multiLevelType w:val="multilevel"/>
    <w:tmpl w:val="1B2E291A"/>
    <w:lvl w:ilvl="0">
      <w:start w:val="1"/>
      <w:numFmt w:val="decimal"/>
      <w:lvlText w:val="%1."/>
      <w:lvlJc w:val="left"/>
      <w:pPr>
        <w:ind w:left="2204" w:hanging="360"/>
      </w:pPr>
      <w:rPr>
        <w:b/>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6" w15:restartNumberingAfterBreak="0">
    <w:nsid w:val="5D903102"/>
    <w:multiLevelType w:val="multilevel"/>
    <w:tmpl w:val="92264B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3E56C3"/>
    <w:multiLevelType w:val="hybridMultilevel"/>
    <w:tmpl w:val="8438E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DF6937"/>
    <w:multiLevelType w:val="multilevel"/>
    <w:tmpl w:val="49B050C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9" w15:restartNumberingAfterBreak="0">
    <w:nsid w:val="7BED0444"/>
    <w:multiLevelType w:val="multilevel"/>
    <w:tmpl w:val="956E1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5"/>
  </w:num>
  <w:num w:numId="4">
    <w:abstractNumId w:val="4"/>
  </w:num>
  <w:num w:numId="5">
    <w:abstractNumId w:val="3"/>
  </w:num>
  <w:num w:numId="6">
    <w:abstractNumId w:val="8"/>
  </w:num>
  <w:num w:numId="7">
    <w:abstractNumId w:val="9"/>
  </w:num>
  <w:num w:numId="8">
    <w:abstractNumId w:val="1"/>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FF"/>
    <w:rsid w:val="00023BFF"/>
    <w:rsid w:val="0011405A"/>
    <w:rsid w:val="001A4C9F"/>
    <w:rsid w:val="001D4751"/>
    <w:rsid w:val="002B027C"/>
    <w:rsid w:val="0037630E"/>
    <w:rsid w:val="005F3227"/>
    <w:rsid w:val="008E497F"/>
    <w:rsid w:val="00987374"/>
    <w:rsid w:val="00B30489"/>
    <w:rsid w:val="00DA1627"/>
    <w:rsid w:val="00DB2C76"/>
    <w:rsid w:val="00E06668"/>
    <w:rsid w:val="00E101AE"/>
    <w:rsid w:val="00E315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678072"/>
  <w15:docId w15:val="{C6BBC45A-C04C-4F65-8C02-9A20ABB8C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841"/>
    <w:rPr>
      <w:rFonts w:eastAsiaTheme="minorEastAsia"/>
      <w:lang w:eastAsia="es-ES"/>
    </w:rPr>
  </w:style>
  <w:style w:type="paragraph" w:styleId="Ttulo1">
    <w:name w:val="heading 1"/>
    <w:basedOn w:val="Normal"/>
    <w:next w:val="Normal"/>
    <w:link w:val="Ttulo1Car"/>
    <w:uiPriority w:val="9"/>
    <w:qFormat/>
    <w:rsid w:val="002E484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2E484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E4841"/>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2E4841"/>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E4841"/>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2E484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2E4841"/>
    <w:pPr>
      <w:keepNext/>
      <w:keepLines/>
      <w:spacing w:before="480" w:after="120"/>
    </w:pPr>
    <w:rPr>
      <w:b/>
      <w:sz w:val="72"/>
      <w:szCs w:val="72"/>
    </w:rPr>
  </w:style>
  <w:style w:type="character" w:customStyle="1" w:styleId="Ttulo1Car">
    <w:name w:val="Título 1 Car"/>
    <w:basedOn w:val="Fuentedeprrafopredeter"/>
    <w:link w:val="Ttulo1"/>
    <w:uiPriority w:val="9"/>
    <w:rsid w:val="002E4841"/>
    <w:rPr>
      <w:rFonts w:asciiTheme="majorHAnsi" w:eastAsiaTheme="majorEastAsia" w:hAnsiTheme="majorHAnsi" w:cstheme="majorBidi"/>
      <w:color w:val="2E74B5" w:themeColor="accent1" w:themeShade="BF"/>
      <w:sz w:val="40"/>
      <w:szCs w:val="40"/>
      <w:lang w:val="es-ES_tradnl" w:eastAsia="es-ES"/>
    </w:rPr>
  </w:style>
  <w:style w:type="character" w:customStyle="1" w:styleId="Ttulo2Car">
    <w:name w:val="Título 2 Car"/>
    <w:basedOn w:val="Fuentedeprrafopredeter"/>
    <w:link w:val="Ttulo2"/>
    <w:uiPriority w:val="9"/>
    <w:rsid w:val="002E4841"/>
    <w:rPr>
      <w:rFonts w:asciiTheme="majorHAnsi" w:eastAsiaTheme="majorEastAsia" w:hAnsiTheme="majorHAnsi" w:cstheme="majorBidi"/>
      <w:color w:val="2E74B5" w:themeColor="accent1" w:themeShade="BF"/>
      <w:sz w:val="32"/>
      <w:szCs w:val="32"/>
      <w:lang w:val="es-ES_tradnl" w:eastAsia="es-ES"/>
    </w:rPr>
  </w:style>
  <w:style w:type="character" w:customStyle="1" w:styleId="Ttulo3Car">
    <w:name w:val="Título 3 Car"/>
    <w:basedOn w:val="Fuentedeprrafopredeter"/>
    <w:link w:val="Ttulo3"/>
    <w:rsid w:val="002E4841"/>
    <w:rPr>
      <w:rFonts w:ascii="Calibri" w:eastAsiaTheme="minorEastAsia" w:hAnsi="Calibri" w:cs="Calibri"/>
      <w:b/>
      <w:sz w:val="28"/>
      <w:szCs w:val="28"/>
      <w:lang w:val="es-ES_tradnl" w:eastAsia="es-ES"/>
    </w:rPr>
  </w:style>
  <w:style w:type="character" w:customStyle="1" w:styleId="Ttulo4Car">
    <w:name w:val="Título 4 Car"/>
    <w:basedOn w:val="Fuentedeprrafopredeter"/>
    <w:link w:val="Ttulo4"/>
    <w:rsid w:val="002E4841"/>
    <w:rPr>
      <w:rFonts w:ascii="Calibri" w:eastAsiaTheme="minorEastAsia" w:hAnsi="Calibri" w:cs="Calibri"/>
      <w:b/>
      <w:sz w:val="24"/>
      <w:szCs w:val="24"/>
      <w:lang w:val="es-ES_tradnl" w:eastAsia="es-ES"/>
    </w:rPr>
  </w:style>
  <w:style w:type="character" w:customStyle="1" w:styleId="Ttulo5Car">
    <w:name w:val="Título 5 Car"/>
    <w:basedOn w:val="Fuentedeprrafopredeter"/>
    <w:link w:val="Ttulo5"/>
    <w:rsid w:val="002E4841"/>
    <w:rPr>
      <w:rFonts w:ascii="Calibri" w:eastAsiaTheme="minorEastAsia" w:hAnsi="Calibri" w:cs="Calibri"/>
      <w:b/>
      <w:lang w:val="es-ES_tradnl" w:eastAsia="es-ES"/>
    </w:rPr>
  </w:style>
  <w:style w:type="character" w:customStyle="1" w:styleId="Ttulo6Car">
    <w:name w:val="Título 6 Car"/>
    <w:basedOn w:val="Fuentedeprrafopredeter"/>
    <w:link w:val="Ttulo6"/>
    <w:rsid w:val="002E4841"/>
    <w:rPr>
      <w:rFonts w:ascii="Calibri" w:eastAsiaTheme="minorEastAsia" w:hAnsi="Calibri" w:cs="Calibri"/>
      <w:b/>
      <w:sz w:val="20"/>
      <w:szCs w:val="20"/>
      <w:lang w:val="es-ES_tradnl" w:eastAsia="es-ES"/>
    </w:rPr>
  </w:style>
  <w:style w:type="table" w:customStyle="1" w:styleId="TableNormal0">
    <w:name w:val="Table Normal"/>
    <w:rsid w:val="002E4841"/>
    <w:tblPr>
      <w:tblCellMar>
        <w:top w:w="0" w:type="dxa"/>
        <w:left w:w="0" w:type="dxa"/>
        <w:bottom w:w="0" w:type="dxa"/>
        <w:right w:w="0" w:type="dxa"/>
      </w:tblCellMar>
    </w:tblPr>
  </w:style>
  <w:style w:type="character" w:customStyle="1" w:styleId="PuestoCar">
    <w:name w:val="Puesto Car"/>
    <w:basedOn w:val="Fuentedeprrafopredeter"/>
    <w:link w:val="Puesto"/>
    <w:rsid w:val="002E4841"/>
    <w:rPr>
      <w:rFonts w:ascii="Calibri" w:eastAsiaTheme="minorEastAsia" w:hAnsi="Calibri" w:cs="Calibri"/>
      <w:b/>
      <w:sz w:val="72"/>
      <w:szCs w:val="72"/>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484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4841"/>
    <w:rPr>
      <w:rFonts w:ascii="Calibri" w:eastAsiaTheme="minorEastAsia" w:hAnsi="Calibri" w:cs="Calibri"/>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E484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2E484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E4841"/>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2E4841"/>
    <w:rPr>
      <w:rFonts w:ascii="Calibri" w:eastAsiaTheme="minorEastAsia" w:hAnsi="Calibri" w:cs="Calibri"/>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E4841"/>
    <w:rPr>
      <w:vertAlign w:val="superscript"/>
    </w:rPr>
  </w:style>
  <w:style w:type="paragraph" w:styleId="Piedepgina">
    <w:name w:val="footer"/>
    <w:basedOn w:val="Normal"/>
    <w:link w:val="PiedepginaCar"/>
    <w:uiPriority w:val="99"/>
    <w:unhideWhenUsed/>
    <w:rsid w:val="002E4841"/>
    <w:pPr>
      <w:tabs>
        <w:tab w:val="center" w:pos="4419"/>
        <w:tab w:val="right" w:pos="8838"/>
      </w:tabs>
    </w:pPr>
  </w:style>
  <w:style w:type="character" w:customStyle="1" w:styleId="PiedepginaCar">
    <w:name w:val="Pie de página Car"/>
    <w:basedOn w:val="Fuentedeprrafopredeter"/>
    <w:link w:val="Piedepgina"/>
    <w:uiPriority w:val="99"/>
    <w:rsid w:val="002E4841"/>
    <w:rPr>
      <w:rFonts w:ascii="Calibri" w:eastAsiaTheme="minorEastAsia" w:hAnsi="Calibri" w:cs="Calibri"/>
      <w:sz w:val="24"/>
      <w:szCs w:val="24"/>
      <w:lang w:val="es-ES_tradnl" w:eastAsia="es-ES"/>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2E4841"/>
    <w:rPr>
      <w:rFonts w:ascii="Georgia" w:eastAsia="Georgia" w:hAnsi="Georgia" w:cs="Georgia"/>
      <w:i/>
      <w:color w:val="666666"/>
      <w:sz w:val="48"/>
      <w:szCs w:val="48"/>
      <w:lang w:val="es-ES_tradnl" w:eastAsia="es-ES"/>
    </w:rPr>
  </w:style>
  <w:style w:type="table" w:styleId="Tablaconcuadrcula">
    <w:name w:val="Table Grid"/>
    <w:basedOn w:val="Tablanormal"/>
    <w:uiPriority w:val="39"/>
    <w:rsid w:val="003E5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907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1tbxC3u0jGNa2S3+bRubgut7A==">CgMxLjAyCGguZ2pkZ3hzMg1oLnRiaG93Z3lzc21kMgloLjFmb2I5dGUyCWguM3pueXNoNzIJaC4yZXQ5MnAwMgloLjF0M2g1c2YyCWguNGQzNG9nODIJaC4yczhleW8xMgloLjE3ZHA4dnUyCWguM3JkY3JqbjIOaC5zMzR3YXpzanM4cTEyCGguejMzN3lhMgloLjF5ODEwdHc4AHIhMTRnNlJ6SXZRSjVLdWo1UDJLSmx5U3hJbEJtdEVjUTlG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54</Pages>
  <Words>12641</Words>
  <Characters>69527</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10</cp:revision>
  <cp:lastPrinted>2025-06-06T16:16:00Z</cp:lastPrinted>
  <dcterms:created xsi:type="dcterms:W3CDTF">2025-05-20T20:32:00Z</dcterms:created>
  <dcterms:modified xsi:type="dcterms:W3CDTF">2025-06-10T18:35:00Z</dcterms:modified>
</cp:coreProperties>
</file>