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9B3532" w:rsidRDefault="00AE3DA7" w:rsidP="009B3532">
          <w:pPr>
            <w:pStyle w:val="TtulodeTDC"/>
            <w:spacing w:before="0" w:line="240" w:lineRule="auto"/>
            <w:rPr>
              <w:rFonts w:ascii="Palatino Linotype" w:hAnsi="Palatino Linotype"/>
              <w:color w:val="auto"/>
              <w:sz w:val="22"/>
              <w:szCs w:val="22"/>
              <w:lang w:val="es-ES"/>
            </w:rPr>
          </w:pPr>
          <w:r w:rsidRPr="009B3532">
            <w:rPr>
              <w:rFonts w:ascii="Palatino Linotype" w:hAnsi="Palatino Linotype"/>
              <w:color w:val="auto"/>
              <w:sz w:val="22"/>
              <w:szCs w:val="22"/>
              <w:lang w:val="es-ES"/>
            </w:rPr>
            <w:t>Contenido</w:t>
          </w:r>
        </w:p>
        <w:p w14:paraId="3EB312A7" w14:textId="77777777" w:rsidR="00AA6EA9" w:rsidRPr="009B3532" w:rsidRDefault="00AA6EA9" w:rsidP="009B3532">
          <w:pPr>
            <w:spacing w:line="240" w:lineRule="auto"/>
            <w:rPr>
              <w:szCs w:val="22"/>
              <w:lang w:val="es-ES" w:eastAsia="es-MX"/>
            </w:rPr>
          </w:pPr>
        </w:p>
        <w:p w14:paraId="29837E16" w14:textId="77777777" w:rsidR="009B3532" w:rsidRDefault="00AE3DA7">
          <w:pPr>
            <w:pStyle w:val="TDC1"/>
            <w:tabs>
              <w:tab w:val="right" w:leader="dot" w:pos="9034"/>
            </w:tabs>
            <w:rPr>
              <w:rFonts w:asciiTheme="minorHAnsi" w:eastAsiaTheme="minorEastAsia" w:hAnsiTheme="minorHAnsi" w:cstheme="minorBidi"/>
              <w:noProof/>
              <w:szCs w:val="22"/>
              <w:lang w:eastAsia="es-MX"/>
            </w:rPr>
          </w:pPr>
          <w:r w:rsidRPr="009B3532">
            <w:rPr>
              <w:szCs w:val="22"/>
            </w:rPr>
            <w:fldChar w:fldCharType="begin"/>
          </w:r>
          <w:r w:rsidRPr="009B3532">
            <w:rPr>
              <w:szCs w:val="22"/>
            </w:rPr>
            <w:instrText xml:space="preserve"> TOC \o "1-3" \h \z \u </w:instrText>
          </w:r>
          <w:r w:rsidRPr="009B3532">
            <w:rPr>
              <w:szCs w:val="22"/>
            </w:rPr>
            <w:fldChar w:fldCharType="separate"/>
          </w:r>
          <w:hyperlink w:anchor="_Toc192183019" w:history="1">
            <w:r w:rsidR="009B3532" w:rsidRPr="002174CC">
              <w:rPr>
                <w:rStyle w:val="Hipervnculo"/>
                <w:noProof/>
              </w:rPr>
              <w:t>ANTECEDENTES</w:t>
            </w:r>
            <w:r w:rsidR="009B3532">
              <w:rPr>
                <w:noProof/>
                <w:webHidden/>
              </w:rPr>
              <w:tab/>
            </w:r>
            <w:r w:rsidR="009B3532">
              <w:rPr>
                <w:noProof/>
                <w:webHidden/>
              </w:rPr>
              <w:fldChar w:fldCharType="begin"/>
            </w:r>
            <w:r w:rsidR="009B3532">
              <w:rPr>
                <w:noProof/>
                <w:webHidden/>
              </w:rPr>
              <w:instrText xml:space="preserve"> PAGEREF _Toc192183019 \h </w:instrText>
            </w:r>
            <w:r w:rsidR="009B3532">
              <w:rPr>
                <w:noProof/>
                <w:webHidden/>
              </w:rPr>
            </w:r>
            <w:r w:rsidR="009B3532">
              <w:rPr>
                <w:noProof/>
                <w:webHidden/>
              </w:rPr>
              <w:fldChar w:fldCharType="separate"/>
            </w:r>
            <w:r w:rsidR="00BA72A9">
              <w:rPr>
                <w:noProof/>
                <w:webHidden/>
              </w:rPr>
              <w:t>1</w:t>
            </w:r>
            <w:r w:rsidR="009B3532">
              <w:rPr>
                <w:noProof/>
                <w:webHidden/>
              </w:rPr>
              <w:fldChar w:fldCharType="end"/>
            </w:r>
          </w:hyperlink>
        </w:p>
        <w:p w14:paraId="3488E1DE" w14:textId="77777777" w:rsidR="009B3532" w:rsidRDefault="007966E4">
          <w:pPr>
            <w:pStyle w:val="TDC2"/>
            <w:rPr>
              <w:rFonts w:asciiTheme="minorHAnsi" w:eastAsiaTheme="minorEastAsia" w:hAnsiTheme="minorHAnsi" w:cstheme="minorBidi"/>
              <w:noProof/>
              <w:szCs w:val="22"/>
              <w:lang w:eastAsia="es-MX"/>
            </w:rPr>
          </w:pPr>
          <w:hyperlink w:anchor="_Toc192183020" w:history="1">
            <w:r w:rsidR="009B3532" w:rsidRPr="002174CC">
              <w:rPr>
                <w:rStyle w:val="Hipervnculo"/>
                <w:noProof/>
              </w:rPr>
              <w:t>DE LA SOLICITUD DE INFORMACIÓN</w:t>
            </w:r>
            <w:r w:rsidR="009B3532">
              <w:rPr>
                <w:noProof/>
                <w:webHidden/>
              </w:rPr>
              <w:tab/>
            </w:r>
            <w:r w:rsidR="009B3532">
              <w:rPr>
                <w:noProof/>
                <w:webHidden/>
              </w:rPr>
              <w:fldChar w:fldCharType="begin"/>
            </w:r>
            <w:r w:rsidR="009B3532">
              <w:rPr>
                <w:noProof/>
                <w:webHidden/>
              </w:rPr>
              <w:instrText xml:space="preserve"> PAGEREF _Toc192183020 \h </w:instrText>
            </w:r>
            <w:r w:rsidR="009B3532">
              <w:rPr>
                <w:noProof/>
                <w:webHidden/>
              </w:rPr>
            </w:r>
            <w:r w:rsidR="009B3532">
              <w:rPr>
                <w:noProof/>
                <w:webHidden/>
              </w:rPr>
              <w:fldChar w:fldCharType="separate"/>
            </w:r>
            <w:r w:rsidR="00BA72A9">
              <w:rPr>
                <w:noProof/>
                <w:webHidden/>
              </w:rPr>
              <w:t>1</w:t>
            </w:r>
            <w:r w:rsidR="009B3532">
              <w:rPr>
                <w:noProof/>
                <w:webHidden/>
              </w:rPr>
              <w:fldChar w:fldCharType="end"/>
            </w:r>
          </w:hyperlink>
        </w:p>
        <w:p w14:paraId="024DCD41" w14:textId="77777777" w:rsidR="009B3532" w:rsidRDefault="007966E4">
          <w:pPr>
            <w:pStyle w:val="TDC3"/>
            <w:rPr>
              <w:rFonts w:asciiTheme="minorHAnsi" w:eastAsiaTheme="minorEastAsia" w:hAnsiTheme="minorHAnsi" w:cstheme="minorBidi"/>
              <w:noProof/>
              <w:szCs w:val="22"/>
              <w:lang w:eastAsia="es-MX"/>
            </w:rPr>
          </w:pPr>
          <w:hyperlink w:anchor="_Toc192183021" w:history="1">
            <w:r w:rsidR="009B3532" w:rsidRPr="002174CC">
              <w:rPr>
                <w:rStyle w:val="Hipervnculo"/>
                <w:noProof/>
              </w:rPr>
              <w:t>a) Solicitud de información</w:t>
            </w:r>
            <w:r w:rsidR="009B3532">
              <w:rPr>
                <w:noProof/>
                <w:webHidden/>
              </w:rPr>
              <w:tab/>
            </w:r>
            <w:r w:rsidR="009B3532">
              <w:rPr>
                <w:noProof/>
                <w:webHidden/>
              </w:rPr>
              <w:fldChar w:fldCharType="begin"/>
            </w:r>
            <w:r w:rsidR="009B3532">
              <w:rPr>
                <w:noProof/>
                <w:webHidden/>
              </w:rPr>
              <w:instrText xml:space="preserve"> PAGEREF _Toc192183021 \h </w:instrText>
            </w:r>
            <w:r w:rsidR="009B3532">
              <w:rPr>
                <w:noProof/>
                <w:webHidden/>
              </w:rPr>
            </w:r>
            <w:r w:rsidR="009B3532">
              <w:rPr>
                <w:noProof/>
                <w:webHidden/>
              </w:rPr>
              <w:fldChar w:fldCharType="separate"/>
            </w:r>
            <w:r w:rsidR="00BA72A9">
              <w:rPr>
                <w:noProof/>
                <w:webHidden/>
              </w:rPr>
              <w:t>1</w:t>
            </w:r>
            <w:r w:rsidR="009B3532">
              <w:rPr>
                <w:noProof/>
                <w:webHidden/>
              </w:rPr>
              <w:fldChar w:fldCharType="end"/>
            </w:r>
          </w:hyperlink>
        </w:p>
        <w:p w14:paraId="7DC7F4A7" w14:textId="77777777" w:rsidR="009B3532" w:rsidRDefault="007966E4">
          <w:pPr>
            <w:pStyle w:val="TDC3"/>
            <w:rPr>
              <w:rFonts w:asciiTheme="minorHAnsi" w:eastAsiaTheme="minorEastAsia" w:hAnsiTheme="minorHAnsi" w:cstheme="minorBidi"/>
              <w:noProof/>
              <w:szCs w:val="22"/>
              <w:lang w:eastAsia="es-MX"/>
            </w:rPr>
          </w:pPr>
          <w:hyperlink w:anchor="_Toc192183022" w:history="1">
            <w:r w:rsidR="009B3532" w:rsidRPr="002174CC">
              <w:rPr>
                <w:rStyle w:val="Hipervnculo"/>
                <w:noProof/>
              </w:rPr>
              <w:t>b) Turno de la solicitud de información</w:t>
            </w:r>
            <w:r w:rsidR="009B3532">
              <w:rPr>
                <w:noProof/>
                <w:webHidden/>
              </w:rPr>
              <w:tab/>
            </w:r>
            <w:r w:rsidR="009B3532">
              <w:rPr>
                <w:noProof/>
                <w:webHidden/>
              </w:rPr>
              <w:fldChar w:fldCharType="begin"/>
            </w:r>
            <w:r w:rsidR="009B3532">
              <w:rPr>
                <w:noProof/>
                <w:webHidden/>
              </w:rPr>
              <w:instrText xml:space="preserve"> PAGEREF _Toc192183022 \h </w:instrText>
            </w:r>
            <w:r w:rsidR="009B3532">
              <w:rPr>
                <w:noProof/>
                <w:webHidden/>
              </w:rPr>
            </w:r>
            <w:r w:rsidR="009B3532">
              <w:rPr>
                <w:noProof/>
                <w:webHidden/>
              </w:rPr>
              <w:fldChar w:fldCharType="separate"/>
            </w:r>
            <w:r w:rsidR="00BA72A9">
              <w:rPr>
                <w:noProof/>
                <w:webHidden/>
              </w:rPr>
              <w:t>1</w:t>
            </w:r>
            <w:r w:rsidR="009B3532">
              <w:rPr>
                <w:noProof/>
                <w:webHidden/>
              </w:rPr>
              <w:fldChar w:fldCharType="end"/>
            </w:r>
          </w:hyperlink>
        </w:p>
        <w:p w14:paraId="7B0193CB" w14:textId="77777777" w:rsidR="009B3532" w:rsidRDefault="007966E4">
          <w:pPr>
            <w:pStyle w:val="TDC3"/>
            <w:rPr>
              <w:rFonts w:asciiTheme="minorHAnsi" w:eastAsiaTheme="minorEastAsia" w:hAnsiTheme="minorHAnsi" w:cstheme="minorBidi"/>
              <w:noProof/>
              <w:szCs w:val="22"/>
              <w:lang w:eastAsia="es-MX"/>
            </w:rPr>
          </w:pPr>
          <w:hyperlink w:anchor="_Toc192183023" w:history="1">
            <w:r w:rsidR="009B3532" w:rsidRPr="002174CC">
              <w:rPr>
                <w:rStyle w:val="Hipervnculo"/>
                <w:noProof/>
              </w:rPr>
              <w:t>c) Prórroga</w:t>
            </w:r>
            <w:r w:rsidR="009B3532">
              <w:rPr>
                <w:noProof/>
                <w:webHidden/>
              </w:rPr>
              <w:tab/>
            </w:r>
            <w:r w:rsidR="009B3532">
              <w:rPr>
                <w:noProof/>
                <w:webHidden/>
              </w:rPr>
              <w:fldChar w:fldCharType="begin"/>
            </w:r>
            <w:r w:rsidR="009B3532">
              <w:rPr>
                <w:noProof/>
                <w:webHidden/>
              </w:rPr>
              <w:instrText xml:space="preserve"> PAGEREF _Toc192183023 \h </w:instrText>
            </w:r>
            <w:r w:rsidR="009B3532">
              <w:rPr>
                <w:noProof/>
                <w:webHidden/>
              </w:rPr>
            </w:r>
            <w:r w:rsidR="009B3532">
              <w:rPr>
                <w:noProof/>
                <w:webHidden/>
              </w:rPr>
              <w:fldChar w:fldCharType="separate"/>
            </w:r>
            <w:r w:rsidR="00BA72A9">
              <w:rPr>
                <w:noProof/>
                <w:webHidden/>
              </w:rPr>
              <w:t>2</w:t>
            </w:r>
            <w:r w:rsidR="009B3532">
              <w:rPr>
                <w:noProof/>
                <w:webHidden/>
              </w:rPr>
              <w:fldChar w:fldCharType="end"/>
            </w:r>
          </w:hyperlink>
        </w:p>
        <w:p w14:paraId="068FBD86" w14:textId="77777777" w:rsidR="009B3532" w:rsidRDefault="007966E4">
          <w:pPr>
            <w:pStyle w:val="TDC3"/>
            <w:rPr>
              <w:rFonts w:asciiTheme="minorHAnsi" w:eastAsiaTheme="minorEastAsia" w:hAnsiTheme="minorHAnsi" w:cstheme="minorBidi"/>
              <w:noProof/>
              <w:szCs w:val="22"/>
              <w:lang w:eastAsia="es-MX"/>
            </w:rPr>
          </w:pPr>
          <w:hyperlink w:anchor="_Toc192183024" w:history="1">
            <w:r w:rsidR="009B3532" w:rsidRPr="002174CC">
              <w:rPr>
                <w:rStyle w:val="Hipervnculo"/>
                <w:noProof/>
              </w:rPr>
              <w:t xml:space="preserve">d) </w:t>
            </w:r>
            <w:r w:rsidR="009B3532" w:rsidRPr="002174CC">
              <w:rPr>
                <w:rStyle w:val="Hipervnculo"/>
                <w:noProof/>
                <w:lang w:val="es-ES"/>
              </w:rPr>
              <w:t xml:space="preserve">Respuesta </w:t>
            </w:r>
            <w:r w:rsidR="009B3532" w:rsidRPr="002174CC">
              <w:rPr>
                <w:rStyle w:val="Hipervnculo"/>
                <w:rFonts w:eastAsia="Calibri"/>
                <w:noProof/>
                <w:lang w:eastAsia="en-US"/>
              </w:rPr>
              <w:t>del Sujeto Obligado</w:t>
            </w:r>
            <w:r w:rsidR="009B3532">
              <w:rPr>
                <w:noProof/>
                <w:webHidden/>
              </w:rPr>
              <w:tab/>
            </w:r>
            <w:r w:rsidR="009B3532">
              <w:rPr>
                <w:noProof/>
                <w:webHidden/>
              </w:rPr>
              <w:fldChar w:fldCharType="begin"/>
            </w:r>
            <w:r w:rsidR="009B3532">
              <w:rPr>
                <w:noProof/>
                <w:webHidden/>
              </w:rPr>
              <w:instrText xml:space="preserve"> PAGEREF _Toc192183024 \h </w:instrText>
            </w:r>
            <w:r w:rsidR="009B3532">
              <w:rPr>
                <w:noProof/>
                <w:webHidden/>
              </w:rPr>
            </w:r>
            <w:r w:rsidR="009B3532">
              <w:rPr>
                <w:noProof/>
                <w:webHidden/>
              </w:rPr>
              <w:fldChar w:fldCharType="separate"/>
            </w:r>
            <w:r w:rsidR="00BA72A9">
              <w:rPr>
                <w:noProof/>
                <w:webHidden/>
              </w:rPr>
              <w:t>3</w:t>
            </w:r>
            <w:r w:rsidR="009B3532">
              <w:rPr>
                <w:noProof/>
                <w:webHidden/>
              </w:rPr>
              <w:fldChar w:fldCharType="end"/>
            </w:r>
          </w:hyperlink>
        </w:p>
        <w:p w14:paraId="53666B03" w14:textId="77777777" w:rsidR="009B3532" w:rsidRDefault="007966E4">
          <w:pPr>
            <w:pStyle w:val="TDC2"/>
            <w:rPr>
              <w:rFonts w:asciiTheme="minorHAnsi" w:eastAsiaTheme="minorEastAsia" w:hAnsiTheme="minorHAnsi" w:cstheme="minorBidi"/>
              <w:noProof/>
              <w:szCs w:val="22"/>
              <w:lang w:eastAsia="es-MX"/>
            </w:rPr>
          </w:pPr>
          <w:hyperlink w:anchor="_Toc192183025" w:history="1">
            <w:r w:rsidR="009B3532" w:rsidRPr="002174CC">
              <w:rPr>
                <w:rStyle w:val="Hipervnculo"/>
                <w:noProof/>
              </w:rPr>
              <w:t>DEL RECURSO DE REVISIÓN</w:t>
            </w:r>
            <w:r w:rsidR="009B3532">
              <w:rPr>
                <w:noProof/>
                <w:webHidden/>
              </w:rPr>
              <w:tab/>
            </w:r>
            <w:r w:rsidR="009B3532">
              <w:rPr>
                <w:noProof/>
                <w:webHidden/>
              </w:rPr>
              <w:fldChar w:fldCharType="begin"/>
            </w:r>
            <w:r w:rsidR="009B3532">
              <w:rPr>
                <w:noProof/>
                <w:webHidden/>
              </w:rPr>
              <w:instrText xml:space="preserve"> PAGEREF _Toc192183025 \h </w:instrText>
            </w:r>
            <w:r w:rsidR="009B3532">
              <w:rPr>
                <w:noProof/>
                <w:webHidden/>
              </w:rPr>
            </w:r>
            <w:r w:rsidR="009B3532">
              <w:rPr>
                <w:noProof/>
                <w:webHidden/>
              </w:rPr>
              <w:fldChar w:fldCharType="separate"/>
            </w:r>
            <w:r w:rsidR="00BA72A9">
              <w:rPr>
                <w:noProof/>
                <w:webHidden/>
              </w:rPr>
              <w:t>4</w:t>
            </w:r>
            <w:r w:rsidR="009B3532">
              <w:rPr>
                <w:noProof/>
                <w:webHidden/>
              </w:rPr>
              <w:fldChar w:fldCharType="end"/>
            </w:r>
          </w:hyperlink>
        </w:p>
        <w:p w14:paraId="1B2427CF" w14:textId="77777777" w:rsidR="009B3532" w:rsidRDefault="007966E4">
          <w:pPr>
            <w:pStyle w:val="TDC3"/>
            <w:rPr>
              <w:rFonts w:asciiTheme="minorHAnsi" w:eastAsiaTheme="minorEastAsia" w:hAnsiTheme="minorHAnsi" w:cstheme="minorBidi"/>
              <w:noProof/>
              <w:szCs w:val="22"/>
              <w:lang w:eastAsia="es-MX"/>
            </w:rPr>
          </w:pPr>
          <w:hyperlink w:anchor="_Toc192183026" w:history="1">
            <w:r w:rsidR="009B3532" w:rsidRPr="002174CC">
              <w:rPr>
                <w:rStyle w:val="Hipervnculo"/>
                <w:noProof/>
              </w:rPr>
              <w:t>a) Interposición del Recurso de Revisión</w:t>
            </w:r>
            <w:r w:rsidR="009B3532">
              <w:rPr>
                <w:noProof/>
                <w:webHidden/>
              </w:rPr>
              <w:tab/>
            </w:r>
            <w:r w:rsidR="009B3532">
              <w:rPr>
                <w:noProof/>
                <w:webHidden/>
              </w:rPr>
              <w:fldChar w:fldCharType="begin"/>
            </w:r>
            <w:r w:rsidR="009B3532">
              <w:rPr>
                <w:noProof/>
                <w:webHidden/>
              </w:rPr>
              <w:instrText xml:space="preserve"> PAGEREF _Toc192183026 \h </w:instrText>
            </w:r>
            <w:r w:rsidR="009B3532">
              <w:rPr>
                <w:noProof/>
                <w:webHidden/>
              </w:rPr>
            </w:r>
            <w:r w:rsidR="009B3532">
              <w:rPr>
                <w:noProof/>
                <w:webHidden/>
              </w:rPr>
              <w:fldChar w:fldCharType="separate"/>
            </w:r>
            <w:r w:rsidR="00BA72A9">
              <w:rPr>
                <w:noProof/>
                <w:webHidden/>
              </w:rPr>
              <w:t>4</w:t>
            </w:r>
            <w:r w:rsidR="009B3532">
              <w:rPr>
                <w:noProof/>
                <w:webHidden/>
              </w:rPr>
              <w:fldChar w:fldCharType="end"/>
            </w:r>
          </w:hyperlink>
        </w:p>
        <w:p w14:paraId="5518023F" w14:textId="77777777" w:rsidR="009B3532" w:rsidRDefault="007966E4">
          <w:pPr>
            <w:pStyle w:val="TDC3"/>
            <w:rPr>
              <w:rFonts w:asciiTheme="minorHAnsi" w:eastAsiaTheme="minorEastAsia" w:hAnsiTheme="minorHAnsi" w:cstheme="minorBidi"/>
              <w:noProof/>
              <w:szCs w:val="22"/>
              <w:lang w:eastAsia="es-MX"/>
            </w:rPr>
          </w:pPr>
          <w:hyperlink w:anchor="_Toc192183027" w:history="1">
            <w:r w:rsidR="009B3532" w:rsidRPr="002174CC">
              <w:rPr>
                <w:rStyle w:val="Hipervnculo"/>
                <w:noProof/>
              </w:rPr>
              <w:t>b) Turno del Recurso de Revisión</w:t>
            </w:r>
            <w:r w:rsidR="009B3532">
              <w:rPr>
                <w:noProof/>
                <w:webHidden/>
              </w:rPr>
              <w:tab/>
            </w:r>
            <w:r w:rsidR="009B3532">
              <w:rPr>
                <w:noProof/>
                <w:webHidden/>
              </w:rPr>
              <w:fldChar w:fldCharType="begin"/>
            </w:r>
            <w:r w:rsidR="009B3532">
              <w:rPr>
                <w:noProof/>
                <w:webHidden/>
              </w:rPr>
              <w:instrText xml:space="preserve"> PAGEREF _Toc192183027 \h </w:instrText>
            </w:r>
            <w:r w:rsidR="009B3532">
              <w:rPr>
                <w:noProof/>
                <w:webHidden/>
              </w:rPr>
            </w:r>
            <w:r w:rsidR="009B3532">
              <w:rPr>
                <w:noProof/>
                <w:webHidden/>
              </w:rPr>
              <w:fldChar w:fldCharType="separate"/>
            </w:r>
            <w:r w:rsidR="00BA72A9">
              <w:rPr>
                <w:noProof/>
                <w:webHidden/>
              </w:rPr>
              <w:t>5</w:t>
            </w:r>
            <w:r w:rsidR="009B3532">
              <w:rPr>
                <w:noProof/>
                <w:webHidden/>
              </w:rPr>
              <w:fldChar w:fldCharType="end"/>
            </w:r>
          </w:hyperlink>
        </w:p>
        <w:p w14:paraId="151B00C2" w14:textId="77777777" w:rsidR="009B3532" w:rsidRDefault="007966E4">
          <w:pPr>
            <w:pStyle w:val="TDC3"/>
            <w:rPr>
              <w:rFonts w:asciiTheme="minorHAnsi" w:eastAsiaTheme="minorEastAsia" w:hAnsiTheme="minorHAnsi" w:cstheme="minorBidi"/>
              <w:noProof/>
              <w:szCs w:val="22"/>
              <w:lang w:eastAsia="es-MX"/>
            </w:rPr>
          </w:pPr>
          <w:hyperlink w:anchor="_Toc192183028" w:history="1">
            <w:r w:rsidR="009B3532" w:rsidRPr="002174CC">
              <w:rPr>
                <w:rStyle w:val="Hipervnculo"/>
                <w:noProof/>
              </w:rPr>
              <w:t>c) Admisión del Recurso de Revisión</w:t>
            </w:r>
            <w:r w:rsidR="009B3532">
              <w:rPr>
                <w:noProof/>
                <w:webHidden/>
              </w:rPr>
              <w:tab/>
            </w:r>
            <w:r w:rsidR="009B3532">
              <w:rPr>
                <w:noProof/>
                <w:webHidden/>
              </w:rPr>
              <w:fldChar w:fldCharType="begin"/>
            </w:r>
            <w:r w:rsidR="009B3532">
              <w:rPr>
                <w:noProof/>
                <w:webHidden/>
              </w:rPr>
              <w:instrText xml:space="preserve"> PAGEREF _Toc192183028 \h </w:instrText>
            </w:r>
            <w:r w:rsidR="009B3532">
              <w:rPr>
                <w:noProof/>
                <w:webHidden/>
              </w:rPr>
            </w:r>
            <w:r w:rsidR="009B3532">
              <w:rPr>
                <w:noProof/>
                <w:webHidden/>
              </w:rPr>
              <w:fldChar w:fldCharType="separate"/>
            </w:r>
            <w:r w:rsidR="00BA72A9">
              <w:rPr>
                <w:noProof/>
                <w:webHidden/>
              </w:rPr>
              <w:t>5</w:t>
            </w:r>
            <w:r w:rsidR="009B3532">
              <w:rPr>
                <w:noProof/>
                <w:webHidden/>
              </w:rPr>
              <w:fldChar w:fldCharType="end"/>
            </w:r>
          </w:hyperlink>
        </w:p>
        <w:p w14:paraId="47F8CC19" w14:textId="77777777" w:rsidR="009B3532" w:rsidRDefault="007966E4">
          <w:pPr>
            <w:pStyle w:val="TDC3"/>
            <w:rPr>
              <w:rFonts w:asciiTheme="minorHAnsi" w:eastAsiaTheme="minorEastAsia" w:hAnsiTheme="minorHAnsi" w:cstheme="minorBidi"/>
              <w:noProof/>
              <w:szCs w:val="22"/>
              <w:lang w:eastAsia="es-MX"/>
            </w:rPr>
          </w:pPr>
          <w:hyperlink w:anchor="_Toc192183029" w:history="1">
            <w:r w:rsidR="009B3532" w:rsidRPr="002174CC">
              <w:rPr>
                <w:rStyle w:val="Hipervnculo"/>
                <w:noProof/>
              </w:rPr>
              <w:t>d) Informe Justificado del Sujeto Obligado</w:t>
            </w:r>
            <w:r w:rsidR="009B3532">
              <w:rPr>
                <w:noProof/>
                <w:webHidden/>
              </w:rPr>
              <w:tab/>
            </w:r>
            <w:r w:rsidR="009B3532">
              <w:rPr>
                <w:noProof/>
                <w:webHidden/>
              </w:rPr>
              <w:fldChar w:fldCharType="begin"/>
            </w:r>
            <w:r w:rsidR="009B3532">
              <w:rPr>
                <w:noProof/>
                <w:webHidden/>
              </w:rPr>
              <w:instrText xml:space="preserve"> PAGEREF _Toc192183029 \h </w:instrText>
            </w:r>
            <w:r w:rsidR="009B3532">
              <w:rPr>
                <w:noProof/>
                <w:webHidden/>
              </w:rPr>
            </w:r>
            <w:r w:rsidR="009B3532">
              <w:rPr>
                <w:noProof/>
                <w:webHidden/>
              </w:rPr>
              <w:fldChar w:fldCharType="separate"/>
            </w:r>
            <w:r w:rsidR="00BA72A9">
              <w:rPr>
                <w:noProof/>
                <w:webHidden/>
              </w:rPr>
              <w:t>5</w:t>
            </w:r>
            <w:r w:rsidR="009B3532">
              <w:rPr>
                <w:noProof/>
                <w:webHidden/>
              </w:rPr>
              <w:fldChar w:fldCharType="end"/>
            </w:r>
          </w:hyperlink>
        </w:p>
        <w:p w14:paraId="2EBAA8B6" w14:textId="77777777" w:rsidR="009B3532" w:rsidRDefault="007966E4">
          <w:pPr>
            <w:pStyle w:val="TDC3"/>
            <w:rPr>
              <w:rFonts w:asciiTheme="minorHAnsi" w:eastAsiaTheme="minorEastAsia" w:hAnsiTheme="minorHAnsi" w:cstheme="minorBidi"/>
              <w:noProof/>
              <w:szCs w:val="22"/>
              <w:lang w:eastAsia="es-MX"/>
            </w:rPr>
          </w:pPr>
          <w:hyperlink w:anchor="_Toc192183030" w:history="1">
            <w:r w:rsidR="009B3532" w:rsidRPr="002174CC">
              <w:rPr>
                <w:rStyle w:val="Hipervnculo"/>
                <w:rFonts w:eastAsia="Calibri"/>
                <w:bCs/>
                <w:noProof/>
                <w:lang w:eastAsia="en-US"/>
              </w:rPr>
              <w:t>e)</w:t>
            </w:r>
            <w:r w:rsidR="009B3532" w:rsidRPr="002174CC">
              <w:rPr>
                <w:rStyle w:val="Hipervnculo"/>
                <w:noProof/>
              </w:rPr>
              <w:t xml:space="preserve"> </w:t>
            </w:r>
            <w:r w:rsidR="009B3532" w:rsidRPr="002174CC">
              <w:rPr>
                <w:rStyle w:val="Hipervnculo"/>
                <w:noProof/>
                <w:lang w:val="es-ES"/>
              </w:rPr>
              <w:t>Manifestaciones de la Parte Recurrente</w:t>
            </w:r>
            <w:r w:rsidR="009B3532">
              <w:rPr>
                <w:noProof/>
                <w:webHidden/>
              </w:rPr>
              <w:tab/>
            </w:r>
            <w:r w:rsidR="009B3532">
              <w:rPr>
                <w:noProof/>
                <w:webHidden/>
              </w:rPr>
              <w:fldChar w:fldCharType="begin"/>
            </w:r>
            <w:r w:rsidR="009B3532">
              <w:rPr>
                <w:noProof/>
                <w:webHidden/>
              </w:rPr>
              <w:instrText xml:space="preserve"> PAGEREF _Toc192183030 \h </w:instrText>
            </w:r>
            <w:r w:rsidR="009B3532">
              <w:rPr>
                <w:noProof/>
                <w:webHidden/>
              </w:rPr>
            </w:r>
            <w:r w:rsidR="009B3532">
              <w:rPr>
                <w:noProof/>
                <w:webHidden/>
              </w:rPr>
              <w:fldChar w:fldCharType="separate"/>
            </w:r>
            <w:r w:rsidR="00BA72A9">
              <w:rPr>
                <w:noProof/>
                <w:webHidden/>
              </w:rPr>
              <w:t>6</w:t>
            </w:r>
            <w:r w:rsidR="009B3532">
              <w:rPr>
                <w:noProof/>
                <w:webHidden/>
              </w:rPr>
              <w:fldChar w:fldCharType="end"/>
            </w:r>
          </w:hyperlink>
        </w:p>
        <w:p w14:paraId="49E7087C" w14:textId="77777777" w:rsidR="009B3532" w:rsidRDefault="007966E4">
          <w:pPr>
            <w:pStyle w:val="TDC3"/>
            <w:rPr>
              <w:rFonts w:asciiTheme="minorHAnsi" w:eastAsiaTheme="minorEastAsia" w:hAnsiTheme="minorHAnsi" w:cstheme="minorBidi"/>
              <w:noProof/>
              <w:szCs w:val="22"/>
              <w:lang w:eastAsia="es-MX"/>
            </w:rPr>
          </w:pPr>
          <w:hyperlink w:anchor="_Toc192183031" w:history="1">
            <w:r w:rsidR="009B3532" w:rsidRPr="002174CC">
              <w:rPr>
                <w:rStyle w:val="Hipervnculo"/>
                <w:rFonts w:eastAsia="Calibri"/>
                <w:noProof/>
              </w:rPr>
              <w:t xml:space="preserve">f) </w:t>
            </w:r>
            <w:r w:rsidR="009B3532" w:rsidRPr="002174CC">
              <w:rPr>
                <w:rStyle w:val="Hipervnculo"/>
                <w:noProof/>
              </w:rPr>
              <w:t>Cierre de instrucción</w:t>
            </w:r>
            <w:r w:rsidR="009B3532">
              <w:rPr>
                <w:noProof/>
                <w:webHidden/>
              </w:rPr>
              <w:tab/>
            </w:r>
            <w:r w:rsidR="009B3532">
              <w:rPr>
                <w:noProof/>
                <w:webHidden/>
              </w:rPr>
              <w:fldChar w:fldCharType="begin"/>
            </w:r>
            <w:r w:rsidR="009B3532">
              <w:rPr>
                <w:noProof/>
                <w:webHidden/>
              </w:rPr>
              <w:instrText xml:space="preserve"> PAGEREF _Toc192183031 \h </w:instrText>
            </w:r>
            <w:r w:rsidR="009B3532">
              <w:rPr>
                <w:noProof/>
                <w:webHidden/>
              </w:rPr>
            </w:r>
            <w:r w:rsidR="009B3532">
              <w:rPr>
                <w:noProof/>
                <w:webHidden/>
              </w:rPr>
              <w:fldChar w:fldCharType="separate"/>
            </w:r>
            <w:r w:rsidR="00BA72A9">
              <w:rPr>
                <w:noProof/>
                <w:webHidden/>
              </w:rPr>
              <w:t>6</w:t>
            </w:r>
            <w:r w:rsidR="009B3532">
              <w:rPr>
                <w:noProof/>
                <w:webHidden/>
              </w:rPr>
              <w:fldChar w:fldCharType="end"/>
            </w:r>
          </w:hyperlink>
        </w:p>
        <w:p w14:paraId="3F3D69FE" w14:textId="77777777" w:rsidR="009B3532" w:rsidRDefault="007966E4">
          <w:pPr>
            <w:pStyle w:val="TDC1"/>
            <w:tabs>
              <w:tab w:val="right" w:leader="dot" w:pos="9034"/>
            </w:tabs>
            <w:rPr>
              <w:rFonts w:asciiTheme="minorHAnsi" w:eastAsiaTheme="minorEastAsia" w:hAnsiTheme="minorHAnsi" w:cstheme="minorBidi"/>
              <w:noProof/>
              <w:szCs w:val="22"/>
              <w:lang w:eastAsia="es-MX"/>
            </w:rPr>
          </w:pPr>
          <w:hyperlink w:anchor="_Toc192183032" w:history="1">
            <w:r w:rsidR="009B3532" w:rsidRPr="002174CC">
              <w:rPr>
                <w:rStyle w:val="Hipervnculo"/>
                <w:rFonts w:eastAsiaTheme="minorHAnsi"/>
                <w:noProof/>
                <w:lang w:eastAsia="en-US"/>
              </w:rPr>
              <w:t>CONSIDERANDOS</w:t>
            </w:r>
            <w:r w:rsidR="009B3532">
              <w:rPr>
                <w:noProof/>
                <w:webHidden/>
              </w:rPr>
              <w:tab/>
            </w:r>
            <w:r w:rsidR="009B3532">
              <w:rPr>
                <w:noProof/>
                <w:webHidden/>
              </w:rPr>
              <w:fldChar w:fldCharType="begin"/>
            </w:r>
            <w:r w:rsidR="009B3532">
              <w:rPr>
                <w:noProof/>
                <w:webHidden/>
              </w:rPr>
              <w:instrText xml:space="preserve"> PAGEREF _Toc192183032 \h </w:instrText>
            </w:r>
            <w:r w:rsidR="009B3532">
              <w:rPr>
                <w:noProof/>
                <w:webHidden/>
              </w:rPr>
            </w:r>
            <w:r w:rsidR="009B3532">
              <w:rPr>
                <w:noProof/>
                <w:webHidden/>
              </w:rPr>
              <w:fldChar w:fldCharType="separate"/>
            </w:r>
            <w:r w:rsidR="00BA72A9">
              <w:rPr>
                <w:noProof/>
                <w:webHidden/>
              </w:rPr>
              <w:t>7</w:t>
            </w:r>
            <w:r w:rsidR="009B3532">
              <w:rPr>
                <w:noProof/>
                <w:webHidden/>
              </w:rPr>
              <w:fldChar w:fldCharType="end"/>
            </w:r>
          </w:hyperlink>
        </w:p>
        <w:p w14:paraId="32181329" w14:textId="77777777" w:rsidR="009B3532" w:rsidRDefault="007966E4">
          <w:pPr>
            <w:pStyle w:val="TDC2"/>
            <w:rPr>
              <w:rFonts w:asciiTheme="minorHAnsi" w:eastAsiaTheme="minorEastAsia" w:hAnsiTheme="minorHAnsi" w:cstheme="minorBidi"/>
              <w:noProof/>
              <w:szCs w:val="22"/>
              <w:lang w:eastAsia="es-MX"/>
            </w:rPr>
          </w:pPr>
          <w:hyperlink w:anchor="_Toc192183033" w:history="1">
            <w:r w:rsidR="009B3532" w:rsidRPr="002174CC">
              <w:rPr>
                <w:rStyle w:val="Hipervnculo"/>
                <w:rFonts w:eastAsia="Batang"/>
                <w:noProof/>
              </w:rPr>
              <w:t>PRIMERO. Procedibilidad</w:t>
            </w:r>
            <w:r w:rsidR="009B3532">
              <w:rPr>
                <w:noProof/>
                <w:webHidden/>
              </w:rPr>
              <w:tab/>
            </w:r>
            <w:r w:rsidR="009B3532">
              <w:rPr>
                <w:noProof/>
                <w:webHidden/>
              </w:rPr>
              <w:fldChar w:fldCharType="begin"/>
            </w:r>
            <w:r w:rsidR="009B3532">
              <w:rPr>
                <w:noProof/>
                <w:webHidden/>
              </w:rPr>
              <w:instrText xml:space="preserve"> PAGEREF _Toc192183033 \h </w:instrText>
            </w:r>
            <w:r w:rsidR="009B3532">
              <w:rPr>
                <w:noProof/>
                <w:webHidden/>
              </w:rPr>
            </w:r>
            <w:r w:rsidR="009B3532">
              <w:rPr>
                <w:noProof/>
                <w:webHidden/>
              </w:rPr>
              <w:fldChar w:fldCharType="separate"/>
            </w:r>
            <w:r w:rsidR="00BA72A9">
              <w:rPr>
                <w:noProof/>
                <w:webHidden/>
              </w:rPr>
              <w:t>7</w:t>
            </w:r>
            <w:r w:rsidR="009B3532">
              <w:rPr>
                <w:noProof/>
                <w:webHidden/>
              </w:rPr>
              <w:fldChar w:fldCharType="end"/>
            </w:r>
          </w:hyperlink>
        </w:p>
        <w:p w14:paraId="60A3D639" w14:textId="77777777" w:rsidR="009B3532" w:rsidRDefault="007966E4">
          <w:pPr>
            <w:pStyle w:val="TDC3"/>
            <w:rPr>
              <w:rFonts w:asciiTheme="minorHAnsi" w:eastAsiaTheme="minorEastAsia" w:hAnsiTheme="minorHAnsi" w:cstheme="minorBidi"/>
              <w:noProof/>
              <w:szCs w:val="22"/>
              <w:lang w:eastAsia="es-MX"/>
            </w:rPr>
          </w:pPr>
          <w:hyperlink w:anchor="_Toc192183034" w:history="1">
            <w:r w:rsidR="009B3532" w:rsidRPr="002174CC">
              <w:rPr>
                <w:rStyle w:val="Hipervnculo"/>
                <w:noProof/>
              </w:rPr>
              <w:t>a) Competencia del Instituto</w:t>
            </w:r>
            <w:r w:rsidR="009B3532">
              <w:rPr>
                <w:noProof/>
                <w:webHidden/>
              </w:rPr>
              <w:tab/>
            </w:r>
            <w:r w:rsidR="009B3532">
              <w:rPr>
                <w:noProof/>
                <w:webHidden/>
              </w:rPr>
              <w:fldChar w:fldCharType="begin"/>
            </w:r>
            <w:r w:rsidR="009B3532">
              <w:rPr>
                <w:noProof/>
                <w:webHidden/>
              </w:rPr>
              <w:instrText xml:space="preserve"> PAGEREF _Toc192183034 \h </w:instrText>
            </w:r>
            <w:r w:rsidR="009B3532">
              <w:rPr>
                <w:noProof/>
                <w:webHidden/>
              </w:rPr>
            </w:r>
            <w:r w:rsidR="009B3532">
              <w:rPr>
                <w:noProof/>
                <w:webHidden/>
              </w:rPr>
              <w:fldChar w:fldCharType="separate"/>
            </w:r>
            <w:r w:rsidR="00BA72A9">
              <w:rPr>
                <w:noProof/>
                <w:webHidden/>
              </w:rPr>
              <w:t>7</w:t>
            </w:r>
            <w:r w:rsidR="009B3532">
              <w:rPr>
                <w:noProof/>
                <w:webHidden/>
              </w:rPr>
              <w:fldChar w:fldCharType="end"/>
            </w:r>
          </w:hyperlink>
        </w:p>
        <w:p w14:paraId="085E29BE" w14:textId="77777777" w:rsidR="009B3532" w:rsidRDefault="007966E4">
          <w:pPr>
            <w:pStyle w:val="TDC3"/>
            <w:rPr>
              <w:rFonts w:asciiTheme="minorHAnsi" w:eastAsiaTheme="minorEastAsia" w:hAnsiTheme="minorHAnsi" w:cstheme="minorBidi"/>
              <w:noProof/>
              <w:szCs w:val="22"/>
              <w:lang w:eastAsia="es-MX"/>
            </w:rPr>
          </w:pPr>
          <w:hyperlink w:anchor="_Toc192183035" w:history="1">
            <w:r w:rsidR="009B3532" w:rsidRPr="002174CC">
              <w:rPr>
                <w:rStyle w:val="Hipervnculo"/>
                <w:noProof/>
              </w:rPr>
              <w:t>b) Legitimidad de la parte recurrente</w:t>
            </w:r>
            <w:r w:rsidR="009B3532">
              <w:rPr>
                <w:noProof/>
                <w:webHidden/>
              </w:rPr>
              <w:tab/>
            </w:r>
            <w:r w:rsidR="009B3532">
              <w:rPr>
                <w:noProof/>
                <w:webHidden/>
              </w:rPr>
              <w:fldChar w:fldCharType="begin"/>
            </w:r>
            <w:r w:rsidR="009B3532">
              <w:rPr>
                <w:noProof/>
                <w:webHidden/>
              </w:rPr>
              <w:instrText xml:space="preserve"> PAGEREF _Toc192183035 \h </w:instrText>
            </w:r>
            <w:r w:rsidR="009B3532">
              <w:rPr>
                <w:noProof/>
                <w:webHidden/>
              </w:rPr>
            </w:r>
            <w:r w:rsidR="009B3532">
              <w:rPr>
                <w:noProof/>
                <w:webHidden/>
              </w:rPr>
              <w:fldChar w:fldCharType="separate"/>
            </w:r>
            <w:r w:rsidR="00BA72A9">
              <w:rPr>
                <w:noProof/>
                <w:webHidden/>
              </w:rPr>
              <w:t>7</w:t>
            </w:r>
            <w:r w:rsidR="009B3532">
              <w:rPr>
                <w:noProof/>
                <w:webHidden/>
              </w:rPr>
              <w:fldChar w:fldCharType="end"/>
            </w:r>
          </w:hyperlink>
        </w:p>
        <w:p w14:paraId="1F741A1E" w14:textId="77777777" w:rsidR="009B3532" w:rsidRDefault="007966E4">
          <w:pPr>
            <w:pStyle w:val="TDC3"/>
            <w:rPr>
              <w:rFonts w:asciiTheme="minorHAnsi" w:eastAsiaTheme="minorEastAsia" w:hAnsiTheme="minorHAnsi" w:cstheme="minorBidi"/>
              <w:noProof/>
              <w:szCs w:val="22"/>
              <w:lang w:eastAsia="es-MX"/>
            </w:rPr>
          </w:pPr>
          <w:hyperlink w:anchor="_Toc192183036" w:history="1">
            <w:r w:rsidR="009B3532" w:rsidRPr="002174CC">
              <w:rPr>
                <w:rStyle w:val="Hipervnculo"/>
                <w:rFonts w:eastAsia="Calibri"/>
                <w:noProof/>
                <w:lang w:eastAsia="es-ES_tradnl"/>
              </w:rPr>
              <w:t>c) Plazo para interponer el recurso</w:t>
            </w:r>
            <w:r w:rsidR="009B3532">
              <w:rPr>
                <w:noProof/>
                <w:webHidden/>
              </w:rPr>
              <w:tab/>
            </w:r>
            <w:r w:rsidR="009B3532">
              <w:rPr>
                <w:noProof/>
                <w:webHidden/>
              </w:rPr>
              <w:fldChar w:fldCharType="begin"/>
            </w:r>
            <w:r w:rsidR="009B3532">
              <w:rPr>
                <w:noProof/>
                <w:webHidden/>
              </w:rPr>
              <w:instrText xml:space="preserve"> PAGEREF _Toc192183036 \h </w:instrText>
            </w:r>
            <w:r w:rsidR="009B3532">
              <w:rPr>
                <w:noProof/>
                <w:webHidden/>
              </w:rPr>
            </w:r>
            <w:r w:rsidR="009B3532">
              <w:rPr>
                <w:noProof/>
                <w:webHidden/>
              </w:rPr>
              <w:fldChar w:fldCharType="separate"/>
            </w:r>
            <w:r w:rsidR="00BA72A9">
              <w:rPr>
                <w:noProof/>
                <w:webHidden/>
              </w:rPr>
              <w:t>8</w:t>
            </w:r>
            <w:r w:rsidR="009B3532">
              <w:rPr>
                <w:noProof/>
                <w:webHidden/>
              </w:rPr>
              <w:fldChar w:fldCharType="end"/>
            </w:r>
          </w:hyperlink>
        </w:p>
        <w:p w14:paraId="441ABE4D" w14:textId="77777777" w:rsidR="009B3532" w:rsidRDefault="007966E4">
          <w:pPr>
            <w:pStyle w:val="TDC3"/>
            <w:rPr>
              <w:rFonts w:asciiTheme="minorHAnsi" w:eastAsiaTheme="minorEastAsia" w:hAnsiTheme="minorHAnsi" w:cstheme="minorBidi"/>
              <w:noProof/>
              <w:szCs w:val="22"/>
              <w:lang w:eastAsia="es-MX"/>
            </w:rPr>
          </w:pPr>
          <w:hyperlink w:anchor="_Toc192183037" w:history="1">
            <w:r w:rsidR="009B3532" w:rsidRPr="002174CC">
              <w:rPr>
                <w:rStyle w:val="Hipervnculo"/>
                <w:rFonts w:eastAsia="Calibri"/>
                <w:noProof/>
                <w:lang w:eastAsia="es-ES_tradnl"/>
              </w:rPr>
              <w:t>d) Causal de Procedencia</w:t>
            </w:r>
            <w:r w:rsidR="009B3532">
              <w:rPr>
                <w:noProof/>
                <w:webHidden/>
              </w:rPr>
              <w:tab/>
            </w:r>
            <w:r w:rsidR="009B3532">
              <w:rPr>
                <w:noProof/>
                <w:webHidden/>
              </w:rPr>
              <w:fldChar w:fldCharType="begin"/>
            </w:r>
            <w:r w:rsidR="009B3532">
              <w:rPr>
                <w:noProof/>
                <w:webHidden/>
              </w:rPr>
              <w:instrText xml:space="preserve"> PAGEREF _Toc192183037 \h </w:instrText>
            </w:r>
            <w:r w:rsidR="009B3532">
              <w:rPr>
                <w:noProof/>
                <w:webHidden/>
              </w:rPr>
            </w:r>
            <w:r w:rsidR="009B3532">
              <w:rPr>
                <w:noProof/>
                <w:webHidden/>
              </w:rPr>
              <w:fldChar w:fldCharType="separate"/>
            </w:r>
            <w:r w:rsidR="00BA72A9">
              <w:rPr>
                <w:noProof/>
                <w:webHidden/>
              </w:rPr>
              <w:t>8</w:t>
            </w:r>
            <w:r w:rsidR="009B3532">
              <w:rPr>
                <w:noProof/>
                <w:webHidden/>
              </w:rPr>
              <w:fldChar w:fldCharType="end"/>
            </w:r>
          </w:hyperlink>
        </w:p>
        <w:p w14:paraId="51035BCD" w14:textId="77777777" w:rsidR="009B3532" w:rsidRDefault="007966E4">
          <w:pPr>
            <w:pStyle w:val="TDC3"/>
            <w:rPr>
              <w:rFonts w:asciiTheme="minorHAnsi" w:eastAsiaTheme="minorEastAsia" w:hAnsiTheme="minorHAnsi" w:cstheme="minorBidi"/>
              <w:noProof/>
              <w:szCs w:val="22"/>
              <w:lang w:eastAsia="es-MX"/>
            </w:rPr>
          </w:pPr>
          <w:hyperlink w:anchor="_Toc192183038" w:history="1">
            <w:r w:rsidR="009B3532" w:rsidRPr="002174CC">
              <w:rPr>
                <w:rStyle w:val="Hipervnculo"/>
                <w:noProof/>
              </w:rPr>
              <w:t>e) Requisitos formales para la interposición del recurso</w:t>
            </w:r>
            <w:r w:rsidR="009B3532">
              <w:rPr>
                <w:noProof/>
                <w:webHidden/>
              </w:rPr>
              <w:tab/>
            </w:r>
            <w:r w:rsidR="009B3532">
              <w:rPr>
                <w:noProof/>
                <w:webHidden/>
              </w:rPr>
              <w:fldChar w:fldCharType="begin"/>
            </w:r>
            <w:r w:rsidR="009B3532">
              <w:rPr>
                <w:noProof/>
                <w:webHidden/>
              </w:rPr>
              <w:instrText xml:space="preserve"> PAGEREF _Toc192183038 \h </w:instrText>
            </w:r>
            <w:r w:rsidR="009B3532">
              <w:rPr>
                <w:noProof/>
                <w:webHidden/>
              </w:rPr>
            </w:r>
            <w:r w:rsidR="009B3532">
              <w:rPr>
                <w:noProof/>
                <w:webHidden/>
              </w:rPr>
              <w:fldChar w:fldCharType="separate"/>
            </w:r>
            <w:r w:rsidR="00BA72A9">
              <w:rPr>
                <w:noProof/>
                <w:webHidden/>
              </w:rPr>
              <w:t>8</w:t>
            </w:r>
            <w:r w:rsidR="009B3532">
              <w:rPr>
                <w:noProof/>
                <w:webHidden/>
              </w:rPr>
              <w:fldChar w:fldCharType="end"/>
            </w:r>
          </w:hyperlink>
        </w:p>
        <w:p w14:paraId="08E59A6C" w14:textId="77777777" w:rsidR="009B3532" w:rsidRDefault="007966E4">
          <w:pPr>
            <w:pStyle w:val="TDC2"/>
            <w:rPr>
              <w:rFonts w:asciiTheme="minorHAnsi" w:eastAsiaTheme="minorEastAsia" w:hAnsiTheme="minorHAnsi" w:cstheme="minorBidi"/>
              <w:noProof/>
              <w:szCs w:val="22"/>
              <w:lang w:eastAsia="es-MX"/>
            </w:rPr>
          </w:pPr>
          <w:hyperlink w:anchor="_Toc192183039" w:history="1">
            <w:r w:rsidR="009B3532" w:rsidRPr="002174CC">
              <w:rPr>
                <w:rStyle w:val="Hipervnculo"/>
                <w:noProof/>
              </w:rPr>
              <w:t>SEGUNDO. Estudio de Fondo</w:t>
            </w:r>
            <w:r w:rsidR="009B3532">
              <w:rPr>
                <w:noProof/>
                <w:webHidden/>
              </w:rPr>
              <w:tab/>
            </w:r>
            <w:r w:rsidR="009B3532">
              <w:rPr>
                <w:noProof/>
                <w:webHidden/>
              </w:rPr>
              <w:fldChar w:fldCharType="begin"/>
            </w:r>
            <w:r w:rsidR="009B3532">
              <w:rPr>
                <w:noProof/>
                <w:webHidden/>
              </w:rPr>
              <w:instrText xml:space="preserve"> PAGEREF _Toc192183039 \h </w:instrText>
            </w:r>
            <w:r w:rsidR="009B3532">
              <w:rPr>
                <w:noProof/>
                <w:webHidden/>
              </w:rPr>
            </w:r>
            <w:r w:rsidR="009B3532">
              <w:rPr>
                <w:noProof/>
                <w:webHidden/>
              </w:rPr>
              <w:fldChar w:fldCharType="separate"/>
            </w:r>
            <w:r w:rsidR="00BA72A9">
              <w:rPr>
                <w:noProof/>
                <w:webHidden/>
              </w:rPr>
              <w:t>8</w:t>
            </w:r>
            <w:r w:rsidR="009B3532">
              <w:rPr>
                <w:noProof/>
                <w:webHidden/>
              </w:rPr>
              <w:fldChar w:fldCharType="end"/>
            </w:r>
          </w:hyperlink>
        </w:p>
        <w:p w14:paraId="6B61D7A1" w14:textId="77777777" w:rsidR="009B3532" w:rsidRDefault="007966E4">
          <w:pPr>
            <w:pStyle w:val="TDC3"/>
            <w:rPr>
              <w:rFonts w:asciiTheme="minorHAnsi" w:eastAsiaTheme="minorEastAsia" w:hAnsiTheme="minorHAnsi" w:cstheme="minorBidi"/>
              <w:noProof/>
              <w:szCs w:val="22"/>
              <w:lang w:eastAsia="es-MX"/>
            </w:rPr>
          </w:pPr>
          <w:hyperlink w:anchor="_Toc192183040" w:history="1">
            <w:r w:rsidR="009B3532" w:rsidRPr="002174CC">
              <w:rPr>
                <w:rStyle w:val="Hipervnculo"/>
                <w:noProof/>
              </w:rPr>
              <w:t>a) Mandato de transparencia y responsabilidad del Sujeto Obligado</w:t>
            </w:r>
            <w:r w:rsidR="009B3532">
              <w:rPr>
                <w:noProof/>
                <w:webHidden/>
              </w:rPr>
              <w:tab/>
            </w:r>
            <w:r w:rsidR="009B3532">
              <w:rPr>
                <w:noProof/>
                <w:webHidden/>
              </w:rPr>
              <w:fldChar w:fldCharType="begin"/>
            </w:r>
            <w:r w:rsidR="009B3532">
              <w:rPr>
                <w:noProof/>
                <w:webHidden/>
              </w:rPr>
              <w:instrText xml:space="preserve"> PAGEREF _Toc192183040 \h </w:instrText>
            </w:r>
            <w:r w:rsidR="009B3532">
              <w:rPr>
                <w:noProof/>
                <w:webHidden/>
              </w:rPr>
            </w:r>
            <w:r w:rsidR="009B3532">
              <w:rPr>
                <w:noProof/>
                <w:webHidden/>
              </w:rPr>
              <w:fldChar w:fldCharType="separate"/>
            </w:r>
            <w:r w:rsidR="00BA72A9">
              <w:rPr>
                <w:noProof/>
                <w:webHidden/>
              </w:rPr>
              <w:t>8</w:t>
            </w:r>
            <w:r w:rsidR="009B3532">
              <w:rPr>
                <w:noProof/>
                <w:webHidden/>
              </w:rPr>
              <w:fldChar w:fldCharType="end"/>
            </w:r>
          </w:hyperlink>
        </w:p>
        <w:p w14:paraId="239A36BF" w14:textId="77777777" w:rsidR="009B3532" w:rsidRDefault="007966E4">
          <w:pPr>
            <w:pStyle w:val="TDC3"/>
            <w:rPr>
              <w:rFonts w:asciiTheme="minorHAnsi" w:eastAsiaTheme="minorEastAsia" w:hAnsiTheme="minorHAnsi" w:cstheme="minorBidi"/>
              <w:noProof/>
              <w:szCs w:val="22"/>
              <w:lang w:eastAsia="es-MX"/>
            </w:rPr>
          </w:pPr>
          <w:hyperlink w:anchor="_Toc192183041" w:history="1">
            <w:r w:rsidR="009B3532" w:rsidRPr="002174CC">
              <w:rPr>
                <w:rStyle w:val="Hipervnculo"/>
                <w:rFonts w:eastAsia="Calibri"/>
                <w:noProof/>
                <w:lang w:eastAsia="es-ES_tradnl"/>
              </w:rPr>
              <w:t>b) Controversia a resolver</w:t>
            </w:r>
            <w:r w:rsidR="009B3532">
              <w:rPr>
                <w:noProof/>
                <w:webHidden/>
              </w:rPr>
              <w:tab/>
            </w:r>
            <w:r w:rsidR="009B3532">
              <w:rPr>
                <w:noProof/>
                <w:webHidden/>
              </w:rPr>
              <w:fldChar w:fldCharType="begin"/>
            </w:r>
            <w:r w:rsidR="009B3532">
              <w:rPr>
                <w:noProof/>
                <w:webHidden/>
              </w:rPr>
              <w:instrText xml:space="preserve"> PAGEREF _Toc192183041 \h </w:instrText>
            </w:r>
            <w:r w:rsidR="009B3532">
              <w:rPr>
                <w:noProof/>
                <w:webHidden/>
              </w:rPr>
            </w:r>
            <w:r w:rsidR="009B3532">
              <w:rPr>
                <w:noProof/>
                <w:webHidden/>
              </w:rPr>
              <w:fldChar w:fldCharType="separate"/>
            </w:r>
            <w:r w:rsidR="00BA72A9">
              <w:rPr>
                <w:noProof/>
                <w:webHidden/>
              </w:rPr>
              <w:t>11</w:t>
            </w:r>
            <w:r w:rsidR="009B3532">
              <w:rPr>
                <w:noProof/>
                <w:webHidden/>
              </w:rPr>
              <w:fldChar w:fldCharType="end"/>
            </w:r>
          </w:hyperlink>
        </w:p>
        <w:p w14:paraId="6E330F95" w14:textId="77777777" w:rsidR="009B3532" w:rsidRDefault="007966E4">
          <w:pPr>
            <w:pStyle w:val="TDC3"/>
            <w:rPr>
              <w:rFonts w:asciiTheme="minorHAnsi" w:eastAsiaTheme="minorEastAsia" w:hAnsiTheme="minorHAnsi" w:cstheme="minorBidi"/>
              <w:noProof/>
              <w:szCs w:val="22"/>
              <w:lang w:eastAsia="es-MX"/>
            </w:rPr>
          </w:pPr>
          <w:hyperlink w:anchor="_Toc192183042" w:history="1">
            <w:r w:rsidR="009B3532" w:rsidRPr="002174CC">
              <w:rPr>
                <w:rStyle w:val="Hipervnculo"/>
                <w:noProof/>
              </w:rPr>
              <w:t>c) Estudio de la controversia</w:t>
            </w:r>
            <w:r w:rsidR="009B3532">
              <w:rPr>
                <w:noProof/>
                <w:webHidden/>
              </w:rPr>
              <w:tab/>
            </w:r>
            <w:r w:rsidR="009B3532">
              <w:rPr>
                <w:noProof/>
                <w:webHidden/>
              </w:rPr>
              <w:fldChar w:fldCharType="begin"/>
            </w:r>
            <w:r w:rsidR="009B3532">
              <w:rPr>
                <w:noProof/>
                <w:webHidden/>
              </w:rPr>
              <w:instrText xml:space="preserve"> PAGEREF _Toc192183042 \h </w:instrText>
            </w:r>
            <w:r w:rsidR="009B3532">
              <w:rPr>
                <w:noProof/>
                <w:webHidden/>
              </w:rPr>
            </w:r>
            <w:r w:rsidR="009B3532">
              <w:rPr>
                <w:noProof/>
                <w:webHidden/>
              </w:rPr>
              <w:fldChar w:fldCharType="separate"/>
            </w:r>
            <w:r w:rsidR="00BA72A9">
              <w:rPr>
                <w:noProof/>
                <w:webHidden/>
              </w:rPr>
              <w:t>12</w:t>
            </w:r>
            <w:r w:rsidR="009B3532">
              <w:rPr>
                <w:noProof/>
                <w:webHidden/>
              </w:rPr>
              <w:fldChar w:fldCharType="end"/>
            </w:r>
          </w:hyperlink>
        </w:p>
        <w:p w14:paraId="37E9AAEF" w14:textId="77777777" w:rsidR="009B3532" w:rsidRDefault="007966E4">
          <w:pPr>
            <w:pStyle w:val="TDC3"/>
            <w:rPr>
              <w:rFonts w:asciiTheme="minorHAnsi" w:eastAsiaTheme="minorEastAsia" w:hAnsiTheme="minorHAnsi" w:cstheme="minorBidi"/>
              <w:noProof/>
              <w:szCs w:val="22"/>
              <w:lang w:eastAsia="es-MX"/>
            </w:rPr>
          </w:pPr>
          <w:hyperlink w:anchor="_Toc192183043" w:history="1">
            <w:r w:rsidR="009B3532" w:rsidRPr="002174CC">
              <w:rPr>
                <w:rStyle w:val="Hipervnculo"/>
                <w:noProof/>
              </w:rPr>
              <w:t>d) Conclusión</w:t>
            </w:r>
            <w:r w:rsidR="009B3532">
              <w:rPr>
                <w:noProof/>
                <w:webHidden/>
              </w:rPr>
              <w:tab/>
            </w:r>
            <w:r w:rsidR="009B3532">
              <w:rPr>
                <w:noProof/>
                <w:webHidden/>
              </w:rPr>
              <w:fldChar w:fldCharType="begin"/>
            </w:r>
            <w:r w:rsidR="009B3532">
              <w:rPr>
                <w:noProof/>
                <w:webHidden/>
              </w:rPr>
              <w:instrText xml:space="preserve"> PAGEREF _Toc192183043 \h </w:instrText>
            </w:r>
            <w:r w:rsidR="009B3532">
              <w:rPr>
                <w:noProof/>
                <w:webHidden/>
              </w:rPr>
            </w:r>
            <w:r w:rsidR="009B3532">
              <w:rPr>
                <w:noProof/>
                <w:webHidden/>
              </w:rPr>
              <w:fldChar w:fldCharType="separate"/>
            </w:r>
            <w:r w:rsidR="00BA72A9">
              <w:rPr>
                <w:noProof/>
                <w:webHidden/>
              </w:rPr>
              <w:t>24</w:t>
            </w:r>
            <w:r w:rsidR="009B3532">
              <w:rPr>
                <w:noProof/>
                <w:webHidden/>
              </w:rPr>
              <w:fldChar w:fldCharType="end"/>
            </w:r>
          </w:hyperlink>
        </w:p>
        <w:p w14:paraId="0C82FD7A" w14:textId="73B80B0C" w:rsidR="009B2945" w:rsidRPr="009B3532" w:rsidRDefault="007966E4" w:rsidP="009B3532">
          <w:pPr>
            <w:pStyle w:val="TDC1"/>
            <w:tabs>
              <w:tab w:val="right" w:leader="dot" w:pos="9034"/>
            </w:tabs>
            <w:rPr>
              <w:b/>
              <w:bCs/>
              <w:szCs w:val="22"/>
              <w:lang w:val="es-ES"/>
            </w:rPr>
          </w:pPr>
          <w:hyperlink w:anchor="_Toc192183044" w:history="1">
            <w:r w:rsidR="009B3532" w:rsidRPr="002174CC">
              <w:rPr>
                <w:rStyle w:val="Hipervnculo"/>
                <w:noProof/>
              </w:rPr>
              <w:t>RESUELVE</w:t>
            </w:r>
            <w:r w:rsidR="009B3532">
              <w:rPr>
                <w:noProof/>
                <w:webHidden/>
              </w:rPr>
              <w:tab/>
            </w:r>
            <w:r w:rsidR="009B3532">
              <w:rPr>
                <w:noProof/>
                <w:webHidden/>
              </w:rPr>
              <w:fldChar w:fldCharType="begin"/>
            </w:r>
            <w:r w:rsidR="009B3532">
              <w:rPr>
                <w:noProof/>
                <w:webHidden/>
              </w:rPr>
              <w:instrText xml:space="preserve"> PAGEREF _Toc192183044 \h </w:instrText>
            </w:r>
            <w:r w:rsidR="009B3532">
              <w:rPr>
                <w:noProof/>
                <w:webHidden/>
              </w:rPr>
            </w:r>
            <w:r w:rsidR="009B3532">
              <w:rPr>
                <w:noProof/>
                <w:webHidden/>
              </w:rPr>
              <w:fldChar w:fldCharType="separate"/>
            </w:r>
            <w:r w:rsidR="00BA72A9">
              <w:rPr>
                <w:noProof/>
                <w:webHidden/>
              </w:rPr>
              <w:t>24</w:t>
            </w:r>
            <w:r w:rsidR="009B3532">
              <w:rPr>
                <w:noProof/>
                <w:webHidden/>
              </w:rPr>
              <w:fldChar w:fldCharType="end"/>
            </w:r>
          </w:hyperlink>
          <w:r w:rsidR="00AE3DA7" w:rsidRPr="009B3532">
            <w:rPr>
              <w:b/>
              <w:bCs/>
              <w:szCs w:val="22"/>
              <w:lang w:val="es-ES"/>
            </w:rPr>
            <w:fldChar w:fldCharType="end"/>
          </w:r>
        </w:p>
      </w:sdtContent>
    </w:sdt>
    <w:p w14:paraId="603A07E2" w14:textId="77777777" w:rsidR="00646436" w:rsidRPr="009B3532" w:rsidRDefault="00646436" w:rsidP="009B3532">
      <w:pPr>
        <w:rPr>
          <w:rFonts w:cs="Tahoma"/>
          <w:szCs w:val="22"/>
        </w:rPr>
        <w:sectPr w:rsidR="00646436" w:rsidRPr="009B353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F3ACCD4" w:rsidR="00775BFC" w:rsidRPr="009B3532" w:rsidRDefault="00775BFC" w:rsidP="009B3532">
      <w:pPr>
        <w:rPr>
          <w:b/>
          <w:szCs w:val="22"/>
        </w:rPr>
      </w:pPr>
      <w:r w:rsidRPr="009B3532">
        <w:rPr>
          <w:szCs w:val="22"/>
        </w:rPr>
        <w:lastRenderedPageBreak/>
        <w:t xml:space="preserve">Resolución del Pleno del </w:t>
      </w:r>
      <w:r w:rsidR="009E4391" w:rsidRPr="009B3532">
        <w:rPr>
          <w:szCs w:val="22"/>
        </w:rPr>
        <w:t xml:space="preserve">Instituto de Transparencia, Acceso a la Información Pública y Protección de Datos Personales del Estado de México y Municipios, </w:t>
      </w:r>
      <w:r w:rsidRPr="009B3532">
        <w:rPr>
          <w:szCs w:val="22"/>
        </w:rPr>
        <w:t>con domicilio en Metepec, Estado de México, de</w:t>
      </w:r>
      <w:r w:rsidR="009B3532">
        <w:rPr>
          <w:szCs w:val="22"/>
        </w:rPr>
        <w:t>l</w:t>
      </w:r>
      <w:r w:rsidRPr="009B3532">
        <w:rPr>
          <w:szCs w:val="22"/>
        </w:rPr>
        <w:t xml:space="preserve"> </w:t>
      </w:r>
      <w:r w:rsidR="0097409C" w:rsidRPr="009B3532">
        <w:rPr>
          <w:b/>
          <w:szCs w:val="22"/>
        </w:rPr>
        <w:t>seis de marzo</w:t>
      </w:r>
      <w:r w:rsidR="0040573B" w:rsidRPr="009B3532">
        <w:rPr>
          <w:b/>
          <w:szCs w:val="22"/>
        </w:rPr>
        <w:t xml:space="preserve"> de dos mil veinticinco</w:t>
      </w:r>
      <w:r w:rsidR="00ED7170" w:rsidRPr="009B3532">
        <w:rPr>
          <w:b/>
          <w:szCs w:val="22"/>
        </w:rPr>
        <w:t>.</w:t>
      </w:r>
    </w:p>
    <w:p w14:paraId="0AF3AAC4" w14:textId="77777777" w:rsidR="00775BFC" w:rsidRPr="009B3532" w:rsidRDefault="00775BFC" w:rsidP="009B3532">
      <w:pPr>
        <w:rPr>
          <w:szCs w:val="22"/>
        </w:rPr>
      </w:pPr>
    </w:p>
    <w:p w14:paraId="40EAE038" w14:textId="4F5356AE" w:rsidR="00775BFC" w:rsidRPr="009B3532" w:rsidRDefault="00775BFC" w:rsidP="009B3532">
      <w:pPr>
        <w:rPr>
          <w:szCs w:val="22"/>
        </w:rPr>
      </w:pPr>
      <w:r w:rsidRPr="009B3532">
        <w:rPr>
          <w:b/>
          <w:szCs w:val="22"/>
        </w:rPr>
        <w:t xml:space="preserve">VISTO </w:t>
      </w:r>
      <w:r w:rsidRPr="009B3532">
        <w:rPr>
          <w:szCs w:val="22"/>
        </w:rPr>
        <w:t xml:space="preserve">el expediente formado con motivo del Recurso de Revisión </w:t>
      </w:r>
      <w:r w:rsidR="008E24A9" w:rsidRPr="009B3532">
        <w:rPr>
          <w:rFonts w:eastAsia="Calibri"/>
          <w:b/>
          <w:szCs w:val="22"/>
          <w:lang w:eastAsia="en-US"/>
        </w:rPr>
        <w:t>01057/INFOEM/IP/RR/2025</w:t>
      </w:r>
      <w:r w:rsidR="005314A3" w:rsidRPr="009B3532">
        <w:rPr>
          <w:rFonts w:eastAsia="Calibri"/>
          <w:b/>
          <w:szCs w:val="22"/>
          <w:lang w:eastAsia="en-US"/>
        </w:rPr>
        <w:t xml:space="preserve"> </w:t>
      </w:r>
      <w:r w:rsidRPr="009B3532">
        <w:rPr>
          <w:szCs w:val="22"/>
        </w:rPr>
        <w:t xml:space="preserve">interpuesto </w:t>
      </w:r>
      <w:r w:rsidR="007C3546" w:rsidRPr="009B3532">
        <w:rPr>
          <w:szCs w:val="22"/>
        </w:rPr>
        <w:t xml:space="preserve">por </w:t>
      </w:r>
      <w:r w:rsidR="00D13703">
        <w:rPr>
          <w:b/>
          <w:bCs/>
          <w:szCs w:val="22"/>
        </w:rPr>
        <w:t xml:space="preserve">XXXXX </w:t>
      </w:r>
      <w:proofErr w:type="spellStart"/>
      <w:r w:rsidR="00D13703">
        <w:rPr>
          <w:b/>
          <w:bCs/>
          <w:szCs w:val="22"/>
        </w:rPr>
        <w:t>XXXXX</w:t>
      </w:r>
      <w:proofErr w:type="spellEnd"/>
      <w:r w:rsidR="00D13703">
        <w:rPr>
          <w:b/>
          <w:bCs/>
          <w:szCs w:val="22"/>
        </w:rPr>
        <w:t xml:space="preserve"> XXXX</w:t>
      </w:r>
      <w:r w:rsidRPr="009B3532">
        <w:rPr>
          <w:szCs w:val="22"/>
        </w:rPr>
        <w:t xml:space="preserve">, a quien en lo subsecuente se le denominará </w:t>
      </w:r>
      <w:r w:rsidRPr="009B3532">
        <w:rPr>
          <w:b/>
          <w:bCs/>
          <w:szCs w:val="22"/>
        </w:rPr>
        <w:t>LA PARTE RECURRENTE</w:t>
      </w:r>
      <w:r w:rsidRPr="009B3532">
        <w:rPr>
          <w:szCs w:val="22"/>
        </w:rPr>
        <w:t>, en contra de la respuesta emitida por</w:t>
      </w:r>
      <w:r w:rsidR="00A0449B" w:rsidRPr="009B3532">
        <w:rPr>
          <w:szCs w:val="22"/>
        </w:rPr>
        <w:t xml:space="preserve"> </w:t>
      </w:r>
      <w:r w:rsidR="00EC5E57" w:rsidRPr="009B3532">
        <w:rPr>
          <w:szCs w:val="22"/>
        </w:rPr>
        <w:t>el</w:t>
      </w:r>
      <w:r w:rsidR="000748DF" w:rsidRPr="009B3532">
        <w:rPr>
          <w:szCs w:val="22"/>
        </w:rPr>
        <w:t xml:space="preserve"> </w:t>
      </w:r>
      <w:r w:rsidR="0021255F" w:rsidRPr="009B3532">
        <w:rPr>
          <w:b/>
          <w:bCs/>
          <w:szCs w:val="22"/>
        </w:rPr>
        <w:t xml:space="preserve">Ayuntamiento de </w:t>
      </w:r>
      <w:r w:rsidR="008E24A9" w:rsidRPr="009B3532">
        <w:rPr>
          <w:b/>
          <w:bCs/>
          <w:szCs w:val="22"/>
        </w:rPr>
        <w:t>Tenancingo</w:t>
      </w:r>
      <w:r w:rsidRPr="009B3532">
        <w:rPr>
          <w:szCs w:val="22"/>
        </w:rPr>
        <w:t xml:space="preserve">, en adelante </w:t>
      </w:r>
      <w:r w:rsidRPr="009B3532">
        <w:rPr>
          <w:b/>
          <w:bCs/>
          <w:szCs w:val="22"/>
        </w:rPr>
        <w:t>EL SUJETO OBLIGADO</w:t>
      </w:r>
      <w:r w:rsidRPr="009B3532">
        <w:rPr>
          <w:rFonts w:eastAsia="Calibri"/>
          <w:szCs w:val="22"/>
          <w:lang w:eastAsia="en-US"/>
        </w:rPr>
        <w:t xml:space="preserve">, </w:t>
      </w:r>
      <w:r w:rsidRPr="009B3532">
        <w:rPr>
          <w:szCs w:val="22"/>
        </w:rPr>
        <w:t>se emite la presente Resolución con base en los Antecedentes y Considerandos que se exponen a continuación:</w:t>
      </w:r>
    </w:p>
    <w:p w14:paraId="2116968C" w14:textId="77777777" w:rsidR="00775BFC" w:rsidRPr="009B3532" w:rsidRDefault="00775BFC" w:rsidP="009B3532">
      <w:pPr>
        <w:rPr>
          <w:szCs w:val="22"/>
        </w:rPr>
      </w:pPr>
    </w:p>
    <w:p w14:paraId="5A444FB6" w14:textId="639D3567" w:rsidR="00664420" w:rsidRPr="009B3532" w:rsidRDefault="00664420" w:rsidP="009B3532">
      <w:pPr>
        <w:pStyle w:val="Ttulo1"/>
        <w:rPr>
          <w:szCs w:val="22"/>
        </w:rPr>
      </w:pPr>
      <w:bookmarkStart w:id="2" w:name="_Toc192183019"/>
      <w:r w:rsidRPr="009B3532">
        <w:rPr>
          <w:szCs w:val="22"/>
        </w:rPr>
        <w:t>ANTECEDENTES</w:t>
      </w:r>
      <w:bookmarkEnd w:id="2"/>
    </w:p>
    <w:p w14:paraId="7CE9E53D" w14:textId="77777777" w:rsidR="00E37A3F" w:rsidRPr="009B3532" w:rsidRDefault="00E37A3F" w:rsidP="009B3532">
      <w:pPr>
        <w:rPr>
          <w:szCs w:val="22"/>
        </w:rPr>
      </w:pPr>
    </w:p>
    <w:p w14:paraId="09B2D38F" w14:textId="6E49D146" w:rsidR="00664420" w:rsidRPr="009B3532" w:rsidRDefault="00E37A3F" w:rsidP="009B3532">
      <w:pPr>
        <w:pStyle w:val="Ttulo2"/>
        <w:rPr>
          <w:szCs w:val="22"/>
        </w:rPr>
      </w:pPr>
      <w:bookmarkStart w:id="3" w:name="_Toc192183020"/>
      <w:r w:rsidRPr="009B3532">
        <w:rPr>
          <w:szCs w:val="22"/>
        </w:rPr>
        <w:t>DE LA SOLICITUD DE INFORMACIÓN</w:t>
      </w:r>
      <w:bookmarkEnd w:id="3"/>
    </w:p>
    <w:p w14:paraId="2C6AD1A5" w14:textId="0405B3CD" w:rsidR="00664420" w:rsidRPr="009B3532" w:rsidRDefault="00E37A3F" w:rsidP="009B3532">
      <w:pPr>
        <w:pStyle w:val="Ttulo3"/>
        <w:rPr>
          <w:szCs w:val="22"/>
        </w:rPr>
      </w:pPr>
      <w:bookmarkStart w:id="4" w:name="_Toc192183021"/>
      <w:r w:rsidRPr="009B3532">
        <w:rPr>
          <w:szCs w:val="22"/>
        </w:rPr>
        <w:t xml:space="preserve">a) </w:t>
      </w:r>
      <w:r w:rsidR="006B10B0" w:rsidRPr="009B3532">
        <w:rPr>
          <w:szCs w:val="22"/>
        </w:rPr>
        <w:t>S</w:t>
      </w:r>
      <w:r w:rsidR="00664420" w:rsidRPr="009B3532">
        <w:rPr>
          <w:szCs w:val="22"/>
        </w:rPr>
        <w:t xml:space="preserve">olicitud de </w:t>
      </w:r>
      <w:r w:rsidR="006B10B0" w:rsidRPr="009B3532">
        <w:rPr>
          <w:szCs w:val="22"/>
        </w:rPr>
        <w:t>i</w:t>
      </w:r>
      <w:r w:rsidR="00664420" w:rsidRPr="009B3532">
        <w:rPr>
          <w:szCs w:val="22"/>
        </w:rPr>
        <w:t>nformación</w:t>
      </w:r>
      <w:bookmarkEnd w:id="4"/>
    </w:p>
    <w:p w14:paraId="63FC8527" w14:textId="594CB396" w:rsidR="006A28B4" w:rsidRPr="009B3532" w:rsidRDefault="006A28B4" w:rsidP="009B3532">
      <w:pPr>
        <w:pBdr>
          <w:top w:val="nil"/>
          <w:left w:val="nil"/>
          <w:bottom w:val="nil"/>
          <w:right w:val="nil"/>
          <w:between w:val="nil"/>
        </w:pBdr>
        <w:tabs>
          <w:tab w:val="left" w:pos="0"/>
        </w:tabs>
        <w:rPr>
          <w:rFonts w:eastAsia="Palatino Linotype" w:cs="Palatino Linotype"/>
          <w:szCs w:val="22"/>
        </w:rPr>
      </w:pPr>
      <w:r w:rsidRPr="009B3532">
        <w:rPr>
          <w:rFonts w:eastAsia="Palatino Linotype" w:cs="Palatino Linotype"/>
          <w:szCs w:val="22"/>
        </w:rPr>
        <w:t xml:space="preserve">El </w:t>
      </w:r>
      <w:r w:rsidR="008E24A9" w:rsidRPr="009B3532">
        <w:rPr>
          <w:rFonts w:eastAsia="Palatino Linotype" w:cs="Palatino Linotype"/>
          <w:b/>
          <w:szCs w:val="22"/>
        </w:rPr>
        <w:t>trece</w:t>
      </w:r>
      <w:r w:rsidR="00DB2F09" w:rsidRPr="009B3532">
        <w:rPr>
          <w:rFonts w:eastAsia="Palatino Linotype" w:cs="Palatino Linotype"/>
          <w:b/>
          <w:szCs w:val="22"/>
        </w:rPr>
        <w:t xml:space="preserve"> de enero</w:t>
      </w:r>
      <w:r w:rsidRPr="009B3532">
        <w:rPr>
          <w:rFonts w:eastAsia="Palatino Linotype" w:cs="Palatino Linotype"/>
          <w:b/>
          <w:szCs w:val="22"/>
        </w:rPr>
        <w:t xml:space="preserve"> de dos mil </w:t>
      </w:r>
      <w:r w:rsidR="00DB2F09" w:rsidRPr="009B3532">
        <w:rPr>
          <w:rFonts w:eastAsia="Palatino Linotype" w:cs="Palatino Linotype"/>
          <w:b/>
          <w:szCs w:val="22"/>
        </w:rPr>
        <w:t>veinticinco</w:t>
      </w:r>
      <w:r w:rsidR="00721C9E" w:rsidRPr="009B3532">
        <w:rPr>
          <w:rFonts w:eastAsia="Palatino Linotype" w:cs="Palatino Linotype"/>
          <w:b/>
          <w:szCs w:val="22"/>
        </w:rPr>
        <w:t>,</w:t>
      </w:r>
      <w:r w:rsidRPr="009B3532">
        <w:rPr>
          <w:rFonts w:eastAsia="Palatino Linotype" w:cs="Palatino Linotype"/>
          <w:szCs w:val="22"/>
        </w:rPr>
        <w:t xml:space="preserve"> </w:t>
      </w:r>
      <w:r w:rsidRPr="009B3532">
        <w:rPr>
          <w:rFonts w:eastAsia="Palatino Linotype" w:cs="Palatino Linotype"/>
          <w:b/>
          <w:szCs w:val="22"/>
        </w:rPr>
        <w:t>LA PARTE RECURRENTE</w:t>
      </w:r>
      <w:r w:rsidRPr="009B3532">
        <w:rPr>
          <w:rFonts w:eastAsia="Palatino Linotype" w:cs="Palatino Linotype"/>
          <w:szCs w:val="22"/>
        </w:rPr>
        <w:t xml:space="preserve"> presentó una solicitud de acceso a la información pública ante el </w:t>
      </w:r>
      <w:r w:rsidRPr="009B3532">
        <w:rPr>
          <w:rFonts w:eastAsia="Palatino Linotype" w:cs="Palatino Linotype"/>
          <w:b/>
          <w:szCs w:val="22"/>
        </w:rPr>
        <w:t>SUJETO OBLIGADO</w:t>
      </w:r>
      <w:r w:rsidRPr="009B3532">
        <w:rPr>
          <w:rFonts w:eastAsia="Palatino Linotype" w:cs="Palatino Linotype"/>
          <w:szCs w:val="22"/>
        </w:rPr>
        <w:t xml:space="preserve">, a través </w:t>
      </w:r>
      <w:r w:rsidR="007E42B7" w:rsidRPr="009B3532">
        <w:rPr>
          <w:rFonts w:eastAsia="Palatino Linotype" w:cs="Palatino Linotype"/>
          <w:szCs w:val="22"/>
        </w:rPr>
        <w:t>del</w:t>
      </w:r>
      <w:r w:rsidRPr="009B3532">
        <w:rPr>
          <w:rFonts w:eastAsia="Palatino Linotype" w:cs="Palatino Linotype"/>
          <w:szCs w:val="22"/>
        </w:rPr>
        <w:t xml:space="preserve"> Sistema de Acceso a la Información Mexiquense (SAIMEX). Dicha solicitud quedó registrada con el número de folio</w:t>
      </w:r>
      <w:r w:rsidRPr="009B3532">
        <w:rPr>
          <w:rFonts w:eastAsia="Palatino Linotype" w:cs="Palatino Linotype"/>
          <w:b/>
          <w:szCs w:val="22"/>
        </w:rPr>
        <w:t xml:space="preserve"> </w:t>
      </w:r>
      <w:r w:rsidR="008E24A9" w:rsidRPr="009B3532">
        <w:rPr>
          <w:rFonts w:eastAsia="Palatino Linotype" w:cs="Palatino Linotype"/>
          <w:b/>
          <w:szCs w:val="22"/>
        </w:rPr>
        <w:t>00046/TENANCIN/IP/2025</w:t>
      </w:r>
      <w:r w:rsidRPr="009B3532">
        <w:rPr>
          <w:rFonts w:eastAsia="Palatino Linotype" w:cs="Palatino Linotype"/>
          <w:b/>
          <w:szCs w:val="22"/>
        </w:rPr>
        <w:t xml:space="preserve"> </w:t>
      </w:r>
      <w:r w:rsidRPr="009B3532">
        <w:rPr>
          <w:rFonts w:eastAsia="Palatino Linotype" w:cs="Palatino Linotype"/>
          <w:szCs w:val="22"/>
        </w:rPr>
        <w:t>y en ella se requirió la siguiente información:</w:t>
      </w:r>
    </w:p>
    <w:p w14:paraId="596FDDE9" w14:textId="77777777" w:rsidR="002E2C99" w:rsidRPr="009B3532" w:rsidRDefault="002E2C99" w:rsidP="009B3532">
      <w:pPr>
        <w:tabs>
          <w:tab w:val="left" w:pos="4667"/>
        </w:tabs>
        <w:ind w:right="567"/>
        <w:rPr>
          <w:rFonts w:eastAsiaTheme="majorEastAsia" w:cstheme="majorBidi"/>
          <w:i/>
          <w:kern w:val="28"/>
          <w:szCs w:val="22"/>
        </w:rPr>
      </w:pPr>
    </w:p>
    <w:p w14:paraId="7CF784AB" w14:textId="4CBDABD7" w:rsidR="00DC71C4" w:rsidRPr="009B3532" w:rsidRDefault="000729BE" w:rsidP="009B3532">
      <w:pPr>
        <w:pStyle w:val="Puesto"/>
        <w:rPr>
          <w:szCs w:val="22"/>
        </w:rPr>
      </w:pPr>
      <w:r w:rsidRPr="009B3532">
        <w:rPr>
          <w:szCs w:val="22"/>
        </w:rPr>
        <w:t>“</w:t>
      </w:r>
      <w:bookmarkStart w:id="5" w:name="_Hlk189664490"/>
      <w:r w:rsidR="008E24A9" w:rsidRPr="009B3532">
        <w:rPr>
          <w:szCs w:val="22"/>
        </w:rPr>
        <w:t>cual es el PBRM de todas las areas del ayuntamiento en el año 2025.</w:t>
      </w:r>
      <w:r w:rsidRPr="009B3532">
        <w:rPr>
          <w:szCs w:val="22"/>
        </w:rPr>
        <w:t xml:space="preserve">” </w:t>
      </w:r>
      <w:bookmarkEnd w:id="5"/>
      <w:r w:rsidRPr="009B3532">
        <w:rPr>
          <w:szCs w:val="22"/>
        </w:rPr>
        <w:t>Sic</w:t>
      </w:r>
    </w:p>
    <w:p w14:paraId="5F0895FD" w14:textId="77777777" w:rsidR="00DC71C4" w:rsidRPr="009B3532" w:rsidRDefault="00DC71C4" w:rsidP="009B3532">
      <w:pPr>
        <w:rPr>
          <w:szCs w:val="22"/>
        </w:rPr>
      </w:pPr>
    </w:p>
    <w:p w14:paraId="0BD6321D" w14:textId="0A5D6479" w:rsidR="00664420" w:rsidRPr="009B3532" w:rsidRDefault="009A2D78" w:rsidP="009B3532">
      <w:pPr>
        <w:tabs>
          <w:tab w:val="left" w:pos="4667"/>
        </w:tabs>
        <w:ind w:right="567"/>
        <w:rPr>
          <w:rFonts w:cs="Tahoma"/>
          <w:bCs/>
          <w:i/>
          <w:szCs w:val="22"/>
        </w:rPr>
      </w:pPr>
      <w:r w:rsidRPr="009B3532">
        <w:rPr>
          <w:rFonts w:cs="Tahoma"/>
          <w:b/>
          <w:bCs/>
          <w:szCs w:val="22"/>
        </w:rPr>
        <w:t>Modalidad de entrega</w:t>
      </w:r>
      <w:r w:rsidRPr="009B3532">
        <w:rPr>
          <w:rFonts w:cs="Tahoma"/>
          <w:bCs/>
          <w:szCs w:val="22"/>
        </w:rPr>
        <w:t>: a</w:t>
      </w:r>
      <w:r w:rsidR="00664420" w:rsidRPr="009B3532">
        <w:rPr>
          <w:rFonts w:cs="Tahoma"/>
          <w:bCs/>
          <w:i/>
          <w:szCs w:val="22"/>
        </w:rPr>
        <w:t xml:space="preserve"> través </w:t>
      </w:r>
      <w:r w:rsidR="00C84660" w:rsidRPr="009B3532">
        <w:rPr>
          <w:rFonts w:cs="Tahoma"/>
          <w:bCs/>
          <w:i/>
          <w:szCs w:val="22"/>
        </w:rPr>
        <w:t>de</w:t>
      </w:r>
      <w:r w:rsidR="00664420" w:rsidRPr="009B3532">
        <w:rPr>
          <w:rFonts w:cs="Tahoma"/>
          <w:bCs/>
          <w:i/>
          <w:szCs w:val="22"/>
        </w:rPr>
        <w:t xml:space="preserve">l </w:t>
      </w:r>
      <w:r w:rsidR="00664420" w:rsidRPr="009B3532">
        <w:rPr>
          <w:rFonts w:cs="Tahoma"/>
          <w:b/>
          <w:bCs/>
          <w:i/>
          <w:szCs w:val="22"/>
        </w:rPr>
        <w:t>SAIMEX</w:t>
      </w:r>
      <w:r w:rsidRPr="009B3532">
        <w:rPr>
          <w:rFonts w:cs="Tahoma"/>
          <w:bCs/>
          <w:i/>
          <w:szCs w:val="22"/>
        </w:rPr>
        <w:t>.</w:t>
      </w:r>
    </w:p>
    <w:p w14:paraId="4AB1CCC9" w14:textId="77777777" w:rsidR="0021255F" w:rsidRPr="009B3532" w:rsidRDefault="0021255F" w:rsidP="009B3532">
      <w:pPr>
        <w:tabs>
          <w:tab w:val="left" w:pos="4667"/>
        </w:tabs>
        <w:ind w:right="567"/>
        <w:rPr>
          <w:rFonts w:cs="Tahoma"/>
          <w:bCs/>
          <w:i/>
          <w:szCs w:val="22"/>
        </w:rPr>
      </w:pPr>
    </w:p>
    <w:p w14:paraId="036E2C8B" w14:textId="77777777" w:rsidR="0021255F" w:rsidRPr="009B3532" w:rsidRDefault="0021255F" w:rsidP="009B3532">
      <w:pPr>
        <w:pStyle w:val="Ttulo3"/>
        <w:rPr>
          <w:szCs w:val="22"/>
        </w:rPr>
      </w:pPr>
      <w:bookmarkStart w:id="6" w:name="_Toc170932807"/>
      <w:bookmarkStart w:id="7" w:name="_Toc180069803"/>
      <w:bookmarkStart w:id="8" w:name="_Toc181125882"/>
      <w:bookmarkStart w:id="9" w:name="_Toc190175542"/>
      <w:bookmarkStart w:id="10" w:name="_Toc192183022"/>
      <w:r w:rsidRPr="009B3532">
        <w:rPr>
          <w:szCs w:val="22"/>
        </w:rPr>
        <w:t>b) Turno de la solicitud de información</w:t>
      </w:r>
      <w:bookmarkEnd w:id="6"/>
      <w:bookmarkEnd w:id="7"/>
      <w:bookmarkEnd w:id="8"/>
      <w:bookmarkEnd w:id="9"/>
      <w:bookmarkEnd w:id="10"/>
    </w:p>
    <w:p w14:paraId="34AF7895" w14:textId="61348D51" w:rsidR="0021255F" w:rsidRPr="009B3532" w:rsidRDefault="0021255F" w:rsidP="009B3532">
      <w:pPr>
        <w:rPr>
          <w:szCs w:val="22"/>
        </w:rPr>
      </w:pPr>
      <w:r w:rsidRPr="009B3532">
        <w:rPr>
          <w:szCs w:val="22"/>
        </w:rPr>
        <w:t xml:space="preserve">En cumplimiento al artículo 162 de la Ley de Transparencia y Acceso a la Información Pública del Estado de México y Municipios, el </w:t>
      </w:r>
      <w:r w:rsidR="008E24A9" w:rsidRPr="009B3532">
        <w:rPr>
          <w:rFonts w:eastAsia="Calibri" w:cs="Arial"/>
          <w:b/>
          <w:bCs/>
          <w:szCs w:val="22"/>
          <w:lang w:val="es-ES" w:eastAsia="en-US"/>
        </w:rPr>
        <w:t>treinta</w:t>
      </w:r>
      <w:r w:rsidRPr="009B3532">
        <w:rPr>
          <w:rFonts w:eastAsia="Calibri" w:cs="Arial"/>
          <w:b/>
          <w:bCs/>
          <w:szCs w:val="22"/>
          <w:lang w:val="es-ES" w:eastAsia="en-US"/>
        </w:rPr>
        <w:t xml:space="preserve"> de enero de dos mil veinticinco</w:t>
      </w:r>
      <w:r w:rsidRPr="009B3532">
        <w:rPr>
          <w:szCs w:val="22"/>
        </w:rPr>
        <w:t xml:space="preserve">, el Titular de </w:t>
      </w:r>
      <w:r w:rsidRPr="009B3532">
        <w:rPr>
          <w:szCs w:val="22"/>
        </w:rPr>
        <w:lastRenderedPageBreak/>
        <w:t xml:space="preserve">la Unidad de Transparencia del </w:t>
      </w:r>
      <w:r w:rsidRPr="009B3532">
        <w:rPr>
          <w:b/>
          <w:szCs w:val="22"/>
        </w:rPr>
        <w:t>SUJETO OBLIGADO</w:t>
      </w:r>
      <w:r w:rsidRPr="009B3532">
        <w:rPr>
          <w:szCs w:val="22"/>
        </w:rPr>
        <w:t xml:space="preserve"> turnó la solicitud de información al servidor público habilitado que estimó pertinente.</w:t>
      </w:r>
    </w:p>
    <w:p w14:paraId="1372EB43" w14:textId="77777777" w:rsidR="00085CDA" w:rsidRPr="009B3532" w:rsidRDefault="00085CDA" w:rsidP="009B3532">
      <w:pPr>
        <w:rPr>
          <w:szCs w:val="22"/>
        </w:rPr>
      </w:pPr>
    </w:p>
    <w:p w14:paraId="3AB82AE7" w14:textId="53C20097" w:rsidR="00085CDA" w:rsidRPr="009B3532" w:rsidRDefault="00085CDA" w:rsidP="009B3532">
      <w:pPr>
        <w:pStyle w:val="Ttulo3"/>
        <w:rPr>
          <w:szCs w:val="22"/>
        </w:rPr>
      </w:pPr>
      <w:bookmarkStart w:id="11" w:name="_Toc171517735"/>
      <w:bookmarkStart w:id="12" w:name="_Toc177600332"/>
      <w:bookmarkStart w:id="13" w:name="_Toc192183023"/>
      <w:r w:rsidRPr="009B3532">
        <w:rPr>
          <w:szCs w:val="22"/>
        </w:rPr>
        <w:t>c) Prórroga</w:t>
      </w:r>
      <w:bookmarkEnd w:id="11"/>
      <w:bookmarkEnd w:id="12"/>
      <w:bookmarkEnd w:id="13"/>
    </w:p>
    <w:p w14:paraId="4652B749" w14:textId="29E92991" w:rsidR="00085CDA" w:rsidRPr="009B3532" w:rsidRDefault="00085CDA" w:rsidP="009B3532">
      <w:pPr>
        <w:rPr>
          <w:szCs w:val="22"/>
        </w:rPr>
      </w:pPr>
      <w:r w:rsidRPr="009B3532">
        <w:rPr>
          <w:szCs w:val="22"/>
        </w:rPr>
        <w:t xml:space="preserve">De las constancias que obran en el SAIMEX, se advierte que el </w:t>
      </w:r>
      <w:r w:rsidRPr="009B3532">
        <w:rPr>
          <w:b/>
          <w:szCs w:val="22"/>
        </w:rPr>
        <w:t>treinta de enero de dos mil veinticinco</w:t>
      </w:r>
      <w:r w:rsidRPr="009B3532">
        <w:rPr>
          <w:szCs w:val="22"/>
        </w:rPr>
        <w:t xml:space="preserve">, </w:t>
      </w:r>
      <w:r w:rsidRPr="009B3532">
        <w:rPr>
          <w:b/>
          <w:szCs w:val="22"/>
        </w:rPr>
        <w:t>EL SUJETO OBLIGADO</w:t>
      </w:r>
      <w:r w:rsidRPr="009B3532">
        <w:rPr>
          <w:szCs w:val="22"/>
        </w:rPr>
        <w:t xml:space="preserve"> notificó una prórroga de siete días para dar respuesta a la solicitud de información planteada por </w:t>
      </w:r>
      <w:r w:rsidRPr="009B3532">
        <w:rPr>
          <w:b/>
          <w:szCs w:val="22"/>
        </w:rPr>
        <w:t>LA PARTE RECURRENTE</w:t>
      </w:r>
      <w:r w:rsidRPr="009B3532">
        <w:rPr>
          <w:szCs w:val="22"/>
        </w:rPr>
        <w:t>, en los siguientes términos:</w:t>
      </w:r>
    </w:p>
    <w:p w14:paraId="60C00CFC" w14:textId="77777777" w:rsidR="00085CDA" w:rsidRPr="009B3532" w:rsidRDefault="00085CDA" w:rsidP="009B3532">
      <w:pPr>
        <w:pStyle w:val="Puesto"/>
        <w:ind w:firstLine="567"/>
        <w:jc w:val="right"/>
        <w:rPr>
          <w:szCs w:val="22"/>
        </w:rPr>
      </w:pPr>
      <w:r w:rsidRPr="009B3532">
        <w:rPr>
          <w:szCs w:val="22"/>
        </w:rPr>
        <w:t>“Folio de la solicitud: 00046/TENANCIN/IP/2025</w:t>
      </w:r>
    </w:p>
    <w:p w14:paraId="47AC33EB" w14:textId="77777777" w:rsidR="00085CDA" w:rsidRPr="009B3532" w:rsidRDefault="00085CDA" w:rsidP="009B3532">
      <w:pPr>
        <w:rPr>
          <w:szCs w:val="22"/>
        </w:rPr>
      </w:pPr>
    </w:p>
    <w:p w14:paraId="42BF0407" w14:textId="77777777" w:rsidR="00085CDA" w:rsidRPr="009B3532" w:rsidRDefault="00085CDA" w:rsidP="009B3532">
      <w:pPr>
        <w:pStyle w:val="Puesto"/>
        <w:ind w:firstLine="567"/>
        <w:rPr>
          <w:szCs w:val="22"/>
        </w:rPr>
      </w:pPr>
      <w:r w:rsidRPr="009B3532">
        <w:rPr>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450A65F" w14:textId="77777777" w:rsidR="00085CDA" w:rsidRPr="009B3532" w:rsidRDefault="00085CDA" w:rsidP="009B3532">
      <w:pPr>
        <w:rPr>
          <w:szCs w:val="22"/>
        </w:rPr>
      </w:pPr>
    </w:p>
    <w:p w14:paraId="350A4A46" w14:textId="77777777" w:rsidR="00085CDA" w:rsidRPr="009B3532" w:rsidRDefault="00085CDA" w:rsidP="009B3532">
      <w:pPr>
        <w:pStyle w:val="Puesto"/>
        <w:ind w:firstLine="567"/>
        <w:rPr>
          <w:szCs w:val="22"/>
        </w:rPr>
      </w:pPr>
      <w:r w:rsidRPr="009B3532">
        <w:rPr>
          <w:szCs w:val="22"/>
        </w:rPr>
        <w:t>SOLICTUD DE PRORROGA ACEPTADA</w:t>
      </w:r>
    </w:p>
    <w:p w14:paraId="66D02F14" w14:textId="77777777" w:rsidR="00085CDA" w:rsidRPr="009B3532" w:rsidRDefault="00085CDA" w:rsidP="009B3532">
      <w:pPr>
        <w:pStyle w:val="Puesto"/>
        <w:ind w:firstLine="567"/>
        <w:rPr>
          <w:szCs w:val="22"/>
        </w:rPr>
      </w:pPr>
      <w:r w:rsidRPr="009B3532">
        <w:rPr>
          <w:szCs w:val="22"/>
        </w:rPr>
        <w:t>LIC. KAREN ALONDRA MEJÍA GUARDIAN</w:t>
      </w:r>
    </w:p>
    <w:p w14:paraId="6345A82D" w14:textId="5BAAEF53" w:rsidR="00085CDA" w:rsidRPr="009B3532" w:rsidRDefault="00085CDA" w:rsidP="009B3532">
      <w:pPr>
        <w:pStyle w:val="Puesto"/>
        <w:ind w:firstLine="567"/>
        <w:rPr>
          <w:szCs w:val="22"/>
        </w:rPr>
      </w:pPr>
      <w:r w:rsidRPr="009B3532">
        <w:rPr>
          <w:szCs w:val="22"/>
        </w:rPr>
        <w:t>Responsable de la Unidad de Transparencia”</w:t>
      </w:r>
    </w:p>
    <w:p w14:paraId="0251BCAA" w14:textId="77777777" w:rsidR="00085CDA" w:rsidRPr="009B3532" w:rsidRDefault="00085CDA" w:rsidP="009B3532">
      <w:pPr>
        <w:rPr>
          <w:szCs w:val="22"/>
        </w:rPr>
      </w:pPr>
    </w:p>
    <w:p w14:paraId="14BF71F8" w14:textId="77777777" w:rsidR="00085CDA" w:rsidRPr="009B3532" w:rsidRDefault="00085CDA" w:rsidP="009B3532">
      <w:pPr>
        <w:rPr>
          <w:szCs w:val="22"/>
        </w:rPr>
      </w:pPr>
      <w:r w:rsidRPr="009B3532">
        <w:rPr>
          <w:szCs w:val="22"/>
        </w:rPr>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9B3532">
        <w:rPr>
          <w:b/>
          <w:szCs w:val="22"/>
        </w:rPr>
        <w:t>EL SUJETO OBLIGADO</w:t>
      </w:r>
      <w:r w:rsidRPr="009B3532">
        <w:rPr>
          <w:szCs w:val="22"/>
        </w:rPr>
        <w:t xml:space="preserve"> haya acompañó a la solicitud de prórroga el acuerdo mediante el cual el Comité de Transparencia aprobó la ampliación de plazo para dar respuesta a la solicitud de información.</w:t>
      </w:r>
    </w:p>
    <w:p w14:paraId="226B8FA8" w14:textId="77777777" w:rsidR="00085CDA" w:rsidRPr="009B3532" w:rsidRDefault="00085CDA" w:rsidP="009B3532">
      <w:pPr>
        <w:tabs>
          <w:tab w:val="left" w:pos="4667"/>
        </w:tabs>
        <w:ind w:right="567"/>
        <w:rPr>
          <w:rFonts w:cs="Tahoma"/>
          <w:szCs w:val="22"/>
        </w:rPr>
      </w:pPr>
    </w:p>
    <w:p w14:paraId="3212BA4D" w14:textId="10337DBE" w:rsidR="00664420" w:rsidRPr="009B3532" w:rsidRDefault="00085CDA" w:rsidP="009B3532">
      <w:pPr>
        <w:pStyle w:val="Ttulo3"/>
        <w:spacing w:line="360" w:lineRule="auto"/>
        <w:rPr>
          <w:szCs w:val="22"/>
        </w:rPr>
      </w:pPr>
      <w:bookmarkStart w:id="14" w:name="_Toc177039337"/>
      <w:bookmarkStart w:id="15" w:name="_Toc189133544"/>
      <w:bookmarkStart w:id="16" w:name="_Toc192183024"/>
      <w:r w:rsidRPr="009B3532">
        <w:rPr>
          <w:szCs w:val="22"/>
        </w:rPr>
        <w:lastRenderedPageBreak/>
        <w:t>d</w:t>
      </w:r>
      <w:r w:rsidR="007C3546" w:rsidRPr="009B3532">
        <w:rPr>
          <w:szCs w:val="22"/>
        </w:rPr>
        <w:t xml:space="preserve">) </w:t>
      </w:r>
      <w:bookmarkEnd w:id="14"/>
      <w:bookmarkEnd w:id="15"/>
      <w:r w:rsidR="00664420" w:rsidRPr="009B3532">
        <w:rPr>
          <w:szCs w:val="22"/>
          <w:lang w:val="es-ES"/>
        </w:rPr>
        <w:t xml:space="preserve">Respuesta </w:t>
      </w:r>
      <w:r w:rsidR="00664420" w:rsidRPr="009B3532">
        <w:rPr>
          <w:rFonts w:eastAsia="Calibri"/>
          <w:szCs w:val="22"/>
          <w:lang w:eastAsia="en-US"/>
        </w:rPr>
        <w:t>del Sujeto Obligado</w:t>
      </w:r>
      <w:bookmarkEnd w:id="16"/>
    </w:p>
    <w:p w14:paraId="79199CC1" w14:textId="5B952996" w:rsidR="00664420" w:rsidRPr="009B3532" w:rsidRDefault="00664420" w:rsidP="009B3532">
      <w:pPr>
        <w:pStyle w:val="Sinespaciado"/>
        <w:spacing w:line="360" w:lineRule="auto"/>
        <w:rPr>
          <w:szCs w:val="22"/>
          <w:lang w:val="es-ES"/>
        </w:rPr>
      </w:pPr>
      <w:r w:rsidRPr="009B3532">
        <w:rPr>
          <w:szCs w:val="22"/>
          <w:lang w:val="es-ES"/>
        </w:rPr>
        <w:t xml:space="preserve">El </w:t>
      </w:r>
      <w:r w:rsidR="0021255F" w:rsidRPr="009B3532">
        <w:rPr>
          <w:rFonts w:eastAsia="Calibri" w:cs="Arial"/>
          <w:b/>
          <w:bCs/>
          <w:szCs w:val="22"/>
          <w:lang w:val="es-ES" w:eastAsia="en-US"/>
        </w:rPr>
        <w:t>seis de febrero</w:t>
      </w:r>
      <w:r w:rsidR="002309EE" w:rsidRPr="009B3532">
        <w:rPr>
          <w:rFonts w:eastAsia="Calibri" w:cs="Arial"/>
          <w:b/>
          <w:bCs/>
          <w:szCs w:val="22"/>
          <w:lang w:val="es-ES" w:eastAsia="en-US"/>
        </w:rPr>
        <w:t xml:space="preserve"> de dos mil veinticinco</w:t>
      </w:r>
      <w:r w:rsidR="00983EEF" w:rsidRPr="009B3532">
        <w:rPr>
          <w:b/>
          <w:szCs w:val="22"/>
          <w:lang w:val="es-ES"/>
        </w:rPr>
        <w:t xml:space="preserve">, </w:t>
      </w:r>
      <w:r w:rsidR="00B0453E" w:rsidRPr="009B3532">
        <w:rPr>
          <w:szCs w:val="22"/>
          <w:lang w:val="es-ES"/>
        </w:rPr>
        <w:t>el</w:t>
      </w:r>
      <w:r w:rsidR="00F07EE6" w:rsidRPr="009B3532">
        <w:rPr>
          <w:szCs w:val="22"/>
          <w:lang w:val="es-ES"/>
        </w:rPr>
        <w:t xml:space="preserve"> Titular de la Unidad de Transparencia del </w:t>
      </w:r>
      <w:r w:rsidR="00F07EE6" w:rsidRPr="009B3532">
        <w:rPr>
          <w:b/>
          <w:szCs w:val="22"/>
          <w:lang w:val="es-ES"/>
        </w:rPr>
        <w:t>SUJETO OBLIGADO</w:t>
      </w:r>
      <w:r w:rsidR="00F07EE6" w:rsidRPr="009B3532">
        <w:rPr>
          <w:szCs w:val="22"/>
          <w:lang w:val="es-ES"/>
        </w:rPr>
        <w:t xml:space="preserve"> notificó a través del </w:t>
      </w:r>
      <w:r w:rsidRPr="009B3532">
        <w:rPr>
          <w:szCs w:val="22"/>
          <w:lang w:val="es-ES"/>
        </w:rPr>
        <w:t>SAIMEX</w:t>
      </w:r>
      <w:r w:rsidR="00DB2F09" w:rsidRPr="009B3532">
        <w:rPr>
          <w:szCs w:val="22"/>
          <w:lang w:val="es-ES"/>
        </w:rPr>
        <w:t xml:space="preserve"> la siguiente respuesta</w:t>
      </w:r>
      <w:r w:rsidR="00F07EE6" w:rsidRPr="009B3532">
        <w:rPr>
          <w:szCs w:val="22"/>
          <w:lang w:val="es-ES"/>
        </w:rPr>
        <w:t>:</w:t>
      </w:r>
    </w:p>
    <w:p w14:paraId="66410657" w14:textId="77777777" w:rsidR="002268D4" w:rsidRPr="009B3532" w:rsidRDefault="002268D4" w:rsidP="009B3532">
      <w:pPr>
        <w:pStyle w:val="Puesto"/>
        <w:ind w:left="0"/>
        <w:rPr>
          <w:szCs w:val="22"/>
        </w:rPr>
      </w:pPr>
    </w:p>
    <w:p w14:paraId="68CC826B" w14:textId="77777777" w:rsidR="008E24A9" w:rsidRPr="009B3532" w:rsidRDefault="00455B6C" w:rsidP="009B3532">
      <w:pPr>
        <w:pStyle w:val="Puesto"/>
        <w:jc w:val="right"/>
        <w:rPr>
          <w:szCs w:val="22"/>
        </w:rPr>
      </w:pPr>
      <w:r w:rsidRPr="009B3532">
        <w:rPr>
          <w:szCs w:val="22"/>
        </w:rPr>
        <w:t>“</w:t>
      </w:r>
      <w:r w:rsidR="008E24A9" w:rsidRPr="009B3532">
        <w:rPr>
          <w:szCs w:val="22"/>
        </w:rPr>
        <w:t>Folio de la solicitud: 00046/TENANCIN/IP/2025</w:t>
      </w:r>
    </w:p>
    <w:p w14:paraId="41167652" w14:textId="77777777" w:rsidR="008E24A9" w:rsidRPr="009B3532" w:rsidRDefault="008E24A9" w:rsidP="009B3532">
      <w:pPr>
        <w:rPr>
          <w:szCs w:val="22"/>
        </w:rPr>
      </w:pPr>
    </w:p>
    <w:p w14:paraId="08B438E3" w14:textId="77777777" w:rsidR="008E24A9" w:rsidRPr="009B3532" w:rsidRDefault="008E24A9" w:rsidP="009B3532">
      <w:pPr>
        <w:pStyle w:val="Puesto"/>
        <w:rPr>
          <w:szCs w:val="22"/>
        </w:rPr>
      </w:pPr>
      <w:r w:rsidRPr="009B3532">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5C5F03F" w14:textId="77777777" w:rsidR="008E24A9" w:rsidRPr="009B3532" w:rsidRDefault="008E24A9" w:rsidP="009B3532">
      <w:pPr>
        <w:rPr>
          <w:szCs w:val="22"/>
        </w:rPr>
      </w:pPr>
    </w:p>
    <w:p w14:paraId="04F7132B" w14:textId="77777777" w:rsidR="008E24A9" w:rsidRPr="009B3532" w:rsidRDefault="008E24A9" w:rsidP="009B3532">
      <w:pPr>
        <w:pStyle w:val="Puesto"/>
        <w:rPr>
          <w:szCs w:val="22"/>
        </w:rPr>
      </w:pPr>
      <w:r w:rsidRPr="009B3532">
        <w:rPr>
          <w:szCs w:val="22"/>
        </w:rPr>
        <w:t xml:space="preserve">C. SOLICITANTE DE INFORMACIÓN. PRESENTE. En atención a su solicitud de información recibida a través del Sistema de Acceso a la Información Mexiquense (SAIMEX), identificada con el número 00046/TENANCIN/IP/2025;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w:t>
      </w:r>
      <w:r w:rsidRPr="009B3532">
        <w:rPr>
          <w:szCs w:val="22"/>
        </w:rPr>
        <w:lastRenderedPageBreak/>
        <w:t>al presente se servirá encontrar el oficio de respuesta que emite la Titular de la UIPPE del Ayuntamiento de Tenancingo, Estado de México. Sin otro particular, reciba un cordial saludo.</w:t>
      </w:r>
    </w:p>
    <w:p w14:paraId="70E94C06" w14:textId="77777777" w:rsidR="008E24A9" w:rsidRPr="009B3532" w:rsidRDefault="008E24A9" w:rsidP="009B3532">
      <w:pPr>
        <w:rPr>
          <w:szCs w:val="22"/>
        </w:rPr>
      </w:pPr>
    </w:p>
    <w:p w14:paraId="15A6FCAA" w14:textId="77777777" w:rsidR="008E24A9" w:rsidRPr="009B3532" w:rsidRDefault="008E24A9" w:rsidP="009B3532">
      <w:pPr>
        <w:pStyle w:val="Puesto"/>
        <w:rPr>
          <w:szCs w:val="22"/>
        </w:rPr>
      </w:pPr>
      <w:r w:rsidRPr="009B3532">
        <w:rPr>
          <w:szCs w:val="22"/>
        </w:rPr>
        <w:t>ATENTAMENTE</w:t>
      </w:r>
    </w:p>
    <w:p w14:paraId="59EF45C9" w14:textId="4237C765" w:rsidR="00DC71C4" w:rsidRPr="009B3532" w:rsidRDefault="008E24A9" w:rsidP="009B3532">
      <w:pPr>
        <w:pStyle w:val="Puesto"/>
        <w:rPr>
          <w:rFonts w:cs="Tahoma"/>
          <w:bCs/>
          <w:szCs w:val="22"/>
        </w:rPr>
      </w:pPr>
      <w:r w:rsidRPr="009B3532">
        <w:rPr>
          <w:szCs w:val="22"/>
        </w:rPr>
        <w:t>LIC. KAREN ALONDRA MEJÍA GUARDIAN</w:t>
      </w:r>
      <w:r w:rsidR="00455B6C" w:rsidRPr="009B3532">
        <w:rPr>
          <w:szCs w:val="22"/>
        </w:rPr>
        <w:t>” Sic.</w:t>
      </w:r>
    </w:p>
    <w:p w14:paraId="1E85E5FF" w14:textId="77777777" w:rsidR="00C524CE" w:rsidRPr="009B3532" w:rsidRDefault="00C524CE" w:rsidP="009B3532">
      <w:pPr>
        <w:autoSpaceDE w:val="0"/>
        <w:autoSpaceDN w:val="0"/>
        <w:adjustRightInd w:val="0"/>
        <w:ind w:right="-28"/>
        <w:rPr>
          <w:rFonts w:cs="Tahoma"/>
          <w:bCs/>
          <w:szCs w:val="22"/>
          <w:lang w:val="es-ES"/>
        </w:rPr>
      </w:pPr>
    </w:p>
    <w:p w14:paraId="5D5E48DD" w14:textId="1614C3B3" w:rsidR="0097409C" w:rsidRPr="009B3532" w:rsidRDefault="00F07EE6" w:rsidP="009B3532">
      <w:pPr>
        <w:autoSpaceDE w:val="0"/>
        <w:autoSpaceDN w:val="0"/>
        <w:adjustRightInd w:val="0"/>
        <w:ind w:right="-28"/>
        <w:rPr>
          <w:rFonts w:cs="Tahoma"/>
          <w:bCs/>
          <w:szCs w:val="22"/>
          <w:lang w:val="es-ES"/>
        </w:rPr>
      </w:pPr>
      <w:r w:rsidRPr="009B3532">
        <w:rPr>
          <w:rFonts w:cs="Tahoma"/>
          <w:bCs/>
          <w:szCs w:val="22"/>
          <w:lang w:val="es-ES"/>
        </w:rPr>
        <w:t xml:space="preserve">Asimismo, </w:t>
      </w:r>
      <w:r w:rsidRPr="009B3532">
        <w:rPr>
          <w:rFonts w:cs="Tahoma"/>
          <w:b/>
          <w:szCs w:val="22"/>
          <w:lang w:val="es-ES"/>
        </w:rPr>
        <w:t xml:space="preserve">EL SUJETO OBLIGADO </w:t>
      </w:r>
      <w:r w:rsidRPr="009B3532">
        <w:rPr>
          <w:rFonts w:cs="Tahoma"/>
          <w:bCs/>
          <w:szCs w:val="22"/>
          <w:lang w:val="es-ES"/>
        </w:rPr>
        <w:t>adjuntó a su respuesta</w:t>
      </w:r>
      <w:r w:rsidR="007C3546" w:rsidRPr="009B3532">
        <w:rPr>
          <w:rFonts w:cs="Tahoma"/>
          <w:bCs/>
          <w:szCs w:val="22"/>
          <w:lang w:val="es-ES"/>
        </w:rPr>
        <w:t xml:space="preserve"> el</w:t>
      </w:r>
      <w:r w:rsidR="002E2C99" w:rsidRPr="009B3532">
        <w:rPr>
          <w:rFonts w:cs="Tahoma"/>
          <w:bCs/>
          <w:szCs w:val="22"/>
          <w:lang w:val="es-ES"/>
        </w:rPr>
        <w:t xml:space="preserve"> </w:t>
      </w:r>
      <w:r w:rsidRPr="009B3532">
        <w:rPr>
          <w:rFonts w:cs="Tahoma"/>
          <w:bCs/>
          <w:szCs w:val="22"/>
          <w:lang w:val="es-ES"/>
        </w:rPr>
        <w:t>archivo electrónico</w:t>
      </w:r>
      <w:r w:rsidR="004252F1" w:rsidRPr="009B3532">
        <w:rPr>
          <w:rFonts w:cs="Tahoma"/>
          <w:bCs/>
          <w:szCs w:val="22"/>
          <w:lang w:val="es-ES"/>
        </w:rPr>
        <w:t xml:space="preserve"> </w:t>
      </w:r>
      <w:r w:rsidR="00E4252A" w:rsidRPr="009B3532">
        <w:rPr>
          <w:rFonts w:cs="Tahoma"/>
          <w:bCs/>
          <w:szCs w:val="22"/>
          <w:lang w:val="es-ES"/>
        </w:rPr>
        <w:t>que se describe:</w:t>
      </w:r>
    </w:p>
    <w:p w14:paraId="2C169B47" w14:textId="77777777" w:rsidR="00E4252A" w:rsidRPr="009B3532" w:rsidRDefault="00E4252A" w:rsidP="009B3532">
      <w:pPr>
        <w:autoSpaceDE w:val="0"/>
        <w:autoSpaceDN w:val="0"/>
        <w:adjustRightInd w:val="0"/>
        <w:ind w:right="-28"/>
        <w:rPr>
          <w:rFonts w:cs="Tahoma"/>
          <w:bCs/>
          <w:szCs w:val="22"/>
          <w:lang w:val="es-ES"/>
        </w:rPr>
      </w:pPr>
    </w:p>
    <w:p w14:paraId="627B6F19" w14:textId="77777777" w:rsidR="008E24A9" w:rsidRPr="009B3532" w:rsidRDefault="008E24A9" w:rsidP="009B3532">
      <w:pPr>
        <w:pStyle w:val="Prrafodelista"/>
        <w:numPr>
          <w:ilvl w:val="0"/>
          <w:numId w:val="39"/>
        </w:numPr>
        <w:autoSpaceDE w:val="0"/>
        <w:autoSpaceDN w:val="0"/>
        <w:adjustRightInd w:val="0"/>
        <w:ind w:right="-28"/>
        <w:rPr>
          <w:rFonts w:cs="Tahoma"/>
          <w:b/>
          <w:bCs/>
          <w:i/>
          <w:szCs w:val="22"/>
          <w:lang w:val="es-ES"/>
        </w:rPr>
      </w:pPr>
      <w:r w:rsidRPr="009B3532">
        <w:rPr>
          <w:rFonts w:cs="Tahoma"/>
          <w:b/>
          <w:bCs/>
          <w:i/>
          <w:szCs w:val="22"/>
          <w:lang w:val="es-ES"/>
        </w:rPr>
        <w:t xml:space="preserve">SOLICTUD 00046.pdf </w:t>
      </w:r>
    </w:p>
    <w:p w14:paraId="72C4E30C" w14:textId="49CB29AA" w:rsidR="00F47250" w:rsidRPr="009B3532" w:rsidRDefault="0097409C" w:rsidP="009B3532">
      <w:pPr>
        <w:autoSpaceDE w:val="0"/>
        <w:autoSpaceDN w:val="0"/>
        <w:adjustRightInd w:val="0"/>
        <w:ind w:right="-28"/>
        <w:rPr>
          <w:rFonts w:cs="Tahoma"/>
          <w:bCs/>
          <w:szCs w:val="22"/>
          <w:lang w:val="es-ES"/>
        </w:rPr>
      </w:pPr>
      <w:r w:rsidRPr="009B3532">
        <w:rPr>
          <w:rFonts w:cs="Tahoma"/>
          <w:bCs/>
          <w:szCs w:val="22"/>
          <w:lang w:val="es-ES"/>
        </w:rPr>
        <w:t xml:space="preserve">Archivo constante de </w:t>
      </w:r>
      <w:r w:rsidR="008E24A9" w:rsidRPr="009B3532">
        <w:rPr>
          <w:rFonts w:cs="Tahoma"/>
          <w:bCs/>
          <w:szCs w:val="22"/>
          <w:lang w:val="es-ES"/>
        </w:rPr>
        <w:t>1 página</w:t>
      </w:r>
      <w:r w:rsidRPr="009B3532">
        <w:rPr>
          <w:rFonts w:cs="Tahoma"/>
          <w:bCs/>
          <w:szCs w:val="22"/>
          <w:lang w:val="es-ES"/>
        </w:rPr>
        <w:t xml:space="preserve">, en las que se advierte </w:t>
      </w:r>
      <w:r w:rsidR="00E4252A" w:rsidRPr="009B3532">
        <w:rPr>
          <w:rFonts w:cs="Tahoma"/>
          <w:bCs/>
          <w:szCs w:val="22"/>
          <w:lang w:val="es-ES"/>
        </w:rPr>
        <w:t xml:space="preserve">el </w:t>
      </w:r>
      <w:r w:rsidR="008E24A9" w:rsidRPr="009B3532">
        <w:rPr>
          <w:rFonts w:cs="Tahoma"/>
          <w:bCs/>
          <w:szCs w:val="22"/>
          <w:lang w:val="es-ES"/>
        </w:rPr>
        <w:t xml:space="preserve">oficio PMT058/UIPPE/005/2025 </w:t>
      </w:r>
      <w:r w:rsidR="0021255F" w:rsidRPr="009B3532">
        <w:rPr>
          <w:rFonts w:cs="Tahoma"/>
          <w:bCs/>
          <w:szCs w:val="22"/>
          <w:lang w:val="es-ES"/>
        </w:rPr>
        <w:t>de fecha 0</w:t>
      </w:r>
      <w:r w:rsidR="008E24A9" w:rsidRPr="009B3532">
        <w:rPr>
          <w:rFonts w:cs="Tahoma"/>
          <w:bCs/>
          <w:szCs w:val="22"/>
          <w:lang w:val="es-ES"/>
        </w:rPr>
        <w:t>4</w:t>
      </w:r>
      <w:r w:rsidR="0021255F" w:rsidRPr="009B3532">
        <w:rPr>
          <w:rFonts w:cs="Tahoma"/>
          <w:bCs/>
          <w:szCs w:val="22"/>
          <w:lang w:val="es-ES"/>
        </w:rPr>
        <w:t xml:space="preserve"> de febrero de 2025, </w:t>
      </w:r>
      <w:r w:rsidR="008E24A9" w:rsidRPr="009B3532">
        <w:rPr>
          <w:rFonts w:cs="Tahoma"/>
          <w:bCs/>
          <w:szCs w:val="22"/>
          <w:lang w:val="es-ES"/>
        </w:rPr>
        <w:t>dirigido a la Coordinadora de Transparencia suscrito por la Titular de la UIPPE</w:t>
      </w:r>
      <w:r w:rsidR="0021255F" w:rsidRPr="009B3532">
        <w:rPr>
          <w:rFonts w:cs="Tahoma"/>
          <w:bCs/>
          <w:szCs w:val="22"/>
          <w:lang w:val="es-ES"/>
        </w:rPr>
        <w:t xml:space="preserve"> en el que le indicó </w:t>
      </w:r>
      <w:r w:rsidR="00E4252A" w:rsidRPr="009B3532">
        <w:rPr>
          <w:rFonts w:cs="Tahoma"/>
          <w:bCs/>
          <w:szCs w:val="22"/>
          <w:lang w:val="es-ES"/>
        </w:rPr>
        <w:t>de manera medular:</w:t>
      </w:r>
    </w:p>
    <w:p w14:paraId="71E4736D" w14:textId="77777777" w:rsidR="00E4252A" w:rsidRPr="009B3532" w:rsidRDefault="00E4252A" w:rsidP="009B3532">
      <w:pPr>
        <w:autoSpaceDE w:val="0"/>
        <w:autoSpaceDN w:val="0"/>
        <w:adjustRightInd w:val="0"/>
        <w:ind w:right="-28"/>
        <w:rPr>
          <w:rFonts w:cs="Tahoma"/>
          <w:bCs/>
          <w:szCs w:val="22"/>
          <w:lang w:val="es-ES"/>
        </w:rPr>
      </w:pPr>
    </w:p>
    <w:p w14:paraId="2BF5294F" w14:textId="77777777" w:rsidR="008E24A9" w:rsidRPr="009B3532" w:rsidRDefault="00E4252A" w:rsidP="009B3532">
      <w:pPr>
        <w:autoSpaceDE w:val="0"/>
        <w:autoSpaceDN w:val="0"/>
        <w:adjustRightInd w:val="0"/>
        <w:ind w:right="-28"/>
        <w:rPr>
          <w:rFonts w:cs="Tahoma"/>
          <w:bCs/>
          <w:i/>
          <w:szCs w:val="22"/>
          <w:lang w:val="es-ES"/>
        </w:rPr>
      </w:pPr>
      <w:r w:rsidRPr="009B3532">
        <w:rPr>
          <w:rFonts w:cs="Tahoma"/>
          <w:bCs/>
          <w:szCs w:val="22"/>
          <w:lang w:val="es-ES"/>
        </w:rPr>
        <w:t>“</w:t>
      </w:r>
      <w:r w:rsidR="0021255F" w:rsidRPr="009B3532">
        <w:rPr>
          <w:rFonts w:cs="Tahoma"/>
          <w:bCs/>
          <w:i/>
          <w:szCs w:val="22"/>
          <w:lang w:val="es-ES"/>
        </w:rPr>
        <w:t xml:space="preserve">… </w:t>
      </w:r>
      <w:r w:rsidR="008E24A9" w:rsidRPr="009B3532">
        <w:rPr>
          <w:rFonts w:cs="Tahoma"/>
          <w:bCs/>
          <w:i/>
          <w:szCs w:val="22"/>
          <w:lang w:val="es-ES"/>
        </w:rPr>
        <w:t>el solicitante puede consultar los Formatos y el Manual de PBRM que son de su interés, en la Gaveta del Gobierno del Estado de México, a través de la siguiente liga</w:t>
      </w:r>
    </w:p>
    <w:p w14:paraId="32D9D066" w14:textId="77777777" w:rsidR="008E24A9" w:rsidRPr="009B3532" w:rsidRDefault="008E24A9" w:rsidP="009B3532">
      <w:pPr>
        <w:autoSpaceDE w:val="0"/>
        <w:autoSpaceDN w:val="0"/>
        <w:adjustRightInd w:val="0"/>
        <w:ind w:right="-28"/>
        <w:rPr>
          <w:rFonts w:cs="Tahoma"/>
          <w:bCs/>
          <w:i/>
          <w:szCs w:val="22"/>
          <w:lang w:val="es-ES"/>
        </w:rPr>
      </w:pPr>
    </w:p>
    <w:p w14:paraId="3AA427B8" w14:textId="2A4D0DEC" w:rsidR="00721CFC" w:rsidRPr="009B3532" w:rsidRDefault="008E24A9" w:rsidP="009B3532">
      <w:pPr>
        <w:autoSpaceDE w:val="0"/>
        <w:autoSpaceDN w:val="0"/>
        <w:adjustRightInd w:val="0"/>
        <w:ind w:right="-28"/>
        <w:rPr>
          <w:rFonts w:cs="Tahoma"/>
          <w:bCs/>
          <w:i/>
          <w:szCs w:val="22"/>
          <w:lang w:val="es-ES"/>
        </w:rPr>
      </w:pPr>
      <w:r w:rsidRPr="009B3532">
        <w:rPr>
          <w:rFonts w:cs="Tahoma"/>
          <w:bCs/>
          <w:i/>
          <w:noProof/>
          <w:szCs w:val="22"/>
          <w:lang w:eastAsia="es-MX"/>
        </w:rPr>
        <w:drawing>
          <wp:inline distT="0" distB="0" distL="0" distR="0" wp14:anchorId="7A361A0B" wp14:editId="152AE983">
            <wp:extent cx="5742940" cy="4076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07670"/>
                    </a:xfrm>
                    <a:prstGeom prst="rect">
                      <a:avLst/>
                    </a:prstGeom>
                  </pic:spPr>
                </pic:pic>
              </a:graphicData>
            </a:graphic>
          </wp:inline>
        </w:drawing>
      </w:r>
    </w:p>
    <w:p w14:paraId="67284295" w14:textId="77777777" w:rsidR="0021255F" w:rsidRPr="009B3532" w:rsidRDefault="0021255F" w:rsidP="009B3532">
      <w:pPr>
        <w:autoSpaceDE w:val="0"/>
        <w:autoSpaceDN w:val="0"/>
        <w:adjustRightInd w:val="0"/>
        <w:ind w:right="-28"/>
        <w:rPr>
          <w:rFonts w:cs="Tahoma"/>
          <w:bCs/>
          <w:i/>
          <w:szCs w:val="22"/>
          <w:lang w:val="es-ES"/>
        </w:rPr>
      </w:pPr>
    </w:p>
    <w:p w14:paraId="5A5DAB9E" w14:textId="7AFC5D98" w:rsidR="00E37A3F" w:rsidRPr="009B3532" w:rsidRDefault="00E37A3F" w:rsidP="009B3532">
      <w:pPr>
        <w:pStyle w:val="Ttulo2"/>
        <w:jc w:val="left"/>
        <w:rPr>
          <w:szCs w:val="22"/>
        </w:rPr>
      </w:pPr>
      <w:bookmarkStart w:id="17" w:name="_Toc192183025"/>
      <w:r w:rsidRPr="009B3532">
        <w:rPr>
          <w:szCs w:val="22"/>
        </w:rPr>
        <w:t>DEL RECURSO DE REVISIÓN</w:t>
      </w:r>
      <w:bookmarkEnd w:id="17"/>
    </w:p>
    <w:p w14:paraId="2B216813" w14:textId="61ADBB2B" w:rsidR="00664420" w:rsidRPr="009B3532" w:rsidRDefault="006E25BC" w:rsidP="009B3532">
      <w:pPr>
        <w:pStyle w:val="Ttulo3"/>
        <w:rPr>
          <w:szCs w:val="22"/>
        </w:rPr>
      </w:pPr>
      <w:bookmarkStart w:id="18" w:name="_Toc192183026"/>
      <w:r w:rsidRPr="009B3532">
        <w:rPr>
          <w:szCs w:val="22"/>
        </w:rPr>
        <w:t xml:space="preserve">a) </w:t>
      </w:r>
      <w:r w:rsidR="00664420" w:rsidRPr="009B3532">
        <w:rPr>
          <w:szCs w:val="22"/>
        </w:rPr>
        <w:t>Interposición del Recurso de Revisión</w:t>
      </w:r>
      <w:bookmarkEnd w:id="18"/>
    </w:p>
    <w:p w14:paraId="6279C622" w14:textId="48B014D2" w:rsidR="00664420" w:rsidRPr="009B3532" w:rsidRDefault="00664420" w:rsidP="009B3532">
      <w:pPr>
        <w:autoSpaceDE w:val="0"/>
        <w:autoSpaceDN w:val="0"/>
        <w:adjustRightInd w:val="0"/>
        <w:ind w:right="-28"/>
        <w:rPr>
          <w:rFonts w:cs="Tahoma"/>
          <w:szCs w:val="22"/>
        </w:rPr>
      </w:pPr>
      <w:r w:rsidRPr="009B3532">
        <w:rPr>
          <w:rFonts w:cs="Tahoma"/>
          <w:szCs w:val="22"/>
        </w:rPr>
        <w:t>El</w:t>
      </w:r>
      <w:r w:rsidR="0021255F" w:rsidRPr="009B3532">
        <w:rPr>
          <w:rFonts w:cs="Tahoma"/>
          <w:b/>
          <w:bCs/>
          <w:szCs w:val="22"/>
        </w:rPr>
        <w:t xml:space="preserve"> </w:t>
      </w:r>
      <w:r w:rsidR="008E24A9" w:rsidRPr="009B3532">
        <w:rPr>
          <w:rFonts w:cs="Tahoma"/>
          <w:b/>
          <w:bCs/>
          <w:szCs w:val="22"/>
        </w:rPr>
        <w:t>once</w:t>
      </w:r>
      <w:r w:rsidR="007C3546" w:rsidRPr="009B3532">
        <w:rPr>
          <w:rFonts w:cs="Tahoma"/>
          <w:b/>
          <w:bCs/>
          <w:szCs w:val="22"/>
        </w:rPr>
        <w:t xml:space="preserve"> de febrero</w:t>
      </w:r>
      <w:r w:rsidR="001A0A72" w:rsidRPr="009B3532">
        <w:rPr>
          <w:rFonts w:cs="Tahoma"/>
          <w:b/>
          <w:bCs/>
          <w:szCs w:val="22"/>
        </w:rPr>
        <w:t xml:space="preserve"> de dos mil veinticinco</w:t>
      </w:r>
      <w:r w:rsidR="009C7CDB" w:rsidRPr="009B3532">
        <w:rPr>
          <w:rFonts w:cs="Tahoma"/>
          <w:b/>
          <w:bCs/>
          <w:szCs w:val="22"/>
        </w:rPr>
        <w:t>,</w:t>
      </w:r>
      <w:r w:rsidRPr="009B3532">
        <w:rPr>
          <w:rFonts w:cs="Tahoma"/>
          <w:szCs w:val="22"/>
        </w:rPr>
        <w:t xml:space="preserve"> </w:t>
      </w:r>
      <w:r w:rsidR="00F75D23" w:rsidRPr="009B3532">
        <w:rPr>
          <w:rFonts w:cs="Tahoma"/>
          <w:b/>
          <w:bCs/>
          <w:szCs w:val="22"/>
        </w:rPr>
        <w:t>LA PARTE RECURRENTE</w:t>
      </w:r>
      <w:r w:rsidR="00F75D23" w:rsidRPr="009B3532">
        <w:rPr>
          <w:rFonts w:cs="Tahoma"/>
          <w:szCs w:val="22"/>
        </w:rPr>
        <w:t xml:space="preserve"> interpuso el recurso de revisión en contra de la respuesta emitida por el </w:t>
      </w:r>
      <w:r w:rsidR="00F75D23" w:rsidRPr="009B3532">
        <w:rPr>
          <w:rFonts w:cs="Tahoma"/>
          <w:b/>
          <w:bCs/>
          <w:szCs w:val="22"/>
        </w:rPr>
        <w:t>SUJETO OBLIGADO</w:t>
      </w:r>
      <w:r w:rsidR="00953430" w:rsidRPr="009B3532">
        <w:rPr>
          <w:rFonts w:cs="Tahoma"/>
          <w:szCs w:val="22"/>
        </w:rPr>
        <w:t xml:space="preserve">, mismo que fue registrado en el </w:t>
      </w:r>
      <w:r w:rsidR="00953430" w:rsidRPr="009B3532">
        <w:rPr>
          <w:rFonts w:cs="Tahoma"/>
          <w:b/>
          <w:szCs w:val="22"/>
        </w:rPr>
        <w:t>SAIMEX</w:t>
      </w:r>
      <w:r w:rsidR="00953430" w:rsidRPr="009B3532">
        <w:rPr>
          <w:rFonts w:cs="Tahoma"/>
          <w:szCs w:val="22"/>
        </w:rPr>
        <w:t xml:space="preserve"> con el número de expediente </w:t>
      </w:r>
      <w:r w:rsidR="008E24A9" w:rsidRPr="009B3532">
        <w:rPr>
          <w:rFonts w:cs="Tahoma"/>
          <w:b/>
          <w:bCs/>
          <w:szCs w:val="22"/>
        </w:rPr>
        <w:t>01057/INFOEM/IP/RR/2025</w:t>
      </w:r>
      <w:r w:rsidR="0021255F" w:rsidRPr="009B3532">
        <w:rPr>
          <w:rFonts w:cs="Tahoma"/>
          <w:b/>
          <w:bCs/>
          <w:szCs w:val="22"/>
        </w:rPr>
        <w:t>5</w:t>
      </w:r>
      <w:r w:rsidR="00953430" w:rsidRPr="009B3532">
        <w:rPr>
          <w:rFonts w:cs="Tahoma"/>
          <w:szCs w:val="22"/>
        </w:rPr>
        <w:t xml:space="preserve">, y en el cual </w:t>
      </w:r>
      <w:r w:rsidR="00546E82" w:rsidRPr="009B3532">
        <w:rPr>
          <w:rFonts w:cs="Tahoma"/>
          <w:szCs w:val="22"/>
        </w:rPr>
        <w:t>manifestó</w:t>
      </w:r>
      <w:r w:rsidR="00953430" w:rsidRPr="009B3532">
        <w:rPr>
          <w:rFonts w:cs="Tahoma"/>
          <w:szCs w:val="22"/>
        </w:rPr>
        <w:t xml:space="preserve"> lo siguiente</w:t>
      </w:r>
      <w:r w:rsidRPr="009B3532">
        <w:rPr>
          <w:rFonts w:cs="Tahoma"/>
          <w:szCs w:val="22"/>
        </w:rPr>
        <w:t>:</w:t>
      </w:r>
    </w:p>
    <w:p w14:paraId="74B30008" w14:textId="77777777" w:rsidR="00664420" w:rsidRPr="009B3532" w:rsidRDefault="00664420" w:rsidP="009B3532">
      <w:pPr>
        <w:tabs>
          <w:tab w:val="left" w:pos="4667"/>
        </w:tabs>
        <w:ind w:right="539"/>
        <w:rPr>
          <w:rFonts w:cs="Tahoma"/>
          <w:szCs w:val="22"/>
        </w:rPr>
      </w:pPr>
    </w:p>
    <w:p w14:paraId="6900A410" w14:textId="77777777" w:rsidR="0009347C" w:rsidRPr="009B3532" w:rsidRDefault="00664420" w:rsidP="009B3532">
      <w:pPr>
        <w:tabs>
          <w:tab w:val="left" w:pos="4667"/>
        </w:tabs>
        <w:ind w:left="567" w:right="539"/>
        <w:rPr>
          <w:rFonts w:cs="Tahoma"/>
          <w:b/>
          <w:iCs/>
          <w:szCs w:val="22"/>
        </w:rPr>
      </w:pPr>
      <w:r w:rsidRPr="009B3532">
        <w:rPr>
          <w:rFonts w:cs="Tahoma"/>
          <w:b/>
          <w:iCs/>
          <w:szCs w:val="22"/>
        </w:rPr>
        <w:t>ACTO IMPUGNADO</w:t>
      </w:r>
    </w:p>
    <w:p w14:paraId="7B0C328D" w14:textId="33271916" w:rsidR="00DB2F09" w:rsidRPr="009B3532" w:rsidRDefault="008E24A9" w:rsidP="009B3532">
      <w:pPr>
        <w:tabs>
          <w:tab w:val="left" w:pos="4667"/>
        </w:tabs>
        <w:spacing w:line="240" w:lineRule="auto"/>
        <w:ind w:left="567" w:right="539"/>
        <w:rPr>
          <w:rFonts w:eastAsiaTheme="majorEastAsia" w:cstheme="majorBidi"/>
          <w:i/>
          <w:kern w:val="28"/>
          <w:szCs w:val="22"/>
        </w:rPr>
      </w:pPr>
      <w:r w:rsidRPr="009B3532">
        <w:rPr>
          <w:rFonts w:eastAsiaTheme="majorEastAsia" w:cstheme="majorBidi"/>
          <w:i/>
          <w:kern w:val="28"/>
          <w:szCs w:val="22"/>
        </w:rPr>
        <w:t>no remite la informacion solicitada, se limita aseñalar un link que no abre y no contiene la informacion solicitada, pues se pidio pbrm2025.</w:t>
      </w:r>
    </w:p>
    <w:p w14:paraId="4A15636E" w14:textId="77777777" w:rsidR="00430C32" w:rsidRPr="009B3532" w:rsidRDefault="00430C32" w:rsidP="009B3532">
      <w:pPr>
        <w:tabs>
          <w:tab w:val="left" w:pos="4667"/>
        </w:tabs>
        <w:ind w:left="567" w:right="539"/>
        <w:rPr>
          <w:rFonts w:cs="Tahoma"/>
          <w:b/>
          <w:iCs/>
          <w:szCs w:val="22"/>
        </w:rPr>
      </w:pPr>
    </w:p>
    <w:p w14:paraId="047D036B" w14:textId="77777777" w:rsidR="00664420" w:rsidRPr="009B3532" w:rsidRDefault="00664420" w:rsidP="009B3532">
      <w:pPr>
        <w:tabs>
          <w:tab w:val="left" w:pos="4667"/>
        </w:tabs>
        <w:ind w:left="567" w:right="539"/>
        <w:rPr>
          <w:rFonts w:cs="Tahoma"/>
          <w:b/>
          <w:iCs/>
          <w:szCs w:val="22"/>
        </w:rPr>
      </w:pPr>
      <w:r w:rsidRPr="009B3532">
        <w:rPr>
          <w:rFonts w:cs="Tahoma"/>
          <w:b/>
          <w:iCs/>
          <w:szCs w:val="22"/>
        </w:rPr>
        <w:t>RAZONES O MOTIVOS DE LA INCONFORMIDAD</w:t>
      </w:r>
      <w:r w:rsidRPr="009B3532">
        <w:rPr>
          <w:rFonts w:cs="Tahoma"/>
          <w:b/>
          <w:iCs/>
          <w:szCs w:val="22"/>
        </w:rPr>
        <w:tab/>
      </w:r>
    </w:p>
    <w:p w14:paraId="3E375291" w14:textId="71A8CF88" w:rsidR="00674B17" w:rsidRPr="009B3532" w:rsidRDefault="008E24A9" w:rsidP="009B3532">
      <w:pPr>
        <w:pStyle w:val="Puesto"/>
        <w:rPr>
          <w:szCs w:val="22"/>
        </w:rPr>
      </w:pPr>
      <w:r w:rsidRPr="009B3532">
        <w:rPr>
          <w:szCs w:val="22"/>
        </w:rPr>
        <w:t>no remite la informacion solicitada, se limita aseñalar un link que no abre y no contiene la informacion solicitada, pues se pidio pbrm2025.</w:t>
      </w:r>
    </w:p>
    <w:p w14:paraId="70613F9B" w14:textId="77777777" w:rsidR="00A96D91" w:rsidRPr="009B3532" w:rsidRDefault="00A96D91" w:rsidP="009B3532">
      <w:pPr>
        <w:rPr>
          <w:szCs w:val="22"/>
        </w:rPr>
      </w:pPr>
    </w:p>
    <w:p w14:paraId="6804DEF1" w14:textId="3C4F6CB5" w:rsidR="00664420" w:rsidRPr="009B3532" w:rsidRDefault="006E25BC" w:rsidP="009B3532">
      <w:pPr>
        <w:pStyle w:val="Ttulo3"/>
        <w:rPr>
          <w:szCs w:val="22"/>
        </w:rPr>
      </w:pPr>
      <w:bookmarkStart w:id="19" w:name="_Toc192183027"/>
      <w:r w:rsidRPr="009B3532">
        <w:rPr>
          <w:szCs w:val="22"/>
        </w:rPr>
        <w:t>b</w:t>
      </w:r>
      <w:r w:rsidR="00664420" w:rsidRPr="009B3532">
        <w:rPr>
          <w:szCs w:val="22"/>
        </w:rPr>
        <w:t>) Turno del Recurso de Revisión</w:t>
      </w:r>
      <w:bookmarkEnd w:id="19"/>
    </w:p>
    <w:p w14:paraId="1173671B" w14:textId="7D2012F2" w:rsidR="00C72DAA" w:rsidRPr="009B3532" w:rsidRDefault="00C72DAA" w:rsidP="009B3532">
      <w:pPr>
        <w:rPr>
          <w:szCs w:val="22"/>
        </w:rPr>
      </w:pPr>
      <w:r w:rsidRPr="009B3532">
        <w:rPr>
          <w:szCs w:val="22"/>
        </w:rPr>
        <w:t>Con fundamento en el artículo 185, fracción I de la Ley de Transparencia y Acceso a la Información Pública del Estado de México y Municipios, el</w:t>
      </w:r>
      <w:r w:rsidRPr="009B3532">
        <w:rPr>
          <w:b/>
          <w:bCs/>
          <w:szCs w:val="22"/>
        </w:rPr>
        <w:t xml:space="preserve"> </w:t>
      </w:r>
      <w:r w:rsidR="008E24A9" w:rsidRPr="009B3532">
        <w:rPr>
          <w:rFonts w:cs="Tahoma"/>
          <w:b/>
          <w:bCs/>
          <w:szCs w:val="22"/>
        </w:rPr>
        <w:t>once</w:t>
      </w:r>
      <w:r w:rsidR="00A74A59" w:rsidRPr="009B3532">
        <w:rPr>
          <w:rFonts w:cs="Tahoma"/>
          <w:b/>
          <w:bCs/>
          <w:szCs w:val="22"/>
        </w:rPr>
        <w:t xml:space="preserve"> de febrero</w:t>
      </w:r>
      <w:r w:rsidR="001A0A72" w:rsidRPr="009B3532">
        <w:rPr>
          <w:rFonts w:cs="Tahoma"/>
          <w:b/>
          <w:bCs/>
          <w:szCs w:val="22"/>
        </w:rPr>
        <w:t xml:space="preserve"> de dos mil veinticinco</w:t>
      </w:r>
      <w:r w:rsidR="00003628" w:rsidRPr="009B3532">
        <w:rPr>
          <w:rFonts w:cs="Tahoma"/>
          <w:b/>
          <w:bCs/>
          <w:szCs w:val="22"/>
        </w:rPr>
        <w:t>,</w:t>
      </w:r>
      <w:r w:rsidRPr="009B3532">
        <w:rPr>
          <w:szCs w:val="22"/>
        </w:rPr>
        <w:t xml:space="preserve"> se turnó el recurso de revisión a través del</w:t>
      </w:r>
      <w:r w:rsidRPr="009B3532">
        <w:rPr>
          <w:rFonts w:eastAsia="Arial Unicode MS"/>
          <w:szCs w:val="22"/>
        </w:rPr>
        <w:t xml:space="preserve"> </w:t>
      </w:r>
      <w:r w:rsidRPr="009B3532">
        <w:rPr>
          <w:rFonts w:eastAsia="Arial Unicode MS"/>
          <w:bCs/>
          <w:szCs w:val="22"/>
        </w:rPr>
        <w:t>SAIMEX</w:t>
      </w:r>
      <w:r w:rsidRPr="009B3532">
        <w:rPr>
          <w:szCs w:val="22"/>
        </w:rPr>
        <w:t xml:space="preserve"> a la </w:t>
      </w:r>
      <w:r w:rsidRPr="009B3532">
        <w:rPr>
          <w:b/>
          <w:szCs w:val="22"/>
        </w:rPr>
        <w:t>Comisionada Sharon Cristina Morales Martínez</w:t>
      </w:r>
      <w:r w:rsidRPr="009B3532">
        <w:rPr>
          <w:bCs/>
          <w:szCs w:val="22"/>
        </w:rPr>
        <w:t xml:space="preserve">, </w:t>
      </w:r>
      <w:r w:rsidRPr="009B3532">
        <w:rPr>
          <w:szCs w:val="22"/>
        </w:rPr>
        <w:t xml:space="preserve">a efecto de decretar su admisión o desechamiento. </w:t>
      </w:r>
    </w:p>
    <w:p w14:paraId="5F8469A3" w14:textId="77777777" w:rsidR="001A0A72" w:rsidRPr="009B3532" w:rsidRDefault="001A0A72" w:rsidP="009B3532">
      <w:pPr>
        <w:rPr>
          <w:szCs w:val="22"/>
        </w:rPr>
      </w:pPr>
    </w:p>
    <w:p w14:paraId="3E31EC2D" w14:textId="295256A1" w:rsidR="00664420" w:rsidRPr="009B3532" w:rsidRDefault="006E25BC" w:rsidP="009B3532">
      <w:pPr>
        <w:pStyle w:val="Ttulo3"/>
        <w:rPr>
          <w:szCs w:val="22"/>
        </w:rPr>
      </w:pPr>
      <w:bookmarkStart w:id="20" w:name="_Toc192183028"/>
      <w:r w:rsidRPr="009B3532">
        <w:rPr>
          <w:szCs w:val="22"/>
        </w:rPr>
        <w:t>c</w:t>
      </w:r>
      <w:r w:rsidR="00664420" w:rsidRPr="009B3532">
        <w:rPr>
          <w:szCs w:val="22"/>
        </w:rPr>
        <w:t>) Admisión del Recurso de Revisión</w:t>
      </w:r>
      <w:bookmarkEnd w:id="20"/>
    </w:p>
    <w:p w14:paraId="240447D5" w14:textId="22EA1064" w:rsidR="000E09C4" w:rsidRPr="009B3532" w:rsidRDefault="000E09C4" w:rsidP="009B3532">
      <w:pPr>
        <w:rPr>
          <w:rFonts w:cs="Arial"/>
          <w:szCs w:val="22"/>
        </w:rPr>
      </w:pPr>
      <w:r w:rsidRPr="009B3532">
        <w:rPr>
          <w:rFonts w:cs="Arial"/>
          <w:szCs w:val="22"/>
        </w:rPr>
        <w:t xml:space="preserve">El </w:t>
      </w:r>
      <w:r w:rsidR="008E24A9" w:rsidRPr="009B3532">
        <w:rPr>
          <w:rFonts w:cs="Tahoma"/>
          <w:b/>
          <w:bCs/>
          <w:szCs w:val="22"/>
        </w:rPr>
        <w:t xml:space="preserve">catorce </w:t>
      </w:r>
      <w:r w:rsidR="00DB2F09" w:rsidRPr="009B3532">
        <w:rPr>
          <w:rFonts w:cs="Tahoma"/>
          <w:b/>
          <w:bCs/>
          <w:szCs w:val="22"/>
        </w:rPr>
        <w:t>de febrero</w:t>
      </w:r>
      <w:r w:rsidR="001A0A72" w:rsidRPr="009B3532">
        <w:rPr>
          <w:rFonts w:cs="Tahoma"/>
          <w:b/>
          <w:bCs/>
          <w:szCs w:val="22"/>
        </w:rPr>
        <w:t xml:space="preserve"> de dos mil veinticinco</w:t>
      </w:r>
      <w:r w:rsidR="00003628" w:rsidRPr="009B3532">
        <w:rPr>
          <w:rFonts w:cs="Arial"/>
          <w:b/>
          <w:bCs/>
          <w:szCs w:val="22"/>
        </w:rPr>
        <w:t>,</w:t>
      </w:r>
      <w:r w:rsidR="004252F1" w:rsidRPr="009B3532">
        <w:rPr>
          <w:rFonts w:cs="Arial"/>
          <w:szCs w:val="22"/>
        </w:rPr>
        <w:t xml:space="preserve"> </w:t>
      </w:r>
      <w:r w:rsidRPr="009B3532">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B3532">
        <w:rPr>
          <w:rFonts w:cs="Arial"/>
          <w:szCs w:val="22"/>
        </w:rPr>
        <w:t>, fracción II</w:t>
      </w:r>
      <w:r w:rsidRPr="009B3532">
        <w:rPr>
          <w:rFonts w:cs="Arial"/>
          <w:szCs w:val="22"/>
        </w:rPr>
        <w:t xml:space="preserve"> de la Ley de Transparencia y Acceso a la Información Pública del Estado de México y Municipios.</w:t>
      </w:r>
    </w:p>
    <w:p w14:paraId="34EC3F86" w14:textId="77777777" w:rsidR="00D2790D" w:rsidRPr="009B3532" w:rsidRDefault="00D2790D" w:rsidP="009B3532">
      <w:pPr>
        <w:rPr>
          <w:rFonts w:cs="Arial"/>
          <w:szCs w:val="22"/>
        </w:rPr>
      </w:pPr>
    </w:p>
    <w:p w14:paraId="3B820F58" w14:textId="4FFAE290" w:rsidR="00865CF4" w:rsidRPr="009B3532" w:rsidRDefault="006E25BC" w:rsidP="009B3532">
      <w:pPr>
        <w:pStyle w:val="Ttulo3"/>
        <w:rPr>
          <w:szCs w:val="22"/>
        </w:rPr>
      </w:pPr>
      <w:bookmarkStart w:id="21" w:name="_Toc192183029"/>
      <w:r w:rsidRPr="009B3532">
        <w:rPr>
          <w:szCs w:val="22"/>
        </w:rPr>
        <w:t>d</w:t>
      </w:r>
      <w:r w:rsidR="00D2790D" w:rsidRPr="009B3532">
        <w:rPr>
          <w:szCs w:val="22"/>
        </w:rPr>
        <w:t xml:space="preserve">) </w:t>
      </w:r>
      <w:r w:rsidR="00865CF4" w:rsidRPr="009B3532">
        <w:rPr>
          <w:szCs w:val="22"/>
        </w:rPr>
        <w:t>Informe Justificado del Sujeto Obligado</w:t>
      </w:r>
      <w:bookmarkEnd w:id="21"/>
    </w:p>
    <w:p w14:paraId="0A1F1A52" w14:textId="70AB2957" w:rsidR="00884B7C" w:rsidRPr="009B3532" w:rsidRDefault="00884B7C" w:rsidP="009B3532">
      <w:pPr>
        <w:rPr>
          <w:iCs/>
          <w:szCs w:val="22"/>
        </w:rPr>
      </w:pPr>
      <w:r w:rsidRPr="009B3532">
        <w:rPr>
          <w:szCs w:val="22"/>
        </w:rPr>
        <w:t xml:space="preserve">El </w:t>
      </w:r>
      <w:r w:rsidR="00547147" w:rsidRPr="009B3532">
        <w:rPr>
          <w:b/>
          <w:szCs w:val="22"/>
        </w:rPr>
        <w:t>ve</w:t>
      </w:r>
      <w:r w:rsidR="00833B0E" w:rsidRPr="009B3532">
        <w:rPr>
          <w:b/>
          <w:szCs w:val="22"/>
        </w:rPr>
        <w:t>inticinco</w:t>
      </w:r>
      <w:r w:rsidRPr="009B3532">
        <w:rPr>
          <w:b/>
          <w:bCs/>
          <w:szCs w:val="22"/>
        </w:rPr>
        <w:t xml:space="preserve"> de febrero </w:t>
      </w:r>
      <w:r w:rsidRPr="009B3532">
        <w:rPr>
          <w:rFonts w:cs="Tahoma"/>
          <w:b/>
          <w:bCs/>
          <w:szCs w:val="22"/>
        </w:rPr>
        <w:t>de dos mil veinticinco</w:t>
      </w:r>
      <w:r w:rsidRPr="009B3532">
        <w:rPr>
          <w:b/>
          <w:szCs w:val="22"/>
        </w:rPr>
        <w:t xml:space="preserve"> EL SUJETO OBLIGADO</w:t>
      </w:r>
      <w:r w:rsidRPr="009B3532">
        <w:rPr>
          <w:szCs w:val="22"/>
        </w:rPr>
        <w:t xml:space="preserve"> rindió su informe justificado a través del </w:t>
      </w:r>
      <w:r w:rsidRPr="009B3532">
        <w:rPr>
          <w:b/>
          <w:szCs w:val="22"/>
        </w:rPr>
        <w:t>SAIMEX</w:t>
      </w:r>
      <w:r w:rsidRPr="009B3532">
        <w:rPr>
          <w:szCs w:val="22"/>
        </w:rPr>
        <w:t xml:space="preserve">, </w:t>
      </w:r>
      <w:r w:rsidRPr="009B3532">
        <w:rPr>
          <w:iCs/>
          <w:szCs w:val="22"/>
        </w:rPr>
        <w:t>que contienen lo siguiente:</w:t>
      </w:r>
    </w:p>
    <w:p w14:paraId="15508561" w14:textId="77777777" w:rsidR="00884B7C" w:rsidRPr="009B3532" w:rsidRDefault="00884B7C" w:rsidP="009B3532">
      <w:pPr>
        <w:rPr>
          <w:iCs/>
          <w:szCs w:val="22"/>
        </w:rPr>
      </w:pPr>
    </w:p>
    <w:p w14:paraId="0D6A1C56" w14:textId="477057CB" w:rsidR="00833B0E" w:rsidRPr="009B3532" w:rsidRDefault="00833B0E" w:rsidP="009B3532">
      <w:pPr>
        <w:pStyle w:val="Prrafodelista"/>
        <w:numPr>
          <w:ilvl w:val="0"/>
          <w:numId w:val="39"/>
        </w:numPr>
        <w:rPr>
          <w:b/>
          <w:iCs/>
          <w:szCs w:val="22"/>
        </w:rPr>
      </w:pPr>
      <w:r w:rsidRPr="009B3532">
        <w:rPr>
          <w:b/>
          <w:iCs/>
          <w:szCs w:val="22"/>
        </w:rPr>
        <w:lastRenderedPageBreak/>
        <w:t xml:space="preserve">20250225162817407 (1).pdf </w:t>
      </w:r>
    </w:p>
    <w:p w14:paraId="58272F21" w14:textId="75CA57B6" w:rsidR="00024A0B" w:rsidRPr="009B3532" w:rsidRDefault="00705235" w:rsidP="009B3532">
      <w:pPr>
        <w:rPr>
          <w:iCs/>
          <w:szCs w:val="22"/>
        </w:rPr>
      </w:pPr>
      <w:r w:rsidRPr="009B3532">
        <w:rPr>
          <w:iCs/>
          <w:szCs w:val="22"/>
        </w:rPr>
        <w:t>Archivo</w:t>
      </w:r>
      <w:r w:rsidR="005E59B2" w:rsidRPr="009B3532">
        <w:rPr>
          <w:iCs/>
          <w:szCs w:val="22"/>
        </w:rPr>
        <w:t xml:space="preserve"> constante de </w:t>
      </w:r>
      <w:r w:rsidR="00833B0E" w:rsidRPr="009B3532">
        <w:rPr>
          <w:iCs/>
          <w:szCs w:val="22"/>
        </w:rPr>
        <w:t>1 página</w:t>
      </w:r>
      <w:r w:rsidR="005E59B2" w:rsidRPr="009B3532">
        <w:rPr>
          <w:iCs/>
          <w:szCs w:val="22"/>
        </w:rPr>
        <w:t>, en las que se aprecia</w:t>
      </w:r>
      <w:r w:rsidR="00833B0E" w:rsidRPr="009B3532">
        <w:rPr>
          <w:iCs/>
          <w:szCs w:val="22"/>
        </w:rPr>
        <w:t xml:space="preserve"> el oficio PMT058/UIPPE/005/2025 de fecha 25</w:t>
      </w:r>
      <w:r w:rsidR="007661B2" w:rsidRPr="009B3532">
        <w:rPr>
          <w:iCs/>
          <w:szCs w:val="22"/>
        </w:rPr>
        <w:t xml:space="preserve"> de febrero de 2025, dirigido a la </w:t>
      </w:r>
      <w:r w:rsidR="00833B0E" w:rsidRPr="009B3532">
        <w:rPr>
          <w:iCs/>
          <w:szCs w:val="22"/>
        </w:rPr>
        <w:t>Coordinadora de Transparencia</w:t>
      </w:r>
      <w:r w:rsidR="007661B2" w:rsidRPr="009B3532">
        <w:rPr>
          <w:iCs/>
          <w:szCs w:val="22"/>
        </w:rPr>
        <w:t xml:space="preserve">, suscrito por el Titular de la </w:t>
      </w:r>
      <w:r w:rsidR="00833B0E" w:rsidRPr="009B3532">
        <w:rPr>
          <w:iCs/>
          <w:szCs w:val="22"/>
        </w:rPr>
        <w:t>UIPPE</w:t>
      </w:r>
      <w:r w:rsidR="007661B2" w:rsidRPr="009B3532">
        <w:rPr>
          <w:iCs/>
          <w:szCs w:val="22"/>
        </w:rPr>
        <w:t xml:space="preserve">, </w:t>
      </w:r>
      <w:r w:rsidR="00833B0E" w:rsidRPr="009B3532">
        <w:rPr>
          <w:iCs/>
          <w:szCs w:val="22"/>
        </w:rPr>
        <w:t>en el que de manera medular le indica:</w:t>
      </w:r>
    </w:p>
    <w:p w14:paraId="6E93C96A" w14:textId="77777777" w:rsidR="00833B0E" w:rsidRPr="009B3532" w:rsidRDefault="00833B0E" w:rsidP="009B3532">
      <w:pPr>
        <w:rPr>
          <w:iCs/>
          <w:szCs w:val="22"/>
        </w:rPr>
      </w:pPr>
    </w:p>
    <w:p w14:paraId="36A2E1B7" w14:textId="36145D4A" w:rsidR="00833B0E" w:rsidRPr="009B3532" w:rsidRDefault="00833B0E" w:rsidP="009B3532">
      <w:pPr>
        <w:rPr>
          <w:i/>
          <w:iCs/>
          <w:szCs w:val="22"/>
        </w:rPr>
      </w:pPr>
      <w:r w:rsidRPr="009B3532">
        <w:rPr>
          <w:iCs/>
          <w:szCs w:val="22"/>
        </w:rPr>
        <w:t>“</w:t>
      </w:r>
      <w:r w:rsidRPr="009B3532">
        <w:rPr>
          <w:i/>
          <w:iCs/>
          <w:szCs w:val="22"/>
        </w:rPr>
        <w:t>Informo a usted que según lo establecido en el Acuerdo 03/2025 del OSFE</w:t>
      </w:r>
      <w:r w:rsidR="000F02E2" w:rsidRPr="009B3532">
        <w:rPr>
          <w:i/>
          <w:iCs/>
          <w:szCs w:val="22"/>
        </w:rPr>
        <w:t>M</w:t>
      </w:r>
      <w:r w:rsidRPr="009B3532">
        <w:rPr>
          <w:i/>
          <w:iCs/>
          <w:szCs w:val="22"/>
        </w:rPr>
        <w:t xml:space="preserve">, en los lineamientos que conforman el Manual de Programación y Presupuesto, se establece que la fecha límite para la entrega de los PBRM correspondiente al año en curso será el día 25 de febrero de 2025, los cuales no han sido digitalizados al momento del presente en su totalidad, por lo que a partir del día posterior </w:t>
      </w:r>
      <w:r w:rsidR="00837FD5" w:rsidRPr="009B3532">
        <w:rPr>
          <w:i/>
          <w:iCs/>
          <w:szCs w:val="22"/>
        </w:rPr>
        <w:t>a este, podrá acceder a ellos y conocerlos en las páginas oficiales del OSFEM y del INFOEM.” Sic.</w:t>
      </w:r>
    </w:p>
    <w:p w14:paraId="1C1637B9" w14:textId="77777777" w:rsidR="003F5AC2" w:rsidRPr="009B3532" w:rsidRDefault="003F5AC2" w:rsidP="009B3532">
      <w:pPr>
        <w:rPr>
          <w:iCs/>
          <w:szCs w:val="22"/>
        </w:rPr>
      </w:pPr>
    </w:p>
    <w:p w14:paraId="7706F78D" w14:textId="73EE3E6A" w:rsidR="00884B7C" w:rsidRPr="009B3532" w:rsidRDefault="00884B7C" w:rsidP="009B3532">
      <w:pPr>
        <w:rPr>
          <w:szCs w:val="22"/>
        </w:rPr>
      </w:pPr>
      <w:r w:rsidRPr="009B3532">
        <w:rPr>
          <w:szCs w:val="22"/>
        </w:rPr>
        <w:t xml:space="preserve">Esta información fue puesta a la vista de </w:t>
      </w:r>
      <w:r w:rsidRPr="009B3532">
        <w:rPr>
          <w:b/>
          <w:szCs w:val="22"/>
        </w:rPr>
        <w:t xml:space="preserve">LA PARTE RECURRENTE </w:t>
      </w:r>
      <w:r w:rsidRPr="009B3532">
        <w:rPr>
          <w:szCs w:val="22"/>
        </w:rPr>
        <w:t xml:space="preserve">el </w:t>
      </w:r>
      <w:r w:rsidR="00547147" w:rsidRPr="009B3532">
        <w:rPr>
          <w:b/>
          <w:bCs/>
          <w:szCs w:val="22"/>
        </w:rPr>
        <w:t>v</w:t>
      </w:r>
      <w:r w:rsidR="00833B0E" w:rsidRPr="009B3532">
        <w:rPr>
          <w:b/>
          <w:bCs/>
          <w:szCs w:val="22"/>
        </w:rPr>
        <w:t>eintiséis</w:t>
      </w:r>
      <w:r w:rsidRPr="009B3532">
        <w:rPr>
          <w:b/>
          <w:bCs/>
          <w:szCs w:val="22"/>
        </w:rPr>
        <w:t xml:space="preserve"> de febrero </w:t>
      </w:r>
      <w:r w:rsidRPr="009B3532">
        <w:rPr>
          <w:rFonts w:cs="Tahoma"/>
          <w:b/>
          <w:bCs/>
          <w:szCs w:val="22"/>
        </w:rPr>
        <w:t>de dos mil veinticinco,</w:t>
      </w:r>
      <w:r w:rsidRPr="009B3532">
        <w:rPr>
          <w:rFonts w:cs="Tahoma"/>
          <w:szCs w:val="22"/>
        </w:rPr>
        <w:t xml:space="preserve"> </w:t>
      </w:r>
      <w:r w:rsidRPr="009B3532">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030B5B4" w14:textId="77777777" w:rsidR="005A3A88" w:rsidRPr="009B3532" w:rsidRDefault="005A3A88" w:rsidP="009B3532">
      <w:pPr>
        <w:rPr>
          <w:szCs w:val="22"/>
          <w:lang w:eastAsia="es-MX"/>
        </w:rPr>
      </w:pPr>
    </w:p>
    <w:p w14:paraId="755B7730" w14:textId="2A0EB956" w:rsidR="00664420" w:rsidRPr="009B3532" w:rsidRDefault="00E810F7" w:rsidP="009B3532">
      <w:pPr>
        <w:pStyle w:val="Ttulo3"/>
        <w:rPr>
          <w:szCs w:val="22"/>
          <w:lang w:val="es-ES"/>
        </w:rPr>
      </w:pPr>
      <w:bookmarkStart w:id="22" w:name="_Toc192183030"/>
      <w:r w:rsidRPr="009B3532">
        <w:rPr>
          <w:rFonts w:eastAsia="Calibri"/>
          <w:bCs/>
          <w:szCs w:val="22"/>
          <w:lang w:eastAsia="en-US"/>
        </w:rPr>
        <w:t>e</w:t>
      </w:r>
      <w:r w:rsidR="00664420" w:rsidRPr="009B3532">
        <w:rPr>
          <w:rFonts w:eastAsia="Calibri"/>
          <w:bCs/>
          <w:szCs w:val="22"/>
          <w:lang w:eastAsia="en-US"/>
        </w:rPr>
        <w:t>)</w:t>
      </w:r>
      <w:r w:rsidR="00664420" w:rsidRPr="009B3532">
        <w:rPr>
          <w:szCs w:val="22"/>
        </w:rPr>
        <w:t xml:space="preserve"> </w:t>
      </w:r>
      <w:r w:rsidR="00865CF4" w:rsidRPr="009B3532">
        <w:rPr>
          <w:szCs w:val="22"/>
          <w:lang w:val="es-ES"/>
        </w:rPr>
        <w:t>Manifestaciones de la Parte Recurrente</w:t>
      </w:r>
      <w:bookmarkEnd w:id="22"/>
    </w:p>
    <w:p w14:paraId="4512DAC2" w14:textId="77777777" w:rsidR="00D65B16" w:rsidRPr="009B3532" w:rsidRDefault="00D65B16" w:rsidP="009B3532">
      <w:pPr>
        <w:rPr>
          <w:szCs w:val="22"/>
        </w:rPr>
      </w:pPr>
      <w:r w:rsidRPr="009B3532">
        <w:rPr>
          <w:b/>
          <w:szCs w:val="22"/>
        </w:rPr>
        <w:t xml:space="preserve">LA PARTE RECURRENTE </w:t>
      </w:r>
      <w:r w:rsidRPr="009B3532">
        <w:rPr>
          <w:szCs w:val="22"/>
        </w:rPr>
        <w:t>no realizó manifestación alguna dentro del término legalmente concedido para tal efecto, ni presentó pruebas o alegatos.</w:t>
      </w:r>
    </w:p>
    <w:p w14:paraId="0AB915E0" w14:textId="586BF186" w:rsidR="00430A6E" w:rsidRPr="009B3532" w:rsidRDefault="00430A6E" w:rsidP="009B3532">
      <w:pPr>
        <w:pStyle w:val="Puesto"/>
        <w:jc w:val="right"/>
        <w:rPr>
          <w:szCs w:val="22"/>
        </w:rPr>
      </w:pPr>
    </w:p>
    <w:p w14:paraId="0E651988" w14:textId="179A1BFC" w:rsidR="00664420" w:rsidRPr="009B3532" w:rsidRDefault="001A0A72" w:rsidP="009B3532">
      <w:pPr>
        <w:pStyle w:val="Ttulo3"/>
        <w:rPr>
          <w:szCs w:val="22"/>
        </w:rPr>
      </w:pPr>
      <w:bookmarkStart w:id="23" w:name="_Toc192183031"/>
      <w:r w:rsidRPr="009B3532">
        <w:rPr>
          <w:rFonts w:eastAsia="Calibri"/>
          <w:szCs w:val="22"/>
        </w:rPr>
        <w:t>f</w:t>
      </w:r>
      <w:r w:rsidR="00664420" w:rsidRPr="009B3532">
        <w:rPr>
          <w:rFonts w:eastAsia="Calibri"/>
          <w:szCs w:val="22"/>
        </w:rPr>
        <w:t xml:space="preserve">) </w:t>
      </w:r>
      <w:r w:rsidR="00664420" w:rsidRPr="009B3532">
        <w:rPr>
          <w:szCs w:val="22"/>
        </w:rPr>
        <w:t>Cierre de instrucción</w:t>
      </w:r>
      <w:bookmarkEnd w:id="23"/>
    </w:p>
    <w:p w14:paraId="79AF95DC" w14:textId="2C95F5AC" w:rsidR="00664420" w:rsidRPr="009B3532" w:rsidRDefault="00BF091A" w:rsidP="009B3532">
      <w:pPr>
        <w:rPr>
          <w:rFonts w:cs="Tahoma"/>
          <w:szCs w:val="22"/>
        </w:rPr>
      </w:pPr>
      <w:r w:rsidRPr="009B3532">
        <w:rPr>
          <w:rFonts w:cs="Tahoma"/>
          <w:szCs w:val="22"/>
        </w:rPr>
        <w:t>Al no existir diligencias pendientes por desahogar</w:t>
      </w:r>
      <w:r w:rsidRPr="009B3532">
        <w:rPr>
          <w:rFonts w:cs="Arial"/>
          <w:szCs w:val="22"/>
        </w:rPr>
        <w:t xml:space="preserve">, el </w:t>
      </w:r>
      <w:r w:rsidR="00547147" w:rsidRPr="009B3532">
        <w:rPr>
          <w:rFonts w:cs="Tahoma"/>
          <w:b/>
          <w:bCs/>
          <w:szCs w:val="22"/>
        </w:rPr>
        <w:t>cinco de marzo</w:t>
      </w:r>
      <w:r w:rsidR="00281E89" w:rsidRPr="009B3532">
        <w:rPr>
          <w:rFonts w:cs="Tahoma"/>
          <w:b/>
          <w:bCs/>
          <w:szCs w:val="22"/>
        </w:rPr>
        <w:t xml:space="preserve"> de dos mil veinticinco</w:t>
      </w:r>
      <w:r w:rsidR="00003628" w:rsidRPr="009B3532">
        <w:rPr>
          <w:rFonts w:cs="Tahoma"/>
          <w:b/>
          <w:bCs/>
          <w:szCs w:val="22"/>
        </w:rPr>
        <w:t>,</w:t>
      </w:r>
      <w:r w:rsidR="00E810F7" w:rsidRPr="009B3532">
        <w:rPr>
          <w:rFonts w:cs="Tahoma"/>
          <w:szCs w:val="22"/>
        </w:rPr>
        <w:t xml:space="preserve"> </w:t>
      </w:r>
      <w:r w:rsidRPr="009B3532">
        <w:rPr>
          <w:rFonts w:cs="Arial"/>
          <w:szCs w:val="22"/>
        </w:rPr>
        <w:t xml:space="preserve">la </w:t>
      </w:r>
      <w:r w:rsidRPr="009B3532">
        <w:rPr>
          <w:rFonts w:cs="Arial"/>
          <w:b/>
          <w:bCs/>
          <w:szCs w:val="22"/>
        </w:rPr>
        <w:t xml:space="preserve">Comisionada </w:t>
      </w:r>
      <w:r w:rsidRPr="009B3532">
        <w:rPr>
          <w:b/>
          <w:szCs w:val="22"/>
        </w:rPr>
        <w:t xml:space="preserve">Sharon Cristina Morales Martínez </w:t>
      </w:r>
      <w:r w:rsidRPr="009B3532">
        <w:rPr>
          <w:rFonts w:cs="Arial"/>
          <w:szCs w:val="22"/>
        </w:rPr>
        <w:t>acordó el cierre de instrucción</w:t>
      </w:r>
      <w:r w:rsidR="0011350D" w:rsidRPr="009B3532">
        <w:rPr>
          <w:rFonts w:cs="Arial"/>
          <w:szCs w:val="22"/>
        </w:rPr>
        <w:t xml:space="preserve"> y</w:t>
      </w:r>
      <w:r w:rsidRPr="009B3532">
        <w:rPr>
          <w:rFonts w:cs="Arial"/>
          <w:szCs w:val="22"/>
        </w:rPr>
        <w:t xml:space="preserve"> </w:t>
      </w:r>
      <w:r w:rsidR="0011350D" w:rsidRPr="009B3532">
        <w:rPr>
          <w:rFonts w:cs="Arial"/>
          <w:szCs w:val="22"/>
        </w:rPr>
        <w:t xml:space="preserve">la </w:t>
      </w:r>
      <w:r w:rsidRPr="009B3532">
        <w:rPr>
          <w:rFonts w:cs="Arial"/>
          <w:szCs w:val="22"/>
        </w:rPr>
        <w:t xml:space="preserve">remisión del expediente a efecto de ser resuelto, de conformidad con lo establecido en el artículo 185 fracciones VI y VIII de la Ley de Transparencia y Acceso a la Información Pública </w:t>
      </w:r>
      <w:r w:rsidRPr="009B3532">
        <w:rPr>
          <w:rFonts w:cs="Arial"/>
          <w:szCs w:val="22"/>
        </w:rPr>
        <w:lastRenderedPageBreak/>
        <w:t>del Estado de México y Municipios</w:t>
      </w:r>
      <w:r w:rsidRPr="009B3532">
        <w:rPr>
          <w:szCs w:val="22"/>
        </w:rPr>
        <w:t>.</w:t>
      </w:r>
      <w:r w:rsidR="0011350D" w:rsidRPr="009B3532">
        <w:rPr>
          <w:szCs w:val="22"/>
        </w:rPr>
        <w:t xml:space="preserve"> Dicho acuerdo </w:t>
      </w:r>
      <w:r w:rsidR="00664420" w:rsidRPr="009B3532">
        <w:rPr>
          <w:rFonts w:cs="Tahoma"/>
          <w:szCs w:val="22"/>
        </w:rPr>
        <w:t xml:space="preserve">fue notificado a las partes el mismo día a través del </w:t>
      </w:r>
      <w:r w:rsidR="00664420" w:rsidRPr="009B3532">
        <w:rPr>
          <w:rFonts w:cs="Tahoma"/>
          <w:szCs w:val="22"/>
          <w:lang w:val="es-ES"/>
        </w:rPr>
        <w:t>SAIMEX</w:t>
      </w:r>
      <w:r w:rsidR="00664420" w:rsidRPr="009B3532">
        <w:rPr>
          <w:rFonts w:cs="Tahoma"/>
          <w:szCs w:val="22"/>
        </w:rPr>
        <w:t>.</w:t>
      </w:r>
    </w:p>
    <w:p w14:paraId="36B05AB7" w14:textId="77777777" w:rsidR="006041A0" w:rsidRPr="009B3532" w:rsidRDefault="006041A0" w:rsidP="009B3532">
      <w:pPr>
        <w:rPr>
          <w:szCs w:val="22"/>
        </w:rPr>
      </w:pPr>
    </w:p>
    <w:p w14:paraId="7A9629DE" w14:textId="77777777" w:rsidR="00664420" w:rsidRPr="009B3532" w:rsidRDefault="00664420" w:rsidP="009B3532">
      <w:pPr>
        <w:pStyle w:val="Ttulo1"/>
        <w:rPr>
          <w:rFonts w:eastAsiaTheme="minorHAnsi"/>
          <w:szCs w:val="22"/>
          <w:lang w:eastAsia="en-US"/>
        </w:rPr>
      </w:pPr>
      <w:bookmarkStart w:id="24" w:name="_Toc192183032"/>
      <w:r w:rsidRPr="009B3532">
        <w:rPr>
          <w:rFonts w:eastAsiaTheme="minorHAnsi"/>
          <w:szCs w:val="22"/>
          <w:lang w:eastAsia="en-US"/>
        </w:rPr>
        <w:t>CONSIDERANDOS</w:t>
      </w:r>
      <w:bookmarkEnd w:id="24"/>
    </w:p>
    <w:p w14:paraId="6DD1243B" w14:textId="77777777" w:rsidR="00664420" w:rsidRPr="009B3532" w:rsidRDefault="00664420" w:rsidP="009B3532">
      <w:pPr>
        <w:contextualSpacing/>
        <w:jc w:val="center"/>
        <w:rPr>
          <w:rFonts w:eastAsiaTheme="minorHAnsi" w:cs="Tahoma"/>
          <w:b/>
          <w:szCs w:val="22"/>
          <w:lang w:eastAsia="en-US"/>
        </w:rPr>
      </w:pPr>
    </w:p>
    <w:p w14:paraId="0B67CB92" w14:textId="2E307D3B" w:rsidR="00664420" w:rsidRPr="009B3532" w:rsidRDefault="00664420" w:rsidP="009B3532">
      <w:pPr>
        <w:pStyle w:val="Ttulo2"/>
        <w:rPr>
          <w:rFonts w:eastAsia="Batang"/>
          <w:szCs w:val="22"/>
        </w:rPr>
      </w:pPr>
      <w:bookmarkStart w:id="25" w:name="_Toc192183033"/>
      <w:r w:rsidRPr="009B3532">
        <w:rPr>
          <w:rFonts w:eastAsia="Batang"/>
          <w:szCs w:val="22"/>
        </w:rPr>
        <w:t xml:space="preserve">PRIMERO. </w:t>
      </w:r>
      <w:r w:rsidR="00BA55A8" w:rsidRPr="009B3532">
        <w:rPr>
          <w:rFonts w:eastAsia="Batang"/>
          <w:szCs w:val="22"/>
        </w:rPr>
        <w:t>Procedibilidad</w:t>
      </w:r>
      <w:bookmarkEnd w:id="25"/>
    </w:p>
    <w:p w14:paraId="39C52BC1" w14:textId="56FCC20D" w:rsidR="00BA55A8" w:rsidRPr="009B3532" w:rsidRDefault="00BA55A8" w:rsidP="009B3532">
      <w:pPr>
        <w:pStyle w:val="Ttulo3"/>
        <w:rPr>
          <w:szCs w:val="22"/>
        </w:rPr>
      </w:pPr>
      <w:bookmarkStart w:id="26" w:name="_Toc192183034"/>
      <w:r w:rsidRPr="009B3532">
        <w:rPr>
          <w:szCs w:val="22"/>
        </w:rPr>
        <w:t>a) Competencia</w:t>
      </w:r>
      <w:r w:rsidR="00150C49" w:rsidRPr="009B3532">
        <w:rPr>
          <w:szCs w:val="22"/>
        </w:rPr>
        <w:t xml:space="preserve"> del Instituto</w:t>
      </w:r>
      <w:bookmarkEnd w:id="26"/>
    </w:p>
    <w:p w14:paraId="56E64942" w14:textId="74D8A2FC" w:rsidR="0011350D" w:rsidRPr="009B3532" w:rsidRDefault="0011350D" w:rsidP="009B3532">
      <w:pPr>
        <w:rPr>
          <w:rFonts w:cs="Arial"/>
          <w:szCs w:val="22"/>
        </w:rPr>
      </w:pPr>
      <w:r w:rsidRPr="009B3532">
        <w:rPr>
          <w:szCs w:val="22"/>
        </w:rPr>
        <w:t xml:space="preserve">Este </w:t>
      </w:r>
      <w:r w:rsidR="0007489A" w:rsidRPr="009B3532">
        <w:rPr>
          <w:szCs w:val="22"/>
        </w:rPr>
        <w:t xml:space="preserve">Instituto de Transparencia, Acceso a la Información Pública y Protección de Datos Personales del Estado de México y Municipios, </w:t>
      </w:r>
      <w:r w:rsidRPr="009B3532">
        <w:rPr>
          <w:szCs w:val="22"/>
        </w:rPr>
        <w:t xml:space="preserve">es competente para conocer y resolver </w:t>
      </w:r>
      <w:r w:rsidR="005F65B7" w:rsidRPr="009B3532">
        <w:rPr>
          <w:szCs w:val="22"/>
        </w:rPr>
        <w:t xml:space="preserve">el </w:t>
      </w:r>
      <w:r w:rsidRPr="009B3532">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B3532">
        <w:rPr>
          <w:rFonts w:cs="Arial"/>
          <w:szCs w:val="22"/>
        </w:rPr>
        <w:t xml:space="preserve">; y 9, fracciones I y XXIII y 11 del Reglamento Interior del </w:t>
      </w:r>
      <w:r w:rsidR="0043551E" w:rsidRPr="009B3532">
        <w:rPr>
          <w:rFonts w:cs="Arial"/>
          <w:szCs w:val="22"/>
        </w:rPr>
        <w:t xml:space="preserve">Instituto de </w:t>
      </w:r>
      <w:r w:rsidR="0007489A" w:rsidRPr="009B3532">
        <w:rPr>
          <w:szCs w:val="22"/>
        </w:rPr>
        <w:t>Instituto de Transparencia, Acceso a la Información Pública y Protección de Datos Personales del Estado de México y Municipios</w:t>
      </w:r>
      <w:r w:rsidRPr="009B3532">
        <w:rPr>
          <w:rFonts w:cs="Arial"/>
          <w:szCs w:val="22"/>
        </w:rPr>
        <w:t>.</w:t>
      </w:r>
    </w:p>
    <w:p w14:paraId="6C36A399" w14:textId="77777777" w:rsidR="00DB1C09" w:rsidRPr="009B3532" w:rsidRDefault="00DB1C09" w:rsidP="009B3532">
      <w:pPr>
        <w:rPr>
          <w:rFonts w:cs="Arial"/>
          <w:szCs w:val="22"/>
        </w:rPr>
      </w:pPr>
    </w:p>
    <w:p w14:paraId="517A2DD6" w14:textId="4169BE4D" w:rsidR="00664420" w:rsidRPr="009B3532" w:rsidRDefault="00BA55A8" w:rsidP="009B3532">
      <w:pPr>
        <w:pStyle w:val="Ttulo3"/>
        <w:rPr>
          <w:szCs w:val="22"/>
        </w:rPr>
      </w:pPr>
      <w:bookmarkStart w:id="27" w:name="_Toc192183035"/>
      <w:r w:rsidRPr="009B3532">
        <w:rPr>
          <w:szCs w:val="22"/>
        </w:rPr>
        <w:t>b)</w:t>
      </w:r>
      <w:r w:rsidR="00664420" w:rsidRPr="009B3532">
        <w:rPr>
          <w:szCs w:val="22"/>
        </w:rPr>
        <w:t xml:space="preserve"> </w:t>
      </w:r>
      <w:r w:rsidR="00D91CB4" w:rsidRPr="009B3532">
        <w:rPr>
          <w:szCs w:val="22"/>
        </w:rPr>
        <w:t>Legitimidad</w:t>
      </w:r>
      <w:r w:rsidRPr="009B3532">
        <w:rPr>
          <w:szCs w:val="22"/>
        </w:rPr>
        <w:t xml:space="preserve"> de la parte recurrente</w:t>
      </w:r>
      <w:bookmarkEnd w:id="27"/>
    </w:p>
    <w:p w14:paraId="26FEA382" w14:textId="0B06695C" w:rsidR="00D91CB4" w:rsidRPr="009B3532" w:rsidRDefault="00D91CB4" w:rsidP="009B3532">
      <w:pPr>
        <w:rPr>
          <w:rFonts w:eastAsia="Calibri" w:cs="Arial"/>
          <w:szCs w:val="22"/>
          <w:lang w:eastAsia="en-US"/>
        </w:rPr>
      </w:pPr>
      <w:r w:rsidRPr="009B3532">
        <w:rPr>
          <w:rFonts w:cs="Arial"/>
          <w:bCs/>
          <w:szCs w:val="22"/>
        </w:rPr>
        <w:t>El recurso de revisión fue interpuesto por parte legítima, ya que se presentó por la misma persona que formuló la solicitud de acceso a la Información Pública,</w:t>
      </w:r>
      <w:r w:rsidRPr="009B3532">
        <w:rPr>
          <w:rFonts w:cs="Arial"/>
          <w:b/>
          <w:bCs/>
          <w:szCs w:val="22"/>
        </w:rPr>
        <w:t xml:space="preserve"> </w:t>
      </w:r>
      <w:r w:rsidRPr="009B3532">
        <w:rPr>
          <w:rFonts w:cs="Arial"/>
          <w:szCs w:val="22"/>
        </w:rPr>
        <w:t>debido a que los datos de acceso</w:t>
      </w:r>
      <w:r w:rsidRPr="009B3532">
        <w:rPr>
          <w:rFonts w:cs="Arial"/>
          <w:b/>
          <w:bCs/>
          <w:szCs w:val="22"/>
        </w:rPr>
        <w:t xml:space="preserve"> </w:t>
      </w:r>
      <w:r w:rsidRPr="009B3532">
        <w:rPr>
          <w:rFonts w:cs="Arial"/>
          <w:b/>
          <w:szCs w:val="22"/>
        </w:rPr>
        <w:t>SAIMEX</w:t>
      </w:r>
      <w:r w:rsidRPr="009B3532">
        <w:rPr>
          <w:rFonts w:eastAsia="Calibri" w:cs="Arial"/>
          <w:szCs w:val="22"/>
          <w:lang w:eastAsia="en-US"/>
        </w:rPr>
        <w:t xml:space="preserve"> son personales e irrepetibles.</w:t>
      </w:r>
    </w:p>
    <w:p w14:paraId="781F9418" w14:textId="77777777" w:rsidR="00987BB6" w:rsidRPr="009B3532" w:rsidRDefault="00987BB6" w:rsidP="009B3532">
      <w:pPr>
        <w:rPr>
          <w:rFonts w:cs="Arial"/>
          <w:bCs/>
          <w:szCs w:val="22"/>
        </w:rPr>
      </w:pPr>
    </w:p>
    <w:p w14:paraId="496490FC" w14:textId="1A5F3FDB" w:rsidR="00D91CB4" w:rsidRPr="009B3532" w:rsidRDefault="00BA55A8" w:rsidP="009B3532">
      <w:pPr>
        <w:pStyle w:val="Ttulo3"/>
        <w:rPr>
          <w:rFonts w:eastAsia="Calibri"/>
          <w:szCs w:val="22"/>
          <w:lang w:eastAsia="es-ES_tradnl"/>
        </w:rPr>
      </w:pPr>
      <w:bookmarkStart w:id="28" w:name="_Toc192183036"/>
      <w:r w:rsidRPr="009B3532">
        <w:rPr>
          <w:rFonts w:eastAsia="Calibri"/>
          <w:szCs w:val="22"/>
          <w:lang w:eastAsia="es-ES_tradnl"/>
        </w:rPr>
        <w:lastRenderedPageBreak/>
        <w:t>c)</w:t>
      </w:r>
      <w:r w:rsidR="00664420" w:rsidRPr="009B3532">
        <w:rPr>
          <w:rFonts w:eastAsia="Calibri"/>
          <w:szCs w:val="22"/>
          <w:lang w:eastAsia="es-ES_tradnl"/>
        </w:rPr>
        <w:t xml:space="preserve"> </w:t>
      </w:r>
      <w:r w:rsidR="00D91CB4" w:rsidRPr="009B3532">
        <w:rPr>
          <w:rFonts w:eastAsia="Calibri"/>
          <w:szCs w:val="22"/>
          <w:lang w:eastAsia="es-ES_tradnl"/>
        </w:rPr>
        <w:t>Plazo para interponer el recurso</w:t>
      </w:r>
      <w:bookmarkEnd w:id="28"/>
    </w:p>
    <w:p w14:paraId="106D37EE" w14:textId="11307415" w:rsidR="00D91CB4" w:rsidRPr="009B3532" w:rsidRDefault="00D91CB4" w:rsidP="009B3532">
      <w:pPr>
        <w:rPr>
          <w:rFonts w:eastAsiaTheme="minorEastAsia" w:cs="Arial"/>
          <w:szCs w:val="22"/>
          <w:lang w:val="es-ES_tradnl"/>
        </w:rPr>
      </w:pPr>
      <w:r w:rsidRPr="009B3532">
        <w:rPr>
          <w:rFonts w:cs="Arial"/>
          <w:b/>
          <w:szCs w:val="22"/>
        </w:rPr>
        <w:t>EL SUJETO OBLIGADO</w:t>
      </w:r>
      <w:r w:rsidRPr="009B3532">
        <w:rPr>
          <w:rFonts w:cs="Arial"/>
          <w:szCs w:val="22"/>
        </w:rPr>
        <w:t xml:space="preserve"> notificó la respuesta a la solicitud de acceso a la Información Pública el </w:t>
      </w:r>
      <w:r w:rsidR="00433A58" w:rsidRPr="009B3532">
        <w:rPr>
          <w:rFonts w:cs="Tahoma"/>
          <w:b/>
          <w:bCs/>
          <w:szCs w:val="22"/>
        </w:rPr>
        <w:t xml:space="preserve"> </w:t>
      </w:r>
      <w:r w:rsidR="007661B2" w:rsidRPr="009B3532">
        <w:rPr>
          <w:rFonts w:cs="Tahoma"/>
          <w:b/>
          <w:bCs/>
          <w:szCs w:val="22"/>
        </w:rPr>
        <w:t>seis de febrero</w:t>
      </w:r>
      <w:r w:rsidR="007452ED" w:rsidRPr="009B3532">
        <w:rPr>
          <w:rFonts w:cs="Tahoma"/>
          <w:b/>
          <w:bCs/>
          <w:szCs w:val="22"/>
        </w:rPr>
        <w:t xml:space="preserve"> de dos mil veinticinco,</w:t>
      </w:r>
      <w:r w:rsidR="00DE285A" w:rsidRPr="009B3532">
        <w:rPr>
          <w:rFonts w:cs="Tahoma"/>
          <w:szCs w:val="22"/>
        </w:rPr>
        <w:t xml:space="preserve"> </w:t>
      </w:r>
      <w:r w:rsidR="00A53315" w:rsidRPr="009B3532">
        <w:rPr>
          <w:rFonts w:cs="Arial"/>
          <w:szCs w:val="22"/>
        </w:rPr>
        <w:t xml:space="preserve">y el recurso </w:t>
      </w:r>
      <w:r w:rsidR="00A53315" w:rsidRPr="009B3532">
        <w:rPr>
          <w:rFonts w:eastAsia="Palatino Linotype" w:cs="Palatino Linotype"/>
          <w:szCs w:val="22"/>
        </w:rPr>
        <w:t xml:space="preserve">que nos ocupa se </w:t>
      </w:r>
      <w:r w:rsidR="006A61F1" w:rsidRPr="009B3532">
        <w:rPr>
          <w:rFonts w:eastAsia="Palatino Linotype" w:cs="Palatino Linotype"/>
          <w:szCs w:val="22"/>
        </w:rPr>
        <w:t>tuvo por presentado</w:t>
      </w:r>
      <w:r w:rsidR="00A53315" w:rsidRPr="009B3532">
        <w:rPr>
          <w:rFonts w:eastAsia="Palatino Linotype" w:cs="Palatino Linotype"/>
          <w:szCs w:val="22"/>
        </w:rPr>
        <w:t xml:space="preserve"> el </w:t>
      </w:r>
      <w:r w:rsidR="00A10BC2" w:rsidRPr="009B3532">
        <w:rPr>
          <w:rFonts w:cs="Tahoma"/>
          <w:b/>
          <w:bCs/>
          <w:szCs w:val="22"/>
        </w:rPr>
        <w:t>once</w:t>
      </w:r>
      <w:r w:rsidR="00BD21F9" w:rsidRPr="009B3532">
        <w:rPr>
          <w:rFonts w:cs="Tahoma"/>
          <w:b/>
          <w:bCs/>
          <w:szCs w:val="22"/>
        </w:rPr>
        <w:t xml:space="preserve"> de febrero</w:t>
      </w:r>
      <w:r w:rsidR="00C45207" w:rsidRPr="009B3532">
        <w:rPr>
          <w:rFonts w:cs="Tahoma"/>
          <w:b/>
          <w:bCs/>
          <w:szCs w:val="22"/>
        </w:rPr>
        <w:t xml:space="preserve"> de dos mil veinticinco</w:t>
      </w:r>
      <w:r w:rsidR="00A53315" w:rsidRPr="009B3532">
        <w:rPr>
          <w:rFonts w:eastAsia="Palatino Linotype" w:cs="Palatino Linotype"/>
          <w:bCs/>
          <w:szCs w:val="22"/>
        </w:rPr>
        <w:t>;</w:t>
      </w:r>
      <w:r w:rsidR="00A53315" w:rsidRPr="009B3532">
        <w:rPr>
          <w:rFonts w:eastAsia="Palatino Linotype" w:cs="Palatino Linotype"/>
          <w:szCs w:val="22"/>
        </w:rPr>
        <w:t xml:space="preserve"> por lo tanto, éste se encuentra dentro del margen temporal previsto en el artículo 178 de la </w:t>
      </w:r>
      <w:r w:rsidR="00A53315" w:rsidRPr="009B3532">
        <w:rPr>
          <w:rFonts w:cs="Arial"/>
          <w:szCs w:val="22"/>
        </w:rPr>
        <w:t>Ley de Transparencia y Acceso a la Información Pública del Estado de México y Municipios</w:t>
      </w:r>
      <w:r w:rsidR="007328F2" w:rsidRPr="009B3532">
        <w:rPr>
          <w:rFonts w:cs="Arial"/>
          <w:szCs w:val="22"/>
        </w:rPr>
        <w:t>.</w:t>
      </w:r>
    </w:p>
    <w:p w14:paraId="49076992" w14:textId="77777777" w:rsidR="00D91CB4" w:rsidRPr="009B3532" w:rsidRDefault="00D91CB4" w:rsidP="009B3532">
      <w:pPr>
        <w:rPr>
          <w:rFonts w:eastAsia="Palatino Linotype" w:cs="Palatino Linotype"/>
          <w:szCs w:val="22"/>
        </w:rPr>
      </w:pPr>
    </w:p>
    <w:p w14:paraId="46C0EB3A" w14:textId="28FD0C2E" w:rsidR="00A53315" w:rsidRPr="009B3532" w:rsidRDefault="00BA55A8" w:rsidP="009B3532">
      <w:pPr>
        <w:pStyle w:val="Ttulo3"/>
        <w:rPr>
          <w:rFonts w:eastAsia="Calibri"/>
          <w:szCs w:val="22"/>
          <w:lang w:eastAsia="es-ES_tradnl"/>
        </w:rPr>
      </w:pPr>
      <w:bookmarkStart w:id="29" w:name="_Toc192183037"/>
      <w:r w:rsidRPr="009B3532">
        <w:rPr>
          <w:rFonts w:eastAsia="Calibri"/>
          <w:szCs w:val="22"/>
          <w:lang w:eastAsia="es-ES_tradnl"/>
        </w:rPr>
        <w:t>d)</w:t>
      </w:r>
      <w:r w:rsidR="00D91CB4" w:rsidRPr="009B3532">
        <w:rPr>
          <w:rFonts w:eastAsia="Calibri"/>
          <w:szCs w:val="22"/>
          <w:lang w:eastAsia="es-ES_tradnl"/>
        </w:rPr>
        <w:t xml:space="preserve"> </w:t>
      </w:r>
      <w:r w:rsidR="00E325AD" w:rsidRPr="009B3532">
        <w:rPr>
          <w:rFonts w:eastAsia="Calibri"/>
          <w:szCs w:val="22"/>
          <w:lang w:eastAsia="es-ES_tradnl"/>
        </w:rPr>
        <w:t>Causal de Procedencia</w:t>
      </w:r>
      <w:bookmarkEnd w:id="29"/>
    </w:p>
    <w:p w14:paraId="190404A6" w14:textId="400659BF" w:rsidR="00BA55A8" w:rsidRPr="009B3532" w:rsidRDefault="00BA55A8" w:rsidP="009B3532">
      <w:pPr>
        <w:rPr>
          <w:szCs w:val="22"/>
        </w:rPr>
      </w:pPr>
      <w:r w:rsidRPr="009B3532">
        <w:rPr>
          <w:rFonts w:cs="Arial"/>
          <w:szCs w:val="22"/>
        </w:rPr>
        <w:t xml:space="preserve">Resulta procedente la interposición del recurso de revisión, ya que </w:t>
      </w:r>
      <w:r w:rsidRPr="009B3532">
        <w:rPr>
          <w:rFonts w:eastAsia="Calibri" w:cs="Tahoma"/>
          <w:szCs w:val="22"/>
          <w:lang w:eastAsia="es-MX"/>
        </w:rPr>
        <w:t>se actualiza la causal de procedencia señalada en el artículo 179, fracci</w:t>
      </w:r>
      <w:r w:rsidR="007B7B00" w:rsidRPr="009B3532">
        <w:rPr>
          <w:rFonts w:eastAsia="Calibri" w:cs="Tahoma"/>
          <w:szCs w:val="22"/>
          <w:lang w:eastAsia="es-MX"/>
        </w:rPr>
        <w:t xml:space="preserve">ón </w:t>
      </w:r>
      <w:r w:rsidR="00727CC2" w:rsidRPr="009B3532">
        <w:rPr>
          <w:rFonts w:eastAsia="Calibri" w:cs="Tahoma"/>
          <w:szCs w:val="22"/>
          <w:lang w:eastAsia="es-MX"/>
        </w:rPr>
        <w:t>I</w:t>
      </w:r>
      <w:r w:rsidR="00EE1B1C" w:rsidRPr="009B3532">
        <w:rPr>
          <w:rFonts w:eastAsia="Calibri" w:cs="Tahoma"/>
          <w:szCs w:val="22"/>
          <w:lang w:eastAsia="es-MX"/>
        </w:rPr>
        <w:t xml:space="preserve"> </w:t>
      </w:r>
      <w:r w:rsidRPr="009B3532">
        <w:rPr>
          <w:rFonts w:cs="Arial"/>
          <w:szCs w:val="22"/>
        </w:rPr>
        <w:t xml:space="preserve">de la </w:t>
      </w:r>
      <w:r w:rsidRPr="009B3532">
        <w:rPr>
          <w:szCs w:val="22"/>
        </w:rPr>
        <w:t>Ley de Transparencia y Acceso a la Información Pública del Estado de México y Municipios.</w:t>
      </w:r>
    </w:p>
    <w:p w14:paraId="0EFF7141" w14:textId="77777777" w:rsidR="00362A11" w:rsidRPr="009B3532" w:rsidRDefault="00362A11" w:rsidP="009B3532">
      <w:pPr>
        <w:rPr>
          <w:szCs w:val="22"/>
        </w:rPr>
      </w:pPr>
    </w:p>
    <w:p w14:paraId="2284D7EB" w14:textId="3EE1D036" w:rsidR="00BA55A8" w:rsidRPr="009B3532" w:rsidRDefault="00362A11" w:rsidP="009B3532">
      <w:pPr>
        <w:pStyle w:val="Ttulo3"/>
        <w:rPr>
          <w:szCs w:val="22"/>
        </w:rPr>
      </w:pPr>
      <w:bookmarkStart w:id="30" w:name="_Toc192183038"/>
      <w:r w:rsidRPr="009B3532">
        <w:rPr>
          <w:szCs w:val="22"/>
        </w:rPr>
        <w:t>e) Requisitos formales para la interposición del recurso</w:t>
      </w:r>
      <w:bookmarkEnd w:id="30"/>
    </w:p>
    <w:p w14:paraId="20604D05" w14:textId="77777777" w:rsidR="005720E2" w:rsidRPr="009B3532" w:rsidRDefault="005720E2" w:rsidP="009B3532">
      <w:pPr>
        <w:rPr>
          <w:rFonts w:cs="Arial"/>
          <w:szCs w:val="22"/>
        </w:rPr>
      </w:pPr>
      <w:r w:rsidRPr="009B3532">
        <w:rPr>
          <w:rFonts w:cs="Arial"/>
          <w:b/>
          <w:bCs/>
          <w:szCs w:val="22"/>
        </w:rPr>
        <w:t xml:space="preserve">LA PARTE RECURRENTE </w:t>
      </w:r>
      <w:r w:rsidRPr="009B3532">
        <w:rPr>
          <w:rFonts w:cs="Arial"/>
          <w:szCs w:val="22"/>
        </w:rPr>
        <w:t>acreditó todos y cada uno de los elementos formales exigidos por el artículo 180 de la misma normatividad.</w:t>
      </w:r>
    </w:p>
    <w:p w14:paraId="37E68D7B" w14:textId="77777777" w:rsidR="00ED50DC" w:rsidRPr="009B3532" w:rsidRDefault="00ED50DC" w:rsidP="009B3532">
      <w:pPr>
        <w:rPr>
          <w:rFonts w:cs="Arial"/>
          <w:szCs w:val="22"/>
        </w:rPr>
      </w:pPr>
    </w:p>
    <w:p w14:paraId="457548E9" w14:textId="3F7AF03B" w:rsidR="00C71CEF" w:rsidRPr="009B3532" w:rsidRDefault="00C71CEF" w:rsidP="009B3532">
      <w:pPr>
        <w:pStyle w:val="Ttulo2"/>
        <w:rPr>
          <w:szCs w:val="22"/>
        </w:rPr>
      </w:pPr>
      <w:bookmarkStart w:id="31" w:name="_Toc192183039"/>
      <w:r w:rsidRPr="009B3532">
        <w:rPr>
          <w:szCs w:val="22"/>
        </w:rPr>
        <w:t>SEGUNDO. Estudio de Fondo</w:t>
      </w:r>
      <w:bookmarkEnd w:id="31"/>
    </w:p>
    <w:p w14:paraId="2A308F59" w14:textId="0FF373F0" w:rsidR="00C049E2" w:rsidRPr="009B3532" w:rsidRDefault="00C71CEF" w:rsidP="009B3532">
      <w:pPr>
        <w:pStyle w:val="Ttulo3"/>
        <w:rPr>
          <w:szCs w:val="22"/>
        </w:rPr>
      </w:pPr>
      <w:bookmarkStart w:id="32" w:name="_Toc192183040"/>
      <w:r w:rsidRPr="009B3532">
        <w:rPr>
          <w:szCs w:val="22"/>
        </w:rPr>
        <w:t>a</w:t>
      </w:r>
      <w:r w:rsidR="00C049E2" w:rsidRPr="009B3532">
        <w:rPr>
          <w:szCs w:val="22"/>
        </w:rPr>
        <w:t>) Mandato de transparencia y responsabilidad del Sujeto Obligado</w:t>
      </w:r>
      <w:bookmarkEnd w:id="32"/>
    </w:p>
    <w:p w14:paraId="6901A889" w14:textId="59EEDAE1" w:rsidR="00C049E2" w:rsidRPr="009B3532" w:rsidRDefault="00C049E2" w:rsidP="009B3532">
      <w:pPr>
        <w:rPr>
          <w:rFonts w:eastAsia="Palatino Linotype"/>
          <w:szCs w:val="22"/>
        </w:rPr>
      </w:pPr>
      <w:r w:rsidRPr="009B3532">
        <w:rPr>
          <w:rFonts w:eastAsia="Palatino Linotype"/>
          <w:szCs w:val="22"/>
        </w:rPr>
        <w:t xml:space="preserve">El </w:t>
      </w:r>
      <w:r w:rsidR="00717E59" w:rsidRPr="009B3532">
        <w:rPr>
          <w:rFonts w:eastAsia="Palatino Linotype"/>
          <w:szCs w:val="22"/>
        </w:rPr>
        <w:t>d</w:t>
      </w:r>
      <w:r w:rsidRPr="009B3532">
        <w:rPr>
          <w:rFonts w:eastAsia="Palatino Linotype"/>
          <w:szCs w:val="22"/>
        </w:rPr>
        <w:t xml:space="preserve">erecho de </w:t>
      </w:r>
      <w:r w:rsidR="00717E59" w:rsidRPr="009B3532">
        <w:rPr>
          <w:rFonts w:eastAsia="Palatino Linotype"/>
          <w:szCs w:val="22"/>
        </w:rPr>
        <w:t>a</w:t>
      </w:r>
      <w:r w:rsidRPr="009B3532">
        <w:rPr>
          <w:rFonts w:eastAsia="Palatino Linotype"/>
          <w:szCs w:val="22"/>
        </w:rPr>
        <w:t xml:space="preserve">cceso a la </w:t>
      </w:r>
      <w:r w:rsidR="00717E59" w:rsidRPr="009B3532">
        <w:rPr>
          <w:rFonts w:eastAsia="Palatino Linotype"/>
          <w:szCs w:val="22"/>
        </w:rPr>
        <w:t>i</w:t>
      </w:r>
      <w:r w:rsidRPr="009B3532">
        <w:rPr>
          <w:rFonts w:eastAsia="Palatino Linotype"/>
          <w:szCs w:val="22"/>
        </w:rPr>
        <w:t xml:space="preserve">nformación </w:t>
      </w:r>
      <w:r w:rsidR="00717E59" w:rsidRPr="009B3532">
        <w:rPr>
          <w:rFonts w:eastAsia="Palatino Linotype"/>
          <w:szCs w:val="22"/>
        </w:rPr>
        <w:t>p</w:t>
      </w:r>
      <w:r w:rsidRPr="009B3532">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9B3532">
        <w:rPr>
          <w:rFonts w:eastAsia="Palatino Linotype"/>
          <w:szCs w:val="22"/>
        </w:rPr>
        <w:t>:</w:t>
      </w:r>
    </w:p>
    <w:p w14:paraId="7FAB8D32" w14:textId="77777777" w:rsidR="00C049E2" w:rsidRPr="009B3532" w:rsidRDefault="00C049E2" w:rsidP="009B3532">
      <w:pPr>
        <w:rPr>
          <w:rFonts w:eastAsia="Palatino Linotype"/>
          <w:szCs w:val="22"/>
        </w:rPr>
      </w:pPr>
    </w:p>
    <w:p w14:paraId="05320813" w14:textId="77777777" w:rsidR="00C049E2" w:rsidRPr="009B3532" w:rsidRDefault="00C049E2" w:rsidP="009B3532">
      <w:pPr>
        <w:spacing w:line="240" w:lineRule="auto"/>
        <w:ind w:left="567" w:right="539"/>
        <w:rPr>
          <w:rFonts w:eastAsia="Palatino Linotype"/>
          <w:b/>
          <w:i/>
          <w:szCs w:val="22"/>
        </w:rPr>
      </w:pPr>
      <w:r w:rsidRPr="009B3532">
        <w:rPr>
          <w:rFonts w:eastAsia="Palatino Linotype"/>
          <w:b/>
          <w:i/>
          <w:szCs w:val="22"/>
        </w:rPr>
        <w:t>Constitución Política de los Estados Unidos Mexicanos</w:t>
      </w:r>
    </w:p>
    <w:p w14:paraId="6B6C67B6" w14:textId="77777777" w:rsidR="00C049E2" w:rsidRPr="009B3532" w:rsidRDefault="00C049E2" w:rsidP="009B3532">
      <w:pPr>
        <w:spacing w:line="240" w:lineRule="auto"/>
        <w:ind w:left="567" w:right="539"/>
        <w:rPr>
          <w:rFonts w:eastAsia="Palatino Linotype"/>
          <w:b/>
          <w:i/>
          <w:szCs w:val="22"/>
        </w:rPr>
      </w:pPr>
      <w:r w:rsidRPr="009B3532">
        <w:rPr>
          <w:rFonts w:eastAsia="Palatino Linotype"/>
          <w:b/>
          <w:i/>
          <w:szCs w:val="22"/>
        </w:rPr>
        <w:t>“Artículo 6.</w:t>
      </w:r>
    </w:p>
    <w:p w14:paraId="38D3B4C4" w14:textId="77777777" w:rsidR="00C049E2" w:rsidRPr="009B3532" w:rsidRDefault="00C049E2" w:rsidP="009B3532">
      <w:pPr>
        <w:spacing w:line="240" w:lineRule="auto"/>
        <w:ind w:left="567" w:right="539"/>
        <w:rPr>
          <w:rFonts w:eastAsia="Palatino Linotype"/>
          <w:i/>
          <w:szCs w:val="22"/>
        </w:rPr>
      </w:pPr>
      <w:r w:rsidRPr="009B3532">
        <w:rPr>
          <w:rFonts w:eastAsia="Palatino Linotype"/>
          <w:i/>
          <w:szCs w:val="22"/>
        </w:rPr>
        <w:t>(…)</w:t>
      </w:r>
    </w:p>
    <w:p w14:paraId="2CCAA297" w14:textId="6602827B" w:rsidR="00C049E2" w:rsidRPr="009B3532" w:rsidRDefault="00C049E2" w:rsidP="009B3532">
      <w:pPr>
        <w:spacing w:line="240" w:lineRule="auto"/>
        <w:ind w:left="567" w:right="539"/>
        <w:rPr>
          <w:rFonts w:eastAsia="Palatino Linotype"/>
          <w:i/>
          <w:szCs w:val="22"/>
        </w:rPr>
      </w:pPr>
      <w:r w:rsidRPr="009B3532">
        <w:rPr>
          <w:rFonts w:eastAsia="Palatino Linotype"/>
          <w:i/>
          <w:szCs w:val="22"/>
        </w:rPr>
        <w:t>Para efectos de lo dispuesto en el presente artículo se observará lo siguiente:</w:t>
      </w:r>
    </w:p>
    <w:p w14:paraId="74CC3718" w14:textId="77777777" w:rsidR="00C049E2" w:rsidRPr="009B3532" w:rsidRDefault="00C049E2" w:rsidP="009B3532">
      <w:pPr>
        <w:spacing w:line="240" w:lineRule="auto"/>
        <w:ind w:left="567" w:right="539"/>
        <w:rPr>
          <w:rFonts w:eastAsia="Palatino Linotype"/>
          <w:b/>
          <w:i/>
          <w:szCs w:val="22"/>
        </w:rPr>
      </w:pPr>
      <w:r w:rsidRPr="009B3532">
        <w:rPr>
          <w:rFonts w:eastAsia="Palatino Linotype"/>
          <w:b/>
          <w:i/>
          <w:szCs w:val="22"/>
        </w:rPr>
        <w:lastRenderedPageBreak/>
        <w:t>A</w:t>
      </w:r>
      <w:r w:rsidRPr="009B3532">
        <w:rPr>
          <w:rFonts w:eastAsia="Palatino Linotype"/>
          <w:i/>
          <w:szCs w:val="22"/>
        </w:rPr>
        <w:t xml:space="preserve">. </w:t>
      </w:r>
      <w:r w:rsidRPr="009B3532">
        <w:rPr>
          <w:rFonts w:eastAsia="Palatino Linotype"/>
          <w:b/>
          <w:i/>
          <w:szCs w:val="22"/>
        </w:rPr>
        <w:t>Para el ejercicio del derecho de acceso a la información</w:t>
      </w:r>
      <w:r w:rsidRPr="009B3532">
        <w:rPr>
          <w:rFonts w:eastAsia="Palatino Linotype"/>
          <w:i/>
          <w:szCs w:val="22"/>
        </w:rPr>
        <w:t xml:space="preserve">, la Federación y </w:t>
      </w:r>
      <w:r w:rsidRPr="009B3532">
        <w:rPr>
          <w:rFonts w:eastAsia="Palatino Linotype"/>
          <w:b/>
          <w:i/>
          <w:szCs w:val="22"/>
        </w:rPr>
        <w:t>las entidades federativas, en el ámbito de sus respectivas competencias, se regirán por los siguientes principios y bases:</w:t>
      </w:r>
    </w:p>
    <w:p w14:paraId="596A956B" w14:textId="77777777" w:rsidR="00C049E2" w:rsidRPr="009B3532" w:rsidRDefault="00C049E2" w:rsidP="009B3532">
      <w:pPr>
        <w:spacing w:line="240" w:lineRule="auto"/>
        <w:ind w:left="567" w:right="539"/>
        <w:rPr>
          <w:rFonts w:eastAsia="Palatino Linotype"/>
          <w:i/>
          <w:szCs w:val="22"/>
        </w:rPr>
      </w:pPr>
      <w:r w:rsidRPr="009B3532">
        <w:rPr>
          <w:rFonts w:eastAsia="Palatino Linotype"/>
          <w:b/>
          <w:i/>
          <w:szCs w:val="22"/>
        </w:rPr>
        <w:t xml:space="preserve">I. </w:t>
      </w:r>
      <w:r w:rsidRPr="009B3532">
        <w:rPr>
          <w:rFonts w:eastAsia="Palatino Linotype"/>
          <w:b/>
          <w:i/>
          <w:szCs w:val="22"/>
        </w:rPr>
        <w:tab/>
        <w:t>Toda la información en posesión de cualquier</w:t>
      </w:r>
      <w:r w:rsidRPr="009B3532">
        <w:rPr>
          <w:rFonts w:eastAsia="Palatino Linotype"/>
          <w:i/>
          <w:szCs w:val="22"/>
        </w:rPr>
        <w:t xml:space="preserve"> </w:t>
      </w:r>
      <w:r w:rsidRPr="009B3532">
        <w:rPr>
          <w:rFonts w:eastAsia="Palatino Linotype"/>
          <w:b/>
          <w:i/>
          <w:szCs w:val="22"/>
        </w:rPr>
        <w:t>autoridad</w:t>
      </w:r>
      <w:r w:rsidRPr="009B3532">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B3532">
        <w:rPr>
          <w:rFonts w:eastAsia="Palatino Linotype"/>
          <w:b/>
          <w:i/>
          <w:szCs w:val="22"/>
        </w:rPr>
        <w:t>municipal</w:t>
      </w:r>
      <w:r w:rsidRPr="009B3532">
        <w:rPr>
          <w:rFonts w:eastAsia="Palatino Linotype"/>
          <w:i/>
          <w:szCs w:val="22"/>
        </w:rPr>
        <w:t xml:space="preserve">, </w:t>
      </w:r>
      <w:r w:rsidRPr="009B3532">
        <w:rPr>
          <w:rFonts w:eastAsia="Palatino Linotype"/>
          <w:b/>
          <w:i/>
          <w:szCs w:val="22"/>
        </w:rPr>
        <w:t>es pública</w:t>
      </w:r>
      <w:r w:rsidRPr="009B3532">
        <w:rPr>
          <w:rFonts w:eastAsia="Palatino Linotype"/>
          <w:i/>
          <w:szCs w:val="22"/>
        </w:rPr>
        <w:t xml:space="preserve"> y sólo podrá ser reservada temporalmente por razones de interés público y seguridad nacional, en los términos que fijen las leyes. </w:t>
      </w:r>
      <w:r w:rsidRPr="009B3532">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9B3532">
        <w:rPr>
          <w:rFonts w:eastAsia="Palatino Linotype"/>
          <w:i/>
          <w:szCs w:val="22"/>
        </w:rPr>
        <w:t>, la ley determinará los supuestos específicos bajo los cuales procederá la declaración de inexistencia de la información.”</w:t>
      </w:r>
    </w:p>
    <w:p w14:paraId="68F313E4" w14:textId="77777777" w:rsidR="00C049E2" w:rsidRPr="009B3532" w:rsidRDefault="00C049E2" w:rsidP="009B3532">
      <w:pPr>
        <w:spacing w:line="240" w:lineRule="auto"/>
        <w:ind w:left="567" w:right="539"/>
        <w:rPr>
          <w:rFonts w:eastAsia="Palatino Linotype"/>
          <w:b/>
          <w:i/>
          <w:szCs w:val="22"/>
        </w:rPr>
      </w:pPr>
    </w:p>
    <w:p w14:paraId="504F12DB" w14:textId="77777777" w:rsidR="00C049E2" w:rsidRPr="009B3532" w:rsidRDefault="00C049E2" w:rsidP="009B3532">
      <w:pPr>
        <w:spacing w:line="240" w:lineRule="auto"/>
        <w:ind w:left="567" w:right="539"/>
        <w:rPr>
          <w:rFonts w:eastAsia="Palatino Linotype"/>
          <w:b/>
          <w:i/>
          <w:szCs w:val="22"/>
        </w:rPr>
      </w:pPr>
      <w:r w:rsidRPr="009B3532">
        <w:rPr>
          <w:rFonts w:eastAsia="Palatino Linotype"/>
          <w:b/>
          <w:i/>
          <w:szCs w:val="22"/>
        </w:rPr>
        <w:t>Constitución Política del Estado Libre y Soberano de México</w:t>
      </w:r>
    </w:p>
    <w:p w14:paraId="04932D29" w14:textId="77777777" w:rsidR="00C049E2" w:rsidRPr="009B3532" w:rsidRDefault="00C049E2" w:rsidP="009B3532">
      <w:pPr>
        <w:spacing w:line="240" w:lineRule="auto"/>
        <w:ind w:left="567" w:right="539"/>
        <w:rPr>
          <w:rFonts w:eastAsia="Palatino Linotype"/>
          <w:i/>
          <w:szCs w:val="22"/>
        </w:rPr>
      </w:pPr>
      <w:r w:rsidRPr="009B3532">
        <w:rPr>
          <w:rFonts w:eastAsia="Palatino Linotype"/>
          <w:b/>
          <w:i/>
          <w:szCs w:val="22"/>
        </w:rPr>
        <w:t>“Artículo 5</w:t>
      </w:r>
      <w:r w:rsidRPr="009B3532">
        <w:rPr>
          <w:rFonts w:eastAsia="Palatino Linotype"/>
          <w:i/>
          <w:szCs w:val="22"/>
        </w:rPr>
        <w:t xml:space="preserve">.- </w:t>
      </w:r>
    </w:p>
    <w:p w14:paraId="1D3829F4" w14:textId="77777777" w:rsidR="00C049E2" w:rsidRPr="009B3532" w:rsidRDefault="00C049E2" w:rsidP="009B3532">
      <w:pPr>
        <w:spacing w:line="240" w:lineRule="auto"/>
        <w:ind w:left="567" w:right="539"/>
        <w:rPr>
          <w:rFonts w:eastAsia="Palatino Linotype"/>
          <w:i/>
          <w:szCs w:val="22"/>
        </w:rPr>
      </w:pPr>
      <w:r w:rsidRPr="009B3532">
        <w:rPr>
          <w:rFonts w:eastAsia="Palatino Linotype"/>
          <w:i/>
          <w:szCs w:val="22"/>
        </w:rPr>
        <w:t>(…)</w:t>
      </w:r>
    </w:p>
    <w:p w14:paraId="0EAE47FD" w14:textId="77777777" w:rsidR="00C049E2" w:rsidRPr="009B3532" w:rsidRDefault="00C049E2" w:rsidP="009B3532">
      <w:pPr>
        <w:spacing w:line="240" w:lineRule="auto"/>
        <w:ind w:left="567" w:right="539"/>
        <w:rPr>
          <w:rFonts w:eastAsia="Palatino Linotype"/>
          <w:i/>
          <w:szCs w:val="22"/>
        </w:rPr>
      </w:pPr>
      <w:r w:rsidRPr="009B3532">
        <w:rPr>
          <w:rFonts w:eastAsia="Palatino Linotype"/>
          <w:b/>
          <w:i/>
          <w:szCs w:val="22"/>
        </w:rPr>
        <w:t>El derecho a la información será garantizado por el Estado. La ley establecerá las previsiones que permitan asegurar la protección, el respeto y la difusión de este derecho</w:t>
      </w:r>
      <w:r w:rsidRPr="009B3532">
        <w:rPr>
          <w:rFonts w:eastAsia="Palatino Linotype"/>
          <w:i/>
          <w:szCs w:val="22"/>
        </w:rPr>
        <w:t>.</w:t>
      </w:r>
    </w:p>
    <w:p w14:paraId="4F0C804A" w14:textId="77777777" w:rsidR="00C049E2" w:rsidRPr="009B3532" w:rsidRDefault="00C049E2" w:rsidP="009B3532">
      <w:pPr>
        <w:spacing w:line="240" w:lineRule="auto"/>
        <w:ind w:left="567" w:right="539"/>
        <w:rPr>
          <w:rFonts w:eastAsia="Palatino Linotype"/>
          <w:i/>
          <w:szCs w:val="22"/>
        </w:rPr>
      </w:pPr>
      <w:r w:rsidRPr="009B3532">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B3532" w:rsidRDefault="00C049E2" w:rsidP="009B3532">
      <w:pPr>
        <w:spacing w:line="240" w:lineRule="auto"/>
        <w:ind w:left="567" w:right="539"/>
        <w:rPr>
          <w:rFonts w:eastAsia="Palatino Linotype"/>
          <w:i/>
          <w:szCs w:val="22"/>
        </w:rPr>
      </w:pPr>
      <w:r w:rsidRPr="009B3532">
        <w:rPr>
          <w:rFonts w:eastAsia="Palatino Linotype"/>
          <w:b/>
          <w:i/>
          <w:szCs w:val="22"/>
        </w:rPr>
        <w:t>Este derecho se regirá por los principios y bases siguientes</w:t>
      </w:r>
      <w:r w:rsidRPr="009B3532">
        <w:rPr>
          <w:rFonts w:eastAsia="Palatino Linotype"/>
          <w:i/>
          <w:szCs w:val="22"/>
        </w:rPr>
        <w:t>:</w:t>
      </w:r>
    </w:p>
    <w:p w14:paraId="4A3E8CBA" w14:textId="77777777" w:rsidR="00C049E2" w:rsidRPr="009B3532" w:rsidRDefault="00C049E2" w:rsidP="009B3532">
      <w:pPr>
        <w:spacing w:line="240" w:lineRule="auto"/>
        <w:ind w:left="567" w:right="539"/>
        <w:rPr>
          <w:rFonts w:eastAsia="Palatino Linotype"/>
          <w:i/>
          <w:szCs w:val="22"/>
        </w:rPr>
      </w:pPr>
      <w:r w:rsidRPr="009B3532">
        <w:rPr>
          <w:rFonts w:eastAsia="Palatino Linotype"/>
          <w:b/>
          <w:i/>
          <w:szCs w:val="22"/>
        </w:rPr>
        <w:t>I. Toda la información en posesión de cualquier autoridad, entidad, órgano y organismos de los</w:t>
      </w:r>
      <w:r w:rsidRPr="009B3532">
        <w:rPr>
          <w:rFonts w:eastAsia="Palatino Linotype"/>
          <w:i/>
          <w:szCs w:val="22"/>
        </w:rPr>
        <w:t xml:space="preserve"> Poderes Ejecutivo, Legislativo y Judicial, órganos autónomos, partidos políticos, fideicomisos y fondos públicos estatales y </w:t>
      </w:r>
      <w:r w:rsidRPr="009B3532">
        <w:rPr>
          <w:rFonts w:eastAsia="Palatino Linotype"/>
          <w:b/>
          <w:i/>
          <w:szCs w:val="22"/>
        </w:rPr>
        <w:t>municipales</w:t>
      </w:r>
      <w:r w:rsidRPr="009B3532">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B3532">
        <w:rPr>
          <w:rFonts w:eastAsia="Palatino Linotype"/>
          <w:b/>
          <w:i/>
          <w:szCs w:val="22"/>
        </w:rPr>
        <w:t>es pública</w:t>
      </w:r>
      <w:r w:rsidRPr="009B3532">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9B3532">
        <w:rPr>
          <w:rFonts w:eastAsia="Palatino Linotype"/>
          <w:b/>
          <w:i/>
          <w:szCs w:val="22"/>
        </w:rPr>
        <w:t>En la interpretación de este derecho deberá prevalecer el principio de máxima publicidad</w:t>
      </w:r>
      <w:r w:rsidRPr="009B3532">
        <w:rPr>
          <w:rFonts w:eastAsia="Palatino Linotype"/>
          <w:i/>
          <w:szCs w:val="22"/>
        </w:rPr>
        <w:t xml:space="preserve">. </w:t>
      </w:r>
      <w:r w:rsidRPr="009B3532">
        <w:rPr>
          <w:rFonts w:eastAsia="Palatino Linotype"/>
          <w:b/>
          <w:i/>
          <w:szCs w:val="22"/>
        </w:rPr>
        <w:t>Los sujetos obligados deberán documentar todo acto que derive del ejercicio de sus facultades, competencias o funciones</w:t>
      </w:r>
      <w:r w:rsidRPr="009B3532">
        <w:rPr>
          <w:rFonts w:eastAsia="Palatino Linotype"/>
          <w:i/>
          <w:szCs w:val="22"/>
        </w:rPr>
        <w:t>, la ley determinará los supuestos específicos bajo los cuales procederá la declaración de inexistencia de la información.”</w:t>
      </w:r>
    </w:p>
    <w:p w14:paraId="5CA98E37" w14:textId="77777777" w:rsidR="00C049E2" w:rsidRPr="009B3532" w:rsidRDefault="00C049E2" w:rsidP="009B3532">
      <w:pPr>
        <w:rPr>
          <w:rFonts w:eastAsia="Palatino Linotype"/>
          <w:b/>
          <w:i/>
          <w:szCs w:val="22"/>
        </w:rPr>
      </w:pPr>
    </w:p>
    <w:p w14:paraId="6FC1BB3B" w14:textId="3BF4A33D" w:rsidR="00C049E2" w:rsidRPr="009B3532" w:rsidRDefault="00717E59" w:rsidP="009B3532">
      <w:pPr>
        <w:rPr>
          <w:rFonts w:eastAsia="Palatino Linotype"/>
          <w:i/>
          <w:szCs w:val="22"/>
        </w:rPr>
      </w:pPr>
      <w:r w:rsidRPr="009B3532">
        <w:rPr>
          <w:rFonts w:eastAsia="Palatino Linotype"/>
          <w:szCs w:val="22"/>
        </w:rPr>
        <w:lastRenderedPageBreak/>
        <w:t xml:space="preserve">Asimismo, </w:t>
      </w:r>
      <w:r w:rsidR="00C049E2" w:rsidRPr="009B3532">
        <w:rPr>
          <w:rFonts w:eastAsia="Palatino Linotype"/>
          <w:szCs w:val="22"/>
        </w:rPr>
        <w:t>el artículo 150 de la Ley de Transparencia y Acceso a la Información Pública del Estado de México y Municipios</w:t>
      </w:r>
      <w:r w:rsidR="00057B2D" w:rsidRPr="009B3532">
        <w:rPr>
          <w:rFonts w:eastAsia="Palatino Linotype"/>
          <w:szCs w:val="22"/>
        </w:rPr>
        <w:t xml:space="preserve"> </w:t>
      </w:r>
      <w:r w:rsidR="00E9335C" w:rsidRPr="009B3532">
        <w:rPr>
          <w:rFonts w:eastAsia="Palatino Linotype"/>
          <w:szCs w:val="22"/>
        </w:rPr>
        <w:t xml:space="preserve">indica </w:t>
      </w:r>
      <w:r w:rsidR="00057B2D" w:rsidRPr="009B3532">
        <w:rPr>
          <w:rFonts w:eastAsia="Palatino Linotype"/>
          <w:szCs w:val="22"/>
        </w:rPr>
        <w:t>que</w:t>
      </w:r>
      <w:r w:rsidR="00C049E2" w:rsidRPr="009B3532">
        <w:rPr>
          <w:rFonts w:eastAsia="Palatino Linotype"/>
          <w:szCs w:val="22"/>
        </w:rPr>
        <w:t xml:space="preserve"> la solicitud es la garantía primaria del Derecho de Acceso a la Información, además, establece que se regirá </w:t>
      </w:r>
      <w:r w:rsidR="00C049E2" w:rsidRPr="009B3532">
        <w:rPr>
          <w:rFonts w:eastAsia="Palatino Linotype"/>
          <w:i/>
          <w:szCs w:val="22"/>
        </w:rPr>
        <w:t>por los principios de simplicidad, rapidez</w:t>
      </w:r>
      <w:r w:rsidR="005F65B7" w:rsidRPr="009B3532">
        <w:rPr>
          <w:rFonts w:eastAsia="Palatino Linotype"/>
          <w:i/>
          <w:szCs w:val="22"/>
        </w:rPr>
        <w:t>,</w:t>
      </w:r>
      <w:r w:rsidR="00C049E2" w:rsidRPr="009B3532">
        <w:rPr>
          <w:rFonts w:eastAsia="Palatino Linotype"/>
          <w:i/>
          <w:szCs w:val="22"/>
        </w:rPr>
        <w:t xml:space="preserve"> gratuidad del procedimiento, auxilio y orientación a los particulare</w:t>
      </w:r>
      <w:r w:rsidR="001A58B3" w:rsidRPr="009B3532">
        <w:rPr>
          <w:rFonts w:eastAsia="Palatino Linotype"/>
          <w:i/>
          <w:szCs w:val="22"/>
        </w:rPr>
        <w:t>s.</w:t>
      </w:r>
    </w:p>
    <w:p w14:paraId="033466A6" w14:textId="77777777" w:rsidR="001A58B3" w:rsidRPr="009B3532" w:rsidRDefault="001A58B3" w:rsidP="009B3532">
      <w:pPr>
        <w:rPr>
          <w:rFonts w:eastAsia="Palatino Linotype"/>
          <w:i/>
          <w:szCs w:val="22"/>
        </w:rPr>
      </w:pPr>
    </w:p>
    <w:p w14:paraId="04ADA10B" w14:textId="574A944A" w:rsidR="001A58B3" w:rsidRPr="009B3532" w:rsidRDefault="00233F17" w:rsidP="009B3532">
      <w:pPr>
        <w:rPr>
          <w:rFonts w:eastAsia="Palatino Linotype" w:cs="Palatino Linotype"/>
          <w:i/>
          <w:szCs w:val="22"/>
        </w:rPr>
      </w:pPr>
      <w:r w:rsidRPr="009B3532">
        <w:rPr>
          <w:rFonts w:eastAsia="Palatino Linotype" w:cs="Palatino Linotype"/>
          <w:szCs w:val="22"/>
        </w:rPr>
        <w:t xml:space="preserve">Por su parte, el artículo 4 de </w:t>
      </w:r>
      <w:r w:rsidR="001A58B3" w:rsidRPr="009B3532">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B3532">
        <w:rPr>
          <w:rFonts w:eastAsia="Palatino Linotype" w:cs="Palatino Linotype"/>
          <w:szCs w:val="22"/>
        </w:rPr>
        <w:t>.</w:t>
      </w:r>
    </w:p>
    <w:p w14:paraId="1407DBB8" w14:textId="77777777" w:rsidR="001A58B3" w:rsidRPr="009B3532" w:rsidRDefault="001A58B3" w:rsidP="009B3532">
      <w:pPr>
        <w:rPr>
          <w:rFonts w:eastAsia="Palatino Linotype" w:cs="Palatino Linotype"/>
          <w:szCs w:val="22"/>
        </w:rPr>
      </w:pPr>
    </w:p>
    <w:p w14:paraId="7552AA79" w14:textId="5C52E4A4" w:rsidR="001A58B3" w:rsidRPr="009B3532" w:rsidRDefault="001A58B3" w:rsidP="009B3532">
      <w:pPr>
        <w:rPr>
          <w:rFonts w:eastAsia="Palatino Linotype" w:cs="Palatino Linotype"/>
          <w:szCs w:val="22"/>
        </w:rPr>
      </w:pPr>
      <w:r w:rsidRPr="009B3532">
        <w:rPr>
          <w:rFonts w:eastAsia="Palatino Linotype" w:cs="Palatino Linotype"/>
          <w:szCs w:val="22"/>
        </w:rPr>
        <w:t xml:space="preserve">Esto es, que los Sujetos Obligados </w:t>
      </w:r>
      <w:r w:rsidR="00FA5957" w:rsidRPr="009B3532">
        <w:rPr>
          <w:rFonts w:eastAsia="Palatino Linotype" w:cs="Palatino Linotype"/>
          <w:szCs w:val="22"/>
        </w:rPr>
        <w:t>deben</w:t>
      </w:r>
      <w:r w:rsidRPr="009B3532">
        <w:rPr>
          <w:rFonts w:eastAsia="Palatino Linotype" w:cs="Palatino Linotype"/>
          <w:szCs w:val="22"/>
        </w:rPr>
        <w:t xml:space="preserve"> atender las solicitudes de acceso a la información pública que se les </w:t>
      </w:r>
      <w:r w:rsidR="00FA5957" w:rsidRPr="009B3532">
        <w:rPr>
          <w:rFonts w:eastAsia="Palatino Linotype" w:cs="Palatino Linotype"/>
          <w:szCs w:val="22"/>
        </w:rPr>
        <w:t>sean realizadas,</w:t>
      </w:r>
      <w:r w:rsidRPr="009B3532">
        <w:rPr>
          <w:rFonts w:eastAsia="Palatino Linotype" w:cs="Palatino Linotype"/>
          <w:szCs w:val="22"/>
        </w:rPr>
        <w:t xml:space="preserve"> y proporcionar la información pública que obre en su poder</w:t>
      </w:r>
      <w:r w:rsidR="00FA5957" w:rsidRPr="009B3532">
        <w:rPr>
          <w:rFonts w:eastAsia="Palatino Linotype" w:cs="Palatino Linotype"/>
          <w:szCs w:val="22"/>
        </w:rPr>
        <w:t>,</w:t>
      </w:r>
      <w:r w:rsidRPr="009B3532">
        <w:rPr>
          <w:rFonts w:eastAsia="Palatino Linotype" w:cs="Palatino Linotype"/>
          <w:szCs w:val="22"/>
        </w:rPr>
        <w:t xml:space="preserve"> conforme </w:t>
      </w:r>
      <w:r w:rsidR="00FA5957" w:rsidRPr="009B3532">
        <w:rPr>
          <w:rFonts w:eastAsia="Palatino Linotype" w:cs="Palatino Linotype"/>
          <w:szCs w:val="22"/>
        </w:rPr>
        <w:t>a</w:t>
      </w:r>
      <w:r w:rsidRPr="009B3532">
        <w:rPr>
          <w:rFonts w:eastAsia="Palatino Linotype" w:cs="Palatino Linotype"/>
          <w:szCs w:val="22"/>
        </w:rPr>
        <w:t xml:space="preserve">l estado </w:t>
      </w:r>
      <w:r w:rsidR="00FA5957" w:rsidRPr="009B3532">
        <w:rPr>
          <w:rFonts w:eastAsia="Palatino Linotype" w:cs="Palatino Linotype"/>
          <w:szCs w:val="22"/>
        </w:rPr>
        <w:t xml:space="preserve">en </w:t>
      </w:r>
      <w:r w:rsidRPr="009B3532">
        <w:rPr>
          <w:rFonts w:eastAsia="Palatino Linotype" w:cs="Palatino Linotype"/>
          <w:szCs w:val="22"/>
        </w:rPr>
        <w:t>que se encuentr</w:t>
      </w:r>
      <w:r w:rsidR="00FA5957" w:rsidRPr="009B3532">
        <w:rPr>
          <w:rFonts w:eastAsia="Palatino Linotype" w:cs="Palatino Linotype"/>
          <w:szCs w:val="22"/>
        </w:rPr>
        <w:t>e, sin que sea necesario</w:t>
      </w:r>
      <w:r w:rsidRPr="009B3532">
        <w:rPr>
          <w:rFonts w:eastAsia="Palatino Linotype" w:cs="Palatino Linotype"/>
          <w:szCs w:val="22"/>
        </w:rPr>
        <w:t xml:space="preserve"> </w:t>
      </w:r>
      <w:r w:rsidR="00FA5957" w:rsidRPr="009B3532">
        <w:rPr>
          <w:rFonts w:eastAsia="Palatino Linotype" w:cs="Palatino Linotype"/>
          <w:szCs w:val="22"/>
        </w:rPr>
        <w:t>procesar</w:t>
      </w:r>
      <w:r w:rsidRPr="009B3532">
        <w:rPr>
          <w:rFonts w:eastAsia="Palatino Linotype" w:cs="Palatino Linotype"/>
          <w:szCs w:val="22"/>
        </w:rPr>
        <w:t xml:space="preserve"> la misma, ni presentarla conforme al interés del solicitante; </w:t>
      </w:r>
      <w:r w:rsidR="00FA5957" w:rsidRPr="009B3532">
        <w:rPr>
          <w:rFonts w:eastAsia="Palatino Linotype" w:cs="Palatino Linotype"/>
          <w:szCs w:val="22"/>
        </w:rPr>
        <w:t>tal y como</w:t>
      </w:r>
      <w:r w:rsidRPr="009B3532">
        <w:rPr>
          <w:rFonts w:eastAsia="Palatino Linotype" w:cs="Palatino Linotype"/>
          <w:szCs w:val="22"/>
        </w:rPr>
        <w:t xml:space="preserve"> lo establece el artículo 12 de la Ley de Transparencia y Acceso a la Información Pública del Estado de México y Municipios</w:t>
      </w:r>
      <w:r w:rsidR="00970EB3" w:rsidRPr="009B3532">
        <w:rPr>
          <w:rFonts w:eastAsia="Palatino Linotype" w:cs="Palatino Linotype"/>
          <w:szCs w:val="22"/>
        </w:rPr>
        <w:t>.</w:t>
      </w:r>
    </w:p>
    <w:p w14:paraId="73245195" w14:textId="77777777" w:rsidR="00970EB3" w:rsidRPr="009B3532" w:rsidRDefault="00970EB3" w:rsidP="009B3532">
      <w:pPr>
        <w:rPr>
          <w:rFonts w:eastAsia="Palatino Linotype" w:cs="Palatino Linotype"/>
          <w:szCs w:val="22"/>
        </w:rPr>
      </w:pPr>
    </w:p>
    <w:p w14:paraId="7F62D4DF" w14:textId="775730E1" w:rsidR="001A58B3" w:rsidRPr="009B3532" w:rsidRDefault="001A58B3" w:rsidP="009B3532">
      <w:pPr>
        <w:rPr>
          <w:rFonts w:eastAsia="Palatino Linotype" w:cs="Palatino Linotype"/>
          <w:szCs w:val="22"/>
        </w:rPr>
      </w:pPr>
      <w:r w:rsidRPr="009B3532">
        <w:rPr>
          <w:rFonts w:eastAsia="Palatino Linotype" w:cs="Palatino Linotype"/>
          <w:szCs w:val="22"/>
        </w:rPr>
        <w:t>Es decir, que todo sujeto obligado que genere, recopile, administre, procese, archive, posea o conserven, son responsables de la misma</w:t>
      </w:r>
      <w:r w:rsidR="00970EB3" w:rsidRPr="009B3532">
        <w:rPr>
          <w:rFonts w:eastAsia="Palatino Linotype" w:cs="Palatino Linotype"/>
          <w:szCs w:val="22"/>
        </w:rPr>
        <w:t>,</w:t>
      </w:r>
      <w:r w:rsidRPr="009B3532">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9B3532">
        <w:rPr>
          <w:rFonts w:eastAsia="Palatino Linotype" w:cs="Palatino Linotype"/>
          <w:szCs w:val="22"/>
        </w:rPr>
        <w:t>o</w:t>
      </w:r>
      <w:r w:rsidRPr="009B3532">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B3532" w:rsidRDefault="001A58B3" w:rsidP="009B3532">
      <w:pPr>
        <w:rPr>
          <w:rFonts w:eastAsia="Palatino Linotype" w:cs="Palatino Linotype"/>
          <w:szCs w:val="22"/>
        </w:rPr>
      </w:pPr>
    </w:p>
    <w:p w14:paraId="04E42DFE" w14:textId="573F1198" w:rsidR="001A58B3" w:rsidRPr="009B3532" w:rsidRDefault="001A58B3" w:rsidP="009B3532">
      <w:pPr>
        <w:rPr>
          <w:rFonts w:eastAsia="Palatino Linotype" w:cs="Palatino Linotype"/>
          <w:szCs w:val="22"/>
        </w:rPr>
      </w:pPr>
      <w:r w:rsidRPr="009B3532">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w:t>
      </w:r>
      <w:r w:rsidRPr="009B3532">
        <w:rPr>
          <w:rFonts w:eastAsia="Palatino Linotype" w:cs="Palatino Linotype"/>
          <w:szCs w:val="22"/>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9B3532">
        <w:rPr>
          <w:rFonts w:eastAsia="Palatino Linotype" w:cs="Palatino Linotype"/>
          <w:szCs w:val="22"/>
        </w:rPr>
        <w:t>, s</w:t>
      </w:r>
      <w:r w:rsidRPr="009B3532">
        <w:rPr>
          <w:rFonts w:eastAsia="Palatino Linotype" w:cs="Palatino Linotype"/>
          <w:szCs w:val="22"/>
        </w:rPr>
        <w:t xml:space="preserve">iempre y cuando no se trate de información reservada o </w:t>
      </w:r>
      <w:r w:rsidR="00331F35" w:rsidRPr="009B3532">
        <w:rPr>
          <w:rFonts w:eastAsia="Palatino Linotype" w:cs="Palatino Linotype"/>
          <w:szCs w:val="22"/>
        </w:rPr>
        <w:t>confidencial.</w:t>
      </w:r>
    </w:p>
    <w:p w14:paraId="40C5219F" w14:textId="77777777" w:rsidR="001A58B3" w:rsidRPr="009B3532" w:rsidRDefault="001A58B3" w:rsidP="009B3532">
      <w:pPr>
        <w:rPr>
          <w:rFonts w:eastAsia="Palatino Linotype" w:cs="Palatino Linotype"/>
          <w:szCs w:val="22"/>
        </w:rPr>
      </w:pPr>
    </w:p>
    <w:p w14:paraId="51A0E8B4" w14:textId="676DCA47" w:rsidR="00664420" w:rsidRPr="009B3532" w:rsidRDefault="00C71CEF" w:rsidP="009B3532">
      <w:pPr>
        <w:pStyle w:val="Ttulo3"/>
        <w:rPr>
          <w:rFonts w:eastAsia="Calibri"/>
          <w:szCs w:val="22"/>
          <w:lang w:eastAsia="es-ES_tradnl"/>
        </w:rPr>
      </w:pPr>
      <w:bookmarkStart w:id="33" w:name="_heading=h.2s8eyo1" w:colFirst="0" w:colLast="0"/>
      <w:bookmarkStart w:id="34" w:name="_Toc192183041"/>
      <w:bookmarkEnd w:id="33"/>
      <w:r w:rsidRPr="009B3532">
        <w:rPr>
          <w:rFonts w:eastAsia="Calibri"/>
          <w:szCs w:val="22"/>
          <w:lang w:eastAsia="es-ES_tradnl"/>
        </w:rPr>
        <w:t>b)</w:t>
      </w:r>
      <w:r w:rsidR="00A53315" w:rsidRPr="009B3532">
        <w:rPr>
          <w:rFonts w:eastAsia="Calibri"/>
          <w:szCs w:val="22"/>
          <w:lang w:eastAsia="es-ES_tradnl"/>
        </w:rPr>
        <w:t xml:space="preserve"> </w:t>
      </w:r>
      <w:r w:rsidR="00A21A20" w:rsidRPr="009B3532">
        <w:rPr>
          <w:rFonts w:eastAsia="Calibri"/>
          <w:szCs w:val="22"/>
          <w:lang w:eastAsia="es-ES_tradnl"/>
        </w:rPr>
        <w:t>Controversia a resolver</w:t>
      </w:r>
      <w:bookmarkEnd w:id="34"/>
    </w:p>
    <w:p w14:paraId="5AF35AA5" w14:textId="7C916BAB" w:rsidR="00044897" w:rsidRPr="009B3532" w:rsidRDefault="00054DD6" w:rsidP="009B3532">
      <w:pPr>
        <w:rPr>
          <w:szCs w:val="22"/>
        </w:rPr>
      </w:pPr>
      <w:r w:rsidRPr="009B3532">
        <w:rPr>
          <w:szCs w:val="22"/>
        </w:rPr>
        <w:t xml:space="preserve">Con el objeto de ilustrar la controversia planteada, resulta conveniente precisar que, una vez realizado el estudio de las constancias que integran el expediente en que se actúa, se desprende que </w:t>
      </w:r>
      <w:r w:rsidRPr="009B3532">
        <w:rPr>
          <w:b/>
          <w:szCs w:val="22"/>
        </w:rPr>
        <w:t>LA PARTE RECURRENTE</w:t>
      </w:r>
      <w:r w:rsidRPr="009B3532">
        <w:rPr>
          <w:szCs w:val="22"/>
        </w:rPr>
        <w:t xml:space="preserve"> solicitó</w:t>
      </w:r>
      <w:r w:rsidR="009E476F" w:rsidRPr="009B3532">
        <w:rPr>
          <w:szCs w:val="22"/>
        </w:rPr>
        <w:t xml:space="preserve"> </w:t>
      </w:r>
      <w:r w:rsidR="00044897" w:rsidRPr="009B3532">
        <w:rPr>
          <w:szCs w:val="22"/>
        </w:rPr>
        <w:t xml:space="preserve">los PBRM de todas las </w:t>
      </w:r>
      <w:r w:rsidR="007A133E" w:rsidRPr="009B3532">
        <w:rPr>
          <w:szCs w:val="22"/>
        </w:rPr>
        <w:t>áreas</w:t>
      </w:r>
      <w:r w:rsidR="00044897" w:rsidRPr="009B3532">
        <w:rPr>
          <w:szCs w:val="22"/>
        </w:rPr>
        <w:t xml:space="preserve"> del ayuntamiento en el año 2025. </w:t>
      </w:r>
    </w:p>
    <w:p w14:paraId="44FE71A1" w14:textId="77777777" w:rsidR="00044897" w:rsidRPr="009B3532" w:rsidRDefault="00044897" w:rsidP="009B3532">
      <w:pPr>
        <w:rPr>
          <w:szCs w:val="22"/>
        </w:rPr>
      </w:pPr>
    </w:p>
    <w:p w14:paraId="6CA898E3" w14:textId="37ED3715" w:rsidR="007A133E" w:rsidRPr="009B3532" w:rsidRDefault="00054DD6" w:rsidP="009B3532">
      <w:pPr>
        <w:autoSpaceDE w:val="0"/>
        <w:autoSpaceDN w:val="0"/>
        <w:adjustRightInd w:val="0"/>
        <w:ind w:right="-28"/>
        <w:rPr>
          <w:rFonts w:cs="Tahoma"/>
          <w:bCs/>
          <w:i/>
          <w:szCs w:val="22"/>
          <w:lang w:val="es-ES"/>
        </w:rPr>
      </w:pPr>
      <w:r w:rsidRPr="009B3532">
        <w:rPr>
          <w:szCs w:val="22"/>
        </w:rPr>
        <w:t xml:space="preserve">En respuesta, </w:t>
      </w:r>
      <w:r w:rsidRPr="009B3532">
        <w:rPr>
          <w:b/>
          <w:szCs w:val="22"/>
        </w:rPr>
        <w:t>EL SUJETO OBLIGADO</w:t>
      </w:r>
      <w:r w:rsidRPr="009B3532">
        <w:rPr>
          <w:szCs w:val="22"/>
        </w:rPr>
        <w:t xml:space="preserve"> </w:t>
      </w:r>
      <w:r w:rsidR="007A133E" w:rsidRPr="009B3532">
        <w:rPr>
          <w:szCs w:val="22"/>
        </w:rPr>
        <w:t xml:space="preserve">se </w:t>
      </w:r>
      <w:r w:rsidR="00193171" w:rsidRPr="009B3532">
        <w:rPr>
          <w:szCs w:val="22"/>
        </w:rPr>
        <w:t xml:space="preserve">manifestó </w:t>
      </w:r>
      <w:r w:rsidR="007A133E" w:rsidRPr="009B3532">
        <w:rPr>
          <w:szCs w:val="22"/>
        </w:rPr>
        <w:t>a través de la Titular de la UIPPE en el que le indicó de manera medular que puede consultar los Formatos y el Manual de PBRM que son de su interés, en la Gaveta del Gobierno del Estado de México, a través de la siguiente liga</w:t>
      </w:r>
    </w:p>
    <w:p w14:paraId="1AFE3E2B" w14:textId="77777777" w:rsidR="007A133E" w:rsidRPr="009B3532" w:rsidRDefault="007A133E" w:rsidP="009B3532">
      <w:pPr>
        <w:autoSpaceDE w:val="0"/>
        <w:autoSpaceDN w:val="0"/>
        <w:adjustRightInd w:val="0"/>
        <w:ind w:right="-28"/>
        <w:rPr>
          <w:rFonts w:cs="Tahoma"/>
          <w:bCs/>
          <w:i/>
          <w:szCs w:val="22"/>
          <w:lang w:val="es-ES"/>
        </w:rPr>
      </w:pPr>
    </w:p>
    <w:p w14:paraId="26A3BB49" w14:textId="77777777" w:rsidR="007A133E" w:rsidRPr="009B3532" w:rsidRDefault="007A133E" w:rsidP="009B3532">
      <w:pPr>
        <w:autoSpaceDE w:val="0"/>
        <w:autoSpaceDN w:val="0"/>
        <w:adjustRightInd w:val="0"/>
        <w:ind w:right="-28"/>
        <w:rPr>
          <w:rFonts w:cs="Tahoma"/>
          <w:bCs/>
          <w:i/>
          <w:szCs w:val="22"/>
          <w:lang w:val="es-ES"/>
        </w:rPr>
      </w:pPr>
      <w:r w:rsidRPr="009B3532">
        <w:rPr>
          <w:rFonts w:cs="Tahoma"/>
          <w:bCs/>
          <w:i/>
          <w:noProof/>
          <w:szCs w:val="22"/>
          <w:lang w:eastAsia="es-MX"/>
        </w:rPr>
        <w:drawing>
          <wp:inline distT="0" distB="0" distL="0" distR="0" wp14:anchorId="31B7B0E3" wp14:editId="6F09C6F5">
            <wp:extent cx="5742940" cy="4076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07670"/>
                    </a:xfrm>
                    <a:prstGeom prst="rect">
                      <a:avLst/>
                    </a:prstGeom>
                  </pic:spPr>
                </pic:pic>
              </a:graphicData>
            </a:graphic>
          </wp:inline>
        </w:drawing>
      </w:r>
    </w:p>
    <w:p w14:paraId="725493D1" w14:textId="77777777" w:rsidR="007A133E" w:rsidRPr="009B3532" w:rsidRDefault="007A133E" w:rsidP="009B3532">
      <w:pPr>
        <w:autoSpaceDE w:val="0"/>
        <w:autoSpaceDN w:val="0"/>
        <w:adjustRightInd w:val="0"/>
        <w:ind w:right="-28"/>
        <w:rPr>
          <w:rFonts w:cs="Tahoma"/>
          <w:bCs/>
          <w:i/>
          <w:szCs w:val="22"/>
          <w:lang w:val="es-ES"/>
        </w:rPr>
      </w:pPr>
    </w:p>
    <w:p w14:paraId="2AB5E528" w14:textId="500139DD" w:rsidR="00054DD6" w:rsidRPr="009B3532" w:rsidRDefault="00054DD6" w:rsidP="009B3532">
      <w:pPr>
        <w:tabs>
          <w:tab w:val="left" w:pos="4962"/>
        </w:tabs>
        <w:rPr>
          <w:szCs w:val="22"/>
        </w:rPr>
      </w:pPr>
      <w:r w:rsidRPr="009B3532">
        <w:rPr>
          <w:szCs w:val="22"/>
        </w:rPr>
        <w:t xml:space="preserve">Ahora bien, en la interposición del presente recurso </w:t>
      </w:r>
      <w:r w:rsidRPr="009B3532">
        <w:rPr>
          <w:b/>
          <w:szCs w:val="22"/>
        </w:rPr>
        <w:t>LA PARTE RECURRENTE</w:t>
      </w:r>
      <w:r w:rsidRPr="009B3532">
        <w:rPr>
          <w:szCs w:val="22"/>
        </w:rPr>
        <w:t xml:space="preserve"> se inconformó </w:t>
      </w:r>
      <w:r w:rsidR="007A2FF2" w:rsidRPr="009B3532">
        <w:rPr>
          <w:szCs w:val="22"/>
        </w:rPr>
        <w:t xml:space="preserve">manifestando </w:t>
      </w:r>
      <w:r w:rsidR="00193171" w:rsidRPr="009B3532">
        <w:rPr>
          <w:szCs w:val="22"/>
        </w:rPr>
        <w:t xml:space="preserve">la negativa </w:t>
      </w:r>
      <w:r w:rsidR="007A133E" w:rsidRPr="009B3532">
        <w:rPr>
          <w:szCs w:val="22"/>
        </w:rPr>
        <w:t>a la entrega de la información.</w:t>
      </w:r>
    </w:p>
    <w:p w14:paraId="05ADF87E" w14:textId="77777777" w:rsidR="00B03716" w:rsidRPr="009B3532" w:rsidRDefault="00B03716" w:rsidP="009B3532">
      <w:pPr>
        <w:rPr>
          <w:szCs w:val="22"/>
          <w:lang w:val="es-ES"/>
        </w:rPr>
      </w:pPr>
    </w:p>
    <w:p w14:paraId="6D73D410" w14:textId="61AAFC2F" w:rsidR="009B1B87" w:rsidRPr="009B3532" w:rsidRDefault="009B1B87" w:rsidP="009B3532">
      <w:pPr>
        <w:rPr>
          <w:szCs w:val="22"/>
        </w:rPr>
      </w:pPr>
      <w:r w:rsidRPr="009B3532">
        <w:rPr>
          <w:szCs w:val="22"/>
          <w:lang w:val="es-ES"/>
        </w:rPr>
        <w:t xml:space="preserve">Abierta la etapa de instrucción, </w:t>
      </w:r>
      <w:r w:rsidRPr="009B3532">
        <w:rPr>
          <w:b/>
          <w:szCs w:val="22"/>
          <w:lang w:val="es-ES"/>
        </w:rPr>
        <w:t>EL SUJETO OBLIGADO</w:t>
      </w:r>
      <w:r w:rsidR="00BD21F9" w:rsidRPr="009B3532">
        <w:rPr>
          <w:szCs w:val="22"/>
          <w:lang w:val="es-ES"/>
        </w:rPr>
        <w:t xml:space="preserve"> </w:t>
      </w:r>
      <w:r w:rsidRPr="009B3532">
        <w:rPr>
          <w:szCs w:val="22"/>
          <w:lang w:val="es-ES"/>
        </w:rPr>
        <w:t>rindió su Informe Justificado</w:t>
      </w:r>
      <w:r w:rsidR="00AF5BD6" w:rsidRPr="009B3532">
        <w:rPr>
          <w:szCs w:val="22"/>
          <w:lang w:val="es-ES"/>
        </w:rPr>
        <w:t xml:space="preserve">, </w:t>
      </w:r>
      <w:r w:rsidR="007A133E" w:rsidRPr="009B3532">
        <w:rPr>
          <w:szCs w:val="22"/>
          <w:lang w:val="es-ES"/>
        </w:rPr>
        <w:t>indicando que de acuerdo a lo establecido en el Acuerdo 03/2025 del OSFE</w:t>
      </w:r>
      <w:r w:rsidR="000F02E2" w:rsidRPr="009B3532">
        <w:rPr>
          <w:szCs w:val="22"/>
          <w:lang w:val="es-ES"/>
        </w:rPr>
        <w:t>M</w:t>
      </w:r>
      <w:r w:rsidR="007A133E" w:rsidRPr="009B3532">
        <w:rPr>
          <w:szCs w:val="22"/>
          <w:lang w:val="es-ES"/>
        </w:rPr>
        <w:t xml:space="preserve">, en los lineamientos que conforman el Manual de Programación y Presupuesto, se establece que la fecha límite para la entrega de los PBRM correspondiente al año en curso será el día 25 de febrero de 2025, los cuales no han sido digitalizados al momento del presente en su totalidad, </w:t>
      </w:r>
      <w:r w:rsidR="007A133E" w:rsidRPr="009B3532">
        <w:rPr>
          <w:szCs w:val="22"/>
          <w:lang w:val="es-ES"/>
        </w:rPr>
        <w:lastRenderedPageBreak/>
        <w:t>por lo que a partir del día posterior a este, podrá acceder a ellos y conocerlos en las páginas oficiales del OSFEM y del INFOEM</w:t>
      </w:r>
      <w:r w:rsidR="005460DB" w:rsidRPr="009B3532">
        <w:rPr>
          <w:b/>
          <w:iCs/>
          <w:szCs w:val="22"/>
        </w:rPr>
        <w:t>.</w:t>
      </w:r>
      <w:r w:rsidR="00024A0B" w:rsidRPr="009B3532">
        <w:rPr>
          <w:szCs w:val="22"/>
          <w:lang w:val="es-ES"/>
        </w:rPr>
        <w:t xml:space="preserve"> </w:t>
      </w:r>
      <w:r w:rsidRPr="009B3532">
        <w:rPr>
          <w:b/>
          <w:szCs w:val="22"/>
          <w:lang w:val="es-ES"/>
        </w:rPr>
        <w:t xml:space="preserve">LA PARTE RECURRENTE </w:t>
      </w:r>
      <w:r w:rsidRPr="009B3532">
        <w:rPr>
          <w:szCs w:val="22"/>
          <w:lang w:val="es-ES"/>
        </w:rPr>
        <w:t>omitió realizar las manifestaciones que a su derecho conviniera.</w:t>
      </w:r>
    </w:p>
    <w:p w14:paraId="098EF00F" w14:textId="77777777" w:rsidR="007750EB" w:rsidRPr="009B3532" w:rsidRDefault="007750EB" w:rsidP="009B3532">
      <w:pPr>
        <w:rPr>
          <w:szCs w:val="22"/>
        </w:rPr>
      </w:pPr>
    </w:p>
    <w:p w14:paraId="0A125C59" w14:textId="0D3E1DF3" w:rsidR="00BD5CD3" w:rsidRPr="009B3532" w:rsidRDefault="007A2FF2" w:rsidP="009B3532">
      <w:pPr>
        <w:tabs>
          <w:tab w:val="left" w:pos="709"/>
        </w:tabs>
        <w:rPr>
          <w:szCs w:val="22"/>
        </w:rPr>
      </w:pPr>
      <w:r w:rsidRPr="009B3532">
        <w:rPr>
          <w:rFonts w:eastAsia="Palatino Linotype" w:cs="Palatino Linotype"/>
          <w:szCs w:val="22"/>
        </w:rPr>
        <w:t>Bajo las premisas anteriores, se concluye que la controversia a dilucidar en el presente medio de impugnación será verificar si la información proporcionada en respuesta</w:t>
      </w:r>
      <w:r w:rsidR="005460DB" w:rsidRPr="009B3532">
        <w:rPr>
          <w:rFonts w:eastAsia="Palatino Linotype" w:cs="Palatino Linotype"/>
          <w:szCs w:val="22"/>
        </w:rPr>
        <w:t xml:space="preserve"> e informe justificado</w:t>
      </w:r>
      <w:r w:rsidR="00377780" w:rsidRPr="009B3532">
        <w:rPr>
          <w:rFonts w:eastAsia="Palatino Linotype" w:cs="Palatino Linotype"/>
          <w:szCs w:val="22"/>
        </w:rPr>
        <w:t xml:space="preserve"> </w:t>
      </w:r>
      <w:r w:rsidRPr="009B3532">
        <w:rPr>
          <w:rFonts w:eastAsia="Palatino Linotype" w:cs="Palatino Linotype"/>
          <w:szCs w:val="22"/>
        </w:rPr>
        <w:t xml:space="preserve">por </w:t>
      </w:r>
      <w:r w:rsidRPr="009B3532">
        <w:rPr>
          <w:rFonts w:eastAsia="Palatino Linotype" w:cs="Palatino Linotype"/>
          <w:b/>
          <w:szCs w:val="22"/>
        </w:rPr>
        <w:t xml:space="preserve">EL SUJETO OBLIGADO </w:t>
      </w:r>
      <w:r w:rsidRPr="009B3532">
        <w:rPr>
          <w:rFonts w:eastAsia="Palatino Linotype" w:cs="Palatino Linotype"/>
          <w:szCs w:val="22"/>
        </w:rPr>
        <w:t xml:space="preserve">es adecuada y suficiente para </w:t>
      </w:r>
      <w:r w:rsidR="003202F3" w:rsidRPr="009B3532">
        <w:rPr>
          <w:rFonts w:eastAsia="Palatino Linotype" w:cs="Palatino Linotype"/>
          <w:szCs w:val="22"/>
        </w:rPr>
        <w:t>tener por satisfecho</w:t>
      </w:r>
      <w:r w:rsidRPr="009B3532">
        <w:rPr>
          <w:rFonts w:eastAsia="Palatino Linotype" w:cs="Palatino Linotype"/>
          <w:szCs w:val="22"/>
        </w:rPr>
        <w:t xml:space="preserve"> el derecho de acceso a la información pública de </w:t>
      </w:r>
      <w:r w:rsidR="00FD3312" w:rsidRPr="009B3532">
        <w:rPr>
          <w:rFonts w:eastAsia="Palatino Linotype" w:cs="Palatino Linotype"/>
          <w:b/>
          <w:szCs w:val="22"/>
        </w:rPr>
        <w:t>LA PARTE RECURRENTE</w:t>
      </w:r>
      <w:r w:rsidR="00FD3312" w:rsidRPr="009B3532">
        <w:rPr>
          <w:rFonts w:eastAsia="Palatino Linotype" w:cs="Palatino Linotype"/>
          <w:szCs w:val="22"/>
        </w:rPr>
        <w:t>, o en su caso, ordenar la entrega de la información que corresponda</w:t>
      </w:r>
      <w:r w:rsidR="00BD5CD3" w:rsidRPr="009B3532">
        <w:rPr>
          <w:szCs w:val="22"/>
        </w:rPr>
        <w:t xml:space="preserve">. </w:t>
      </w:r>
    </w:p>
    <w:p w14:paraId="771938DA" w14:textId="77777777" w:rsidR="009B1B87" w:rsidRPr="009B3532" w:rsidRDefault="009B1B87" w:rsidP="009B3532">
      <w:pPr>
        <w:rPr>
          <w:szCs w:val="22"/>
        </w:rPr>
      </w:pPr>
    </w:p>
    <w:p w14:paraId="7F1D2909" w14:textId="1CBC4285" w:rsidR="0085247A" w:rsidRPr="009B3532" w:rsidRDefault="00054DD6" w:rsidP="009B3532">
      <w:pPr>
        <w:pStyle w:val="Ttulo3"/>
        <w:rPr>
          <w:szCs w:val="22"/>
        </w:rPr>
      </w:pPr>
      <w:bookmarkStart w:id="35" w:name="_Toc172722181"/>
      <w:bookmarkStart w:id="36" w:name="_Toc192183042"/>
      <w:r w:rsidRPr="009B3532">
        <w:rPr>
          <w:szCs w:val="22"/>
        </w:rPr>
        <w:t>c) Estudio de la controversia</w:t>
      </w:r>
      <w:bookmarkEnd w:id="35"/>
      <w:bookmarkEnd w:id="36"/>
    </w:p>
    <w:p w14:paraId="2C40CCB9" w14:textId="5D871145" w:rsidR="00766F57" w:rsidRPr="009B3532" w:rsidRDefault="00766F57" w:rsidP="009B3532">
      <w:pPr>
        <w:rPr>
          <w:szCs w:val="22"/>
        </w:rPr>
      </w:pPr>
      <w:r w:rsidRPr="009B3532">
        <w:rPr>
          <w:szCs w:val="22"/>
        </w:rPr>
        <w:t xml:space="preserve">Por ello, y a fin de resolver la controversia en cuestión </w:t>
      </w:r>
      <w:r w:rsidRPr="009B3532">
        <w:rPr>
          <w:rFonts w:eastAsia="Palatino Linotype"/>
          <w:szCs w:val="22"/>
        </w:rPr>
        <w:t xml:space="preserve">es necesario señalar que </w:t>
      </w:r>
      <w:r w:rsidRPr="009B3532">
        <w:rPr>
          <w:szCs w:val="22"/>
        </w:rPr>
        <w:t>de una revisión al expediente que nos ocupa dentro del Sistema de Acceso a la Información Mexiquense, se advierte el apartado de requerimientos; de lo que se infiere que el Titular de la Unidad de Transparencia turnó la solicitud al área de la Uippe.</w:t>
      </w:r>
    </w:p>
    <w:p w14:paraId="21AE7EA7" w14:textId="77777777" w:rsidR="00766F57" w:rsidRPr="009B3532" w:rsidRDefault="00766F57" w:rsidP="009B3532">
      <w:pPr>
        <w:rPr>
          <w:rFonts w:cs="Tahoma"/>
          <w:bCs/>
          <w:iCs/>
          <w:szCs w:val="22"/>
        </w:rPr>
      </w:pPr>
    </w:p>
    <w:p w14:paraId="47CF2086" w14:textId="77777777" w:rsidR="00766F57" w:rsidRPr="009B3532" w:rsidRDefault="00766F57" w:rsidP="009B3532">
      <w:pPr>
        <w:pBdr>
          <w:top w:val="nil"/>
          <w:left w:val="nil"/>
          <w:bottom w:val="nil"/>
          <w:right w:val="nil"/>
          <w:between w:val="nil"/>
        </w:pBdr>
        <w:spacing w:after="240"/>
        <w:ind w:right="-28"/>
        <w:contextualSpacing/>
        <w:rPr>
          <w:b/>
          <w:szCs w:val="22"/>
        </w:rPr>
      </w:pPr>
      <w:r w:rsidRPr="009B3532">
        <w:rPr>
          <w:szCs w:val="22"/>
        </w:rPr>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9B3532">
        <w:rPr>
          <w:b/>
          <w:szCs w:val="22"/>
        </w:rPr>
        <w:t xml:space="preserve"> </w:t>
      </w:r>
    </w:p>
    <w:p w14:paraId="701F994E" w14:textId="77777777" w:rsidR="00766F57" w:rsidRPr="009B3532" w:rsidRDefault="00766F57" w:rsidP="009B3532">
      <w:pPr>
        <w:pStyle w:val="Puesto"/>
        <w:jc w:val="center"/>
        <w:rPr>
          <w:b/>
          <w:bCs/>
          <w:szCs w:val="22"/>
        </w:rPr>
      </w:pPr>
      <w:r w:rsidRPr="009B3532">
        <w:rPr>
          <w:szCs w:val="22"/>
        </w:rPr>
        <w:lastRenderedPageBreak/>
        <w:t>“</w:t>
      </w:r>
      <w:r w:rsidRPr="009B3532">
        <w:rPr>
          <w:b/>
          <w:bCs/>
          <w:szCs w:val="22"/>
        </w:rPr>
        <w:t>Ley de Transparencia y Acceso a la Información Pública del Estado de México y Municipios</w:t>
      </w:r>
    </w:p>
    <w:p w14:paraId="0749435E" w14:textId="77777777" w:rsidR="00766F57" w:rsidRPr="009B3532" w:rsidRDefault="00766F57" w:rsidP="009B3532">
      <w:pPr>
        <w:rPr>
          <w:szCs w:val="22"/>
        </w:rPr>
      </w:pPr>
    </w:p>
    <w:p w14:paraId="20AA34B5" w14:textId="77777777" w:rsidR="00766F57" w:rsidRPr="009B3532" w:rsidRDefault="00766F57" w:rsidP="009B3532">
      <w:pPr>
        <w:pStyle w:val="Puesto"/>
        <w:rPr>
          <w:szCs w:val="22"/>
        </w:rPr>
      </w:pPr>
      <w:r w:rsidRPr="009B3532">
        <w:rPr>
          <w:szCs w:val="22"/>
        </w:rPr>
        <w:t>“</w:t>
      </w:r>
      <w:r w:rsidRPr="009B3532">
        <w:rPr>
          <w:b/>
          <w:bCs/>
          <w:szCs w:val="22"/>
        </w:rPr>
        <w:t>Artículo 50.</w:t>
      </w:r>
      <w:r w:rsidRPr="009B3532">
        <w:rPr>
          <w:szCs w:val="22"/>
        </w:rPr>
        <w:t xml:space="preserve"> Los sujetos obligados contarán con un área responsable para la atención de las solicitudes de información, a la que se le denominará Unidad de Transparencia. </w:t>
      </w:r>
    </w:p>
    <w:p w14:paraId="3CB4C923" w14:textId="77777777" w:rsidR="00766F57" w:rsidRPr="009B3532" w:rsidRDefault="00766F57" w:rsidP="009B3532">
      <w:pPr>
        <w:pStyle w:val="Puesto"/>
        <w:rPr>
          <w:szCs w:val="22"/>
        </w:rPr>
      </w:pPr>
    </w:p>
    <w:p w14:paraId="7E952531" w14:textId="77777777" w:rsidR="00766F57" w:rsidRPr="009B3532" w:rsidRDefault="00766F57" w:rsidP="009B3532">
      <w:pPr>
        <w:pStyle w:val="Puesto"/>
        <w:rPr>
          <w:szCs w:val="22"/>
        </w:rPr>
      </w:pPr>
      <w:r w:rsidRPr="009B3532">
        <w:rPr>
          <w:b/>
          <w:bCs/>
          <w:szCs w:val="22"/>
        </w:rPr>
        <w:t>Artículo 51.</w:t>
      </w:r>
      <w:r w:rsidRPr="009B3532">
        <w:rPr>
          <w:szCs w:val="22"/>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AC0D511" w14:textId="77777777" w:rsidR="00766F57" w:rsidRPr="009B3532" w:rsidRDefault="00766F57" w:rsidP="009B3532">
      <w:pPr>
        <w:pStyle w:val="Puesto"/>
        <w:rPr>
          <w:szCs w:val="22"/>
        </w:rPr>
      </w:pPr>
      <w:r w:rsidRPr="009B3532">
        <w:rPr>
          <w:szCs w:val="22"/>
        </w:rPr>
        <w:t>…</w:t>
      </w:r>
    </w:p>
    <w:p w14:paraId="12BAC837" w14:textId="77777777" w:rsidR="00766F57" w:rsidRPr="009B3532" w:rsidRDefault="00766F57" w:rsidP="009B3532">
      <w:pPr>
        <w:pStyle w:val="Puesto"/>
        <w:rPr>
          <w:szCs w:val="22"/>
        </w:rPr>
      </w:pPr>
      <w:r w:rsidRPr="009B3532">
        <w:rPr>
          <w:b/>
          <w:bCs/>
          <w:szCs w:val="22"/>
        </w:rPr>
        <w:t>Artículo 53</w:t>
      </w:r>
      <w:r w:rsidRPr="009B3532">
        <w:rPr>
          <w:szCs w:val="22"/>
        </w:rPr>
        <w:t>. Las Unidades de Transparencia tendrán las siguientes funciones:</w:t>
      </w:r>
    </w:p>
    <w:p w14:paraId="229FB40F" w14:textId="77777777" w:rsidR="00766F57" w:rsidRPr="009B3532" w:rsidRDefault="00766F57" w:rsidP="009B3532">
      <w:pPr>
        <w:pStyle w:val="Puesto"/>
        <w:rPr>
          <w:szCs w:val="22"/>
        </w:rPr>
      </w:pPr>
      <w:r w:rsidRPr="009B3532">
        <w:rPr>
          <w:szCs w:val="22"/>
        </w:rPr>
        <w:t>…</w:t>
      </w:r>
    </w:p>
    <w:p w14:paraId="63CB6143" w14:textId="77777777" w:rsidR="00766F57" w:rsidRPr="009B3532" w:rsidRDefault="00766F57" w:rsidP="009B3532">
      <w:pPr>
        <w:pStyle w:val="Puesto"/>
        <w:rPr>
          <w:szCs w:val="22"/>
        </w:rPr>
      </w:pPr>
      <w:r w:rsidRPr="009B3532">
        <w:rPr>
          <w:szCs w:val="22"/>
        </w:rPr>
        <w:t xml:space="preserve">II. Recibir, tramitar y dar respuesta a las solicitudes de acceso a la información; </w:t>
      </w:r>
    </w:p>
    <w:p w14:paraId="0C5F41ED" w14:textId="77777777" w:rsidR="00766F57" w:rsidRPr="009B3532" w:rsidRDefault="00766F57" w:rsidP="009B3532">
      <w:pPr>
        <w:pStyle w:val="Puesto"/>
        <w:rPr>
          <w:szCs w:val="22"/>
        </w:rPr>
      </w:pPr>
      <w:r w:rsidRPr="009B3532">
        <w:rPr>
          <w:szCs w:val="22"/>
        </w:rPr>
        <w:t>…</w:t>
      </w:r>
    </w:p>
    <w:p w14:paraId="3D70DADE" w14:textId="77777777" w:rsidR="00766F57" w:rsidRPr="009B3532" w:rsidRDefault="00766F57" w:rsidP="009B3532">
      <w:pPr>
        <w:pStyle w:val="Puesto"/>
        <w:rPr>
          <w:szCs w:val="22"/>
        </w:rPr>
      </w:pPr>
      <w:r w:rsidRPr="009B3532">
        <w:rPr>
          <w:szCs w:val="22"/>
        </w:rPr>
        <w:t xml:space="preserve">IV. Realizar, con efectividad, los trámites internos necesarios para la atención de las solicitudes de acceso a la información; </w:t>
      </w:r>
    </w:p>
    <w:p w14:paraId="2D895236" w14:textId="77777777" w:rsidR="00766F57" w:rsidRPr="009B3532" w:rsidRDefault="00766F57" w:rsidP="009B3532">
      <w:pPr>
        <w:pStyle w:val="Puesto"/>
        <w:rPr>
          <w:szCs w:val="22"/>
        </w:rPr>
      </w:pPr>
      <w:r w:rsidRPr="009B3532">
        <w:rPr>
          <w:szCs w:val="22"/>
        </w:rPr>
        <w:t xml:space="preserve">V. Entregar, en su caso, a los particulares la información solicitada; </w:t>
      </w:r>
    </w:p>
    <w:p w14:paraId="0823BA1C" w14:textId="77777777" w:rsidR="00766F57" w:rsidRPr="009B3532" w:rsidRDefault="00766F57" w:rsidP="009B3532">
      <w:pPr>
        <w:pStyle w:val="Puesto"/>
        <w:rPr>
          <w:szCs w:val="22"/>
        </w:rPr>
      </w:pPr>
      <w:r w:rsidRPr="009B3532">
        <w:rPr>
          <w:szCs w:val="22"/>
        </w:rPr>
        <w:t>VI. Efectuar las notificaciones a los solicitantes;” (Sic)</w:t>
      </w:r>
    </w:p>
    <w:p w14:paraId="2A34D4A9" w14:textId="77777777" w:rsidR="00766F57" w:rsidRPr="009B3532" w:rsidRDefault="00766F57" w:rsidP="009B3532">
      <w:pPr>
        <w:rPr>
          <w:rFonts w:cs="Tahoma"/>
          <w:bCs/>
          <w:iCs/>
          <w:szCs w:val="22"/>
        </w:rPr>
      </w:pPr>
    </w:p>
    <w:p w14:paraId="4A7051C0" w14:textId="77777777" w:rsidR="00766F57" w:rsidRPr="009B3532" w:rsidRDefault="00766F57" w:rsidP="009B3532">
      <w:pPr>
        <w:ind w:right="-28"/>
        <w:rPr>
          <w:szCs w:val="22"/>
        </w:rPr>
      </w:pPr>
      <w:r w:rsidRPr="009B3532">
        <w:rPr>
          <w:szCs w:val="22"/>
        </w:rPr>
        <w:t xml:space="preserve">Aunado a lo anterior, se debe señalar que aunque la solicitud de información y la respuesta estén dirigidas y atendidas por un </w:t>
      </w:r>
      <w:r w:rsidRPr="009B3532">
        <w:rPr>
          <w:b/>
          <w:szCs w:val="22"/>
        </w:rPr>
        <w:t>SUJETO OBLIGADO</w:t>
      </w:r>
      <w:r w:rsidRPr="009B3532">
        <w:rPr>
          <w:szCs w:val="22"/>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1FCFF8D" w14:textId="77777777" w:rsidR="00766F57" w:rsidRPr="009B3532" w:rsidRDefault="00766F57" w:rsidP="009B3532">
      <w:pPr>
        <w:spacing w:line="276" w:lineRule="auto"/>
        <w:ind w:right="-28"/>
        <w:rPr>
          <w:szCs w:val="22"/>
        </w:rPr>
      </w:pPr>
    </w:p>
    <w:p w14:paraId="71E4A507" w14:textId="77777777" w:rsidR="00766F57" w:rsidRPr="009B3532" w:rsidRDefault="00766F57" w:rsidP="009B3532">
      <w:pPr>
        <w:pStyle w:val="Puesto"/>
        <w:rPr>
          <w:szCs w:val="22"/>
        </w:rPr>
      </w:pPr>
      <w:r w:rsidRPr="009B3532">
        <w:rPr>
          <w:szCs w:val="22"/>
        </w:rPr>
        <w:t>“</w:t>
      </w:r>
      <w:r w:rsidRPr="009B3532">
        <w:rPr>
          <w:b/>
          <w:bCs/>
          <w:szCs w:val="22"/>
        </w:rPr>
        <w:t>Artículo 3.</w:t>
      </w:r>
      <w:r w:rsidRPr="009B3532">
        <w:rPr>
          <w:szCs w:val="22"/>
        </w:rPr>
        <w:t xml:space="preserve"> Para los efectos de la presente Ley se entenderá por:</w:t>
      </w:r>
    </w:p>
    <w:p w14:paraId="6B9BF174" w14:textId="77777777" w:rsidR="00766F57" w:rsidRPr="009B3532" w:rsidRDefault="00766F57" w:rsidP="009B3532">
      <w:pPr>
        <w:pStyle w:val="Puesto"/>
        <w:rPr>
          <w:szCs w:val="22"/>
        </w:rPr>
      </w:pPr>
      <w:r w:rsidRPr="009B3532">
        <w:rPr>
          <w:szCs w:val="22"/>
        </w:rPr>
        <w:lastRenderedPageBreak/>
        <w:t>…</w:t>
      </w:r>
    </w:p>
    <w:p w14:paraId="588AEF57" w14:textId="77777777" w:rsidR="00766F57" w:rsidRPr="009B3532" w:rsidRDefault="00766F57" w:rsidP="009B3532">
      <w:pPr>
        <w:pStyle w:val="Puesto"/>
        <w:rPr>
          <w:szCs w:val="22"/>
        </w:rPr>
      </w:pPr>
      <w:r w:rsidRPr="009B3532">
        <w:rPr>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50CD4B7" w14:textId="77777777" w:rsidR="00766F57" w:rsidRPr="009B3532" w:rsidRDefault="00766F57" w:rsidP="009B3532">
      <w:pPr>
        <w:pStyle w:val="Puesto"/>
        <w:rPr>
          <w:szCs w:val="22"/>
        </w:rPr>
      </w:pPr>
      <w:r w:rsidRPr="009B3532">
        <w:rPr>
          <w:szCs w:val="22"/>
        </w:rPr>
        <w:t>…</w:t>
      </w:r>
    </w:p>
    <w:p w14:paraId="384950D7" w14:textId="77777777" w:rsidR="00766F57" w:rsidRPr="009B3532" w:rsidRDefault="00766F57" w:rsidP="009B3532">
      <w:pPr>
        <w:pStyle w:val="Puesto"/>
        <w:rPr>
          <w:szCs w:val="22"/>
        </w:rPr>
      </w:pPr>
      <w:r w:rsidRPr="009B3532">
        <w:rPr>
          <w:b/>
          <w:bCs/>
          <w:szCs w:val="22"/>
        </w:rPr>
        <w:t>Artículo 58.</w:t>
      </w:r>
      <w:r w:rsidRPr="009B3532">
        <w:rPr>
          <w:szCs w:val="22"/>
        </w:rPr>
        <w:t xml:space="preserve"> Los servidores públicos habilitados serán designados por el titular del sujeto obligado a propuesta del responsable de la Unidad de Transparencia.</w:t>
      </w:r>
    </w:p>
    <w:p w14:paraId="6FAF1235" w14:textId="77777777" w:rsidR="00766F57" w:rsidRPr="009B3532" w:rsidRDefault="00766F57" w:rsidP="009B3532">
      <w:pPr>
        <w:pStyle w:val="Puesto"/>
        <w:rPr>
          <w:b/>
          <w:bCs/>
          <w:szCs w:val="22"/>
        </w:rPr>
      </w:pPr>
    </w:p>
    <w:p w14:paraId="2A5A6DBF" w14:textId="77777777" w:rsidR="00766F57" w:rsidRPr="009B3532" w:rsidRDefault="00766F57" w:rsidP="009B3532">
      <w:pPr>
        <w:pStyle w:val="Puesto"/>
        <w:rPr>
          <w:szCs w:val="22"/>
        </w:rPr>
      </w:pPr>
      <w:r w:rsidRPr="009B3532">
        <w:rPr>
          <w:b/>
          <w:bCs/>
          <w:szCs w:val="22"/>
        </w:rPr>
        <w:t>Artículo 59.</w:t>
      </w:r>
      <w:r w:rsidRPr="009B3532">
        <w:rPr>
          <w:szCs w:val="22"/>
        </w:rPr>
        <w:t xml:space="preserve"> Los servidores públicos habilitados tendrán las funciones siguientes:</w:t>
      </w:r>
    </w:p>
    <w:p w14:paraId="6A3100D7" w14:textId="77777777" w:rsidR="00766F57" w:rsidRPr="009B3532" w:rsidRDefault="00766F57" w:rsidP="009B3532">
      <w:pPr>
        <w:pStyle w:val="Puesto"/>
        <w:rPr>
          <w:szCs w:val="22"/>
        </w:rPr>
      </w:pPr>
      <w:r w:rsidRPr="009B3532">
        <w:rPr>
          <w:szCs w:val="22"/>
        </w:rPr>
        <w:t>I. Localizar la información que le solicite la Unidad de Transparencia;</w:t>
      </w:r>
    </w:p>
    <w:p w14:paraId="74FA2ABE" w14:textId="77777777" w:rsidR="00766F57" w:rsidRPr="009B3532" w:rsidRDefault="00766F57" w:rsidP="009B3532">
      <w:pPr>
        <w:pStyle w:val="Puesto"/>
        <w:rPr>
          <w:szCs w:val="22"/>
        </w:rPr>
      </w:pPr>
      <w:r w:rsidRPr="009B3532">
        <w:rPr>
          <w:szCs w:val="22"/>
        </w:rPr>
        <w:t>II. Proporcionar la información que obre en los archivos y que le sea solicitada por la Unidad de Transparencia;</w:t>
      </w:r>
    </w:p>
    <w:p w14:paraId="3C46B7C8" w14:textId="77777777" w:rsidR="00766F57" w:rsidRPr="009B3532" w:rsidRDefault="00766F57" w:rsidP="009B3532">
      <w:pPr>
        <w:pStyle w:val="Puesto"/>
        <w:rPr>
          <w:szCs w:val="22"/>
        </w:rPr>
      </w:pPr>
      <w:r w:rsidRPr="009B3532">
        <w:rPr>
          <w:szCs w:val="22"/>
        </w:rPr>
        <w:t>III. Apoyar a la Unidad de Transparencia en lo que esta le solicite para el cumplimiento de sus funciones;</w:t>
      </w:r>
    </w:p>
    <w:p w14:paraId="000537C5" w14:textId="77777777" w:rsidR="00766F57" w:rsidRPr="009B3532" w:rsidRDefault="00766F57" w:rsidP="009B3532">
      <w:pPr>
        <w:pStyle w:val="Puesto"/>
        <w:rPr>
          <w:szCs w:val="22"/>
        </w:rPr>
      </w:pPr>
      <w:r w:rsidRPr="009B3532">
        <w:rPr>
          <w:szCs w:val="22"/>
        </w:rPr>
        <w:t>IV. Proporcionar a la Unidad de Transparencia, las modificaciones a la información pública de oficio que obre en su poder;</w:t>
      </w:r>
    </w:p>
    <w:p w14:paraId="63393850" w14:textId="77777777" w:rsidR="00766F57" w:rsidRPr="009B3532" w:rsidRDefault="00766F57" w:rsidP="009B3532">
      <w:pPr>
        <w:pStyle w:val="Puesto"/>
        <w:rPr>
          <w:szCs w:val="22"/>
        </w:rPr>
      </w:pPr>
      <w:r w:rsidRPr="009B3532">
        <w:rPr>
          <w:szCs w:val="22"/>
        </w:rPr>
        <w:t>V. Integrar y presentar al responsable de la Unidad de Transparencia la propuesta de clasificación de información, la cual tendrá los fundamentos y argumentos en que se basa dicha propuesta;</w:t>
      </w:r>
    </w:p>
    <w:p w14:paraId="2532344D" w14:textId="77777777" w:rsidR="00766F57" w:rsidRPr="009B3532" w:rsidRDefault="00766F57" w:rsidP="009B3532">
      <w:pPr>
        <w:pStyle w:val="Puesto"/>
        <w:rPr>
          <w:szCs w:val="22"/>
        </w:rPr>
      </w:pPr>
      <w:r w:rsidRPr="009B3532">
        <w:rPr>
          <w:szCs w:val="22"/>
        </w:rPr>
        <w:t>VI. Verificar, una vez analizado el contenido de la información, que no se encuentre en los supuestos de información clasificada; y</w:t>
      </w:r>
    </w:p>
    <w:p w14:paraId="120D2A25" w14:textId="77777777" w:rsidR="00766F57" w:rsidRPr="009B3532" w:rsidRDefault="00766F57" w:rsidP="009B3532">
      <w:pPr>
        <w:pStyle w:val="Puesto"/>
        <w:rPr>
          <w:szCs w:val="22"/>
        </w:rPr>
      </w:pPr>
      <w:r w:rsidRPr="009B3532">
        <w:rPr>
          <w:szCs w:val="22"/>
        </w:rPr>
        <w:t>VII. Dar cuenta a la Unidad de Transparencia del vencimiento de los plazos de reserva.” (Sic)</w:t>
      </w:r>
    </w:p>
    <w:p w14:paraId="1E167B73" w14:textId="77777777" w:rsidR="00766F57" w:rsidRPr="009B3532" w:rsidRDefault="00766F57" w:rsidP="009B3532">
      <w:pPr>
        <w:spacing w:before="240" w:line="276" w:lineRule="auto"/>
        <w:ind w:left="567" w:right="-28"/>
        <w:contextualSpacing/>
        <w:rPr>
          <w:i/>
          <w:szCs w:val="22"/>
        </w:rPr>
      </w:pPr>
    </w:p>
    <w:p w14:paraId="5F8AB27B" w14:textId="77777777" w:rsidR="00766F57" w:rsidRPr="009B3532" w:rsidRDefault="00766F57" w:rsidP="009B3532">
      <w:pPr>
        <w:ind w:right="-28"/>
        <w:contextualSpacing/>
        <w:rPr>
          <w:szCs w:val="22"/>
        </w:rPr>
      </w:pPr>
      <w:r w:rsidRPr="009B3532">
        <w:rPr>
          <w:szCs w:val="22"/>
        </w:rPr>
        <w:t xml:space="preserve">De lo que se concluye, que no basta con que </w:t>
      </w:r>
      <w:r w:rsidRPr="009B3532">
        <w:rPr>
          <w:b/>
          <w:szCs w:val="22"/>
        </w:rPr>
        <w:t>EL SUJETO OBLIGADO</w:t>
      </w:r>
      <w:r w:rsidRPr="009B3532">
        <w:rPr>
          <w:szCs w:val="22"/>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66EE125D" w14:textId="77777777" w:rsidR="00766F57" w:rsidRPr="009B3532" w:rsidRDefault="00766F57" w:rsidP="009B3532">
      <w:pPr>
        <w:pStyle w:val="Puesto"/>
        <w:spacing w:line="360" w:lineRule="auto"/>
        <w:ind w:left="0" w:right="-28"/>
        <w:rPr>
          <w:rFonts w:eastAsia="Times New Roman" w:cs="Times New Roman"/>
          <w:i w:val="0"/>
          <w:kern w:val="0"/>
          <w:szCs w:val="22"/>
        </w:rPr>
      </w:pPr>
    </w:p>
    <w:p w14:paraId="56437963" w14:textId="77777777" w:rsidR="00766F57" w:rsidRPr="009B3532" w:rsidRDefault="00766F57" w:rsidP="009B3532">
      <w:pPr>
        <w:rPr>
          <w:rFonts w:eastAsia="Calibri"/>
          <w:szCs w:val="22"/>
        </w:rPr>
      </w:pPr>
      <w:r w:rsidRPr="009B3532">
        <w:rPr>
          <w:rFonts w:eastAsia="Calibri"/>
          <w:szCs w:val="22"/>
        </w:rPr>
        <w:lastRenderedPageBreak/>
        <w:t xml:space="preserve">Por lo anterior, </w:t>
      </w:r>
      <w:r w:rsidRPr="009B3532">
        <w:rPr>
          <w:rFonts w:cs="Arial"/>
          <w:szCs w:val="22"/>
          <w:lang w:eastAsia="es-MX"/>
        </w:rPr>
        <w:t>e</w:t>
      </w:r>
      <w:r w:rsidRPr="009B3532">
        <w:rPr>
          <w:rFonts w:cs="Arial"/>
          <w:szCs w:val="22"/>
        </w:rPr>
        <w:t xml:space="preserve">s de destacar que de las documentales que integran el expediente electrónico no se advierte que el Titular de la Unidad de Transparencia haya turnado la solicitud de manera enunciativa más no limitativa a la Tesorería Municipal, </w:t>
      </w:r>
      <w:r w:rsidRPr="009B3532">
        <w:rPr>
          <w:szCs w:val="22"/>
        </w:rPr>
        <w:t xml:space="preserve">área que de acuerdo a </w:t>
      </w:r>
      <w:r w:rsidRPr="009B3532">
        <w:rPr>
          <w:rFonts w:eastAsia="Calibri"/>
          <w:szCs w:val="22"/>
        </w:rPr>
        <w:t>sus funciones y atribuciones se encuentran constreñida a conocer acerca de la información en análisis, pues los artículos 31, fracciones XVIII y XIX y 95, fracciones I y IV de la Ley Orgánica Municipal del Estado de México disponen lo siguiente:</w:t>
      </w:r>
    </w:p>
    <w:p w14:paraId="7594B19D" w14:textId="77777777" w:rsidR="00766F57" w:rsidRPr="009B3532" w:rsidRDefault="00766F57" w:rsidP="009B3532">
      <w:pPr>
        <w:autoSpaceDE w:val="0"/>
        <w:autoSpaceDN w:val="0"/>
        <w:adjustRightInd w:val="0"/>
        <w:ind w:right="51"/>
        <w:rPr>
          <w:rFonts w:eastAsiaTheme="minorEastAsia" w:cs="Arial"/>
          <w:szCs w:val="22"/>
        </w:rPr>
      </w:pPr>
    </w:p>
    <w:p w14:paraId="646ECE64" w14:textId="77777777" w:rsidR="00766F57" w:rsidRPr="009B3532" w:rsidRDefault="00766F57" w:rsidP="009B3532">
      <w:pPr>
        <w:ind w:left="851" w:right="901"/>
        <w:rPr>
          <w:rFonts w:cs="Arial"/>
          <w:i/>
          <w:szCs w:val="22"/>
        </w:rPr>
      </w:pPr>
      <w:r w:rsidRPr="009B3532">
        <w:rPr>
          <w:rFonts w:cs="Arial"/>
          <w:b/>
          <w:i/>
          <w:szCs w:val="22"/>
        </w:rPr>
        <w:t>“Artículo 31.-</w:t>
      </w:r>
      <w:r w:rsidRPr="009B3532">
        <w:rPr>
          <w:rFonts w:cs="Arial"/>
          <w:i/>
          <w:szCs w:val="22"/>
        </w:rPr>
        <w:t xml:space="preserve"> Son </w:t>
      </w:r>
      <w:r w:rsidRPr="009B3532">
        <w:rPr>
          <w:rFonts w:cs="Arial"/>
          <w:b/>
          <w:i/>
          <w:szCs w:val="22"/>
        </w:rPr>
        <w:t>atribuciones de los ayuntamientos</w:t>
      </w:r>
      <w:r w:rsidRPr="009B3532">
        <w:rPr>
          <w:rFonts w:cs="Arial"/>
          <w:i/>
          <w:szCs w:val="22"/>
        </w:rPr>
        <w:t>:</w:t>
      </w:r>
    </w:p>
    <w:p w14:paraId="09F0C3FF" w14:textId="77777777" w:rsidR="00766F57" w:rsidRPr="009B3532" w:rsidRDefault="00766F57" w:rsidP="009B3532">
      <w:pPr>
        <w:ind w:left="851" w:right="901"/>
        <w:rPr>
          <w:rFonts w:cs="Arial"/>
          <w:i/>
          <w:szCs w:val="22"/>
        </w:rPr>
      </w:pPr>
      <w:r w:rsidRPr="009B3532">
        <w:rPr>
          <w:rFonts w:cs="Arial"/>
          <w:i/>
          <w:szCs w:val="22"/>
        </w:rPr>
        <w:t>…</w:t>
      </w:r>
    </w:p>
    <w:p w14:paraId="749BD62A" w14:textId="77777777" w:rsidR="00766F57" w:rsidRPr="009B3532" w:rsidRDefault="00766F57" w:rsidP="009B3532">
      <w:pPr>
        <w:ind w:left="851" w:right="901"/>
        <w:rPr>
          <w:rFonts w:cs="Arial"/>
          <w:i/>
          <w:szCs w:val="22"/>
        </w:rPr>
      </w:pPr>
      <w:r w:rsidRPr="009B3532">
        <w:rPr>
          <w:rFonts w:cs="Arial"/>
          <w:b/>
          <w:i/>
          <w:szCs w:val="22"/>
        </w:rPr>
        <w:t>XVIII.</w:t>
      </w:r>
      <w:r w:rsidRPr="009B3532">
        <w:rPr>
          <w:rFonts w:cs="Arial"/>
          <w:i/>
          <w:szCs w:val="22"/>
        </w:rPr>
        <w:t xml:space="preserve"> Administrar su hacienda en términos de ley, y </w:t>
      </w:r>
      <w:r w:rsidRPr="009B3532">
        <w:rPr>
          <w:rFonts w:cs="Arial"/>
          <w:b/>
          <w:i/>
          <w:szCs w:val="22"/>
        </w:rPr>
        <w:t>controlar a través del presidente y síndico la aplicación del presupuesto de egresos del municipio</w:t>
      </w:r>
      <w:r w:rsidRPr="009B3532">
        <w:rPr>
          <w:rFonts w:cs="Arial"/>
          <w:i/>
          <w:szCs w:val="22"/>
        </w:rPr>
        <w:t>;</w:t>
      </w:r>
    </w:p>
    <w:p w14:paraId="197402DE" w14:textId="77777777" w:rsidR="00766F57" w:rsidRPr="009B3532" w:rsidRDefault="00766F57" w:rsidP="009B3532">
      <w:pPr>
        <w:ind w:left="851" w:right="901"/>
        <w:rPr>
          <w:rFonts w:cs="Arial"/>
          <w:b/>
          <w:i/>
          <w:szCs w:val="22"/>
        </w:rPr>
      </w:pPr>
      <w:r w:rsidRPr="009B3532">
        <w:rPr>
          <w:rFonts w:cs="Arial"/>
          <w:b/>
          <w:i/>
          <w:szCs w:val="22"/>
        </w:rPr>
        <w:t>…</w:t>
      </w:r>
    </w:p>
    <w:p w14:paraId="129ED0FF" w14:textId="77777777" w:rsidR="00766F57" w:rsidRPr="009B3532" w:rsidRDefault="00766F57" w:rsidP="009B3532">
      <w:pPr>
        <w:ind w:left="851" w:right="901"/>
        <w:rPr>
          <w:rFonts w:cs="Arial"/>
          <w:i/>
          <w:szCs w:val="22"/>
        </w:rPr>
      </w:pPr>
      <w:r w:rsidRPr="009B3532">
        <w:rPr>
          <w:rFonts w:cs="Arial"/>
          <w:b/>
          <w:i/>
          <w:szCs w:val="22"/>
        </w:rPr>
        <w:t>XIX.</w:t>
      </w:r>
      <w:r w:rsidRPr="009B3532">
        <w:rPr>
          <w:rFonts w:cs="Arial"/>
          <w:i/>
          <w:szCs w:val="22"/>
        </w:rPr>
        <w:t xml:space="preserve"> </w:t>
      </w:r>
      <w:r w:rsidRPr="009B3532">
        <w:rPr>
          <w:rFonts w:cs="Arial"/>
          <w:b/>
          <w:i/>
          <w:szCs w:val="22"/>
        </w:rPr>
        <w:t xml:space="preserve">Aprobar anualmente a más tardar el </w:t>
      </w:r>
      <w:r w:rsidRPr="009B3532">
        <w:rPr>
          <w:rFonts w:cs="Arial"/>
          <w:b/>
          <w:i/>
          <w:szCs w:val="22"/>
          <w:u w:val="single"/>
        </w:rPr>
        <w:t>20 de diciembre, su Presupuesto de Egresos, en base a los ingresos presupuestados para el ejercicio que corresponda</w:t>
      </w:r>
      <w:r w:rsidRPr="009B3532">
        <w:rPr>
          <w:rFonts w:cs="Arial"/>
          <w:i/>
          <w:szCs w:val="22"/>
        </w:rPr>
        <w:t>, el cual podrá ser adecuado en función de las implicaciones que deriven de la aprobación de la Ley de Ingresos Municipal que haga la Legislatura, así como por la asignación de las participaciones y aportaciones federales y estatales</w:t>
      </w:r>
    </w:p>
    <w:p w14:paraId="71C49203" w14:textId="77777777" w:rsidR="00766F57" w:rsidRPr="009B3532" w:rsidRDefault="00766F57" w:rsidP="009B3532">
      <w:pPr>
        <w:ind w:left="851" w:right="901"/>
        <w:rPr>
          <w:rFonts w:cs="Arial"/>
          <w:i/>
          <w:szCs w:val="22"/>
        </w:rPr>
      </w:pPr>
      <w:r w:rsidRPr="009B3532">
        <w:rPr>
          <w:rFonts w:cs="Arial"/>
          <w:i/>
          <w:szCs w:val="22"/>
        </w:rPr>
        <w:t>…</w:t>
      </w:r>
    </w:p>
    <w:p w14:paraId="1D2272F4" w14:textId="77777777" w:rsidR="00766F57" w:rsidRPr="009B3532" w:rsidRDefault="00766F57" w:rsidP="009B3532">
      <w:pPr>
        <w:ind w:left="851" w:right="901"/>
        <w:rPr>
          <w:rFonts w:cs="Arial"/>
          <w:i/>
          <w:szCs w:val="22"/>
        </w:rPr>
      </w:pPr>
      <w:r w:rsidRPr="009B3532">
        <w:rPr>
          <w:rFonts w:cs="Arial"/>
          <w:i/>
          <w:szCs w:val="22"/>
        </w:rPr>
        <w:t xml:space="preserve">Artículo 95.- Son </w:t>
      </w:r>
      <w:r w:rsidRPr="009B3532">
        <w:rPr>
          <w:rFonts w:cs="Arial"/>
          <w:b/>
          <w:i/>
          <w:szCs w:val="22"/>
        </w:rPr>
        <w:t>atribuciones del tesorero municipal</w:t>
      </w:r>
      <w:r w:rsidRPr="009B3532">
        <w:rPr>
          <w:rFonts w:cs="Arial"/>
          <w:i/>
          <w:szCs w:val="22"/>
        </w:rPr>
        <w:t>:</w:t>
      </w:r>
    </w:p>
    <w:p w14:paraId="4DA0C9D7" w14:textId="77777777" w:rsidR="00766F57" w:rsidRPr="009B3532" w:rsidRDefault="00766F57" w:rsidP="009B3532">
      <w:pPr>
        <w:ind w:left="851" w:right="901"/>
        <w:rPr>
          <w:rFonts w:cs="Arial"/>
          <w:i/>
          <w:szCs w:val="22"/>
        </w:rPr>
      </w:pPr>
      <w:r w:rsidRPr="009B3532">
        <w:rPr>
          <w:rFonts w:cs="Arial"/>
          <w:i/>
          <w:szCs w:val="22"/>
        </w:rPr>
        <w:t xml:space="preserve">I. </w:t>
      </w:r>
      <w:r w:rsidRPr="009B3532">
        <w:rPr>
          <w:rFonts w:cs="Arial"/>
          <w:b/>
          <w:i/>
          <w:szCs w:val="22"/>
        </w:rPr>
        <w:t>Administrar la hacienda pública municipal</w:t>
      </w:r>
      <w:r w:rsidRPr="009B3532">
        <w:rPr>
          <w:rFonts w:cs="Arial"/>
          <w:i/>
          <w:szCs w:val="22"/>
        </w:rPr>
        <w:t>, de conformidad con las disposiciones legales aplicables;</w:t>
      </w:r>
    </w:p>
    <w:p w14:paraId="2C6C16B9" w14:textId="77777777" w:rsidR="00766F57" w:rsidRPr="009B3532" w:rsidRDefault="00766F57" w:rsidP="009B3532">
      <w:pPr>
        <w:ind w:left="851" w:right="901"/>
        <w:rPr>
          <w:rFonts w:cs="Arial"/>
          <w:i/>
          <w:szCs w:val="22"/>
        </w:rPr>
      </w:pPr>
      <w:r w:rsidRPr="009B3532">
        <w:rPr>
          <w:rFonts w:cs="Arial"/>
          <w:i/>
          <w:szCs w:val="22"/>
        </w:rPr>
        <w:t>…</w:t>
      </w:r>
    </w:p>
    <w:p w14:paraId="49B073F9" w14:textId="77777777" w:rsidR="00766F57" w:rsidRPr="009B3532" w:rsidRDefault="00766F57" w:rsidP="009B3532">
      <w:pPr>
        <w:ind w:left="851" w:right="901"/>
        <w:rPr>
          <w:rFonts w:cs="Arial"/>
          <w:i/>
          <w:szCs w:val="22"/>
        </w:rPr>
      </w:pPr>
      <w:r w:rsidRPr="009B3532">
        <w:rPr>
          <w:rFonts w:cs="Arial"/>
          <w:b/>
          <w:i/>
          <w:szCs w:val="22"/>
        </w:rPr>
        <w:t>IV. Llevar los registros contables, financieros y administrativos de los ingresos, egresos, e inventarios;</w:t>
      </w:r>
    </w:p>
    <w:p w14:paraId="115DFD36" w14:textId="77777777" w:rsidR="00766F57" w:rsidRPr="009B3532" w:rsidRDefault="00766F57" w:rsidP="009B3532">
      <w:pPr>
        <w:ind w:left="851" w:right="901"/>
        <w:rPr>
          <w:rFonts w:cs="Arial"/>
          <w:i/>
          <w:szCs w:val="22"/>
        </w:rPr>
      </w:pPr>
      <w:r w:rsidRPr="009B3532">
        <w:rPr>
          <w:rFonts w:cs="Arial"/>
          <w:i/>
          <w:szCs w:val="22"/>
        </w:rPr>
        <w:t>…”</w:t>
      </w:r>
    </w:p>
    <w:p w14:paraId="5DC7CDB8" w14:textId="77777777" w:rsidR="00766F57" w:rsidRPr="009B3532" w:rsidRDefault="00766F57" w:rsidP="009B3532">
      <w:pPr>
        <w:ind w:left="851" w:right="901"/>
        <w:rPr>
          <w:rFonts w:cs="Arial"/>
          <w:szCs w:val="22"/>
        </w:rPr>
      </w:pPr>
      <w:r w:rsidRPr="009B3532">
        <w:rPr>
          <w:rFonts w:cs="Arial"/>
          <w:szCs w:val="22"/>
        </w:rPr>
        <w:t>(Énfasis añadido).</w:t>
      </w:r>
    </w:p>
    <w:p w14:paraId="552BE229" w14:textId="77777777" w:rsidR="00766F57" w:rsidRPr="009B3532" w:rsidRDefault="00766F57" w:rsidP="009B3532">
      <w:pPr>
        <w:rPr>
          <w:rFonts w:cs="Arial"/>
          <w:szCs w:val="22"/>
        </w:rPr>
      </w:pPr>
    </w:p>
    <w:p w14:paraId="0F902254" w14:textId="77777777" w:rsidR="00766F57" w:rsidRPr="009B3532" w:rsidRDefault="00766F57" w:rsidP="009B3532">
      <w:pPr>
        <w:rPr>
          <w:rFonts w:eastAsia="Calibri"/>
          <w:szCs w:val="22"/>
        </w:rPr>
      </w:pPr>
      <w:r w:rsidRPr="009B3532">
        <w:rPr>
          <w:rFonts w:eastAsia="Calibri"/>
          <w:szCs w:val="22"/>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2781A56B" w14:textId="77777777" w:rsidR="00766F57" w:rsidRPr="009B3532" w:rsidRDefault="00766F57" w:rsidP="009B3532">
      <w:pPr>
        <w:pStyle w:val="Puesto"/>
        <w:spacing w:line="360" w:lineRule="auto"/>
        <w:ind w:left="0" w:right="-28"/>
        <w:rPr>
          <w:rFonts w:eastAsia="Times New Roman" w:cs="Times New Roman"/>
          <w:i w:val="0"/>
          <w:kern w:val="0"/>
          <w:szCs w:val="22"/>
        </w:rPr>
      </w:pPr>
    </w:p>
    <w:p w14:paraId="56D65F13" w14:textId="77777777" w:rsidR="00766F57" w:rsidRPr="009B3532" w:rsidRDefault="00766F57" w:rsidP="009B3532">
      <w:pPr>
        <w:ind w:right="-28"/>
        <w:rPr>
          <w:szCs w:val="22"/>
        </w:rPr>
      </w:pPr>
      <w:r w:rsidRPr="009B3532">
        <w:rPr>
          <w:szCs w:val="22"/>
        </w:rPr>
        <w:t>En otras palabras, no se cumplió con lo que, para tal efecto, dispone el artículo 162 de la Ley de Transparencia y Acceso a la Información Pública del Estado de México y Municipios, que índica:</w:t>
      </w:r>
    </w:p>
    <w:p w14:paraId="790A465F" w14:textId="77777777" w:rsidR="00766F57" w:rsidRPr="009B3532" w:rsidRDefault="00766F57" w:rsidP="009B3532">
      <w:pPr>
        <w:ind w:right="-28"/>
        <w:rPr>
          <w:szCs w:val="22"/>
        </w:rPr>
      </w:pPr>
    </w:p>
    <w:p w14:paraId="1A3AAEFD" w14:textId="77777777" w:rsidR="00766F57" w:rsidRPr="009B3532" w:rsidRDefault="00766F57" w:rsidP="009B3532">
      <w:pPr>
        <w:pStyle w:val="Puesto"/>
        <w:rPr>
          <w:szCs w:val="22"/>
        </w:rPr>
      </w:pPr>
      <w:r w:rsidRPr="009B3532">
        <w:rPr>
          <w:szCs w:val="22"/>
        </w:rPr>
        <w:t>“</w:t>
      </w:r>
      <w:r w:rsidRPr="009B3532">
        <w:rPr>
          <w:b/>
          <w:bCs/>
          <w:szCs w:val="22"/>
        </w:rPr>
        <w:t xml:space="preserve">Artículo </w:t>
      </w:r>
      <w:r w:rsidRPr="009B3532">
        <w:rPr>
          <w:rStyle w:val="PuestoCar"/>
          <w:b/>
          <w:bCs/>
          <w:i/>
          <w:szCs w:val="22"/>
        </w:rPr>
        <w:t>162.</w:t>
      </w:r>
      <w:r w:rsidRPr="009B3532">
        <w:rPr>
          <w:rStyle w:val="PuestoCar"/>
          <w:i/>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r w:rsidRPr="009B3532">
        <w:rPr>
          <w:szCs w:val="22"/>
        </w:rPr>
        <w:t>)</w:t>
      </w:r>
    </w:p>
    <w:p w14:paraId="5DA78B81" w14:textId="77777777" w:rsidR="00766F57" w:rsidRPr="009B3532" w:rsidRDefault="00766F57" w:rsidP="009B3532">
      <w:pPr>
        <w:rPr>
          <w:rFonts w:cs="Tahoma"/>
          <w:bCs/>
          <w:iCs/>
          <w:szCs w:val="22"/>
        </w:rPr>
      </w:pPr>
    </w:p>
    <w:p w14:paraId="668346D7" w14:textId="0C8363A8" w:rsidR="00FD6D80" w:rsidRPr="009B3532" w:rsidRDefault="00FD6D80" w:rsidP="009B3532">
      <w:pPr>
        <w:rPr>
          <w:rFonts w:cs="Arial"/>
          <w:szCs w:val="22"/>
        </w:rPr>
      </w:pPr>
      <w:r w:rsidRPr="009B3532">
        <w:rPr>
          <w:rFonts w:cs="Arial"/>
          <w:szCs w:val="22"/>
        </w:rPr>
        <w:t xml:space="preserve">En ese sentido, en el asunto que nos ocupa es de recordar que en un primer momento </w:t>
      </w:r>
      <w:r w:rsidRPr="009B3532">
        <w:rPr>
          <w:rFonts w:cs="Arial"/>
          <w:b/>
          <w:szCs w:val="22"/>
        </w:rPr>
        <w:t xml:space="preserve">EL SUJETO OBLIGADO </w:t>
      </w:r>
      <w:r w:rsidRPr="009B3532">
        <w:rPr>
          <w:rFonts w:cs="Arial"/>
          <w:szCs w:val="22"/>
        </w:rPr>
        <w:t xml:space="preserve">proporcionó un link en el que puede consultar la información y en un segundo momento manifestó que con base en el </w:t>
      </w:r>
      <w:r w:rsidRPr="009B3532">
        <w:rPr>
          <w:szCs w:val="22"/>
          <w:lang w:val="es-ES"/>
        </w:rPr>
        <w:t>Acuerdo 03/2025 del OSFEM, en los lineamientos que conforman el Manual de Programación y Presupuesto, se establece que la fecha límite para la entrega de los PBRM correspondiente al año en curso será el día 25 de febrero de 2025, los cuales no han sido digitalizados al momento del presente en su totalidad.</w:t>
      </w:r>
    </w:p>
    <w:p w14:paraId="257447FC" w14:textId="77777777" w:rsidR="001579A7" w:rsidRPr="009B3532" w:rsidRDefault="001579A7" w:rsidP="009B3532">
      <w:pPr>
        <w:rPr>
          <w:rFonts w:cs="Arial"/>
          <w:szCs w:val="22"/>
        </w:rPr>
      </w:pPr>
    </w:p>
    <w:p w14:paraId="174E1D45" w14:textId="77777777" w:rsidR="00FD77B1" w:rsidRPr="009B3532" w:rsidRDefault="00FD6D80" w:rsidP="009B3532">
      <w:pPr>
        <w:ind w:right="49"/>
        <w:rPr>
          <w:szCs w:val="22"/>
        </w:rPr>
      </w:pPr>
      <w:r w:rsidRPr="009B3532">
        <w:rPr>
          <w:szCs w:val="22"/>
        </w:rPr>
        <w:t xml:space="preserve">Primero, es importante destacar </w:t>
      </w:r>
      <w:r w:rsidR="00FD77B1" w:rsidRPr="009B3532">
        <w:rPr>
          <w:szCs w:val="22"/>
        </w:rPr>
        <w:t xml:space="preserve">que el documento en donde obra el link indicado, se encuentra en formato pdf lo que origina que el formato esté en un formato cerrado, es decir, implica que el ahora </w:t>
      </w:r>
      <w:r w:rsidR="00FD77B1" w:rsidRPr="009B3532">
        <w:rPr>
          <w:b/>
          <w:szCs w:val="22"/>
        </w:rPr>
        <w:t xml:space="preserve">RECURRENTE </w:t>
      </w:r>
      <w:r w:rsidR="00FD77B1" w:rsidRPr="009B3532">
        <w:rPr>
          <w:szCs w:val="22"/>
        </w:rPr>
        <w:t>a fin de consultar la información, tenga que transcribir dígito por digito el mismo, lo que pudiera generar la existencia de un error humano y hacer imposible su consulta.</w:t>
      </w:r>
    </w:p>
    <w:p w14:paraId="2AC5AB72" w14:textId="77777777" w:rsidR="00FD77B1" w:rsidRPr="009B3532" w:rsidRDefault="00FD77B1" w:rsidP="009B3532">
      <w:pPr>
        <w:ind w:right="49"/>
        <w:rPr>
          <w:szCs w:val="22"/>
        </w:rPr>
      </w:pPr>
    </w:p>
    <w:p w14:paraId="7C4F03E9" w14:textId="77777777" w:rsidR="00FD77B1" w:rsidRPr="009B3532" w:rsidRDefault="00FD77B1" w:rsidP="009B3532">
      <w:pPr>
        <w:ind w:right="49"/>
        <w:rPr>
          <w:szCs w:val="22"/>
        </w:rPr>
      </w:pPr>
      <w:r w:rsidRPr="009B3532">
        <w:rPr>
          <w:szCs w:val="22"/>
        </w:rPr>
        <w:t>Al respecto, cabe puntualizar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7E55F721" w14:textId="77777777" w:rsidR="00FD77B1" w:rsidRPr="009B3532" w:rsidRDefault="00FD77B1" w:rsidP="009B3532">
      <w:pPr>
        <w:rPr>
          <w:szCs w:val="22"/>
        </w:rPr>
      </w:pPr>
      <w:r w:rsidRPr="009B3532">
        <w:rPr>
          <w:szCs w:val="22"/>
        </w:rPr>
        <w:t> </w:t>
      </w:r>
    </w:p>
    <w:p w14:paraId="42F6A5FF" w14:textId="77777777" w:rsidR="00FD77B1" w:rsidRPr="009B3532" w:rsidRDefault="00FD77B1" w:rsidP="009B3532">
      <w:pPr>
        <w:rPr>
          <w:szCs w:val="22"/>
        </w:rPr>
      </w:pPr>
      <w:r w:rsidRPr="009B3532">
        <w:rPr>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0B4B0EF7" w14:textId="77777777" w:rsidR="00FD77B1" w:rsidRPr="009B3532" w:rsidRDefault="00FD77B1" w:rsidP="009B3532">
      <w:pPr>
        <w:rPr>
          <w:szCs w:val="22"/>
        </w:rPr>
      </w:pPr>
      <w:r w:rsidRPr="009B3532">
        <w:rPr>
          <w:szCs w:val="22"/>
        </w:rPr>
        <w:t> </w:t>
      </w:r>
    </w:p>
    <w:p w14:paraId="5989DFB6" w14:textId="77777777" w:rsidR="00FD77B1" w:rsidRPr="009B3532" w:rsidRDefault="00FD77B1" w:rsidP="009B3532">
      <w:pPr>
        <w:rPr>
          <w:b/>
          <w:i/>
          <w:szCs w:val="22"/>
        </w:rPr>
      </w:pPr>
      <w:r w:rsidRPr="009B3532">
        <w:rPr>
          <w:szCs w:val="22"/>
        </w:rPr>
        <w:t>Derivado de lo anterior, se considera necesario precisar que datos abiertos, conforme a la Carta Internacional de Datos Abiertos</w:t>
      </w:r>
      <w:r w:rsidRPr="009B3532">
        <w:rPr>
          <w:szCs w:val="22"/>
          <w:vertAlign w:val="superscript"/>
        </w:rPr>
        <w:footnoteReference w:id="1"/>
      </w:r>
      <w:r w:rsidRPr="009B3532">
        <w:rPr>
          <w:szCs w:val="22"/>
        </w:rPr>
        <w:t xml:space="preserve"> </w:t>
      </w:r>
      <w:r w:rsidRPr="009B3532">
        <w:rPr>
          <w:i/>
          <w:szCs w:val="22"/>
        </w:rPr>
        <w:t xml:space="preserve">son datos digitales que son puestos a disposición con las características técnicas y jurídicas necesarias para que </w:t>
      </w:r>
      <w:r w:rsidRPr="009B3532">
        <w:rPr>
          <w:b/>
          <w:i/>
          <w:szCs w:val="22"/>
        </w:rPr>
        <w:t xml:space="preserve">puedan ser </w:t>
      </w:r>
      <w:r w:rsidRPr="009B3532">
        <w:rPr>
          <w:b/>
          <w:i/>
          <w:szCs w:val="22"/>
          <w:u w:val="single"/>
        </w:rPr>
        <w:t>usados, reutilizados y redistribuidos</w:t>
      </w:r>
      <w:r w:rsidRPr="009B3532">
        <w:rPr>
          <w:b/>
          <w:i/>
          <w:szCs w:val="22"/>
        </w:rPr>
        <w:t xml:space="preserve"> libremente por cualquier persona, en cualquier momento y en cualquier lugar.</w:t>
      </w:r>
    </w:p>
    <w:p w14:paraId="19583BFC" w14:textId="77777777" w:rsidR="00FD77B1" w:rsidRPr="009B3532" w:rsidRDefault="00FD77B1" w:rsidP="009B3532">
      <w:pPr>
        <w:rPr>
          <w:szCs w:val="22"/>
        </w:rPr>
      </w:pPr>
    </w:p>
    <w:p w14:paraId="6901F77B" w14:textId="77777777" w:rsidR="00FD77B1" w:rsidRPr="009B3532" w:rsidRDefault="00FD77B1" w:rsidP="009B3532">
      <w:pPr>
        <w:rPr>
          <w:szCs w:val="22"/>
        </w:rPr>
      </w:pPr>
      <w:r w:rsidRPr="009B3532">
        <w:rPr>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B8007B9" w14:textId="77777777" w:rsidR="00FD77B1" w:rsidRPr="009B3532" w:rsidRDefault="00FD77B1" w:rsidP="009B3532">
      <w:pPr>
        <w:rPr>
          <w:szCs w:val="22"/>
        </w:rPr>
      </w:pPr>
      <w:r w:rsidRPr="009B3532">
        <w:rPr>
          <w:szCs w:val="22"/>
        </w:rPr>
        <w:t> </w:t>
      </w:r>
    </w:p>
    <w:p w14:paraId="49B4F61C" w14:textId="77777777" w:rsidR="00FD77B1" w:rsidRPr="009B3532" w:rsidRDefault="00FD77B1" w:rsidP="009B3532">
      <w:pPr>
        <w:ind w:left="720"/>
        <w:rPr>
          <w:szCs w:val="22"/>
        </w:rPr>
      </w:pPr>
      <w:r w:rsidRPr="009B3532">
        <w:rPr>
          <w:szCs w:val="22"/>
        </w:rPr>
        <w:t xml:space="preserve">·         </w:t>
      </w:r>
      <w:r w:rsidRPr="009B3532">
        <w:rPr>
          <w:b/>
          <w:szCs w:val="22"/>
        </w:rPr>
        <w:t xml:space="preserve">Dato abierto: </w:t>
      </w:r>
      <w:r w:rsidRPr="009B3532">
        <w:rPr>
          <w:szCs w:val="22"/>
        </w:rPr>
        <w:t xml:space="preserve">Datos digitales de carácter público que son accesibles en línea que pueden ser usados, reutilizados y redistribuidos por cualquier persona, mismos que </w:t>
      </w:r>
      <w:r w:rsidRPr="009B3532">
        <w:rPr>
          <w:szCs w:val="22"/>
        </w:rPr>
        <w:lastRenderedPageBreak/>
        <w:t>se conforman de diversas características, entre las cuales se encuentra que se encuentren en formatos abiertos.</w:t>
      </w:r>
    </w:p>
    <w:p w14:paraId="3E5268F6" w14:textId="77777777" w:rsidR="00FD77B1" w:rsidRPr="009B3532" w:rsidRDefault="00FD77B1" w:rsidP="009B3532">
      <w:pPr>
        <w:ind w:left="720"/>
        <w:rPr>
          <w:szCs w:val="22"/>
        </w:rPr>
      </w:pPr>
      <w:r w:rsidRPr="009B3532">
        <w:rPr>
          <w:b/>
          <w:szCs w:val="22"/>
        </w:rPr>
        <w:t> </w:t>
      </w:r>
    </w:p>
    <w:p w14:paraId="7A918892" w14:textId="77777777" w:rsidR="00FD77B1" w:rsidRPr="009B3532" w:rsidRDefault="00FD77B1" w:rsidP="009B3532">
      <w:pPr>
        <w:ind w:left="720"/>
        <w:rPr>
          <w:szCs w:val="22"/>
        </w:rPr>
      </w:pPr>
      <w:r w:rsidRPr="009B3532">
        <w:rPr>
          <w:szCs w:val="22"/>
        </w:rPr>
        <w:t xml:space="preserve">·         </w:t>
      </w:r>
      <w:r w:rsidRPr="009B3532">
        <w:rPr>
          <w:b/>
          <w:szCs w:val="22"/>
        </w:rPr>
        <w:t xml:space="preserve">Formato accesible: </w:t>
      </w:r>
      <w:r w:rsidRPr="009B3532">
        <w:rPr>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C3135C3" w14:textId="77777777" w:rsidR="00FD77B1" w:rsidRPr="009B3532" w:rsidRDefault="00FD77B1" w:rsidP="009B3532">
      <w:pPr>
        <w:rPr>
          <w:szCs w:val="22"/>
        </w:rPr>
      </w:pPr>
    </w:p>
    <w:p w14:paraId="46E842E5" w14:textId="77777777" w:rsidR="00FD77B1" w:rsidRPr="009B3532" w:rsidRDefault="00FD77B1" w:rsidP="009B3532">
      <w:pPr>
        <w:rPr>
          <w:szCs w:val="22"/>
        </w:rPr>
      </w:pPr>
      <w:r w:rsidRPr="009B3532">
        <w:rPr>
          <w:szCs w:val="22"/>
        </w:rPr>
        <w:t xml:space="preserve">Es así que, los datos abiertos cumplen con la finalidad de poder ser utilizados, </w:t>
      </w:r>
      <w:r w:rsidRPr="009B3532">
        <w:rPr>
          <w:b/>
          <w:szCs w:val="22"/>
          <w:u w:val="single"/>
        </w:rPr>
        <w:t xml:space="preserve">reutilizados </w:t>
      </w:r>
      <w:r w:rsidRPr="009B3532">
        <w:rPr>
          <w:szCs w:val="22"/>
        </w:rPr>
        <w:t xml:space="preserve">y redistribuidos; y que el formato de datos abiertos, </w:t>
      </w:r>
      <w:r w:rsidRPr="009B3532">
        <w:rPr>
          <w:b/>
          <w:szCs w:val="22"/>
        </w:rPr>
        <w:t>debe permitir la aplicación y reproducción</w:t>
      </w:r>
      <w:r w:rsidRPr="009B3532">
        <w:rPr>
          <w:szCs w:val="22"/>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575B28DA" w14:textId="77777777" w:rsidR="00FD77B1" w:rsidRPr="009B3532" w:rsidRDefault="00FD77B1" w:rsidP="009B3532">
      <w:pPr>
        <w:rPr>
          <w:szCs w:val="22"/>
        </w:rPr>
      </w:pPr>
    </w:p>
    <w:p w14:paraId="5F3B0EFB" w14:textId="77777777" w:rsidR="00FD77B1" w:rsidRPr="009B3532" w:rsidRDefault="00FD77B1" w:rsidP="009B3532">
      <w:pPr>
        <w:ind w:right="49"/>
        <w:rPr>
          <w:rFonts w:eastAsia="Palatino Linotype" w:cs="Palatino Linotype"/>
          <w:szCs w:val="22"/>
        </w:rPr>
      </w:pPr>
      <w:r w:rsidRPr="009B3532">
        <w:rPr>
          <w:rFonts w:eastAsia="Palatino Linotype" w:cs="Palatino Linotype"/>
          <w:szCs w:val="22"/>
        </w:rPr>
        <w:t>En ese sentido, es importante traer a colación que el artículo 161 de la Ley de Transparencia y Acceso a la Información Pública del Estado de México y Municipios</w:t>
      </w:r>
      <w:r w:rsidRPr="009B3532">
        <w:rPr>
          <w:rFonts w:eastAsia="Palatino Linotype" w:cs="Palatino Linotype"/>
          <w:i/>
          <w:szCs w:val="22"/>
        </w:rPr>
        <w:t xml:space="preserve">, </w:t>
      </w:r>
      <w:r w:rsidRPr="009B3532">
        <w:rPr>
          <w:rFonts w:eastAsia="Palatino Linotype" w:cs="Palatino Linotype"/>
          <w:szCs w:val="22"/>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9B3532">
        <w:rPr>
          <w:rFonts w:eastAsia="Palatino Linotype" w:cs="Palatino Linotype"/>
          <w:b/>
          <w:szCs w:val="22"/>
          <w:u w:val="single"/>
        </w:rPr>
        <w:t>en un plazo no mayor a cinco días hábiles</w:t>
      </w:r>
      <w:r w:rsidRPr="009B3532">
        <w:rPr>
          <w:rFonts w:eastAsia="Palatino Linotype" w:cs="Palatino Linotype"/>
          <w:szCs w:val="22"/>
        </w:rPr>
        <w:t xml:space="preserve">, comprendiendo: </w:t>
      </w:r>
    </w:p>
    <w:p w14:paraId="77BAA093" w14:textId="77777777" w:rsidR="00FD77B1" w:rsidRPr="009B3532" w:rsidRDefault="00FD77B1" w:rsidP="009B3532">
      <w:pPr>
        <w:ind w:right="49"/>
        <w:rPr>
          <w:rFonts w:eastAsia="Palatino Linotype" w:cs="Palatino Linotype"/>
          <w:szCs w:val="22"/>
        </w:rPr>
      </w:pPr>
    </w:p>
    <w:p w14:paraId="4DAF2F19" w14:textId="77777777" w:rsidR="00FD77B1" w:rsidRPr="009B3532" w:rsidRDefault="00FD77B1" w:rsidP="009B3532">
      <w:pPr>
        <w:ind w:left="284" w:right="49"/>
        <w:rPr>
          <w:rFonts w:eastAsia="Palatino Linotype" w:cs="Palatino Linotype"/>
          <w:szCs w:val="22"/>
        </w:rPr>
      </w:pPr>
      <w:r w:rsidRPr="009B3532">
        <w:rPr>
          <w:rFonts w:eastAsia="Palatino Linotype" w:cs="Palatino Linotype"/>
          <w:szCs w:val="22"/>
        </w:rPr>
        <w:lastRenderedPageBreak/>
        <w:t>a) La fuente</w:t>
      </w:r>
    </w:p>
    <w:p w14:paraId="54AEAA1F" w14:textId="77777777" w:rsidR="00FD77B1" w:rsidRPr="009B3532" w:rsidRDefault="00FD77B1" w:rsidP="009B3532">
      <w:pPr>
        <w:ind w:left="284" w:right="49"/>
        <w:rPr>
          <w:rFonts w:eastAsia="Palatino Linotype" w:cs="Palatino Linotype"/>
          <w:szCs w:val="22"/>
        </w:rPr>
      </w:pPr>
      <w:r w:rsidRPr="009B3532">
        <w:rPr>
          <w:rFonts w:eastAsia="Palatino Linotype" w:cs="Palatino Linotype"/>
          <w:szCs w:val="22"/>
        </w:rPr>
        <w:t>b) El lugar y</w:t>
      </w:r>
    </w:p>
    <w:p w14:paraId="4BC15182" w14:textId="77777777" w:rsidR="00FD77B1" w:rsidRPr="009B3532" w:rsidRDefault="00FD77B1" w:rsidP="009B3532">
      <w:pPr>
        <w:ind w:left="284" w:right="49"/>
        <w:rPr>
          <w:rFonts w:eastAsia="Palatino Linotype" w:cs="Palatino Linotype"/>
          <w:szCs w:val="22"/>
        </w:rPr>
      </w:pPr>
      <w:r w:rsidRPr="009B3532">
        <w:rPr>
          <w:rFonts w:eastAsia="Palatino Linotype" w:cs="Palatino Linotype"/>
          <w:szCs w:val="22"/>
        </w:rPr>
        <w:t>c) La forma</w:t>
      </w:r>
    </w:p>
    <w:p w14:paraId="5260D7CB" w14:textId="77777777" w:rsidR="00FD77B1" w:rsidRPr="009B3532" w:rsidRDefault="00FD77B1" w:rsidP="009B3532">
      <w:pPr>
        <w:ind w:left="284" w:right="49"/>
        <w:rPr>
          <w:rFonts w:eastAsia="Palatino Linotype" w:cs="Palatino Linotype"/>
          <w:szCs w:val="22"/>
        </w:rPr>
      </w:pPr>
    </w:p>
    <w:p w14:paraId="68437257" w14:textId="77777777" w:rsidR="00FD77B1" w:rsidRPr="009B3532" w:rsidRDefault="00FD77B1" w:rsidP="009B3532">
      <w:pPr>
        <w:ind w:right="49"/>
        <w:rPr>
          <w:rFonts w:eastAsia="Palatino Linotype" w:cs="Palatino Linotype"/>
          <w:szCs w:val="22"/>
        </w:rPr>
      </w:pPr>
      <w:r w:rsidRPr="009B3532">
        <w:rPr>
          <w:rFonts w:eastAsia="Palatino Linotype" w:cs="Palatino Linotype"/>
          <w:szCs w:val="22"/>
        </w:rPr>
        <w:t>Asimismo, se establece que la fuente de la información deberá ser:</w:t>
      </w:r>
    </w:p>
    <w:p w14:paraId="7E866D83" w14:textId="77777777" w:rsidR="00FD77B1" w:rsidRPr="009B3532" w:rsidRDefault="00FD77B1" w:rsidP="009B3532">
      <w:pPr>
        <w:ind w:right="49"/>
        <w:rPr>
          <w:rFonts w:eastAsia="Palatino Linotype" w:cs="Palatino Linotype"/>
          <w:szCs w:val="22"/>
        </w:rPr>
      </w:pPr>
    </w:p>
    <w:p w14:paraId="062428BD" w14:textId="77777777" w:rsidR="00FD77B1" w:rsidRPr="009B3532" w:rsidRDefault="00FD77B1" w:rsidP="009B3532">
      <w:pPr>
        <w:ind w:left="284" w:right="49"/>
        <w:rPr>
          <w:rFonts w:eastAsia="Palatino Linotype" w:cs="Palatino Linotype"/>
          <w:szCs w:val="22"/>
        </w:rPr>
      </w:pPr>
      <w:r w:rsidRPr="009B3532">
        <w:rPr>
          <w:rFonts w:eastAsia="Palatino Linotype" w:cs="Palatino Linotype"/>
          <w:szCs w:val="22"/>
        </w:rPr>
        <w:t>a) Precisa</w:t>
      </w:r>
    </w:p>
    <w:p w14:paraId="343B8EBD" w14:textId="77777777" w:rsidR="00FD77B1" w:rsidRPr="009B3532" w:rsidRDefault="00FD77B1" w:rsidP="009B3532">
      <w:pPr>
        <w:ind w:left="284" w:right="49"/>
        <w:rPr>
          <w:rFonts w:eastAsia="Palatino Linotype" w:cs="Palatino Linotype"/>
          <w:szCs w:val="22"/>
        </w:rPr>
      </w:pPr>
      <w:r w:rsidRPr="009B3532">
        <w:rPr>
          <w:rFonts w:eastAsia="Palatino Linotype" w:cs="Palatino Linotype"/>
          <w:szCs w:val="22"/>
        </w:rPr>
        <w:t>b) Concreta</w:t>
      </w:r>
    </w:p>
    <w:p w14:paraId="6BDFA55A" w14:textId="77777777" w:rsidR="00FD77B1" w:rsidRPr="009B3532" w:rsidRDefault="00FD77B1" w:rsidP="009B3532">
      <w:pPr>
        <w:ind w:left="284" w:right="560"/>
        <w:rPr>
          <w:rFonts w:eastAsia="Palatino Linotype" w:cs="Palatino Linotype"/>
          <w:b/>
          <w:szCs w:val="22"/>
          <w:u w:val="single"/>
        </w:rPr>
      </w:pPr>
      <w:r w:rsidRPr="009B3532">
        <w:rPr>
          <w:rFonts w:eastAsia="Palatino Linotype" w:cs="Palatino Linotype"/>
          <w:b/>
          <w:szCs w:val="22"/>
          <w:u w:val="single"/>
        </w:rPr>
        <w:t>c) Y no debe implicar que el solicitante realice una búsqueda en toda la información que se encuentre disponible.</w:t>
      </w:r>
    </w:p>
    <w:p w14:paraId="7DD74C7A" w14:textId="77777777" w:rsidR="00FD77B1" w:rsidRPr="009B3532" w:rsidRDefault="00FD77B1" w:rsidP="009B3532">
      <w:pPr>
        <w:ind w:left="284" w:right="51"/>
        <w:rPr>
          <w:rFonts w:eastAsia="Palatino Linotype" w:cs="Palatino Linotype"/>
          <w:szCs w:val="22"/>
        </w:rPr>
      </w:pPr>
    </w:p>
    <w:p w14:paraId="479DDBFB" w14:textId="77777777" w:rsidR="00FD77B1" w:rsidRPr="009B3532" w:rsidRDefault="00FD77B1" w:rsidP="009B3532">
      <w:pPr>
        <w:ind w:right="51"/>
        <w:rPr>
          <w:rFonts w:eastAsia="Palatino Linotype" w:cs="Palatino Linotype"/>
          <w:szCs w:val="22"/>
        </w:rPr>
      </w:pPr>
      <w:r w:rsidRPr="009B3532">
        <w:rPr>
          <w:rFonts w:eastAsia="Palatino Linotype" w:cs="Palatino Linotype"/>
          <w:szCs w:val="22"/>
        </w:rPr>
        <w:t>Imperativos legales que detallan el procedimiento que debe seguir el Sujeto Obligado para que pueda tomarse como válida su orientación sobre la forma en que puede consultar la información requerida.</w:t>
      </w:r>
    </w:p>
    <w:p w14:paraId="0E0D092C" w14:textId="77777777" w:rsidR="00FD77B1" w:rsidRPr="009B3532" w:rsidRDefault="00FD77B1" w:rsidP="009B3532">
      <w:pPr>
        <w:rPr>
          <w:szCs w:val="22"/>
        </w:rPr>
      </w:pPr>
    </w:p>
    <w:p w14:paraId="2525A06C" w14:textId="2F21ABEA" w:rsidR="00FD77B1" w:rsidRPr="009B3532" w:rsidRDefault="00FD77B1" w:rsidP="009B3532">
      <w:pPr>
        <w:rPr>
          <w:szCs w:val="22"/>
        </w:rPr>
      </w:pPr>
      <w:r w:rsidRPr="009B3532">
        <w:rPr>
          <w:szCs w:val="22"/>
        </w:rPr>
        <w:t xml:space="preserve">Teniendo que en los asuntos que se analizan </w:t>
      </w:r>
      <w:r w:rsidRPr="009B3532">
        <w:rPr>
          <w:b/>
          <w:szCs w:val="22"/>
        </w:rPr>
        <w:t xml:space="preserve">EL SUJETO OBLIGADO </w:t>
      </w:r>
      <w:r w:rsidRPr="009B3532">
        <w:rPr>
          <w:szCs w:val="22"/>
        </w:rPr>
        <w:t xml:space="preserve">conforme a las constancias del SAIMEX señaló la ubicación electrónica posterior a los cinco días que la Ley de la materia establece, esto es, si la solicitud de información se presentó el </w:t>
      </w:r>
      <w:r w:rsidRPr="009B3532">
        <w:rPr>
          <w:b/>
          <w:szCs w:val="22"/>
        </w:rPr>
        <w:t xml:space="preserve">13 de enero de 2025, </w:t>
      </w:r>
      <w:r w:rsidRPr="009B3532">
        <w:rPr>
          <w:szCs w:val="22"/>
        </w:rPr>
        <w:t>y la respuesta se le otorgó el</w:t>
      </w:r>
      <w:r w:rsidRPr="009B3532">
        <w:rPr>
          <w:b/>
          <w:szCs w:val="22"/>
        </w:rPr>
        <w:t xml:space="preserve"> 06 de febrero de 2025</w:t>
      </w:r>
      <w:r w:rsidRPr="009B3532">
        <w:rPr>
          <w:szCs w:val="22"/>
        </w:rPr>
        <w:t>; excediendo así los días otorgados para la entrega de ligas electrónicas; por lo que no se dio cumplimiento al ordenamiento referido.</w:t>
      </w:r>
    </w:p>
    <w:p w14:paraId="0B4D2169" w14:textId="1B7B7FB4" w:rsidR="000729B9" w:rsidRPr="009B3532" w:rsidRDefault="000729B9" w:rsidP="009B3532">
      <w:pPr>
        <w:pStyle w:val="Prrafodelista"/>
        <w:widowControl w:val="0"/>
        <w:autoSpaceDE w:val="0"/>
        <w:autoSpaceDN w:val="0"/>
        <w:adjustRightInd w:val="0"/>
        <w:ind w:left="0"/>
        <w:rPr>
          <w:szCs w:val="22"/>
        </w:rPr>
      </w:pPr>
    </w:p>
    <w:p w14:paraId="19B0798B" w14:textId="3470D5D7" w:rsidR="00FD6D80" w:rsidRPr="009B3532" w:rsidRDefault="000729B9" w:rsidP="009B3532">
      <w:pPr>
        <w:pStyle w:val="Prrafodelista"/>
        <w:widowControl w:val="0"/>
        <w:autoSpaceDE w:val="0"/>
        <w:autoSpaceDN w:val="0"/>
        <w:adjustRightInd w:val="0"/>
        <w:ind w:left="0"/>
        <w:rPr>
          <w:rFonts w:cs="Tahoma"/>
          <w:iCs/>
          <w:szCs w:val="22"/>
        </w:rPr>
      </w:pPr>
      <w:r w:rsidRPr="009B3532">
        <w:rPr>
          <w:szCs w:val="22"/>
        </w:rPr>
        <w:t xml:space="preserve">Por otro lado es de mencionar </w:t>
      </w:r>
      <w:r w:rsidR="00FD6D80" w:rsidRPr="009B3532">
        <w:rPr>
          <w:szCs w:val="22"/>
        </w:rPr>
        <w:t xml:space="preserve">que </w:t>
      </w:r>
      <w:r w:rsidR="00FD6D80" w:rsidRPr="009B3532">
        <w:rPr>
          <w:szCs w:val="22"/>
          <w:lang w:val="es-ES"/>
        </w:rPr>
        <w:t xml:space="preserve">el </w:t>
      </w:r>
      <w:r w:rsidR="00FD6D80" w:rsidRPr="009B3532">
        <w:rPr>
          <w:rFonts w:eastAsia="Calibri" w:cs="Tahoma"/>
          <w:bCs/>
          <w:szCs w:val="22"/>
        </w:rPr>
        <w:t xml:space="preserve">párrafo tercero del artículo 285, del Código Financiero del Estado de México y Municipios, precisa que el Ayuntamiento es el encargado de aprobar el Presupuesto de Egresos del Municipio, y como se apuntó en las líneas que preceden esté debe de ser a más tardar el </w:t>
      </w:r>
      <w:r w:rsidR="00FD6D80" w:rsidRPr="009B3532">
        <w:rPr>
          <w:rFonts w:cs="Arial"/>
          <w:b/>
          <w:i/>
          <w:szCs w:val="22"/>
          <w:u w:val="single"/>
        </w:rPr>
        <w:t xml:space="preserve">20 de diciembre, su Presupuesto de Egresos, en base a los ingresos </w:t>
      </w:r>
      <w:r w:rsidR="00FD6D80" w:rsidRPr="009B3532">
        <w:rPr>
          <w:rFonts w:cs="Arial"/>
          <w:b/>
          <w:i/>
          <w:szCs w:val="22"/>
          <w:u w:val="single"/>
        </w:rPr>
        <w:lastRenderedPageBreak/>
        <w:t>presupuestados para el ejercicio que corresponda</w:t>
      </w:r>
      <w:r w:rsidR="00FD6D80" w:rsidRPr="009B3532">
        <w:rPr>
          <w:rFonts w:eastAsia="Calibri" w:cs="Tahoma"/>
          <w:bCs/>
          <w:szCs w:val="22"/>
        </w:rPr>
        <w:t xml:space="preserve">. </w:t>
      </w:r>
    </w:p>
    <w:p w14:paraId="22339BD8" w14:textId="77777777" w:rsidR="00FD6D80" w:rsidRPr="009B3532" w:rsidRDefault="00FD6D80" w:rsidP="009B3532">
      <w:pPr>
        <w:ind w:right="-93"/>
        <w:rPr>
          <w:rFonts w:eastAsia="Calibri" w:cs="Tahoma"/>
          <w:bCs/>
          <w:szCs w:val="22"/>
        </w:rPr>
      </w:pPr>
    </w:p>
    <w:p w14:paraId="30EE78D9" w14:textId="77777777" w:rsidR="00FD6D80" w:rsidRPr="009B3532" w:rsidRDefault="00FD6D80" w:rsidP="009B3532">
      <w:pPr>
        <w:ind w:right="-93"/>
        <w:rPr>
          <w:rFonts w:eastAsia="Calibri" w:cs="Tahoma"/>
          <w:bCs/>
          <w:szCs w:val="22"/>
        </w:rPr>
      </w:pPr>
      <w:r w:rsidRPr="009B3532">
        <w:rPr>
          <w:rFonts w:eastAsia="Calibri" w:cs="Tahoma"/>
          <w:bCs/>
          <w:szCs w:val="22"/>
        </w:rPr>
        <w:t>En el mismo sentido, el artículo 31, fracción XIX, de la Ley Orgánica Municipal del Estado de México, establece que los Ayuntamientos serán los encargados de aprobar anualmente, el Presupuesto de Egresos, en base a los ingresos presupuestados para el ejercicio de corresponda.</w:t>
      </w:r>
    </w:p>
    <w:p w14:paraId="479EEC55" w14:textId="77777777" w:rsidR="00FD6D80" w:rsidRPr="009B3532" w:rsidRDefault="00FD6D80" w:rsidP="009B3532">
      <w:pPr>
        <w:ind w:right="-93"/>
        <w:rPr>
          <w:szCs w:val="22"/>
          <w:lang w:val="es-ES"/>
        </w:rPr>
      </w:pPr>
    </w:p>
    <w:p w14:paraId="36DD4801" w14:textId="77777777" w:rsidR="00FD6D80" w:rsidRPr="009B3532" w:rsidRDefault="00FD6D80" w:rsidP="009B3532">
      <w:pPr>
        <w:ind w:right="-93"/>
        <w:rPr>
          <w:rFonts w:eastAsia="Calibri" w:cs="Tahoma"/>
          <w:b/>
          <w:bCs/>
          <w:szCs w:val="22"/>
        </w:rPr>
      </w:pPr>
      <w:r w:rsidRPr="009B3532">
        <w:rPr>
          <w:szCs w:val="22"/>
          <w:lang w:val="es-ES"/>
        </w:rPr>
        <w:t xml:space="preserve">Además, </w:t>
      </w:r>
      <w:r w:rsidRPr="009B3532">
        <w:rPr>
          <w:rFonts w:eastAsia="Calibri" w:cs="Tahoma"/>
          <w:bCs/>
          <w:szCs w:val="22"/>
        </w:rPr>
        <w:t>los diversos 100 y 101, fracción II, de dicho ordenamiento jurídico, prevén que el Presupuesto de Egresos, deberá contener las previsiones de gasto público y se conformará, entre otras cosas, por los programas en que se señalen objetivos, metas y unidades responsables para su ejecución, así como la valuación estimada del programa.</w:t>
      </w:r>
    </w:p>
    <w:p w14:paraId="62202102" w14:textId="77777777" w:rsidR="00FD6D80" w:rsidRPr="009B3532" w:rsidRDefault="00FD6D80" w:rsidP="009B3532">
      <w:pPr>
        <w:rPr>
          <w:szCs w:val="22"/>
        </w:rPr>
      </w:pPr>
    </w:p>
    <w:p w14:paraId="059F30FB" w14:textId="77777777" w:rsidR="00FD6D80" w:rsidRPr="009B3532" w:rsidRDefault="00FD6D80" w:rsidP="009B3532">
      <w:pPr>
        <w:rPr>
          <w:rFonts w:cs="Tahoma"/>
          <w:bCs/>
          <w:iCs/>
          <w:szCs w:val="22"/>
        </w:rPr>
      </w:pPr>
      <w:r w:rsidRPr="009B3532">
        <w:rPr>
          <w:rFonts w:cs="Tahoma"/>
          <w:bCs/>
          <w:iCs/>
          <w:szCs w:val="22"/>
        </w:rPr>
        <w:t>En tal sentido, el Manual para la Planeación, Programación y Presupuesto de Egresos Municipal para el Ejercicio Fiscal, vigente, establece que para las administraciones municipales, el Presupuesto basado en Resultados (PbR),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por lo que, apoya a la asignación objetiva de los recursos públicos para fortalecer las políticas, programas y proyectos para el desempeño gubernamental.</w:t>
      </w:r>
    </w:p>
    <w:p w14:paraId="4726CC33" w14:textId="77777777" w:rsidR="00FD6D80" w:rsidRPr="009B3532" w:rsidRDefault="00FD6D80" w:rsidP="009B3532">
      <w:pPr>
        <w:rPr>
          <w:rFonts w:cs="Tahoma"/>
          <w:bCs/>
          <w:iCs/>
          <w:szCs w:val="22"/>
        </w:rPr>
      </w:pPr>
      <w:r w:rsidRPr="009B3532">
        <w:rPr>
          <w:rFonts w:cs="Tahoma"/>
          <w:bCs/>
          <w:iCs/>
          <w:szCs w:val="22"/>
        </w:rPr>
        <w:t> </w:t>
      </w:r>
    </w:p>
    <w:p w14:paraId="36749127" w14:textId="77777777" w:rsidR="00FD6D80" w:rsidRPr="009B3532" w:rsidRDefault="00FD6D80" w:rsidP="009B3532">
      <w:pPr>
        <w:rPr>
          <w:rFonts w:cs="Tahoma"/>
          <w:bCs/>
          <w:iCs/>
          <w:szCs w:val="22"/>
        </w:rPr>
      </w:pPr>
      <w:r w:rsidRPr="009B3532">
        <w:rPr>
          <w:rFonts w:cs="Tahoma"/>
          <w:bCs/>
          <w:iCs/>
          <w:szCs w:val="22"/>
        </w:rPr>
        <w:t>Dicho documento contempla que para asegurar la integración del anteproyecto-proyecto de presupuesto, en cumplimiento a lo que establece el artículo 134 de la Constitución Política de los Estados Unidos Mexicanos, se deberá trabajar haciendo uso del método de PbR, que identifique los logros o resultados del actuar de la administración municipal, mismo que está dado por su concepción en la aplicación de los recursos en los logros previstos.</w:t>
      </w:r>
    </w:p>
    <w:p w14:paraId="30F149BB" w14:textId="77777777" w:rsidR="00FD6D80" w:rsidRPr="009B3532" w:rsidRDefault="00FD6D80" w:rsidP="009B3532">
      <w:pPr>
        <w:rPr>
          <w:rFonts w:cs="Tahoma"/>
          <w:bCs/>
          <w:iCs/>
          <w:szCs w:val="22"/>
        </w:rPr>
      </w:pPr>
    </w:p>
    <w:p w14:paraId="33A64621" w14:textId="77777777" w:rsidR="00FD6D80" w:rsidRPr="009B3532" w:rsidRDefault="00FD6D80" w:rsidP="009B3532">
      <w:pPr>
        <w:rPr>
          <w:rFonts w:cs="Tahoma"/>
          <w:bCs/>
          <w:iCs/>
          <w:szCs w:val="22"/>
        </w:rPr>
      </w:pPr>
      <w:r w:rsidRPr="009B3532">
        <w:rPr>
          <w:rFonts w:cs="Tahoma"/>
          <w:bCs/>
          <w:iCs/>
          <w:szCs w:val="22"/>
        </w:rPr>
        <w:t>En ese orden de ideas, el Manual para la Planeación, Programación y Presupuesto de Egresos Municipal 2024</w:t>
      </w:r>
      <w:r w:rsidRPr="009B3532">
        <w:rPr>
          <w:rStyle w:val="Refdenotaalpie"/>
          <w:rFonts w:cs="Tahoma"/>
          <w:bCs/>
          <w:iCs/>
          <w:szCs w:val="22"/>
        </w:rPr>
        <w:footnoteReference w:id="2"/>
      </w:r>
      <w:r w:rsidRPr="009B3532">
        <w:rPr>
          <w:rFonts w:cs="Tahoma"/>
          <w:bCs/>
          <w:iCs/>
          <w:szCs w:val="22"/>
        </w:rPr>
        <w:t>, establece en su apartado 3.2.1. Lineamientos para la integración del Programa Anual, precisan que el </w:t>
      </w:r>
      <w:r w:rsidRPr="009B3532">
        <w:rPr>
          <w:rFonts w:cs="Tahoma"/>
          <w:b/>
          <w:bCs/>
          <w:iCs/>
          <w:szCs w:val="22"/>
        </w:rPr>
        <w:t>Programa Operativo Anual,</w:t>
      </w:r>
      <w:r w:rsidRPr="009B3532">
        <w:rPr>
          <w:rFonts w:cs="Tahoma"/>
          <w:bCs/>
          <w:iCs/>
          <w:szCs w:val="22"/>
        </w:rPr>
        <w:t> constituye un componente del Presupuesto basado en Resultados, en el cual, </w:t>
      </w:r>
      <w:r w:rsidRPr="009B3532">
        <w:rPr>
          <w:rFonts w:cs="Tahoma"/>
          <w:b/>
          <w:bCs/>
          <w:iCs/>
          <w:szCs w:val="22"/>
        </w:rPr>
        <w:t>se plasman los objetivos, estrategias, metas de actividad, indicadores y proyectos, </w:t>
      </w:r>
      <w:r w:rsidRPr="009B3532">
        <w:rPr>
          <w:rFonts w:cs="Tahoma"/>
          <w:bCs/>
          <w:iCs/>
          <w:szCs w:val="22"/>
        </w:rPr>
        <w:t>de acuerdo a las prioridades del Plan de Desarrollo Municipal y demandas ciudadanas, para ser traducidas en resultados concretos a </w:t>
      </w:r>
      <w:r w:rsidRPr="009B3532">
        <w:rPr>
          <w:rFonts w:cs="Tahoma"/>
          <w:b/>
          <w:bCs/>
          <w:iCs/>
          <w:szCs w:val="22"/>
        </w:rPr>
        <w:t>visualizarse en el período presupuestal determinado, </w:t>
      </w:r>
      <w:r w:rsidRPr="009B3532">
        <w:rPr>
          <w:rFonts w:cs="Tahoma"/>
          <w:bCs/>
          <w:iCs/>
          <w:szCs w:val="22"/>
        </w:rPr>
        <w:t>lo cual permite conocer con certeza lo que se va hacer con el presupuesto, que se busca lograr, así como, en que tiempo y la forma en que se realizará. Además, establece que el Presupuesto es la estimación financiera anticipada de los ingresos y egresos del gobierno, necesarios para cumplir con los objetivos establecidos. </w:t>
      </w:r>
      <w:r w:rsidRPr="009B3532">
        <w:rPr>
          <w:rFonts w:cs="Tahoma"/>
          <w:bCs/>
          <w:iCs/>
          <w:szCs w:val="22"/>
          <w:lang w:val="es-ES"/>
        </w:rPr>
        <w:t>Además, </w:t>
      </w:r>
      <w:r w:rsidRPr="009B3532">
        <w:rPr>
          <w:rFonts w:cs="Tahoma"/>
          <w:bCs/>
          <w:iCs/>
          <w:szCs w:val="22"/>
        </w:rPr>
        <w:t>de dicho Manual establece que el Presupuesto de Egresos, contendrá los egresos e ingresos, conformados, entre otros, el siguiente:</w:t>
      </w:r>
    </w:p>
    <w:p w14:paraId="0CDD2680" w14:textId="77777777" w:rsidR="00FD6D80" w:rsidRPr="009B3532" w:rsidRDefault="00FD6D80" w:rsidP="009B3532">
      <w:pPr>
        <w:rPr>
          <w:rFonts w:cs="Tahoma"/>
          <w:bCs/>
          <w:iCs/>
          <w:szCs w:val="22"/>
        </w:rPr>
      </w:pPr>
      <w:r w:rsidRPr="009B3532">
        <w:rPr>
          <w:rFonts w:cs="Tahoma"/>
          <w:bCs/>
          <w:iCs/>
          <w:szCs w:val="22"/>
          <w:lang w:val="es-ES"/>
        </w:rPr>
        <w:t>  </w:t>
      </w:r>
    </w:p>
    <w:p w14:paraId="1B1AAD0E" w14:textId="77777777" w:rsidR="00FD6D80" w:rsidRPr="009B3532" w:rsidRDefault="00FD6D80" w:rsidP="009B3532">
      <w:pPr>
        <w:pStyle w:val="Prrafodelista"/>
        <w:numPr>
          <w:ilvl w:val="0"/>
          <w:numId w:val="40"/>
        </w:numPr>
        <w:rPr>
          <w:rFonts w:cs="Tahoma"/>
          <w:bCs/>
          <w:iCs/>
          <w:szCs w:val="22"/>
        </w:rPr>
      </w:pPr>
      <w:r w:rsidRPr="009B3532">
        <w:rPr>
          <w:rFonts w:cs="Tahoma"/>
          <w:b/>
          <w:bCs/>
          <w:iCs/>
          <w:szCs w:val="22"/>
        </w:rPr>
        <w:t>PbRM-04a Presupuesto de Egresos Detallado: </w:t>
      </w:r>
      <w:r w:rsidRPr="009B3532">
        <w:rPr>
          <w:rFonts w:cs="Tahoma"/>
          <w:bCs/>
          <w:iCs/>
          <w:szCs w:val="22"/>
        </w:rPr>
        <w:t>Que registra los proyectos por partida de gasto, identificando los montos por Partida Específica, Partida Genérica, Concepto y Capítulo del Gasto, de cada proyecto a nivel de Dependencia General y Auxiliar.</w:t>
      </w:r>
    </w:p>
    <w:p w14:paraId="696DC089" w14:textId="77777777" w:rsidR="00FD6D80" w:rsidRPr="009B3532" w:rsidRDefault="00FD6D80" w:rsidP="009B3532">
      <w:pPr>
        <w:rPr>
          <w:rFonts w:cs="Tahoma"/>
          <w:bCs/>
          <w:iCs/>
          <w:szCs w:val="22"/>
        </w:rPr>
      </w:pPr>
    </w:p>
    <w:p w14:paraId="3280286E" w14:textId="77777777" w:rsidR="00FD6D80" w:rsidRPr="009B3532" w:rsidRDefault="00FD6D80" w:rsidP="009B3532">
      <w:pPr>
        <w:rPr>
          <w:rFonts w:cs="Tahoma"/>
          <w:iCs/>
          <w:szCs w:val="22"/>
        </w:rPr>
      </w:pPr>
      <w:r w:rsidRPr="009B3532">
        <w:rPr>
          <w:rFonts w:cs="Tahoma"/>
          <w:bCs/>
          <w:iCs/>
          <w:szCs w:val="22"/>
        </w:rPr>
        <w:t>Conforme a lo anterior, se logra vislumbrar que el documento que da cuenta de lo peticionado es el </w:t>
      </w:r>
      <w:r w:rsidRPr="009B3532">
        <w:rPr>
          <w:rFonts w:cs="Tahoma"/>
          <w:iCs/>
          <w:szCs w:val="22"/>
        </w:rPr>
        <w:t>PbRM-04a Presupuesto de Egresos Detallado, al contener el nivel de desglose solicitado, es decir, por capítulos, conceptos y partidas genéricas y específicas.</w:t>
      </w:r>
    </w:p>
    <w:p w14:paraId="799BC392" w14:textId="77777777" w:rsidR="00FD6D80" w:rsidRPr="009B3532" w:rsidRDefault="00FD6D80" w:rsidP="009B3532">
      <w:pPr>
        <w:rPr>
          <w:rFonts w:cs="Arial"/>
          <w:szCs w:val="22"/>
        </w:rPr>
      </w:pPr>
    </w:p>
    <w:p w14:paraId="67AAC068" w14:textId="77777777" w:rsidR="00FD6D80" w:rsidRPr="009B3532" w:rsidRDefault="00FD6D80" w:rsidP="009B3532">
      <w:pPr>
        <w:rPr>
          <w:rFonts w:cs="Tahoma"/>
          <w:iCs/>
          <w:szCs w:val="22"/>
        </w:rPr>
      </w:pPr>
      <w:r w:rsidRPr="009B3532">
        <w:rPr>
          <w:rFonts w:cs="Arial"/>
          <w:szCs w:val="22"/>
        </w:rPr>
        <w:t xml:space="preserve">Por su parte, el </w:t>
      </w:r>
      <w:r w:rsidRPr="009B3532">
        <w:rPr>
          <w:rFonts w:cs="Tahoma"/>
          <w:iCs/>
          <w:szCs w:val="22"/>
        </w:rPr>
        <w:t xml:space="preserve">ACUERDO 3/2025 POR EL QUE SE EMITEN LOS LINEAMIENTOS PARA LA INTEGRACIÓN, ENVÍO Y RECEPCIÓN ELECTRÓNICA DEL PAQUETE </w:t>
      </w:r>
      <w:r w:rsidRPr="009B3532">
        <w:rPr>
          <w:rFonts w:cs="Tahoma"/>
          <w:iCs/>
          <w:szCs w:val="22"/>
        </w:rPr>
        <w:lastRenderedPageBreak/>
        <w:t>PRESUPUESTAL MUNICIPAL 2025</w:t>
      </w:r>
      <w:r w:rsidRPr="009B3532">
        <w:rPr>
          <w:rStyle w:val="Refdenotaalpie"/>
          <w:rFonts w:cs="Tahoma"/>
          <w:iCs/>
          <w:szCs w:val="22"/>
        </w:rPr>
        <w:footnoteReference w:id="3"/>
      </w:r>
      <w:r w:rsidRPr="009B3532">
        <w:rPr>
          <w:rFonts w:cs="Tahoma"/>
          <w:iCs/>
          <w:szCs w:val="22"/>
        </w:rPr>
        <w:t xml:space="preserve"> precisa que, para el cumplimiento de dicha obligación debe ser promulgado, y publicado en la Gaceta Municipal y enviado al OSFEM a través del componente respectivo de Plataforma Digital, a más tardar el 25 de febrero de cada año, como se observa de su contenido:</w:t>
      </w:r>
    </w:p>
    <w:p w14:paraId="1CA4461A" w14:textId="77777777" w:rsidR="00FD6D80" w:rsidRPr="009B3532" w:rsidRDefault="00FD6D80" w:rsidP="009B3532">
      <w:pPr>
        <w:rPr>
          <w:rFonts w:cs="Tahoma"/>
          <w:iCs/>
          <w:szCs w:val="22"/>
        </w:rPr>
      </w:pPr>
    </w:p>
    <w:p w14:paraId="652211A2" w14:textId="77777777" w:rsidR="00FD6D80" w:rsidRPr="009B3532" w:rsidRDefault="00FD6D80" w:rsidP="009B3532">
      <w:pPr>
        <w:pStyle w:val="Puesto"/>
        <w:rPr>
          <w:szCs w:val="22"/>
        </w:rPr>
      </w:pPr>
      <w:r w:rsidRPr="009B3532">
        <w:rPr>
          <w:szCs w:val="22"/>
        </w:rPr>
        <w:t xml:space="preserve">ACUERDO </w:t>
      </w:r>
    </w:p>
    <w:p w14:paraId="670B6AE9" w14:textId="77777777" w:rsidR="00FD6D80" w:rsidRPr="009B3532" w:rsidRDefault="00FD6D80" w:rsidP="009B3532">
      <w:pPr>
        <w:pStyle w:val="Puesto"/>
        <w:rPr>
          <w:szCs w:val="22"/>
        </w:rPr>
      </w:pPr>
      <w:r w:rsidRPr="009B3532">
        <w:rPr>
          <w:szCs w:val="22"/>
        </w:rPr>
        <w:t xml:space="preserve">PRIMERO. </w:t>
      </w:r>
      <w:r w:rsidRPr="009B3532">
        <w:rPr>
          <w:b/>
          <w:szCs w:val="22"/>
        </w:rPr>
        <w:t>El envío del soporte documental del Paquete Presupuestal Municipal 2025, debe realizarse a través del Componente Presupuesto Municipal (COPREMUN) de la Plataforma Digital del Órgano Superior de Fiscalización del Estado de México</w:t>
      </w:r>
      <w:r w:rsidRPr="009B3532">
        <w:rPr>
          <w:szCs w:val="22"/>
        </w:rPr>
        <w:t>, y en términos de lo siguiente:</w:t>
      </w:r>
    </w:p>
    <w:p w14:paraId="3C115E89" w14:textId="77777777" w:rsidR="00FD6D80" w:rsidRPr="009B3532" w:rsidRDefault="00FD6D80" w:rsidP="009B3532">
      <w:pPr>
        <w:pStyle w:val="Puesto"/>
        <w:rPr>
          <w:szCs w:val="22"/>
        </w:rPr>
      </w:pPr>
    </w:p>
    <w:p w14:paraId="01648B36" w14:textId="77777777" w:rsidR="00FD6D80" w:rsidRPr="009B3532" w:rsidRDefault="00FD6D80" w:rsidP="009B3532">
      <w:pPr>
        <w:pStyle w:val="Puesto"/>
        <w:rPr>
          <w:szCs w:val="22"/>
        </w:rPr>
      </w:pPr>
      <w:r w:rsidRPr="009B3532">
        <w:rPr>
          <w:szCs w:val="22"/>
        </w:rPr>
        <w:t xml:space="preserve">SEGUNDO. El periodo de apertura del Componente Presupuesto Municipal (COPREMUN) de la Plataforma Digital del Órgano Superior de Fiscalización del Estado de México, </w:t>
      </w:r>
      <w:r w:rsidRPr="009B3532">
        <w:rPr>
          <w:b/>
          <w:szCs w:val="22"/>
          <w:u w:val="single"/>
        </w:rPr>
        <w:t>para cargar el soporte documental del Paquete Presupuestal Municipal 2025, será del 14 al 25 de febrero de 2025</w:t>
      </w:r>
      <w:r w:rsidRPr="009B3532">
        <w:rPr>
          <w:szCs w:val="22"/>
        </w:rPr>
        <w:t xml:space="preserve">. </w:t>
      </w:r>
    </w:p>
    <w:p w14:paraId="093D3724" w14:textId="77777777" w:rsidR="00FD6D80" w:rsidRPr="009B3532" w:rsidRDefault="00FD6D80" w:rsidP="009B3532">
      <w:pPr>
        <w:rPr>
          <w:szCs w:val="22"/>
        </w:rPr>
      </w:pPr>
    </w:p>
    <w:p w14:paraId="0C790D1D" w14:textId="77777777" w:rsidR="00FD6D80" w:rsidRPr="009B3532" w:rsidRDefault="00FD6D80" w:rsidP="009B3532">
      <w:pPr>
        <w:pStyle w:val="Puesto"/>
        <w:rPr>
          <w:rFonts w:cs="Arial"/>
          <w:szCs w:val="22"/>
        </w:rPr>
      </w:pPr>
      <w:r w:rsidRPr="009B3532">
        <w:rPr>
          <w:szCs w:val="22"/>
        </w:rPr>
        <w:t>TERCERO. La firma del envío/recepción del Paquete Presupuestal Municipal 2025, validado con la firma electrónica avanzada, será a más tardar el martes 25 de febrero de 2025, a través del COPREMUN; en consecuencia, la Plataforma Digital generará la constancia de envío/recepción que el usuario deberá descargar y resguardar, toda vez que la misma acredita el cumplimiento de la obligación periódica; por lo que es importante que ésta se obtenga con las características que describe el documento denominado “proceso de firmado electrónico”, publicado en el sitio osfem.gob.mx/assets/plataforma_digital/plataforma_firma/infografia-procesofirmado.pdf.</w:t>
      </w:r>
    </w:p>
    <w:p w14:paraId="1AF8D6E2" w14:textId="77777777" w:rsidR="00FD6D80" w:rsidRPr="009B3532" w:rsidRDefault="00FD6D80" w:rsidP="009B3532">
      <w:pPr>
        <w:rPr>
          <w:rFonts w:cs="Arial"/>
          <w:szCs w:val="22"/>
        </w:rPr>
      </w:pPr>
    </w:p>
    <w:p w14:paraId="46599F26" w14:textId="759D098E" w:rsidR="00824007" w:rsidRPr="009B3532" w:rsidRDefault="00824007" w:rsidP="009B3532">
      <w:pPr>
        <w:rPr>
          <w:rFonts w:cs="Arial"/>
          <w:szCs w:val="22"/>
        </w:rPr>
      </w:pPr>
      <w:r w:rsidRPr="009B3532">
        <w:rPr>
          <w:rFonts w:cs="Arial"/>
          <w:szCs w:val="22"/>
        </w:rPr>
        <w:t>Asimismo, es importante destacar que la información solicitada se encuentra considerada dentro de las obligaciones de transparencias comunes que l</w:t>
      </w:r>
      <w:r w:rsidRPr="009B3532">
        <w:rPr>
          <w:szCs w:val="22"/>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w:t>
      </w:r>
      <w:r w:rsidRPr="009B3532">
        <w:rPr>
          <w:szCs w:val="22"/>
        </w:rPr>
        <w:lastRenderedPageBreak/>
        <w:t xml:space="preserve">establecido en </w:t>
      </w:r>
      <w:r w:rsidRPr="009B3532">
        <w:rPr>
          <w:rFonts w:cs="Arial"/>
          <w:szCs w:val="22"/>
        </w:rPr>
        <w:t>el artículo 92 de la de la Ley de Transparencia y Acceso a la Información Pública del Estado de México y Municipios, en su fracción XXV, que disponen lo siguiente:</w:t>
      </w:r>
    </w:p>
    <w:p w14:paraId="773B559C" w14:textId="77777777" w:rsidR="00824007" w:rsidRPr="009B3532" w:rsidRDefault="00824007" w:rsidP="009B3532">
      <w:pPr>
        <w:rPr>
          <w:rFonts w:cs="Arial"/>
          <w:szCs w:val="22"/>
        </w:rPr>
      </w:pPr>
    </w:p>
    <w:p w14:paraId="3A503596" w14:textId="77777777" w:rsidR="00824007" w:rsidRPr="009B3532" w:rsidRDefault="00824007" w:rsidP="009B3532">
      <w:pPr>
        <w:ind w:left="851" w:right="901"/>
        <w:rPr>
          <w:rFonts w:cs="Arial"/>
          <w:szCs w:val="22"/>
        </w:rPr>
      </w:pPr>
      <w:r w:rsidRPr="009B3532">
        <w:rPr>
          <w:rFonts w:cs="Arial"/>
          <w:b/>
          <w:bCs/>
          <w:i/>
          <w:iCs/>
          <w:szCs w:val="22"/>
        </w:rPr>
        <w:t>“Artículo 92. </w:t>
      </w:r>
      <w:r w:rsidRPr="009B3532">
        <w:rPr>
          <w:rFonts w:cs="Arial"/>
          <w:i/>
          <w:iCs/>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2249555" w14:textId="77777777" w:rsidR="00824007" w:rsidRPr="009B3532" w:rsidRDefault="00824007" w:rsidP="009B3532">
      <w:pPr>
        <w:ind w:left="851" w:right="901"/>
        <w:rPr>
          <w:rFonts w:cs="Arial"/>
          <w:i/>
          <w:iCs/>
          <w:szCs w:val="22"/>
        </w:rPr>
      </w:pPr>
      <w:r w:rsidRPr="009B3532">
        <w:rPr>
          <w:rFonts w:cs="Arial"/>
          <w:i/>
          <w:iCs/>
          <w:szCs w:val="22"/>
        </w:rPr>
        <w:t>…</w:t>
      </w:r>
    </w:p>
    <w:p w14:paraId="769D8E42" w14:textId="77777777" w:rsidR="00824007" w:rsidRPr="009B3532" w:rsidRDefault="00824007" w:rsidP="009B3532">
      <w:pPr>
        <w:ind w:left="851" w:right="901"/>
        <w:rPr>
          <w:rFonts w:cs="Arial"/>
          <w:b/>
          <w:i/>
          <w:iCs/>
          <w:szCs w:val="22"/>
        </w:rPr>
      </w:pPr>
      <w:r w:rsidRPr="009B3532">
        <w:rPr>
          <w:rFonts w:cs="Arial"/>
          <w:b/>
          <w:i/>
          <w:iCs/>
          <w:szCs w:val="22"/>
        </w:rPr>
        <w:t xml:space="preserve">XXV. La información financiera sobre el presupuesto asignado, </w:t>
      </w:r>
      <w:r w:rsidRPr="009B3532">
        <w:rPr>
          <w:rFonts w:cs="Arial"/>
          <w:i/>
          <w:iCs/>
          <w:szCs w:val="22"/>
        </w:rPr>
        <w:t xml:space="preserve">así como los informes del ejercicio trimestral del gasto, </w:t>
      </w:r>
      <w:r w:rsidRPr="009B3532">
        <w:rPr>
          <w:rFonts w:cs="Arial"/>
          <w:b/>
          <w:i/>
          <w:iCs/>
          <w:szCs w:val="22"/>
        </w:rPr>
        <w:t>en términos de la Ley General de Contabilidad Gubernamental y demás disposiciones jurídicas aplicables;</w:t>
      </w:r>
    </w:p>
    <w:p w14:paraId="15676C18" w14:textId="77777777" w:rsidR="00824007" w:rsidRPr="009B3532" w:rsidRDefault="00824007" w:rsidP="009B3532">
      <w:pPr>
        <w:ind w:left="851" w:right="901"/>
        <w:rPr>
          <w:rFonts w:cs="Arial"/>
          <w:i/>
          <w:iCs/>
          <w:szCs w:val="22"/>
        </w:rPr>
      </w:pPr>
      <w:r w:rsidRPr="009B3532">
        <w:rPr>
          <w:rFonts w:cs="Arial"/>
          <w:i/>
          <w:iCs/>
          <w:szCs w:val="22"/>
        </w:rPr>
        <w:t>…”</w:t>
      </w:r>
    </w:p>
    <w:p w14:paraId="3BAAA0C6" w14:textId="77777777" w:rsidR="00824007" w:rsidRPr="009B3532" w:rsidRDefault="00824007" w:rsidP="009B3532">
      <w:pPr>
        <w:ind w:left="851" w:right="901"/>
        <w:rPr>
          <w:rFonts w:cs="Arial"/>
          <w:i/>
          <w:iCs/>
          <w:szCs w:val="22"/>
        </w:rPr>
      </w:pPr>
      <w:r w:rsidRPr="009B3532">
        <w:rPr>
          <w:rFonts w:cs="Arial"/>
          <w:i/>
          <w:iCs/>
          <w:szCs w:val="22"/>
        </w:rPr>
        <w:t>(Énfasis añadido)</w:t>
      </w:r>
    </w:p>
    <w:p w14:paraId="1BE68D6B" w14:textId="77777777" w:rsidR="00824007" w:rsidRPr="009B3532" w:rsidRDefault="00824007" w:rsidP="009B3532">
      <w:pPr>
        <w:rPr>
          <w:rFonts w:cs="Arial"/>
          <w:szCs w:val="22"/>
        </w:rPr>
      </w:pPr>
    </w:p>
    <w:p w14:paraId="76CC1244" w14:textId="0A56A783" w:rsidR="00824007" w:rsidRPr="009B3532" w:rsidRDefault="00824007" w:rsidP="009B3532">
      <w:pPr>
        <w:rPr>
          <w:rFonts w:cs="Arial"/>
          <w:szCs w:val="22"/>
        </w:rPr>
      </w:pPr>
      <w:r w:rsidRPr="009B3532">
        <w:rPr>
          <w:rFonts w:cs="Arial"/>
          <w:szCs w:val="22"/>
        </w:rPr>
        <w:t>De lo anterior, se desprende que los Sujetos Obligados están compelidos a poner a disposición del público de manera constante y actualizada, de forma sencilla, precisa y entendible, en los respectivos medios electrónicos, la información referente al presupuesto que les es asignado.</w:t>
      </w:r>
    </w:p>
    <w:p w14:paraId="01E890D7" w14:textId="77777777" w:rsidR="00824007" w:rsidRPr="009B3532" w:rsidRDefault="00824007" w:rsidP="009B3532">
      <w:pPr>
        <w:rPr>
          <w:rFonts w:eastAsia="Palatino Linotype" w:cs="Palatino Linotype"/>
          <w:szCs w:val="22"/>
        </w:rPr>
      </w:pPr>
    </w:p>
    <w:p w14:paraId="1FF5833C" w14:textId="401F98EE" w:rsidR="00FD6D80" w:rsidRPr="009B3532" w:rsidRDefault="006C41C2" w:rsidP="009B3532">
      <w:pPr>
        <w:rPr>
          <w:rFonts w:eastAsia="Palatino Linotype" w:cs="Palatino Linotype"/>
          <w:szCs w:val="22"/>
        </w:rPr>
      </w:pPr>
      <w:r w:rsidRPr="009B3532">
        <w:rPr>
          <w:rFonts w:eastAsia="Palatino Linotype" w:cs="Palatino Linotype"/>
          <w:szCs w:val="22"/>
        </w:rPr>
        <w:t xml:space="preserve">En conclusión del marco normativo inserto se tiene que a la fecha de la presentación de la solicitud de información </w:t>
      </w:r>
      <w:r w:rsidRPr="009B3532">
        <w:rPr>
          <w:rFonts w:eastAsia="Palatino Linotype" w:cs="Palatino Linotype"/>
          <w:b/>
          <w:szCs w:val="22"/>
        </w:rPr>
        <w:t xml:space="preserve">EL SUJETO OBLIGADO </w:t>
      </w:r>
      <w:r w:rsidRPr="009B3532">
        <w:rPr>
          <w:rFonts w:eastAsia="Palatino Linotype" w:cs="Palatino Linotype"/>
          <w:szCs w:val="22"/>
        </w:rPr>
        <w:t>ya contaba con la información requerida, independientemente de que su presentación de manera oficial ante el Órgano Superior de Fiscalización, sea hasta máximo el 25 de febrero de la presente anualidad.</w:t>
      </w:r>
    </w:p>
    <w:p w14:paraId="4BCD8624" w14:textId="77777777" w:rsidR="006C41C2" w:rsidRPr="009B3532" w:rsidRDefault="006C41C2" w:rsidP="009B3532">
      <w:pPr>
        <w:rPr>
          <w:rFonts w:eastAsia="Palatino Linotype" w:cs="Palatino Linotype"/>
          <w:szCs w:val="22"/>
        </w:rPr>
      </w:pPr>
    </w:p>
    <w:p w14:paraId="0009C114" w14:textId="5FD890C5" w:rsidR="00115D8E" w:rsidRPr="009B3532" w:rsidRDefault="00115D8E" w:rsidP="009B3532">
      <w:pPr>
        <w:rPr>
          <w:rFonts w:eastAsia="Calibri"/>
          <w:bCs/>
          <w:szCs w:val="22"/>
          <w:lang w:val="es-ES"/>
        </w:rPr>
      </w:pPr>
      <w:r w:rsidRPr="009B3532">
        <w:rPr>
          <w:rFonts w:eastAsia="Calibri"/>
          <w:iCs/>
          <w:szCs w:val="22"/>
          <w:lang w:val="es-ES"/>
        </w:rPr>
        <w:t>Conforme a lo anterior, se consider</w:t>
      </w:r>
      <w:r w:rsidRPr="009B3532">
        <w:rPr>
          <w:rFonts w:eastAsia="Calibri"/>
          <w:bCs/>
          <w:szCs w:val="22"/>
          <w:lang w:val="es-ES"/>
        </w:rPr>
        <w:t xml:space="preserve">a que, para atender el requerimiento de información, </w:t>
      </w:r>
      <w:r w:rsidRPr="009B3532">
        <w:rPr>
          <w:rFonts w:eastAsia="Calibri"/>
          <w:b/>
          <w:bCs/>
          <w:szCs w:val="22"/>
          <w:lang w:val="es-ES"/>
        </w:rPr>
        <w:t>EL SUJETO OBLIGADO</w:t>
      </w:r>
      <w:r w:rsidRPr="009B3532">
        <w:rPr>
          <w:rFonts w:eastAsia="Calibri"/>
          <w:bCs/>
          <w:szCs w:val="22"/>
          <w:lang w:val="es-ES"/>
        </w:rPr>
        <w:t xml:space="preserve"> deberá realizar una búsqueda exhaustiva y razonable en los archivos </w:t>
      </w:r>
      <w:r w:rsidRPr="009B3532">
        <w:rPr>
          <w:rFonts w:eastAsia="Calibri"/>
          <w:bCs/>
          <w:szCs w:val="22"/>
          <w:lang w:val="es-ES"/>
        </w:rPr>
        <w:lastRenderedPageBreak/>
        <w:t xml:space="preserve">de la Tesorería Municipal, a fin de que proporcione </w:t>
      </w:r>
      <w:r w:rsidRPr="009B3532">
        <w:rPr>
          <w:rFonts w:cs="Tahoma"/>
          <w:bCs/>
          <w:iCs/>
          <w:szCs w:val="22"/>
        </w:rPr>
        <w:t>el formato </w:t>
      </w:r>
      <w:r w:rsidRPr="009B3532">
        <w:rPr>
          <w:rFonts w:cs="Tahoma"/>
          <w:iCs/>
          <w:szCs w:val="22"/>
        </w:rPr>
        <w:t>PbRM-04a Presupuesto de Egresos Detallado, que contiene el nivel de desglose solicitado, es decir, por capítulos, conceptos y partidas genéricas y específicas, del ejercicio fiscal 2025.</w:t>
      </w:r>
    </w:p>
    <w:p w14:paraId="7DC7C532" w14:textId="353FB75D" w:rsidR="00115D8E" w:rsidRPr="009B3532" w:rsidRDefault="00FB1EA5" w:rsidP="009B3532">
      <w:pPr>
        <w:pStyle w:val="Ttulo3"/>
        <w:rPr>
          <w:szCs w:val="22"/>
        </w:rPr>
      </w:pPr>
      <w:bookmarkStart w:id="37" w:name="_Toc190350146"/>
      <w:bookmarkStart w:id="38" w:name="_Toc192183043"/>
      <w:r w:rsidRPr="009B3532">
        <w:rPr>
          <w:szCs w:val="22"/>
        </w:rPr>
        <w:t>d</w:t>
      </w:r>
      <w:r w:rsidR="00115D8E" w:rsidRPr="009B3532">
        <w:rPr>
          <w:szCs w:val="22"/>
        </w:rPr>
        <w:t>) Conclusión</w:t>
      </w:r>
      <w:bookmarkEnd w:id="37"/>
      <w:bookmarkEnd w:id="38"/>
    </w:p>
    <w:p w14:paraId="73E4FF0C" w14:textId="77777777" w:rsidR="00115D8E" w:rsidRPr="009B3532" w:rsidRDefault="00115D8E" w:rsidP="009B3532">
      <w:pPr>
        <w:widowControl w:val="0"/>
        <w:tabs>
          <w:tab w:val="left" w:pos="1701"/>
          <w:tab w:val="left" w:pos="1843"/>
        </w:tabs>
        <w:rPr>
          <w:rFonts w:eastAsia="Palatino Linotype" w:cs="Palatino Linotype"/>
          <w:szCs w:val="22"/>
        </w:rPr>
      </w:pPr>
      <w:r w:rsidRPr="009B3532">
        <w:rPr>
          <w:rFonts w:eastAsia="Palatino Linotype" w:cs="Palatino Linotype"/>
          <w:szCs w:val="22"/>
        </w:rPr>
        <w:t xml:space="preserve">En razón de lo anteriormente expuesto, este Instituto estima que las razones o motivos de inconformidad hechos valer por </w:t>
      </w:r>
      <w:r w:rsidRPr="009B3532">
        <w:rPr>
          <w:rFonts w:eastAsiaTheme="minorHAnsi" w:cs="Tahoma"/>
          <w:b/>
          <w:iCs/>
          <w:szCs w:val="22"/>
          <w:lang w:eastAsia="en-US"/>
        </w:rPr>
        <w:t>LA PARTE RECURRENTE</w:t>
      </w:r>
      <w:r w:rsidRPr="009B3532">
        <w:rPr>
          <w:rFonts w:eastAsiaTheme="minorHAnsi" w:cs="Tahoma"/>
          <w:bCs/>
          <w:iCs/>
          <w:szCs w:val="22"/>
          <w:lang w:eastAsia="en-US"/>
        </w:rPr>
        <w:t xml:space="preserve"> </w:t>
      </w:r>
      <w:r w:rsidRPr="009B3532">
        <w:rPr>
          <w:rFonts w:eastAsia="Palatino Linotype" w:cs="Palatino Linotype"/>
          <w:szCs w:val="22"/>
        </w:rPr>
        <w:t xml:space="preserve">devienen </w:t>
      </w:r>
      <w:r w:rsidRPr="009B3532">
        <w:rPr>
          <w:rFonts w:eastAsia="Palatino Linotype" w:cs="Palatino Linotype"/>
          <w:b/>
          <w:szCs w:val="22"/>
        </w:rPr>
        <w:t>fundadas</w:t>
      </w:r>
      <w:r w:rsidRPr="009B3532">
        <w:rPr>
          <w:rFonts w:eastAsia="Palatino Linotype" w:cs="Palatino Linotype"/>
          <w:szCs w:val="22"/>
        </w:rPr>
        <w:t xml:space="preserve"> y suficientes para </w:t>
      </w:r>
      <w:r w:rsidRPr="009B3532">
        <w:rPr>
          <w:rFonts w:eastAsia="Palatino Linotype" w:cs="Palatino Linotype"/>
          <w:b/>
          <w:szCs w:val="22"/>
        </w:rPr>
        <w:t>REVOCAR</w:t>
      </w:r>
      <w:r w:rsidRPr="009B3532">
        <w:rPr>
          <w:rFonts w:eastAsia="Palatino Linotype" w:cs="Palatino Linotype"/>
          <w:szCs w:val="22"/>
        </w:rPr>
        <w:t xml:space="preserve"> la respuesta del </w:t>
      </w:r>
      <w:r w:rsidRPr="009B3532">
        <w:rPr>
          <w:rFonts w:eastAsia="Palatino Linotype" w:cs="Palatino Linotype"/>
          <w:b/>
          <w:szCs w:val="22"/>
        </w:rPr>
        <w:t>SUJETO OBLIGADO</w:t>
      </w:r>
      <w:r w:rsidRPr="009B3532">
        <w:rPr>
          <w:rFonts w:eastAsia="Palatino Linotype" w:cs="Palatino Linotype"/>
          <w:szCs w:val="22"/>
        </w:rPr>
        <w:t xml:space="preserve"> y ordenarle haga entrega de la información descrita en el presente Considerando.</w:t>
      </w:r>
    </w:p>
    <w:p w14:paraId="33196F1D" w14:textId="77777777" w:rsidR="00115D8E" w:rsidRPr="009B3532" w:rsidRDefault="00115D8E" w:rsidP="009B3532">
      <w:pPr>
        <w:rPr>
          <w:szCs w:val="22"/>
        </w:rPr>
      </w:pPr>
    </w:p>
    <w:p w14:paraId="32F6D977" w14:textId="401ED637" w:rsidR="00115D8E" w:rsidRPr="00BA72A9" w:rsidRDefault="00115D8E" w:rsidP="00BA72A9">
      <w:pPr>
        <w:ind w:right="-93"/>
        <w:rPr>
          <w:rFonts w:cs="Tahoma"/>
          <w:bCs/>
          <w:szCs w:val="22"/>
        </w:rPr>
      </w:pPr>
      <w:bookmarkStart w:id="39" w:name="_Hlk165381027"/>
      <w:r w:rsidRPr="009B353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9"/>
    </w:p>
    <w:p w14:paraId="43017216" w14:textId="77777777" w:rsidR="00115D8E" w:rsidRPr="009B3532" w:rsidRDefault="00115D8E" w:rsidP="009B3532">
      <w:pPr>
        <w:pStyle w:val="Ttulo1"/>
        <w:rPr>
          <w:szCs w:val="22"/>
        </w:rPr>
      </w:pPr>
      <w:bookmarkStart w:id="40" w:name="_Toc190350147"/>
      <w:bookmarkStart w:id="41" w:name="_Toc192183044"/>
      <w:r w:rsidRPr="009B3532">
        <w:rPr>
          <w:szCs w:val="22"/>
        </w:rPr>
        <w:t>RESUELVE</w:t>
      </w:r>
      <w:bookmarkEnd w:id="40"/>
      <w:bookmarkEnd w:id="41"/>
    </w:p>
    <w:p w14:paraId="29829740" w14:textId="77777777" w:rsidR="00115D8E" w:rsidRPr="009B3532" w:rsidRDefault="00115D8E" w:rsidP="009B3532">
      <w:pPr>
        <w:ind w:right="113"/>
        <w:rPr>
          <w:rFonts w:cs="Arial"/>
          <w:b/>
          <w:szCs w:val="22"/>
        </w:rPr>
      </w:pPr>
    </w:p>
    <w:p w14:paraId="11F14340" w14:textId="44D4033C" w:rsidR="00115D8E" w:rsidRPr="009B3532" w:rsidRDefault="00115D8E" w:rsidP="009B3532">
      <w:pPr>
        <w:widowControl w:val="0"/>
        <w:rPr>
          <w:rFonts w:eastAsia="Calibri" w:cs="Tahoma"/>
          <w:bCs/>
          <w:szCs w:val="22"/>
          <w:lang w:eastAsia="en-US"/>
        </w:rPr>
      </w:pPr>
      <w:r w:rsidRPr="009B3532">
        <w:rPr>
          <w:b/>
          <w:bCs/>
          <w:szCs w:val="22"/>
        </w:rPr>
        <w:t>PRIMERO.</w:t>
      </w:r>
      <w:r w:rsidRPr="009B3532">
        <w:rPr>
          <w:szCs w:val="22"/>
        </w:rPr>
        <w:t xml:space="preserve"> </w:t>
      </w:r>
      <w:r w:rsidRPr="009B3532">
        <w:rPr>
          <w:rFonts w:cs="Tahoma"/>
          <w:szCs w:val="22"/>
        </w:rPr>
        <w:t xml:space="preserve">Se </w:t>
      </w:r>
      <w:r w:rsidRPr="009B3532">
        <w:rPr>
          <w:rFonts w:cs="Tahoma"/>
          <w:b/>
          <w:bCs/>
          <w:szCs w:val="22"/>
        </w:rPr>
        <w:t>REVOCA</w:t>
      </w:r>
      <w:r w:rsidRPr="009B3532">
        <w:rPr>
          <w:rFonts w:cs="Tahoma"/>
          <w:szCs w:val="22"/>
        </w:rPr>
        <w:t xml:space="preserve"> la respuesta entregada por el </w:t>
      </w:r>
      <w:r w:rsidRPr="009B3532">
        <w:rPr>
          <w:rFonts w:cs="Tahoma"/>
          <w:b/>
          <w:bCs/>
          <w:szCs w:val="22"/>
        </w:rPr>
        <w:t>SUJETO OBLIGADO</w:t>
      </w:r>
      <w:r w:rsidRPr="009B3532">
        <w:rPr>
          <w:rFonts w:cs="Tahoma"/>
          <w:szCs w:val="22"/>
        </w:rPr>
        <w:t xml:space="preserve"> en la solicitud de información </w:t>
      </w:r>
      <w:r w:rsidRPr="009B3532">
        <w:rPr>
          <w:rFonts w:cs="Tahoma"/>
          <w:b/>
          <w:bCs/>
          <w:szCs w:val="22"/>
        </w:rPr>
        <w:t>00046/TENANCIN/IP/2025</w:t>
      </w:r>
      <w:r w:rsidRPr="009B3532">
        <w:rPr>
          <w:rFonts w:eastAsia="Palatino Linotype"/>
          <w:b/>
          <w:szCs w:val="22"/>
        </w:rPr>
        <w:t>,</w:t>
      </w:r>
      <w:r w:rsidRPr="009B3532">
        <w:rPr>
          <w:rFonts w:cs="Tahoma"/>
          <w:bCs/>
          <w:szCs w:val="22"/>
        </w:rPr>
        <w:t xml:space="preserve"> </w:t>
      </w:r>
      <w:r w:rsidRPr="009B3532">
        <w:rPr>
          <w:rFonts w:eastAsia="Calibri" w:cs="Tahoma"/>
          <w:bCs/>
          <w:szCs w:val="22"/>
          <w:lang w:eastAsia="en-US"/>
        </w:rPr>
        <w:t xml:space="preserve">por resultar </w:t>
      </w:r>
      <w:r w:rsidRPr="009B3532">
        <w:rPr>
          <w:rFonts w:eastAsia="Calibri" w:cs="Tahoma"/>
          <w:b/>
          <w:bCs/>
          <w:szCs w:val="22"/>
          <w:lang w:eastAsia="en-US"/>
        </w:rPr>
        <w:t>FUNDADAS</w:t>
      </w:r>
      <w:r w:rsidRPr="009B3532">
        <w:rPr>
          <w:rFonts w:eastAsia="Calibri" w:cs="Tahoma"/>
          <w:bCs/>
          <w:szCs w:val="22"/>
          <w:lang w:eastAsia="en-US"/>
        </w:rPr>
        <w:t xml:space="preserve"> las razones o motivos de inconformidad hechos valer por </w:t>
      </w:r>
      <w:r w:rsidRPr="009B3532">
        <w:rPr>
          <w:rFonts w:eastAsia="Calibri" w:cs="Tahoma"/>
          <w:b/>
          <w:szCs w:val="22"/>
          <w:lang w:eastAsia="en-US"/>
        </w:rPr>
        <w:t>LA PARTE RECURRENTE</w:t>
      </w:r>
      <w:r w:rsidRPr="009B3532">
        <w:rPr>
          <w:rFonts w:eastAsia="Calibri" w:cs="Tahoma"/>
          <w:bCs/>
          <w:szCs w:val="22"/>
          <w:lang w:eastAsia="en-US"/>
        </w:rPr>
        <w:t xml:space="preserve"> en el Recurso de Revisión </w:t>
      </w:r>
      <w:r w:rsidRPr="009B3532">
        <w:rPr>
          <w:rFonts w:eastAsia="Calibri"/>
          <w:b/>
          <w:szCs w:val="22"/>
          <w:lang w:eastAsia="en-US"/>
        </w:rPr>
        <w:t>01057/INFOEM/IP/RR/2025</w:t>
      </w:r>
      <w:r w:rsidRPr="009B3532">
        <w:rPr>
          <w:rFonts w:eastAsiaTheme="minorHAnsi" w:cstheme="minorBidi"/>
          <w:szCs w:val="22"/>
          <w:lang w:eastAsia="en-US"/>
        </w:rPr>
        <w:t>,</w:t>
      </w:r>
      <w:r w:rsidRPr="009B3532">
        <w:rPr>
          <w:rFonts w:cs="Tahoma"/>
          <w:b/>
          <w:szCs w:val="22"/>
        </w:rPr>
        <w:t xml:space="preserve"> </w:t>
      </w:r>
      <w:r w:rsidRPr="009B3532">
        <w:rPr>
          <w:rFonts w:eastAsia="Calibri" w:cs="Tahoma"/>
          <w:bCs/>
          <w:szCs w:val="22"/>
          <w:lang w:eastAsia="en-US"/>
        </w:rPr>
        <w:t xml:space="preserve">en términos del considerando </w:t>
      </w:r>
      <w:r w:rsidRPr="009B3532">
        <w:rPr>
          <w:rFonts w:eastAsia="Calibri" w:cs="Tahoma"/>
          <w:b/>
          <w:szCs w:val="22"/>
          <w:lang w:eastAsia="en-US"/>
        </w:rPr>
        <w:t>SEGUNDO</w:t>
      </w:r>
      <w:r w:rsidRPr="009B3532">
        <w:rPr>
          <w:rFonts w:eastAsia="Calibri" w:cs="Tahoma"/>
          <w:bCs/>
          <w:szCs w:val="22"/>
          <w:lang w:eastAsia="en-US"/>
        </w:rPr>
        <w:t xml:space="preserve"> de la presente Resolución.</w:t>
      </w:r>
    </w:p>
    <w:p w14:paraId="6FADAF49" w14:textId="77777777" w:rsidR="00115D8E" w:rsidRPr="009B3532" w:rsidRDefault="00115D8E" w:rsidP="009B3532">
      <w:pPr>
        <w:rPr>
          <w:rFonts w:eastAsia="Palatino Linotype"/>
          <w:b/>
          <w:szCs w:val="22"/>
        </w:rPr>
      </w:pPr>
    </w:p>
    <w:p w14:paraId="752A76D5" w14:textId="77777777" w:rsidR="00115D8E" w:rsidRPr="009B3532" w:rsidRDefault="00115D8E" w:rsidP="009B3532">
      <w:pPr>
        <w:ind w:right="-93"/>
        <w:rPr>
          <w:rFonts w:eastAsia="Calibri" w:cs="Tahoma"/>
          <w:bCs/>
          <w:szCs w:val="22"/>
          <w:lang w:eastAsia="en-US"/>
        </w:rPr>
      </w:pPr>
      <w:r w:rsidRPr="009B3532">
        <w:rPr>
          <w:rFonts w:eastAsia="Calibri" w:cs="Tahoma"/>
          <w:b/>
          <w:bCs/>
          <w:szCs w:val="22"/>
          <w:lang w:eastAsia="en-US"/>
        </w:rPr>
        <w:t>SEGUNDO.</w:t>
      </w:r>
      <w:r w:rsidRPr="009B3532">
        <w:rPr>
          <w:rFonts w:eastAsia="Calibri" w:cs="Tahoma"/>
          <w:szCs w:val="22"/>
          <w:lang w:eastAsia="es-MX"/>
        </w:rPr>
        <w:t xml:space="preserve"> Se </w:t>
      </w:r>
      <w:r w:rsidRPr="009B3532">
        <w:rPr>
          <w:rFonts w:eastAsia="Calibri" w:cs="Tahoma"/>
          <w:b/>
          <w:szCs w:val="22"/>
          <w:lang w:eastAsia="es-MX"/>
        </w:rPr>
        <w:t xml:space="preserve">ORDENA </w:t>
      </w:r>
      <w:r w:rsidRPr="009B3532">
        <w:rPr>
          <w:rFonts w:eastAsia="Calibri" w:cs="Tahoma"/>
          <w:szCs w:val="22"/>
          <w:lang w:eastAsia="es-MX"/>
        </w:rPr>
        <w:t xml:space="preserve">al </w:t>
      </w:r>
      <w:r w:rsidRPr="009B3532">
        <w:rPr>
          <w:rFonts w:eastAsia="Calibri" w:cs="Tahoma"/>
          <w:b/>
          <w:bCs/>
          <w:szCs w:val="22"/>
          <w:lang w:eastAsia="es-MX"/>
        </w:rPr>
        <w:t>SUJETO OBLIGADO</w:t>
      </w:r>
      <w:r w:rsidRPr="009B3532">
        <w:rPr>
          <w:rFonts w:eastAsia="Calibri" w:cs="Tahoma"/>
          <w:szCs w:val="22"/>
          <w:lang w:eastAsia="es-MX"/>
        </w:rPr>
        <w:t xml:space="preserve">, </w:t>
      </w:r>
      <w:r w:rsidRPr="009B3532">
        <w:rPr>
          <w:rFonts w:eastAsia="Calibri" w:cs="Tahoma"/>
          <w:bCs/>
          <w:szCs w:val="22"/>
          <w:lang w:eastAsia="en-US"/>
        </w:rPr>
        <w:t xml:space="preserve">a efecto de que entregue a través del </w:t>
      </w:r>
      <w:r w:rsidRPr="009B3532">
        <w:rPr>
          <w:rFonts w:eastAsia="Calibri" w:cs="Tahoma"/>
          <w:b/>
          <w:bCs/>
          <w:szCs w:val="22"/>
          <w:lang w:eastAsia="en-US"/>
        </w:rPr>
        <w:t>SAIMEX</w:t>
      </w:r>
      <w:r w:rsidRPr="009B3532">
        <w:rPr>
          <w:rFonts w:eastAsia="Calibri" w:cs="Tahoma"/>
          <w:bCs/>
          <w:szCs w:val="22"/>
          <w:lang w:eastAsia="en-US"/>
        </w:rPr>
        <w:t xml:space="preserve">, previa </w:t>
      </w:r>
      <w:r w:rsidRPr="009B3532">
        <w:rPr>
          <w:rFonts w:eastAsia="Calibri" w:cs="Tahoma"/>
          <w:b/>
          <w:bCs/>
          <w:szCs w:val="22"/>
          <w:lang w:eastAsia="en-US"/>
        </w:rPr>
        <w:t xml:space="preserve">búsqueda exhaustiva y razonable, </w:t>
      </w:r>
      <w:r w:rsidRPr="009B3532">
        <w:rPr>
          <w:rFonts w:eastAsia="Calibri" w:cs="Tahoma"/>
          <w:bCs/>
          <w:szCs w:val="22"/>
          <w:lang w:eastAsia="en-US"/>
        </w:rPr>
        <w:t>lo siguiente:</w:t>
      </w:r>
    </w:p>
    <w:p w14:paraId="791DB832" w14:textId="77777777" w:rsidR="00115D8E" w:rsidRPr="009B3532" w:rsidRDefault="00115D8E" w:rsidP="009B3532">
      <w:pPr>
        <w:rPr>
          <w:rFonts w:eastAsia="Palatino Linotype"/>
          <w:b/>
          <w:szCs w:val="22"/>
        </w:rPr>
      </w:pPr>
    </w:p>
    <w:p w14:paraId="043048E2" w14:textId="1BDD6F74" w:rsidR="00115D8E" w:rsidRPr="009B3532" w:rsidRDefault="00115D8E" w:rsidP="009B3532">
      <w:pPr>
        <w:pStyle w:val="Prrafodelista"/>
        <w:numPr>
          <w:ilvl w:val="0"/>
          <w:numId w:val="43"/>
        </w:numPr>
        <w:rPr>
          <w:szCs w:val="22"/>
        </w:rPr>
      </w:pPr>
      <w:r w:rsidRPr="009B3532">
        <w:rPr>
          <w:rFonts w:cs="Tahoma"/>
          <w:bCs/>
          <w:iCs/>
          <w:szCs w:val="22"/>
        </w:rPr>
        <w:t>Los formatos </w:t>
      </w:r>
      <w:bookmarkStart w:id="42" w:name="_GoBack"/>
      <w:r w:rsidRPr="009B3532">
        <w:rPr>
          <w:rFonts w:cs="Tahoma"/>
          <w:iCs/>
          <w:szCs w:val="22"/>
        </w:rPr>
        <w:t>PbRM</w:t>
      </w:r>
      <w:bookmarkEnd w:id="42"/>
      <w:r w:rsidRPr="009B3532">
        <w:rPr>
          <w:rFonts w:cs="Tahoma"/>
          <w:iCs/>
          <w:szCs w:val="22"/>
        </w:rPr>
        <w:t>-04a Presupuesto de Egresos Detallado del ejercicio fiscal 2025.</w:t>
      </w:r>
    </w:p>
    <w:p w14:paraId="4B68BD2C" w14:textId="77777777" w:rsidR="00115D8E" w:rsidRPr="009B3532" w:rsidRDefault="00115D8E" w:rsidP="009B3532">
      <w:pPr>
        <w:rPr>
          <w:szCs w:val="22"/>
        </w:rPr>
      </w:pPr>
    </w:p>
    <w:p w14:paraId="0C2E2E3C" w14:textId="77777777" w:rsidR="00115D8E" w:rsidRPr="009B3532" w:rsidRDefault="00115D8E" w:rsidP="009B3532">
      <w:pPr>
        <w:rPr>
          <w:szCs w:val="22"/>
        </w:rPr>
      </w:pPr>
      <w:r w:rsidRPr="009B3532">
        <w:rPr>
          <w:b/>
          <w:bCs/>
          <w:szCs w:val="22"/>
        </w:rPr>
        <w:t>TERCERO.</w:t>
      </w:r>
      <w:r w:rsidRPr="009B3532">
        <w:rPr>
          <w:szCs w:val="22"/>
        </w:rPr>
        <w:t xml:space="preserve"> </w:t>
      </w:r>
      <w:r w:rsidRPr="009B3532">
        <w:rPr>
          <w:rFonts w:eastAsia="Palatino Linotype" w:cs="Palatino Linotype"/>
          <w:b/>
          <w:szCs w:val="22"/>
          <w:lang w:eastAsia="es-MX"/>
        </w:rPr>
        <w:t xml:space="preserve">Notifíquese </w:t>
      </w:r>
      <w:r w:rsidRPr="009B3532">
        <w:rPr>
          <w:szCs w:val="22"/>
          <w:lang w:eastAsia="es-ES_tradnl"/>
        </w:rPr>
        <w:t xml:space="preserve">vía </w:t>
      </w:r>
      <w:r w:rsidRPr="009B3532">
        <w:rPr>
          <w:rFonts w:cs="Arial"/>
          <w:szCs w:val="22"/>
        </w:rPr>
        <w:t>Sistema de Acceso a la Información Mexiquense (</w:t>
      </w:r>
      <w:r w:rsidRPr="009B3532">
        <w:rPr>
          <w:rFonts w:cs="Arial"/>
          <w:b/>
          <w:bCs/>
          <w:szCs w:val="22"/>
        </w:rPr>
        <w:t>SAIMEX)</w:t>
      </w:r>
      <w:r w:rsidRPr="009B3532">
        <w:rPr>
          <w:szCs w:val="22"/>
          <w:shd w:val="clear" w:color="auto" w:fill="FFFFFF"/>
        </w:rPr>
        <w:t xml:space="preserve"> la presente resolución al Titular de la Unidad de Transparencia del Sujeto Obligado</w:t>
      </w:r>
      <w:r w:rsidRPr="009B3532">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9B3532">
        <w:rPr>
          <w:b/>
          <w:bCs/>
          <w:szCs w:val="22"/>
        </w:rPr>
        <w:t>diez días hábiles</w:t>
      </w:r>
      <w:r w:rsidRPr="009B3532">
        <w:rPr>
          <w:szCs w:val="22"/>
        </w:rPr>
        <w:t xml:space="preserve">, e informe a este Instituto en un plazo de </w:t>
      </w:r>
      <w:r w:rsidRPr="009B3532">
        <w:rPr>
          <w:b/>
          <w:bCs/>
          <w:szCs w:val="22"/>
        </w:rPr>
        <w:t>tres días hábiles</w:t>
      </w:r>
      <w:r w:rsidRPr="009B3532">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B060D4" w14:textId="77777777" w:rsidR="00115D8E" w:rsidRPr="009B3532" w:rsidRDefault="00115D8E" w:rsidP="009B3532">
      <w:pPr>
        <w:rPr>
          <w:szCs w:val="22"/>
        </w:rPr>
      </w:pPr>
    </w:p>
    <w:p w14:paraId="237F853A" w14:textId="77777777" w:rsidR="00115D8E" w:rsidRPr="009B3532" w:rsidRDefault="00115D8E" w:rsidP="009B3532">
      <w:pPr>
        <w:rPr>
          <w:szCs w:val="22"/>
        </w:rPr>
      </w:pPr>
      <w:r w:rsidRPr="009B3532">
        <w:rPr>
          <w:b/>
          <w:bCs/>
          <w:szCs w:val="22"/>
        </w:rPr>
        <w:t>CUARTO.</w:t>
      </w:r>
      <w:r w:rsidRPr="009B3532">
        <w:rPr>
          <w:szCs w:val="22"/>
        </w:rPr>
        <w:t xml:space="preserve"> Notifíquese a </w:t>
      </w:r>
      <w:r w:rsidRPr="009B3532">
        <w:rPr>
          <w:b/>
          <w:bCs/>
          <w:szCs w:val="22"/>
        </w:rPr>
        <w:t>LA PARTE RECURRENTE</w:t>
      </w:r>
      <w:r w:rsidRPr="009B3532">
        <w:rPr>
          <w:szCs w:val="22"/>
        </w:rPr>
        <w:t xml:space="preserve"> la presente resolución vía Sistema de Acceso a la Información Mexiquense (SAIMEX).</w:t>
      </w:r>
    </w:p>
    <w:p w14:paraId="6E26BE3C" w14:textId="77777777" w:rsidR="00115D8E" w:rsidRPr="009B3532" w:rsidRDefault="00115D8E" w:rsidP="009B3532">
      <w:pPr>
        <w:rPr>
          <w:szCs w:val="22"/>
        </w:rPr>
      </w:pPr>
    </w:p>
    <w:p w14:paraId="5F5CFE87" w14:textId="77777777" w:rsidR="00115D8E" w:rsidRPr="009B3532" w:rsidRDefault="00115D8E" w:rsidP="008F1556">
      <w:pPr>
        <w:spacing w:after="240"/>
        <w:rPr>
          <w:szCs w:val="22"/>
        </w:rPr>
      </w:pPr>
      <w:r w:rsidRPr="009B3532">
        <w:rPr>
          <w:b/>
          <w:bCs/>
          <w:szCs w:val="22"/>
        </w:rPr>
        <w:t>QUINTO</w:t>
      </w:r>
      <w:r w:rsidRPr="009B3532">
        <w:rPr>
          <w:szCs w:val="22"/>
        </w:rPr>
        <w:t xml:space="preserve">. Hágase del conocimiento a </w:t>
      </w:r>
      <w:r w:rsidRPr="009B3532">
        <w:rPr>
          <w:b/>
          <w:bCs/>
          <w:szCs w:val="22"/>
        </w:rPr>
        <w:t>LA PARTE RECURRENTE</w:t>
      </w:r>
      <w:r w:rsidRPr="009B3532">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D9D6F44" w14:textId="77777777" w:rsidR="00115D8E" w:rsidRPr="009B3532" w:rsidRDefault="00115D8E" w:rsidP="009B3532">
      <w:pPr>
        <w:rPr>
          <w:szCs w:val="22"/>
        </w:rPr>
      </w:pPr>
    </w:p>
    <w:p w14:paraId="6BC23E98" w14:textId="77777777" w:rsidR="00115D8E" w:rsidRPr="009B3532" w:rsidRDefault="00115D8E" w:rsidP="009B3532">
      <w:pPr>
        <w:rPr>
          <w:szCs w:val="22"/>
        </w:rPr>
      </w:pPr>
      <w:r w:rsidRPr="009B3532">
        <w:rPr>
          <w:b/>
          <w:bCs/>
          <w:szCs w:val="22"/>
        </w:rPr>
        <w:t>SEXTO.</w:t>
      </w:r>
      <w:r w:rsidRPr="009B3532">
        <w:rPr>
          <w:szCs w:val="22"/>
        </w:rPr>
        <w:t xml:space="preserve"> De conformidad con el artículo 198 de la Ley de Transparencia y Acceso a la Información Pública del Estado de México y Municipios, el </w:t>
      </w:r>
      <w:r w:rsidRPr="009B3532">
        <w:rPr>
          <w:b/>
          <w:bCs/>
          <w:szCs w:val="22"/>
        </w:rPr>
        <w:t>SUJETO OBLIGADO</w:t>
      </w:r>
      <w:r w:rsidRPr="009B3532">
        <w:rPr>
          <w:szCs w:val="22"/>
        </w:rPr>
        <w:t xml:space="preserve"> podrá solicitar una ampliación de plazo de manera fundada y motivada, para el cumplimiento de la presente resolución.</w:t>
      </w:r>
    </w:p>
    <w:p w14:paraId="506402E6" w14:textId="77777777" w:rsidR="00585007" w:rsidRPr="009B3532" w:rsidRDefault="00585007" w:rsidP="009B3532">
      <w:pPr>
        <w:rPr>
          <w:szCs w:val="22"/>
        </w:rPr>
      </w:pPr>
    </w:p>
    <w:p w14:paraId="719A5C63" w14:textId="3A938F6E" w:rsidR="00664420" w:rsidRPr="009B3532" w:rsidRDefault="00664420" w:rsidP="009B3532">
      <w:pPr>
        <w:rPr>
          <w:rFonts w:eastAsia="Palatino Linotype" w:cs="Palatino Linotype"/>
          <w:szCs w:val="22"/>
        </w:rPr>
      </w:pPr>
      <w:r w:rsidRPr="009B3532">
        <w:rPr>
          <w:rFonts w:eastAsia="Palatino Linotype" w:cs="Palatino Linotype"/>
          <w:szCs w:val="22"/>
        </w:rPr>
        <w:lastRenderedPageBreak/>
        <w:t xml:space="preserve">ASÍ LO RESUELVE, POR UNANIMIDAD DE VOTOS EL PLENO DEL </w:t>
      </w:r>
      <w:r w:rsidR="003225F8" w:rsidRPr="009B3532">
        <w:rPr>
          <w:rFonts w:eastAsia="Palatino Linotype" w:cs="Palatino Linotype"/>
          <w:szCs w:val="22"/>
        </w:rPr>
        <w:t xml:space="preserve">INSTITUTO DE TRANSPARENCIA, ACCESO A LA INFORMACIÓN PÚBLICA Y PROTECCIÓN DE DATOS PERSONALES DEL ESTADO DE MÉXICO Y MUNICIPIOS, </w:t>
      </w:r>
      <w:r w:rsidRPr="009B3532">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97409C" w:rsidRPr="009B3532">
        <w:rPr>
          <w:rFonts w:eastAsia="Palatino Linotype" w:cs="Palatino Linotype"/>
          <w:szCs w:val="22"/>
        </w:rPr>
        <w:t>OCTAVA</w:t>
      </w:r>
      <w:r w:rsidR="00C5325A" w:rsidRPr="009B3532">
        <w:rPr>
          <w:rFonts w:eastAsia="Palatino Linotype" w:cs="Palatino Linotype"/>
          <w:szCs w:val="22"/>
        </w:rPr>
        <w:t xml:space="preserve"> </w:t>
      </w:r>
      <w:r w:rsidRPr="009B3532">
        <w:rPr>
          <w:rFonts w:eastAsia="Palatino Linotype" w:cs="Palatino Linotype"/>
          <w:szCs w:val="22"/>
        </w:rPr>
        <w:t xml:space="preserve">SESIÓN ORDINARIA, CELEBRADA EL </w:t>
      </w:r>
      <w:r w:rsidR="0097409C" w:rsidRPr="009B3532">
        <w:rPr>
          <w:rFonts w:eastAsia="Palatino Linotype" w:cs="Palatino Linotype"/>
          <w:szCs w:val="22"/>
        </w:rPr>
        <w:t>SEIS DE MARZO</w:t>
      </w:r>
      <w:r w:rsidR="0040573B" w:rsidRPr="009B3532">
        <w:rPr>
          <w:rFonts w:eastAsia="Palatino Linotype" w:cs="Palatino Linotype"/>
          <w:szCs w:val="22"/>
        </w:rPr>
        <w:t xml:space="preserve"> DE DOS MIL VEINTICINCO</w:t>
      </w:r>
      <w:r w:rsidR="00336B4B" w:rsidRPr="009B3532">
        <w:rPr>
          <w:rFonts w:eastAsia="Palatino Linotype" w:cs="Palatino Linotype"/>
          <w:szCs w:val="22"/>
        </w:rPr>
        <w:t xml:space="preserve">, </w:t>
      </w:r>
      <w:r w:rsidRPr="009B3532">
        <w:rPr>
          <w:rFonts w:eastAsia="Palatino Linotype" w:cs="Palatino Linotype"/>
          <w:szCs w:val="22"/>
        </w:rPr>
        <w:t>ANTE EL SECRETARIO TÉCNICO DEL PLENO, ALEXIS TAPIA RAMÍREZ.</w:t>
      </w:r>
    </w:p>
    <w:p w14:paraId="26F5FDEB" w14:textId="77777777" w:rsidR="008629A5" w:rsidRPr="009B3532" w:rsidRDefault="008629A5" w:rsidP="009B3532">
      <w:pPr>
        <w:ind w:right="-93"/>
        <w:rPr>
          <w:szCs w:val="22"/>
        </w:rPr>
      </w:pPr>
      <w:r w:rsidRPr="009B3532">
        <w:rPr>
          <w:rFonts w:eastAsia="Palatino Linotype" w:cs="Palatino Linotype"/>
          <w:szCs w:val="22"/>
        </w:rPr>
        <w:t>SCMM/AGZ/DEMF/PAG</w:t>
      </w:r>
    </w:p>
    <w:p w14:paraId="49D72DA3" w14:textId="77777777" w:rsidR="00664420" w:rsidRPr="009B3532" w:rsidRDefault="00664420" w:rsidP="009B3532">
      <w:pPr>
        <w:ind w:right="-93"/>
        <w:rPr>
          <w:rFonts w:eastAsia="Calibri" w:cs="Tahoma"/>
          <w:bCs/>
          <w:szCs w:val="22"/>
          <w:lang w:eastAsia="en-US"/>
        </w:rPr>
      </w:pPr>
    </w:p>
    <w:p w14:paraId="5EFEA0CD" w14:textId="77777777" w:rsidR="00664420" w:rsidRPr="009B3532" w:rsidRDefault="00664420" w:rsidP="009B3532">
      <w:pPr>
        <w:ind w:right="-93"/>
        <w:rPr>
          <w:rFonts w:eastAsia="Calibri" w:cs="Tahoma"/>
          <w:szCs w:val="22"/>
          <w:lang w:val="es-ES"/>
        </w:rPr>
      </w:pPr>
    </w:p>
    <w:p w14:paraId="696BC976" w14:textId="77777777" w:rsidR="00664420" w:rsidRPr="009B3532" w:rsidRDefault="00664420" w:rsidP="009B3532">
      <w:pPr>
        <w:ind w:right="-93"/>
        <w:rPr>
          <w:rFonts w:eastAsia="Calibri" w:cs="Tahoma"/>
          <w:bCs/>
          <w:szCs w:val="22"/>
          <w:lang w:val="es-ES" w:eastAsia="en-US"/>
        </w:rPr>
      </w:pPr>
    </w:p>
    <w:p w14:paraId="671CB0C5" w14:textId="77777777" w:rsidR="00664420" w:rsidRPr="009B3532" w:rsidRDefault="00664420" w:rsidP="009B3532">
      <w:pPr>
        <w:ind w:right="-93"/>
        <w:rPr>
          <w:rFonts w:eastAsia="Calibri" w:cs="Tahoma"/>
          <w:bCs/>
          <w:szCs w:val="22"/>
          <w:lang w:val="es-ES_tradnl" w:eastAsia="en-US"/>
        </w:rPr>
      </w:pPr>
    </w:p>
    <w:p w14:paraId="52B66DE7" w14:textId="77777777" w:rsidR="00664420" w:rsidRPr="009B3532" w:rsidRDefault="00664420" w:rsidP="009B3532">
      <w:pPr>
        <w:ind w:right="-93"/>
        <w:rPr>
          <w:rFonts w:eastAsia="Calibri" w:cs="Tahoma"/>
          <w:bCs/>
          <w:szCs w:val="22"/>
          <w:lang w:val="es-ES_tradnl" w:eastAsia="en-US"/>
        </w:rPr>
      </w:pPr>
    </w:p>
    <w:p w14:paraId="3BA305D1" w14:textId="77777777" w:rsidR="00664420" w:rsidRPr="009B3532" w:rsidRDefault="00664420" w:rsidP="009B3532">
      <w:pPr>
        <w:ind w:right="-93"/>
        <w:rPr>
          <w:rFonts w:eastAsia="Calibri" w:cs="Tahoma"/>
          <w:bCs/>
          <w:szCs w:val="22"/>
          <w:lang w:val="es-ES_tradnl" w:eastAsia="en-US"/>
        </w:rPr>
      </w:pPr>
    </w:p>
    <w:p w14:paraId="78230707" w14:textId="77777777" w:rsidR="00664420" w:rsidRPr="009B3532" w:rsidRDefault="00664420" w:rsidP="009B3532">
      <w:pPr>
        <w:ind w:right="-93"/>
        <w:rPr>
          <w:rFonts w:eastAsia="Calibri" w:cs="Tahoma"/>
          <w:bCs/>
          <w:szCs w:val="22"/>
          <w:lang w:val="es-ES_tradnl" w:eastAsia="en-US"/>
        </w:rPr>
      </w:pPr>
    </w:p>
    <w:p w14:paraId="72D18B28" w14:textId="77777777" w:rsidR="00664420" w:rsidRPr="009B3532" w:rsidRDefault="00664420" w:rsidP="009B3532">
      <w:pPr>
        <w:ind w:right="-93"/>
        <w:rPr>
          <w:rFonts w:eastAsia="Calibri" w:cs="Tahoma"/>
          <w:bCs/>
          <w:szCs w:val="22"/>
          <w:lang w:val="es-ES_tradnl" w:eastAsia="en-US"/>
        </w:rPr>
      </w:pPr>
    </w:p>
    <w:p w14:paraId="6BD461DC" w14:textId="77777777" w:rsidR="00664420" w:rsidRPr="009B3532" w:rsidRDefault="00664420" w:rsidP="009B3532">
      <w:pPr>
        <w:tabs>
          <w:tab w:val="center" w:pos="4568"/>
        </w:tabs>
        <w:ind w:right="-93"/>
        <w:rPr>
          <w:rFonts w:eastAsia="Calibri" w:cs="Tahoma"/>
          <w:bCs/>
          <w:szCs w:val="22"/>
          <w:lang w:eastAsia="en-US"/>
        </w:rPr>
      </w:pPr>
    </w:p>
    <w:p w14:paraId="4DBB1727" w14:textId="77777777" w:rsidR="00664420" w:rsidRPr="009B3532" w:rsidRDefault="00664420" w:rsidP="009B3532">
      <w:pPr>
        <w:tabs>
          <w:tab w:val="center" w:pos="4568"/>
        </w:tabs>
        <w:ind w:right="-93"/>
        <w:rPr>
          <w:rFonts w:eastAsia="Calibri" w:cs="Tahoma"/>
          <w:bCs/>
          <w:szCs w:val="22"/>
          <w:lang w:eastAsia="en-US"/>
        </w:rPr>
      </w:pPr>
    </w:p>
    <w:p w14:paraId="1D74121B" w14:textId="77777777" w:rsidR="00664420" w:rsidRPr="009B3532" w:rsidRDefault="00664420" w:rsidP="009B3532">
      <w:pPr>
        <w:tabs>
          <w:tab w:val="center" w:pos="4568"/>
        </w:tabs>
        <w:ind w:right="-93"/>
        <w:rPr>
          <w:rFonts w:eastAsia="Calibri" w:cs="Tahoma"/>
          <w:bCs/>
          <w:szCs w:val="22"/>
          <w:lang w:eastAsia="en-US"/>
        </w:rPr>
      </w:pPr>
    </w:p>
    <w:p w14:paraId="08E74E9C" w14:textId="77777777" w:rsidR="00664420" w:rsidRPr="009B3532" w:rsidRDefault="00664420" w:rsidP="009B3532">
      <w:pPr>
        <w:tabs>
          <w:tab w:val="center" w:pos="4568"/>
        </w:tabs>
        <w:ind w:right="-93"/>
        <w:rPr>
          <w:rFonts w:eastAsia="Calibri" w:cs="Tahoma"/>
          <w:bCs/>
          <w:szCs w:val="22"/>
          <w:lang w:eastAsia="en-US"/>
        </w:rPr>
      </w:pPr>
    </w:p>
    <w:p w14:paraId="2CBF5E03" w14:textId="77777777" w:rsidR="00664420" w:rsidRPr="009B3532" w:rsidRDefault="00664420" w:rsidP="009B3532">
      <w:pPr>
        <w:tabs>
          <w:tab w:val="center" w:pos="4568"/>
        </w:tabs>
        <w:ind w:right="-93"/>
        <w:rPr>
          <w:rFonts w:eastAsia="Calibri" w:cs="Tahoma"/>
          <w:bCs/>
          <w:szCs w:val="22"/>
          <w:lang w:eastAsia="en-US"/>
        </w:rPr>
      </w:pPr>
    </w:p>
    <w:p w14:paraId="44865A6D" w14:textId="77777777" w:rsidR="00664420" w:rsidRPr="009B3532" w:rsidRDefault="00664420" w:rsidP="009B3532">
      <w:pPr>
        <w:tabs>
          <w:tab w:val="center" w:pos="4568"/>
        </w:tabs>
        <w:ind w:right="-93"/>
        <w:rPr>
          <w:rFonts w:eastAsia="Calibri" w:cs="Tahoma"/>
          <w:bCs/>
          <w:szCs w:val="22"/>
          <w:lang w:eastAsia="en-US"/>
        </w:rPr>
      </w:pPr>
    </w:p>
    <w:p w14:paraId="57A88B28" w14:textId="77777777" w:rsidR="00664420" w:rsidRPr="009B3532" w:rsidRDefault="00664420" w:rsidP="009B3532">
      <w:pPr>
        <w:tabs>
          <w:tab w:val="center" w:pos="4568"/>
        </w:tabs>
        <w:ind w:right="-93"/>
        <w:rPr>
          <w:rFonts w:eastAsia="Calibri" w:cs="Tahoma"/>
          <w:bCs/>
          <w:szCs w:val="22"/>
          <w:lang w:eastAsia="en-US"/>
        </w:rPr>
      </w:pPr>
    </w:p>
    <w:p w14:paraId="77EF6095" w14:textId="77777777" w:rsidR="00664420" w:rsidRPr="009B3532" w:rsidRDefault="00664420" w:rsidP="009B3532">
      <w:pPr>
        <w:tabs>
          <w:tab w:val="center" w:pos="4568"/>
        </w:tabs>
        <w:ind w:right="-93"/>
        <w:rPr>
          <w:rFonts w:eastAsia="Calibri" w:cs="Tahoma"/>
          <w:bCs/>
          <w:szCs w:val="22"/>
          <w:lang w:eastAsia="en-US"/>
        </w:rPr>
      </w:pPr>
    </w:p>
    <w:p w14:paraId="35593947" w14:textId="77777777" w:rsidR="00664420" w:rsidRPr="009B3532" w:rsidRDefault="00664420" w:rsidP="009B3532">
      <w:pPr>
        <w:tabs>
          <w:tab w:val="center" w:pos="4568"/>
        </w:tabs>
        <w:ind w:right="-93"/>
        <w:rPr>
          <w:rFonts w:eastAsia="Calibri" w:cs="Tahoma"/>
          <w:bCs/>
          <w:szCs w:val="22"/>
          <w:lang w:eastAsia="en-US"/>
        </w:rPr>
      </w:pPr>
    </w:p>
    <w:p w14:paraId="3AF72A17" w14:textId="77777777" w:rsidR="00664420" w:rsidRPr="009B3532" w:rsidRDefault="00664420" w:rsidP="009B3532">
      <w:pPr>
        <w:tabs>
          <w:tab w:val="center" w:pos="4568"/>
        </w:tabs>
        <w:ind w:right="-93"/>
        <w:rPr>
          <w:rFonts w:eastAsia="Calibri" w:cs="Tahoma"/>
          <w:bCs/>
          <w:szCs w:val="22"/>
          <w:lang w:eastAsia="en-US"/>
        </w:rPr>
      </w:pPr>
    </w:p>
    <w:p w14:paraId="37169144" w14:textId="77777777" w:rsidR="00664420" w:rsidRPr="009B3532" w:rsidRDefault="00664420" w:rsidP="009B3532">
      <w:pPr>
        <w:tabs>
          <w:tab w:val="center" w:pos="4568"/>
        </w:tabs>
        <w:ind w:right="-93"/>
        <w:rPr>
          <w:rFonts w:eastAsia="Calibri" w:cs="Tahoma"/>
          <w:bCs/>
          <w:szCs w:val="22"/>
          <w:lang w:eastAsia="en-US"/>
        </w:rPr>
      </w:pPr>
    </w:p>
    <w:p w14:paraId="77CFC088" w14:textId="77777777" w:rsidR="00664420" w:rsidRPr="009B3532" w:rsidRDefault="00664420" w:rsidP="009B3532">
      <w:pPr>
        <w:tabs>
          <w:tab w:val="center" w:pos="4568"/>
        </w:tabs>
        <w:ind w:right="-93"/>
        <w:rPr>
          <w:rFonts w:eastAsia="Calibri" w:cs="Tahoma"/>
          <w:bCs/>
          <w:szCs w:val="22"/>
          <w:lang w:eastAsia="en-US"/>
        </w:rPr>
      </w:pPr>
    </w:p>
    <w:p w14:paraId="781A11A5" w14:textId="77777777" w:rsidR="00664420" w:rsidRPr="009B3532" w:rsidRDefault="00664420" w:rsidP="009B3532">
      <w:pPr>
        <w:tabs>
          <w:tab w:val="center" w:pos="4568"/>
        </w:tabs>
        <w:ind w:right="-93"/>
        <w:rPr>
          <w:rFonts w:eastAsia="Calibri" w:cs="Tahoma"/>
          <w:bCs/>
          <w:szCs w:val="22"/>
          <w:lang w:eastAsia="en-US"/>
        </w:rPr>
      </w:pPr>
    </w:p>
    <w:p w14:paraId="5B4ADFF3" w14:textId="77777777" w:rsidR="00A131AC" w:rsidRPr="009B3532" w:rsidRDefault="00A131AC" w:rsidP="009B3532">
      <w:pPr>
        <w:rPr>
          <w:szCs w:val="22"/>
        </w:rPr>
      </w:pPr>
    </w:p>
    <w:sectPr w:rsidR="00A131AC" w:rsidRPr="009B353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21162" w14:textId="77777777" w:rsidR="007966E4" w:rsidRDefault="007966E4" w:rsidP="00664420">
      <w:pPr>
        <w:spacing w:line="240" w:lineRule="auto"/>
      </w:pPr>
      <w:r>
        <w:separator/>
      </w:r>
    </w:p>
  </w:endnote>
  <w:endnote w:type="continuationSeparator" w:id="0">
    <w:p w14:paraId="4B16AF04" w14:textId="77777777" w:rsidR="007966E4" w:rsidRDefault="007966E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579A7" w:rsidRDefault="001579A7">
    <w:pPr>
      <w:tabs>
        <w:tab w:val="center" w:pos="4550"/>
        <w:tab w:val="left" w:pos="5818"/>
      </w:tabs>
      <w:ind w:right="260"/>
      <w:jc w:val="right"/>
      <w:rPr>
        <w:color w:val="071320" w:themeColor="text2" w:themeShade="80"/>
        <w:sz w:val="24"/>
        <w:szCs w:val="24"/>
      </w:rPr>
    </w:pPr>
  </w:p>
  <w:p w14:paraId="1BCA7F23" w14:textId="77777777" w:rsidR="001579A7" w:rsidRDefault="001579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579A7" w:rsidRDefault="001579A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13703" w:rsidRPr="00D13703">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13703" w:rsidRPr="00D13703">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1579A7" w:rsidRDefault="001579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602B2" w14:textId="77777777" w:rsidR="007966E4" w:rsidRDefault="007966E4" w:rsidP="00664420">
      <w:pPr>
        <w:spacing w:line="240" w:lineRule="auto"/>
      </w:pPr>
      <w:r>
        <w:separator/>
      </w:r>
    </w:p>
  </w:footnote>
  <w:footnote w:type="continuationSeparator" w:id="0">
    <w:p w14:paraId="08A2F261" w14:textId="77777777" w:rsidR="007966E4" w:rsidRDefault="007966E4" w:rsidP="00664420">
      <w:pPr>
        <w:spacing w:line="240" w:lineRule="auto"/>
      </w:pPr>
      <w:r>
        <w:continuationSeparator/>
      </w:r>
    </w:p>
  </w:footnote>
  <w:footnote w:id="1">
    <w:p w14:paraId="2F8814FE" w14:textId="77777777" w:rsidR="00FD77B1" w:rsidRDefault="00FD77B1" w:rsidP="00FD77B1">
      <w:pPr>
        <w:pBdr>
          <w:top w:val="nil"/>
          <w:left w:val="nil"/>
          <w:bottom w:val="nil"/>
          <w:right w:val="nil"/>
          <w:between w:val="nil"/>
        </w:pBdr>
        <w:spacing w:line="240" w:lineRule="auto"/>
        <w:rPr>
          <w:i/>
          <w:color w:val="000000"/>
          <w:sz w:val="18"/>
          <w:szCs w:val="18"/>
        </w:rPr>
      </w:pPr>
      <w:r>
        <w:rPr>
          <w:vertAlign w:val="superscript"/>
        </w:rPr>
        <w:footnoteRef/>
      </w:r>
      <w:r>
        <w:rPr>
          <w:color w:val="000000"/>
          <w:sz w:val="20"/>
        </w:rPr>
        <w:t xml:space="preserve"> </w:t>
      </w:r>
      <w:hyperlink r:id="rId1">
        <w:r>
          <w:rPr>
            <w:i/>
            <w:color w:val="467886"/>
            <w:sz w:val="18"/>
            <w:szCs w:val="18"/>
            <w:u w:val="single"/>
          </w:rPr>
          <w:t>https://opendatacharter.net/principles-es/</w:t>
        </w:r>
      </w:hyperlink>
    </w:p>
  </w:footnote>
  <w:footnote w:id="2">
    <w:p w14:paraId="575866EB" w14:textId="77777777" w:rsidR="00FD6D80" w:rsidRPr="00735B49" w:rsidRDefault="00FD6D80" w:rsidP="00FD6D80">
      <w:pPr>
        <w:pStyle w:val="Textonotapie"/>
        <w:rPr>
          <w:i/>
          <w:sz w:val="18"/>
          <w:szCs w:val="18"/>
        </w:rPr>
      </w:pPr>
      <w:r>
        <w:rPr>
          <w:rStyle w:val="Refdenotaalpie"/>
        </w:rPr>
        <w:footnoteRef/>
      </w:r>
      <w:r>
        <w:t xml:space="preserve"> </w:t>
      </w:r>
      <w:r w:rsidRPr="00735B49">
        <w:rPr>
          <w:i/>
          <w:sz w:val="18"/>
          <w:szCs w:val="18"/>
        </w:rPr>
        <w:t>https://legislacion.edomex.gob.mx/sites/legislacion.edomex.gob.mx/files/files/pdf/gct/2023/noviembre/nov012/nov012a.pdf</w:t>
      </w:r>
    </w:p>
  </w:footnote>
  <w:footnote w:id="3">
    <w:p w14:paraId="75711A26" w14:textId="77777777" w:rsidR="00FD6D80" w:rsidRDefault="00FD6D80" w:rsidP="00FD6D80">
      <w:pPr>
        <w:pStyle w:val="Textonotapie"/>
      </w:pPr>
      <w:r>
        <w:rPr>
          <w:rStyle w:val="Refdenotaalpie"/>
        </w:rPr>
        <w:footnoteRef/>
      </w:r>
      <w:r>
        <w:t xml:space="preserve"> </w:t>
      </w:r>
      <w:hyperlink r:id="rId2" w:history="1">
        <w:r>
          <w:rPr>
            <w:rStyle w:val="Hipervnculo"/>
            <w:rFonts w:eastAsiaTheme="majorEastAsia"/>
          </w:rPr>
          <w:t>ene221a.pdf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579A7" w:rsidRPr="00330DA7" w14:paraId="070A4B18" w14:textId="77777777" w:rsidTr="003F35FD">
      <w:trPr>
        <w:trHeight w:val="144"/>
        <w:jc w:val="right"/>
      </w:trPr>
      <w:tc>
        <w:tcPr>
          <w:tcW w:w="2727" w:type="dxa"/>
        </w:tcPr>
        <w:p w14:paraId="62B7493A" w14:textId="77777777" w:rsidR="001579A7" w:rsidRPr="00330DA7" w:rsidRDefault="001579A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C8DF400" w:rsidR="001579A7" w:rsidRPr="00A90C72" w:rsidRDefault="001579A7" w:rsidP="000748DF">
          <w:pPr>
            <w:tabs>
              <w:tab w:val="right" w:pos="8838"/>
            </w:tabs>
            <w:ind w:left="-74" w:right="-105"/>
            <w:rPr>
              <w:rFonts w:eastAsia="Calibri" w:cs="Tahoma"/>
              <w:szCs w:val="22"/>
              <w:lang w:eastAsia="en-US"/>
            </w:rPr>
          </w:pPr>
          <w:r w:rsidRPr="008E24A9">
            <w:rPr>
              <w:rFonts w:eastAsia="Calibri" w:cs="Tahoma"/>
              <w:szCs w:val="22"/>
              <w:lang w:eastAsia="en-US"/>
            </w:rPr>
            <w:t>01057/INFOEM/IP/RR/2025</w:t>
          </w:r>
        </w:p>
      </w:tc>
    </w:tr>
    <w:tr w:rsidR="001579A7" w:rsidRPr="00330DA7" w14:paraId="4521E058" w14:textId="77777777" w:rsidTr="003F35FD">
      <w:trPr>
        <w:trHeight w:val="283"/>
        <w:jc w:val="right"/>
      </w:trPr>
      <w:tc>
        <w:tcPr>
          <w:tcW w:w="2727" w:type="dxa"/>
        </w:tcPr>
        <w:p w14:paraId="0B68C086" w14:textId="77777777" w:rsidR="001579A7" w:rsidRPr="00330DA7" w:rsidRDefault="001579A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AAA1509" w:rsidR="001579A7" w:rsidRPr="00952DD0" w:rsidRDefault="001579A7" w:rsidP="003F35FD">
          <w:pPr>
            <w:tabs>
              <w:tab w:val="left" w:pos="2834"/>
              <w:tab w:val="right" w:pos="8838"/>
            </w:tabs>
            <w:ind w:left="-108" w:right="-105"/>
            <w:rPr>
              <w:rFonts w:eastAsia="Calibri" w:cs="Tahoma"/>
              <w:szCs w:val="22"/>
              <w:lang w:eastAsia="en-US"/>
            </w:rPr>
          </w:pPr>
          <w:r w:rsidRPr="0021255F">
            <w:rPr>
              <w:rFonts w:eastAsia="Calibri" w:cs="Tahoma"/>
              <w:szCs w:val="22"/>
              <w:lang w:eastAsia="en-US"/>
            </w:rPr>
            <w:t xml:space="preserve">Ayuntamiento de </w:t>
          </w:r>
          <w:r>
            <w:rPr>
              <w:rFonts w:eastAsia="Calibri" w:cs="Tahoma"/>
              <w:szCs w:val="22"/>
              <w:lang w:eastAsia="en-US"/>
            </w:rPr>
            <w:t>Tenancingo</w:t>
          </w:r>
        </w:p>
      </w:tc>
    </w:tr>
    <w:tr w:rsidR="001579A7" w:rsidRPr="00330DA7" w14:paraId="6331D9B6" w14:textId="77777777" w:rsidTr="003F35FD">
      <w:trPr>
        <w:trHeight w:val="283"/>
        <w:jc w:val="right"/>
      </w:trPr>
      <w:tc>
        <w:tcPr>
          <w:tcW w:w="2727" w:type="dxa"/>
        </w:tcPr>
        <w:p w14:paraId="3FA86BAE" w14:textId="68E88B1D" w:rsidR="001579A7" w:rsidRPr="00330DA7" w:rsidRDefault="001579A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579A7" w:rsidRPr="00EA66FC" w:rsidRDefault="001579A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579A7" w:rsidRPr="00443C6B" w:rsidRDefault="001579A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579A7" w:rsidRPr="00330DA7" w14:paraId="29CFF901" w14:textId="77777777" w:rsidTr="004B56B4">
      <w:trPr>
        <w:trHeight w:val="1435"/>
      </w:trPr>
      <w:tc>
        <w:tcPr>
          <w:tcW w:w="283" w:type="dxa"/>
          <w:shd w:val="clear" w:color="auto" w:fill="auto"/>
        </w:tcPr>
        <w:p w14:paraId="046B9F8F" w14:textId="0240A9C1" w:rsidR="001579A7" w:rsidRPr="00330DA7" w:rsidRDefault="001579A7"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1579A7" w:rsidRPr="00330DA7" w14:paraId="04F272D2" w14:textId="77777777" w:rsidTr="009E4391">
            <w:trPr>
              <w:trHeight w:val="144"/>
            </w:trPr>
            <w:tc>
              <w:tcPr>
                <w:tcW w:w="2581" w:type="dxa"/>
              </w:tcPr>
              <w:p w14:paraId="2FD4DBF6" w14:textId="77777777" w:rsidR="001579A7" w:rsidRPr="00330DA7" w:rsidRDefault="001579A7"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52AB48A0" w:rsidR="001579A7" w:rsidRPr="00A90C72" w:rsidRDefault="001579A7" w:rsidP="009E4391">
                <w:pPr>
                  <w:tabs>
                    <w:tab w:val="right" w:pos="8838"/>
                  </w:tabs>
                  <w:spacing w:line="240" w:lineRule="auto"/>
                  <w:ind w:right="-108"/>
                  <w:rPr>
                    <w:rFonts w:eastAsia="Calibri" w:cs="Tahoma"/>
                    <w:szCs w:val="22"/>
                    <w:lang w:eastAsia="en-US"/>
                  </w:rPr>
                </w:pPr>
                <w:r w:rsidRPr="008E24A9">
                  <w:rPr>
                    <w:rFonts w:eastAsia="Calibri" w:cs="Tahoma"/>
                    <w:szCs w:val="22"/>
                    <w:lang w:eastAsia="en-US"/>
                  </w:rPr>
                  <w:t>01057/INFOEM/IP/RR/2025</w:t>
                </w:r>
              </w:p>
            </w:tc>
            <w:tc>
              <w:tcPr>
                <w:tcW w:w="3402" w:type="dxa"/>
              </w:tcPr>
              <w:p w14:paraId="71DEA1CF" w14:textId="77777777" w:rsidR="001579A7" w:rsidRDefault="001579A7" w:rsidP="005F3813">
                <w:pPr>
                  <w:tabs>
                    <w:tab w:val="right" w:pos="8838"/>
                  </w:tabs>
                  <w:spacing w:line="240" w:lineRule="auto"/>
                  <w:ind w:left="-74" w:right="-108"/>
                  <w:rPr>
                    <w:rFonts w:eastAsia="Calibri" w:cs="Tahoma"/>
                    <w:szCs w:val="22"/>
                    <w:lang w:eastAsia="en-US"/>
                  </w:rPr>
                </w:pPr>
              </w:p>
            </w:tc>
          </w:tr>
          <w:tr w:rsidR="001579A7" w:rsidRPr="00330DA7" w14:paraId="05C58951" w14:textId="77777777" w:rsidTr="009E4391">
            <w:trPr>
              <w:trHeight w:val="144"/>
            </w:trPr>
            <w:tc>
              <w:tcPr>
                <w:tcW w:w="2581" w:type="dxa"/>
              </w:tcPr>
              <w:p w14:paraId="642B9610" w14:textId="77777777" w:rsidR="001579A7" w:rsidRPr="00330DA7" w:rsidRDefault="001579A7"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13D14E2C" w:rsidR="001579A7" w:rsidRPr="005F19B1" w:rsidRDefault="00D13703"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XXXX</w:t>
                </w:r>
              </w:p>
            </w:tc>
            <w:tc>
              <w:tcPr>
                <w:tcW w:w="3402" w:type="dxa"/>
              </w:tcPr>
              <w:p w14:paraId="73F47F53" w14:textId="77777777" w:rsidR="001579A7" w:rsidRPr="005F19B1" w:rsidRDefault="001579A7" w:rsidP="005F3813">
                <w:pPr>
                  <w:tabs>
                    <w:tab w:val="left" w:pos="3122"/>
                    <w:tab w:val="right" w:pos="8838"/>
                  </w:tabs>
                  <w:spacing w:line="240" w:lineRule="auto"/>
                  <w:ind w:left="-105" w:right="-108"/>
                  <w:rPr>
                    <w:rFonts w:eastAsia="Calibri" w:cs="Tahoma"/>
                    <w:szCs w:val="22"/>
                    <w:lang w:eastAsia="en-US"/>
                  </w:rPr>
                </w:pPr>
              </w:p>
            </w:tc>
          </w:tr>
          <w:bookmarkEnd w:id="1"/>
          <w:tr w:rsidR="001579A7" w:rsidRPr="00330DA7" w14:paraId="00E6CDC1" w14:textId="77777777" w:rsidTr="009E4391">
            <w:trPr>
              <w:trHeight w:val="283"/>
            </w:trPr>
            <w:tc>
              <w:tcPr>
                <w:tcW w:w="2581" w:type="dxa"/>
              </w:tcPr>
              <w:p w14:paraId="0631AD24" w14:textId="77777777" w:rsidR="001579A7" w:rsidRPr="00330DA7" w:rsidRDefault="001579A7"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27366384" w:rsidR="001579A7" w:rsidRPr="00952DD0" w:rsidRDefault="001579A7" w:rsidP="005F3813">
                <w:pPr>
                  <w:tabs>
                    <w:tab w:val="left" w:pos="2834"/>
                    <w:tab w:val="right" w:pos="8838"/>
                  </w:tabs>
                  <w:spacing w:line="240" w:lineRule="auto"/>
                  <w:ind w:left="-108" w:right="-108"/>
                  <w:rPr>
                    <w:rFonts w:eastAsia="Calibri" w:cs="Tahoma"/>
                    <w:szCs w:val="22"/>
                    <w:lang w:eastAsia="en-US"/>
                  </w:rPr>
                </w:pPr>
                <w:r>
                  <w:rPr>
                    <w:rFonts w:eastAsia="Calibri" w:cs="Tahoma"/>
                    <w:szCs w:val="22"/>
                    <w:lang w:eastAsia="en-US"/>
                  </w:rPr>
                  <w:t>Ayuntamiento de Tenancingo</w:t>
                </w:r>
              </w:p>
            </w:tc>
            <w:tc>
              <w:tcPr>
                <w:tcW w:w="3402" w:type="dxa"/>
              </w:tcPr>
              <w:p w14:paraId="3A7DA319" w14:textId="77777777" w:rsidR="001579A7" w:rsidRPr="00A90C72" w:rsidRDefault="001579A7" w:rsidP="005F3813">
                <w:pPr>
                  <w:tabs>
                    <w:tab w:val="left" w:pos="2834"/>
                    <w:tab w:val="right" w:pos="8838"/>
                  </w:tabs>
                  <w:spacing w:line="240" w:lineRule="auto"/>
                  <w:ind w:left="-108" w:right="-108"/>
                  <w:rPr>
                    <w:rFonts w:eastAsia="Calibri" w:cs="Tahoma"/>
                    <w:szCs w:val="22"/>
                    <w:lang w:eastAsia="en-US"/>
                  </w:rPr>
                </w:pPr>
              </w:p>
            </w:tc>
          </w:tr>
          <w:tr w:rsidR="001579A7" w:rsidRPr="00330DA7" w14:paraId="0F6CD8D2" w14:textId="77777777" w:rsidTr="009E4391">
            <w:trPr>
              <w:trHeight w:val="283"/>
            </w:trPr>
            <w:tc>
              <w:tcPr>
                <w:tcW w:w="2581" w:type="dxa"/>
              </w:tcPr>
              <w:p w14:paraId="31700628" w14:textId="032DD90E" w:rsidR="001579A7" w:rsidRPr="00330DA7" w:rsidRDefault="001579A7"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1579A7" w:rsidRPr="00EA66FC" w:rsidRDefault="001579A7"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579A7" w:rsidRPr="00330DA7" w:rsidRDefault="001579A7" w:rsidP="005F3813">
                <w:pPr>
                  <w:tabs>
                    <w:tab w:val="right" w:pos="8838"/>
                  </w:tabs>
                  <w:spacing w:line="240" w:lineRule="auto"/>
                  <w:ind w:left="-108" w:right="-108"/>
                  <w:rPr>
                    <w:rFonts w:eastAsia="Calibri" w:cs="Tahoma"/>
                    <w:szCs w:val="22"/>
                    <w:lang w:eastAsia="en-US"/>
                  </w:rPr>
                </w:pPr>
              </w:p>
            </w:tc>
          </w:tr>
        </w:tbl>
        <w:p w14:paraId="5DC6AC61" w14:textId="77777777" w:rsidR="001579A7" w:rsidRPr="00330DA7" w:rsidRDefault="001579A7" w:rsidP="004B56B4">
          <w:pPr>
            <w:tabs>
              <w:tab w:val="right" w:pos="8838"/>
            </w:tabs>
            <w:ind w:left="-28"/>
            <w:rPr>
              <w:rFonts w:ascii="Arial" w:eastAsia="Calibri" w:hAnsi="Arial" w:cs="Arial"/>
              <w:b/>
              <w:szCs w:val="22"/>
              <w:lang w:eastAsia="en-US"/>
            </w:rPr>
          </w:pPr>
        </w:p>
      </w:tc>
    </w:tr>
  </w:tbl>
  <w:p w14:paraId="2A906731" w14:textId="77777777" w:rsidR="001579A7" w:rsidRPr="00765661" w:rsidRDefault="007966E4"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886"/>
    <w:multiLevelType w:val="multilevel"/>
    <w:tmpl w:val="66428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ED5849"/>
    <w:multiLevelType w:val="hybridMultilevel"/>
    <w:tmpl w:val="7324CE6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4C1E74"/>
    <w:multiLevelType w:val="multilevel"/>
    <w:tmpl w:val="1FE28A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D99405A"/>
    <w:multiLevelType w:val="multilevel"/>
    <w:tmpl w:val="D7046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0A3EC9"/>
    <w:multiLevelType w:val="hybridMultilevel"/>
    <w:tmpl w:val="07049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530BA0"/>
    <w:multiLevelType w:val="multilevel"/>
    <w:tmpl w:val="702EFA58"/>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5" w15:restartNumberingAfterBreak="0">
    <w:nsid w:val="3A092EC3"/>
    <w:multiLevelType w:val="hybridMultilevel"/>
    <w:tmpl w:val="7846A1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8A509F4"/>
    <w:multiLevelType w:val="hybridMultilevel"/>
    <w:tmpl w:val="E40C2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B175552"/>
    <w:multiLevelType w:val="hybridMultilevel"/>
    <w:tmpl w:val="F1F4AEA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180E99"/>
    <w:multiLevelType w:val="multilevel"/>
    <w:tmpl w:val="72E8A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432968"/>
    <w:multiLevelType w:val="hybridMultilevel"/>
    <w:tmpl w:val="57666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6"/>
  </w:num>
  <w:num w:numId="4">
    <w:abstractNumId w:val="16"/>
  </w:num>
  <w:num w:numId="5">
    <w:abstractNumId w:val="12"/>
  </w:num>
  <w:num w:numId="6">
    <w:abstractNumId w:val="11"/>
  </w:num>
  <w:num w:numId="7">
    <w:abstractNumId w:val="10"/>
  </w:num>
  <w:num w:numId="8">
    <w:abstractNumId w:val="36"/>
  </w:num>
  <w:num w:numId="9">
    <w:abstractNumId w:val="1"/>
  </w:num>
  <w:num w:numId="10">
    <w:abstractNumId w:val="21"/>
  </w:num>
  <w:num w:numId="11">
    <w:abstractNumId w:val="7"/>
  </w:num>
  <w:num w:numId="12">
    <w:abstractNumId w:val="39"/>
  </w:num>
  <w:num w:numId="13">
    <w:abstractNumId w:val="23"/>
  </w:num>
  <w:num w:numId="14">
    <w:abstractNumId w:val="2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3"/>
  </w:num>
  <w:num w:numId="18">
    <w:abstractNumId w:val="8"/>
  </w:num>
  <w:num w:numId="19">
    <w:abstractNumId w:val="24"/>
  </w:num>
  <w:num w:numId="20">
    <w:abstractNumId w:val="40"/>
  </w:num>
  <w:num w:numId="21">
    <w:abstractNumId w:val="18"/>
  </w:num>
  <w:num w:numId="22">
    <w:abstractNumId w:val="34"/>
  </w:num>
  <w:num w:numId="23">
    <w:abstractNumId w:val="31"/>
  </w:num>
  <w:num w:numId="24">
    <w:abstractNumId w:val="9"/>
  </w:num>
  <w:num w:numId="25">
    <w:abstractNumId w:val="22"/>
  </w:num>
  <w:num w:numId="26">
    <w:abstractNumId w:val="6"/>
  </w:num>
  <w:num w:numId="27">
    <w:abstractNumId w:val="27"/>
  </w:num>
  <w:num w:numId="28">
    <w:abstractNumId w:val="3"/>
  </w:num>
  <w:num w:numId="29">
    <w:abstractNumId w:val="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num>
  <w:num w:numId="33">
    <w:abstractNumId w:val="25"/>
  </w:num>
  <w:num w:numId="34">
    <w:abstractNumId w:val="15"/>
  </w:num>
  <w:num w:numId="35">
    <w:abstractNumId w:val="2"/>
  </w:num>
  <w:num w:numId="36">
    <w:abstractNumId w:val="30"/>
  </w:num>
  <w:num w:numId="37">
    <w:abstractNumId w:val="0"/>
  </w:num>
  <w:num w:numId="38">
    <w:abstractNumId w:val="14"/>
  </w:num>
  <w:num w:numId="39">
    <w:abstractNumId w:val="13"/>
  </w:num>
  <w:num w:numId="40">
    <w:abstractNumId w:val="37"/>
  </w:num>
  <w:num w:numId="41">
    <w:abstractNumId w:val="32"/>
  </w:num>
  <w:num w:numId="42">
    <w:abstractNumId w:val="35"/>
  </w:num>
  <w:num w:numId="43">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1829"/>
    <w:rsid w:val="00015123"/>
    <w:rsid w:val="00017B8D"/>
    <w:rsid w:val="00021886"/>
    <w:rsid w:val="0002337E"/>
    <w:rsid w:val="00023457"/>
    <w:rsid w:val="00024A0B"/>
    <w:rsid w:val="00024ED5"/>
    <w:rsid w:val="000318BC"/>
    <w:rsid w:val="00033717"/>
    <w:rsid w:val="00034097"/>
    <w:rsid w:val="00036589"/>
    <w:rsid w:val="000411E3"/>
    <w:rsid w:val="00043F62"/>
    <w:rsid w:val="00044897"/>
    <w:rsid w:val="00044BDF"/>
    <w:rsid w:val="00046919"/>
    <w:rsid w:val="00047401"/>
    <w:rsid w:val="0005109B"/>
    <w:rsid w:val="00054DD6"/>
    <w:rsid w:val="00057B2D"/>
    <w:rsid w:val="000701E0"/>
    <w:rsid w:val="000729B9"/>
    <w:rsid w:val="000729BE"/>
    <w:rsid w:val="00073F86"/>
    <w:rsid w:val="000746B4"/>
    <w:rsid w:val="0007489A"/>
    <w:rsid w:val="000748DF"/>
    <w:rsid w:val="00074990"/>
    <w:rsid w:val="00075514"/>
    <w:rsid w:val="00076232"/>
    <w:rsid w:val="00076EF3"/>
    <w:rsid w:val="00080071"/>
    <w:rsid w:val="000820ED"/>
    <w:rsid w:val="00082A7D"/>
    <w:rsid w:val="00082D9D"/>
    <w:rsid w:val="000853B7"/>
    <w:rsid w:val="00085CDA"/>
    <w:rsid w:val="000863CE"/>
    <w:rsid w:val="00086B1B"/>
    <w:rsid w:val="000871BE"/>
    <w:rsid w:val="000925BE"/>
    <w:rsid w:val="000931F8"/>
    <w:rsid w:val="0009347C"/>
    <w:rsid w:val="0009480D"/>
    <w:rsid w:val="00095D43"/>
    <w:rsid w:val="000A28B5"/>
    <w:rsid w:val="000A57F7"/>
    <w:rsid w:val="000B193A"/>
    <w:rsid w:val="000B3962"/>
    <w:rsid w:val="000B4579"/>
    <w:rsid w:val="000C0303"/>
    <w:rsid w:val="000C1E8E"/>
    <w:rsid w:val="000C200B"/>
    <w:rsid w:val="000C5F87"/>
    <w:rsid w:val="000C67F9"/>
    <w:rsid w:val="000C7151"/>
    <w:rsid w:val="000C7982"/>
    <w:rsid w:val="000D0D67"/>
    <w:rsid w:val="000D13AD"/>
    <w:rsid w:val="000E09C4"/>
    <w:rsid w:val="000E1CAE"/>
    <w:rsid w:val="000E3851"/>
    <w:rsid w:val="000E4D48"/>
    <w:rsid w:val="000E5A90"/>
    <w:rsid w:val="000F02E2"/>
    <w:rsid w:val="000F1C2C"/>
    <w:rsid w:val="000F5D4A"/>
    <w:rsid w:val="000F73F7"/>
    <w:rsid w:val="000F7D22"/>
    <w:rsid w:val="00100134"/>
    <w:rsid w:val="00102684"/>
    <w:rsid w:val="00103557"/>
    <w:rsid w:val="00103EC8"/>
    <w:rsid w:val="00104035"/>
    <w:rsid w:val="001109B7"/>
    <w:rsid w:val="00111F3E"/>
    <w:rsid w:val="00113286"/>
    <w:rsid w:val="0011350D"/>
    <w:rsid w:val="00113CFA"/>
    <w:rsid w:val="00113E1A"/>
    <w:rsid w:val="00115D8E"/>
    <w:rsid w:val="00117B76"/>
    <w:rsid w:val="00122332"/>
    <w:rsid w:val="00124714"/>
    <w:rsid w:val="001259D3"/>
    <w:rsid w:val="00125D09"/>
    <w:rsid w:val="00126BAB"/>
    <w:rsid w:val="0013398A"/>
    <w:rsid w:val="00134ED3"/>
    <w:rsid w:val="0013732D"/>
    <w:rsid w:val="00141876"/>
    <w:rsid w:val="00141A03"/>
    <w:rsid w:val="0014207B"/>
    <w:rsid w:val="00143EB3"/>
    <w:rsid w:val="00144C4D"/>
    <w:rsid w:val="00145301"/>
    <w:rsid w:val="00145FFE"/>
    <w:rsid w:val="00147662"/>
    <w:rsid w:val="00150C49"/>
    <w:rsid w:val="001544C8"/>
    <w:rsid w:val="00155689"/>
    <w:rsid w:val="00156DB7"/>
    <w:rsid w:val="001579A7"/>
    <w:rsid w:val="00164403"/>
    <w:rsid w:val="00165396"/>
    <w:rsid w:val="00167FA5"/>
    <w:rsid w:val="00176CA6"/>
    <w:rsid w:val="00180562"/>
    <w:rsid w:val="00182B71"/>
    <w:rsid w:val="00182E93"/>
    <w:rsid w:val="00186A19"/>
    <w:rsid w:val="00187098"/>
    <w:rsid w:val="00190A3D"/>
    <w:rsid w:val="001913B7"/>
    <w:rsid w:val="00192043"/>
    <w:rsid w:val="00192091"/>
    <w:rsid w:val="00192B07"/>
    <w:rsid w:val="00193171"/>
    <w:rsid w:val="001948EE"/>
    <w:rsid w:val="00197F95"/>
    <w:rsid w:val="001A0A72"/>
    <w:rsid w:val="001A3C48"/>
    <w:rsid w:val="001A5691"/>
    <w:rsid w:val="001A58B3"/>
    <w:rsid w:val="001A5EE4"/>
    <w:rsid w:val="001A684C"/>
    <w:rsid w:val="001B07A3"/>
    <w:rsid w:val="001B469C"/>
    <w:rsid w:val="001B6B5F"/>
    <w:rsid w:val="001B6E32"/>
    <w:rsid w:val="001B7238"/>
    <w:rsid w:val="001C0C12"/>
    <w:rsid w:val="001C1234"/>
    <w:rsid w:val="001C1AE4"/>
    <w:rsid w:val="001C27CF"/>
    <w:rsid w:val="001C3FB7"/>
    <w:rsid w:val="001C5F83"/>
    <w:rsid w:val="001C7688"/>
    <w:rsid w:val="001C7E98"/>
    <w:rsid w:val="001D0C50"/>
    <w:rsid w:val="001D321F"/>
    <w:rsid w:val="001D34B1"/>
    <w:rsid w:val="001D4CD0"/>
    <w:rsid w:val="001D578F"/>
    <w:rsid w:val="001D64B5"/>
    <w:rsid w:val="001E0127"/>
    <w:rsid w:val="001E1A69"/>
    <w:rsid w:val="001E6F7B"/>
    <w:rsid w:val="001F1BE3"/>
    <w:rsid w:val="001F2DC7"/>
    <w:rsid w:val="001F3515"/>
    <w:rsid w:val="001F5616"/>
    <w:rsid w:val="002051CD"/>
    <w:rsid w:val="0020698B"/>
    <w:rsid w:val="00207DEA"/>
    <w:rsid w:val="00211229"/>
    <w:rsid w:val="0021255F"/>
    <w:rsid w:val="00212CEC"/>
    <w:rsid w:val="00214C78"/>
    <w:rsid w:val="00214FC7"/>
    <w:rsid w:val="002163E8"/>
    <w:rsid w:val="0022059D"/>
    <w:rsid w:val="002212F8"/>
    <w:rsid w:val="00224352"/>
    <w:rsid w:val="00225C9B"/>
    <w:rsid w:val="00225D98"/>
    <w:rsid w:val="002267DD"/>
    <w:rsid w:val="002268D4"/>
    <w:rsid w:val="00227FB3"/>
    <w:rsid w:val="002309EE"/>
    <w:rsid w:val="0023187D"/>
    <w:rsid w:val="00231D44"/>
    <w:rsid w:val="00233005"/>
    <w:rsid w:val="00233F17"/>
    <w:rsid w:val="002346E6"/>
    <w:rsid w:val="00236D5E"/>
    <w:rsid w:val="002411A0"/>
    <w:rsid w:val="00241ACF"/>
    <w:rsid w:val="00242B28"/>
    <w:rsid w:val="00244FA6"/>
    <w:rsid w:val="00246E63"/>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A0F63"/>
    <w:rsid w:val="002A10C4"/>
    <w:rsid w:val="002A3350"/>
    <w:rsid w:val="002A3601"/>
    <w:rsid w:val="002A5785"/>
    <w:rsid w:val="002B1314"/>
    <w:rsid w:val="002B3577"/>
    <w:rsid w:val="002B4A8C"/>
    <w:rsid w:val="002B69B7"/>
    <w:rsid w:val="002B6ADA"/>
    <w:rsid w:val="002B7C6F"/>
    <w:rsid w:val="002C58A8"/>
    <w:rsid w:val="002D111C"/>
    <w:rsid w:val="002D1834"/>
    <w:rsid w:val="002D2D4A"/>
    <w:rsid w:val="002D4497"/>
    <w:rsid w:val="002D4867"/>
    <w:rsid w:val="002E0855"/>
    <w:rsid w:val="002E08BE"/>
    <w:rsid w:val="002E2C99"/>
    <w:rsid w:val="002E309B"/>
    <w:rsid w:val="002E5B46"/>
    <w:rsid w:val="002E6465"/>
    <w:rsid w:val="002E69F0"/>
    <w:rsid w:val="002E6DBB"/>
    <w:rsid w:val="002E7065"/>
    <w:rsid w:val="002F1C00"/>
    <w:rsid w:val="002F46FE"/>
    <w:rsid w:val="002F4DBD"/>
    <w:rsid w:val="00302476"/>
    <w:rsid w:val="00310433"/>
    <w:rsid w:val="0031184A"/>
    <w:rsid w:val="00314E5D"/>
    <w:rsid w:val="00314FAA"/>
    <w:rsid w:val="00315789"/>
    <w:rsid w:val="00316A38"/>
    <w:rsid w:val="003171F3"/>
    <w:rsid w:val="00317896"/>
    <w:rsid w:val="003202F3"/>
    <w:rsid w:val="00321E6F"/>
    <w:rsid w:val="00321F51"/>
    <w:rsid w:val="00322249"/>
    <w:rsid w:val="003225F8"/>
    <w:rsid w:val="003244E0"/>
    <w:rsid w:val="00326D30"/>
    <w:rsid w:val="00327F9C"/>
    <w:rsid w:val="00331BAE"/>
    <w:rsid w:val="00331F35"/>
    <w:rsid w:val="00333057"/>
    <w:rsid w:val="0033442A"/>
    <w:rsid w:val="0033585B"/>
    <w:rsid w:val="00335CDF"/>
    <w:rsid w:val="00336B4B"/>
    <w:rsid w:val="00336D38"/>
    <w:rsid w:val="003414B4"/>
    <w:rsid w:val="0034310E"/>
    <w:rsid w:val="00344500"/>
    <w:rsid w:val="00344D5E"/>
    <w:rsid w:val="00350A25"/>
    <w:rsid w:val="003521FC"/>
    <w:rsid w:val="00353D69"/>
    <w:rsid w:val="00356A32"/>
    <w:rsid w:val="00357746"/>
    <w:rsid w:val="00360C31"/>
    <w:rsid w:val="00360DDD"/>
    <w:rsid w:val="00362A11"/>
    <w:rsid w:val="0037203D"/>
    <w:rsid w:val="00372AF0"/>
    <w:rsid w:val="00373ACA"/>
    <w:rsid w:val="00375A54"/>
    <w:rsid w:val="00376DB2"/>
    <w:rsid w:val="00377780"/>
    <w:rsid w:val="0038205E"/>
    <w:rsid w:val="0038284C"/>
    <w:rsid w:val="00384497"/>
    <w:rsid w:val="003907A4"/>
    <w:rsid w:val="00393971"/>
    <w:rsid w:val="00396D53"/>
    <w:rsid w:val="003A16C4"/>
    <w:rsid w:val="003A36BE"/>
    <w:rsid w:val="003A40C1"/>
    <w:rsid w:val="003A49FA"/>
    <w:rsid w:val="003A4BAA"/>
    <w:rsid w:val="003A552F"/>
    <w:rsid w:val="003A7B0D"/>
    <w:rsid w:val="003A7ED3"/>
    <w:rsid w:val="003B2C16"/>
    <w:rsid w:val="003B3762"/>
    <w:rsid w:val="003B5D3E"/>
    <w:rsid w:val="003B62E6"/>
    <w:rsid w:val="003B77A8"/>
    <w:rsid w:val="003C1480"/>
    <w:rsid w:val="003C1E36"/>
    <w:rsid w:val="003D00FC"/>
    <w:rsid w:val="003D038A"/>
    <w:rsid w:val="003D37E4"/>
    <w:rsid w:val="003D43DC"/>
    <w:rsid w:val="003D48F4"/>
    <w:rsid w:val="003D618F"/>
    <w:rsid w:val="003D6845"/>
    <w:rsid w:val="003D71C4"/>
    <w:rsid w:val="003E45CF"/>
    <w:rsid w:val="003E5FDB"/>
    <w:rsid w:val="003F35FD"/>
    <w:rsid w:val="003F51C1"/>
    <w:rsid w:val="003F5AC2"/>
    <w:rsid w:val="003F5E69"/>
    <w:rsid w:val="003F71AC"/>
    <w:rsid w:val="003F780F"/>
    <w:rsid w:val="004004E2"/>
    <w:rsid w:val="00400948"/>
    <w:rsid w:val="00403E3A"/>
    <w:rsid w:val="004040E3"/>
    <w:rsid w:val="004049D3"/>
    <w:rsid w:val="0040573B"/>
    <w:rsid w:val="00406F5A"/>
    <w:rsid w:val="00413154"/>
    <w:rsid w:val="0041385B"/>
    <w:rsid w:val="0041709A"/>
    <w:rsid w:val="004252F1"/>
    <w:rsid w:val="00426E7F"/>
    <w:rsid w:val="00430A6E"/>
    <w:rsid w:val="00430C32"/>
    <w:rsid w:val="004325D2"/>
    <w:rsid w:val="004326C1"/>
    <w:rsid w:val="00433A58"/>
    <w:rsid w:val="00434946"/>
    <w:rsid w:val="0043551E"/>
    <w:rsid w:val="00435F18"/>
    <w:rsid w:val="00441BFA"/>
    <w:rsid w:val="00442047"/>
    <w:rsid w:val="004427CC"/>
    <w:rsid w:val="00442D21"/>
    <w:rsid w:val="0044682C"/>
    <w:rsid w:val="00453B6D"/>
    <w:rsid w:val="00454218"/>
    <w:rsid w:val="00454FBD"/>
    <w:rsid w:val="00455859"/>
    <w:rsid w:val="00455B6C"/>
    <w:rsid w:val="00456274"/>
    <w:rsid w:val="004564FF"/>
    <w:rsid w:val="004568C7"/>
    <w:rsid w:val="00456D52"/>
    <w:rsid w:val="00461FA5"/>
    <w:rsid w:val="00463E1C"/>
    <w:rsid w:val="00464F6A"/>
    <w:rsid w:val="004650AF"/>
    <w:rsid w:val="00466762"/>
    <w:rsid w:val="00466B34"/>
    <w:rsid w:val="00474747"/>
    <w:rsid w:val="00475583"/>
    <w:rsid w:val="00480006"/>
    <w:rsid w:val="0048159A"/>
    <w:rsid w:val="00482718"/>
    <w:rsid w:val="004973C5"/>
    <w:rsid w:val="00497BFA"/>
    <w:rsid w:val="004A115C"/>
    <w:rsid w:val="004A44B6"/>
    <w:rsid w:val="004A4C87"/>
    <w:rsid w:val="004A7CF3"/>
    <w:rsid w:val="004B01D8"/>
    <w:rsid w:val="004B05E0"/>
    <w:rsid w:val="004B4CBF"/>
    <w:rsid w:val="004B56B4"/>
    <w:rsid w:val="004C01F2"/>
    <w:rsid w:val="004C1BD1"/>
    <w:rsid w:val="004C2719"/>
    <w:rsid w:val="004C4DFF"/>
    <w:rsid w:val="004C629E"/>
    <w:rsid w:val="004D019F"/>
    <w:rsid w:val="004D18AD"/>
    <w:rsid w:val="004D22D1"/>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2341D"/>
    <w:rsid w:val="00523D3B"/>
    <w:rsid w:val="00523F48"/>
    <w:rsid w:val="0052461F"/>
    <w:rsid w:val="00524E6D"/>
    <w:rsid w:val="005272BD"/>
    <w:rsid w:val="0053014B"/>
    <w:rsid w:val="005314A3"/>
    <w:rsid w:val="00535015"/>
    <w:rsid w:val="005365FA"/>
    <w:rsid w:val="005453F1"/>
    <w:rsid w:val="00545624"/>
    <w:rsid w:val="005460DB"/>
    <w:rsid w:val="00546D39"/>
    <w:rsid w:val="00546E82"/>
    <w:rsid w:val="00547147"/>
    <w:rsid w:val="00552167"/>
    <w:rsid w:val="00553AFC"/>
    <w:rsid w:val="0055491A"/>
    <w:rsid w:val="00554934"/>
    <w:rsid w:val="005603CE"/>
    <w:rsid w:val="00562CFB"/>
    <w:rsid w:val="00564961"/>
    <w:rsid w:val="00565088"/>
    <w:rsid w:val="00565304"/>
    <w:rsid w:val="00566167"/>
    <w:rsid w:val="005666D8"/>
    <w:rsid w:val="00566A24"/>
    <w:rsid w:val="00567436"/>
    <w:rsid w:val="005720E2"/>
    <w:rsid w:val="005723CB"/>
    <w:rsid w:val="00574399"/>
    <w:rsid w:val="00575400"/>
    <w:rsid w:val="005764EC"/>
    <w:rsid w:val="005776E3"/>
    <w:rsid w:val="00583FE6"/>
    <w:rsid w:val="00585007"/>
    <w:rsid w:val="005856CA"/>
    <w:rsid w:val="00586B06"/>
    <w:rsid w:val="00587653"/>
    <w:rsid w:val="00590892"/>
    <w:rsid w:val="005928D2"/>
    <w:rsid w:val="0059321F"/>
    <w:rsid w:val="005A2DBC"/>
    <w:rsid w:val="005A2E48"/>
    <w:rsid w:val="005A3A88"/>
    <w:rsid w:val="005A3F8D"/>
    <w:rsid w:val="005B18AF"/>
    <w:rsid w:val="005B2E16"/>
    <w:rsid w:val="005B6096"/>
    <w:rsid w:val="005C2CF8"/>
    <w:rsid w:val="005C372D"/>
    <w:rsid w:val="005C494E"/>
    <w:rsid w:val="005D1822"/>
    <w:rsid w:val="005D5A50"/>
    <w:rsid w:val="005E1917"/>
    <w:rsid w:val="005E2369"/>
    <w:rsid w:val="005E23C1"/>
    <w:rsid w:val="005E45E4"/>
    <w:rsid w:val="005E59B2"/>
    <w:rsid w:val="005E7210"/>
    <w:rsid w:val="005F08BC"/>
    <w:rsid w:val="005F2743"/>
    <w:rsid w:val="005F3813"/>
    <w:rsid w:val="005F5301"/>
    <w:rsid w:val="005F5C51"/>
    <w:rsid w:val="005F65B7"/>
    <w:rsid w:val="005F7E3F"/>
    <w:rsid w:val="005F7FE3"/>
    <w:rsid w:val="00600163"/>
    <w:rsid w:val="00600FED"/>
    <w:rsid w:val="00602AC8"/>
    <w:rsid w:val="006041A0"/>
    <w:rsid w:val="00604AB7"/>
    <w:rsid w:val="006067C7"/>
    <w:rsid w:val="00607C4B"/>
    <w:rsid w:val="00607CBE"/>
    <w:rsid w:val="00613281"/>
    <w:rsid w:val="00614393"/>
    <w:rsid w:val="006153F0"/>
    <w:rsid w:val="006159AD"/>
    <w:rsid w:val="006169E6"/>
    <w:rsid w:val="00616A5A"/>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5A2F"/>
    <w:rsid w:val="00655F38"/>
    <w:rsid w:val="00657FBE"/>
    <w:rsid w:val="00661924"/>
    <w:rsid w:val="00661FCF"/>
    <w:rsid w:val="00662F4F"/>
    <w:rsid w:val="0066348B"/>
    <w:rsid w:val="00663CF5"/>
    <w:rsid w:val="00664420"/>
    <w:rsid w:val="00665A50"/>
    <w:rsid w:val="00670197"/>
    <w:rsid w:val="00670D3E"/>
    <w:rsid w:val="006740EA"/>
    <w:rsid w:val="006746C5"/>
    <w:rsid w:val="00674B17"/>
    <w:rsid w:val="00675166"/>
    <w:rsid w:val="0068166D"/>
    <w:rsid w:val="00682F10"/>
    <w:rsid w:val="00682FB7"/>
    <w:rsid w:val="0068416B"/>
    <w:rsid w:val="00685CF1"/>
    <w:rsid w:val="006863F1"/>
    <w:rsid w:val="00686502"/>
    <w:rsid w:val="00692552"/>
    <w:rsid w:val="0069268F"/>
    <w:rsid w:val="00692A3E"/>
    <w:rsid w:val="006A0C80"/>
    <w:rsid w:val="006A28B4"/>
    <w:rsid w:val="006A4BC1"/>
    <w:rsid w:val="006A61F1"/>
    <w:rsid w:val="006A646A"/>
    <w:rsid w:val="006B0CCC"/>
    <w:rsid w:val="006B10B0"/>
    <w:rsid w:val="006B2561"/>
    <w:rsid w:val="006B2B36"/>
    <w:rsid w:val="006B43A3"/>
    <w:rsid w:val="006B7F3A"/>
    <w:rsid w:val="006C0226"/>
    <w:rsid w:val="006C1423"/>
    <w:rsid w:val="006C2C7C"/>
    <w:rsid w:val="006C3622"/>
    <w:rsid w:val="006C41C2"/>
    <w:rsid w:val="006D0FC8"/>
    <w:rsid w:val="006D2613"/>
    <w:rsid w:val="006D4095"/>
    <w:rsid w:val="006D42B5"/>
    <w:rsid w:val="006D7D11"/>
    <w:rsid w:val="006E0AB3"/>
    <w:rsid w:val="006E0D4F"/>
    <w:rsid w:val="006E1893"/>
    <w:rsid w:val="006E23FF"/>
    <w:rsid w:val="006E25BC"/>
    <w:rsid w:val="006E42BD"/>
    <w:rsid w:val="006E5556"/>
    <w:rsid w:val="006E6592"/>
    <w:rsid w:val="006E6BBC"/>
    <w:rsid w:val="006F05A0"/>
    <w:rsid w:val="006F64E7"/>
    <w:rsid w:val="006F7071"/>
    <w:rsid w:val="006F7768"/>
    <w:rsid w:val="00703B62"/>
    <w:rsid w:val="00703BC7"/>
    <w:rsid w:val="00705235"/>
    <w:rsid w:val="00705DCC"/>
    <w:rsid w:val="00707158"/>
    <w:rsid w:val="00707890"/>
    <w:rsid w:val="00712200"/>
    <w:rsid w:val="007124D7"/>
    <w:rsid w:val="0071368B"/>
    <w:rsid w:val="00717E59"/>
    <w:rsid w:val="00721C72"/>
    <w:rsid w:val="00721C9E"/>
    <w:rsid w:val="00721CFC"/>
    <w:rsid w:val="00724A8E"/>
    <w:rsid w:val="00725300"/>
    <w:rsid w:val="00725B53"/>
    <w:rsid w:val="00727CC2"/>
    <w:rsid w:val="007328F2"/>
    <w:rsid w:val="00733526"/>
    <w:rsid w:val="007369BE"/>
    <w:rsid w:val="00737633"/>
    <w:rsid w:val="007452ED"/>
    <w:rsid w:val="0074773E"/>
    <w:rsid w:val="00747A8B"/>
    <w:rsid w:val="0075086A"/>
    <w:rsid w:val="00752813"/>
    <w:rsid w:val="007530D0"/>
    <w:rsid w:val="00756B84"/>
    <w:rsid w:val="00760756"/>
    <w:rsid w:val="00761E54"/>
    <w:rsid w:val="00763B37"/>
    <w:rsid w:val="00764D8A"/>
    <w:rsid w:val="007661B2"/>
    <w:rsid w:val="00766ECE"/>
    <w:rsid w:val="00766F57"/>
    <w:rsid w:val="007710B0"/>
    <w:rsid w:val="007713FB"/>
    <w:rsid w:val="0077232C"/>
    <w:rsid w:val="00772EB9"/>
    <w:rsid w:val="0077382A"/>
    <w:rsid w:val="0077396E"/>
    <w:rsid w:val="00773E03"/>
    <w:rsid w:val="007750EB"/>
    <w:rsid w:val="00775BFC"/>
    <w:rsid w:val="007771D7"/>
    <w:rsid w:val="0078067A"/>
    <w:rsid w:val="007814D9"/>
    <w:rsid w:val="00781A3D"/>
    <w:rsid w:val="0078291B"/>
    <w:rsid w:val="007836A5"/>
    <w:rsid w:val="00783C1E"/>
    <w:rsid w:val="007848CF"/>
    <w:rsid w:val="0078615D"/>
    <w:rsid w:val="007861AF"/>
    <w:rsid w:val="00795659"/>
    <w:rsid w:val="007966E4"/>
    <w:rsid w:val="00797492"/>
    <w:rsid w:val="007978D7"/>
    <w:rsid w:val="007A133E"/>
    <w:rsid w:val="007A2174"/>
    <w:rsid w:val="007A2722"/>
    <w:rsid w:val="007A28D4"/>
    <w:rsid w:val="007A2AD8"/>
    <w:rsid w:val="007A2FF2"/>
    <w:rsid w:val="007A3459"/>
    <w:rsid w:val="007A6D65"/>
    <w:rsid w:val="007A70C7"/>
    <w:rsid w:val="007B034E"/>
    <w:rsid w:val="007B2F56"/>
    <w:rsid w:val="007B43CF"/>
    <w:rsid w:val="007B55E0"/>
    <w:rsid w:val="007B6074"/>
    <w:rsid w:val="007B7451"/>
    <w:rsid w:val="007B7A1E"/>
    <w:rsid w:val="007B7B00"/>
    <w:rsid w:val="007B7F02"/>
    <w:rsid w:val="007C0CBE"/>
    <w:rsid w:val="007C17CC"/>
    <w:rsid w:val="007C19C5"/>
    <w:rsid w:val="007C1C17"/>
    <w:rsid w:val="007C3546"/>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536D"/>
    <w:rsid w:val="007F5D06"/>
    <w:rsid w:val="007F5ECA"/>
    <w:rsid w:val="0080371E"/>
    <w:rsid w:val="00803A08"/>
    <w:rsid w:val="00805A6E"/>
    <w:rsid w:val="00805F16"/>
    <w:rsid w:val="00806633"/>
    <w:rsid w:val="00807778"/>
    <w:rsid w:val="00811E0B"/>
    <w:rsid w:val="008133DA"/>
    <w:rsid w:val="00814739"/>
    <w:rsid w:val="00814C1A"/>
    <w:rsid w:val="00815BD4"/>
    <w:rsid w:val="00816EB8"/>
    <w:rsid w:val="0082245B"/>
    <w:rsid w:val="0082247D"/>
    <w:rsid w:val="00824007"/>
    <w:rsid w:val="008240F1"/>
    <w:rsid w:val="00824DD7"/>
    <w:rsid w:val="00826371"/>
    <w:rsid w:val="00826A93"/>
    <w:rsid w:val="00833B0E"/>
    <w:rsid w:val="00834935"/>
    <w:rsid w:val="0083518A"/>
    <w:rsid w:val="008351FD"/>
    <w:rsid w:val="00835696"/>
    <w:rsid w:val="008363CB"/>
    <w:rsid w:val="00837517"/>
    <w:rsid w:val="00837FBD"/>
    <w:rsid w:val="00837FD5"/>
    <w:rsid w:val="0084179A"/>
    <w:rsid w:val="008422F0"/>
    <w:rsid w:val="008436D6"/>
    <w:rsid w:val="00843908"/>
    <w:rsid w:val="008478A7"/>
    <w:rsid w:val="00850864"/>
    <w:rsid w:val="00851468"/>
    <w:rsid w:val="0085247A"/>
    <w:rsid w:val="0085296A"/>
    <w:rsid w:val="00860FE2"/>
    <w:rsid w:val="00862825"/>
    <w:rsid w:val="008629A5"/>
    <w:rsid w:val="00863949"/>
    <w:rsid w:val="00865CF4"/>
    <w:rsid w:val="00866058"/>
    <w:rsid w:val="008669DA"/>
    <w:rsid w:val="008730CF"/>
    <w:rsid w:val="00874B50"/>
    <w:rsid w:val="008750D5"/>
    <w:rsid w:val="0087567C"/>
    <w:rsid w:val="00875E3B"/>
    <w:rsid w:val="00876DBC"/>
    <w:rsid w:val="008842E9"/>
    <w:rsid w:val="00884B7C"/>
    <w:rsid w:val="00884E64"/>
    <w:rsid w:val="0088705C"/>
    <w:rsid w:val="008933D4"/>
    <w:rsid w:val="00893BA2"/>
    <w:rsid w:val="00893F31"/>
    <w:rsid w:val="008944C8"/>
    <w:rsid w:val="00896531"/>
    <w:rsid w:val="00896AF7"/>
    <w:rsid w:val="008A09B9"/>
    <w:rsid w:val="008A0EAA"/>
    <w:rsid w:val="008A299C"/>
    <w:rsid w:val="008A46A1"/>
    <w:rsid w:val="008A6003"/>
    <w:rsid w:val="008A6656"/>
    <w:rsid w:val="008A6AB7"/>
    <w:rsid w:val="008A6F88"/>
    <w:rsid w:val="008B1E16"/>
    <w:rsid w:val="008B38DB"/>
    <w:rsid w:val="008B60EA"/>
    <w:rsid w:val="008B62FA"/>
    <w:rsid w:val="008B643A"/>
    <w:rsid w:val="008C1615"/>
    <w:rsid w:val="008C1B87"/>
    <w:rsid w:val="008C7FAF"/>
    <w:rsid w:val="008E0D38"/>
    <w:rsid w:val="008E1316"/>
    <w:rsid w:val="008E19A7"/>
    <w:rsid w:val="008E24A9"/>
    <w:rsid w:val="008E42F7"/>
    <w:rsid w:val="008E4A40"/>
    <w:rsid w:val="008E5FF0"/>
    <w:rsid w:val="008F1556"/>
    <w:rsid w:val="008F3837"/>
    <w:rsid w:val="008F40E2"/>
    <w:rsid w:val="008F6A6B"/>
    <w:rsid w:val="00900837"/>
    <w:rsid w:val="00900DC0"/>
    <w:rsid w:val="009023EB"/>
    <w:rsid w:val="00903511"/>
    <w:rsid w:val="009071F3"/>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1EE"/>
    <w:rsid w:val="00934ECD"/>
    <w:rsid w:val="00940F4F"/>
    <w:rsid w:val="00942A3F"/>
    <w:rsid w:val="00944EFF"/>
    <w:rsid w:val="009470C2"/>
    <w:rsid w:val="00951107"/>
    <w:rsid w:val="009527DA"/>
    <w:rsid w:val="00953430"/>
    <w:rsid w:val="00955DCC"/>
    <w:rsid w:val="00960309"/>
    <w:rsid w:val="00960996"/>
    <w:rsid w:val="009617B8"/>
    <w:rsid w:val="00964368"/>
    <w:rsid w:val="0096663A"/>
    <w:rsid w:val="00970EB3"/>
    <w:rsid w:val="0097187E"/>
    <w:rsid w:val="0097409C"/>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532"/>
    <w:rsid w:val="009B38F6"/>
    <w:rsid w:val="009B634E"/>
    <w:rsid w:val="009C0E17"/>
    <w:rsid w:val="009C1F6D"/>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476F"/>
    <w:rsid w:val="009E484C"/>
    <w:rsid w:val="009E57D9"/>
    <w:rsid w:val="009E7298"/>
    <w:rsid w:val="009F4B01"/>
    <w:rsid w:val="009F797C"/>
    <w:rsid w:val="009F7C5F"/>
    <w:rsid w:val="00A00828"/>
    <w:rsid w:val="00A011A9"/>
    <w:rsid w:val="00A0329A"/>
    <w:rsid w:val="00A0449B"/>
    <w:rsid w:val="00A053F2"/>
    <w:rsid w:val="00A10BC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07F5"/>
    <w:rsid w:val="00A32CA5"/>
    <w:rsid w:val="00A33BDB"/>
    <w:rsid w:val="00A36891"/>
    <w:rsid w:val="00A369CD"/>
    <w:rsid w:val="00A36A99"/>
    <w:rsid w:val="00A403CD"/>
    <w:rsid w:val="00A42706"/>
    <w:rsid w:val="00A4392F"/>
    <w:rsid w:val="00A44FE7"/>
    <w:rsid w:val="00A45D1C"/>
    <w:rsid w:val="00A46ACD"/>
    <w:rsid w:val="00A473B2"/>
    <w:rsid w:val="00A50D80"/>
    <w:rsid w:val="00A50F19"/>
    <w:rsid w:val="00A53315"/>
    <w:rsid w:val="00A5371E"/>
    <w:rsid w:val="00A61648"/>
    <w:rsid w:val="00A62C91"/>
    <w:rsid w:val="00A64191"/>
    <w:rsid w:val="00A64C3F"/>
    <w:rsid w:val="00A665E5"/>
    <w:rsid w:val="00A702CD"/>
    <w:rsid w:val="00A70EF0"/>
    <w:rsid w:val="00A71845"/>
    <w:rsid w:val="00A71D40"/>
    <w:rsid w:val="00A72AEE"/>
    <w:rsid w:val="00A742B6"/>
    <w:rsid w:val="00A74A59"/>
    <w:rsid w:val="00A75AC7"/>
    <w:rsid w:val="00A7631D"/>
    <w:rsid w:val="00A81896"/>
    <w:rsid w:val="00A81DC8"/>
    <w:rsid w:val="00A82F04"/>
    <w:rsid w:val="00A83A5E"/>
    <w:rsid w:val="00A84F9F"/>
    <w:rsid w:val="00A850A3"/>
    <w:rsid w:val="00A8613F"/>
    <w:rsid w:val="00A8771E"/>
    <w:rsid w:val="00A9208D"/>
    <w:rsid w:val="00A93923"/>
    <w:rsid w:val="00A96D91"/>
    <w:rsid w:val="00A97CF8"/>
    <w:rsid w:val="00AA1DCB"/>
    <w:rsid w:val="00AA364B"/>
    <w:rsid w:val="00AA4517"/>
    <w:rsid w:val="00AA4FA7"/>
    <w:rsid w:val="00AA6EA9"/>
    <w:rsid w:val="00AB07CD"/>
    <w:rsid w:val="00AB10E7"/>
    <w:rsid w:val="00AB1BE1"/>
    <w:rsid w:val="00AB2729"/>
    <w:rsid w:val="00AB3661"/>
    <w:rsid w:val="00AB3DC6"/>
    <w:rsid w:val="00AB497D"/>
    <w:rsid w:val="00AB52D6"/>
    <w:rsid w:val="00AB5877"/>
    <w:rsid w:val="00AC0209"/>
    <w:rsid w:val="00AC05F1"/>
    <w:rsid w:val="00AC2DB8"/>
    <w:rsid w:val="00AC3CA0"/>
    <w:rsid w:val="00AC3F25"/>
    <w:rsid w:val="00AC51DA"/>
    <w:rsid w:val="00AC578A"/>
    <w:rsid w:val="00AD0E9E"/>
    <w:rsid w:val="00AD48D5"/>
    <w:rsid w:val="00AD71A7"/>
    <w:rsid w:val="00AE0232"/>
    <w:rsid w:val="00AE3DA7"/>
    <w:rsid w:val="00AE4C94"/>
    <w:rsid w:val="00AE5903"/>
    <w:rsid w:val="00AE6FFC"/>
    <w:rsid w:val="00AE7030"/>
    <w:rsid w:val="00AF03C4"/>
    <w:rsid w:val="00AF5BD6"/>
    <w:rsid w:val="00AF6228"/>
    <w:rsid w:val="00AF6BE6"/>
    <w:rsid w:val="00B0006C"/>
    <w:rsid w:val="00B00941"/>
    <w:rsid w:val="00B01CF8"/>
    <w:rsid w:val="00B03716"/>
    <w:rsid w:val="00B03976"/>
    <w:rsid w:val="00B03AB8"/>
    <w:rsid w:val="00B0453E"/>
    <w:rsid w:val="00B047A8"/>
    <w:rsid w:val="00B05F2B"/>
    <w:rsid w:val="00B1045D"/>
    <w:rsid w:val="00B10F7C"/>
    <w:rsid w:val="00B1412F"/>
    <w:rsid w:val="00B22A80"/>
    <w:rsid w:val="00B23AC3"/>
    <w:rsid w:val="00B23C0A"/>
    <w:rsid w:val="00B32A27"/>
    <w:rsid w:val="00B33884"/>
    <w:rsid w:val="00B361FE"/>
    <w:rsid w:val="00B36404"/>
    <w:rsid w:val="00B3683B"/>
    <w:rsid w:val="00B416E8"/>
    <w:rsid w:val="00B44FFD"/>
    <w:rsid w:val="00B46AAE"/>
    <w:rsid w:val="00B50E12"/>
    <w:rsid w:val="00B5128A"/>
    <w:rsid w:val="00B51C53"/>
    <w:rsid w:val="00B535F2"/>
    <w:rsid w:val="00B540DC"/>
    <w:rsid w:val="00B54463"/>
    <w:rsid w:val="00B55F8F"/>
    <w:rsid w:val="00B562C2"/>
    <w:rsid w:val="00B60BFC"/>
    <w:rsid w:val="00B62F57"/>
    <w:rsid w:val="00B660FB"/>
    <w:rsid w:val="00B70C75"/>
    <w:rsid w:val="00B70E78"/>
    <w:rsid w:val="00B7148E"/>
    <w:rsid w:val="00B71679"/>
    <w:rsid w:val="00B763DD"/>
    <w:rsid w:val="00B766A7"/>
    <w:rsid w:val="00B77C1D"/>
    <w:rsid w:val="00B82086"/>
    <w:rsid w:val="00B82B51"/>
    <w:rsid w:val="00B83675"/>
    <w:rsid w:val="00B866E8"/>
    <w:rsid w:val="00B90DD2"/>
    <w:rsid w:val="00B93A8E"/>
    <w:rsid w:val="00B96520"/>
    <w:rsid w:val="00B972BD"/>
    <w:rsid w:val="00B97A00"/>
    <w:rsid w:val="00BA07E0"/>
    <w:rsid w:val="00BA0CF7"/>
    <w:rsid w:val="00BA236C"/>
    <w:rsid w:val="00BA293D"/>
    <w:rsid w:val="00BA55A8"/>
    <w:rsid w:val="00BA72A9"/>
    <w:rsid w:val="00BA7C41"/>
    <w:rsid w:val="00BB20FD"/>
    <w:rsid w:val="00BB27F0"/>
    <w:rsid w:val="00BB2ABF"/>
    <w:rsid w:val="00BB3CAA"/>
    <w:rsid w:val="00BB5425"/>
    <w:rsid w:val="00BB5F01"/>
    <w:rsid w:val="00BB64F4"/>
    <w:rsid w:val="00BB659D"/>
    <w:rsid w:val="00BB7B48"/>
    <w:rsid w:val="00BC17A4"/>
    <w:rsid w:val="00BC2617"/>
    <w:rsid w:val="00BC67B0"/>
    <w:rsid w:val="00BC6A6D"/>
    <w:rsid w:val="00BC6B87"/>
    <w:rsid w:val="00BC70AB"/>
    <w:rsid w:val="00BC7945"/>
    <w:rsid w:val="00BC7CDB"/>
    <w:rsid w:val="00BD0200"/>
    <w:rsid w:val="00BD1019"/>
    <w:rsid w:val="00BD21F9"/>
    <w:rsid w:val="00BD2836"/>
    <w:rsid w:val="00BD3F4F"/>
    <w:rsid w:val="00BD5A7C"/>
    <w:rsid w:val="00BD5CD3"/>
    <w:rsid w:val="00BD6233"/>
    <w:rsid w:val="00BD63AB"/>
    <w:rsid w:val="00BD7CCF"/>
    <w:rsid w:val="00BD7F14"/>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00FD"/>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60F"/>
    <w:rsid w:val="00C53806"/>
    <w:rsid w:val="00C6110C"/>
    <w:rsid w:val="00C611BD"/>
    <w:rsid w:val="00C6361E"/>
    <w:rsid w:val="00C661E9"/>
    <w:rsid w:val="00C66268"/>
    <w:rsid w:val="00C67A70"/>
    <w:rsid w:val="00C70422"/>
    <w:rsid w:val="00C7043F"/>
    <w:rsid w:val="00C70866"/>
    <w:rsid w:val="00C70B3F"/>
    <w:rsid w:val="00C71CEF"/>
    <w:rsid w:val="00C71E3A"/>
    <w:rsid w:val="00C72DAA"/>
    <w:rsid w:val="00C75036"/>
    <w:rsid w:val="00C77ABB"/>
    <w:rsid w:val="00C77B64"/>
    <w:rsid w:val="00C80B14"/>
    <w:rsid w:val="00C80E30"/>
    <w:rsid w:val="00C82AC6"/>
    <w:rsid w:val="00C82CA9"/>
    <w:rsid w:val="00C83D8B"/>
    <w:rsid w:val="00C84660"/>
    <w:rsid w:val="00C846C3"/>
    <w:rsid w:val="00C861F8"/>
    <w:rsid w:val="00C92899"/>
    <w:rsid w:val="00C950EE"/>
    <w:rsid w:val="00C9684C"/>
    <w:rsid w:val="00C97FC6"/>
    <w:rsid w:val="00CA1018"/>
    <w:rsid w:val="00CA13D5"/>
    <w:rsid w:val="00CA25D9"/>
    <w:rsid w:val="00CA2E35"/>
    <w:rsid w:val="00CA3A28"/>
    <w:rsid w:val="00CA434C"/>
    <w:rsid w:val="00CA44CF"/>
    <w:rsid w:val="00CA493E"/>
    <w:rsid w:val="00CA6053"/>
    <w:rsid w:val="00CB1866"/>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0FAC"/>
    <w:rsid w:val="00CF10BE"/>
    <w:rsid w:val="00CF2D8B"/>
    <w:rsid w:val="00CF3C01"/>
    <w:rsid w:val="00CF3E50"/>
    <w:rsid w:val="00CF4BF4"/>
    <w:rsid w:val="00CF63D9"/>
    <w:rsid w:val="00CF7586"/>
    <w:rsid w:val="00D00E16"/>
    <w:rsid w:val="00D02CF1"/>
    <w:rsid w:val="00D033CA"/>
    <w:rsid w:val="00D036D3"/>
    <w:rsid w:val="00D06018"/>
    <w:rsid w:val="00D070C7"/>
    <w:rsid w:val="00D07A10"/>
    <w:rsid w:val="00D07BC7"/>
    <w:rsid w:val="00D107BD"/>
    <w:rsid w:val="00D1261A"/>
    <w:rsid w:val="00D13703"/>
    <w:rsid w:val="00D13782"/>
    <w:rsid w:val="00D13A56"/>
    <w:rsid w:val="00D165E4"/>
    <w:rsid w:val="00D201B7"/>
    <w:rsid w:val="00D22250"/>
    <w:rsid w:val="00D239ED"/>
    <w:rsid w:val="00D273F6"/>
    <w:rsid w:val="00D27906"/>
    <w:rsid w:val="00D2790D"/>
    <w:rsid w:val="00D33EB4"/>
    <w:rsid w:val="00D3570A"/>
    <w:rsid w:val="00D3689E"/>
    <w:rsid w:val="00D369CA"/>
    <w:rsid w:val="00D43F40"/>
    <w:rsid w:val="00D454D1"/>
    <w:rsid w:val="00D465E0"/>
    <w:rsid w:val="00D4676B"/>
    <w:rsid w:val="00D47CF8"/>
    <w:rsid w:val="00D51ECD"/>
    <w:rsid w:val="00D52C04"/>
    <w:rsid w:val="00D550E6"/>
    <w:rsid w:val="00D566D4"/>
    <w:rsid w:val="00D568DC"/>
    <w:rsid w:val="00D5752D"/>
    <w:rsid w:val="00D61444"/>
    <w:rsid w:val="00D6170E"/>
    <w:rsid w:val="00D6466A"/>
    <w:rsid w:val="00D64B5C"/>
    <w:rsid w:val="00D65B16"/>
    <w:rsid w:val="00D65D26"/>
    <w:rsid w:val="00D66761"/>
    <w:rsid w:val="00D67CEF"/>
    <w:rsid w:val="00D713EE"/>
    <w:rsid w:val="00D73A44"/>
    <w:rsid w:val="00D75D31"/>
    <w:rsid w:val="00D75EE6"/>
    <w:rsid w:val="00D76BAA"/>
    <w:rsid w:val="00D84FB9"/>
    <w:rsid w:val="00D85755"/>
    <w:rsid w:val="00D86502"/>
    <w:rsid w:val="00D8666D"/>
    <w:rsid w:val="00D91CB4"/>
    <w:rsid w:val="00D92C49"/>
    <w:rsid w:val="00D94B76"/>
    <w:rsid w:val="00D94DDB"/>
    <w:rsid w:val="00DA4BBD"/>
    <w:rsid w:val="00DB024B"/>
    <w:rsid w:val="00DB024D"/>
    <w:rsid w:val="00DB1576"/>
    <w:rsid w:val="00DB1C09"/>
    <w:rsid w:val="00DB24ED"/>
    <w:rsid w:val="00DB28CE"/>
    <w:rsid w:val="00DB2C01"/>
    <w:rsid w:val="00DB2F09"/>
    <w:rsid w:val="00DB3665"/>
    <w:rsid w:val="00DB3FCD"/>
    <w:rsid w:val="00DB42CB"/>
    <w:rsid w:val="00DB6EEE"/>
    <w:rsid w:val="00DC2164"/>
    <w:rsid w:val="00DC367D"/>
    <w:rsid w:val="00DC5837"/>
    <w:rsid w:val="00DC5B7F"/>
    <w:rsid w:val="00DC71C4"/>
    <w:rsid w:val="00DD0786"/>
    <w:rsid w:val="00DD19B2"/>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3F89"/>
    <w:rsid w:val="00DF60AF"/>
    <w:rsid w:val="00DF7561"/>
    <w:rsid w:val="00DF79B3"/>
    <w:rsid w:val="00E03991"/>
    <w:rsid w:val="00E06AAB"/>
    <w:rsid w:val="00E06D42"/>
    <w:rsid w:val="00E071FF"/>
    <w:rsid w:val="00E07597"/>
    <w:rsid w:val="00E11702"/>
    <w:rsid w:val="00E16BF5"/>
    <w:rsid w:val="00E17291"/>
    <w:rsid w:val="00E179C4"/>
    <w:rsid w:val="00E21995"/>
    <w:rsid w:val="00E2294A"/>
    <w:rsid w:val="00E22F2B"/>
    <w:rsid w:val="00E236E1"/>
    <w:rsid w:val="00E25844"/>
    <w:rsid w:val="00E325AD"/>
    <w:rsid w:val="00E33714"/>
    <w:rsid w:val="00E37A3F"/>
    <w:rsid w:val="00E37D3C"/>
    <w:rsid w:val="00E400A7"/>
    <w:rsid w:val="00E40CD8"/>
    <w:rsid w:val="00E415FE"/>
    <w:rsid w:val="00E41722"/>
    <w:rsid w:val="00E4252A"/>
    <w:rsid w:val="00E42F58"/>
    <w:rsid w:val="00E47B8A"/>
    <w:rsid w:val="00E50FA5"/>
    <w:rsid w:val="00E51DF0"/>
    <w:rsid w:val="00E572D8"/>
    <w:rsid w:val="00E62E6A"/>
    <w:rsid w:val="00E65CDD"/>
    <w:rsid w:val="00E727BA"/>
    <w:rsid w:val="00E810F7"/>
    <w:rsid w:val="00E83165"/>
    <w:rsid w:val="00E832DA"/>
    <w:rsid w:val="00E8367E"/>
    <w:rsid w:val="00E83EF5"/>
    <w:rsid w:val="00E86857"/>
    <w:rsid w:val="00E90340"/>
    <w:rsid w:val="00E9137B"/>
    <w:rsid w:val="00E9335C"/>
    <w:rsid w:val="00E939AF"/>
    <w:rsid w:val="00E97AC5"/>
    <w:rsid w:val="00EA2677"/>
    <w:rsid w:val="00EA37B7"/>
    <w:rsid w:val="00EA5674"/>
    <w:rsid w:val="00EA5B2F"/>
    <w:rsid w:val="00EA66FE"/>
    <w:rsid w:val="00EB4ECB"/>
    <w:rsid w:val="00EB59CB"/>
    <w:rsid w:val="00EC3404"/>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291"/>
    <w:rsid w:val="00EF0DDD"/>
    <w:rsid w:val="00EF1CA6"/>
    <w:rsid w:val="00EF1E77"/>
    <w:rsid w:val="00EF4FF9"/>
    <w:rsid w:val="00EF66F8"/>
    <w:rsid w:val="00EF70F1"/>
    <w:rsid w:val="00F00010"/>
    <w:rsid w:val="00F047A1"/>
    <w:rsid w:val="00F04914"/>
    <w:rsid w:val="00F05B15"/>
    <w:rsid w:val="00F0679F"/>
    <w:rsid w:val="00F0712F"/>
    <w:rsid w:val="00F07EE6"/>
    <w:rsid w:val="00F11D4E"/>
    <w:rsid w:val="00F147A8"/>
    <w:rsid w:val="00F14E9C"/>
    <w:rsid w:val="00F16ACE"/>
    <w:rsid w:val="00F16DD8"/>
    <w:rsid w:val="00F1717A"/>
    <w:rsid w:val="00F171D8"/>
    <w:rsid w:val="00F23C4F"/>
    <w:rsid w:val="00F27EB1"/>
    <w:rsid w:val="00F302EC"/>
    <w:rsid w:val="00F33CC8"/>
    <w:rsid w:val="00F34811"/>
    <w:rsid w:val="00F35542"/>
    <w:rsid w:val="00F35BC2"/>
    <w:rsid w:val="00F36527"/>
    <w:rsid w:val="00F37AB2"/>
    <w:rsid w:val="00F4124A"/>
    <w:rsid w:val="00F41723"/>
    <w:rsid w:val="00F4481C"/>
    <w:rsid w:val="00F45BEB"/>
    <w:rsid w:val="00F46F46"/>
    <w:rsid w:val="00F47250"/>
    <w:rsid w:val="00F47470"/>
    <w:rsid w:val="00F53E56"/>
    <w:rsid w:val="00F5484F"/>
    <w:rsid w:val="00F54A8C"/>
    <w:rsid w:val="00F560A8"/>
    <w:rsid w:val="00F561B0"/>
    <w:rsid w:val="00F5638D"/>
    <w:rsid w:val="00F57997"/>
    <w:rsid w:val="00F57BBD"/>
    <w:rsid w:val="00F57C01"/>
    <w:rsid w:val="00F616E2"/>
    <w:rsid w:val="00F617C4"/>
    <w:rsid w:val="00F6373A"/>
    <w:rsid w:val="00F65433"/>
    <w:rsid w:val="00F66E6B"/>
    <w:rsid w:val="00F72670"/>
    <w:rsid w:val="00F75600"/>
    <w:rsid w:val="00F7584E"/>
    <w:rsid w:val="00F75D23"/>
    <w:rsid w:val="00F83310"/>
    <w:rsid w:val="00F84345"/>
    <w:rsid w:val="00F86C94"/>
    <w:rsid w:val="00F9402F"/>
    <w:rsid w:val="00FA5957"/>
    <w:rsid w:val="00FA5B5E"/>
    <w:rsid w:val="00FA6FBF"/>
    <w:rsid w:val="00FA7155"/>
    <w:rsid w:val="00FA7829"/>
    <w:rsid w:val="00FB134E"/>
    <w:rsid w:val="00FB1AF5"/>
    <w:rsid w:val="00FB1C2A"/>
    <w:rsid w:val="00FB1EA5"/>
    <w:rsid w:val="00FB53B5"/>
    <w:rsid w:val="00FB5587"/>
    <w:rsid w:val="00FB5CD4"/>
    <w:rsid w:val="00FB7410"/>
    <w:rsid w:val="00FB7BC4"/>
    <w:rsid w:val="00FC1B42"/>
    <w:rsid w:val="00FC1EAB"/>
    <w:rsid w:val="00FC1FFB"/>
    <w:rsid w:val="00FC289E"/>
    <w:rsid w:val="00FC3CE0"/>
    <w:rsid w:val="00FC406D"/>
    <w:rsid w:val="00FC4E3C"/>
    <w:rsid w:val="00FC6CBC"/>
    <w:rsid w:val="00FC7519"/>
    <w:rsid w:val="00FD06A8"/>
    <w:rsid w:val="00FD31FC"/>
    <w:rsid w:val="00FD3312"/>
    <w:rsid w:val="00FD6C50"/>
    <w:rsid w:val="00FD6D80"/>
    <w:rsid w:val="00FD6D8E"/>
    <w:rsid w:val="00FD7367"/>
    <w:rsid w:val="00FD77B1"/>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C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88833174">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19100516">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30857412">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59117019">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695885286">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79760486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24653459">
      <w:bodyDiv w:val="1"/>
      <w:marLeft w:val="0"/>
      <w:marRight w:val="0"/>
      <w:marTop w:val="0"/>
      <w:marBottom w:val="0"/>
      <w:divBdr>
        <w:top w:val="none" w:sz="0" w:space="0" w:color="auto"/>
        <w:left w:val="none" w:sz="0" w:space="0" w:color="auto"/>
        <w:bottom w:val="none" w:sz="0" w:space="0" w:color="auto"/>
        <w:right w:val="none" w:sz="0" w:space="0" w:color="auto"/>
      </w:divBdr>
      <w:divsChild>
        <w:div w:id="307322285">
          <w:marLeft w:val="0"/>
          <w:marRight w:val="0"/>
          <w:marTop w:val="0"/>
          <w:marBottom w:val="0"/>
          <w:divBdr>
            <w:top w:val="none" w:sz="0" w:space="0" w:color="auto"/>
            <w:left w:val="none" w:sz="0" w:space="0" w:color="auto"/>
            <w:bottom w:val="none" w:sz="0" w:space="0" w:color="auto"/>
            <w:right w:val="none" w:sz="0" w:space="0" w:color="auto"/>
          </w:divBdr>
        </w:div>
      </w:divsChild>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5384835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80899090">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3493611">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498306376">
      <w:bodyDiv w:val="1"/>
      <w:marLeft w:val="0"/>
      <w:marRight w:val="0"/>
      <w:marTop w:val="0"/>
      <w:marBottom w:val="0"/>
      <w:divBdr>
        <w:top w:val="none" w:sz="0" w:space="0" w:color="auto"/>
        <w:left w:val="none" w:sz="0" w:space="0" w:color="auto"/>
        <w:bottom w:val="none" w:sz="0" w:space="0" w:color="auto"/>
        <w:right w:val="none" w:sz="0" w:space="0" w:color="auto"/>
      </w:divBdr>
    </w:div>
    <w:div w:id="1561749792">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01571709">
      <w:bodyDiv w:val="1"/>
      <w:marLeft w:val="0"/>
      <w:marRight w:val="0"/>
      <w:marTop w:val="0"/>
      <w:marBottom w:val="0"/>
      <w:divBdr>
        <w:top w:val="none" w:sz="0" w:space="0" w:color="auto"/>
        <w:left w:val="none" w:sz="0" w:space="0" w:color="auto"/>
        <w:bottom w:val="none" w:sz="0" w:space="0" w:color="auto"/>
        <w:right w:val="none" w:sz="0" w:space="0" w:color="auto"/>
      </w:divBdr>
      <w:divsChild>
        <w:div w:id="1881429840">
          <w:marLeft w:val="0"/>
          <w:marRight w:val="0"/>
          <w:marTop w:val="0"/>
          <w:marBottom w:val="0"/>
          <w:divBdr>
            <w:top w:val="none" w:sz="0" w:space="0" w:color="auto"/>
            <w:left w:val="none" w:sz="0" w:space="0" w:color="auto"/>
            <w:bottom w:val="none" w:sz="0" w:space="0" w:color="auto"/>
            <w:right w:val="none" w:sz="0" w:space="0" w:color="auto"/>
          </w:divBdr>
        </w:div>
      </w:divsChild>
    </w:div>
    <w:div w:id="160376380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79389108">
      <w:bodyDiv w:val="1"/>
      <w:marLeft w:val="0"/>
      <w:marRight w:val="0"/>
      <w:marTop w:val="0"/>
      <w:marBottom w:val="0"/>
      <w:divBdr>
        <w:top w:val="none" w:sz="0" w:space="0" w:color="auto"/>
        <w:left w:val="none" w:sz="0" w:space="0" w:color="auto"/>
        <w:bottom w:val="none" w:sz="0" w:space="0" w:color="auto"/>
        <w:right w:val="none" w:sz="0" w:space="0" w:color="auto"/>
      </w:divBdr>
      <w:divsChild>
        <w:div w:id="592905818">
          <w:marLeft w:val="0"/>
          <w:marRight w:val="0"/>
          <w:marTop w:val="0"/>
          <w:marBottom w:val="0"/>
          <w:divBdr>
            <w:top w:val="none" w:sz="0" w:space="0" w:color="auto"/>
            <w:left w:val="none" w:sz="0" w:space="0" w:color="auto"/>
            <w:bottom w:val="none" w:sz="0" w:space="0" w:color="auto"/>
            <w:right w:val="none" w:sz="0" w:space="0" w:color="auto"/>
          </w:divBdr>
        </w:div>
      </w:divsChild>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32997480">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8880406">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8630538">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legislacion.edomex.gob.mx/sites/legislacion.edomex.gob.mx/files/files/pdf/gct/2025/enero/ene221/ene221a.pdf" TargetMode="External"/><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6DB5885-8A83-41A2-8F4B-3F3B8926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6959</Words>
  <Characters>38278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27</cp:revision>
  <cp:lastPrinted>2025-03-10T16:39:00Z</cp:lastPrinted>
  <dcterms:created xsi:type="dcterms:W3CDTF">2025-02-27T19:53:00Z</dcterms:created>
  <dcterms:modified xsi:type="dcterms:W3CDTF">2025-04-24T21:04:00Z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