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both"/>
        <w:rPr>
          <w:rFonts w:ascii="Palatino Linotype" w:cs="Palatino Linotype" w:eastAsia="Palatino Linotype" w:hAnsi="Palatino Linotype"/>
          <w:sz w:val="22"/>
          <w:szCs w:val="22"/>
        </w:rPr>
      </w:pPr>
      <w:bookmarkStart w:colFirst="0" w:colLast="0" w:name="_heading=h.2et92p0" w:id="0"/>
      <w:bookmarkEnd w:id="0"/>
      <w:r w:rsidDel="00000000" w:rsidR="00000000" w:rsidRPr="00000000">
        <w:rPr>
          <w:rFonts w:ascii="Palatino Linotype" w:cs="Palatino Linotype" w:eastAsia="Palatino Linotype" w:hAnsi="Palatino Linotype"/>
          <w:sz w:val="22"/>
          <w:szCs w:val="22"/>
          <w:rtl w:val="0"/>
        </w:rPr>
        <w:t xml:space="preserve">Resolución del Pleno del Instituto de Transparencia, Acceso a la Información Pública y Protección de Datos Personales del Estado de México y Municipios, con domicilio en Metepec, Estado de México, de fecha veintitrés de abril de dos mil veinticinco. </w:t>
      </w:r>
    </w:p>
    <w:p w:rsidR="00000000" w:rsidDel="00000000" w:rsidP="00000000" w:rsidRDefault="00000000" w:rsidRPr="00000000" w14:paraId="0000000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Visto</w:t>
      </w:r>
      <w:r w:rsidDel="00000000" w:rsidR="00000000" w:rsidRPr="00000000">
        <w:rPr>
          <w:rFonts w:ascii="Palatino Linotype" w:cs="Palatino Linotype" w:eastAsia="Palatino Linotype" w:hAnsi="Palatino Linotype"/>
          <w:sz w:val="22"/>
          <w:szCs w:val="22"/>
          <w:rtl w:val="0"/>
        </w:rPr>
        <w:t xml:space="preserve"> el expediente relativo al recurso de revisión </w:t>
      </w:r>
      <w:r w:rsidDel="00000000" w:rsidR="00000000" w:rsidRPr="00000000">
        <w:rPr>
          <w:rFonts w:ascii="Palatino Linotype" w:cs="Palatino Linotype" w:eastAsia="Palatino Linotype" w:hAnsi="Palatino Linotype"/>
          <w:b w:val="1"/>
          <w:sz w:val="22"/>
          <w:szCs w:val="22"/>
          <w:rtl w:val="0"/>
        </w:rPr>
        <w:t xml:space="preserve">01814/INFOEM/IP/RR/2025</w:t>
      </w:r>
      <w:r w:rsidDel="00000000" w:rsidR="00000000" w:rsidRPr="00000000">
        <w:rPr>
          <w:rFonts w:ascii="Palatino Linotype" w:cs="Palatino Linotype" w:eastAsia="Palatino Linotype" w:hAnsi="Palatino Linotype"/>
          <w:sz w:val="22"/>
          <w:szCs w:val="22"/>
          <w:rtl w:val="0"/>
        </w:rPr>
        <w:t xml:space="preserve">, interpuesto por </w:t>
      </w:r>
      <w:r w:rsidDel="00000000" w:rsidR="00000000" w:rsidRPr="00000000">
        <w:rPr>
          <w:rFonts w:ascii="Palatino Linotype" w:cs="Palatino Linotype" w:eastAsia="Palatino Linotype" w:hAnsi="Palatino Linotype"/>
          <w:b w:val="1"/>
          <w:sz w:val="22"/>
          <w:szCs w:val="22"/>
          <w:rtl w:val="0"/>
        </w:rPr>
        <w:t xml:space="preserve">XXXXXXX XXXXXX XX, </w:t>
      </w:r>
      <w:r w:rsidDel="00000000" w:rsidR="00000000" w:rsidRPr="00000000">
        <w:rPr>
          <w:rFonts w:ascii="Palatino Linotype" w:cs="Palatino Linotype" w:eastAsia="Palatino Linotype" w:hAnsi="Palatino Linotype"/>
          <w:sz w:val="22"/>
          <w:szCs w:val="22"/>
          <w:rtl w:val="0"/>
        </w:rPr>
        <w:t xml:space="preserve">en lo sucesivo se le denominará 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en contra de la respuesta a su solicitud de información con número de folio</w:t>
      </w:r>
      <w:r w:rsidDel="00000000" w:rsidR="00000000" w:rsidRPr="00000000">
        <w:rPr>
          <w:rFonts w:ascii="Palatino Linotype" w:cs="Palatino Linotype" w:eastAsia="Palatino Linotype" w:hAnsi="Palatino Linotype"/>
          <w:b w:val="1"/>
          <w:sz w:val="22"/>
          <w:szCs w:val="22"/>
          <w:rtl w:val="0"/>
        </w:rPr>
        <w:t xml:space="preserve"> 00384/TOLUCA/IP/2025</w:t>
      </w:r>
      <w:r w:rsidDel="00000000" w:rsidR="00000000" w:rsidRPr="00000000">
        <w:rPr>
          <w:rFonts w:ascii="Palatino Linotype" w:cs="Palatino Linotype" w:eastAsia="Palatino Linotype" w:hAnsi="Palatino Linotype"/>
          <w:sz w:val="22"/>
          <w:szCs w:val="22"/>
          <w:rtl w:val="0"/>
        </w:rPr>
        <w:t xml:space="preserve">, por parte del </w:t>
      </w:r>
      <w:r w:rsidDel="00000000" w:rsidR="00000000" w:rsidRPr="00000000">
        <w:rPr>
          <w:rFonts w:ascii="Palatino Linotype" w:cs="Palatino Linotype" w:eastAsia="Palatino Linotype" w:hAnsi="Palatino Linotype"/>
          <w:b w:val="1"/>
          <w:sz w:val="22"/>
          <w:szCs w:val="22"/>
          <w:rtl w:val="0"/>
        </w:rPr>
        <w:t xml:space="preserve">Ayuntamiento de Toluca, </w:t>
      </w:r>
      <w:r w:rsidDel="00000000" w:rsidR="00000000" w:rsidRPr="00000000">
        <w:rPr>
          <w:rFonts w:ascii="Palatino Linotype" w:cs="Palatino Linotype" w:eastAsia="Palatino Linotype" w:hAnsi="Palatino Linotype"/>
          <w:sz w:val="22"/>
          <w:szCs w:val="22"/>
          <w:rtl w:val="0"/>
        </w:rPr>
        <w:t xml:space="preserve">en lo sucesivo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se procede a dictar la presente resolución, con base en los siguientes:</w:t>
      </w:r>
    </w:p>
    <w:p w:rsidR="00000000" w:rsidDel="00000000" w:rsidP="00000000" w:rsidRDefault="00000000" w:rsidRPr="00000000" w14:paraId="0000000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5">
      <w:pPr>
        <w:numPr>
          <w:ilvl w:val="0"/>
          <w:numId w:val="1"/>
        </w:numPr>
        <w:pBdr>
          <w:top w:space="0" w:sz="0" w:val="nil"/>
          <w:left w:space="0" w:sz="0" w:val="nil"/>
          <w:bottom w:space="0" w:sz="0" w:val="nil"/>
          <w:right w:space="0" w:sz="0" w:val="nil"/>
          <w:between w:space="0" w:sz="0" w:val="nil"/>
        </w:pBdr>
        <w:spacing w:line="360" w:lineRule="auto"/>
        <w:ind w:left="993" w:hanging="276.0000000000001"/>
        <w:jc w:val="center"/>
        <w:rPr>
          <w:rFonts w:ascii="Palatino Linotype" w:cs="Palatino Linotype" w:eastAsia="Palatino Linotype" w:hAnsi="Palatino Linotype"/>
          <w:b w:val="1"/>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A N T E C E D E N T E S:</w:t>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line="360" w:lineRule="auto"/>
        <w:ind w:left="1077" w:firstLine="0"/>
        <w:jc w:val="center"/>
        <w:rPr>
          <w:rFonts w:ascii="Palatino Linotype" w:cs="Palatino Linotype" w:eastAsia="Palatino Linotype" w:hAnsi="Palatino Linotype"/>
          <w:b w:val="1"/>
          <w:color w:val="000000"/>
          <w:sz w:val="22"/>
          <w:szCs w:val="22"/>
        </w:rPr>
      </w:pPr>
      <w:r w:rsidDel="00000000" w:rsidR="00000000" w:rsidRPr="00000000">
        <w:rPr>
          <w:rtl w:val="0"/>
        </w:rPr>
      </w:r>
    </w:p>
    <w:p w:rsidR="00000000" w:rsidDel="00000000" w:rsidP="00000000" w:rsidRDefault="00000000" w:rsidRPr="00000000" w14:paraId="00000007">
      <w:pPr>
        <w:numPr>
          <w:ilvl w:val="1"/>
          <w:numId w:val="2"/>
        </w:numPr>
        <w:pBdr>
          <w:top w:space="0" w:sz="0" w:val="nil"/>
          <w:left w:space="0" w:sz="0" w:val="nil"/>
          <w:bottom w:space="0" w:sz="0" w:val="nil"/>
          <w:right w:space="0" w:sz="0" w:val="nil"/>
          <w:between w:space="0" w:sz="0" w:val="nil"/>
        </w:pBdr>
        <w:spacing w:line="360" w:lineRule="auto"/>
        <w:ind w:left="0" w:firstLine="0"/>
        <w:jc w:val="both"/>
        <w:rPr>
          <w:rFonts w:ascii="Palatino Linotype" w:cs="Palatino Linotype" w:eastAsia="Palatino Linotype" w:hAnsi="Palatino Linotype"/>
          <w:b w:val="1"/>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Solicitud de acceso a la información. </w:t>
      </w:r>
      <w:r w:rsidDel="00000000" w:rsidR="00000000" w:rsidRPr="00000000">
        <w:rPr>
          <w:rFonts w:ascii="Palatino Linotype" w:cs="Palatino Linotype" w:eastAsia="Palatino Linotype" w:hAnsi="Palatino Linotype"/>
          <w:color w:val="000000"/>
          <w:sz w:val="22"/>
          <w:szCs w:val="22"/>
          <w:rtl w:val="0"/>
        </w:rPr>
        <w:t xml:space="preserve">Con fecha </w:t>
      </w:r>
      <w:r w:rsidDel="00000000" w:rsidR="00000000" w:rsidRPr="00000000">
        <w:rPr>
          <w:rFonts w:ascii="Palatino Linotype" w:cs="Palatino Linotype" w:eastAsia="Palatino Linotype" w:hAnsi="Palatino Linotype"/>
          <w:b w:val="1"/>
          <w:color w:val="000000"/>
          <w:sz w:val="22"/>
          <w:szCs w:val="22"/>
          <w:rtl w:val="0"/>
        </w:rPr>
        <w:t xml:space="preserve">veinte de enero de dos mil veinticinco</w:t>
      </w:r>
      <w:r w:rsidDel="00000000" w:rsidR="00000000" w:rsidRPr="00000000">
        <w:rPr>
          <w:rFonts w:ascii="Palatino Linotype" w:cs="Palatino Linotype" w:eastAsia="Palatino Linotype" w:hAnsi="Palatino Linotype"/>
          <w:color w:val="000000"/>
          <w:sz w:val="22"/>
          <w:szCs w:val="22"/>
          <w:rtl w:val="0"/>
        </w:rPr>
        <w:t xml:space="preserve">, la parte </w:t>
      </w:r>
      <w:r w:rsidDel="00000000" w:rsidR="00000000" w:rsidRPr="00000000">
        <w:rPr>
          <w:rFonts w:ascii="Palatino Linotype" w:cs="Palatino Linotype" w:eastAsia="Palatino Linotype" w:hAnsi="Palatino Linotype"/>
          <w:b w:val="1"/>
          <w:color w:val="000000"/>
          <w:sz w:val="22"/>
          <w:szCs w:val="22"/>
          <w:rtl w:val="0"/>
        </w:rPr>
        <w:t xml:space="preserve">Recurrente</w:t>
      </w:r>
      <w:r w:rsidDel="00000000" w:rsidR="00000000" w:rsidRPr="00000000">
        <w:rPr>
          <w:rFonts w:ascii="Palatino Linotype" w:cs="Palatino Linotype" w:eastAsia="Palatino Linotype" w:hAnsi="Palatino Linotype"/>
          <w:color w:val="000000"/>
          <w:sz w:val="22"/>
          <w:szCs w:val="22"/>
          <w:rtl w:val="0"/>
        </w:rPr>
        <w:t xml:space="preserve"> formuló solicitud de acceso a información pública al </w:t>
      </w:r>
      <w:r w:rsidDel="00000000" w:rsidR="00000000" w:rsidRPr="00000000">
        <w:rPr>
          <w:rFonts w:ascii="Palatino Linotype" w:cs="Palatino Linotype" w:eastAsia="Palatino Linotype" w:hAnsi="Palatino Linotype"/>
          <w:b w:val="1"/>
          <w:color w:val="000000"/>
          <w:sz w:val="22"/>
          <w:szCs w:val="22"/>
          <w:rtl w:val="0"/>
        </w:rPr>
        <w:t xml:space="preserve">Sujeto Obligado</w:t>
      </w:r>
      <w:r w:rsidDel="00000000" w:rsidR="00000000" w:rsidRPr="00000000">
        <w:rPr>
          <w:rFonts w:ascii="Palatino Linotype" w:cs="Palatino Linotype" w:eastAsia="Palatino Linotype" w:hAnsi="Palatino Linotype"/>
          <w:color w:val="000000"/>
          <w:sz w:val="22"/>
          <w:szCs w:val="22"/>
          <w:rtl w:val="0"/>
        </w:rPr>
        <w:t xml:space="preserve"> a través del Sistema de Acceso a la Información Mexiquense, en adelante </w:t>
      </w:r>
      <w:r w:rsidDel="00000000" w:rsidR="00000000" w:rsidRPr="00000000">
        <w:rPr>
          <w:rFonts w:ascii="Palatino Linotype" w:cs="Palatino Linotype" w:eastAsia="Palatino Linotype" w:hAnsi="Palatino Linotype"/>
          <w:b w:val="1"/>
          <w:color w:val="000000"/>
          <w:sz w:val="22"/>
          <w:szCs w:val="22"/>
          <w:rtl w:val="0"/>
        </w:rPr>
        <w:t xml:space="preserve">SAIMEX</w:t>
      </w:r>
      <w:r w:rsidDel="00000000" w:rsidR="00000000" w:rsidRPr="00000000">
        <w:rPr>
          <w:rFonts w:ascii="Palatino Linotype" w:cs="Palatino Linotype" w:eastAsia="Palatino Linotype" w:hAnsi="Palatino Linotype"/>
          <w:color w:val="000000"/>
          <w:sz w:val="22"/>
          <w:szCs w:val="22"/>
          <w:rtl w:val="0"/>
        </w:rPr>
        <w:t xml:space="preserve">, requiriéndole lo siguiente:</w:t>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color w:val="000000"/>
          <w:sz w:val="22"/>
          <w:szCs w:val="22"/>
        </w:rPr>
      </w:pPr>
      <w:r w:rsidDel="00000000" w:rsidR="00000000" w:rsidRPr="00000000">
        <w:rPr>
          <w:rtl w:val="0"/>
        </w:rPr>
      </w:r>
    </w:p>
    <w:p w:rsidR="00000000" w:rsidDel="00000000" w:rsidP="00000000" w:rsidRDefault="00000000" w:rsidRPr="00000000" w14:paraId="00000009">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“Solicito copia del contrato o </w:t>
      </w:r>
      <w:r w:rsidDel="00000000" w:rsidR="00000000" w:rsidRPr="00000000">
        <w:rPr>
          <w:rFonts w:ascii="Palatino Linotype" w:cs="Palatino Linotype" w:eastAsia="Palatino Linotype" w:hAnsi="Palatino Linotype"/>
          <w:b w:val="1"/>
          <w:i w:val="1"/>
          <w:sz w:val="22"/>
          <w:szCs w:val="22"/>
          <w:rtl w:val="0"/>
        </w:rPr>
        <w:t xml:space="preserve">contratos que haya celebrado</w:t>
      </w:r>
      <w:r w:rsidDel="00000000" w:rsidR="00000000" w:rsidRPr="00000000">
        <w:rPr>
          <w:rFonts w:ascii="Palatino Linotype" w:cs="Palatino Linotype" w:eastAsia="Palatino Linotype" w:hAnsi="Palatino Linotype"/>
          <w:i w:val="1"/>
          <w:sz w:val="22"/>
          <w:szCs w:val="22"/>
          <w:rtl w:val="0"/>
        </w:rPr>
        <w:t xml:space="preserve"> el Municipio de Toluca o el DIF Municipal de Toluca </w:t>
      </w:r>
      <w:r w:rsidDel="00000000" w:rsidR="00000000" w:rsidRPr="00000000">
        <w:rPr>
          <w:rFonts w:ascii="Palatino Linotype" w:cs="Palatino Linotype" w:eastAsia="Palatino Linotype" w:hAnsi="Palatino Linotype"/>
          <w:b w:val="1"/>
          <w:i w:val="1"/>
          <w:sz w:val="22"/>
          <w:szCs w:val="22"/>
          <w:rtl w:val="0"/>
        </w:rPr>
        <w:t xml:space="preserve">para llevar acabo el evento del día de reyes el pasado 11 de enero del año en curso </w:t>
      </w:r>
      <w:r w:rsidDel="00000000" w:rsidR="00000000" w:rsidRPr="00000000">
        <w:rPr>
          <w:rFonts w:ascii="Palatino Linotype" w:cs="Palatino Linotype" w:eastAsia="Palatino Linotype" w:hAnsi="Palatino Linotype"/>
          <w:i w:val="1"/>
          <w:sz w:val="22"/>
          <w:szCs w:val="22"/>
          <w:rtl w:val="0"/>
        </w:rPr>
        <w:t xml:space="preserve">en el parque Metropolitano Bicentenario. Así mismo solicito copia del </w:t>
      </w:r>
      <w:r w:rsidDel="00000000" w:rsidR="00000000" w:rsidRPr="00000000">
        <w:rPr>
          <w:rFonts w:ascii="Palatino Linotype" w:cs="Palatino Linotype" w:eastAsia="Palatino Linotype" w:hAnsi="Palatino Linotype"/>
          <w:b w:val="1"/>
          <w:i w:val="1"/>
          <w:sz w:val="22"/>
          <w:szCs w:val="22"/>
          <w:rtl w:val="0"/>
        </w:rPr>
        <w:t xml:space="preserve">contrato de adquisición de las barredoras eléctricas</w:t>
      </w:r>
      <w:r w:rsidDel="00000000" w:rsidR="00000000" w:rsidRPr="00000000">
        <w:rPr>
          <w:rFonts w:ascii="Palatino Linotype" w:cs="Palatino Linotype" w:eastAsia="Palatino Linotype" w:hAnsi="Palatino Linotype"/>
          <w:i w:val="1"/>
          <w:sz w:val="22"/>
          <w:szCs w:val="22"/>
          <w:rtl w:val="0"/>
        </w:rPr>
        <w:t xml:space="preserve"> que adquirió la actual administración municipal de toluca y mencionar el tipo de procedimiento adquisitivo que se llevo acabo para su compra.”</w:t>
      </w:r>
    </w:p>
    <w:p w:rsidR="00000000" w:rsidDel="00000000" w:rsidP="00000000" w:rsidRDefault="00000000" w:rsidRPr="00000000" w14:paraId="0000000A">
      <w:pPr>
        <w:spacing w:line="360" w:lineRule="auto"/>
        <w:ind w:left="709" w:right="900"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0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Modalidad elegida para la entrega de la información: </w:t>
      </w:r>
      <w:r w:rsidDel="00000000" w:rsidR="00000000" w:rsidRPr="00000000">
        <w:rPr>
          <w:rFonts w:ascii="Palatino Linotype" w:cs="Palatino Linotype" w:eastAsia="Palatino Linotype" w:hAnsi="Palatino Linotype"/>
          <w:sz w:val="22"/>
          <w:szCs w:val="22"/>
          <w:rtl w:val="0"/>
        </w:rPr>
        <w:t xml:space="preserve">a través del Sistema de Acceso a la Información Mexiquense. </w:t>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0D">
      <w:pPr>
        <w:numPr>
          <w:ilvl w:val="0"/>
          <w:numId w:val="2"/>
        </w:numPr>
        <w:pBdr>
          <w:top w:space="0" w:sz="0" w:val="nil"/>
          <w:left w:space="0" w:sz="0" w:val="nil"/>
          <w:bottom w:space="0" w:sz="0" w:val="nil"/>
          <w:right w:space="0" w:sz="0" w:val="nil"/>
          <w:between w:space="0" w:sz="0" w:val="nil"/>
        </w:pBdr>
        <w:spacing w:line="360" w:lineRule="auto"/>
        <w:ind w:left="0" w:firstLine="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Respuesta. </w:t>
      </w:r>
      <w:r w:rsidDel="00000000" w:rsidR="00000000" w:rsidRPr="00000000">
        <w:rPr>
          <w:rFonts w:ascii="Palatino Linotype" w:cs="Palatino Linotype" w:eastAsia="Palatino Linotype" w:hAnsi="Palatino Linotype"/>
          <w:color w:val="000000"/>
          <w:sz w:val="22"/>
          <w:szCs w:val="22"/>
          <w:rtl w:val="0"/>
        </w:rPr>
        <w:t xml:space="preserve">Con fecha </w:t>
      </w:r>
      <w:r w:rsidDel="00000000" w:rsidR="00000000" w:rsidRPr="00000000">
        <w:rPr>
          <w:rFonts w:ascii="Palatino Linotype" w:cs="Palatino Linotype" w:eastAsia="Palatino Linotype" w:hAnsi="Palatino Linotype"/>
          <w:b w:val="1"/>
          <w:color w:val="000000"/>
          <w:sz w:val="22"/>
          <w:szCs w:val="22"/>
          <w:rtl w:val="0"/>
        </w:rPr>
        <w:t xml:space="preserve">once de febrero de dos mil veinticinco</w:t>
      </w:r>
      <w:r w:rsidDel="00000000" w:rsidR="00000000" w:rsidRPr="00000000">
        <w:rPr>
          <w:rFonts w:ascii="Palatino Linotype" w:cs="Palatino Linotype" w:eastAsia="Palatino Linotype" w:hAnsi="Palatino Linotype"/>
          <w:color w:val="000000"/>
          <w:sz w:val="22"/>
          <w:szCs w:val="22"/>
          <w:rtl w:val="0"/>
        </w:rPr>
        <w:t xml:space="preserve">, el </w:t>
      </w:r>
      <w:r w:rsidDel="00000000" w:rsidR="00000000" w:rsidRPr="00000000">
        <w:rPr>
          <w:rFonts w:ascii="Palatino Linotype" w:cs="Palatino Linotype" w:eastAsia="Palatino Linotype" w:hAnsi="Palatino Linotype"/>
          <w:b w:val="1"/>
          <w:color w:val="000000"/>
          <w:sz w:val="22"/>
          <w:szCs w:val="22"/>
          <w:rtl w:val="0"/>
        </w:rPr>
        <w:t xml:space="preserve">Sujeto Obligado</w:t>
      </w:r>
      <w:r w:rsidDel="00000000" w:rsidR="00000000" w:rsidRPr="00000000">
        <w:rPr>
          <w:rFonts w:ascii="Palatino Linotype" w:cs="Palatino Linotype" w:eastAsia="Palatino Linotype" w:hAnsi="Palatino Linotype"/>
          <w:color w:val="000000"/>
          <w:sz w:val="22"/>
          <w:szCs w:val="22"/>
          <w:rtl w:val="0"/>
        </w:rPr>
        <w:t xml:space="preserve"> envió su respuesta a la solicitud de acceso a la información a través del SAIMEX, la cual versa como sigue: </w:t>
      </w:r>
    </w:p>
    <w:p w:rsidR="00000000" w:rsidDel="00000000" w:rsidP="00000000" w:rsidRDefault="00000000" w:rsidRPr="00000000" w14:paraId="0000000E">
      <w:pPr>
        <w:tabs>
          <w:tab w:val="left" w:leader="none" w:pos="7371"/>
        </w:tabs>
        <w:spacing w:line="360" w:lineRule="auto"/>
        <w:ind w:left="567" w:right="616" w:firstLine="0"/>
        <w:jc w:val="both"/>
        <w:rPr>
          <w:rFonts w:ascii="Palatino Linotype" w:cs="Palatino Linotype" w:eastAsia="Palatino Linotype" w:hAnsi="Palatino Linotype"/>
          <w:i w:val="1"/>
          <w:sz w:val="22"/>
          <w:szCs w:val="22"/>
        </w:rPr>
      </w:pPr>
      <w:bookmarkStart w:colFirst="0" w:colLast="0" w:name="_heading=h.3znysh7" w:id="1"/>
      <w:bookmarkEnd w:id="1"/>
      <w:r w:rsidDel="00000000" w:rsidR="00000000" w:rsidRPr="00000000">
        <w:rPr>
          <w:rtl w:val="0"/>
        </w:rPr>
      </w:r>
    </w:p>
    <w:p w:rsidR="00000000" w:rsidDel="00000000" w:rsidP="00000000" w:rsidRDefault="00000000" w:rsidRPr="00000000" w14:paraId="0000000F">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10">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atención a la solicitud con folio 0384/TOLUCA/IP/2025, me permito adjuntar al presente la respuesta correspondiente. Sin más por el momento, reciba un saludo.</w:t>
      </w:r>
    </w:p>
    <w:p w:rsidR="00000000" w:rsidDel="00000000" w:rsidP="00000000" w:rsidRDefault="00000000" w:rsidRPr="00000000" w14:paraId="00000011">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ATENTAMENTE</w:t>
      </w:r>
    </w:p>
    <w:p w:rsidR="00000000" w:rsidDel="00000000" w:rsidP="00000000" w:rsidRDefault="00000000" w:rsidRPr="00000000" w14:paraId="00000012">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Dr. Nahum Miguel Mendoza Morales” (Sic)</w:t>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Adjuntando a su respuesta el archivo electrónico denominado “</w:t>
      </w:r>
      <w:r w:rsidDel="00000000" w:rsidR="00000000" w:rsidRPr="00000000">
        <w:rPr>
          <w:rFonts w:ascii="Palatino Linotype" w:cs="Palatino Linotype" w:eastAsia="Palatino Linotype" w:hAnsi="Palatino Linotype"/>
          <w:b w:val="1"/>
          <w:i w:val="1"/>
          <w:color w:val="000000"/>
          <w:sz w:val="22"/>
          <w:szCs w:val="22"/>
          <w:rtl w:val="0"/>
        </w:rPr>
        <w:t xml:space="preserve">RESPUESTA 384. 2025.pdf</w:t>
      </w:r>
      <w:r w:rsidDel="00000000" w:rsidR="00000000" w:rsidRPr="00000000">
        <w:rPr>
          <w:rFonts w:ascii="Palatino Linotype" w:cs="Palatino Linotype" w:eastAsia="Palatino Linotype" w:hAnsi="Palatino Linotype"/>
          <w:color w:val="000000"/>
          <w:sz w:val="22"/>
          <w:szCs w:val="22"/>
          <w:rtl w:val="0"/>
        </w:rPr>
        <w:t xml:space="preserve">”, el cual contiene el oficio de fecha once de febrero de dos mil veinticinco, signado por el Titular de la Unidad de Transparencia del Ayuntamiento de Toluca, mediante el cual informó que la Dirección General de Administración hizo del conocimiento que después de realizar una búsqueda exhaustiva en los archivos de la Dirección de Recursos Materiales y los de sus departamentos, no se localizó la información solicitada. </w:t>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16">
      <w:pPr>
        <w:numPr>
          <w:ilvl w:val="0"/>
          <w:numId w:val="2"/>
        </w:numPr>
        <w:pBdr>
          <w:top w:space="0" w:sz="0" w:val="nil"/>
          <w:left w:space="0" w:sz="0" w:val="nil"/>
          <w:bottom w:space="0" w:sz="0" w:val="nil"/>
          <w:right w:space="0" w:sz="0" w:val="nil"/>
          <w:between w:space="0" w:sz="0" w:val="nil"/>
        </w:pBdr>
        <w:tabs>
          <w:tab w:val="left" w:leader="none" w:pos="426"/>
        </w:tabs>
        <w:spacing w:line="360" w:lineRule="auto"/>
        <w:ind w:left="0" w:right="49" w:firstLine="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Interposición del recurso de revisión. </w:t>
      </w:r>
      <w:r w:rsidDel="00000000" w:rsidR="00000000" w:rsidRPr="00000000">
        <w:rPr>
          <w:rFonts w:ascii="Palatino Linotype" w:cs="Palatino Linotype" w:eastAsia="Palatino Linotype" w:hAnsi="Palatino Linotype"/>
          <w:color w:val="000000"/>
          <w:sz w:val="22"/>
          <w:szCs w:val="22"/>
          <w:rtl w:val="0"/>
        </w:rPr>
        <w:t xml:space="preserve">Inconforme con la respuesta del </w:t>
      </w:r>
      <w:r w:rsidDel="00000000" w:rsidR="00000000" w:rsidRPr="00000000">
        <w:rPr>
          <w:rFonts w:ascii="Palatino Linotype" w:cs="Palatino Linotype" w:eastAsia="Palatino Linotype" w:hAnsi="Palatino Linotype"/>
          <w:b w:val="1"/>
          <w:color w:val="000000"/>
          <w:sz w:val="22"/>
          <w:szCs w:val="22"/>
          <w:rtl w:val="0"/>
        </w:rPr>
        <w:t xml:space="preserve">Sujeto Obligado </w:t>
      </w:r>
      <w:r w:rsidDel="00000000" w:rsidR="00000000" w:rsidRPr="00000000">
        <w:rPr>
          <w:rFonts w:ascii="Palatino Linotype" w:cs="Palatino Linotype" w:eastAsia="Palatino Linotype" w:hAnsi="Palatino Linotype"/>
          <w:color w:val="000000"/>
          <w:sz w:val="22"/>
          <w:szCs w:val="22"/>
          <w:rtl w:val="0"/>
        </w:rPr>
        <w:t xml:space="preserve">la parte</w:t>
      </w:r>
      <w:r w:rsidDel="00000000" w:rsidR="00000000" w:rsidRPr="00000000">
        <w:rPr>
          <w:rFonts w:ascii="Palatino Linotype" w:cs="Palatino Linotype" w:eastAsia="Palatino Linotype" w:hAnsi="Palatino Linotype"/>
          <w:b w:val="1"/>
          <w:color w:val="000000"/>
          <w:sz w:val="22"/>
          <w:szCs w:val="22"/>
          <w:rtl w:val="0"/>
        </w:rPr>
        <w:t xml:space="preserve"> Recurrente</w:t>
      </w:r>
      <w:r w:rsidDel="00000000" w:rsidR="00000000" w:rsidRPr="00000000">
        <w:rPr>
          <w:rFonts w:ascii="Palatino Linotype" w:cs="Palatino Linotype" w:eastAsia="Palatino Linotype" w:hAnsi="Palatino Linotype"/>
          <w:color w:val="000000"/>
          <w:sz w:val="22"/>
          <w:szCs w:val="22"/>
          <w:rtl w:val="0"/>
        </w:rPr>
        <w:t xml:space="preserve"> interpuso recurso de revisión a través del SAIMEX en fecha </w:t>
      </w:r>
      <w:r w:rsidDel="00000000" w:rsidR="00000000" w:rsidRPr="00000000">
        <w:rPr>
          <w:rFonts w:ascii="Palatino Linotype" w:cs="Palatino Linotype" w:eastAsia="Palatino Linotype" w:hAnsi="Palatino Linotype"/>
          <w:b w:val="1"/>
          <w:color w:val="000000"/>
          <w:sz w:val="22"/>
          <w:szCs w:val="22"/>
          <w:rtl w:val="0"/>
        </w:rPr>
        <w:t xml:space="preserve">veintiuno de febrero de dos mil veinticinco</w:t>
      </w:r>
      <w:r w:rsidDel="00000000" w:rsidR="00000000" w:rsidRPr="00000000">
        <w:rPr>
          <w:rFonts w:ascii="Palatino Linotype" w:cs="Palatino Linotype" w:eastAsia="Palatino Linotype" w:hAnsi="Palatino Linotype"/>
          <w:color w:val="000000"/>
          <w:sz w:val="22"/>
          <w:szCs w:val="22"/>
          <w:rtl w:val="0"/>
        </w:rPr>
        <w:t xml:space="preserve">, a través del cual expresó lo siguiente:</w:t>
      </w:r>
    </w:p>
    <w:p w:rsidR="00000000" w:rsidDel="00000000" w:rsidP="00000000" w:rsidRDefault="00000000" w:rsidRPr="00000000" w14:paraId="00000017">
      <w:pPr>
        <w:pBdr>
          <w:top w:space="0" w:sz="0" w:val="nil"/>
          <w:left w:space="0" w:sz="0" w:val="nil"/>
          <w:bottom w:space="0" w:sz="0" w:val="nil"/>
          <w:right w:space="0" w:sz="0" w:val="nil"/>
          <w:between w:space="0" w:sz="0" w:val="nil"/>
        </w:pBdr>
        <w:tabs>
          <w:tab w:val="left" w:leader="none" w:pos="426"/>
        </w:tabs>
        <w:spacing w:line="360" w:lineRule="auto"/>
        <w:ind w:right="49"/>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18">
      <w:pPr>
        <w:spacing w:line="276" w:lineRule="auto"/>
        <w:ind w:left="851" w:right="616"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Acto impugnado. </w:t>
      </w: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RESPUESTA DADA A LA SOLICITUD 0384/TOLUCA/IP/2025</w:t>
      </w:r>
      <w:r w:rsidDel="00000000" w:rsidR="00000000" w:rsidRPr="00000000">
        <w:rPr>
          <w:rFonts w:ascii="Palatino Linotype" w:cs="Palatino Linotype" w:eastAsia="Palatino Linotype" w:hAnsi="Palatino Linotype"/>
          <w:i w:val="1"/>
          <w:color w:val="000000"/>
          <w:sz w:val="22"/>
          <w:szCs w:val="22"/>
          <w:rtl w:val="0"/>
        </w:rPr>
        <w:t xml:space="preserve">” </w:t>
      </w:r>
    </w:p>
    <w:p w:rsidR="00000000" w:rsidDel="00000000" w:rsidP="00000000" w:rsidRDefault="00000000" w:rsidRPr="00000000" w14:paraId="00000019">
      <w:pPr>
        <w:spacing w:line="276" w:lineRule="auto"/>
        <w:ind w:left="851" w:right="616" w:firstLine="0"/>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color w:val="000000"/>
          <w:sz w:val="22"/>
          <w:szCs w:val="22"/>
          <w:u w:val="single"/>
        </w:rPr>
      </w:pPr>
      <w:r w:rsidDel="00000000" w:rsidR="00000000" w:rsidRPr="00000000">
        <w:rPr>
          <w:rFonts w:ascii="Palatino Linotype" w:cs="Palatino Linotype" w:eastAsia="Palatino Linotype" w:hAnsi="Palatino Linotype"/>
          <w:b w:val="1"/>
          <w:color w:val="000000"/>
          <w:sz w:val="22"/>
          <w:szCs w:val="22"/>
          <w:rtl w:val="0"/>
        </w:rPr>
        <w:t xml:space="preserve">Motivos de inconformidad. </w:t>
      </w:r>
      <w:r w:rsidDel="00000000" w:rsidR="00000000" w:rsidRPr="00000000">
        <w:rPr>
          <w:rFonts w:ascii="Palatino Linotype" w:cs="Palatino Linotype" w:eastAsia="Palatino Linotype" w:hAnsi="Palatino Linotype"/>
          <w:i w:val="1"/>
          <w:color w:val="000000"/>
          <w:sz w:val="22"/>
          <w:szCs w:val="22"/>
          <w:rtl w:val="0"/>
        </w:rPr>
        <w:t xml:space="preserve">“SI BIEN ES CIERTO SE REFIERE QUE NO SE LOCALIZO EL CONTRATO DEL SERVICIO REFERIDO EN LA SOLICITUD, </w:t>
      </w:r>
      <w:r w:rsidDel="00000000" w:rsidR="00000000" w:rsidRPr="00000000">
        <w:rPr>
          <w:rFonts w:ascii="Palatino Linotype" w:cs="Palatino Linotype" w:eastAsia="Palatino Linotype" w:hAnsi="Palatino Linotype"/>
          <w:i w:val="1"/>
          <w:sz w:val="22"/>
          <w:szCs w:val="22"/>
          <w:rtl w:val="0"/>
        </w:rPr>
        <w:t xml:space="preserve">NUNCA SE REALIZO LA BÚSQUEDA EN EL SISTEMA MUNICIPAL DEL DIF, PESE </w:t>
      </w:r>
      <w:r w:rsidDel="00000000" w:rsidR="00000000" w:rsidRPr="00000000">
        <w:rPr>
          <w:rFonts w:ascii="Palatino Linotype" w:cs="Palatino Linotype" w:eastAsia="Palatino Linotype" w:hAnsi="Palatino Linotype"/>
          <w:i w:val="1"/>
          <w:color w:val="000000"/>
          <w:sz w:val="22"/>
          <w:szCs w:val="22"/>
          <w:rtl w:val="0"/>
        </w:rPr>
        <w:t xml:space="preserve">A QUE EN LA SOLICITUD SE REQUIRIÓ”</w:t>
      </w: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line="360" w:lineRule="auto"/>
        <w:ind w:left="567" w:firstLine="0"/>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01C">
      <w:pPr>
        <w:numPr>
          <w:ilvl w:val="0"/>
          <w:numId w:val="2"/>
        </w:numPr>
        <w:pBdr>
          <w:top w:space="0" w:sz="0" w:val="nil"/>
          <w:left w:space="0" w:sz="0" w:val="nil"/>
          <w:bottom w:space="0" w:sz="0" w:val="nil"/>
          <w:right w:space="0" w:sz="0" w:val="nil"/>
          <w:between w:space="0" w:sz="0" w:val="nil"/>
        </w:pBdr>
        <w:tabs>
          <w:tab w:val="left" w:leader="none" w:pos="284"/>
        </w:tabs>
        <w:spacing w:line="360" w:lineRule="auto"/>
        <w:ind w:left="0" w:firstLine="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Turno. </w:t>
      </w:r>
      <w:r w:rsidDel="00000000" w:rsidR="00000000" w:rsidRPr="00000000">
        <w:rPr>
          <w:rFonts w:ascii="Palatino Linotype" w:cs="Palatino Linotype" w:eastAsia="Palatino Linotype" w:hAnsi="Palatino Linotype"/>
          <w:color w:val="000000"/>
          <w:sz w:val="22"/>
          <w:szCs w:val="22"/>
          <w:rtl w:val="0"/>
        </w:rPr>
        <w:t xml:space="preserve">De conformidad con el artículo 185, fracción I de la Ley de Transparencia y Acceso a la Información Pública del Estado de México y Municipios, el recurso de revisión número </w:t>
      </w:r>
      <w:r w:rsidDel="00000000" w:rsidR="00000000" w:rsidRPr="00000000">
        <w:rPr>
          <w:rFonts w:ascii="Palatino Linotype" w:cs="Palatino Linotype" w:eastAsia="Palatino Linotype" w:hAnsi="Palatino Linotype"/>
          <w:b w:val="1"/>
          <w:color w:val="000000"/>
          <w:sz w:val="22"/>
          <w:szCs w:val="22"/>
          <w:rtl w:val="0"/>
        </w:rPr>
        <w:t xml:space="preserve">01814/INFOEM/IP/RR/2025</w:t>
      </w:r>
      <w:r w:rsidDel="00000000" w:rsidR="00000000" w:rsidRPr="00000000">
        <w:rPr>
          <w:rFonts w:ascii="Palatino Linotype" w:cs="Palatino Linotype" w:eastAsia="Palatino Linotype" w:hAnsi="Palatino Linotype"/>
          <w:color w:val="000000"/>
          <w:sz w:val="22"/>
          <w:szCs w:val="22"/>
          <w:rtl w:val="0"/>
        </w:rPr>
        <w:t xml:space="preserve">,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color w:val="000000"/>
          <w:sz w:val="22"/>
          <w:szCs w:val="22"/>
          <w:rtl w:val="0"/>
        </w:rPr>
        <w:t xml:space="preserve">Guadalupe Ramírez Peña</w:t>
      </w:r>
      <w:r w:rsidDel="00000000" w:rsidR="00000000" w:rsidRPr="00000000">
        <w:rPr>
          <w:rFonts w:ascii="Palatino Linotype" w:cs="Palatino Linotype" w:eastAsia="Palatino Linotype" w:hAnsi="Palatino Linotype"/>
          <w:color w:val="000000"/>
          <w:sz w:val="22"/>
          <w:szCs w:val="22"/>
          <w:rtl w:val="0"/>
        </w:rPr>
        <w:t xml:space="preserve">, para su análisis, estudio, elaboración del proyecto y presentación ante el Pleno de este Instituto.</w:t>
      </w:r>
    </w:p>
    <w:p w:rsidR="00000000" w:rsidDel="00000000" w:rsidP="00000000" w:rsidRDefault="00000000" w:rsidRPr="00000000" w14:paraId="0000001D">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1E">
      <w:pPr>
        <w:numPr>
          <w:ilvl w:val="0"/>
          <w:numId w:val="2"/>
        </w:numPr>
        <w:pBdr>
          <w:top w:space="0" w:sz="0" w:val="nil"/>
          <w:left w:space="0" w:sz="0" w:val="nil"/>
          <w:bottom w:space="0" w:sz="0" w:val="nil"/>
          <w:right w:space="0" w:sz="0" w:val="nil"/>
          <w:between w:space="0" w:sz="0" w:val="nil"/>
        </w:pBdr>
        <w:tabs>
          <w:tab w:val="left" w:leader="none" w:pos="284"/>
        </w:tabs>
        <w:spacing w:line="360" w:lineRule="auto"/>
        <w:ind w:left="0" w:firstLine="0"/>
        <w:jc w:val="both"/>
        <w:rPr>
          <w:rFonts w:ascii="Palatino Linotype" w:cs="Palatino Linotype" w:eastAsia="Palatino Linotype" w:hAnsi="Palatino Linotype"/>
          <w:color w:val="000000"/>
          <w:sz w:val="22"/>
          <w:szCs w:val="22"/>
        </w:rPr>
      </w:pPr>
      <w:bookmarkStart w:colFirst="0" w:colLast="0" w:name="_heading=h.gjdgxs" w:id="2"/>
      <w:bookmarkEnd w:id="2"/>
      <w:r w:rsidDel="00000000" w:rsidR="00000000" w:rsidRPr="00000000">
        <w:rPr>
          <w:rFonts w:ascii="Palatino Linotype" w:cs="Palatino Linotype" w:eastAsia="Palatino Linotype" w:hAnsi="Palatino Linotype"/>
          <w:b w:val="1"/>
          <w:color w:val="000000"/>
          <w:sz w:val="22"/>
          <w:szCs w:val="22"/>
          <w:rtl w:val="0"/>
        </w:rPr>
        <w:t xml:space="preserve">Admisión del recurso de revisión: </w:t>
      </w:r>
      <w:r w:rsidDel="00000000" w:rsidR="00000000" w:rsidRPr="00000000">
        <w:rPr>
          <w:rFonts w:ascii="Palatino Linotype" w:cs="Palatino Linotype" w:eastAsia="Palatino Linotype" w:hAnsi="Palatino Linotype"/>
          <w:color w:val="000000"/>
          <w:sz w:val="22"/>
          <w:szCs w:val="22"/>
          <w:rtl w:val="0"/>
        </w:rPr>
        <w:t xml:space="preserve">En fecha </w:t>
      </w:r>
      <w:r w:rsidDel="00000000" w:rsidR="00000000" w:rsidRPr="00000000">
        <w:rPr>
          <w:rFonts w:ascii="Palatino Linotype" w:cs="Palatino Linotype" w:eastAsia="Palatino Linotype" w:hAnsi="Palatino Linotype"/>
          <w:b w:val="1"/>
          <w:color w:val="000000"/>
          <w:sz w:val="22"/>
          <w:szCs w:val="22"/>
          <w:rtl w:val="0"/>
        </w:rPr>
        <w:t xml:space="preserve">veintiséis de febrero de dos mil veinticinco, </w:t>
      </w:r>
      <w:r w:rsidDel="00000000" w:rsidR="00000000" w:rsidRPr="00000000">
        <w:rPr>
          <w:rFonts w:ascii="Palatino Linotype" w:cs="Palatino Linotype" w:eastAsia="Palatino Linotype" w:hAnsi="Palatino Linotype"/>
          <w:color w:val="000000"/>
          <w:sz w:val="22"/>
          <w:szCs w:val="22"/>
          <w:rtl w:val="0"/>
        </w:rPr>
        <w:t xml:space="preserve">la Comisionada Ponente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color w:val="000000"/>
          <w:sz w:val="22"/>
          <w:szCs w:val="22"/>
          <w:rtl w:val="0"/>
        </w:rPr>
        <w:t xml:space="preserve">Sujeto Obligado</w:t>
      </w:r>
      <w:r w:rsidDel="00000000" w:rsidR="00000000" w:rsidRPr="00000000">
        <w:rPr>
          <w:rFonts w:ascii="Palatino Linotype" w:cs="Palatino Linotype" w:eastAsia="Palatino Linotype" w:hAnsi="Palatino Linotype"/>
          <w:color w:val="000000"/>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presentará</w:t>
      </w:r>
      <w:r w:rsidDel="00000000" w:rsidR="00000000" w:rsidRPr="00000000">
        <w:rPr>
          <w:rFonts w:ascii="Palatino Linotype" w:cs="Palatino Linotype" w:eastAsia="Palatino Linotype" w:hAnsi="Palatino Linotype"/>
          <w:color w:val="000000"/>
          <w:sz w:val="22"/>
          <w:szCs w:val="22"/>
          <w:rtl w:val="0"/>
        </w:rPr>
        <w:t xml:space="preserve"> su informe justificado.</w:t>
      </w:r>
    </w:p>
    <w:p w:rsidR="00000000" w:rsidDel="00000000" w:rsidP="00000000" w:rsidRDefault="00000000" w:rsidRPr="00000000" w14:paraId="0000001F">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20">
      <w:pPr>
        <w:numPr>
          <w:ilvl w:val="0"/>
          <w:numId w:val="2"/>
        </w:numPr>
        <w:pBdr>
          <w:top w:space="0" w:sz="0" w:val="nil"/>
          <w:left w:space="0" w:sz="0" w:val="nil"/>
          <w:bottom w:space="0" w:sz="0" w:val="nil"/>
          <w:right w:space="0" w:sz="0" w:val="nil"/>
          <w:between w:space="0" w:sz="0" w:val="nil"/>
        </w:pBdr>
        <w:tabs>
          <w:tab w:val="left" w:leader="none" w:pos="284"/>
        </w:tabs>
        <w:spacing w:line="360" w:lineRule="auto"/>
        <w:ind w:left="0" w:right="49" w:firstLine="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Manifestaciones</w:t>
      </w:r>
      <w:r w:rsidDel="00000000" w:rsidR="00000000" w:rsidRPr="00000000">
        <w:rPr>
          <w:rFonts w:ascii="Palatino Linotype" w:cs="Palatino Linotype" w:eastAsia="Palatino Linotype" w:hAnsi="Palatino Linotype"/>
          <w:color w:val="000000"/>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D</w:t>
      </w:r>
      <w:r w:rsidDel="00000000" w:rsidR="00000000" w:rsidRPr="00000000">
        <w:rPr>
          <w:rFonts w:ascii="Palatino Linotype" w:cs="Palatino Linotype" w:eastAsia="Palatino Linotype" w:hAnsi="Palatino Linotype"/>
          <w:color w:val="000000"/>
          <w:sz w:val="22"/>
          <w:szCs w:val="22"/>
          <w:rtl w:val="0"/>
        </w:rPr>
        <w:t xml:space="preserve">e las constancias que obran en el expediente electrónico del </w:t>
      </w:r>
      <w:r w:rsidDel="00000000" w:rsidR="00000000" w:rsidRPr="00000000">
        <w:rPr>
          <w:rFonts w:ascii="Palatino Linotype" w:cs="Palatino Linotype" w:eastAsia="Palatino Linotype" w:hAnsi="Palatino Linotype"/>
          <w:b w:val="1"/>
          <w:color w:val="000000"/>
          <w:sz w:val="22"/>
          <w:szCs w:val="22"/>
          <w:rtl w:val="0"/>
        </w:rPr>
        <w:t xml:space="preserve">SAIMEX</w:t>
      </w:r>
      <w:r w:rsidDel="00000000" w:rsidR="00000000" w:rsidRPr="00000000">
        <w:rPr>
          <w:rFonts w:ascii="Palatino Linotype" w:cs="Palatino Linotype" w:eastAsia="Palatino Linotype" w:hAnsi="Palatino Linotype"/>
          <w:color w:val="000000"/>
          <w:sz w:val="22"/>
          <w:szCs w:val="22"/>
          <w:rtl w:val="0"/>
        </w:rPr>
        <w:t xml:space="preserve"> se desprende que el </w:t>
      </w:r>
      <w:r w:rsidDel="00000000" w:rsidR="00000000" w:rsidRPr="00000000">
        <w:rPr>
          <w:rFonts w:ascii="Palatino Linotype" w:cs="Palatino Linotype" w:eastAsia="Palatino Linotype" w:hAnsi="Palatino Linotype"/>
          <w:b w:val="1"/>
          <w:color w:val="000000"/>
          <w:sz w:val="22"/>
          <w:szCs w:val="22"/>
          <w:rtl w:val="0"/>
        </w:rPr>
        <w:t xml:space="preserve">Sujeto Obligado</w:t>
      </w:r>
      <w:r w:rsidDel="00000000" w:rsidR="00000000" w:rsidRPr="00000000">
        <w:rPr>
          <w:rFonts w:ascii="Palatino Linotype" w:cs="Palatino Linotype" w:eastAsia="Palatino Linotype" w:hAnsi="Palatino Linotype"/>
          <w:color w:val="000000"/>
          <w:sz w:val="22"/>
          <w:szCs w:val="22"/>
          <w:rtl w:val="0"/>
        </w:rPr>
        <w:t xml:space="preserve"> en fecha diez de marzo de dos mil veinticinco, rindió su informe justificado, a través del archivo electrónico denominados “</w:t>
      </w:r>
      <w:r w:rsidDel="00000000" w:rsidR="00000000" w:rsidRPr="00000000">
        <w:rPr>
          <w:rFonts w:ascii="Palatino Linotype" w:cs="Palatino Linotype" w:eastAsia="Palatino Linotype" w:hAnsi="Palatino Linotype"/>
          <w:b w:val="1"/>
          <w:i w:val="1"/>
          <w:color w:val="000000"/>
          <w:sz w:val="22"/>
          <w:szCs w:val="22"/>
          <w:rtl w:val="0"/>
        </w:rPr>
        <w:t xml:space="preserve">Informe Justificado 1814.pdf</w:t>
      </w:r>
      <w:r w:rsidDel="00000000" w:rsidR="00000000" w:rsidRPr="00000000">
        <w:rPr>
          <w:rFonts w:ascii="Palatino Linotype" w:cs="Palatino Linotype" w:eastAsia="Palatino Linotype" w:hAnsi="Palatino Linotype"/>
          <w:color w:val="000000"/>
          <w:sz w:val="22"/>
          <w:szCs w:val="22"/>
          <w:rtl w:val="0"/>
        </w:rPr>
        <w:t xml:space="preserve">”, el cual contiene el oficio de fecha diez de marzo de dos mil veinticinco, signado por el Titular de la Unidad de Transparencia, mediante el cual informó que el Sistema Municipal DIF Toluca es un Organismo Descentralizado, por tal motivo invita al Recurrente redirigir su solicitud a dicho organismo, en la siguiente liga, ingresando al apartado SAIMEX: </w:t>
      </w:r>
      <w:hyperlink r:id="rId7">
        <w:r w:rsidDel="00000000" w:rsidR="00000000" w:rsidRPr="00000000">
          <w:rPr>
            <w:rFonts w:ascii="Palatino Linotype" w:cs="Palatino Linotype" w:eastAsia="Palatino Linotype" w:hAnsi="Palatino Linotype"/>
            <w:color w:val="0563c1"/>
            <w:sz w:val="22"/>
            <w:szCs w:val="22"/>
            <w:u w:val="single"/>
            <w:rtl w:val="0"/>
          </w:rPr>
          <w:t xml:space="preserve">https://diftoluca.gob.mx/Paginas/Transparencia/Transparencia/index.php</w:t>
        </w:r>
      </w:hyperlink>
      <w:r w:rsidDel="00000000" w:rsidR="00000000" w:rsidRPr="00000000">
        <w:rPr>
          <w:rFonts w:ascii="Palatino Linotype" w:cs="Palatino Linotype" w:eastAsia="Palatino Linotype" w:hAnsi="Palatino Linotype"/>
          <w:color w:val="000000"/>
          <w:sz w:val="22"/>
          <w:szCs w:val="22"/>
          <w:rtl w:val="0"/>
        </w:rPr>
        <w:t xml:space="preserve">. </w:t>
      </w:r>
    </w:p>
    <w:p w:rsidR="00000000" w:rsidDel="00000000" w:rsidP="00000000" w:rsidRDefault="00000000" w:rsidRPr="00000000" w14:paraId="0000002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2">
      <w:pPr>
        <w:numPr>
          <w:ilvl w:val="0"/>
          <w:numId w:val="2"/>
        </w:numPr>
        <w:pBdr>
          <w:top w:space="0" w:sz="0" w:val="nil"/>
          <w:left w:space="0" w:sz="0" w:val="nil"/>
          <w:bottom w:space="0" w:sz="0" w:val="nil"/>
          <w:right w:space="0" w:sz="0" w:val="nil"/>
          <w:between w:space="0" w:sz="0" w:val="nil"/>
        </w:pBdr>
        <w:tabs>
          <w:tab w:val="left" w:leader="none" w:pos="426"/>
        </w:tabs>
        <w:spacing w:line="360" w:lineRule="auto"/>
        <w:ind w:left="0" w:firstLine="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Ampliación de plazo:</w:t>
      </w:r>
      <w:r w:rsidDel="00000000" w:rsidR="00000000" w:rsidRPr="00000000">
        <w:rPr>
          <w:rFonts w:ascii="Palatino Linotype" w:cs="Palatino Linotype" w:eastAsia="Palatino Linotype" w:hAnsi="Palatino Linotype"/>
          <w:color w:val="000000"/>
          <w:sz w:val="22"/>
          <w:szCs w:val="22"/>
          <w:rtl w:val="0"/>
        </w:rPr>
        <w:t xml:space="preserve"> El </w:t>
      </w:r>
      <w:r w:rsidDel="00000000" w:rsidR="00000000" w:rsidRPr="00000000">
        <w:rPr>
          <w:rFonts w:ascii="Palatino Linotype" w:cs="Palatino Linotype" w:eastAsia="Palatino Linotype" w:hAnsi="Palatino Linotype"/>
          <w:b w:val="1"/>
          <w:color w:val="000000"/>
          <w:sz w:val="22"/>
          <w:szCs w:val="22"/>
          <w:rtl w:val="0"/>
        </w:rPr>
        <w:t xml:space="preserve">ocho de abril de dos mil veinticinco</w:t>
      </w:r>
      <w:r w:rsidDel="00000000" w:rsidR="00000000" w:rsidRPr="00000000">
        <w:rPr>
          <w:rFonts w:ascii="Palatino Linotype" w:cs="Palatino Linotype" w:eastAsia="Palatino Linotype" w:hAnsi="Palatino Linotype"/>
          <w:color w:val="000000"/>
          <w:sz w:val="22"/>
          <w:szCs w:val="22"/>
          <w:rtl w:val="0"/>
        </w:rPr>
        <w:t xml:space="preserve">,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4">
      <w:pPr>
        <w:numPr>
          <w:ilvl w:val="0"/>
          <w:numId w:val="2"/>
        </w:numPr>
        <w:pBdr>
          <w:top w:space="0" w:sz="0" w:val="nil"/>
          <w:left w:space="0" w:sz="0" w:val="nil"/>
          <w:bottom w:space="0" w:sz="0" w:val="nil"/>
          <w:right w:space="0" w:sz="0" w:val="nil"/>
          <w:between w:space="0" w:sz="0" w:val="nil"/>
        </w:pBdr>
        <w:tabs>
          <w:tab w:val="left" w:leader="none" w:pos="426"/>
        </w:tabs>
        <w:spacing w:line="360" w:lineRule="auto"/>
        <w:ind w:left="0" w:firstLine="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Cierre de instrucción. </w:t>
      </w: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sz w:val="22"/>
          <w:szCs w:val="22"/>
          <w:rtl w:val="0"/>
        </w:rPr>
        <w:t xml:space="preserve">veintiuno de abril de dos mil veinticinco</w:t>
      </w:r>
      <w:r w:rsidDel="00000000" w:rsidR="00000000" w:rsidRPr="00000000">
        <w:rPr>
          <w:rFonts w:ascii="Palatino Linotype" w:cs="Palatino Linotype" w:eastAsia="Palatino Linotype" w:hAnsi="Palatino Linotype"/>
          <w:color w:val="000000"/>
          <w:sz w:val="22"/>
          <w:szCs w:val="22"/>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25">
      <w:pPr>
        <w:pBdr>
          <w:top w:space="0" w:sz="0" w:val="nil"/>
          <w:left w:space="0" w:sz="0" w:val="nil"/>
          <w:bottom w:space="0" w:sz="0" w:val="nil"/>
          <w:right w:space="0" w:sz="0" w:val="nil"/>
          <w:between w:space="0" w:sz="0" w:val="nil"/>
        </w:pBdr>
        <w:tabs>
          <w:tab w:val="left" w:leader="none" w:pos="426"/>
        </w:tabs>
        <w:spacing w:line="360" w:lineRule="auto"/>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2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2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8">
      <w:pPr>
        <w:numPr>
          <w:ilvl w:val="0"/>
          <w:numId w:val="1"/>
        </w:numPr>
        <w:pBdr>
          <w:top w:space="0" w:sz="0" w:val="nil"/>
          <w:left w:space="0" w:sz="0" w:val="nil"/>
          <w:bottom w:space="0" w:sz="0" w:val="nil"/>
          <w:right w:space="0" w:sz="0" w:val="nil"/>
          <w:between w:space="0" w:sz="0" w:val="nil"/>
        </w:pBdr>
        <w:spacing w:line="360" w:lineRule="auto"/>
        <w:ind w:left="1077" w:hanging="360"/>
        <w:jc w:val="center"/>
        <w:rPr>
          <w:rFonts w:ascii="Palatino Linotype" w:cs="Palatino Linotype" w:eastAsia="Palatino Linotype" w:hAnsi="Palatino Linotype"/>
          <w:b w:val="1"/>
          <w:color w:val="000000"/>
          <w:sz w:val="22"/>
          <w:szCs w:val="22"/>
        </w:rPr>
      </w:pPr>
      <w:bookmarkStart w:colFirst="0" w:colLast="0" w:name="_heading=h.30j0zll" w:id="3"/>
      <w:bookmarkEnd w:id="3"/>
      <w:r w:rsidDel="00000000" w:rsidR="00000000" w:rsidRPr="00000000">
        <w:rPr>
          <w:rFonts w:ascii="Palatino Linotype" w:cs="Palatino Linotype" w:eastAsia="Palatino Linotype" w:hAnsi="Palatino Linotype"/>
          <w:b w:val="1"/>
          <w:color w:val="000000"/>
          <w:sz w:val="22"/>
          <w:szCs w:val="22"/>
          <w:rtl w:val="0"/>
        </w:rPr>
        <w:t xml:space="preserve">C O N S I D E R A N D O:</w:t>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line="360" w:lineRule="auto"/>
        <w:ind w:left="1077" w:firstLine="0"/>
        <w:jc w:val="center"/>
        <w:rPr>
          <w:rFonts w:ascii="Palatino Linotype" w:cs="Palatino Linotype" w:eastAsia="Palatino Linotype" w:hAnsi="Palatino Linotype"/>
          <w:b w:val="1"/>
          <w:color w:val="000000"/>
          <w:sz w:val="22"/>
          <w:szCs w:val="22"/>
        </w:rPr>
      </w:pPr>
      <w:r w:rsidDel="00000000" w:rsidR="00000000" w:rsidRPr="00000000">
        <w:rPr>
          <w:rtl w:val="0"/>
        </w:rPr>
      </w:r>
    </w:p>
    <w:p w:rsidR="00000000" w:rsidDel="00000000" w:rsidP="00000000" w:rsidRDefault="00000000" w:rsidRPr="00000000" w14:paraId="0000002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Primero. Competencia. </w:t>
      </w:r>
      <w:r w:rsidDel="00000000" w:rsidR="00000000" w:rsidRPr="00000000">
        <w:rPr>
          <w:rFonts w:ascii="Palatino Linotype" w:cs="Palatino Linotype" w:eastAsia="Palatino Linotype" w:hAnsi="Palatino Linotype"/>
          <w:sz w:val="22"/>
          <w:szCs w:val="22"/>
          <w:rtl w:val="0"/>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séptimo, trigésimo octavo y trigésimo noveno,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2B">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2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Segundo. Oportunidad y Procedibilidad del Recurso de Revisión</w:t>
      </w:r>
      <w:r w:rsidDel="00000000" w:rsidR="00000000" w:rsidRPr="00000000">
        <w:rPr>
          <w:rFonts w:ascii="Palatino Linotype" w:cs="Palatino Linotype" w:eastAsia="Palatino Linotype" w:hAnsi="Palatino Linotype"/>
          <w:sz w:val="22"/>
          <w:szCs w:val="22"/>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2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E">
      <w:pPr>
        <w:spacing w:line="360" w:lineRule="auto"/>
        <w:ind w:right="49"/>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sz w:val="22"/>
          <w:szCs w:val="22"/>
          <w:rtl w:val="0"/>
        </w:rPr>
        <w:t xml:space="preserve">El recurso de revisión fue interpuesto dentro del plazo de quince días hábiles, previsto en el artículo 178 de la Ley de Transparencia y Acceso a la Información Pública del Estado de México y Municipios, ya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proporcionó su respuesta a la solicitud de información el </w:t>
      </w:r>
      <w:r w:rsidDel="00000000" w:rsidR="00000000" w:rsidRPr="00000000">
        <w:rPr>
          <w:rFonts w:ascii="Palatino Linotype" w:cs="Palatino Linotype" w:eastAsia="Palatino Linotype" w:hAnsi="Palatino Linotype"/>
          <w:b w:val="1"/>
          <w:sz w:val="22"/>
          <w:szCs w:val="22"/>
          <w:rtl w:val="0"/>
        </w:rPr>
        <w:t xml:space="preserve">once de febrero de dos mil veinticinco</w:t>
      </w:r>
      <w:r w:rsidDel="00000000" w:rsidR="00000000" w:rsidRPr="00000000">
        <w:rPr>
          <w:rFonts w:ascii="Palatino Linotype" w:cs="Palatino Linotype" w:eastAsia="Palatino Linotype" w:hAnsi="Palatino Linotype"/>
          <w:sz w:val="22"/>
          <w:szCs w:val="22"/>
          <w:rtl w:val="0"/>
        </w:rPr>
        <w:t xml:space="preserve">, y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presentó su recurso de revisión el </w:t>
      </w:r>
      <w:r w:rsidDel="00000000" w:rsidR="00000000" w:rsidRPr="00000000">
        <w:rPr>
          <w:rFonts w:ascii="Palatino Linotype" w:cs="Palatino Linotype" w:eastAsia="Palatino Linotype" w:hAnsi="Palatino Linotype"/>
          <w:b w:val="1"/>
          <w:sz w:val="22"/>
          <w:szCs w:val="22"/>
          <w:rtl w:val="0"/>
        </w:rPr>
        <w:t xml:space="preserve">veintiuno de febrero de dos mil veinticinco</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esto es el octavo día hábil en que tuvo conocimiento de la respuesta. </w:t>
      </w:r>
      <w:r w:rsidDel="00000000" w:rsidR="00000000" w:rsidRPr="00000000">
        <w:rPr>
          <w:rtl w:val="0"/>
        </w:rPr>
      </w:r>
    </w:p>
    <w:p w:rsidR="00000000" w:rsidDel="00000000" w:rsidP="00000000" w:rsidRDefault="00000000" w:rsidRPr="00000000" w14:paraId="0000002F">
      <w:pPr>
        <w:spacing w:after="240" w:before="240" w:line="360" w:lineRule="auto"/>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Asimismo, por cuanto hace a la procedibilidad de</w:t>
      </w:r>
      <w:r w:rsidDel="00000000" w:rsidR="00000000" w:rsidRPr="00000000">
        <w:rPr>
          <w:rFonts w:ascii="Palatino Linotype" w:cs="Palatino Linotype" w:eastAsia="Palatino Linotype" w:hAnsi="Palatino Linotype"/>
          <w:sz w:val="22"/>
          <w:szCs w:val="22"/>
          <w:rtl w:val="0"/>
        </w:rPr>
        <w:t xml:space="preserve">l</w:t>
      </w:r>
      <w:r w:rsidDel="00000000" w:rsidR="00000000" w:rsidRPr="00000000">
        <w:rPr>
          <w:rFonts w:ascii="Palatino Linotype" w:cs="Palatino Linotype" w:eastAsia="Palatino Linotype" w:hAnsi="Palatino Linotype"/>
          <w:color w:val="000000"/>
          <w:sz w:val="22"/>
          <w:szCs w:val="22"/>
          <w:rtl w:val="0"/>
        </w:rPr>
        <w:t xml:space="preserve"> recurso de </w:t>
      </w:r>
      <w:r w:rsidDel="00000000" w:rsidR="00000000" w:rsidRPr="00000000">
        <w:rPr>
          <w:rFonts w:ascii="Palatino Linotype" w:cs="Palatino Linotype" w:eastAsia="Palatino Linotype" w:hAnsi="Palatino Linotype"/>
          <w:sz w:val="22"/>
          <w:szCs w:val="22"/>
          <w:rtl w:val="0"/>
        </w:rPr>
        <w:t xml:space="preserve">revisión</w:t>
      </w:r>
      <w:r w:rsidDel="00000000" w:rsidR="00000000" w:rsidRPr="00000000">
        <w:rPr>
          <w:rFonts w:ascii="Palatino Linotype" w:cs="Palatino Linotype" w:eastAsia="Palatino Linotype" w:hAnsi="Palatino Linotype"/>
          <w:color w:val="000000"/>
          <w:sz w:val="22"/>
          <w:szCs w:val="22"/>
          <w:rtl w:val="0"/>
        </w:rPr>
        <w:t xml:space="preserve">, es de suma importancia señalar que la parte</w:t>
      </w:r>
      <w:r w:rsidDel="00000000" w:rsidR="00000000" w:rsidRPr="00000000">
        <w:rPr>
          <w:rFonts w:ascii="Palatino Linotype" w:cs="Palatino Linotype" w:eastAsia="Palatino Linotype" w:hAnsi="Palatino Linotype"/>
          <w:b w:val="1"/>
          <w:color w:val="000000"/>
          <w:sz w:val="22"/>
          <w:szCs w:val="22"/>
          <w:rtl w:val="0"/>
        </w:rPr>
        <w:t xml:space="preserve"> Recurrente</w:t>
      </w:r>
      <w:r w:rsidDel="00000000" w:rsidR="00000000" w:rsidRPr="00000000">
        <w:rPr>
          <w:rFonts w:ascii="Palatino Linotype" w:cs="Palatino Linotype" w:eastAsia="Palatino Linotype" w:hAnsi="Palatino Linotype"/>
          <w:color w:val="000000"/>
          <w:sz w:val="22"/>
          <w:szCs w:val="22"/>
          <w:rtl w:val="0"/>
        </w:rPr>
        <w:t xml:space="preserve">, señaló un nombre incompleto con el que quiere ser identificado, tal como se advierte en el detalle de seguimiento del SAIMEX, no obstante,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"Las </w:t>
      </w:r>
      <w:r w:rsidDel="00000000" w:rsidR="00000000" w:rsidRPr="00000000">
        <w:rPr>
          <w:rFonts w:ascii="Palatino Linotype" w:cs="Palatino Linotype" w:eastAsia="Palatino Linotype" w:hAnsi="Palatino Linotype"/>
          <w:b w:val="1"/>
          <w:i w:val="1"/>
          <w:color w:val="000000"/>
          <w:sz w:val="22"/>
          <w:szCs w:val="22"/>
          <w:rtl w:val="0"/>
        </w:rPr>
        <w:t xml:space="preserve">solicitudes </w:t>
      </w:r>
      <w:r w:rsidDel="00000000" w:rsidR="00000000" w:rsidRPr="00000000">
        <w:rPr>
          <w:rFonts w:ascii="Palatino Linotype" w:cs="Palatino Linotype" w:eastAsia="Palatino Linotype" w:hAnsi="Palatino Linotype"/>
          <w:i w:val="1"/>
          <w:color w:val="000000"/>
          <w:sz w:val="22"/>
          <w:szCs w:val="22"/>
          <w:rtl w:val="0"/>
        </w:rPr>
        <w:t xml:space="preserve">anónimas, </w:t>
      </w:r>
      <w:r w:rsidDel="00000000" w:rsidR="00000000" w:rsidRPr="00000000">
        <w:rPr>
          <w:rFonts w:ascii="Palatino Linotype" w:cs="Palatino Linotype" w:eastAsia="Palatino Linotype" w:hAnsi="Palatino Linotype"/>
          <w:b w:val="1"/>
          <w:i w:val="1"/>
          <w:color w:val="000000"/>
          <w:sz w:val="22"/>
          <w:szCs w:val="22"/>
          <w:rtl w:val="0"/>
        </w:rPr>
        <w:t xml:space="preserve">con nombre incompleto</w:t>
      </w:r>
      <w:r w:rsidDel="00000000" w:rsidR="00000000" w:rsidRPr="00000000">
        <w:rPr>
          <w:rFonts w:ascii="Palatino Linotype" w:cs="Palatino Linotype" w:eastAsia="Palatino Linotype" w:hAnsi="Palatino Linotype"/>
          <w:i w:val="1"/>
          <w:color w:val="000000"/>
          <w:sz w:val="22"/>
          <w:szCs w:val="22"/>
          <w:rtl w:val="0"/>
        </w:rPr>
        <w:t xml:space="preserve"> o seudónimo serán procedentes para su trámite por parte del sujeto obligado ante quien se presente. No podrá requerirse información adicional con motivo del nombre proporcionado por el solicitante."</w:t>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032">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De acuerdo con 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Del="00000000" w:rsidR="00000000" w:rsidRPr="00000000">
        <w:rPr>
          <w:rFonts w:ascii="Palatino Linotype" w:cs="Palatino Linotype" w:eastAsia="Palatino Linotype" w:hAnsi="Palatino Linotype"/>
          <w:b w:val="1"/>
          <w:sz w:val="22"/>
          <w:szCs w:val="22"/>
          <w:rtl w:val="0"/>
        </w:rPr>
        <w:t xml:space="preserve">EL SAIMEX.</w:t>
      </w:r>
    </w:p>
    <w:p w:rsidR="00000000" w:rsidDel="00000000" w:rsidP="00000000" w:rsidRDefault="00000000" w:rsidRPr="00000000" w14:paraId="00000033">
      <w:pPr>
        <w:spacing w:line="360" w:lineRule="auto"/>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3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resulta procedente la interposición del recurso de revisión al rubro anotado, toda vez que se actualiza las hipótesis previstas en el artículo 179, fracción III de la ley de la materia, que a la letra dice:</w:t>
      </w:r>
    </w:p>
    <w:p w:rsidR="00000000" w:rsidDel="00000000" w:rsidP="00000000" w:rsidRDefault="00000000" w:rsidRPr="00000000" w14:paraId="0000003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6">
      <w:pPr>
        <w:tabs>
          <w:tab w:val="left" w:leader="none" w:pos="85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 </w:t>
      </w:r>
      <w:r w:rsidDel="00000000" w:rsidR="00000000" w:rsidRPr="00000000">
        <w:rPr>
          <w:rFonts w:ascii="Palatino Linotype" w:cs="Palatino Linotype" w:eastAsia="Palatino Linotype" w:hAnsi="Palatino Linotype"/>
          <w:i w:val="1"/>
          <w:sz w:val="22"/>
          <w:szCs w:val="22"/>
          <w:rtl w:val="0"/>
        </w:rPr>
        <w:t xml:space="preserve">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37">
      <w:pPr>
        <w:tabs>
          <w:tab w:val="left" w:leader="none" w:pos="85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38">
      <w:pPr>
        <w:tabs>
          <w:tab w:val="left" w:leader="none" w:pos="85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La declaración de inexistencia de la información; …” </w:t>
      </w:r>
    </w:p>
    <w:p w:rsidR="00000000" w:rsidDel="00000000" w:rsidP="00000000" w:rsidRDefault="00000000" w:rsidRPr="00000000" w14:paraId="00000039">
      <w:pP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3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Tercero. Análisis de las causales de Sobreseimiento del Recurso de Revisión. </w:t>
      </w:r>
      <w:r w:rsidDel="00000000" w:rsidR="00000000" w:rsidRPr="00000000">
        <w:rPr>
          <w:rFonts w:ascii="Palatino Linotype" w:cs="Palatino Linotype" w:eastAsia="Palatino Linotype" w:hAnsi="Palatino Linotype"/>
          <w:sz w:val="22"/>
          <w:szCs w:val="22"/>
          <w:rtl w:val="0"/>
        </w:rPr>
        <w:t xml:space="preserve">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la Ley de Transparencia y Acceso a la Información Pública del Estado de México y Municipios, en correlación con la seguridad jurídica que debe generar lo actuado ante este Organismo Garante. </w:t>
      </w:r>
    </w:p>
    <w:p w:rsidR="00000000" w:rsidDel="00000000" w:rsidP="00000000" w:rsidRDefault="00000000" w:rsidRPr="00000000" w14:paraId="0000003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Siendo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éste no se coarta por regular causas de improcedencia y sobreseimiento con tales fines.</w:t>
      </w:r>
    </w:p>
    <w:p w:rsidR="00000000" w:rsidDel="00000000" w:rsidP="00000000" w:rsidRDefault="00000000" w:rsidRPr="00000000" w14:paraId="0000003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manera preliminar en el caso concreto conviene analizar si se actualiza alguna de las causales de sobreseimiento del recurso de revisión.</w:t>
      </w:r>
    </w:p>
    <w:p w:rsidR="00000000" w:rsidDel="00000000" w:rsidP="00000000" w:rsidRDefault="00000000" w:rsidRPr="00000000" w14:paraId="0000003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del análisis de la solicitud de información motivo del recurso de revisión que ahora se resuelve, se advierte que la parte solicitante requirió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le proporcione información consistente en lo siguiente:</w:t>
      </w:r>
    </w:p>
    <w:p w:rsidR="00000000" w:rsidDel="00000000" w:rsidP="00000000" w:rsidRDefault="00000000" w:rsidRPr="00000000" w14:paraId="00000041">
      <w:pPr>
        <w:numPr>
          <w:ilvl w:val="0"/>
          <w:numId w:val="3"/>
        </w:numPr>
        <w:pBdr>
          <w:top w:space="0" w:sz="0" w:val="nil"/>
          <w:left w:space="0" w:sz="0" w:val="nil"/>
          <w:bottom w:space="0" w:sz="0" w:val="nil"/>
          <w:right w:space="0" w:sz="0" w:val="nil"/>
          <w:between w:space="0" w:sz="0" w:val="nil"/>
        </w:pBdr>
        <w:spacing w:after="240" w:before="240" w:line="360" w:lineRule="auto"/>
        <w:ind w:left="720" w:right="616" w:hanging="36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Contrato o contratos que haya celebrado el Municipio de Toluca o el DIF Municipal de Toluca para llevar a cabo el evento del día de reyes el pasado 11 de enero del año en curso en el parque Metropolitano Bicentenario. </w:t>
      </w:r>
    </w:p>
    <w:p w:rsidR="00000000" w:rsidDel="00000000" w:rsidP="00000000" w:rsidRDefault="00000000" w:rsidRPr="00000000" w14:paraId="00000042">
      <w:pPr>
        <w:numPr>
          <w:ilvl w:val="0"/>
          <w:numId w:val="3"/>
        </w:numPr>
        <w:pBdr>
          <w:top w:space="0" w:sz="0" w:val="nil"/>
          <w:left w:space="0" w:sz="0" w:val="nil"/>
          <w:bottom w:space="0" w:sz="0" w:val="nil"/>
          <w:right w:space="0" w:sz="0" w:val="nil"/>
          <w:between w:space="0" w:sz="0" w:val="nil"/>
        </w:pBdr>
        <w:spacing w:after="240" w:before="240" w:line="360" w:lineRule="auto"/>
        <w:ind w:left="720" w:right="616" w:hanging="36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Contrato de adquisición de las barredoras eléctricas que adquirió la actual administración municipal de Toluca y mencionar el tipo de procedimiento adquisitivo que se llevó a cabo para su compra.</w:t>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respuesta,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través de la Dirección General de Administración informó que hizo del conocimiento que después de realizar una búsqueda exhaustiva en los archivos de la Dirección de Recursos Materiales y sus departamentos, no se localizó la información solicitada.</w:t>
      </w:r>
    </w:p>
    <w:p w:rsidR="00000000" w:rsidDel="00000000" w:rsidP="00000000" w:rsidRDefault="00000000" w:rsidRPr="00000000" w14:paraId="00000044">
      <w:pPr>
        <w:spacing w:after="240" w:before="240"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Inconforme con la respuesta,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procedió a interponer el presente recurso de revisión, señalando en sus razones o motivos de inconformidad, que si bien es cierto refiere que no se localizó el contrato del servicio referido en la solicitud, nunca se realizó la búsqueda en el sistema municipal del DIF, pese a que en la solicitud se requirió.</w:t>
      </w:r>
    </w:p>
    <w:p w:rsidR="00000000" w:rsidDel="00000000" w:rsidP="00000000" w:rsidRDefault="00000000" w:rsidRPr="00000000" w14:paraId="00000045">
      <w:pPr>
        <w:pBdr>
          <w:top w:space="0" w:sz="0" w:val="nil"/>
          <w:left w:space="0" w:sz="0" w:val="nil"/>
          <w:bottom w:space="0" w:sz="0" w:val="nil"/>
          <w:right w:space="0" w:sz="0" w:val="nil"/>
          <w:between w:space="0" w:sz="0" w:val="nil"/>
        </w:pBdr>
        <w:tabs>
          <w:tab w:val="left" w:leader="none" w:pos="284"/>
        </w:tabs>
        <w:spacing w:line="360" w:lineRule="auto"/>
        <w:ind w:right="49"/>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sz w:val="22"/>
          <w:szCs w:val="22"/>
          <w:rtl w:val="0"/>
        </w:rPr>
        <w:t xml:space="preserve">Por otra parte, de las constancias que obran en el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se advierte que la parte </w:t>
      </w:r>
      <w:r w:rsidDel="00000000" w:rsidR="00000000" w:rsidRPr="00000000">
        <w:rPr>
          <w:rFonts w:ascii="Palatino Linotype" w:cs="Palatino Linotype" w:eastAsia="Palatino Linotype" w:hAnsi="Palatino Linotype"/>
          <w:b w:val="1"/>
          <w:color w:val="000000"/>
          <w:sz w:val="22"/>
          <w:szCs w:val="22"/>
          <w:rtl w:val="0"/>
        </w:rPr>
        <w:t xml:space="preserve">Recurrente</w:t>
      </w:r>
      <w:r w:rsidDel="00000000" w:rsidR="00000000" w:rsidRPr="00000000">
        <w:rPr>
          <w:rFonts w:ascii="Palatino Linotype" w:cs="Palatino Linotype" w:eastAsia="Palatino Linotype" w:hAnsi="Palatino Linotype"/>
          <w:color w:val="000000"/>
          <w:sz w:val="22"/>
          <w:szCs w:val="22"/>
          <w:rtl w:val="0"/>
        </w:rPr>
        <w:t xml:space="preserve"> no realizó manifestaciones, alegatos o pruebas que a su derecho convinieran y por su parte el </w:t>
      </w:r>
      <w:r w:rsidDel="00000000" w:rsidR="00000000" w:rsidRPr="00000000">
        <w:rPr>
          <w:rFonts w:ascii="Palatino Linotype" w:cs="Palatino Linotype" w:eastAsia="Palatino Linotype" w:hAnsi="Palatino Linotype"/>
          <w:b w:val="1"/>
          <w:color w:val="000000"/>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rindió su informe justificado</w:t>
      </w:r>
      <w:r w:rsidDel="00000000" w:rsidR="00000000" w:rsidRPr="00000000">
        <w:rPr>
          <w:rFonts w:ascii="Palatino Linotype" w:cs="Palatino Linotype" w:eastAsia="Palatino Linotype" w:hAnsi="Palatino Linotype"/>
          <w:color w:val="000000"/>
          <w:sz w:val="22"/>
          <w:szCs w:val="22"/>
          <w:rtl w:val="0"/>
        </w:rPr>
        <w:t xml:space="preserve"> en el que informó que el Sistema Municipal DIF de Toluca es un Organismo Descentralizado, por tal motivo invita al </w:t>
      </w:r>
      <w:r w:rsidDel="00000000" w:rsidR="00000000" w:rsidRPr="00000000">
        <w:rPr>
          <w:rFonts w:ascii="Palatino Linotype" w:cs="Palatino Linotype" w:eastAsia="Palatino Linotype" w:hAnsi="Palatino Linotype"/>
          <w:b w:val="1"/>
          <w:color w:val="000000"/>
          <w:sz w:val="22"/>
          <w:szCs w:val="22"/>
          <w:rtl w:val="0"/>
        </w:rPr>
        <w:t xml:space="preserve">Recurrente</w:t>
      </w:r>
      <w:r w:rsidDel="00000000" w:rsidR="00000000" w:rsidRPr="00000000">
        <w:rPr>
          <w:rFonts w:ascii="Palatino Linotype" w:cs="Palatino Linotype" w:eastAsia="Palatino Linotype" w:hAnsi="Palatino Linotype"/>
          <w:color w:val="000000"/>
          <w:sz w:val="22"/>
          <w:szCs w:val="22"/>
          <w:rtl w:val="0"/>
        </w:rPr>
        <w:t xml:space="preserve"> redirigir su solicitud a dicho organismo, en la siguiente liga, ingresando al apartado SAIMEX: </w:t>
      </w:r>
      <w:hyperlink r:id="rId8">
        <w:r w:rsidDel="00000000" w:rsidR="00000000" w:rsidRPr="00000000">
          <w:rPr>
            <w:rFonts w:ascii="Palatino Linotype" w:cs="Palatino Linotype" w:eastAsia="Palatino Linotype" w:hAnsi="Palatino Linotype"/>
            <w:color w:val="0563c1"/>
            <w:sz w:val="22"/>
            <w:szCs w:val="22"/>
            <w:u w:val="single"/>
            <w:rtl w:val="0"/>
          </w:rPr>
          <w:t xml:space="preserve">https://diftoluca.gob.mx/Paginas/Transparencia/Transparencia/index.php</w:t>
        </w:r>
      </w:hyperlink>
      <w:r w:rsidDel="00000000" w:rsidR="00000000" w:rsidRPr="00000000">
        <w:rPr>
          <w:rFonts w:ascii="Palatino Linotype" w:cs="Palatino Linotype" w:eastAsia="Palatino Linotype" w:hAnsi="Palatino Linotype"/>
          <w:color w:val="000000"/>
          <w:sz w:val="22"/>
          <w:szCs w:val="22"/>
          <w:rtl w:val="0"/>
        </w:rPr>
        <w:t xml:space="preserve">. </w:t>
      </w:r>
    </w:p>
    <w:p w:rsidR="00000000" w:rsidDel="00000000" w:rsidP="00000000" w:rsidRDefault="00000000" w:rsidRPr="00000000" w14:paraId="00000046">
      <w:pPr>
        <w:widowControl w:val="0"/>
        <w:tabs>
          <w:tab w:val="left" w:leader="none" w:pos="1701"/>
          <w:tab w:val="left" w:leader="none" w:pos="1843"/>
        </w:tabs>
        <w:spacing w:line="360" w:lineRule="auto"/>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47">
      <w:pPr>
        <w:widowControl w:val="0"/>
        <w:tabs>
          <w:tab w:val="left" w:leader="none" w:pos="1701"/>
          <w:tab w:val="left" w:leader="none" w:pos="1843"/>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color w:val="000000"/>
          <w:sz w:val="22"/>
          <w:szCs w:val="22"/>
          <w:rtl w:val="0"/>
        </w:rPr>
        <w:t xml:space="preserve">Expuesto lo anterior, </w:t>
      </w:r>
      <w:r w:rsidDel="00000000" w:rsidR="00000000" w:rsidRPr="00000000">
        <w:rPr>
          <w:rFonts w:ascii="Palatino Linotype" w:cs="Palatino Linotype" w:eastAsia="Palatino Linotype" w:hAnsi="Palatino Linotype"/>
          <w:sz w:val="22"/>
          <w:szCs w:val="22"/>
          <w:rtl w:val="0"/>
        </w:rPr>
        <w:t xml:space="preserve">primeramente es necesario precisar que de la lectura a los motivos de inconformidad de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se tiene que, este no impugna la respuesta emitida por la Dirección General de Administración del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respecto a los contratos solicitados, lo anterior en virtud de que únicamente expresa que</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SI BIEN ES CIERTO SE REFIERE QUE NO SE LOCALIZO EL CONTRATO DEL SERVICIO REFERIDO EN LA SOLICITUD, </w:t>
      </w:r>
      <w:r w:rsidDel="00000000" w:rsidR="00000000" w:rsidRPr="00000000">
        <w:rPr>
          <w:rFonts w:ascii="Palatino Linotype" w:cs="Palatino Linotype" w:eastAsia="Palatino Linotype" w:hAnsi="Palatino Linotype"/>
          <w:i w:val="1"/>
          <w:sz w:val="22"/>
          <w:szCs w:val="22"/>
          <w:u w:val="single"/>
          <w:rtl w:val="0"/>
        </w:rPr>
        <w:t xml:space="preserve">NUNCA SE REALIZO LA BÚSQUEDA EN EL SISTEMA MUNICIPAL DEL DIF,</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PESE A QUE EN LA SOLICITUD SE REQUIRIÓ</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entendiéndose que se refiere a los contratos celebrados por el DIF Municipal de Toluca para llevar acabo el evento del día de reyes el pasado once de enero del año en curso, toda vez que es en el punto de la solicitud en el que lo refirió; por lo que al no haber realizado manifestaciones de inconformidad respecto al Contrato de adquisición de las barredoras eléctricas y Día de Reyes por parte del Ayuntamiento, se infiere que la respuesta emitida por el Ayuntamiento satisface la pretensión de la persona solicitante. </w:t>
      </w:r>
    </w:p>
    <w:p w:rsidR="00000000" w:rsidDel="00000000" w:rsidP="00000000" w:rsidRDefault="00000000" w:rsidRPr="00000000" w14:paraId="00000048">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consiguiente, esta parte de la respuesta debe declararse consentida, ya que al no haber realizado manifestaciones de inconformidad al respecto, no pueden producirse efectos jurídicos tendentes a revocar, confirmar o modificar el acto, y por consiguiente, no es procedente el análisis de fondo en la resolución.</w:t>
      </w:r>
    </w:p>
    <w:p w:rsidR="00000000" w:rsidDel="00000000" w:rsidP="00000000" w:rsidRDefault="00000000" w:rsidRPr="00000000" w14:paraId="00000049">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Sirve de sustento lo plasmado en el criterio orientador  con clave de control SO/001/2020, emitido por el Pleno del entonces Instituto Nacional de Transparencia, Acceso a la Información, y Protección de Datos Personales, que lleva por rubro y texto, lo siguiente: </w:t>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line="276"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Actos consentidos tácitamente. Improcedencia de su análisis. </w:t>
      </w:r>
      <w:r w:rsidDel="00000000" w:rsidR="00000000" w:rsidRPr="00000000">
        <w:rPr>
          <w:rFonts w:ascii="Palatino Linotype" w:cs="Palatino Linotype" w:eastAsia="Palatino Linotype" w:hAnsi="Palatino Linotype"/>
          <w:i w:val="1"/>
          <w:sz w:val="22"/>
          <w:szCs w:val="22"/>
          <w:rtl w:val="0"/>
        </w:rPr>
        <w:t xml:space="preserve">Si en su recurso de revisión, la persona recurrente no expresó inconformidad alguna con ciertas partes de la respuesta otorgada, se entienden tácitamente consentidas, por ende, no deben formar parte del estudio de fondo de la resolución que emite el Instituto.”</w:t>
      </w:r>
    </w:p>
    <w:p w:rsidR="00000000" w:rsidDel="00000000" w:rsidP="00000000" w:rsidRDefault="00000000" w:rsidRPr="00000000" w14:paraId="0000004B">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resulta aplicable por analogía la tesis jurisprudencial número VI.3o.C. J/60, publicada en el Semanario Judicial de la Federación y su Gaceta bajo el número de registro 176,608 que a la letra dice:</w:t>
      </w:r>
    </w:p>
    <w:p w:rsidR="00000000" w:rsidDel="00000000" w:rsidP="00000000" w:rsidRDefault="00000000" w:rsidRPr="00000000" w14:paraId="0000004C">
      <w:pPr>
        <w:spacing w:line="276"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mallCaps w:val="1"/>
          <w:sz w:val="22"/>
          <w:szCs w:val="22"/>
          <w:rtl w:val="0"/>
        </w:rPr>
        <w:t xml:space="preserve">“</w:t>
      </w:r>
      <w:r w:rsidDel="00000000" w:rsidR="00000000" w:rsidRPr="00000000">
        <w:rPr>
          <w:rFonts w:ascii="Palatino Linotype" w:cs="Palatino Linotype" w:eastAsia="Palatino Linotype" w:hAnsi="Palatino Linotype"/>
          <w:b w:val="1"/>
          <w:i w:val="1"/>
          <w:smallCaps w:val="1"/>
          <w:sz w:val="22"/>
          <w:szCs w:val="22"/>
          <w:rtl w:val="0"/>
        </w:rPr>
        <w:t xml:space="preserve">ACTOS CONSENTIDOS. SON LOS QUE NO SE IMPUGNAN MEDIANTE EL RECURSO IDÓNEO. </w:t>
      </w:r>
      <w:r w:rsidDel="00000000" w:rsidR="00000000" w:rsidRPr="00000000">
        <w:rPr>
          <w:rFonts w:ascii="Palatino Linotype" w:cs="Palatino Linotype" w:eastAsia="Palatino Linotype" w:hAnsi="Palatino Linotype"/>
          <w:i w:val="1"/>
          <w:sz w:val="22"/>
          <w:szCs w:val="22"/>
          <w:rtl w:val="0"/>
        </w:rPr>
        <w:t xml:space="preserve">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000000" w:rsidDel="00000000" w:rsidP="00000000" w:rsidRDefault="00000000" w:rsidRPr="00000000" w14:paraId="0000004D">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consecuencia, se insiste, ante la falta de impugnación eficaz, la respuesta entregada debe declararse consentida por la persona solicitante, y por consiguiente, no es procedente el análisis de fondo en la resolución.</w:t>
      </w:r>
    </w:p>
    <w:p w:rsidR="00000000" w:rsidDel="00000000" w:rsidP="00000000" w:rsidRDefault="00000000" w:rsidRPr="00000000" w14:paraId="0000004E">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 partir de lo anterior, se procede a contextualizar la información impugnada, por lo que, es necesario señalar que desde la etapa de la respuesta, se turnó la solicitud de información a la Dirección General de Administración, quien es la unidad administrativa competente para atender lo referente a los procedimientos de adquisición y contratación de servicios; dicha premisa encuentra sustento en el artículo 3.40 del Código Reglamentario de la Administración Pública del Municipio de Toluca, Estado de México, mismo que se inserta a continuación para mejor proveer del presente estudio:</w:t>
      </w:r>
    </w:p>
    <w:p w:rsidR="00000000" w:rsidDel="00000000" w:rsidP="00000000" w:rsidRDefault="00000000" w:rsidRPr="00000000" w14:paraId="0000004F">
      <w:pP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3.40. </w:t>
      </w:r>
      <w:r w:rsidDel="00000000" w:rsidR="00000000" w:rsidRPr="00000000">
        <w:rPr>
          <w:rFonts w:ascii="Palatino Linotype" w:cs="Palatino Linotype" w:eastAsia="Palatino Linotype" w:hAnsi="Palatino Linotype"/>
          <w:i w:val="1"/>
          <w:sz w:val="22"/>
          <w:szCs w:val="22"/>
          <w:rtl w:val="0"/>
        </w:rPr>
        <w:t xml:space="preserve">La o el titular de </w:t>
      </w:r>
      <w:r w:rsidDel="00000000" w:rsidR="00000000" w:rsidRPr="00000000">
        <w:rPr>
          <w:rFonts w:ascii="Palatino Linotype" w:cs="Palatino Linotype" w:eastAsia="Palatino Linotype" w:hAnsi="Palatino Linotype"/>
          <w:b w:val="1"/>
          <w:i w:val="1"/>
          <w:sz w:val="22"/>
          <w:szCs w:val="22"/>
          <w:rtl w:val="0"/>
        </w:rPr>
        <w:t xml:space="preserve">la Dirección General de Administración, tiene las siguientes atribuciones:</w:t>
      </w:r>
    </w:p>
    <w:p w:rsidR="00000000" w:rsidDel="00000000" w:rsidP="00000000" w:rsidRDefault="00000000" w:rsidRPr="00000000" w14:paraId="00000050">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al VI.</w:t>
      </w:r>
    </w:p>
    <w:p w:rsidR="00000000" w:rsidDel="00000000" w:rsidP="00000000" w:rsidRDefault="00000000" w:rsidRPr="00000000" w14:paraId="00000051">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 Intervenir, vigilar y dar el seguimiento correspondiente a todos los procedimientos de adquisición, </w:t>
      </w:r>
      <w:r w:rsidDel="00000000" w:rsidR="00000000" w:rsidRPr="00000000">
        <w:rPr>
          <w:rFonts w:ascii="Palatino Linotype" w:cs="Palatino Linotype" w:eastAsia="Palatino Linotype" w:hAnsi="Palatino Linotype"/>
          <w:i w:val="1"/>
          <w:sz w:val="22"/>
          <w:szCs w:val="22"/>
          <w:rtl w:val="0"/>
        </w:rPr>
        <w:t xml:space="preserve">arrendamiento de inmuebles</w:t>
      </w:r>
      <w:r w:rsidDel="00000000" w:rsidR="00000000" w:rsidRPr="00000000">
        <w:rPr>
          <w:rFonts w:ascii="Palatino Linotype" w:cs="Palatino Linotype" w:eastAsia="Palatino Linotype" w:hAnsi="Palatino Linotype"/>
          <w:i w:val="1"/>
          <w:sz w:val="22"/>
          <w:szCs w:val="22"/>
          <w:u w:val="single"/>
          <w:rtl w:val="0"/>
        </w:rPr>
        <w:t xml:space="preserve">,</w:t>
      </w:r>
      <w:r w:rsidDel="00000000" w:rsidR="00000000" w:rsidRPr="00000000">
        <w:rPr>
          <w:rFonts w:ascii="Palatino Linotype" w:cs="Palatino Linotype" w:eastAsia="Palatino Linotype" w:hAnsi="Palatino Linotype"/>
          <w:b w:val="1"/>
          <w:i w:val="1"/>
          <w:sz w:val="22"/>
          <w:szCs w:val="22"/>
          <w:u w:val="single"/>
          <w:rtl w:val="0"/>
        </w:rPr>
        <w:t xml:space="preserve"> contratación de servicios</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enajenación y subasta de bienes, conforme a los lineamientos establecidos en la normatividad correspondiente;</w:t>
      </w:r>
    </w:p>
    <w:p w:rsidR="00000000" w:rsidDel="00000000" w:rsidP="00000000" w:rsidRDefault="00000000" w:rsidRPr="00000000" w14:paraId="00000052">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 Coordinar la elaboración del programa anual de adquisiciones del Ayuntamiento,</w:t>
      </w:r>
      <w:r w:rsidDel="00000000" w:rsidR="00000000" w:rsidRPr="00000000">
        <w:rPr>
          <w:rFonts w:ascii="Palatino Linotype" w:cs="Palatino Linotype" w:eastAsia="Palatino Linotype" w:hAnsi="Palatino Linotype"/>
          <w:i w:val="1"/>
          <w:sz w:val="22"/>
          <w:szCs w:val="22"/>
          <w:rtl w:val="0"/>
        </w:rPr>
        <w:t xml:space="preserve"> con base en los montos establecidos para cada partida por objeto de gasto en el presupuesto, con el fin de ponerlo a disposición de los comités para su debida aprobación;</w:t>
      </w:r>
    </w:p>
    <w:p w:rsidR="00000000" w:rsidDel="00000000" w:rsidP="00000000" w:rsidRDefault="00000000" w:rsidRPr="00000000" w14:paraId="00000053">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IX. Integrar el catálogo general de proveedores que permita identificar de manera ágil a quienes, con base en el giro comercial principal, cumplan y cuenten con los documentos y requisitos que establece la ley, con el propósito de considerarlos en los procesos de compra, prestación de servicios y arrendamientos de inmuebles, en la búsqueda de las mejores condiciones a favor del municipio;</w:t>
      </w:r>
    </w:p>
    <w:p w:rsidR="00000000" w:rsidDel="00000000" w:rsidP="00000000" w:rsidRDefault="00000000" w:rsidRPr="00000000" w14:paraId="00000054">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 Supervisar y vigilar que los procedimientos de licitaciones públicas, así como sus excepciones, se desarrollen conforme lo establece la normatividad respectiva y en estricto apego a los lineamientos establecidos de eficiencia, eficacia, honradez y transparencia;</w:t>
      </w:r>
    </w:p>
    <w:p w:rsidR="00000000" w:rsidDel="00000000" w:rsidP="00000000" w:rsidRDefault="00000000" w:rsidRPr="00000000" w14:paraId="00000055">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 Establecer los mecanismos y procedimientos necesarios para la investigación y obtención de información sobre estudios de mercado y precios de referencia;</w:t>
      </w:r>
    </w:p>
    <w:p w:rsidR="00000000" w:rsidDel="00000000" w:rsidP="00000000" w:rsidRDefault="00000000" w:rsidRPr="00000000" w14:paraId="00000056">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XII. Revisar, suscribir y vigilar todos aquellos contratos que se formalicen con proveedores, así como su ejecución y ejercicio, relativos a fallos de adjudicación de procesos de licitación pública o de sus excepciones</w:t>
      </w:r>
      <w:r w:rsidDel="00000000" w:rsidR="00000000" w:rsidRPr="00000000">
        <w:rPr>
          <w:rFonts w:ascii="Palatino Linotype" w:cs="Palatino Linotype" w:eastAsia="Palatino Linotype" w:hAnsi="Palatino Linotype"/>
          <w:i w:val="1"/>
          <w:sz w:val="22"/>
          <w:szCs w:val="22"/>
          <w:rtl w:val="0"/>
        </w:rPr>
        <w:t xml:space="preserve">, mismos que deberán cumplir con la normatividad en la materia;…”</w:t>
      </w:r>
    </w:p>
    <w:p w:rsidR="00000000" w:rsidDel="00000000" w:rsidP="00000000" w:rsidRDefault="00000000" w:rsidRPr="00000000" w14:paraId="00000057">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058">
      <w:pPr>
        <w:ind w:left="851" w:right="567"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9">
      <w:pPr>
        <w:spacing w:after="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esa tesitura, la Dirección General de Administración se auxiliará de una Dirección de Recursos Materiales, misma que cuenta con las siguientes atribuciones: </w:t>
      </w:r>
    </w:p>
    <w:p w:rsidR="00000000" w:rsidDel="00000000" w:rsidP="00000000" w:rsidRDefault="00000000" w:rsidRPr="00000000" w14:paraId="0000005A">
      <w:pP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3.43</w:t>
      </w:r>
      <w:r w:rsidDel="00000000" w:rsidR="00000000" w:rsidRPr="00000000">
        <w:rPr>
          <w:rFonts w:ascii="Palatino Linotype" w:cs="Palatino Linotype" w:eastAsia="Palatino Linotype" w:hAnsi="Palatino Linotype"/>
          <w:i w:val="1"/>
          <w:sz w:val="22"/>
          <w:szCs w:val="22"/>
          <w:rtl w:val="0"/>
        </w:rPr>
        <w:t xml:space="preserve">. La o el titular de </w:t>
      </w:r>
      <w:r w:rsidDel="00000000" w:rsidR="00000000" w:rsidRPr="00000000">
        <w:rPr>
          <w:rFonts w:ascii="Palatino Linotype" w:cs="Palatino Linotype" w:eastAsia="Palatino Linotype" w:hAnsi="Palatino Linotype"/>
          <w:b w:val="1"/>
          <w:i w:val="1"/>
          <w:sz w:val="22"/>
          <w:szCs w:val="22"/>
          <w:rtl w:val="0"/>
        </w:rPr>
        <w:t xml:space="preserve">la Dirección de Recursos Materiales cuenta con las siguientes atribuciones:</w:t>
      </w:r>
    </w:p>
    <w:p w:rsidR="00000000" w:rsidDel="00000000" w:rsidP="00000000" w:rsidRDefault="00000000" w:rsidRPr="00000000" w14:paraId="0000005B">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Llevar a cabo los procedimientos para la adquisición de los bienes y servicios</w:t>
      </w:r>
      <w:r w:rsidDel="00000000" w:rsidR="00000000" w:rsidRPr="00000000">
        <w:rPr>
          <w:rFonts w:ascii="Palatino Linotype" w:cs="Palatino Linotype" w:eastAsia="Palatino Linotype" w:hAnsi="Palatino Linotype"/>
          <w:i w:val="1"/>
          <w:sz w:val="22"/>
          <w:szCs w:val="22"/>
          <w:rtl w:val="0"/>
        </w:rPr>
        <w:t xml:space="preserve"> y el arrendamiento, adquisición y enajenación de inmuebles en estricto apego a las disposiciones legales aplicables;</w:t>
      </w:r>
    </w:p>
    <w:p w:rsidR="00000000" w:rsidDel="00000000" w:rsidP="00000000" w:rsidRDefault="00000000" w:rsidRPr="00000000" w14:paraId="0000005C">
      <w:pP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Autorizar y suscribir los pedidos-contrato que se finquen relativos a procedimientos de adquisiciones y compras de bienes, materiales y suministros;</w:t>
      </w:r>
    </w:p>
    <w:p w:rsidR="00000000" w:rsidDel="00000000" w:rsidP="00000000" w:rsidRDefault="00000000" w:rsidRPr="00000000" w14:paraId="0000005D">
      <w:pP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 Elaborar los contratos de adquisición de los bienes y servicios y de arrendamiento, adquisición y enajenación de inmuebles</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de competencia municipal;</w:t>
      </w:r>
    </w:p>
    <w:p w:rsidR="00000000" w:rsidDel="00000000" w:rsidP="00000000" w:rsidRDefault="00000000" w:rsidRPr="00000000" w14:paraId="0000005E">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Someter a consideración la autorización de prórroga para la entrega de bienes y servicios que sean solicitados por los proveedores o prestadores de servicios, de acuerdo a lo establecido en la normatividad establecida;…”</w:t>
      </w:r>
    </w:p>
    <w:p w:rsidR="00000000" w:rsidDel="00000000" w:rsidP="00000000" w:rsidRDefault="00000000" w:rsidRPr="00000000" w14:paraId="0000005F">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60">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1">
      <w:pPr>
        <w:spacing w:after="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 lo anteriormente citado, queda de manifiesto que la Dirección General de Administración es la unidad administrativa competente para atender lo relativo a los procedimientos de adquisición y contratación de servicios del Ayuntamiento. </w:t>
      </w:r>
    </w:p>
    <w:p w:rsidR="00000000" w:rsidDel="00000000" w:rsidP="00000000" w:rsidRDefault="00000000" w:rsidRPr="00000000" w14:paraId="00000062">
      <w:pPr>
        <w:spacing w:after="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esta tesitura, debemos recordar que efectivamente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realizó el turno correspondiente desde el momento de otorgar respuesta, por ende, se determina que la respuesta fue proporcionada por la Unidad Administrativa que en ejercicio de sus funciones conoce de los procedimientos de adquisición, siguiendo el procedimiento establecido por el artículo 162 de la Ley de Transparencia y Acceso a la Información Pública del Estado de México y Municipios, ya que turnó la solicitud al área en la que podría obrar la información de conformidad con la fracción XXXIX del artículo tercero de la legislación local vigente en materia de transparencia: </w:t>
      </w:r>
    </w:p>
    <w:p w:rsidR="00000000" w:rsidDel="00000000" w:rsidP="00000000" w:rsidRDefault="00000000" w:rsidRPr="00000000" w14:paraId="00000063">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line="276" w:lineRule="auto"/>
        <w:ind w:left="864" w:right="616" w:firstLine="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Fonts w:ascii="Palatino Linotype" w:cs="Palatino Linotype" w:eastAsia="Palatino Linotype" w:hAnsi="Palatino Linotype"/>
          <w:b w:val="1"/>
          <w:i w:val="1"/>
          <w:color w:val="000000"/>
          <w:sz w:val="22"/>
          <w:szCs w:val="22"/>
          <w:rtl w:val="0"/>
        </w:rPr>
        <w:t xml:space="preserve">XXXIX. Servidor público habilitado</w:t>
      </w:r>
      <w:r w:rsidDel="00000000" w:rsidR="00000000" w:rsidRPr="00000000">
        <w:rPr>
          <w:rFonts w:ascii="Palatino Linotype" w:cs="Palatino Linotype" w:eastAsia="Palatino Linotype" w:hAnsi="Palatino Linotype"/>
          <w:i w:val="1"/>
          <w:color w:val="000000"/>
          <w:sz w:val="22"/>
          <w:szCs w:val="22"/>
          <w:rtl w:val="0"/>
        </w:rPr>
        <w:t xml:space="preserve">: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r w:rsidDel="00000000" w:rsidR="00000000" w:rsidRPr="00000000">
        <w:rPr>
          <w:rtl w:val="0"/>
        </w:rPr>
      </w:r>
    </w:p>
    <w:p w:rsidR="00000000" w:rsidDel="00000000" w:rsidP="00000000" w:rsidRDefault="00000000" w:rsidRPr="00000000" w14:paraId="00000065">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6">
      <w:pPr>
        <w:spacing w:line="360" w:lineRule="auto"/>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orden de ideas, se advierte que efectivamente la Unidad de Transparencia cumplió con lo expresado en el artículo 162 de la Ley de Transparencia y Acceso a la Información Pública del Estado de México y Municipios, el cual menciona lo siguiente:</w:t>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line="276" w:lineRule="auto"/>
        <w:ind w:left="864" w:right="864" w:firstLine="0"/>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line="276" w:lineRule="auto"/>
        <w:ind w:left="864" w:right="864"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 “</w:t>
      </w:r>
      <w:r w:rsidDel="00000000" w:rsidR="00000000" w:rsidRPr="00000000">
        <w:rPr>
          <w:rFonts w:ascii="Palatino Linotype" w:cs="Palatino Linotype" w:eastAsia="Palatino Linotype" w:hAnsi="Palatino Linotype"/>
          <w:b w:val="1"/>
          <w:i w:val="1"/>
          <w:color w:val="000000"/>
          <w:sz w:val="22"/>
          <w:szCs w:val="22"/>
          <w:rtl w:val="0"/>
        </w:rPr>
        <w:t xml:space="preserve">Artículo 162.</w:t>
      </w:r>
      <w:r w:rsidDel="00000000" w:rsidR="00000000" w:rsidRPr="00000000">
        <w:rPr>
          <w:rFonts w:ascii="Palatino Linotype" w:cs="Palatino Linotype" w:eastAsia="Palatino Linotype" w:hAnsi="Palatino Linotype"/>
          <w:i w:val="1"/>
          <w:color w:val="000000"/>
          <w:sz w:val="22"/>
          <w:szCs w:val="22"/>
          <w:rtl w:val="0"/>
        </w:rPr>
        <w:t xml:space="preserve"> Las unidades de transparencia deberán garantizar que las solicitudes </w:t>
      </w:r>
      <w:r w:rsidDel="00000000" w:rsidR="00000000" w:rsidRPr="00000000">
        <w:rPr>
          <w:rFonts w:ascii="Palatino Linotype" w:cs="Palatino Linotype" w:eastAsia="Palatino Linotype" w:hAnsi="Palatino Linotype"/>
          <w:b w:val="1"/>
          <w:i w:val="1"/>
          <w:color w:val="000000"/>
          <w:sz w:val="22"/>
          <w:szCs w:val="22"/>
          <w:rtl w:val="0"/>
        </w:rPr>
        <w:t xml:space="preserve">se turnen a todas las Áreas competentes </w:t>
      </w:r>
      <w:r w:rsidDel="00000000" w:rsidR="00000000" w:rsidRPr="00000000">
        <w:rPr>
          <w:rFonts w:ascii="Palatino Linotype" w:cs="Palatino Linotype" w:eastAsia="Palatino Linotype" w:hAnsi="Palatino Linotype"/>
          <w:i w:val="1"/>
          <w:color w:val="000000"/>
          <w:sz w:val="22"/>
          <w:szCs w:val="22"/>
          <w:rtl w:val="0"/>
        </w:rPr>
        <w:t xml:space="preserve">que cuenten con la información o deban tenerla de acuerdo a sus facultades, competencias y funciones, con el objeto de que realicen una búsqueda exhaustiva y razonable de la información solicitada.”</w:t>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line="276" w:lineRule="auto"/>
        <w:ind w:left="864" w:right="864"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A">
      <w:pPr>
        <w:spacing w:after="240" w:line="360" w:lineRule="auto"/>
        <w:ind w:right="49"/>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sz w:val="22"/>
          <w:szCs w:val="22"/>
          <w:rtl w:val="0"/>
        </w:rPr>
        <w:t xml:space="preserve">Sin embargo, del análisis a los motivos de inconformidad y el informe justificado se desprende que, la Dirección de Administración informó que </w:t>
      </w:r>
      <w:r w:rsidDel="00000000" w:rsidR="00000000" w:rsidRPr="00000000">
        <w:rPr>
          <w:rFonts w:ascii="Palatino Linotype" w:cs="Palatino Linotype" w:eastAsia="Palatino Linotype" w:hAnsi="Palatino Linotype"/>
          <w:color w:val="000000"/>
          <w:sz w:val="22"/>
          <w:szCs w:val="22"/>
          <w:rtl w:val="0"/>
        </w:rPr>
        <w:t xml:space="preserve">el Sistema Municipal DIF Toluca es un organismo descentralizado, por tal motivo invita a la parte </w:t>
      </w:r>
      <w:r w:rsidDel="00000000" w:rsidR="00000000" w:rsidRPr="00000000">
        <w:rPr>
          <w:rFonts w:ascii="Palatino Linotype" w:cs="Palatino Linotype" w:eastAsia="Palatino Linotype" w:hAnsi="Palatino Linotype"/>
          <w:b w:val="1"/>
          <w:color w:val="000000"/>
          <w:sz w:val="22"/>
          <w:szCs w:val="22"/>
          <w:rtl w:val="0"/>
        </w:rPr>
        <w:t xml:space="preserve">Recurrente</w:t>
      </w:r>
      <w:r w:rsidDel="00000000" w:rsidR="00000000" w:rsidRPr="00000000">
        <w:rPr>
          <w:rFonts w:ascii="Palatino Linotype" w:cs="Palatino Linotype" w:eastAsia="Palatino Linotype" w:hAnsi="Palatino Linotype"/>
          <w:color w:val="000000"/>
          <w:sz w:val="22"/>
          <w:szCs w:val="22"/>
          <w:rtl w:val="0"/>
        </w:rPr>
        <w:t xml:space="preserve"> redirigir su solicitud a dicho organismo, en la siguiente liga, ingresando al apartado SAIMEX: </w:t>
      </w:r>
      <w:hyperlink r:id="rId9">
        <w:r w:rsidDel="00000000" w:rsidR="00000000" w:rsidRPr="00000000">
          <w:rPr>
            <w:rFonts w:ascii="Palatino Linotype" w:cs="Palatino Linotype" w:eastAsia="Palatino Linotype" w:hAnsi="Palatino Linotype"/>
            <w:color w:val="0563c1"/>
            <w:sz w:val="22"/>
            <w:szCs w:val="22"/>
            <w:u w:val="single"/>
            <w:rtl w:val="0"/>
          </w:rPr>
          <w:t xml:space="preserve">https://diftoluca.gob.mx/Paginas/Transparencia/Transparencia/index.php</w:t>
        </w:r>
      </w:hyperlink>
      <w:r w:rsidDel="00000000" w:rsidR="00000000" w:rsidRPr="00000000">
        <w:rPr>
          <w:rFonts w:ascii="Palatino Linotype" w:cs="Palatino Linotype" w:eastAsia="Palatino Linotype" w:hAnsi="Palatino Linotype"/>
          <w:color w:val="000000"/>
          <w:sz w:val="22"/>
          <w:szCs w:val="22"/>
          <w:rtl w:val="0"/>
        </w:rPr>
        <w:t xml:space="preserve">. </w:t>
      </w:r>
    </w:p>
    <w:p w:rsidR="00000000" w:rsidDel="00000000" w:rsidP="00000000" w:rsidRDefault="00000000" w:rsidRPr="00000000" w14:paraId="0000006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color w:val="212529"/>
          <w:sz w:val="22"/>
          <w:szCs w:val="22"/>
          <w:highlight w:val="white"/>
          <w:rtl w:val="0"/>
        </w:rPr>
        <w:t xml:space="preserve">En este sentido, resulta importante señalar </w:t>
      </w:r>
      <w:r w:rsidDel="00000000" w:rsidR="00000000" w:rsidRPr="00000000">
        <w:rPr>
          <w:rFonts w:ascii="Palatino Linotype" w:cs="Palatino Linotype" w:eastAsia="Palatino Linotype" w:hAnsi="Palatino Linotype"/>
          <w:sz w:val="22"/>
          <w:szCs w:val="22"/>
          <w:rtl w:val="0"/>
        </w:rPr>
        <w:t xml:space="preserve">que el Padrón de Sujetos Obligados en Materia de Transparencia, Acceso a la Información Pública y Protección de Datos Personales del Estado de México y Municipios refiere como un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diverso al </w:t>
      </w:r>
      <w:r w:rsidDel="00000000" w:rsidR="00000000" w:rsidRPr="00000000">
        <w:rPr>
          <w:rFonts w:ascii="Palatino Linotype" w:cs="Palatino Linotype" w:eastAsia="Palatino Linotype" w:hAnsi="Palatino Linotype"/>
          <w:b w:val="1"/>
          <w:sz w:val="22"/>
          <w:szCs w:val="22"/>
          <w:rtl w:val="0"/>
        </w:rPr>
        <w:t xml:space="preserve">Sistema Municipal para el Desarrollo Integral de la Familia de Toluca</w:t>
      </w:r>
      <w:r w:rsidDel="00000000" w:rsidR="00000000" w:rsidRPr="00000000">
        <w:rPr>
          <w:rFonts w:ascii="Palatino Linotype" w:cs="Palatino Linotype" w:eastAsia="Palatino Linotype" w:hAnsi="Palatino Linotype"/>
          <w:sz w:val="22"/>
          <w:szCs w:val="22"/>
          <w:rtl w:val="0"/>
        </w:rPr>
        <w:t xml:space="preserve">, como se puede apreciar a continuación:</w:t>
      </w:r>
    </w:p>
    <w:p w:rsidR="00000000" w:rsidDel="00000000" w:rsidP="00000000" w:rsidRDefault="00000000" w:rsidRPr="00000000" w14:paraId="0000006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612130" cy="346259"/>
            <wp:effectExtent b="0" l="0" r="0" t="0"/>
            <wp:docPr id="1613343140"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612130" cy="346259"/>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612130" cy="340054"/>
            <wp:effectExtent b="0" l="0" r="0" t="0"/>
            <wp:docPr id="1613343143"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612130" cy="340054"/>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612130" cy="366116"/>
            <wp:effectExtent b="0" l="0" r="0" t="0"/>
            <wp:docPr id="1613343141"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5612130" cy="366116"/>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Conforme a lo anterior, se vislumbra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es incompetente para turnar la solicitud al Sistema Municipal para el Desarrollo Integral de la Familia de Toluca; en este sentido respecto a la Declaración de Incompetencia, la Ley de Transparencia y Acceso a la Información Pública del Estado de México y Municipios, establece, en los artículos 49, fracción II y 167, lo siguiente: </w:t>
      </w:r>
    </w:p>
    <w:p w:rsidR="00000000" w:rsidDel="00000000" w:rsidP="00000000" w:rsidRDefault="00000000" w:rsidRPr="00000000" w14:paraId="00000072">
      <w:pPr>
        <w:spacing w:line="360" w:lineRule="auto"/>
        <w:ind w:right="13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3">
      <w:pPr>
        <w:tabs>
          <w:tab w:val="left" w:leader="none" w:pos="851"/>
        </w:tabs>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49.</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Los Comités de Transparencia</w:t>
      </w:r>
      <w:r w:rsidDel="00000000" w:rsidR="00000000" w:rsidRPr="00000000">
        <w:rPr>
          <w:rFonts w:ascii="Palatino Linotype" w:cs="Palatino Linotype" w:eastAsia="Palatino Linotype" w:hAnsi="Palatino Linotype"/>
          <w:i w:val="1"/>
          <w:sz w:val="22"/>
          <w:szCs w:val="22"/>
          <w:rtl w:val="0"/>
        </w:rPr>
        <w:t xml:space="preserve"> tendrán las siguientes atribuciones:</w:t>
      </w:r>
    </w:p>
    <w:p w:rsidR="00000000" w:rsidDel="00000000" w:rsidP="00000000" w:rsidRDefault="00000000" w:rsidRPr="00000000" w14:paraId="00000074">
      <w:pPr>
        <w:tabs>
          <w:tab w:val="left" w:leader="none" w:pos="851"/>
        </w:tabs>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075">
      <w:pPr>
        <w:tabs>
          <w:tab w:val="left" w:leader="none" w:pos="851"/>
        </w:tabs>
        <w:ind w:left="851" w:right="616"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Confirmar, modificar o revocar</w:t>
      </w:r>
      <w:r w:rsidDel="00000000" w:rsidR="00000000" w:rsidRPr="00000000">
        <w:rPr>
          <w:rFonts w:ascii="Palatino Linotype" w:cs="Palatino Linotype" w:eastAsia="Palatino Linotype" w:hAnsi="Palatino Linotype"/>
          <w:i w:val="1"/>
          <w:sz w:val="22"/>
          <w:szCs w:val="22"/>
          <w:rtl w:val="0"/>
        </w:rPr>
        <w:t xml:space="preserve"> las determinaciones que en materia de ampliación del plazo de respuesta, clasificación de la información </w:t>
      </w:r>
      <w:r w:rsidDel="00000000" w:rsidR="00000000" w:rsidRPr="00000000">
        <w:rPr>
          <w:rFonts w:ascii="Palatino Linotype" w:cs="Palatino Linotype" w:eastAsia="Palatino Linotype" w:hAnsi="Palatino Linotype"/>
          <w:b w:val="1"/>
          <w:i w:val="1"/>
          <w:sz w:val="22"/>
          <w:szCs w:val="22"/>
          <w:rtl w:val="0"/>
        </w:rPr>
        <w:t xml:space="preserve">y declaración</w:t>
      </w:r>
      <w:r w:rsidDel="00000000" w:rsidR="00000000" w:rsidRPr="00000000">
        <w:rPr>
          <w:rFonts w:ascii="Palatino Linotype" w:cs="Palatino Linotype" w:eastAsia="Palatino Linotype" w:hAnsi="Palatino Linotype"/>
          <w:i w:val="1"/>
          <w:sz w:val="22"/>
          <w:szCs w:val="22"/>
          <w:rtl w:val="0"/>
        </w:rPr>
        <w:t xml:space="preserve"> de inexistencia o </w:t>
      </w:r>
      <w:r w:rsidDel="00000000" w:rsidR="00000000" w:rsidRPr="00000000">
        <w:rPr>
          <w:rFonts w:ascii="Palatino Linotype" w:cs="Palatino Linotype" w:eastAsia="Palatino Linotype" w:hAnsi="Palatino Linotype"/>
          <w:b w:val="1"/>
          <w:i w:val="1"/>
          <w:sz w:val="22"/>
          <w:szCs w:val="22"/>
          <w:rtl w:val="0"/>
        </w:rPr>
        <w:t xml:space="preserve">de incompetencia realicen los titulares de las áreas de los sujetos obligados;</w:t>
      </w:r>
      <w:r w:rsidDel="00000000" w:rsidR="00000000" w:rsidRPr="00000000">
        <w:rPr>
          <w:rtl w:val="0"/>
        </w:rPr>
      </w:r>
    </w:p>
    <w:p w:rsidR="00000000" w:rsidDel="00000000" w:rsidP="00000000" w:rsidRDefault="00000000" w:rsidRPr="00000000" w14:paraId="00000076">
      <w:pPr>
        <w:tabs>
          <w:tab w:val="left" w:leader="none" w:pos="851"/>
        </w:tabs>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077">
      <w:pPr>
        <w:tabs>
          <w:tab w:val="left" w:leader="none" w:pos="851"/>
        </w:tabs>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167</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Cuando las unidades de transparencia determinen la notoria incompetencia</w:t>
      </w:r>
      <w:r w:rsidDel="00000000" w:rsidR="00000000" w:rsidRPr="00000000">
        <w:rPr>
          <w:rFonts w:ascii="Palatino Linotype" w:cs="Palatino Linotype" w:eastAsia="Palatino Linotype" w:hAnsi="Palatino Linotype"/>
          <w:i w:val="1"/>
          <w:sz w:val="22"/>
          <w:szCs w:val="22"/>
          <w:rtl w:val="0"/>
        </w:rPr>
        <w:t xml:space="preserve"> por parte de los sujetos obligados, dentro del ámbito de aplicación, para atender la solicitud de acceso a la información, </w:t>
      </w:r>
      <w:r w:rsidDel="00000000" w:rsidR="00000000" w:rsidRPr="00000000">
        <w:rPr>
          <w:rFonts w:ascii="Palatino Linotype" w:cs="Palatino Linotype" w:eastAsia="Palatino Linotype" w:hAnsi="Palatino Linotype"/>
          <w:b w:val="1"/>
          <w:i w:val="1"/>
          <w:sz w:val="22"/>
          <w:szCs w:val="22"/>
          <w:rtl w:val="0"/>
        </w:rPr>
        <w:t xml:space="preserve">deberán comunicarlo al solicitante, dentro de los tres días hábiles posteriores a la recepción de la solicitud</w:t>
      </w:r>
      <w:r w:rsidDel="00000000" w:rsidR="00000000" w:rsidRPr="00000000">
        <w:rPr>
          <w:rFonts w:ascii="Palatino Linotype" w:cs="Palatino Linotype" w:eastAsia="Palatino Linotype" w:hAnsi="Palatino Linotype"/>
          <w:i w:val="1"/>
          <w:sz w:val="22"/>
          <w:szCs w:val="22"/>
          <w:rtl w:val="0"/>
        </w:rPr>
        <w:t xml:space="preserve"> y, </w:t>
      </w:r>
      <w:r w:rsidDel="00000000" w:rsidR="00000000" w:rsidRPr="00000000">
        <w:rPr>
          <w:rFonts w:ascii="Palatino Linotype" w:cs="Palatino Linotype" w:eastAsia="Palatino Linotype" w:hAnsi="Palatino Linotype"/>
          <w:b w:val="1"/>
          <w:i w:val="1"/>
          <w:sz w:val="22"/>
          <w:szCs w:val="22"/>
          <w:rtl w:val="0"/>
        </w:rPr>
        <w:t xml:space="preserve">en su caso orientar al solicitante, el o los sujetos obligados competentes.” </w:t>
      </w:r>
    </w:p>
    <w:p w:rsidR="00000000" w:rsidDel="00000000" w:rsidP="00000000" w:rsidRDefault="00000000" w:rsidRPr="00000000" w14:paraId="00000078">
      <w:pPr>
        <w:tabs>
          <w:tab w:val="left" w:leader="none" w:pos="142"/>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9">
      <w:pPr>
        <w:tabs>
          <w:tab w:val="left" w:leader="none" w:pos="142"/>
          <w:tab w:val="left" w:leader="none" w:pos="284"/>
        </w:tabs>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De los preceptos citados se desprende que es atribución del Comité de Transparencia confirmar, modificar o revocar, en su caso, la declaración de incompetencia,</w:t>
      </w:r>
      <w:r w:rsidDel="00000000" w:rsidR="00000000" w:rsidRPr="00000000">
        <w:rPr>
          <w:rFonts w:ascii="Palatino Linotype" w:cs="Palatino Linotype" w:eastAsia="Palatino Linotype" w:hAnsi="Palatino Linotype"/>
          <w:b w:val="1"/>
          <w:sz w:val="22"/>
          <w:szCs w:val="22"/>
          <w:rtl w:val="0"/>
        </w:rPr>
        <w:t xml:space="preserve"> en aquellos casos en los que no se trate de una notoria incompetencia. </w:t>
      </w:r>
    </w:p>
    <w:p w:rsidR="00000000" w:rsidDel="00000000" w:rsidP="00000000" w:rsidRDefault="00000000" w:rsidRPr="00000000" w14:paraId="0000007A">
      <w:pPr>
        <w:tabs>
          <w:tab w:val="left" w:leader="none" w:pos="142"/>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B">
      <w:pPr>
        <w:tabs>
          <w:tab w:val="left" w:leader="none" w:pos="142"/>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Puesto que la Ley también prevé que dicho acuerdo </w:t>
      </w:r>
      <w:r w:rsidDel="00000000" w:rsidR="00000000" w:rsidRPr="00000000">
        <w:rPr>
          <w:rFonts w:ascii="Palatino Linotype" w:cs="Palatino Linotype" w:eastAsia="Palatino Linotype" w:hAnsi="Palatino Linotype"/>
          <w:b w:val="1"/>
          <w:sz w:val="22"/>
          <w:szCs w:val="22"/>
          <w:rtl w:val="0"/>
        </w:rPr>
        <w:t xml:space="preserve">no es necesario cuando la Unidad de Transparencia determine que la incompetencia es notoria</w:t>
      </w:r>
      <w:r w:rsidDel="00000000" w:rsidR="00000000" w:rsidRPr="00000000">
        <w:rPr>
          <w:rFonts w:ascii="Palatino Linotype" w:cs="Palatino Linotype" w:eastAsia="Palatino Linotype" w:hAnsi="Palatino Linotype"/>
          <w:sz w:val="22"/>
          <w:szCs w:val="22"/>
          <w:rtl w:val="0"/>
        </w:rPr>
        <w:t xml:space="preserve"> dando un plazo de tres días hábiles para hacerlo del conocimiento del particular, por lo que si bien, en el caso particular, no fue respetado dicho plazo, ello no cambia la circunstancia de que la incompetencia del sujeto obligado para dar atención a la solicitud de información siga siendo notoria. </w:t>
      </w:r>
    </w:p>
    <w:p w:rsidR="00000000" w:rsidDel="00000000" w:rsidP="00000000" w:rsidRDefault="00000000" w:rsidRPr="00000000" w14:paraId="0000007C">
      <w:pPr>
        <w:tabs>
          <w:tab w:val="left" w:leader="none" w:pos="142"/>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D">
      <w:pPr>
        <w:tabs>
          <w:tab w:val="left" w:leader="none" w:pos="142"/>
          <w:tab w:val="left" w:leader="none" w:pos="284"/>
        </w:tabs>
        <w:spacing w:line="360" w:lineRule="auto"/>
        <w:jc w:val="both"/>
        <w:rPr>
          <w:rFonts w:ascii="Palatino Linotype" w:cs="Palatino Linotype" w:eastAsia="Palatino Linotype" w:hAnsi="Palatino Linotype"/>
          <w:sz w:val="22"/>
          <w:szCs w:val="22"/>
          <w:u w:val="single"/>
        </w:rPr>
      </w:pPr>
      <w:r w:rsidDel="00000000" w:rsidR="00000000" w:rsidRPr="00000000">
        <w:rPr>
          <w:rFonts w:ascii="Palatino Linotype" w:cs="Palatino Linotype" w:eastAsia="Palatino Linotype" w:hAnsi="Palatino Linotype"/>
          <w:sz w:val="22"/>
          <w:szCs w:val="22"/>
          <w:rtl w:val="0"/>
        </w:rPr>
        <w:t xml:space="preserve">En otras palabras, la Ley de la Materia confiere a las Unidades de Transparencia la posibilidad de notificar la incompetencia cuando esta sea notoria, siendo innecesario que dicha circunstancia sea sometida a consideración de los integrantes del Comité de Transparencia </w:t>
      </w:r>
      <w:r w:rsidDel="00000000" w:rsidR="00000000" w:rsidRPr="00000000">
        <w:rPr>
          <w:rFonts w:ascii="Palatino Linotype" w:cs="Palatino Linotype" w:eastAsia="Palatino Linotype" w:hAnsi="Palatino Linotype"/>
          <w:sz w:val="22"/>
          <w:szCs w:val="22"/>
          <w:u w:val="single"/>
          <w:rtl w:val="0"/>
        </w:rPr>
        <w:t xml:space="preserve">para su aprobación. </w:t>
      </w:r>
    </w:p>
    <w:p w:rsidR="00000000" w:rsidDel="00000000" w:rsidP="00000000" w:rsidRDefault="00000000" w:rsidRPr="00000000" w14:paraId="0000007E">
      <w:pPr>
        <w:spacing w:line="360" w:lineRule="auto"/>
        <w:ind w:right="18"/>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F">
      <w:pPr>
        <w:spacing w:line="360" w:lineRule="auto"/>
        <w:ind w:right="18"/>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Como sustento de lo anterior, resulta aplicable el Criterio orientador 20/20, emitido por el entonces Instituto Nacional de Transparencia, Acceso a la Información, y Protección de Datos Personales, que lleva por rubro y texto los siguientes:  </w:t>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Declaración de incompetencia por parte del Comité, cuando no sea notoria o manifiesta.</w:t>
      </w:r>
      <w:r w:rsidDel="00000000" w:rsidR="00000000" w:rsidRPr="00000000">
        <w:rPr>
          <w:rFonts w:ascii="Palatino Linotype" w:cs="Palatino Linotype" w:eastAsia="Palatino Linotype" w:hAnsi="Palatino Linotype"/>
          <w:i w:val="1"/>
          <w:sz w:val="22"/>
          <w:szCs w:val="22"/>
          <w:rtl w:val="0"/>
        </w:rPr>
        <w:t xml:space="preserve"> Cuando la normatividad que prevé las atribuciones del sujeto obligado no sea clara en delimitar su competencia respecto a lo requerido por la persona solicitante y resulte necesario efectuar un análisis mayor para determinar la incompetencia, ésta debe ser declarada por el Comité de Transparencia.”</w:t>
      </w:r>
    </w:p>
    <w:p w:rsidR="00000000" w:rsidDel="00000000" w:rsidP="00000000" w:rsidRDefault="00000000" w:rsidRPr="00000000" w14:paraId="00000082">
      <w:pPr>
        <w:tabs>
          <w:tab w:val="left" w:leader="none" w:pos="142"/>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3">
      <w:pPr>
        <w:tabs>
          <w:tab w:val="left" w:leader="none" w:pos="142"/>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igual manera, el Pleno de este Instituto, a través del Criterio 02/04 emitido en la Segunda Época, precisa los alcances del artículo 167 de la Ley de Transparencia, al señalar que corresponde al Comité de Transparencia confirmar la declaratoria de incompetencia y notificarle dicha determinación al particular, refiriéndose a aquellos casos en los que exista</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b w:val="1"/>
          <w:sz w:val="22"/>
          <w:szCs w:val="22"/>
          <w:u w:val="single"/>
          <w:rtl w:val="0"/>
        </w:rPr>
        <w:t xml:space="preserve">duda razonable sobre la administración del documento materia de la solicitud de información</w:t>
      </w:r>
      <w:r w:rsidDel="00000000" w:rsidR="00000000" w:rsidRPr="00000000">
        <w:rPr>
          <w:rFonts w:ascii="Palatino Linotype" w:cs="Palatino Linotype" w:eastAsia="Palatino Linotype" w:hAnsi="Palatino Linotype"/>
          <w:sz w:val="22"/>
          <w:szCs w:val="22"/>
          <w:rtl w:val="0"/>
        </w:rPr>
        <w:t xml:space="preserve">, como se lee enseguida:</w:t>
      </w:r>
    </w:p>
    <w:p w:rsidR="00000000" w:rsidDel="00000000" w:rsidP="00000000" w:rsidRDefault="00000000" w:rsidRPr="00000000" w14:paraId="00000084">
      <w:pPr>
        <w:spacing w:line="276" w:lineRule="auto"/>
        <w:ind w:left="851" w:right="900"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85">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DECLARATORIA DE INCOMPETENCIA DEL SUJETO OBLIGADO. SUPUESTO PARA CONFIRMARLA POR ACUERDO DEL COMITÉ DE TRANSPARENCIA. </w:t>
      </w:r>
      <w:r w:rsidDel="00000000" w:rsidR="00000000" w:rsidRPr="00000000">
        <w:rPr>
          <w:rFonts w:ascii="Palatino Linotype" w:cs="Palatino Linotype" w:eastAsia="Palatino Linotype" w:hAnsi="Palatino Linotype"/>
          <w:i w:val="1"/>
          <w:sz w:val="22"/>
          <w:szCs w:val="22"/>
          <w:rtl w:val="0"/>
        </w:rPr>
        <w:t xml:space="preserve">De conformidad con el artículo 167 de la Ley de Transparencia vigente en la entidad, las Unidades de Transparencia tienen la facultad de determinar la notoria incompetencia para atender las solicitudes de acceso a la información y comunicarla al solicitante dentro de los tres días hábiles posteriores a la recepción de la misma, así como en su caso, orientar al particular sobre el o los Sujetos Obligados competentes para su atención. No obstante, es importante resaltar que </w:t>
      </w:r>
      <w:r w:rsidDel="00000000" w:rsidR="00000000" w:rsidRPr="00000000">
        <w:rPr>
          <w:rFonts w:ascii="Palatino Linotype" w:cs="Palatino Linotype" w:eastAsia="Palatino Linotype" w:hAnsi="Palatino Linotype"/>
          <w:b w:val="1"/>
          <w:i w:val="1"/>
          <w:sz w:val="22"/>
          <w:szCs w:val="22"/>
          <w:rtl w:val="0"/>
        </w:rPr>
        <w:t xml:space="preserve">al ejercer el derecho de acceso a la información pública cabe la posibilidad de que existan atribuciones concurrentes entre dos o más Sujetos Obligados que </w:t>
      </w:r>
      <w:r w:rsidDel="00000000" w:rsidR="00000000" w:rsidRPr="00000000">
        <w:rPr>
          <w:rFonts w:ascii="Palatino Linotype" w:cs="Palatino Linotype" w:eastAsia="Palatino Linotype" w:hAnsi="Palatino Linotype"/>
          <w:b w:val="1"/>
          <w:i w:val="1"/>
          <w:sz w:val="22"/>
          <w:szCs w:val="22"/>
          <w:u w:val="single"/>
          <w:rtl w:val="0"/>
        </w:rPr>
        <w:t xml:space="preserve">impiden determinar dentro del término legal de tres días hábiles</w:t>
      </w:r>
      <w:r w:rsidDel="00000000" w:rsidR="00000000" w:rsidRPr="00000000">
        <w:rPr>
          <w:rFonts w:ascii="Palatino Linotype" w:cs="Palatino Linotype" w:eastAsia="Palatino Linotype" w:hAnsi="Palatino Linotype"/>
          <w:b w:val="1"/>
          <w:i w:val="1"/>
          <w:sz w:val="22"/>
          <w:szCs w:val="22"/>
          <w:rtl w:val="0"/>
        </w:rPr>
        <w:t xml:space="preserve">, si se posee o no la información por el Sujeto Obligado requerid</w:t>
      </w:r>
      <w:r w:rsidDel="00000000" w:rsidR="00000000" w:rsidRPr="00000000">
        <w:rPr>
          <w:rFonts w:ascii="Palatino Linotype" w:cs="Palatino Linotype" w:eastAsia="Palatino Linotype" w:hAnsi="Palatino Linotype"/>
          <w:i w:val="1"/>
          <w:sz w:val="22"/>
          <w:szCs w:val="22"/>
          <w:rtl w:val="0"/>
        </w:rPr>
        <w:t xml:space="preserve">o; en virtud de ello, en aras de disipar toda duda razonable sobre la administración del documento materia de la solicitud de información, el Sujeto Obligado deberá dar el trámite correspondiente a la solicitud de información a efecto de realizar un análisis minucioso de las facultades, competencias o funciones de cada una de las Unidades Administrativas que lo integran y, si posterior a ello, se corrobora la incompetencia para la atención del requerimiento, en razón de que es otro el Sujeto Obligado poseedor de la documentación, corresponde a su Comité de Transparencia confirmar la declaratoria de incompetencia y notificarle dicha determinación al particular, en términos de lo dispuesto en el artículo 49, fracción II de la Ley de Transparencia Local, al ser este el acto jurídico idóneo que genera seguridad jurídica de que el Ente ante quien se presentó la solicitud, carece de facultades, competencias o funciones para poseer o generar la información requerida; lo anterior, sin perjuicio de que pueda gestionar la colaboración de otro Sujeto Obligado competente para atender la solicitud.”</w:t>
      </w:r>
    </w:p>
    <w:p w:rsidR="00000000" w:rsidDel="00000000" w:rsidP="00000000" w:rsidRDefault="00000000" w:rsidRPr="00000000" w14:paraId="00000086">
      <w:pPr>
        <w:spacing w:line="360" w:lineRule="auto"/>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87">
      <w:pPr>
        <w:spacing w:line="360" w:lineRule="auto"/>
        <w:jc w:val="both"/>
        <w:rPr>
          <w:rFonts w:ascii="Palatino Linotype" w:cs="Palatino Linotype" w:eastAsia="Palatino Linotype" w:hAnsi="Palatino Linotype"/>
          <w:b w:val="1"/>
          <w:sz w:val="22"/>
          <w:szCs w:val="22"/>
          <w:u w:val="single"/>
        </w:rPr>
      </w:pPr>
      <w:r w:rsidDel="00000000" w:rsidR="00000000" w:rsidRPr="00000000">
        <w:rPr>
          <w:rFonts w:ascii="Palatino Linotype" w:cs="Palatino Linotype" w:eastAsia="Palatino Linotype" w:hAnsi="Palatino Linotype"/>
          <w:sz w:val="22"/>
          <w:szCs w:val="22"/>
          <w:rtl w:val="0"/>
        </w:rPr>
        <w:t xml:space="preserve">Es así que, ordenar al Comité de Transparencia del Sujeto Obligado que sesione para que emita un acuerdo en el que confirme la declaratoria de incompetencia para garantizar el derecho de la parte Recurrente, dilata los plazos del procedimiento, genera una carga adicional al Sujeto Obligado, y </w:t>
      </w:r>
      <w:r w:rsidDel="00000000" w:rsidR="00000000" w:rsidRPr="00000000">
        <w:rPr>
          <w:rFonts w:ascii="Palatino Linotype" w:cs="Palatino Linotype" w:eastAsia="Palatino Linotype" w:hAnsi="Palatino Linotype"/>
          <w:b w:val="1"/>
          <w:sz w:val="22"/>
          <w:szCs w:val="22"/>
          <w:u w:val="single"/>
          <w:rtl w:val="0"/>
        </w:rPr>
        <w:t xml:space="preserve">ello no modifica el hecho de que la parte Recurrente no obtendrá la información que es de su interés por esta vía. </w:t>
      </w:r>
    </w:p>
    <w:p w:rsidR="00000000" w:rsidDel="00000000" w:rsidP="00000000" w:rsidRDefault="00000000" w:rsidRPr="00000000" w14:paraId="0000008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ello, instruir al Comité de Transparencia para que sesione y emita una resolución en la que se confirme una notoria incompetencia que ya fue declarada por el Sujeto Obligado y analizada por este Organismo Garante, se aparta de los principios de sencillez y rapidez establecidos por la Ley de Transparencia y Acceso a la Información Pública del Estado de México y Municipios, en sus artículos 2, fracciones II y III, 21 y 150. </w:t>
      </w:r>
    </w:p>
    <w:p w:rsidR="00000000" w:rsidDel="00000000" w:rsidP="00000000" w:rsidRDefault="00000000" w:rsidRPr="00000000" w14:paraId="0000008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por lo que, en virtud de que el Ayuntamiento de Toluca declinó su competencia para turnar la solicitud al Sistema Municipal </w:t>
      </w:r>
      <w:r w:rsidDel="00000000" w:rsidR="00000000" w:rsidRPr="00000000">
        <w:rPr>
          <w:rFonts w:ascii="Palatino Linotype" w:cs="Palatino Linotype" w:eastAsia="Palatino Linotype" w:hAnsi="Palatino Linotype"/>
          <w:color w:val="000000"/>
          <w:sz w:val="22"/>
          <w:szCs w:val="22"/>
          <w:rtl w:val="0"/>
        </w:rPr>
        <w:t xml:space="preserve">para el Desarrollo Integral de la Familia de Toluca</w:t>
      </w:r>
      <w:r w:rsidDel="00000000" w:rsidR="00000000" w:rsidRPr="00000000">
        <w:rPr>
          <w:rFonts w:ascii="Palatino Linotype" w:cs="Palatino Linotype" w:eastAsia="Palatino Linotype" w:hAnsi="Palatino Linotype"/>
          <w:sz w:val="22"/>
          <w:szCs w:val="22"/>
          <w:rtl w:val="0"/>
        </w:rPr>
        <w:t xml:space="preserve">, es que no resulta dable ordenar el acuerdo que declare formalmente la incompetencia del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pues como se advirtió del estudio la incompetencia resulta notaria. </w:t>
      </w:r>
    </w:p>
    <w:p w:rsidR="00000000" w:rsidDel="00000000" w:rsidP="00000000" w:rsidRDefault="00000000" w:rsidRPr="00000000" w14:paraId="0000008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resulta necesario precisar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que, el hecho de notificar a las personas solicitantes sobre la incompetencia cuando esta sea notoria, dentro del plazo de tres días siguientes a partir de la recepción de las solicitudes, permite que estas puedan presentar sin mayor dilación sus requerimientos de información ante los Sujetos Obligados competentes con la finalidad de obtener la información que es de su interés.</w:t>
      </w:r>
    </w:p>
    <w:p w:rsidR="00000000" w:rsidDel="00000000" w:rsidP="00000000" w:rsidRDefault="00000000" w:rsidRPr="00000000" w14:paraId="0000008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por ello que resulta de suma importancia que las Unidades de Transparencia, cuando adviertan que dicho supuesto se actualiza, se ciñan al plazo que la normativa establece, a fin de ajustarse al principio de expeditez que en todo procedimiento en materia de transparencia se debe observar.</w:t>
      </w:r>
    </w:p>
    <w:p w:rsidR="00000000" w:rsidDel="00000000" w:rsidP="00000000" w:rsidRDefault="00000000" w:rsidRPr="00000000" w14:paraId="0000009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conclusión, cuando se advierta una notoria incompetencia respecto de la información solicitada por un particular,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debe atender los plazos establecidos por la norma para declarar la incompetencia </w:t>
      </w:r>
      <w:r w:rsidDel="00000000" w:rsidR="00000000" w:rsidRPr="00000000">
        <w:rPr>
          <w:rFonts w:ascii="Palatino Linotype" w:cs="Palatino Linotype" w:eastAsia="Palatino Linotype" w:hAnsi="Palatino Linotype"/>
          <w:sz w:val="22"/>
          <w:szCs w:val="22"/>
          <w:rtl w:val="0"/>
        </w:rPr>
        <w:t xml:space="preserve">para entregar información, con el propósito de que los particulares puedan acudir ante las instancias correspondientes para formular las solicitudes que estimen pertinentes.</w:t>
      </w:r>
    </w:p>
    <w:p w:rsidR="00000000" w:rsidDel="00000000" w:rsidP="00000000" w:rsidRDefault="00000000" w:rsidRPr="00000000" w14:paraId="00000092">
      <w:pPr>
        <w:pBdr>
          <w:top w:space="0" w:sz="0" w:val="nil"/>
          <w:left w:space="0" w:sz="0" w:val="nil"/>
          <w:bottom w:space="0" w:sz="0" w:val="nil"/>
          <w:right w:space="0" w:sz="0" w:val="nil"/>
          <w:between w:space="0" w:sz="0" w:val="nil"/>
        </w:pBdr>
        <w:spacing w:after="240" w:before="240" w:line="360" w:lineRule="auto"/>
        <w:ind w:right="96"/>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entendido, se determina que toda vez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declaró su incompetencia a través de su informe justificado y de este estudio se concluyó que la incompetencia resulta notoria, es que se actualiza la causal prevista en la fracción III del artículo 192 de la Ley de Transparencia y Acceso a la Información Pública del Estado de México y Municipios, que se transcribe a continuación, para un mejor entendimiento:</w:t>
      </w:r>
    </w:p>
    <w:p w:rsidR="00000000" w:rsidDel="00000000" w:rsidP="00000000" w:rsidRDefault="00000000" w:rsidRPr="00000000" w14:paraId="00000093">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192.</w:t>
      </w:r>
      <w:r w:rsidDel="00000000" w:rsidR="00000000" w:rsidRPr="00000000">
        <w:rPr>
          <w:rFonts w:ascii="Palatino Linotype" w:cs="Palatino Linotype" w:eastAsia="Palatino Linotype" w:hAnsi="Palatino Linotype"/>
          <w:i w:val="1"/>
          <w:sz w:val="22"/>
          <w:szCs w:val="22"/>
          <w:rtl w:val="0"/>
        </w:rPr>
        <w:t xml:space="preserve"> El recurso será sobreseído, en todo o en parte, cuando una vez admitido, se actualicen alguno de los siguientes supuestos:</w:t>
      </w: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95">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El sujeto obligado responsable del acto lo modifique o revoque de tal manera que el recurso de revisión quede sin materia…”</w:t>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9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Dicho artículo establece que el sobreseimiento del recurso de revisión procede en los siguientes casos:</w:t>
      </w:r>
    </w:p>
    <w:p w:rsidR="00000000" w:rsidDel="00000000" w:rsidP="00000000" w:rsidRDefault="00000000" w:rsidRPr="00000000" w14:paraId="00000098">
      <w:pPr>
        <w:spacing w:line="360" w:lineRule="auto"/>
        <w:ind w:right="900" w:firstLine="56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 Cuando el sujeto obligado modifique el acto impugnado y;</w:t>
      </w:r>
    </w:p>
    <w:p w:rsidR="00000000" w:rsidDel="00000000" w:rsidP="00000000" w:rsidRDefault="00000000" w:rsidRPr="00000000" w14:paraId="00000099">
      <w:pPr>
        <w:spacing w:line="360" w:lineRule="auto"/>
        <w:ind w:right="900" w:firstLine="56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b) Cuando el sujeto obligado revoque el acto impugnado.</w:t>
      </w:r>
    </w:p>
    <w:p w:rsidR="00000000" w:rsidDel="00000000" w:rsidP="00000000" w:rsidRDefault="00000000" w:rsidRPr="00000000" w14:paraId="0000009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Quedando en ambos casos el acto combatido sin materia o sin efectos.</w:t>
      </w:r>
    </w:p>
    <w:p w:rsidR="00000000" w:rsidDel="00000000" w:rsidP="00000000" w:rsidRDefault="00000000" w:rsidRPr="00000000" w14:paraId="0000009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Como se observa de lo anterior, un acto impugnado es </w:t>
      </w:r>
      <w:r w:rsidDel="00000000" w:rsidR="00000000" w:rsidRPr="00000000">
        <w:rPr>
          <w:rFonts w:ascii="Palatino Linotype" w:cs="Palatino Linotype" w:eastAsia="Palatino Linotype" w:hAnsi="Palatino Linotype"/>
          <w:b w:val="1"/>
          <w:sz w:val="22"/>
          <w:szCs w:val="22"/>
          <w:rtl w:val="0"/>
        </w:rPr>
        <w:t xml:space="preserve">modificado</w:t>
      </w:r>
      <w:r w:rsidDel="00000000" w:rsidR="00000000" w:rsidRPr="00000000">
        <w:rPr>
          <w:rFonts w:ascii="Palatino Linotype" w:cs="Palatino Linotype" w:eastAsia="Palatino Linotype" w:hAnsi="Palatino Linotype"/>
          <w:sz w:val="22"/>
          <w:szCs w:val="22"/>
          <w:rtl w:val="0"/>
        </w:rPr>
        <w:t xml:space="preserve"> en aquellos casos en los que el sujeto obligado subsana las deficiencias que hubiera tenido en primer momento, quedando satisfecho el derecho subjetivo accionado por la parte recurrente. </w:t>
      </w:r>
    </w:p>
    <w:p w:rsidR="00000000" w:rsidDel="00000000" w:rsidP="00000000" w:rsidRDefault="00000000" w:rsidRPr="00000000" w14:paraId="0000009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que hace a la</w:t>
      </w:r>
      <w:r w:rsidDel="00000000" w:rsidR="00000000" w:rsidRPr="00000000">
        <w:rPr>
          <w:rFonts w:ascii="Palatino Linotype" w:cs="Palatino Linotype" w:eastAsia="Palatino Linotype" w:hAnsi="Palatino Linotype"/>
          <w:b w:val="1"/>
          <w:sz w:val="22"/>
          <w:szCs w:val="22"/>
          <w:rtl w:val="0"/>
        </w:rPr>
        <w:t xml:space="preserve"> revocación</w:t>
      </w:r>
      <w:r w:rsidDel="00000000" w:rsidR="00000000" w:rsidRPr="00000000">
        <w:rPr>
          <w:rFonts w:ascii="Palatino Linotype" w:cs="Palatino Linotype" w:eastAsia="Palatino Linotype" w:hAnsi="Palatino Linotype"/>
          <w:sz w:val="22"/>
          <w:szCs w:val="22"/>
          <w:rtl w:val="0"/>
        </w:rPr>
        <w:t xml:space="preserve">, esta se actualiza cuando el sujeto obligado</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deja sin efectos su actuar y en su lugar emite otra con las características y cualidades suficientes para dejar satisfecho el ejercicio del derecho al acceso a la información pública.</w:t>
      </w:r>
    </w:p>
    <w:p w:rsidR="00000000" w:rsidDel="00000000" w:rsidP="00000000" w:rsidRDefault="00000000" w:rsidRPr="00000000" w14:paraId="0000009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tenor, un acto impugnado queda sin efectos, cuando aun existiendo jurídicamente ya no genera ninguna consecuencia legal.</w:t>
      </w:r>
    </w:p>
    <w:p w:rsidR="00000000" w:rsidDel="00000000" w:rsidP="00000000" w:rsidRDefault="00000000" w:rsidRPr="00000000" w14:paraId="000000A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2">
      <w:pPr>
        <w:spacing w:line="360" w:lineRule="auto"/>
        <w:ind w:right="49"/>
        <w:jc w:val="both"/>
        <w:rPr>
          <w:rFonts w:ascii="Palatino Linotype" w:cs="Palatino Linotype" w:eastAsia="Palatino Linotype" w:hAnsi="Palatino Linotype"/>
          <w:strike w:val="1"/>
          <w:sz w:val="22"/>
          <w:szCs w:val="22"/>
        </w:rPr>
      </w:pPr>
      <w:r w:rsidDel="00000000" w:rsidR="00000000" w:rsidRPr="00000000">
        <w:rPr>
          <w:rFonts w:ascii="Palatino Linotype" w:cs="Palatino Linotype" w:eastAsia="Palatino Linotype" w:hAnsi="Palatino Linotype"/>
          <w:sz w:val="22"/>
          <w:szCs w:val="22"/>
          <w:rtl w:val="0"/>
        </w:rPr>
        <w:t xml:space="preserve">En tanto, en el presente caso toda vez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través del informe justificado declaró su incompetencia; dejó sin materia el presente recurso de revisión, actualizándose entonces la causal prevista en la fracción III del artículo 192 de la Ley de la Materia vigente en la Entidad. </w:t>
      </w:r>
      <w:r w:rsidDel="00000000" w:rsidR="00000000" w:rsidRPr="00000000">
        <w:rPr>
          <w:rtl w:val="0"/>
        </w:rPr>
      </w:r>
    </w:p>
    <w:p w:rsidR="00000000" w:rsidDel="00000000" w:rsidP="00000000" w:rsidRDefault="00000000" w:rsidRPr="00000000" w14:paraId="000000A3">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4">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con fundamento en lo prescrito en los artículos 5 párrafos trigésimo séptimo, trigésimo octavo y trigésimo noveno,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000000" w:rsidDel="00000000" w:rsidP="00000000" w:rsidRDefault="00000000" w:rsidRPr="00000000" w14:paraId="000000A5">
      <w:pPr>
        <w:spacing w:line="360" w:lineRule="auto"/>
        <w:ind w:right="49"/>
        <w:jc w:val="center"/>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A6">
      <w:pPr>
        <w:spacing w:line="360" w:lineRule="auto"/>
        <w:ind w:right="49"/>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III.</w:t>
        <w:tab/>
        <w:t xml:space="preserve">R E S U E L V E:</w:t>
      </w:r>
    </w:p>
    <w:p w:rsidR="00000000" w:rsidDel="00000000" w:rsidP="00000000" w:rsidRDefault="00000000" w:rsidRPr="00000000" w14:paraId="000000A7">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A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PRIMERO. </w:t>
      </w:r>
      <w:r w:rsidDel="00000000" w:rsidR="00000000" w:rsidRPr="00000000">
        <w:rPr>
          <w:rFonts w:ascii="Palatino Linotype" w:cs="Palatino Linotype" w:eastAsia="Palatino Linotype" w:hAnsi="Palatino Linotype"/>
          <w:sz w:val="22"/>
          <w:szCs w:val="22"/>
          <w:rtl w:val="0"/>
        </w:rPr>
        <w:t xml:space="preserve">Se</w:t>
      </w:r>
      <w:r w:rsidDel="00000000" w:rsidR="00000000" w:rsidRPr="00000000">
        <w:rPr>
          <w:rFonts w:ascii="Palatino Linotype" w:cs="Palatino Linotype" w:eastAsia="Palatino Linotype" w:hAnsi="Palatino Linotype"/>
          <w:b w:val="1"/>
          <w:sz w:val="22"/>
          <w:szCs w:val="22"/>
          <w:rtl w:val="0"/>
        </w:rPr>
        <w:t xml:space="preserve"> Sobresee </w:t>
      </w:r>
      <w:r w:rsidDel="00000000" w:rsidR="00000000" w:rsidRPr="00000000">
        <w:rPr>
          <w:rFonts w:ascii="Palatino Linotype" w:cs="Palatino Linotype" w:eastAsia="Palatino Linotype" w:hAnsi="Palatino Linotype"/>
          <w:sz w:val="22"/>
          <w:szCs w:val="22"/>
          <w:rtl w:val="0"/>
        </w:rPr>
        <w:t xml:space="preserve">el recurso de revisión número </w:t>
      </w:r>
      <w:r w:rsidDel="00000000" w:rsidR="00000000" w:rsidRPr="00000000">
        <w:rPr>
          <w:rFonts w:ascii="Palatino Linotype" w:cs="Palatino Linotype" w:eastAsia="Palatino Linotype" w:hAnsi="Palatino Linotype"/>
          <w:b w:val="1"/>
          <w:sz w:val="22"/>
          <w:szCs w:val="22"/>
          <w:rtl w:val="0"/>
        </w:rPr>
        <w:t xml:space="preserve">01814/INFOEM/IP/RR/2025</w:t>
      </w:r>
      <w:r w:rsidDel="00000000" w:rsidR="00000000" w:rsidRPr="00000000">
        <w:rPr>
          <w:rFonts w:ascii="Palatino Linotype" w:cs="Palatino Linotype" w:eastAsia="Palatino Linotype" w:hAnsi="Palatino Linotype"/>
          <w:sz w:val="22"/>
          <w:szCs w:val="22"/>
          <w:rtl w:val="0"/>
        </w:rPr>
        <w:t xml:space="preserve">, porque al modificar la respuesta a la solicitud de acceso a la información, el medio de impugnación quedó sin materia, de conformidad con lo previsto en el artículo 192 fracción III de la Ley de Transparencia y Acceso a la Información Pública del Estado de México y Municipios, en términos del Considerando Tercero de la presente resolución.</w:t>
      </w:r>
    </w:p>
    <w:p w:rsidR="00000000" w:rsidDel="00000000" w:rsidP="00000000" w:rsidRDefault="00000000" w:rsidRPr="00000000" w14:paraId="000000A9">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AA">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SEGUNDO. Notifíquese, </w:t>
      </w:r>
      <w:r w:rsidDel="00000000" w:rsidR="00000000" w:rsidRPr="00000000">
        <w:rPr>
          <w:rFonts w:ascii="Palatino Linotype" w:cs="Palatino Linotype" w:eastAsia="Palatino Linotype" w:hAnsi="Palatino Linotype"/>
          <w:sz w:val="22"/>
          <w:szCs w:val="22"/>
          <w:rtl w:val="0"/>
        </w:rPr>
        <w:t xml:space="preserve">vía </w:t>
      </w:r>
      <w:r w:rsidDel="00000000" w:rsidR="00000000" w:rsidRPr="00000000">
        <w:rPr>
          <w:rFonts w:ascii="Palatino Linotype" w:cs="Palatino Linotype" w:eastAsia="Palatino Linotype" w:hAnsi="Palatino Linotype"/>
          <w:b w:val="1"/>
          <w:sz w:val="22"/>
          <w:szCs w:val="22"/>
          <w:rtl w:val="0"/>
        </w:rPr>
        <w:t xml:space="preserve">SAIMEX, </w:t>
      </w:r>
      <w:r w:rsidDel="00000000" w:rsidR="00000000" w:rsidRPr="00000000">
        <w:rPr>
          <w:rFonts w:ascii="Palatino Linotype" w:cs="Palatino Linotype" w:eastAsia="Palatino Linotype" w:hAnsi="Palatino Linotype"/>
          <w:sz w:val="22"/>
          <w:szCs w:val="22"/>
          <w:rtl w:val="0"/>
        </w:rPr>
        <w:t xml:space="preserve">al Titular de la Unidad de Transparencia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la presente resolución, para su conocimiento.</w:t>
      </w:r>
      <w:r w:rsidDel="00000000" w:rsidR="00000000" w:rsidRPr="00000000">
        <w:rPr>
          <w:rtl w:val="0"/>
        </w:rPr>
      </w:r>
    </w:p>
    <w:p w:rsidR="00000000" w:rsidDel="00000000" w:rsidP="00000000" w:rsidRDefault="00000000" w:rsidRPr="00000000" w14:paraId="000000A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TERCERO. Notifíquese </w:t>
      </w:r>
      <w:r w:rsidDel="00000000" w:rsidR="00000000" w:rsidRPr="00000000">
        <w:rPr>
          <w:rFonts w:ascii="Palatino Linotype" w:cs="Palatino Linotype" w:eastAsia="Palatino Linotype" w:hAnsi="Palatino Linotype"/>
          <w:sz w:val="22"/>
          <w:szCs w:val="22"/>
          <w:rtl w:val="0"/>
        </w:rPr>
        <w:t xml:space="preserve">vía</w:t>
      </w:r>
      <w:r w:rsidDel="00000000" w:rsidR="00000000" w:rsidRPr="00000000">
        <w:rPr>
          <w:rFonts w:ascii="Palatino Linotype" w:cs="Palatino Linotype" w:eastAsia="Palatino Linotype" w:hAnsi="Palatino Linotype"/>
          <w:b w:val="1"/>
          <w:sz w:val="22"/>
          <w:szCs w:val="22"/>
          <w:rtl w:val="0"/>
        </w:rPr>
        <w:t xml:space="preserve"> SAIMEX</w:t>
      </w:r>
      <w:r w:rsidDel="00000000" w:rsidR="00000000" w:rsidRPr="00000000">
        <w:rPr>
          <w:rFonts w:ascii="Palatino Linotype" w:cs="Palatino Linotype" w:eastAsia="Palatino Linotype" w:hAnsi="Palatino Linotype"/>
          <w:sz w:val="22"/>
          <w:szCs w:val="22"/>
          <w:rtl w:val="0"/>
        </w:rPr>
        <w:t xml:space="preserve">, al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la presente resolución; así como, que de conformidad con lo establecido en el artículo 196 de la Ley de Transparencia y Acceso a la Información Pública del Estado de México y Municipios, podrá impugnar vía Juicio de Amparo en los términos de las leyes aplicables.</w:t>
      </w:r>
    </w:p>
    <w:p w:rsidR="00000000" w:rsidDel="00000000" w:rsidP="00000000" w:rsidRDefault="00000000" w:rsidRPr="00000000" w14:paraId="000000AD">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E">
      <w:pPr>
        <w:spacing w:line="360" w:lineRule="auto"/>
        <w:jc w:val="both"/>
        <w:rPr>
          <w:rFonts w:ascii="Palatino Linotype" w:cs="Palatino Linotype" w:eastAsia="Palatino Linotype" w:hAnsi="Palatino Linotype"/>
          <w:sz w:val="22"/>
          <w:szCs w:val="22"/>
        </w:rPr>
        <w:sectPr>
          <w:headerReference r:id="rId13" w:type="default"/>
          <w:headerReference r:id="rId14" w:type="first"/>
          <w:footerReference r:id="rId15" w:type="default"/>
          <w:footerReference r:id="rId16" w:type="first"/>
          <w:pgSz w:h="15840" w:w="12240" w:orient="portrait"/>
          <w:pgMar w:bottom="1701" w:top="2041" w:left="1701" w:right="1701" w:header="709" w:footer="709"/>
          <w:pgNumType w:start="1"/>
          <w:titlePg w:val="1"/>
        </w:sectPr>
      </w:pPr>
      <w:r w:rsidDel="00000000" w:rsidR="00000000" w:rsidRPr="00000000">
        <w:rPr>
          <w:rFonts w:ascii="Palatino Linotype" w:cs="Palatino Linotype" w:eastAsia="Palatino Linotype" w:hAnsi="Palatino Linotype"/>
          <w:color w:val="222222"/>
          <w:sz w:val="22"/>
          <w:szCs w:val="22"/>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CUARTA SESIÓN ORDINARIA CELEBRADA EL VEINTITRÉS DE ABRIL DE DOS MIL VEINTICINCO, ANTE EL SECRETARIO TÉCNICO DEL PLENO ALEXIS TAPIA RAMÍREZ</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AF">
      <w:pPr>
        <w:spacing w:line="360" w:lineRule="auto"/>
        <w:jc w:val="both"/>
        <w:rPr>
          <w:rFonts w:ascii="Palatino Linotype" w:cs="Palatino Linotype" w:eastAsia="Palatino Linotype" w:hAnsi="Palatino Linotype"/>
          <w:sz w:val="22"/>
          <w:szCs w:val="22"/>
        </w:rPr>
      </w:pPr>
      <w:r w:rsidDel="00000000" w:rsidR="00000000" w:rsidRPr="00000000">
        <w:rPr>
          <w:rtl w:val="0"/>
        </w:rPr>
      </w:r>
    </w:p>
    <w:sectPr>
      <w:headerReference r:id="rId17" w:type="first"/>
      <w:type w:val="nextPage"/>
      <w:pgSz w:h="15840" w:w="12240" w:orient="portrait"/>
      <w:pgMar w:bottom="1701" w:top="2041" w:left="1701" w:right="1701" w:header="709" w:footer="709"/>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Aria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A">
    <w:pPr>
      <w:pBdr>
        <w:top w:space="0" w:sz="0" w:val="nil"/>
        <w:left w:space="0" w:sz="0" w:val="nil"/>
        <w:bottom w:space="0" w:sz="0" w:val="nil"/>
        <w:right w:space="0" w:sz="0" w:val="nil"/>
        <w:between w:space="0" w:sz="0" w:val="nil"/>
      </w:pBdr>
      <w:tabs>
        <w:tab w:val="center" w:leader="none" w:pos="4252"/>
        <w:tab w:val="right" w:leader="none" w:pos="8504"/>
      </w:tabs>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CB">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p w:rsidR="00000000" w:rsidDel="00000000" w:rsidP="00000000" w:rsidRDefault="00000000" w:rsidRPr="00000000" w14:paraId="000000CC">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libri" w:cs="Calibri" w:eastAsia="Calibri" w:hAnsi="Calibri"/>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D">
    <w:pPr>
      <w:pBdr>
        <w:top w:space="0" w:sz="0" w:val="nil"/>
        <w:left w:space="0" w:sz="0" w:val="nil"/>
        <w:bottom w:space="0" w:sz="0" w:val="nil"/>
        <w:right w:space="0" w:sz="0" w:val="nil"/>
        <w:between w:space="0" w:sz="0" w:val="nil"/>
      </w:pBdr>
      <w:tabs>
        <w:tab w:val="center" w:leader="none" w:pos="4252"/>
        <w:tab w:val="right" w:leader="none" w:pos="8504"/>
      </w:tabs>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CE">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0">
    <w:pPr>
      <w:widowControl w:val="0"/>
      <w:pBdr>
        <w:top w:space="0" w:sz="0" w:val="nil"/>
        <w:left w:space="0" w:sz="0" w:val="nil"/>
        <w:bottom w:space="0" w:sz="0" w:val="nil"/>
        <w:right w:space="0" w:sz="0" w:val="nil"/>
        <w:between w:space="0" w:sz="0" w:val="nil"/>
      </w:pBdr>
      <w:spacing w:line="276" w:lineRule="auto"/>
      <w:rPr>
        <w:rFonts w:ascii="Calibri" w:cs="Calibri" w:eastAsia="Calibri" w:hAnsi="Calibri"/>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-638172</wp:posOffset>
          </wp:positionH>
          <wp:positionV relativeFrom="paragraph">
            <wp:posOffset>-450211</wp:posOffset>
          </wp:positionV>
          <wp:extent cx="7809876" cy="10165823"/>
          <wp:effectExtent b="0" l="0" r="0" t="0"/>
          <wp:wrapNone/>
          <wp:docPr id="1613343142"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1"/>
      <w:tblW w:w="5528.0" w:type="dxa"/>
      <w:jc w:val="left"/>
      <w:tblInd w:w="3261.0" w:type="dxa"/>
      <w:tblLayout w:type="fixed"/>
      <w:tblLook w:val="0400"/>
    </w:tblPr>
    <w:tblGrid>
      <w:gridCol w:w="2551"/>
      <w:gridCol w:w="2977"/>
      <w:tblGridChange w:id="0">
        <w:tblGrid>
          <w:gridCol w:w="2551"/>
          <w:gridCol w:w="2977"/>
        </w:tblGrid>
      </w:tblGridChange>
    </w:tblGrid>
    <w:tr>
      <w:trPr>
        <w:cantSplit w:val="0"/>
        <w:tblHeader w:val="0"/>
      </w:trPr>
      <w:tc>
        <w:tcPr>
          <w:vAlign w:val="center"/>
        </w:tcPr>
        <w:p w:rsidR="00000000" w:rsidDel="00000000" w:rsidP="00000000" w:rsidRDefault="00000000" w:rsidRPr="00000000" w14:paraId="000000B1">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0B2">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01814/INFOEM/IP/RR/2025</w:t>
          </w:r>
        </w:p>
      </w:tc>
    </w:tr>
    <w:tr>
      <w:trPr>
        <w:cantSplit w:val="0"/>
        <w:trHeight w:val="228" w:hRule="atLeast"/>
        <w:tblHeader w:val="0"/>
      </w:trPr>
      <w:tc>
        <w:tcPr>
          <w:vAlign w:val="center"/>
        </w:tcPr>
        <w:p w:rsidR="00000000" w:rsidDel="00000000" w:rsidP="00000000" w:rsidRDefault="00000000" w:rsidRPr="00000000" w14:paraId="000000B3">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vAlign w:val="center"/>
        </w:tcPr>
        <w:p w:rsidR="00000000" w:rsidDel="00000000" w:rsidP="00000000" w:rsidRDefault="00000000" w:rsidRPr="00000000" w14:paraId="000000B4">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Toluca</w:t>
          </w:r>
        </w:p>
      </w:tc>
    </w:tr>
    <w:tr>
      <w:trPr>
        <w:cantSplit w:val="0"/>
        <w:tblHeader w:val="0"/>
      </w:trPr>
      <w:tc>
        <w:tcPr>
          <w:vAlign w:val="center"/>
        </w:tcPr>
        <w:p w:rsidR="00000000" w:rsidDel="00000000" w:rsidP="00000000" w:rsidRDefault="00000000" w:rsidRPr="00000000" w14:paraId="000000B5">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0B6">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0B7">
    <w:pPr>
      <w:pBdr>
        <w:top w:space="0" w:sz="0" w:val="nil"/>
        <w:left w:space="0" w:sz="0" w:val="nil"/>
        <w:bottom w:space="0" w:sz="0" w:val="nil"/>
        <w:right w:space="0" w:sz="0" w:val="nil"/>
        <w:between w:space="0" w:sz="0" w:val="nil"/>
      </w:pBdr>
      <w:tabs>
        <w:tab w:val="center" w:leader="none" w:pos="4252"/>
        <w:tab w:val="right" w:leader="none" w:pos="8504"/>
        <w:tab w:val="left" w:leader="none" w:pos="2326"/>
      </w:tabs>
      <w:rPr>
        <w:rFonts w:ascii="Calibri" w:cs="Calibri" w:eastAsia="Calibri" w:hAnsi="Calibri"/>
        <w:color w:val="000000"/>
      </w:rPr>
    </w:pPr>
    <w:r w:rsidDel="00000000" w:rsidR="00000000" w:rsidRPr="00000000">
      <w:rPr>
        <w:rFonts w:ascii="Calibri" w:cs="Calibri" w:eastAsia="Calibri" w:hAnsi="Calibri"/>
        <w:color w:val="000000"/>
        <w:rtl w:val="0"/>
      </w:rPr>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8">
    <w:pPr>
      <w:pBdr>
        <w:top w:space="0" w:sz="0" w:val="nil"/>
        <w:left w:space="0" w:sz="0" w:val="nil"/>
        <w:bottom w:space="0" w:sz="0" w:val="nil"/>
        <w:right w:space="0" w:sz="0" w:val="nil"/>
        <w:between w:space="0" w:sz="0" w:val="nil"/>
      </w:pBdr>
      <w:tabs>
        <w:tab w:val="center" w:leader="none" w:pos="4252"/>
        <w:tab w:val="right" w:leader="none" w:pos="8504"/>
      </w:tabs>
      <w:jc w:val="both"/>
      <w:rPr>
        <w:rFonts w:ascii="Calibri" w:cs="Calibri" w:eastAsia="Calibri" w:hAnsi="Calibri"/>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-798189</wp:posOffset>
          </wp:positionH>
          <wp:positionV relativeFrom="paragraph">
            <wp:posOffset>-399410</wp:posOffset>
          </wp:positionV>
          <wp:extent cx="7809876" cy="10165823"/>
          <wp:effectExtent b="0" l="0" r="0" t="0"/>
          <wp:wrapNone/>
          <wp:docPr id="1613343139"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2"/>
      <w:tblW w:w="5670.0" w:type="dxa"/>
      <w:jc w:val="left"/>
      <w:tblInd w:w="3119.0" w:type="dxa"/>
      <w:tblLayout w:type="fixed"/>
      <w:tblLook w:val="0400"/>
    </w:tblPr>
    <w:tblGrid>
      <w:gridCol w:w="2551"/>
      <w:gridCol w:w="3119"/>
      <w:tblGridChange w:id="0">
        <w:tblGrid>
          <w:gridCol w:w="2551"/>
          <w:gridCol w:w="3119"/>
        </w:tblGrid>
      </w:tblGridChange>
    </w:tblGrid>
    <w:tr>
      <w:trPr>
        <w:cantSplit w:val="0"/>
        <w:tblHeader w:val="0"/>
      </w:trPr>
      <w:tc>
        <w:tcPr>
          <w:vAlign w:val="center"/>
        </w:tcPr>
        <w:p w:rsidR="00000000" w:rsidDel="00000000" w:rsidP="00000000" w:rsidRDefault="00000000" w:rsidRPr="00000000" w14:paraId="000000B9">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0BA">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01814/INFOEM/IP/RR/2025 </w:t>
          </w:r>
        </w:p>
      </w:tc>
    </w:tr>
    <w:tr>
      <w:trPr>
        <w:cantSplit w:val="0"/>
        <w:tblHeader w:val="0"/>
      </w:trPr>
      <w:tc>
        <w:tcPr>
          <w:vAlign w:val="center"/>
        </w:tcPr>
        <w:p w:rsidR="00000000" w:rsidDel="00000000" w:rsidP="00000000" w:rsidRDefault="00000000" w:rsidRPr="00000000" w14:paraId="000000BB">
          <w:pPr>
            <w:ind w:left="35" w:hanging="35"/>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vAlign w:val="center"/>
        </w:tcPr>
        <w:p w:rsidR="00000000" w:rsidDel="00000000" w:rsidP="00000000" w:rsidRDefault="00000000" w:rsidRPr="00000000" w14:paraId="000000BC">
          <w:pPr>
            <w:ind w:left="27" w:right="-533"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XXXXXXX XXXXXX XX</w:t>
          </w:r>
        </w:p>
      </w:tc>
    </w:tr>
    <w:tr>
      <w:trPr>
        <w:cantSplit w:val="0"/>
        <w:trHeight w:val="228" w:hRule="atLeast"/>
        <w:tblHeader w:val="0"/>
      </w:trPr>
      <w:tc>
        <w:tcPr>
          <w:vAlign w:val="center"/>
        </w:tcPr>
        <w:p w:rsidR="00000000" w:rsidDel="00000000" w:rsidP="00000000" w:rsidRDefault="00000000" w:rsidRPr="00000000" w14:paraId="000000BD">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vAlign w:val="center"/>
        </w:tcPr>
        <w:p w:rsidR="00000000" w:rsidDel="00000000" w:rsidP="00000000" w:rsidRDefault="00000000" w:rsidRPr="00000000" w14:paraId="000000BE">
          <w:pPr>
            <w:ind w:right="27"/>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Toluca</w:t>
          </w:r>
        </w:p>
      </w:tc>
    </w:tr>
    <w:tr>
      <w:trPr>
        <w:cantSplit w:val="0"/>
        <w:tblHeader w:val="0"/>
      </w:trPr>
      <w:tc>
        <w:tcPr>
          <w:vAlign w:val="center"/>
        </w:tcPr>
        <w:p w:rsidR="00000000" w:rsidDel="00000000" w:rsidP="00000000" w:rsidRDefault="00000000" w:rsidRPr="00000000" w14:paraId="000000BF">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0C0">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0C1">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2">
    <w:pPr>
      <w:pBdr>
        <w:top w:space="0" w:sz="0" w:val="nil"/>
        <w:left w:space="0" w:sz="0" w:val="nil"/>
        <w:bottom w:space="0" w:sz="0" w:val="nil"/>
        <w:right w:space="0" w:sz="0" w:val="nil"/>
        <w:between w:space="0" w:sz="0" w:val="nil"/>
      </w:pBdr>
      <w:tabs>
        <w:tab w:val="center" w:leader="none" w:pos="4252"/>
        <w:tab w:val="right" w:leader="none" w:pos="8504"/>
      </w:tabs>
      <w:jc w:val="both"/>
      <w:rPr>
        <w:rFonts w:ascii="Calibri" w:cs="Calibri" w:eastAsia="Calibri" w:hAnsi="Calibri"/>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-933449</wp:posOffset>
          </wp:positionH>
          <wp:positionV relativeFrom="paragraph">
            <wp:posOffset>-400684</wp:posOffset>
          </wp:positionV>
          <wp:extent cx="7809876" cy="10165823"/>
          <wp:effectExtent b="0" l="0" r="0" t="0"/>
          <wp:wrapNone/>
          <wp:docPr id="1613343144"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3"/>
      <w:tblW w:w="5528.0" w:type="dxa"/>
      <w:jc w:val="left"/>
      <w:tblInd w:w="3261.0" w:type="dxa"/>
      <w:tblLayout w:type="fixed"/>
      <w:tblLook w:val="0400"/>
    </w:tblPr>
    <w:tblGrid>
      <w:gridCol w:w="2551"/>
      <w:gridCol w:w="2977"/>
      <w:tblGridChange w:id="0">
        <w:tblGrid>
          <w:gridCol w:w="2551"/>
          <w:gridCol w:w="2977"/>
        </w:tblGrid>
      </w:tblGridChange>
    </w:tblGrid>
    <w:tr>
      <w:trPr>
        <w:cantSplit w:val="0"/>
        <w:tblHeader w:val="0"/>
      </w:trPr>
      <w:tc>
        <w:tcPr>
          <w:vAlign w:val="center"/>
        </w:tcPr>
        <w:p w:rsidR="00000000" w:rsidDel="00000000" w:rsidP="00000000" w:rsidRDefault="00000000" w:rsidRPr="00000000" w14:paraId="000000C3">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0C4">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01814/INFOEM/IP/RR/2025</w:t>
          </w:r>
        </w:p>
      </w:tc>
    </w:tr>
    <w:tr>
      <w:trPr>
        <w:cantSplit w:val="0"/>
        <w:trHeight w:val="228" w:hRule="atLeast"/>
        <w:tblHeader w:val="0"/>
      </w:trPr>
      <w:tc>
        <w:tcPr>
          <w:vAlign w:val="center"/>
        </w:tcPr>
        <w:p w:rsidR="00000000" w:rsidDel="00000000" w:rsidP="00000000" w:rsidRDefault="00000000" w:rsidRPr="00000000" w14:paraId="000000C5">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vAlign w:val="center"/>
        </w:tcPr>
        <w:p w:rsidR="00000000" w:rsidDel="00000000" w:rsidP="00000000" w:rsidRDefault="00000000" w:rsidRPr="00000000" w14:paraId="000000C6">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Toluca</w:t>
          </w:r>
        </w:p>
      </w:tc>
    </w:tr>
    <w:tr>
      <w:trPr>
        <w:cantSplit w:val="0"/>
        <w:tblHeader w:val="0"/>
      </w:trPr>
      <w:tc>
        <w:tcPr>
          <w:vAlign w:val="center"/>
        </w:tcPr>
        <w:p w:rsidR="00000000" w:rsidDel="00000000" w:rsidP="00000000" w:rsidRDefault="00000000" w:rsidRPr="00000000" w14:paraId="000000C7">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0C8">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0C9">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Roman"/>
      <w:lvlText w:val="%1."/>
      <w:lvlJc w:val="right"/>
      <w:pPr>
        <w:ind w:left="1077" w:hanging="360"/>
      </w:pPr>
      <w:rPr/>
    </w:lvl>
    <w:lvl w:ilvl="1">
      <w:start w:val="1"/>
      <w:numFmt w:val="decimal"/>
      <w:lvlText w:val="%2."/>
      <w:lvlJc w:val="left"/>
      <w:pPr>
        <w:ind w:left="1797" w:hanging="360"/>
      </w:pPr>
      <w:rPr/>
    </w:lvl>
    <w:lvl w:ilvl="2">
      <w:start w:val="1"/>
      <w:numFmt w:val="lowerRoman"/>
      <w:lvlText w:val="%3."/>
      <w:lvlJc w:val="right"/>
      <w:pPr>
        <w:ind w:left="2517" w:hanging="180"/>
      </w:pPr>
      <w:rPr/>
    </w:lvl>
    <w:lvl w:ilvl="3">
      <w:start w:val="1"/>
      <w:numFmt w:val="decimal"/>
      <w:lvlText w:val="%4."/>
      <w:lvlJc w:val="left"/>
      <w:pPr>
        <w:ind w:left="3237" w:hanging="360"/>
      </w:pPr>
      <w:rPr/>
    </w:lvl>
    <w:lvl w:ilvl="4">
      <w:start w:val="1"/>
      <w:numFmt w:val="lowerLetter"/>
      <w:lvlText w:val="%5."/>
      <w:lvlJc w:val="left"/>
      <w:pPr>
        <w:ind w:left="3957" w:hanging="360"/>
      </w:pPr>
      <w:rPr/>
    </w:lvl>
    <w:lvl w:ilvl="5">
      <w:start w:val="1"/>
      <w:numFmt w:val="lowerRoman"/>
      <w:lvlText w:val="%6."/>
      <w:lvlJc w:val="right"/>
      <w:pPr>
        <w:ind w:left="4677" w:hanging="180"/>
      </w:pPr>
      <w:rPr/>
    </w:lvl>
    <w:lvl w:ilvl="6">
      <w:start w:val="1"/>
      <w:numFmt w:val="decimal"/>
      <w:lvlText w:val="%7."/>
      <w:lvlJc w:val="left"/>
      <w:pPr>
        <w:ind w:left="5397" w:hanging="360"/>
      </w:pPr>
      <w:rPr/>
    </w:lvl>
    <w:lvl w:ilvl="7">
      <w:start w:val="1"/>
      <w:numFmt w:val="lowerLetter"/>
      <w:lvlText w:val="%8."/>
      <w:lvlJc w:val="left"/>
      <w:pPr>
        <w:ind w:left="6117" w:hanging="360"/>
      </w:pPr>
      <w:rPr/>
    </w:lvl>
    <w:lvl w:ilvl="8">
      <w:start w:val="1"/>
      <w:numFmt w:val="lowerRoman"/>
      <w:lvlText w:val="%9."/>
      <w:lvlJc w:val="right"/>
      <w:pPr>
        <w:ind w:left="6837" w:hanging="180"/>
      </w:pPr>
      <w:rPr/>
    </w:lvl>
  </w:abstractNum>
  <w:abstractNum w:abstractNumId="2">
    <w:lvl w:ilvl="0">
      <w:start w:val="1"/>
      <w:numFmt w:val="decimal"/>
      <w:lvlText w:val="%1."/>
      <w:lvlJc w:val="left"/>
      <w:pPr>
        <w:ind w:left="720" w:hanging="360"/>
      </w:pPr>
      <w:rPr>
        <w:b w:val="1"/>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rPr>
      <w:b w:val="1"/>
      <w:sz w:val="27"/>
      <w:szCs w:val="27"/>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5E2631"/>
    <w:rPr>
      <w:lang w:eastAsia="es-ES"/>
    </w:rPr>
  </w:style>
  <w:style w:type="paragraph" w:styleId="Ttulo1">
    <w:name w:val="heading 1"/>
    <w:basedOn w:val="Normal"/>
    <w:next w:val="Normal"/>
    <w:pPr>
      <w:keepNext w:val="1"/>
      <w:keepLines w:val="1"/>
      <w:spacing w:after="120" w:before="480"/>
      <w:outlineLvl w:val="0"/>
    </w:pPr>
    <w:rPr>
      <w:b w:val="1"/>
      <w:sz w:val="48"/>
      <w:szCs w:val="48"/>
    </w:rPr>
  </w:style>
  <w:style w:type="paragraph" w:styleId="Ttulo2">
    <w:name w:val="heading 2"/>
    <w:basedOn w:val="Normal"/>
    <w:next w:val="Normal"/>
    <w:pPr>
      <w:keepNext w:val="1"/>
      <w:keepLines w:val="1"/>
      <w:spacing w:after="80" w:before="360"/>
      <w:outlineLvl w:val="1"/>
    </w:pPr>
    <w:rPr>
      <w:b w:val="1"/>
      <w:sz w:val="36"/>
      <w:szCs w:val="36"/>
    </w:rPr>
  </w:style>
  <w:style w:type="paragraph" w:styleId="Ttulo3">
    <w:name w:val="heading 3"/>
    <w:basedOn w:val="Normal"/>
    <w:link w:val="Ttulo3Car"/>
    <w:uiPriority w:val="9"/>
    <w:qFormat w:val="1"/>
    <w:rsid w:val="002D2EAC"/>
    <w:pPr>
      <w:spacing w:after="100" w:afterAutospacing="1" w:before="100" w:beforeAutospacing="1"/>
      <w:outlineLvl w:val="2"/>
    </w:pPr>
    <w:rPr>
      <w:b w:val="1"/>
      <w:bCs w:val="1"/>
      <w:sz w:val="27"/>
      <w:szCs w:val="27"/>
      <w:lang w:eastAsia="es-MX" w:val="es-MX"/>
    </w:rPr>
  </w:style>
  <w:style w:type="paragraph" w:styleId="Ttulo4">
    <w:name w:val="heading 4"/>
    <w:basedOn w:val="Normal"/>
    <w:next w:val="Normal"/>
    <w:pPr>
      <w:keepNext w:val="1"/>
      <w:keepLines w:val="1"/>
      <w:spacing w:after="40" w:before="240"/>
      <w:outlineLvl w:val="3"/>
    </w:pPr>
    <w:rPr>
      <w:b w:val="1"/>
    </w:rPr>
  </w:style>
  <w:style w:type="paragraph" w:styleId="Ttulo5">
    <w:name w:val="heading 5"/>
    <w:basedOn w:val="Normal"/>
    <w:next w:val="Normal"/>
    <w:pPr>
      <w:keepNext w:val="1"/>
      <w:keepLines w:val="1"/>
      <w:spacing w:after="40" w:before="220"/>
      <w:outlineLvl w:val="4"/>
    </w:pPr>
    <w:rPr>
      <w:b w:val="1"/>
      <w:sz w:val="22"/>
      <w:szCs w:val="22"/>
    </w:rPr>
  </w:style>
  <w:style w:type="paragraph" w:styleId="Ttulo6">
    <w:name w:val="heading 6"/>
    <w:basedOn w:val="Normal"/>
    <w:next w:val="Normal"/>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AC3C64"/>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AC3C64"/>
    <w:rPr>
      <w:rFonts w:eastAsiaTheme="minorEastAsia"/>
      <w:sz w:val="24"/>
      <w:szCs w:val="24"/>
      <w:lang w:eastAsia="es-ES" w:val="es-ES_tradnl"/>
    </w:rPr>
  </w:style>
  <w:style w:type="paragraph" w:styleId="Piedepgina">
    <w:name w:val="footer"/>
    <w:basedOn w:val="Normal"/>
    <w:link w:val="PiedepginaCar"/>
    <w:uiPriority w:val="99"/>
    <w:unhideWhenUsed w:val="1"/>
    <w:rsid w:val="00AC3C64"/>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AC3C64"/>
    <w:rPr>
      <w:rFonts w:eastAsiaTheme="minorEastAsia"/>
      <w:sz w:val="24"/>
      <w:szCs w:val="24"/>
      <w:lang w:eastAsia="es-ES" w:val="es-ES_tradnl"/>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AC3C64"/>
    <w:rPr>
      <w:rFonts w:ascii="Times New Roman" w:cs="Times New Roman" w:eastAsia="Times New Roman" w:hAnsi="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AC3C64"/>
    <w:pPr>
      <w:ind w:left="708"/>
    </w:pPr>
    <w:rPr>
      <w:sz w:val="22"/>
      <w:szCs w:val="22"/>
      <w:lang w:eastAsia="en-US"/>
    </w:rPr>
  </w:style>
  <w:style w:type="table" w:styleId="Tablaconcuadrcula">
    <w:name w:val="Table Grid"/>
    <w:basedOn w:val="Tablanormal"/>
    <w:uiPriority w:val="39"/>
    <w:rsid w:val="00AC3C64"/>
    <w:rPr>
      <w:rFonts w:eastAsiaTheme="minorEastAsia"/>
      <w:lang w:eastAsia="es-ES" w:val="es-ES_tradnl"/>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ormaltextrun" w:customStyle="1">
    <w:name w:val="normaltextrun"/>
    <w:basedOn w:val="Fuentedeprrafopredeter"/>
    <w:rsid w:val="00AC3C64"/>
  </w:style>
  <w:style w:type="character" w:styleId="apple-converted-space" w:customStyle="1">
    <w:name w:val="apple-converted-space"/>
    <w:basedOn w:val="Fuentedeprrafopredeter"/>
    <w:rsid w:val="00AC3C64"/>
  </w:style>
  <w:style w:type="paragraph" w:styleId="paragraph" w:customStyle="1">
    <w:name w:val="paragraph"/>
    <w:basedOn w:val="Normal"/>
    <w:rsid w:val="00AC3C64"/>
    <w:pPr>
      <w:spacing w:after="100" w:afterAutospacing="1" w:before="100" w:beforeAutospacing="1"/>
    </w:pPr>
    <w:rPr>
      <w:lang w:eastAsia="es-MX" w:val="es-MX"/>
    </w:rPr>
  </w:style>
  <w:style w:type="character" w:styleId="eop" w:customStyle="1">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AC3C64"/>
    <w:rPr>
      <w:rFonts w:asciiTheme="minorHAnsi" w:cstheme="minorBidi" w:eastAsiaTheme="minorHAnsi" w:hAnsiTheme="minorHAnsi"/>
      <w:sz w:val="20"/>
      <w:szCs w:val="20"/>
      <w:lang w:eastAsia="en-US" w:val="es-MX"/>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val="1"/>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val="1"/>
    <w:qFormat w:val="1"/>
    <w:rsid w:val="00AC3C64"/>
    <w:rPr>
      <w:vertAlign w:val="superscript"/>
    </w:rPr>
  </w:style>
  <w:style w:type="character" w:styleId="Hipervnculo">
    <w:name w:val="Hyperlink"/>
    <w:basedOn w:val="Fuentedeprrafopredeter"/>
    <w:uiPriority w:val="99"/>
    <w:unhideWhenUsed w:val="1"/>
    <w:rsid w:val="00AC3C64"/>
    <w:rPr>
      <w:color w:val="0563c1" w:themeColor="hyperlink"/>
      <w:u w:val="single"/>
    </w:rPr>
  </w:style>
  <w:style w:type="paragraph" w:styleId="NormalWeb">
    <w:name w:val="Normal (Web)"/>
    <w:basedOn w:val="Normal"/>
    <w:uiPriority w:val="99"/>
    <w:unhideWhenUsed w:val="1"/>
    <w:rsid w:val="00AC3C64"/>
    <w:pPr>
      <w:spacing w:after="100" w:afterAutospacing="1" w:before="100" w:beforeAutospacing="1"/>
    </w:pPr>
    <w:rPr>
      <w:lang w:eastAsia="es-MX" w:val="es-MX"/>
    </w:rPr>
  </w:style>
  <w:style w:type="character" w:styleId="Ttulo3Car" w:customStyle="1">
    <w:name w:val="Título 3 Car"/>
    <w:basedOn w:val="Fuentedeprrafopredeter"/>
    <w:link w:val="Ttulo3"/>
    <w:uiPriority w:val="9"/>
    <w:rsid w:val="002D2EAC"/>
    <w:rPr>
      <w:rFonts w:ascii="Times New Roman" w:cs="Times New Roman" w:eastAsia="Times New Roman" w:hAnsi="Times New Roman"/>
      <w:b w:val="1"/>
      <w:bCs w:val="1"/>
      <w:sz w:val="27"/>
      <w:szCs w:val="27"/>
      <w:lang w:eastAsia="es-MX"/>
    </w:rPr>
  </w:style>
  <w:style w:type="character" w:styleId="titulorubro" w:customStyle="1">
    <w:name w:val="titulorubro"/>
    <w:basedOn w:val="Fuentedeprrafopredeter"/>
    <w:rsid w:val="002D2EAC"/>
  </w:style>
  <w:style w:type="paragraph" w:styleId="Textoindependiente">
    <w:name w:val="Body Text"/>
    <w:basedOn w:val="Normal"/>
    <w:link w:val="TextoindependienteCar"/>
    <w:uiPriority w:val="1"/>
    <w:qFormat w:val="1"/>
    <w:rsid w:val="006F3C93"/>
    <w:pPr>
      <w:autoSpaceDE w:val="0"/>
      <w:autoSpaceDN w:val="0"/>
      <w:adjustRightInd w:val="0"/>
      <w:ind w:left="93"/>
    </w:pPr>
    <w:rPr>
      <w:rFonts w:eastAsiaTheme="minorHAnsi"/>
      <w:sz w:val="23"/>
      <w:szCs w:val="23"/>
      <w:lang w:eastAsia="en-US" w:val="es-MX"/>
    </w:rPr>
  </w:style>
  <w:style w:type="character" w:styleId="TextoindependienteCar" w:customStyle="1">
    <w:name w:val="Texto independiente Car"/>
    <w:basedOn w:val="Fuentedeprrafopredeter"/>
    <w:link w:val="Textoindependiente"/>
    <w:uiPriority w:val="1"/>
    <w:rsid w:val="006F3C93"/>
    <w:rPr>
      <w:rFonts w:ascii="Times New Roman" w:cs="Times New Roman" w:hAnsi="Times New Roman"/>
      <w:sz w:val="23"/>
      <w:szCs w:val="23"/>
    </w:rPr>
  </w:style>
  <w:style w:type="paragraph" w:styleId="Textodeglobo">
    <w:name w:val="Balloon Text"/>
    <w:basedOn w:val="Normal"/>
    <w:link w:val="TextodegloboCar"/>
    <w:uiPriority w:val="99"/>
    <w:semiHidden w:val="1"/>
    <w:unhideWhenUsed w:val="1"/>
    <w:rsid w:val="00A037B6"/>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A037B6"/>
    <w:rPr>
      <w:rFonts w:ascii="Segoe UI" w:cs="Segoe UI" w:eastAsia="Times New Roman" w:hAnsi="Segoe UI"/>
      <w:sz w:val="18"/>
      <w:szCs w:val="18"/>
      <w:lang w:eastAsia="es-ES" w:val="es-ES"/>
    </w:rPr>
  </w:style>
  <w:style w:type="paragraph" w:styleId="Pa1" w:customStyle="1">
    <w:name w:val="Pa1"/>
    <w:basedOn w:val="Normal"/>
    <w:next w:val="Normal"/>
    <w:uiPriority w:val="99"/>
    <w:rsid w:val="0074718F"/>
    <w:pPr>
      <w:autoSpaceDE w:val="0"/>
      <w:autoSpaceDN w:val="0"/>
      <w:adjustRightInd w:val="0"/>
      <w:spacing w:line="191" w:lineRule="atLeast"/>
    </w:pPr>
    <w:rPr>
      <w:rFonts w:ascii="Helvetica" w:cs="Helvetica" w:hAnsi="Helvetica" w:eastAsiaTheme="minorHAnsi"/>
      <w:lang w:eastAsia="en-US" w:val="es-MX"/>
    </w:rPr>
  </w:style>
  <w:style w:type="paragraph" w:styleId="Pa2" w:customStyle="1">
    <w:name w:val="Pa2"/>
    <w:basedOn w:val="Normal"/>
    <w:next w:val="Normal"/>
    <w:uiPriority w:val="99"/>
    <w:rsid w:val="0074718F"/>
    <w:pPr>
      <w:autoSpaceDE w:val="0"/>
      <w:autoSpaceDN w:val="0"/>
      <w:adjustRightInd w:val="0"/>
      <w:spacing w:line="191" w:lineRule="atLeast"/>
    </w:pPr>
    <w:rPr>
      <w:rFonts w:ascii="Helvetica" w:cs="Helvetica" w:hAnsi="Helvetica" w:eastAsiaTheme="minorHAnsi"/>
      <w:lang w:eastAsia="en-US" w:val="es-MX"/>
    </w:rPr>
  </w:style>
  <w:style w:type="paragraph" w:styleId="Pa3" w:customStyle="1">
    <w:name w:val="Pa3"/>
    <w:basedOn w:val="Normal"/>
    <w:next w:val="Normal"/>
    <w:uiPriority w:val="99"/>
    <w:rsid w:val="0074718F"/>
    <w:pPr>
      <w:autoSpaceDE w:val="0"/>
      <w:autoSpaceDN w:val="0"/>
      <w:adjustRightInd w:val="0"/>
      <w:spacing w:line="191" w:lineRule="atLeast"/>
    </w:pPr>
    <w:rPr>
      <w:rFonts w:ascii="Helvetica" w:cs="Helvetica" w:hAnsi="Helvetica" w:eastAsiaTheme="minorHAnsi"/>
      <w:lang w:eastAsia="en-US" w:val="es-MX"/>
    </w:rPr>
  </w:style>
  <w:style w:type="paragraph" w:styleId="Sinespaciado">
    <w:name w:val="No Spacing"/>
    <w:aliases w:val="Francesa,INAI"/>
    <w:link w:val="SinespaciadoCar"/>
    <w:uiPriority w:val="1"/>
    <w:qFormat w:val="1"/>
    <w:rsid w:val="00CE2CFE"/>
  </w:style>
  <w:style w:type="character" w:styleId="SinespaciadoCar" w:customStyle="1">
    <w:name w:val="Sin espaciado Car"/>
    <w:aliases w:val="Francesa Car,INAI Car"/>
    <w:link w:val="Sinespaciado"/>
    <w:uiPriority w:val="1"/>
    <w:locked w:val="1"/>
    <w:rsid w:val="00CE2CFE"/>
  </w:style>
  <w:style w:type="table" w:styleId="Tabladelista1clara-nfasis1">
    <w:name w:val="List Table 1 Light Accent 1"/>
    <w:basedOn w:val="Tablanormal"/>
    <w:uiPriority w:val="46"/>
    <w:rsid w:val="00D30935"/>
    <w:rPr>
      <w:rFonts w:eastAsiaTheme="minorEastAsia"/>
      <w:lang w:eastAsia="es-ES" w:val="es-ES_tradnl"/>
    </w:rPr>
    <w:tblPr>
      <w:tblStyleRowBandSize w:val="1"/>
      <w:tblStyleColBandSize w:val="1"/>
    </w:tblPr>
    <w:tblStylePr w:type="firstRow">
      <w:rPr>
        <w:b w:val="1"/>
        <w:bCs w:val="1"/>
      </w:rPr>
      <w:tblPr/>
      <w:tcPr>
        <w:tcBorders>
          <w:bottom w:color="9cc2e5" w:space="0" w:sz="4" w:themeColor="accent1" w:themeTint="000099" w:val="single"/>
        </w:tcBorders>
      </w:tcPr>
    </w:tblStylePr>
    <w:tblStylePr w:type="lastRow">
      <w:rPr>
        <w:b w:val="1"/>
        <w:bCs w:val="1"/>
      </w:rPr>
      <w:tblPr/>
      <w:tcPr>
        <w:tcBorders>
          <w:top w:color="9cc2e5"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deeaf6" w:themeFill="accent1" w:themeFillTint="000033" w:val="clear"/>
      </w:tcPr>
    </w:tblStylePr>
    <w:tblStylePr w:type="band1Horz">
      <w:tblPr/>
      <w:tcPr>
        <w:shd w:color="auto" w:fill="deeaf6" w:themeFill="accent1" w:themeFillTint="000033" w:val="clear"/>
      </w:tcPr>
    </w:tblStyle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4"/>
    <w:tblPr>
      <w:tblStyleRowBandSize w:val="1"/>
      <w:tblStyleColBandSize w:val="1"/>
      <w:tblCellMar>
        <w:left w:w="108.0" w:type="dxa"/>
        <w:right w:w="108.0" w:type="dxa"/>
      </w:tblCellMar>
    </w:tblPr>
  </w:style>
  <w:style w:type="table" w:styleId="a0" w:customStyle="1">
    <w:basedOn w:val="TableNormal4"/>
    <w:tblPr>
      <w:tblStyleRowBandSize w:val="1"/>
      <w:tblStyleColBandSize w:val="1"/>
      <w:tblCellMar>
        <w:left w:w="115.0" w:type="dxa"/>
        <w:right w:w="115.0" w:type="dxa"/>
      </w:tblCellMar>
    </w:tblPr>
  </w:style>
  <w:style w:type="table" w:styleId="a1" w:customStyle="1">
    <w:basedOn w:val="TableNormal4"/>
    <w:tblPr>
      <w:tblStyleRowBandSize w:val="1"/>
      <w:tblStyleColBandSize w:val="1"/>
      <w:tblCellMar>
        <w:left w:w="115.0" w:type="dxa"/>
        <w:right w:w="115.0" w:type="dxa"/>
      </w:tblCellMar>
    </w:tblPr>
  </w:style>
  <w:style w:type="character" w:styleId="Hipervnculovisitado">
    <w:name w:val="FollowedHyperlink"/>
    <w:basedOn w:val="Fuentedeprrafopredeter"/>
    <w:uiPriority w:val="99"/>
    <w:semiHidden w:val="1"/>
    <w:unhideWhenUsed w:val="1"/>
    <w:rsid w:val="00B93218"/>
    <w:rPr>
      <w:color w:val="954f72" w:themeColor="followedHyperlink"/>
      <w:u w:val="single"/>
    </w:rPr>
  </w:style>
  <w:style w:type="table" w:styleId="a2" w:customStyle="1">
    <w:basedOn w:val="TableNormal4"/>
    <w:tblPr>
      <w:tblStyleRowBandSize w:val="1"/>
      <w:tblStyleColBandSize w:val="1"/>
      <w:tblCellMar>
        <w:left w:w="108.0" w:type="dxa"/>
        <w:right w:w="108.0" w:type="dxa"/>
      </w:tblCellMar>
    </w:tblPr>
  </w:style>
  <w:style w:type="table" w:styleId="a3" w:customStyle="1">
    <w:basedOn w:val="TableNormal4"/>
    <w:tblPr>
      <w:tblStyleRowBandSize w:val="1"/>
      <w:tblStyleColBandSize w:val="1"/>
      <w:tblCellMar>
        <w:left w:w="108.0" w:type="dxa"/>
        <w:right w:w="108.0" w:type="dxa"/>
      </w:tblCellMar>
    </w:tblPr>
  </w:style>
  <w:style w:type="table" w:styleId="a4" w:customStyle="1">
    <w:basedOn w:val="TableNormal4"/>
    <w:tblPr>
      <w:tblStyleRowBandSize w:val="1"/>
      <w:tblStyleColBandSize w:val="1"/>
      <w:tblCellMar>
        <w:left w:w="108.0" w:type="dxa"/>
        <w:right w:w="108.0" w:type="dxa"/>
      </w:tblCellMar>
    </w:tblPr>
  </w:style>
  <w:style w:type="table" w:styleId="a5" w:customStyle="1">
    <w:basedOn w:val="TableNormal4"/>
    <w:tblPr>
      <w:tblStyleRowBandSize w:val="1"/>
      <w:tblStyleColBandSize w:val="1"/>
      <w:tblCellMar>
        <w:left w:w="108.0" w:type="dxa"/>
        <w:right w:w="108.0" w:type="dxa"/>
      </w:tblCellMar>
    </w:tblPr>
  </w:style>
  <w:style w:type="table" w:styleId="a6" w:customStyle="1">
    <w:basedOn w:val="TableNormal4"/>
    <w:tblPr>
      <w:tblStyleRowBandSize w:val="1"/>
      <w:tblStyleColBandSize w:val="1"/>
      <w:tblCellMar>
        <w:left w:w="108.0" w:type="dxa"/>
        <w:right w:w="108.0" w:type="dxa"/>
      </w:tblCellMar>
    </w:tblPr>
  </w:style>
  <w:style w:type="table" w:styleId="a7" w:customStyle="1">
    <w:basedOn w:val="TableNormal4"/>
    <w:tblPr>
      <w:tblStyleRowBandSize w:val="1"/>
      <w:tblStyleColBandSize w:val="1"/>
      <w:tblCellMar>
        <w:left w:w="108.0" w:type="dxa"/>
        <w:right w:w="108.0" w:type="dxa"/>
      </w:tblCellMar>
    </w:tblPr>
  </w:style>
  <w:style w:type="table" w:styleId="a8" w:customStyle="1">
    <w:basedOn w:val="TableNormal4"/>
    <w:tblPr>
      <w:tblStyleRowBandSize w:val="1"/>
      <w:tblStyleColBandSize w:val="1"/>
      <w:tblCellMar>
        <w:left w:w="108.0" w:type="dxa"/>
        <w:right w:w="108.0" w:type="dxa"/>
      </w:tblCellMar>
    </w:tblPr>
  </w:style>
  <w:style w:type="table" w:styleId="a9" w:customStyle="1">
    <w:basedOn w:val="TableNormal4"/>
    <w:tblPr>
      <w:tblStyleRowBandSize w:val="1"/>
      <w:tblStyleColBandSize w:val="1"/>
      <w:tblCellMar>
        <w:left w:w="115.0" w:type="dxa"/>
        <w:right w:w="115.0" w:type="dxa"/>
      </w:tblCellMar>
    </w:tblPr>
  </w:style>
  <w:style w:type="table" w:styleId="aa" w:customStyle="1">
    <w:basedOn w:val="TableNormal4"/>
    <w:tblPr>
      <w:tblStyleRowBandSize w:val="1"/>
      <w:tblStyleColBandSize w:val="1"/>
      <w:tblCellMar>
        <w:left w:w="115.0" w:type="dxa"/>
        <w:right w:w="115.0" w:type="dxa"/>
      </w:tblCellMar>
    </w:tblPr>
  </w:style>
  <w:style w:type="table" w:styleId="ab" w:customStyle="1">
    <w:basedOn w:val="TableNormal4"/>
    <w:tblPr>
      <w:tblStyleRowBandSize w:val="1"/>
      <w:tblStyleColBandSize w:val="1"/>
      <w:tblCellMar>
        <w:left w:w="115.0" w:type="dxa"/>
        <w:right w:w="115.0" w:type="dxa"/>
      </w:tblCellMar>
    </w:tblPr>
  </w:style>
  <w:style w:type="table" w:styleId="ac" w:customStyle="1">
    <w:basedOn w:val="TableNormal3"/>
    <w:tblPr>
      <w:tblStyleRowBandSize w:val="1"/>
      <w:tblStyleColBandSize w:val="1"/>
      <w:tblCellMar>
        <w:left w:w="115.0" w:type="dxa"/>
        <w:right w:w="115.0" w:type="dxa"/>
      </w:tblCellMar>
    </w:tblPr>
  </w:style>
  <w:style w:type="table" w:styleId="ad" w:customStyle="1">
    <w:basedOn w:val="TableNormal3"/>
    <w:tblPr>
      <w:tblStyleRowBandSize w:val="1"/>
      <w:tblStyleColBandSize w:val="1"/>
      <w:tblCellMar>
        <w:left w:w="115.0" w:type="dxa"/>
        <w:right w:w="115.0" w:type="dxa"/>
      </w:tblCellMar>
    </w:tblPr>
  </w:style>
  <w:style w:type="table" w:styleId="ae" w:customStyle="1">
    <w:basedOn w:val="TableNormal3"/>
    <w:tblPr>
      <w:tblStyleRowBandSize w:val="1"/>
      <w:tblStyleColBandSize w:val="1"/>
      <w:tblCellMar>
        <w:left w:w="115.0" w:type="dxa"/>
        <w:right w:w="115.0" w:type="dxa"/>
      </w:tblCellMar>
    </w:tblPr>
  </w:style>
  <w:style w:type="character" w:styleId="Textoennegrita">
    <w:name w:val="Strong"/>
    <w:uiPriority w:val="22"/>
    <w:qFormat w:val="1"/>
    <w:rsid w:val="002B3D0A"/>
    <w:rPr>
      <w:b w:val="1"/>
      <w:bCs w:val="1"/>
    </w:rPr>
  </w:style>
  <w:style w:type="paragraph" w:styleId="Texto" w:customStyle="1">
    <w:name w:val="Texto"/>
    <w:basedOn w:val="Normal"/>
    <w:link w:val="TextoCar"/>
    <w:qFormat w:val="1"/>
    <w:rsid w:val="002B3D0A"/>
    <w:pPr>
      <w:spacing w:after="101" w:line="216" w:lineRule="exact"/>
      <w:ind w:firstLine="288"/>
      <w:jc w:val="both"/>
    </w:pPr>
    <w:rPr>
      <w:rFonts w:ascii="Arial" w:cs="Arial" w:hAnsi="Arial"/>
      <w:sz w:val="18"/>
      <w:szCs w:val="18"/>
      <w:lang w:val="es-MX"/>
    </w:rPr>
  </w:style>
  <w:style w:type="character" w:styleId="apple-style-span" w:customStyle="1">
    <w:name w:val="apple-style-span"/>
    <w:qFormat w:val="1"/>
    <w:rsid w:val="002B3D0A"/>
  </w:style>
  <w:style w:type="character" w:styleId="TextoCar" w:customStyle="1">
    <w:name w:val="Texto Car"/>
    <w:link w:val="Texto"/>
    <w:locked w:val="1"/>
    <w:rsid w:val="002B3D0A"/>
    <w:rPr>
      <w:rFonts w:ascii="Arial" w:cs="Arial" w:hAnsi="Arial"/>
      <w:sz w:val="18"/>
      <w:szCs w:val="18"/>
      <w:lang w:eastAsia="es-ES" w:val="es-MX"/>
    </w:rPr>
  </w:style>
  <w:style w:type="paragraph" w:styleId="Citas" w:customStyle="1">
    <w:name w:val="Citas"/>
    <w:basedOn w:val="Normal"/>
    <w:qFormat w:val="1"/>
    <w:rsid w:val="009D3D69"/>
    <w:pPr>
      <w:spacing w:after="160" w:before="240" w:line="360" w:lineRule="auto"/>
      <w:ind w:left="851" w:right="851"/>
      <w:jc w:val="both"/>
    </w:pPr>
    <w:rPr>
      <w:rFonts w:ascii="Palatino Linotype" w:cs="Arial" w:hAnsi="Palatino Linotype" w:eastAsiaTheme="minorHAnsi"/>
      <w:i w:val="1"/>
      <w:sz w:val="22"/>
      <w:szCs w:val="22"/>
      <w:lang w:eastAsia="en-US" w:val="es-MX"/>
    </w:rPr>
  </w:style>
  <w:style w:type="paragraph" w:styleId="Listaconvietas3">
    <w:name w:val="List Bullet 3"/>
    <w:basedOn w:val="Normal"/>
    <w:uiPriority w:val="99"/>
    <w:unhideWhenUsed w:val="1"/>
    <w:rsid w:val="009E0405"/>
    <w:pPr>
      <w:numPr>
        <w:numId w:val="6"/>
      </w:numPr>
      <w:contextualSpacing w:val="1"/>
    </w:pPr>
    <w:rPr>
      <w:lang w:eastAsia="es-MX" w:val="es-MX"/>
    </w:rPr>
  </w:style>
  <w:style w:type="paragraph" w:styleId="Listaconvietas">
    <w:name w:val="List Bullet"/>
    <w:basedOn w:val="Normal"/>
    <w:uiPriority w:val="99"/>
    <w:unhideWhenUsed w:val="1"/>
    <w:rsid w:val="00E6231A"/>
    <w:pPr>
      <w:tabs>
        <w:tab w:val="num" w:pos="720"/>
      </w:tabs>
      <w:ind w:left="720" w:hanging="720"/>
      <w:contextualSpacing w:val="1"/>
    </w:pPr>
    <w:rPr>
      <w:lang w:eastAsia="es-MX" w:val="es-MX"/>
    </w:rPr>
  </w:style>
  <w:style w:type="character" w:styleId="Mencinsinresolver1" w:customStyle="1">
    <w:name w:val="Mención sin resolver1"/>
    <w:basedOn w:val="Fuentedeprrafopredeter"/>
    <w:uiPriority w:val="99"/>
    <w:semiHidden w:val="1"/>
    <w:unhideWhenUsed w:val="1"/>
    <w:rsid w:val="00582A33"/>
    <w:rPr>
      <w:color w:val="605e5c"/>
      <w:shd w:color="auto" w:fill="e1dfdd" w:val="clear"/>
    </w:rPr>
  </w:style>
  <w:style w:type="table" w:styleId="af" w:customStyle="1">
    <w:basedOn w:val="TableNormal2"/>
    <w:tblPr>
      <w:tblStyleRowBandSize w:val="1"/>
      <w:tblStyleColBandSize w:val="1"/>
      <w:tblCellMar>
        <w:left w:w="115.0" w:type="dxa"/>
        <w:right w:w="115.0" w:type="dxa"/>
      </w:tblCellMar>
    </w:tblPr>
  </w:style>
  <w:style w:type="table" w:styleId="af0" w:customStyle="1">
    <w:basedOn w:val="TableNormal2"/>
    <w:tblPr>
      <w:tblStyleRowBandSize w:val="1"/>
      <w:tblStyleColBandSize w:val="1"/>
      <w:tblCellMar>
        <w:left w:w="115.0" w:type="dxa"/>
        <w:right w:w="115.0" w:type="dxa"/>
      </w:tblCellMar>
    </w:tblPr>
  </w:style>
  <w:style w:type="character" w:styleId="Mencinsinresolver2" w:customStyle="1">
    <w:name w:val="Mención sin resolver2"/>
    <w:basedOn w:val="Fuentedeprrafopredeter"/>
    <w:uiPriority w:val="99"/>
    <w:semiHidden w:val="1"/>
    <w:unhideWhenUsed w:val="1"/>
    <w:rsid w:val="00836A8D"/>
    <w:rPr>
      <w:color w:val="605e5c"/>
      <w:shd w:color="auto" w:fill="e1dfdd" w:val="clear"/>
    </w:rPr>
  </w:style>
  <w:style w:type="table" w:styleId="af1" w:customStyle="1">
    <w:basedOn w:val="TableNormal1"/>
    <w:tblPr>
      <w:tblStyleRowBandSize w:val="1"/>
      <w:tblStyleColBandSize w:val="1"/>
      <w:tblCellMar>
        <w:left w:w="115.0" w:type="dxa"/>
        <w:right w:w="115.0" w:type="dxa"/>
      </w:tblCellMar>
    </w:tblPr>
  </w:style>
  <w:style w:type="table" w:styleId="af2" w:customStyle="1">
    <w:basedOn w:val="TableNormal1"/>
    <w:tblPr>
      <w:tblStyleRowBandSize w:val="1"/>
      <w:tblStyleColBandSize w:val="1"/>
      <w:tblCellMar>
        <w:left w:w="115.0" w:type="dxa"/>
        <w:right w:w="115.0" w:type="dxa"/>
      </w:tblCellMar>
    </w:tblPr>
  </w:style>
  <w:style w:type="table" w:styleId="af3" w:customStyle="1">
    <w:basedOn w:val="TableNormal0"/>
    <w:tblPr>
      <w:tblStyleRowBandSize w:val="1"/>
      <w:tblStyleColBandSize w:val="1"/>
      <w:tblCellMar>
        <w:left w:w="115.0" w:type="dxa"/>
        <w:right w:w="115.0" w:type="dxa"/>
      </w:tblCellMar>
    </w:tblPr>
  </w:style>
  <w:style w:type="table" w:styleId="af4" w:customStyle="1">
    <w:basedOn w:val="TableNormal0"/>
    <w:tblPr>
      <w:tblStyleRowBandSize w:val="1"/>
      <w:tblStyleColBandSize w:val="1"/>
      <w:tblCellMar>
        <w:left w:w="115.0" w:type="dxa"/>
        <w:right w:w="115.0" w:type="dxa"/>
      </w:tblCellMar>
    </w:tblPr>
  </w:style>
  <w:style w:type="character" w:styleId="Mencinsinresolver3" w:customStyle="1">
    <w:name w:val="Mención sin resolver3"/>
    <w:basedOn w:val="Fuentedeprrafopredeter"/>
    <w:uiPriority w:val="99"/>
    <w:semiHidden w:val="1"/>
    <w:unhideWhenUsed w:val="1"/>
    <w:rsid w:val="003848F6"/>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2.png"/><Relationship Id="rId13" Type="http://schemas.openxmlformats.org/officeDocument/2006/relationships/header" Target="header1.xml"/><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iftoluca.gob.mx/Paginas/Transparencia/Transparencia/index.php" TargetMode="External"/><Relationship Id="rId15" Type="http://schemas.openxmlformats.org/officeDocument/2006/relationships/footer" Target="footer1.xml"/><Relationship Id="rId14" Type="http://schemas.openxmlformats.org/officeDocument/2006/relationships/header" Target="header2.xml"/><Relationship Id="rId17" Type="http://schemas.openxmlformats.org/officeDocument/2006/relationships/header" Target="header3.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diftoluca.gob.mx/Paginas/Transparencia/Transparencia/index.php" TargetMode="External"/><Relationship Id="rId8" Type="http://schemas.openxmlformats.org/officeDocument/2006/relationships/hyperlink" Target="https://diftoluca.gob.mx/Paginas/Transparencia/Transparencia/index.php"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M46/JCoyYPDSSij4cOK9gtR1SA==">CgMxLjAyCWguMmV0OTJwMDIJaC4zem55c2g3MghoLmdqZGd4czIJaC4zMGowemxsOAByITFMR1ctZWdQN09DNDd4YjN5M19PdmpMOEExZFJhb1dHTg==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2025-05-07T22:40:00Z</dcterms:created>
  <dc:creator>USER</dc:creator>
</cp:coreProperties>
</file>