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97" w:rsidRDefault="00D25197">
      <w:pPr>
        <w:widowControl w:val="0"/>
        <w:pBdr>
          <w:top w:val="nil"/>
          <w:left w:val="nil"/>
          <w:bottom w:val="nil"/>
          <w:right w:val="nil"/>
          <w:between w:val="nil"/>
        </w:pBdr>
        <w:spacing w:after="0" w:line="276" w:lineRule="auto"/>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quince de enero de dos mil veinticinco.</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 xml:space="preserve">VISTO </w:t>
      </w:r>
      <w:r>
        <w:rPr>
          <w:rFonts w:ascii="Palatino Linotype" w:eastAsia="Palatino Linotype" w:hAnsi="Palatino Linotype" w:cs="Palatino Linotype"/>
        </w:rPr>
        <w:t xml:space="preserve">el expediente conformado con motivo del Recurso de Revisión </w:t>
      </w:r>
      <w:r w:rsidRPr="00833933">
        <w:rPr>
          <w:rFonts w:ascii="Palatino Linotype" w:eastAsia="Palatino Linotype" w:hAnsi="Palatino Linotype" w:cs="Palatino Linotype"/>
          <w:b/>
          <w:color w:val="0D0D0D"/>
        </w:rPr>
        <w:t>07476/INFOEM/IP/RR/2024</w:t>
      </w:r>
      <w:r>
        <w:rPr>
          <w:rFonts w:ascii="Palatino Linotype" w:eastAsia="Palatino Linotype" w:hAnsi="Palatino Linotype" w:cs="Palatino Linotype"/>
        </w:rPr>
        <w:t xml:space="preserve">, interpuesto por </w:t>
      </w:r>
      <w:r w:rsidR="001A2EE7" w:rsidRPr="001A2EE7">
        <w:rPr>
          <w:rFonts w:ascii="Palatino Linotype" w:eastAsia="Palatino Linotype" w:hAnsi="Palatino Linotype" w:cs="Palatino Linotype"/>
          <w:b/>
          <w:highlight w:val="black"/>
        </w:rPr>
        <w:t>XXXXXXXXXXXXXXXXX</w:t>
      </w:r>
      <w:r>
        <w:rPr>
          <w:rFonts w:ascii="Palatino Linotype" w:eastAsia="Palatino Linotype" w:hAnsi="Palatino Linotype" w:cs="Palatino Linotype"/>
        </w:rPr>
        <w:t xml:space="preserve"> en lo sucesivo el Recurrente o Particular, en contra de la respuesta del Sujeto Obligado, </w:t>
      </w:r>
      <w:r w:rsidRPr="00833933">
        <w:rPr>
          <w:rFonts w:ascii="Palatino Linotype" w:eastAsia="Palatino Linotype" w:hAnsi="Palatino Linotype" w:cs="Palatino Linotype"/>
          <w:b/>
          <w:color w:val="000000"/>
        </w:rPr>
        <w:t>Ayuntamiento de Toluca</w:t>
      </w:r>
      <w:r>
        <w:rPr>
          <w:rFonts w:ascii="Palatino Linotype" w:eastAsia="Palatino Linotype" w:hAnsi="Palatino Linotype" w:cs="Palatino Linotype"/>
        </w:rPr>
        <w:t xml:space="preserve">, a la solicitud de acceso a la información pública con número de folio </w:t>
      </w:r>
      <w:r>
        <w:rPr>
          <w:rFonts w:ascii="Palatino Linotype" w:eastAsia="Palatino Linotype" w:hAnsi="Palatino Linotype" w:cs="Palatino Linotype"/>
          <w:color w:val="000000"/>
        </w:rPr>
        <w:t>02680/TOLUCA/IP/2024</w:t>
      </w:r>
      <w:r>
        <w:rPr>
          <w:rFonts w:ascii="Palatino Linotype" w:eastAsia="Palatino Linotype" w:hAnsi="Palatino Linotype" w:cs="Palatino Linotype"/>
        </w:rPr>
        <w:t>, se emite la presente Resolución, con base en los A</w:t>
      </w:r>
      <w:bookmarkStart w:id="0" w:name="_GoBack"/>
      <w:bookmarkEnd w:id="0"/>
      <w:r>
        <w:rPr>
          <w:rFonts w:ascii="Palatino Linotype" w:eastAsia="Palatino Linotype" w:hAnsi="Palatino Linotype" w:cs="Palatino Linotype"/>
        </w:rPr>
        <w:t>ntecedentes y Considerandos que se exponen a continuación:</w:t>
      </w:r>
    </w:p>
    <w:p w:rsidR="00D25197" w:rsidRDefault="00D25197">
      <w:pPr>
        <w:spacing w:after="0" w:line="360" w:lineRule="auto"/>
        <w:ind w:right="-28"/>
        <w:jc w:val="both"/>
        <w:rPr>
          <w:rFonts w:ascii="Palatino Linotype" w:eastAsia="Palatino Linotype" w:hAnsi="Palatino Linotype" w:cs="Palatino Linotype"/>
          <w:b/>
          <w:color w:val="0D0D0D"/>
        </w:rPr>
      </w:pPr>
    </w:p>
    <w:p w:rsidR="00D25197" w:rsidRDefault="00B052BB">
      <w:pPr>
        <w:tabs>
          <w:tab w:val="center" w:pos="4522"/>
          <w:tab w:val="left" w:pos="7245"/>
          <w:tab w:val="right" w:pos="9044"/>
        </w:tabs>
        <w:spacing w:after="0"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rsidR="00D25197" w:rsidRDefault="00D25197">
      <w:pPr>
        <w:tabs>
          <w:tab w:val="center" w:pos="4522"/>
          <w:tab w:val="left" w:pos="7245"/>
          <w:tab w:val="right" w:pos="9044"/>
        </w:tabs>
        <w:spacing w:after="0" w:line="360" w:lineRule="auto"/>
        <w:ind w:right="-28"/>
        <w:rPr>
          <w:rFonts w:ascii="Palatino Linotype" w:eastAsia="Palatino Linotype" w:hAnsi="Palatino Linotype" w:cs="Palatino Linotype"/>
          <w:b/>
        </w:rPr>
      </w:pPr>
    </w:p>
    <w:p w:rsidR="00D25197" w:rsidRDefault="00B052BB">
      <w:pPr>
        <w:pBdr>
          <w:top w:val="nil"/>
          <w:left w:val="nil"/>
          <w:bottom w:val="nil"/>
          <w:right w:val="nil"/>
          <w:between w:val="nil"/>
        </w:pBdr>
        <w:tabs>
          <w:tab w:val="left" w:pos="567"/>
        </w:tabs>
        <w:spacing w:after="0" w:line="360" w:lineRule="auto"/>
        <w:ind w:right="-2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 Presentación de la solicitud de información</w:t>
      </w:r>
    </w:p>
    <w:p w:rsidR="00D25197" w:rsidRDefault="00D25197">
      <w:pPr>
        <w:pBdr>
          <w:top w:val="nil"/>
          <w:left w:val="nil"/>
          <w:bottom w:val="nil"/>
          <w:right w:val="nil"/>
          <w:between w:val="nil"/>
        </w:pBdr>
        <w:tabs>
          <w:tab w:val="left" w:pos="1050"/>
        </w:tabs>
        <w:spacing w:after="0" w:line="360" w:lineRule="auto"/>
        <w:ind w:right="-28"/>
        <w:jc w:val="both"/>
        <w:rPr>
          <w:rFonts w:ascii="Palatino Linotype" w:eastAsia="Palatino Linotype" w:hAnsi="Palatino Linotype" w:cs="Palatino Linotype"/>
          <w:color w:val="000000"/>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veintidós de octubre de dos mil veinticuatro, el Particular presentó una solicitud de acceso a la información pública, a través del Sistema de Acceso a la Información Mexiquense (SAIMEX), ante el </w:t>
      </w:r>
      <w:r>
        <w:rPr>
          <w:rFonts w:ascii="Palatino Linotype" w:eastAsia="Palatino Linotype" w:hAnsi="Palatino Linotype" w:cs="Palatino Linotype"/>
          <w:color w:val="000000"/>
        </w:rPr>
        <w:t>Ayuntamiento de Toluca</w:t>
      </w:r>
      <w:r>
        <w:rPr>
          <w:rFonts w:ascii="Palatino Linotype" w:eastAsia="Palatino Linotype" w:hAnsi="Palatino Linotype" w:cs="Palatino Linotype"/>
          <w:b/>
        </w:rPr>
        <w:t xml:space="preserve">, </w:t>
      </w:r>
      <w:r>
        <w:rPr>
          <w:rFonts w:ascii="Palatino Linotype" w:eastAsia="Palatino Linotype" w:hAnsi="Palatino Linotype" w:cs="Palatino Linotype"/>
        </w:rPr>
        <w:t>mediante la cual requirió lo siguiente:</w:t>
      </w:r>
    </w:p>
    <w:p w:rsidR="00D25197" w:rsidRDefault="00D25197">
      <w:pPr>
        <w:tabs>
          <w:tab w:val="left" w:pos="4667"/>
        </w:tabs>
        <w:spacing w:after="0" w:line="360" w:lineRule="auto"/>
        <w:ind w:right="567"/>
        <w:jc w:val="both"/>
        <w:rPr>
          <w:rFonts w:ascii="Palatino Linotype" w:eastAsia="Palatino Linotype" w:hAnsi="Palatino Linotype" w:cs="Palatino Linotype"/>
          <w:b/>
          <w:i/>
        </w:rPr>
      </w:pPr>
    </w:p>
    <w:p w:rsidR="00D25197" w:rsidRDefault="00B052BB">
      <w:pPr>
        <w:tabs>
          <w:tab w:val="left" w:pos="4667"/>
        </w:tabs>
        <w:spacing w:after="0" w:line="360" w:lineRule="auto"/>
        <w:ind w:left="567" w:right="567"/>
        <w:jc w:val="both"/>
        <w:rPr>
          <w:rFonts w:ascii="Palatino Linotype" w:eastAsia="Palatino Linotype" w:hAnsi="Palatino Linotype" w:cs="Palatino Linotype"/>
          <w:b/>
          <w:i/>
          <w:sz w:val="20"/>
          <w:szCs w:val="20"/>
        </w:rPr>
      </w:pPr>
      <w:bookmarkStart w:id="1" w:name="_heading=h.gjdgxs" w:colFirst="0" w:colLast="0"/>
      <w:bookmarkEnd w:id="1"/>
      <w:r>
        <w:rPr>
          <w:rFonts w:ascii="Palatino Linotype" w:eastAsia="Palatino Linotype" w:hAnsi="Palatino Linotype" w:cs="Palatino Linotype"/>
          <w:b/>
          <w:i/>
          <w:sz w:val="20"/>
          <w:szCs w:val="20"/>
        </w:rPr>
        <w:t>“DESCRIPCIÓN CLARA Y PRECISA DE LA INFORMACIÓN SOLICITADA:</w:t>
      </w:r>
    </w:p>
    <w:p w:rsidR="00D25197" w:rsidRDefault="00B052BB">
      <w:pPr>
        <w:spacing w:after="0" w:line="360" w:lineRule="auto"/>
        <w:ind w:left="567" w:right="567"/>
        <w:jc w:val="both"/>
        <w:rPr>
          <w:rFonts w:ascii="Palatino Linotype" w:eastAsia="Palatino Linotype" w:hAnsi="Palatino Linotype" w:cs="Palatino Linotype"/>
          <w:i/>
          <w:sz w:val="20"/>
          <w:szCs w:val="20"/>
        </w:rPr>
      </w:pPr>
      <w:proofErr w:type="gramStart"/>
      <w:r>
        <w:rPr>
          <w:rFonts w:ascii="Palatino Linotype" w:eastAsia="Palatino Linotype" w:hAnsi="Palatino Linotype" w:cs="Palatino Linotype"/>
          <w:i/>
          <w:color w:val="000000"/>
          <w:sz w:val="20"/>
          <w:szCs w:val="20"/>
        </w:rPr>
        <w:t>por</w:t>
      </w:r>
      <w:proofErr w:type="gramEnd"/>
      <w:r>
        <w:rPr>
          <w:rFonts w:ascii="Palatino Linotype" w:eastAsia="Palatino Linotype" w:hAnsi="Palatino Linotype" w:cs="Palatino Linotype"/>
          <w:i/>
          <w:color w:val="000000"/>
          <w:sz w:val="20"/>
          <w:szCs w:val="20"/>
        </w:rPr>
        <w:t xml:space="preserve"> medio del presente solicitó que me haga entrega de los documentos donde obren los nombres y las actividades de los servidores </w:t>
      </w:r>
      <w:proofErr w:type="spellStart"/>
      <w:r>
        <w:rPr>
          <w:rFonts w:ascii="Palatino Linotype" w:eastAsia="Palatino Linotype" w:hAnsi="Palatino Linotype" w:cs="Palatino Linotype"/>
          <w:i/>
          <w:color w:val="000000"/>
          <w:sz w:val="20"/>
          <w:szCs w:val="20"/>
        </w:rPr>
        <w:t>publicos</w:t>
      </w:r>
      <w:proofErr w:type="spellEnd"/>
      <w:r>
        <w:rPr>
          <w:rFonts w:ascii="Palatino Linotype" w:eastAsia="Palatino Linotype" w:hAnsi="Palatino Linotype" w:cs="Palatino Linotype"/>
          <w:i/>
          <w:color w:val="000000"/>
          <w:sz w:val="20"/>
          <w:szCs w:val="20"/>
        </w:rPr>
        <w:t xml:space="preserve"> que </w:t>
      </w:r>
      <w:proofErr w:type="spellStart"/>
      <w:r>
        <w:rPr>
          <w:rFonts w:ascii="Palatino Linotype" w:eastAsia="Palatino Linotype" w:hAnsi="Palatino Linotype" w:cs="Palatino Linotype"/>
          <w:i/>
          <w:color w:val="000000"/>
          <w:sz w:val="20"/>
          <w:szCs w:val="20"/>
        </w:rPr>
        <w:t>trbajan</w:t>
      </w:r>
      <w:proofErr w:type="spellEnd"/>
      <w:r>
        <w:rPr>
          <w:rFonts w:ascii="Palatino Linotype" w:eastAsia="Palatino Linotype" w:hAnsi="Palatino Linotype" w:cs="Palatino Linotype"/>
          <w:i/>
          <w:color w:val="000000"/>
          <w:sz w:val="20"/>
          <w:szCs w:val="20"/>
        </w:rPr>
        <w:t xml:space="preserve"> en la dirección general de medio ambiente, correspondientes al día 18 de septiembre del 2024 desde su hora de entrada hasta la hora de salida. </w:t>
      </w:r>
      <w:proofErr w:type="gramStart"/>
      <w:r>
        <w:rPr>
          <w:rFonts w:ascii="Palatino Linotype" w:eastAsia="Palatino Linotype" w:hAnsi="Palatino Linotype" w:cs="Palatino Linotype"/>
          <w:i/>
          <w:color w:val="000000"/>
          <w:sz w:val="20"/>
          <w:szCs w:val="20"/>
        </w:rPr>
        <w:t>por</w:t>
      </w:r>
      <w:proofErr w:type="gramEnd"/>
      <w:r>
        <w:rPr>
          <w:rFonts w:ascii="Palatino Linotype" w:eastAsia="Palatino Linotype" w:hAnsi="Palatino Linotype" w:cs="Palatino Linotype"/>
          <w:i/>
          <w:color w:val="000000"/>
          <w:sz w:val="20"/>
          <w:szCs w:val="20"/>
        </w:rPr>
        <w:t xml:space="preserve"> su atención gracias.</w:t>
      </w:r>
      <w:r>
        <w:rPr>
          <w:rFonts w:ascii="Palatino Linotype" w:eastAsia="Palatino Linotype" w:hAnsi="Palatino Linotype" w:cs="Palatino Linotype"/>
          <w:i/>
          <w:sz w:val="20"/>
          <w:szCs w:val="20"/>
        </w:rPr>
        <w:t>” (Sic)</w:t>
      </w:r>
    </w:p>
    <w:p w:rsidR="00D25197" w:rsidRDefault="00D25197">
      <w:pPr>
        <w:tabs>
          <w:tab w:val="left" w:pos="4667"/>
        </w:tabs>
        <w:spacing w:after="0" w:line="360" w:lineRule="auto"/>
        <w:ind w:left="567" w:right="567"/>
        <w:jc w:val="both"/>
        <w:rPr>
          <w:rFonts w:ascii="Palatino Linotype" w:eastAsia="Palatino Linotype" w:hAnsi="Palatino Linotype" w:cs="Palatino Linotype"/>
          <w:i/>
          <w:sz w:val="20"/>
          <w:szCs w:val="20"/>
        </w:rPr>
      </w:pPr>
    </w:p>
    <w:p w:rsidR="00D25197" w:rsidRDefault="00B052BB">
      <w:pPr>
        <w:tabs>
          <w:tab w:val="left" w:pos="4667"/>
        </w:tabs>
        <w:spacing w:after="0"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“Modalidad de Entrega: </w:t>
      </w:r>
    </w:p>
    <w:p w:rsidR="00D25197" w:rsidRDefault="00B052BB">
      <w:pPr>
        <w:tabs>
          <w:tab w:val="left" w:pos="567"/>
        </w:tabs>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lastRenderedPageBreak/>
        <w:t xml:space="preserve"> </w:t>
      </w:r>
      <w:r>
        <w:rPr>
          <w:rFonts w:ascii="Palatino Linotype" w:eastAsia="Palatino Linotype" w:hAnsi="Palatino Linotype" w:cs="Palatino Linotype"/>
          <w:i/>
          <w:sz w:val="20"/>
          <w:szCs w:val="20"/>
        </w:rPr>
        <w:t xml:space="preserve">A través de SAIMEX” </w:t>
      </w:r>
    </w:p>
    <w:p w:rsidR="00D25197" w:rsidRDefault="00B052BB">
      <w:pPr>
        <w:spacing w:after="0" w:line="360" w:lineRule="auto"/>
        <w:rPr>
          <w:rFonts w:ascii="Palatino Linotype" w:eastAsia="Palatino Linotype" w:hAnsi="Palatino Linotype" w:cs="Palatino Linotype"/>
          <w:b/>
        </w:rPr>
      </w:pPr>
      <w:bookmarkStart w:id="2" w:name="_heading=h.30j0zll" w:colFirst="0" w:colLast="0"/>
      <w:bookmarkEnd w:id="2"/>
      <w:r>
        <w:rPr>
          <w:rFonts w:ascii="Palatino Linotype" w:eastAsia="Palatino Linotype" w:hAnsi="Palatino Linotype" w:cs="Palatino Linotype"/>
          <w:b/>
        </w:rPr>
        <w:t>II. Prórroga para la entrega de la información</w:t>
      </w:r>
    </w:p>
    <w:p w:rsidR="00D25197" w:rsidRDefault="00D25197">
      <w:pPr>
        <w:spacing w:after="0" w:line="360" w:lineRule="auto"/>
        <w:rPr>
          <w:rFonts w:ascii="Palatino Linotype" w:eastAsia="Palatino Linotype" w:hAnsi="Palatino Linotype" w:cs="Palatino Linotype"/>
          <w:b/>
        </w:rPr>
      </w:pPr>
    </w:p>
    <w:p w:rsidR="00D25197" w:rsidRDefault="00B052BB">
      <w:p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rPr>
        <w:t>El trece de noviembre del año dos mil veinticuatro, el</w:t>
      </w:r>
      <w:r>
        <w:rPr>
          <w:rFonts w:ascii="Palatino Linotype" w:eastAsia="Palatino Linotype" w:hAnsi="Palatino Linotype" w:cs="Palatino Linotype"/>
          <w:b/>
        </w:rPr>
        <w:t xml:space="preserve"> </w:t>
      </w:r>
      <w:r>
        <w:rPr>
          <w:rFonts w:ascii="Palatino Linotype" w:eastAsia="Palatino Linotype" w:hAnsi="Palatino Linotype" w:cs="Palatino Linotype"/>
        </w:rPr>
        <w:t>Sujeto Obligado a través del SAIMEX notificó al Particular por medio del Acta de la Noningentésima Octava Sesión Extraordinaria del Comité de Transparencia, del once de noviembre de dos mil veinticuatro, por medio de la cual se aprobó la prórroga por siete días hábiles, para dar atención a su solicitud de acceso a la información.</w:t>
      </w:r>
    </w:p>
    <w:p w:rsidR="00D25197" w:rsidRDefault="00D25197">
      <w:pPr>
        <w:tabs>
          <w:tab w:val="left" w:pos="1470"/>
        </w:tabs>
        <w:spacing w:after="0" w:line="360" w:lineRule="auto"/>
        <w:ind w:right="539"/>
        <w:jc w:val="both"/>
        <w:rPr>
          <w:rFonts w:ascii="Palatino Linotype" w:eastAsia="Palatino Linotype" w:hAnsi="Palatino Linotype" w:cs="Palatino Linotype"/>
        </w:rPr>
      </w:pPr>
    </w:p>
    <w:p w:rsidR="00D25197" w:rsidRDefault="00B052BB">
      <w:pPr>
        <w:tabs>
          <w:tab w:val="left" w:pos="1470"/>
        </w:tabs>
        <w:spacing w:after="0" w:line="360" w:lineRule="auto"/>
        <w:ind w:right="539"/>
        <w:jc w:val="both"/>
        <w:rPr>
          <w:rFonts w:ascii="Palatino Linotype" w:eastAsia="Palatino Linotype" w:hAnsi="Palatino Linotype" w:cs="Palatino Linotype"/>
        </w:rPr>
      </w:pPr>
      <w:r>
        <w:rPr>
          <w:rFonts w:ascii="Palatino Linotype" w:eastAsia="Palatino Linotype" w:hAnsi="Palatino Linotype" w:cs="Palatino Linotype"/>
          <w:b/>
        </w:rPr>
        <w:t>III. Respuesta del Sujeto Obligado</w:t>
      </w:r>
    </w:p>
    <w:p w:rsidR="00D25197" w:rsidRDefault="00D25197">
      <w:pPr>
        <w:tabs>
          <w:tab w:val="left" w:pos="4667"/>
        </w:tabs>
        <w:spacing w:after="0" w:line="360" w:lineRule="auto"/>
        <w:ind w:right="567"/>
        <w:jc w:val="both"/>
        <w:rPr>
          <w:rFonts w:ascii="Palatino Linotype" w:eastAsia="Palatino Linotype" w:hAnsi="Palatino Linotype" w:cs="Palatino Linotype"/>
          <w:b/>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fecha veinticinco de noviembre de dos mil veinticuatro, el</w:t>
      </w:r>
      <w:r>
        <w:rPr>
          <w:rFonts w:ascii="Palatino Linotype" w:eastAsia="Palatino Linotype" w:hAnsi="Palatino Linotype" w:cs="Palatino Linotype"/>
          <w:b/>
        </w:rPr>
        <w:t xml:space="preserve"> </w:t>
      </w:r>
      <w:r>
        <w:rPr>
          <w:rFonts w:ascii="Palatino Linotype" w:eastAsia="Palatino Linotype" w:hAnsi="Palatino Linotype" w:cs="Palatino Linotype"/>
        </w:rPr>
        <w:t>Sujeto Obligado dio respuesta a la solicitud de acceso a la información a través del Sistema de Acceso a la Información Mexiquense (SAIMEX), mediante la digitalización de los documentos siguientes:</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i) Oficio sin número, de fecha de su presentación suscrito por la Titular de la Unidad de Transparencia, dirigido al Solicitante, por medio del cual manifiesta y expone esencialmente lo siguiente:</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ind w:left="567" w:right="567"/>
        <w:jc w:val="both"/>
        <w:rPr>
          <w:rFonts w:ascii="Palatino Linotype" w:eastAsia="Palatino Linotype" w:hAnsi="Palatino Linotype" w:cs="Palatino Linotype"/>
          <w:i/>
          <w:sz w:val="20"/>
          <w:szCs w:val="20"/>
        </w:rPr>
      </w:pPr>
      <w:bookmarkStart w:id="3" w:name="_heading=h.1fob9te" w:colFirst="0" w:colLast="0"/>
      <w:bookmarkEnd w:id="3"/>
      <w:r>
        <w:rPr>
          <w:rFonts w:ascii="Palatino Linotype" w:eastAsia="Palatino Linotype" w:hAnsi="Palatino Linotype" w:cs="Palatino Linotype"/>
          <w:i/>
          <w:sz w:val="20"/>
          <w:szCs w:val="20"/>
        </w:rPr>
        <w:t>“…hago de su conocimiento que la Dirección General de Desarrollo Urbano, Ordenamiento Territorial y Obras Públicas y Servidor Público Habilitado, informó que la Dirección de Recursos Humanos, informa en ámbito de competencia que no cuenta con la información solicitada, toda vez que no se encuentra dentro de sus funciones y atribuciones referidas en el Manual de Organización de la Dirección General de Administración, por lo que no es posible otorgarla.</w:t>
      </w:r>
    </w:p>
    <w:p w:rsidR="00D25197" w:rsidRDefault="00D25197">
      <w:pPr>
        <w:spacing w:after="0" w:line="360" w:lineRule="auto"/>
        <w:ind w:left="567" w:right="567"/>
        <w:jc w:val="both"/>
        <w:rPr>
          <w:rFonts w:ascii="Palatino Linotype" w:eastAsia="Palatino Linotype" w:hAnsi="Palatino Linotype" w:cs="Palatino Linotype"/>
          <w:i/>
          <w:sz w:val="20"/>
          <w:szCs w:val="20"/>
        </w:rPr>
      </w:pPr>
    </w:p>
    <w:p w:rsidR="00D25197" w:rsidRDefault="00B052BB">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Así mismo la Dirección General de Medio Ambiente y Servidor Público Habilitado, informó que una vez realizado una búsqueda exhaustiva y razonable en los archivos que obran en esta </w:t>
      </w:r>
      <w:r>
        <w:rPr>
          <w:rFonts w:ascii="Palatino Linotype" w:eastAsia="Palatino Linotype" w:hAnsi="Palatino Linotype" w:cs="Palatino Linotype"/>
          <w:i/>
          <w:sz w:val="20"/>
          <w:szCs w:val="20"/>
        </w:rPr>
        <w:lastRenderedPageBreak/>
        <w:t>Coordinación Administrativa, los servidores públicos que conforman la plantilla de personal de la Dirección General de Medio Ambiente, realizan de manera coordinada actividades inherentes a las funciones y atribuciones indicadas para las unidades administrativas a las que están adscritos o comisionados, de acuerdo al Manual de Organización y Manual de Procedimientos, ambos de la Dirección General de Medio Ambiente.</w:t>
      </w:r>
    </w:p>
    <w:p w:rsidR="00D25197" w:rsidRDefault="00D25197">
      <w:pPr>
        <w:spacing w:after="0" w:line="360" w:lineRule="auto"/>
        <w:ind w:left="567" w:right="567"/>
        <w:jc w:val="both"/>
        <w:rPr>
          <w:rFonts w:ascii="Palatino Linotype" w:eastAsia="Palatino Linotype" w:hAnsi="Palatino Linotype" w:cs="Palatino Linotype"/>
          <w:i/>
          <w:sz w:val="20"/>
          <w:szCs w:val="20"/>
        </w:rPr>
      </w:pPr>
    </w:p>
    <w:p w:rsidR="00D25197" w:rsidRDefault="00B052BB">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Lo anterior, se anexa al presente, en formato digital y en archivo PDF: Anexo 1 denominado “Manual de Procedimientos…”</w:t>
      </w:r>
    </w:p>
    <w:p w:rsidR="00D25197" w:rsidRDefault="00D25197">
      <w:pPr>
        <w:spacing w:after="0" w:line="360" w:lineRule="auto"/>
        <w:ind w:right="-28"/>
        <w:jc w:val="both"/>
        <w:rPr>
          <w:rFonts w:ascii="Palatino Linotype" w:eastAsia="Palatino Linotype" w:hAnsi="Palatino Linotype" w:cs="Palatino Linotype"/>
          <w:b/>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ii) Manual de Organización de la Dirección General de Medio Ambiente 2022-2024.</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iii) Manual de Procedimientos de la Dirección General de Medio Ambiente de 2022-2024.</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III. Interposición del Recurso de Revisión</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fecha cuatro de diciembre de dos mil veinticuatro se recibió en este Instituto, a través del Sistema de Acceso a la Información Mexiquense (SAIMEX), el Recurso de Revisión interpuesto por la parte Recurrente, en contra de la respuesta del Sujeto Obligado, en los siguientes términos:</w:t>
      </w:r>
    </w:p>
    <w:p w:rsidR="00D25197" w:rsidRDefault="00D25197">
      <w:pPr>
        <w:spacing w:after="0" w:line="360" w:lineRule="auto"/>
        <w:ind w:right="-28"/>
        <w:jc w:val="both"/>
        <w:rPr>
          <w:rFonts w:ascii="Palatino Linotype" w:eastAsia="Palatino Linotype" w:hAnsi="Palatino Linotype" w:cs="Palatino Linotype"/>
          <w:i/>
        </w:rPr>
      </w:pPr>
    </w:p>
    <w:p w:rsidR="00D25197" w:rsidRDefault="00B052BB">
      <w:pPr>
        <w:tabs>
          <w:tab w:val="left" w:pos="4667"/>
        </w:tabs>
        <w:spacing w:after="0" w:line="360" w:lineRule="auto"/>
        <w:ind w:left="567" w:right="567"/>
        <w:jc w:val="both"/>
        <w:rPr>
          <w:rFonts w:ascii="Palatino Linotype" w:eastAsia="Palatino Linotype" w:hAnsi="Palatino Linotype" w:cs="Palatino Linotype"/>
          <w:b/>
          <w:i/>
          <w:sz w:val="20"/>
          <w:szCs w:val="20"/>
        </w:rPr>
      </w:pPr>
      <w:bookmarkStart w:id="4" w:name="_heading=h.3znysh7" w:colFirst="0" w:colLast="0"/>
      <w:bookmarkEnd w:id="4"/>
      <w:r>
        <w:rPr>
          <w:rFonts w:ascii="Palatino Linotype" w:eastAsia="Palatino Linotype" w:hAnsi="Palatino Linotype" w:cs="Palatino Linotype"/>
          <w:b/>
          <w:i/>
          <w:sz w:val="20"/>
          <w:szCs w:val="20"/>
        </w:rPr>
        <w:t>“ACTO IMPUGNADO</w:t>
      </w:r>
    </w:p>
    <w:p w:rsidR="00D25197" w:rsidRDefault="00B052BB">
      <w:pPr>
        <w:spacing w:after="0" w:line="360" w:lineRule="auto"/>
        <w:ind w:left="567" w:right="567"/>
        <w:jc w:val="both"/>
        <w:rPr>
          <w:rFonts w:ascii="Palatino Linotype" w:eastAsia="Palatino Linotype" w:hAnsi="Palatino Linotype" w:cs="Palatino Linotype"/>
          <w:i/>
          <w:sz w:val="20"/>
          <w:szCs w:val="20"/>
        </w:rPr>
      </w:pPr>
      <w:proofErr w:type="gramStart"/>
      <w:r>
        <w:rPr>
          <w:rFonts w:ascii="Palatino Linotype" w:eastAsia="Palatino Linotype" w:hAnsi="Palatino Linotype" w:cs="Palatino Linotype"/>
          <w:i/>
          <w:color w:val="000000"/>
          <w:sz w:val="20"/>
          <w:szCs w:val="20"/>
        </w:rPr>
        <w:t>la</w:t>
      </w:r>
      <w:proofErr w:type="gramEnd"/>
      <w:r>
        <w:rPr>
          <w:rFonts w:ascii="Palatino Linotype" w:eastAsia="Palatino Linotype" w:hAnsi="Palatino Linotype" w:cs="Palatino Linotype"/>
          <w:i/>
          <w:color w:val="000000"/>
          <w:sz w:val="20"/>
          <w:szCs w:val="20"/>
        </w:rPr>
        <w:t xml:space="preserve"> respuesta otorgada a mi solicitud</w:t>
      </w:r>
      <w:r>
        <w:rPr>
          <w:rFonts w:ascii="Palatino Linotype" w:eastAsia="Palatino Linotype" w:hAnsi="Palatino Linotype" w:cs="Palatino Linotype"/>
          <w:i/>
          <w:sz w:val="20"/>
          <w:szCs w:val="20"/>
        </w:rPr>
        <w:t>”  (Sic.)</w:t>
      </w:r>
    </w:p>
    <w:p w:rsidR="00D25197" w:rsidRDefault="00D25197">
      <w:pPr>
        <w:tabs>
          <w:tab w:val="left" w:pos="4667"/>
        </w:tabs>
        <w:spacing w:after="0" w:line="360" w:lineRule="auto"/>
        <w:ind w:left="567" w:right="567"/>
        <w:jc w:val="both"/>
        <w:rPr>
          <w:rFonts w:ascii="Palatino Linotype" w:eastAsia="Palatino Linotype" w:hAnsi="Palatino Linotype" w:cs="Palatino Linotype"/>
          <w:i/>
          <w:sz w:val="20"/>
          <w:szCs w:val="20"/>
        </w:rPr>
      </w:pPr>
    </w:p>
    <w:p w:rsidR="00D25197" w:rsidRDefault="00B052BB">
      <w:pPr>
        <w:tabs>
          <w:tab w:val="left" w:pos="4667"/>
        </w:tabs>
        <w:spacing w:after="0"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“RAZONES O MOTIVOS DE LA INCONFORMIDAD</w:t>
      </w:r>
    </w:p>
    <w:p w:rsidR="00D25197" w:rsidRDefault="00B052BB">
      <w:pPr>
        <w:spacing w:after="0" w:line="360" w:lineRule="auto"/>
        <w:ind w:left="567" w:right="567"/>
        <w:jc w:val="both"/>
        <w:rPr>
          <w:rFonts w:ascii="Palatino Linotype" w:eastAsia="Palatino Linotype" w:hAnsi="Palatino Linotype" w:cs="Palatino Linotype"/>
          <w:i/>
          <w:sz w:val="20"/>
          <w:szCs w:val="20"/>
        </w:rPr>
      </w:pPr>
      <w:proofErr w:type="gramStart"/>
      <w:r>
        <w:rPr>
          <w:rFonts w:ascii="Palatino Linotype" w:eastAsia="Palatino Linotype" w:hAnsi="Palatino Linotype" w:cs="Palatino Linotype"/>
          <w:i/>
          <w:color w:val="000000"/>
          <w:sz w:val="20"/>
          <w:szCs w:val="20"/>
        </w:rPr>
        <w:t>se</w:t>
      </w:r>
      <w:proofErr w:type="gramEnd"/>
      <w:r>
        <w:rPr>
          <w:rFonts w:ascii="Palatino Linotype" w:eastAsia="Palatino Linotype" w:hAnsi="Palatino Linotype" w:cs="Palatino Linotype"/>
          <w:i/>
          <w:color w:val="000000"/>
          <w:sz w:val="20"/>
          <w:szCs w:val="20"/>
        </w:rPr>
        <w:t xml:space="preserve"> solicitó los documentos donde obren " los nombres y las actividades de los servidores </w:t>
      </w:r>
      <w:proofErr w:type="spellStart"/>
      <w:r>
        <w:rPr>
          <w:rFonts w:ascii="Palatino Linotype" w:eastAsia="Palatino Linotype" w:hAnsi="Palatino Linotype" w:cs="Palatino Linotype"/>
          <w:i/>
          <w:color w:val="000000"/>
          <w:sz w:val="20"/>
          <w:szCs w:val="20"/>
        </w:rPr>
        <w:t>publicos</w:t>
      </w:r>
      <w:proofErr w:type="spellEnd"/>
      <w:r>
        <w:rPr>
          <w:rFonts w:ascii="Palatino Linotype" w:eastAsia="Palatino Linotype" w:hAnsi="Palatino Linotype" w:cs="Palatino Linotype"/>
          <w:i/>
          <w:color w:val="000000"/>
          <w:sz w:val="20"/>
          <w:szCs w:val="20"/>
        </w:rPr>
        <w:t xml:space="preserve"> que </w:t>
      </w:r>
      <w:proofErr w:type="spellStart"/>
      <w:r>
        <w:rPr>
          <w:rFonts w:ascii="Palatino Linotype" w:eastAsia="Palatino Linotype" w:hAnsi="Palatino Linotype" w:cs="Palatino Linotype"/>
          <w:i/>
          <w:color w:val="000000"/>
          <w:sz w:val="20"/>
          <w:szCs w:val="20"/>
        </w:rPr>
        <w:t>trbajan</w:t>
      </w:r>
      <w:proofErr w:type="spellEnd"/>
      <w:r>
        <w:rPr>
          <w:rFonts w:ascii="Palatino Linotype" w:eastAsia="Palatino Linotype" w:hAnsi="Palatino Linotype" w:cs="Palatino Linotype"/>
          <w:i/>
          <w:color w:val="000000"/>
          <w:sz w:val="20"/>
          <w:szCs w:val="20"/>
        </w:rPr>
        <w:t xml:space="preserve"> en la dirección general de medio ambiente, correspondientes al día 18 de septiembre del 2024 desde su hora de entrada hasta la hora de salida. </w:t>
      </w:r>
      <w:proofErr w:type="gramStart"/>
      <w:r>
        <w:rPr>
          <w:rFonts w:ascii="Palatino Linotype" w:eastAsia="Palatino Linotype" w:hAnsi="Palatino Linotype" w:cs="Palatino Linotype"/>
          <w:i/>
          <w:color w:val="000000"/>
          <w:sz w:val="20"/>
          <w:szCs w:val="20"/>
        </w:rPr>
        <w:t>por</w:t>
      </w:r>
      <w:proofErr w:type="gramEnd"/>
      <w:r>
        <w:rPr>
          <w:rFonts w:ascii="Palatino Linotype" w:eastAsia="Palatino Linotype" w:hAnsi="Palatino Linotype" w:cs="Palatino Linotype"/>
          <w:i/>
          <w:color w:val="000000"/>
          <w:sz w:val="20"/>
          <w:szCs w:val="20"/>
        </w:rPr>
        <w:t xml:space="preserve"> su atención gracias" todo en </w:t>
      </w:r>
      <w:proofErr w:type="spellStart"/>
      <w:r>
        <w:rPr>
          <w:rFonts w:ascii="Palatino Linotype" w:eastAsia="Palatino Linotype" w:hAnsi="Palatino Linotype" w:cs="Palatino Linotype"/>
          <w:i/>
          <w:color w:val="000000"/>
          <w:sz w:val="20"/>
          <w:szCs w:val="20"/>
        </w:rPr>
        <w:t>docuemntos</w:t>
      </w:r>
      <w:proofErr w:type="spellEnd"/>
      <w:r>
        <w:rPr>
          <w:rFonts w:ascii="Palatino Linotype" w:eastAsia="Palatino Linotype" w:hAnsi="Palatino Linotype" w:cs="Palatino Linotype"/>
          <w:i/>
          <w:color w:val="000000"/>
          <w:sz w:val="20"/>
          <w:szCs w:val="20"/>
        </w:rPr>
        <w:t xml:space="preserve"> (de lo que </w:t>
      </w:r>
      <w:proofErr w:type="spellStart"/>
      <w:r>
        <w:rPr>
          <w:rFonts w:ascii="Palatino Linotype" w:eastAsia="Palatino Linotype" w:hAnsi="Palatino Linotype" w:cs="Palatino Linotype"/>
          <w:i/>
          <w:color w:val="000000"/>
          <w:sz w:val="20"/>
          <w:szCs w:val="20"/>
        </w:rPr>
        <w:t>realizarón</w:t>
      </w:r>
      <w:proofErr w:type="spellEnd"/>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i/>
          <w:sz w:val="20"/>
          <w:szCs w:val="20"/>
        </w:rPr>
        <w:t>” (Sic)</w:t>
      </w:r>
    </w:p>
    <w:p w:rsidR="00D25197" w:rsidRDefault="00D25197">
      <w:pPr>
        <w:spacing w:after="0" w:line="360" w:lineRule="auto"/>
        <w:ind w:right="-28"/>
        <w:jc w:val="both"/>
        <w:rPr>
          <w:rFonts w:ascii="Palatino Linotype" w:eastAsia="Palatino Linotype" w:hAnsi="Palatino Linotype" w:cs="Palatino Linotype"/>
          <w:b/>
        </w:rPr>
      </w:pPr>
    </w:p>
    <w:p w:rsidR="00D25197" w:rsidRDefault="00B052BB">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IV. Trámite del Recurso de Revisión ante el Instituto</w:t>
      </w:r>
    </w:p>
    <w:p w:rsidR="00D25197" w:rsidRDefault="00D25197">
      <w:pPr>
        <w:spacing w:after="0" w:line="360" w:lineRule="auto"/>
        <w:ind w:right="-28"/>
        <w:jc w:val="both"/>
        <w:rPr>
          <w:rFonts w:ascii="Palatino Linotype" w:eastAsia="Palatino Linotype" w:hAnsi="Palatino Linotype" w:cs="Palatino Linotype"/>
          <w:b/>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 xml:space="preserve">a) Turno del Recurso de Revisión. </w:t>
      </w:r>
      <w:r>
        <w:rPr>
          <w:rFonts w:ascii="Palatino Linotype" w:eastAsia="Palatino Linotype" w:hAnsi="Palatino Linotype" w:cs="Palatino Linotype"/>
        </w:rPr>
        <w:t xml:space="preserve">El cuatro de diciembre de dos mil veinticuatro, el Sistema de Acceso a la Información Mexiquense (SAIMEX), asignó el número de expediente </w:t>
      </w:r>
      <w:r>
        <w:rPr>
          <w:rFonts w:ascii="Palatino Linotype" w:eastAsia="Palatino Linotype" w:hAnsi="Palatino Linotype" w:cs="Palatino Linotype"/>
          <w:b/>
        </w:rPr>
        <w:t xml:space="preserve">07476/INFOEM/IP/RR/2024, </w:t>
      </w:r>
      <w:r>
        <w:rPr>
          <w:rFonts w:ascii="Palatino Linotype" w:eastAsia="Palatino Linotype" w:hAnsi="Palatino Linotype" w:cs="Palatino Linotype"/>
        </w:rPr>
        <w:t xml:space="preserve">al Recurso de Revisión y lo turnó al Comisionado Ponente </w:t>
      </w:r>
      <w:r>
        <w:rPr>
          <w:rFonts w:ascii="Palatino Linotype" w:eastAsia="Palatino Linotype" w:hAnsi="Palatino Linotype" w:cs="Palatino Linotype"/>
          <w:b/>
        </w:rPr>
        <w:t>Luis Gustavo Parra Noriega</w:t>
      </w:r>
      <w:r>
        <w:rPr>
          <w:rFonts w:ascii="Palatino Linotype" w:eastAsia="Palatino Linotype" w:hAnsi="Palatino Linotype" w:cs="Palatino Linotype"/>
        </w:rPr>
        <w:t>, para los efectos del artículo 185, fracción I, de la Ley de Transparencia y Acceso a la Información Pública del Estado de México y Municipios.</w:t>
      </w:r>
    </w:p>
    <w:p w:rsidR="00D25197" w:rsidRDefault="00D25197">
      <w:pPr>
        <w:spacing w:after="0" w:line="360" w:lineRule="auto"/>
        <w:ind w:right="-28"/>
        <w:jc w:val="both"/>
        <w:rPr>
          <w:rFonts w:ascii="Palatino Linotype" w:eastAsia="Palatino Linotype" w:hAnsi="Palatino Linotype" w:cs="Palatino Linotype"/>
          <w:b/>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b) Admisión del Recurso de Revisión. </w:t>
      </w:r>
      <w:r>
        <w:rPr>
          <w:rFonts w:ascii="Palatino Linotype" w:eastAsia="Palatino Linotype" w:hAnsi="Palatino Linotype" w:cs="Palatino Linotype"/>
        </w:rPr>
        <w:t>El nueve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 Informe Justificado o Manifestaciones. </w:t>
      </w:r>
      <w:r>
        <w:rPr>
          <w:rFonts w:ascii="Palatino Linotype" w:eastAsia="Palatino Linotype" w:hAnsi="Palatino Linotype" w:cs="Palatino Linotype"/>
        </w:rPr>
        <w:t>Las partes fueron omisas en realizar manifestaciones o alegatos.</w:t>
      </w:r>
    </w:p>
    <w:p w:rsidR="00D25197" w:rsidRDefault="00D25197">
      <w:pPr>
        <w:spacing w:after="0" w:line="360" w:lineRule="auto"/>
        <w:jc w:val="both"/>
        <w:rPr>
          <w:rFonts w:ascii="Palatino Linotype" w:eastAsia="Palatino Linotype" w:hAnsi="Palatino Linotype" w:cs="Palatino Linotype"/>
          <w:b/>
        </w:rPr>
      </w:pPr>
    </w:p>
    <w:p w:rsidR="00D25197" w:rsidRDefault="00B052BB">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e) Cierre de instrucción. </w:t>
      </w:r>
      <w:r>
        <w:rPr>
          <w:rFonts w:ascii="Palatino Linotype" w:eastAsia="Palatino Linotype" w:hAnsi="Palatino Linotype" w:cs="Palatino Linotype"/>
        </w:rPr>
        <w:t>El diecinueve de diciembre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a los siguientes:</w:t>
      </w:r>
    </w:p>
    <w:p w:rsidR="00D25197" w:rsidRDefault="00D25197">
      <w:pPr>
        <w:spacing w:after="0" w:line="360" w:lineRule="auto"/>
        <w:ind w:right="-28"/>
        <w:jc w:val="both"/>
        <w:rPr>
          <w:rFonts w:ascii="Palatino Linotype" w:eastAsia="Palatino Linotype" w:hAnsi="Palatino Linotype" w:cs="Palatino Linotype"/>
          <w:color w:val="000000"/>
        </w:rPr>
      </w:pPr>
    </w:p>
    <w:p w:rsidR="00D25197" w:rsidRDefault="00B052BB">
      <w:pPr>
        <w:spacing w:after="0"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C O N S I D E R A N D O S</w:t>
      </w:r>
    </w:p>
    <w:p w:rsidR="00D25197" w:rsidRDefault="00D25197">
      <w:pPr>
        <w:spacing w:after="0" w:line="360" w:lineRule="auto"/>
        <w:ind w:right="-28"/>
        <w:jc w:val="center"/>
        <w:rPr>
          <w:rFonts w:ascii="Palatino Linotype" w:eastAsia="Palatino Linotype" w:hAnsi="Palatino Linotype" w:cs="Palatino Linotype"/>
          <w:b/>
        </w:rPr>
      </w:pPr>
    </w:p>
    <w:p w:rsidR="00D25197" w:rsidRDefault="00B052BB">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color w:val="000000"/>
        </w:rPr>
        <w:t>PRIMERO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Competencia</w:t>
      </w:r>
    </w:p>
    <w:p w:rsidR="00D25197" w:rsidRDefault="00D25197">
      <w:pPr>
        <w:spacing w:after="0" w:line="360" w:lineRule="auto"/>
        <w:ind w:right="-28"/>
        <w:jc w:val="both"/>
        <w:rPr>
          <w:rFonts w:ascii="Palatino Linotype" w:eastAsia="Palatino Linotype" w:hAnsi="Palatino Linotype" w:cs="Palatino Linotype"/>
          <w:b/>
        </w:rPr>
      </w:pPr>
    </w:p>
    <w:p w:rsidR="00D25197" w:rsidRDefault="00B052BB">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rPr>
        <w:t>9°, fracciones I y XXIII y 11 del Reglamento Interior del Instituto de Transparencia, Acceso a la Información Pública y Protección de Datos Personales del Estado de México y Municipios.</w:t>
      </w:r>
    </w:p>
    <w:p w:rsidR="00D25197" w:rsidRDefault="00D25197">
      <w:pPr>
        <w:spacing w:after="0" w:line="360" w:lineRule="auto"/>
        <w:ind w:right="-28"/>
        <w:jc w:val="both"/>
        <w:rPr>
          <w:rFonts w:ascii="Palatino Linotype" w:eastAsia="Palatino Linotype" w:hAnsi="Palatino Linotype" w:cs="Palatino Linotype"/>
          <w:color w:val="000000"/>
        </w:rPr>
      </w:pPr>
    </w:p>
    <w:p w:rsidR="00D25197" w:rsidRDefault="00B052BB">
      <w:pPr>
        <w:spacing w:after="0" w:line="360" w:lineRule="auto"/>
        <w:ind w:right="-2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SEGUNDO. Causales de improcedencia y sobreseimiento</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rPr>
        <w:t>litis</w:t>
      </w:r>
      <w:proofErr w:type="spellEnd"/>
      <w:r>
        <w:rPr>
          <w:rFonts w:ascii="Palatino Linotype" w:eastAsia="Palatino Linotype" w:hAnsi="Palatino Linotype" w:cs="Palatino Linotype"/>
        </w:rPr>
        <w:t>, es necesario estudiar las causales de improcedencia, para determinar lo que en Derecho proceda.</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Causales de improcedencia</w:t>
      </w:r>
    </w:p>
    <w:p w:rsidR="00D25197" w:rsidRDefault="00D25197">
      <w:pPr>
        <w:spacing w:after="0" w:line="360" w:lineRule="auto"/>
        <w:jc w:val="both"/>
        <w:rPr>
          <w:rFonts w:ascii="Palatino Linotype" w:eastAsia="Palatino Linotype" w:hAnsi="Palatino Linotype" w:cs="Palatino Linotype"/>
          <w:color w:val="000000"/>
        </w:rPr>
      </w:pPr>
    </w:p>
    <w:p w:rsidR="00D25197" w:rsidRDefault="00B052BB">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D25197" w:rsidRDefault="00D25197">
      <w:pPr>
        <w:spacing w:after="0" w:line="360" w:lineRule="auto"/>
        <w:ind w:right="-28"/>
        <w:jc w:val="both"/>
        <w:rPr>
          <w:rFonts w:ascii="Palatino Linotype" w:eastAsia="Palatino Linotype" w:hAnsi="Palatino Linotype" w:cs="Palatino Linotype"/>
          <w:color w:val="000000"/>
        </w:rPr>
      </w:pPr>
    </w:p>
    <w:p w:rsidR="00D25197" w:rsidRDefault="00B052BB">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En el presente caso, </w:t>
      </w:r>
      <w:r>
        <w:rPr>
          <w:rFonts w:ascii="Palatino Linotype" w:eastAsia="Palatino Linotype" w:hAnsi="Palatino Linotype" w:cs="Palatino Linotype"/>
          <w:b/>
        </w:rPr>
        <w:t>no se actualiza ninguna de las causales de improcedencia</w:t>
      </w:r>
      <w:r>
        <w:rPr>
          <w:rFonts w:ascii="Palatino Linotype" w:eastAsia="Palatino Linotype" w:hAnsi="Palatino Linotype" w:cs="Palatino Linotype"/>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rPr>
        <w:t>el medio de impugnación fue presentado en tiempo.</w:t>
      </w:r>
    </w:p>
    <w:p w:rsidR="00D25197" w:rsidRDefault="00D25197">
      <w:pPr>
        <w:spacing w:after="0" w:line="360" w:lineRule="auto"/>
        <w:jc w:val="both"/>
        <w:rPr>
          <w:rFonts w:ascii="Palatino Linotype" w:eastAsia="Palatino Linotype" w:hAnsi="Palatino Linotype" w:cs="Palatino Linotype"/>
          <w:color w:val="000000"/>
        </w:rPr>
      </w:pPr>
    </w:p>
    <w:p w:rsidR="00D25197" w:rsidRDefault="00B052BB">
      <w:pPr>
        <w:widowControl w:val="0"/>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 actualiza la causal de procedencia del Recurso de Revisión señalada en el artículo 179, fracción VI, de la Ley en cita, </w:t>
      </w:r>
      <w:r>
        <w:rPr>
          <w:rFonts w:ascii="Palatino Linotype" w:eastAsia="Palatino Linotype" w:hAnsi="Palatino Linotype" w:cs="Palatino Linotype"/>
          <w:color w:val="000000"/>
        </w:rPr>
        <w:t xml:space="preserve">pues el Recurrente se inconformó con </w:t>
      </w:r>
      <w:r>
        <w:rPr>
          <w:rFonts w:ascii="Palatino Linotype" w:eastAsia="Palatino Linotype" w:hAnsi="Palatino Linotype" w:cs="Palatino Linotype"/>
        </w:rPr>
        <w:t>la entrega de información que no corresponde con lo solicitado.</w:t>
      </w:r>
    </w:p>
    <w:p w:rsidR="00D25197" w:rsidRDefault="00D25197">
      <w:pPr>
        <w:widowControl w:val="0"/>
        <w:spacing w:after="0" w:line="360" w:lineRule="auto"/>
        <w:jc w:val="both"/>
        <w:rPr>
          <w:rFonts w:ascii="Palatino Linotype" w:eastAsia="Palatino Linotype" w:hAnsi="Palatino Linotype" w:cs="Palatino Linotype"/>
          <w:color w:val="222222"/>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Causales de sobreseimiento.</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ser de previo y especial pronunciamiento, este Instituto analiza si se actualiza alguna causal de sobreseimiento.</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w:t>
      </w:r>
      <w:r>
        <w:rPr>
          <w:rFonts w:ascii="Palatino Linotype" w:eastAsia="Palatino Linotype" w:hAnsi="Palatino Linotype" w:cs="Palatino Linotype"/>
          <w:b/>
          <w:color w:val="0D0D0D"/>
        </w:rPr>
        <w:t xml:space="preserve"> no se configuran las causales establecidas en las fracciones I, II, III, y V, </w:t>
      </w:r>
      <w:r>
        <w:rPr>
          <w:rFonts w:ascii="Palatino Linotype" w:eastAsia="Palatino Linotype" w:hAnsi="Palatino Linotype" w:cs="Palatino Linotype"/>
          <w:color w:val="0D0D0D"/>
        </w:rPr>
        <w:t xml:space="preserve">toda vez que no hay constancias en el expediente en que se actúa, de que </w:t>
      </w:r>
      <w:r>
        <w:rPr>
          <w:rFonts w:ascii="Palatino Linotype" w:eastAsia="Palatino Linotype" w:hAnsi="Palatino Linotype" w:cs="Palatino Linotype"/>
          <w:color w:val="000000"/>
        </w:rPr>
        <w:t xml:space="preserve">la persona </w:t>
      </w:r>
      <w:r>
        <w:rPr>
          <w:rFonts w:ascii="Palatino Linotype" w:eastAsia="Palatino Linotype" w:hAnsi="Palatino Linotype" w:cs="Palatino Linotype"/>
          <w:color w:val="0D0D0D"/>
        </w:rPr>
        <w:t>Recurrente se haya desistido, fallecido, que el Sujeto Obligado hubiese modificado o revocado el acto impugnado o bien, haya quedado sin materia.</w:t>
      </w:r>
    </w:p>
    <w:p w:rsidR="00D25197" w:rsidRDefault="00D25197">
      <w:pPr>
        <w:spacing w:after="0" w:line="360" w:lineRule="auto"/>
        <w:jc w:val="both"/>
        <w:rPr>
          <w:rFonts w:ascii="Palatino Linotype" w:eastAsia="Palatino Linotype" w:hAnsi="Palatino Linotype" w:cs="Palatino Linotype"/>
          <w:color w:val="0D0D0D"/>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No obstante, por lo que hace a la hipótesis prevista en la fracción IV, a saber, que, una vez admitido el Recurso de Revisión, aparezca alguna causal de improcedencia en términos de la presente Ley, resulta necesario traer a colación el artículo 191, fracción VII, de dicho ordenamiento jurídico, que establece que el Recurso de Revisión será desechado por improcedente, cuando la persona Recurrente amplíe su solicitud en el Medio de Impugnación.</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En ese orden de ideas, de las constancias que obran en el expediente, se colige que el Particular requirió</w:t>
      </w:r>
      <w:r>
        <w:rPr>
          <w:rFonts w:ascii="Palatino Linotype" w:eastAsia="Palatino Linotype" w:hAnsi="Palatino Linotype" w:cs="Palatino Linotype"/>
        </w:rPr>
        <w:t xml:space="preserve"> los documentos que estableciera el nombre y cada una de las actividades realizadas por los servidores públicos de la Dirección de Medio Ambiente, en un día laboral; a</w:t>
      </w:r>
      <w:r>
        <w:rPr>
          <w:rFonts w:ascii="Palatino Linotype" w:eastAsia="Palatino Linotype" w:hAnsi="Palatino Linotype" w:cs="Palatino Linotype"/>
          <w:color w:val="0D0D0D"/>
        </w:rPr>
        <w:t>nte tal requerimiento, el Solicitante interpuso Recurso de Revisión, en donde además de la información previamente referida, señaló que requería todos los documentos emitidos por dichos trabajadores.</w:t>
      </w:r>
    </w:p>
    <w:p w:rsidR="00D25197" w:rsidRDefault="00D25197">
      <w:pPr>
        <w:spacing w:after="0" w:line="360" w:lineRule="auto"/>
        <w:jc w:val="both"/>
        <w:rPr>
          <w:rFonts w:ascii="Palatino Linotype" w:eastAsia="Palatino Linotype" w:hAnsi="Palatino Linotype" w:cs="Palatino Linotype"/>
          <w:color w:val="0D0D0D"/>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lastRenderedPageBreak/>
        <w:t xml:space="preserve">En ese sentido, del contraste entre el planteamiento formulado en la solicitud de información y las manifestaciones vertidas por </w:t>
      </w:r>
      <w:r>
        <w:rPr>
          <w:rFonts w:ascii="Palatino Linotype" w:eastAsia="Palatino Linotype" w:hAnsi="Palatino Linotype" w:cs="Palatino Linotype"/>
          <w:color w:val="000000"/>
        </w:rPr>
        <w:t>la persona</w:t>
      </w:r>
      <w:r>
        <w:rPr>
          <w:rFonts w:ascii="Palatino Linotype" w:eastAsia="Palatino Linotype" w:hAnsi="Palatino Linotype" w:cs="Palatino Linotype"/>
          <w:color w:val="0D0D0D"/>
        </w:rPr>
        <w:t xml:space="preserve"> Recurrente, a través de su escrito </w:t>
      </w:r>
      <w:proofErr w:type="spellStart"/>
      <w:r>
        <w:rPr>
          <w:rFonts w:ascii="Palatino Linotype" w:eastAsia="Palatino Linotype" w:hAnsi="Palatino Linotype" w:cs="Palatino Linotype"/>
          <w:color w:val="0D0D0D"/>
        </w:rPr>
        <w:t>recursal</w:t>
      </w:r>
      <w:proofErr w:type="spellEnd"/>
      <w:r>
        <w:rPr>
          <w:rFonts w:ascii="Palatino Linotype" w:eastAsia="Palatino Linotype" w:hAnsi="Palatino Linotype" w:cs="Palatino Linotype"/>
          <w:color w:val="0D0D0D"/>
        </w:rPr>
        <w:t>, se colige que a través de estos pretende obtener información diversa a la inicialmente requerida, pues en primera instancia requirió actividades, y posteriormente documentos emitidos.</w:t>
      </w:r>
    </w:p>
    <w:p w:rsidR="00D25197" w:rsidRDefault="00D25197">
      <w:pPr>
        <w:spacing w:after="0" w:line="360" w:lineRule="auto"/>
        <w:jc w:val="both"/>
        <w:rPr>
          <w:rFonts w:ascii="Palatino Linotype" w:eastAsia="Palatino Linotype" w:hAnsi="Palatino Linotype" w:cs="Palatino Linotype"/>
          <w:color w:val="0D0D0D"/>
        </w:rPr>
      </w:pPr>
    </w:p>
    <w:p w:rsidR="00D25197" w:rsidRDefault="00B052BB">
      <w:pPr>
        <w:spacing w:after="0" w:line="360" w:lineRule="auto"/>
        <w:jc w:val="both"/>
        <w:rPr>
          <w:rFonts w:ascii="Palatino Linotype" w:eastAsia="Palatino Linotype" w:hAnsi="Palatino Linotype" w:cs="Palatino Linotype"/>
          <w:b/>
          <w:color w:val="0D0D0D"/>
        </w:rPr>
      </w:pPr>
      <w:r>
        <w:rPr>
          <w:rFonts w:ascii="Palatino Linotype" w:eastAsia="Palatino Linotype" w:hAnsi="Palatino Linotype" w:cs="Palatino Linotype"/>
          <w:color w:val="0D0D0D"/>
        </w:rPr>
        <w:t>En ese orden de ideas, dicha situación no puede constituir materia de estudio del presente Recurso de Revisión, debido a que las solicitudes de información deben ser apreciadas en los términos en que fueron planteadas originalmente ante el Sujeto Obligado,</w:t>
      </w:r>
      <w:r>
        <w:rPr>
          <w:rFonts w:ascii="Palatino Linotype" w:eastAsia="Palatino Linotype" w:hAnsi="Palatino Linotype" w:cs="Palatino Linotype"/>
          <w:b/>
          <w:color w:val="0D0D0D"/>
        </w:rPr>
        <w:t xml:space="preserve"> sin variar en el fondo la controversia, ni constituir un nuevo requerimiento informativo.</w:t>
      </w:r>
    </w:p>
    <w:p w:rsidR="00D25197" w:rsidRDefault="00D25197">
      <w:pPr>
        <w:spacing w:after="0" w:line="360" w:lineRule="auto"/>
        <w:jc w:val="both"/>
        <w:rPr>
          <w:rFonts w:ascii="Palatino Linotype" w:eastAsia="Palatino Linotype" w:hAnsi="Palatino Linotype" w:cs="Palatino Linotype"/>
          <w:b/>
          <w:color w:val="0D0D0D"/>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Al respecto, resulta pertinente citar, el Criterio de Interpretación, con clave de control, número SO/001/2017, de la Segunda Época, emitido por el Instituto Nacional de Transparencia, Acceso a la Información y Protección de Datos Personales, el cual indica que no resulta procedente ampliar vía recurso de revisión, las solicitudes de información:</w:t>
      </w:r>
    </w:p>
    <w:p w:rsidR="00D25197" w:rsidRDefault="00D25197">
      <w:pPr>
        <w:spacing w:after="0" w:line="360" w:lineRule="auto"/>
        <w:jc w:val="both"/>
        <w:rPr>
          <w:rFonts w:ascii="Palatino Linotype" w:eastAsia="Palatino Linotype" w:hAnsi="Palatino Linotype" w:cs="Palatino Linotype"/>
          <w:color w:val="0D0D0D"/>
        </w:rPr>
      </w:pPr>
    </w:p>
    <w:p w:rsidR="00D25197" w:rsidRDefault="00B052BB">
      <w:pPr>
        <w:spacing w:after="0" w:line="360" w:lineRule="auto"/>
        <w:ind w:left="567" w:right="567"/>
        <w:jc w:val="both"/>
        <w:rPr>
          <w:rFonts w:ascii="Palatino Linotype" w:eastAsia="Palatino Linotype" w:hAnsi="Palatino Linotype" w:cs="Palatino Linotype"/>
          <w:i/>
          <w:color w:val="0D0D0D"/>
          <w:sz w:val="20"/>
          <w:szCs w:val="20"/>
        </w:rPr>
      </w:pPr>
      <w:r>
        <w:rPr>
          <w:rFonts w:ascii="Palatino Linotype" w:eastAsia="Palatino Linotype" w:hAnsi="Palatino Linotype" w:cs="Palatino Linotype"/>
          <w:b/>
          <w:i/>
          <w:color w:val="0D0D0D"/>
          <w:sz w:val="20"/>
          <w:szCs w:val="20"/>
        </w:rPr>
        <w:t xml:space="preserve">“Es improcedente ampliar las solicitudes de acceso a información, a través de la interposición del recurso de revisión. </w:t>
      </w:r>
      <w:r>
        <w:rPr>
          <w:rFonts w:ascii="Palatino Linotype" w:eastAsia="Palatino Linotype" w:hAnsi="Palatino Linotype" w:cs="Palatino Linotype"/>
          <w:i/>
          <w:color w:val="0D0D0D"/>
          <w:sz w:val="20"/>
          <w:szCs w:val="20"/>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D25197" w:rsidRDefault="00D25197">
      <w:pPr>
        <w:spacing w:after="0" w:line="360" w:lineRule="auto"/>
        <w:jc w:val="both"/>
        <w:rPr>
          <w:rFonts w:ascii="Palatino Linotype" w:eastAsia="Palatino Linotype" w:hAnsi="Palatino Linotype" w:cs="Palatino Linotype"/>
          <w:color w:val="0D0D0D"/>
          <w:sz w:val="20"/>
          <w:szCs w:val="20"/>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 xml:space="preserve">Además, es importante señalar que el Recurso de Revisión no fue diseñado para impugnar cuestiones que no fueron objeto de la solicitud de información presentada inicialmente, pues de lo contrario tendría que analizarse dicho recurso a la luz de argumentos que no fueron del </w:t>
      </w:r>
      <w:r>
        <w:rPr>
          <w:rFonts w:ascii="Palatino Linotype" w:eastAsia="Palatino Linotype" w:hAnsi="Palatino Linotype" w:cs="Palatino Linotype"/>
          <w:color w:val="0D0D0D"/>
        </w:rPr>
        <w:lastRenderedPageBreak/>
        <w:t xml:space="preserve">conocimiento del Sujeto Obligado y, en consecuencia, no fueron comprendidos en la respuesta que se impugna. </w:t>
      </w:r>
    </w:p>
    <w:p w:rsidR="00346B0E" w:rsidRDefault="00346B0E">
      <w:pPr>
        <w:spacing w:after="0" w:line="360" w:lineRule="auto"/>
        <w:jc w:val="both"/>
        <w:rPr>
          <w:rFonts w:ascii="Palatino Linotype" w:eastAsia="Palatino Linotype" w:hAnsi="Palatino Linotype" w:cs="Palatino Linotype"/>
          <w:color w:val="0D0D0D"/>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 xml:space="preserve">Por lo tanto, dado que en el Medio de Impugnación, la parte Recurrente al plantear su inconformidad, amplió parte de su solicitud, al requerir información diversa a la peticionada inicialmente, el Recurso de Revisión </w:t>
      </w:r>
      <w:r>
        <w:rPr>
          <w:rFonts w:ascii="Palatino Linotype" w:eastAsia="Palatino Linotype" w:hAnsi="Palatino Linotype" w:cs="Palatino Linotype"/>
          <w:b/>
          <w:color w:val="0D0D0D"/>
        </w:rPr>
        <w:t xml:space="preserve">actualiza la causal de </w:t>
      </w:r>
      <w:proofErr w:type="spellStart"/>
      <w:r>
        <w:rPr>
          <w:rFonts w:ascii="Palatino Linotype" w:eastAsia="Palatino Linotype" w:hAnsi="Palatino Linotype" w:cs="Palatino Linotype"/>
          <w:b/>
          <w:color w:val="0D0D0D"/>
        </w:rPr>
        <w:t>desechamiento</w:t>
      </w:r>
      <w:proofErr w:type="spellEnd"/>
      <w:r>
        <w:rPr>
          <w:rFonts w:ascii="Palatino Linotype" w:eastAsia="Palatino Linotype" w:hAnsi="Palatino Linotype" w:cs="Palatino Linotype"/>
          <w:b/>
          <w:color w:val="0D0D0D"/>
        </w:rPr>
        <w:t xml:space="preserve"> establecida en el artículo 191, fracción VII, de la Ley de Transparencia y Acceso a la Información Pública del Estado de México y Municipios, únicamente por lo que, hace a los nuevos requerimientos; </w:t>
      </w:r>
      <w:r>
        <w:rPr>
          <w:rFonts w:ascii="Palatino Linotype" w:eastAsia="Palatino Linotype" w:hAnsi="Palatino Linotype" w:cs="Palatino Linotype"/>
          <w:color w:val="0D0D0D"/>
        </w:rPr>
        <w:t xml:space="preserve"> no obstante toda vez que, fue necesario admitir el Recurso, en virtud de que </w:t>
      </w:r>
      <w:r>
        <w:rPr>
          <w:rFonts w:ascii="Palatino Linotype" w:eastAsia="Palatino Linotype" w:hAnsi="Palatino Linotype" w:cs="Palatino Linotype"/>
          <w:color w:val="000000"/>
        </w:rPr>
        <w:t>la persona</w:t>
      </w:r>
      <w:r>
        <w:rPr>
          <w:rFonts w:ascii="Palatino Linotype" w:eastAsia="Palatino Linotype" w:hAnsi="Palatino Linotype" w:cs="Palatino Linotype"/>
          <w:color w:val="0D0D0D"/>
        </w:rPr>
        <w:t xml:space="preserve"> Recurrente se inconformó de la inexistencia, lo procedente es </w:t>
      </w:r>
      <w:r>
        <w:rPr>
          <w:rFonts w:ascii="Palatino Linotype" w:eastAsia="Palatino Linotype" w:hAnsi="Palatino Linotype" w:cs="Palatino Linotype"/>
          <w:b/>
          <w:color w:val="0D0D0D"/>
        </w:rPr>
        <w:t xml:space="preserve">SOBRESEER PARCIALMENTE </w:t>
      </w:r>
      <w:r>
        <w:rPr>
          <w:rFonts w:ascii="Palatino Linotype" w:eastAsia="Palatino Linotype" w:hAnsi="Palatino Linotype" w:cs="Palatino Linotype"/>
          <w:color w:val="0D0D0D"/>
        </w:rPr>
        <w:t>el Recurso de Revisión, al actualizarse el supuesto previsto en el artículo 192, fracción IV, en relación con el diverso 186, fracción I, de ese ordenamiento legal.</w:t>
      </w:r>
    </w:p>
    <w:p w:rsidR="00D25197" w:rsidRDefault="00D25197">
      <w:pPr>
        <w:spacing w:after="0" w:line="360" w:lineRule="auto"/>
        <w:jc w:val="both"/>
        <w:rPr>
          <w:rFonts w:ascii="Palatino Linotype" w:eastAsia="Palatino Linotype" w:hAnsi="Palatino Linotype" w:cs="Palatino Linotype"/>
          <w:color w:val="0D0D0D"/>
        </w:rPr>
      </w:pPr>
    </w:p>
    <w:p w:rsidR="00D25197" w:rsidRDefault="00B052BB">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color w:val="0D0D0D"/>
        </w:rPr>
        <w:t>En ese orden de ideas, toda vez que no ha quedado por completo sin materia el Recurso de Revisión, se considera procedente entrar al fondo del presente asunto, al no quedar sin materia.</w:t>
      </w:r>
    </w:p>
    <w:p w:rsidR="00D25197" w:rsidRDefault="00D25197">
      <w:pPr>
        <w:tabs>
          <w:tab w:val="left" w:pos="4962"/>
        </w:tabs>
        <w:spacing w:after="0" w:line="360" w:lineRule="auto"/>
        <w:ind w:right="-28"/>
        <w:jc w:val="both"/>
        <w:rPr>
          <w:rFonts w:ascii="Palatino Linotype" w:eastAsia="Palatino Linotype" w:hAnsi="Palatino Linotype" w:cs="Palatino Linotype"/>
          <w:b/>
        </w:rPr>
      </w:pPr>
    </w:p>
    <w:p w:rsidR="00D25197" w:rsidRDefault="00B052BB">
      <w:pPr>
        <w:tabs>
          <w:tab w:val="left" w:pos="4962"/>
        </w:tabs>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TERCERO. Determinación de la Controversia</w:t>
      </w:r>
    </w:p>
    <w:p w:rsidR="00D25197" w:rsidRDefault="00D25197">
      <w:pPr>
        <w:tabs>
          <w:tab w:val="left" w:pos="4962"/>
        </w:tabs>
        <w:spacing w:after="0" w:line="360" w:lineRule="auto"/>
        <w:ind w:right="-28"/>
        <w:jc w:val="both"/>
        <w:rPr>
          <w:rFonts w:ascii="Palatino Linotype" w:eastAsia="Palatino Linotype" w:hAnsi="Palatino Linotype" w:cs="Palatino Linotype"/>
        </w:rPr>
      </w:pPr>
    </w:p>
    <w:p w:rsidR="00D25197" w:rsidRDefault="00B052BB">
      <w:pPr>
        <w:tabs>
          <w:tab w:val="left" w:pos="4962"/>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Una vez realizado el estudio de las constancias que integran el expediente en que se actúa, se desprende que el Particular solicitó los documentos que contengan el nombre y las actividades realizadas por los servidores públicos adscritos a la Dirección General de Medio Ambiente, el dieciocho de septiembre de dos mil veinticuatro, desde su entrada hasta su salida.</w:t>
      </w:r>
    </w:p>
    <w:p w:rsidR="00D25197" w:rsidRDefault="00D25197">
      <w:pPr>
        <w:tabs>
          <w:tab w:val="left" w:pos="4962"/>
        </w:tabs>
        <w:spacing w:after="0" w:line="360" w:lineRule="auto"/>
        <w:ind w:right="-28"/>
        <w:jc w:val="both"/>
        <w:rPr>
          <w:rFonts w:ascii="Palatino Linotype" w:eastAsia="Palatino Linotype" w:hAnsi="Palatino Linotype" w:cs="Palatino Linotype"/>
        </w:rPr>
      </w:pPr>
    </w:p>
    <w:p w:rsidR="00D25197" w:rsidRDefault="00B052BB">
      <w:pPr>
        <w:tabs>
          <w:tab w:val="left" w:pos="4667"/>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Sujeto Obligado a través de la Dirección General de Administración, indicó que no contaba la información solicitada, al no formar parte de sus funciones y atribuciones </w:t>
      </w:r>
      <w:r>
        <w:rPr>
          <w:rFonts w:ascii="Palatino Linotype" w:eastAsia="Palatino Linotype" w:hAnsi="Palatino Linotype" w:cs="Palatino Linotype"/>
        </w:rPr>
        <w:lastRenderedPageBreak/>
        <w:t xml:space="preserve">conferidas en el Manual de Organización del área, por su parte la Dirección General de Medio Ambiente, después de realizar una búsqueda exhaustiva y razonable en sus archivos, señaló que los servidores públicos adscritos al área realizaban coordinadamente las actividades inherentes a las funciones y atribuciones indicadas en los Manuales de Organización y procedimientos del área. </w:t>
      </w:r>
    </w:p>
    <w:p w:rsidR="00D25197" w:rsidRDefault="00D25197">
      <w:pPr>
        <w:tabs>
          <w:tab w:val="left" w:pos="4667"/>
        </w:tabs>
        <w:spacing w:after="0" w:line="360" w:lineRule="auto"/>
        <w:jc w:val="both"/>
        <w:rPr>
          <w:rFonts w:ascii="Palatino Linotype" w:eastAsia="Palatino Linotype" w:hAnsi="Palatino Linotype" w:cs="Palatino Linotype"/>
        </w:rPr>
      </w:pPr>
    </w:p>
    <w:p w:rsidR="00D25197" w:rsidRDefault="00B052BB">
      <w:pPr>
        <w:tabs>
          <w:tab w:val="left" w:pos="4667"/>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Ante dicha circunstancia, la parte Recurrente se inconformó de la entrega de información que no corresponde con lo solicitado</w:t>
      </w:r>
      <w:r>
        <w:rPr>
          <w:rFonts w:ascii="Palatino Linotype" w:eastAsia="Palatino Linotype" w:hAnsi="Palatino Linotype" w:cs="Palatino Linotype"/>
          <w:color w:val="000000"/>
        </w:rPr>
        <w:t xml:space="preserve">, lo cual actualiza el supuesto previsto en el artículo 179, fracción VI, de la Ley de Transparencia y Acceso a la Información Pública del Estado de México y Municipios; dicha situación, al aplicar la suplencia de la queja a favor de la Solicitante, en términos del penúltimo párrafo, del 181 del ordenamiento señalado, relacionados con el último párrafo, del 146 de la Ley General de Transparencia y Acceso a la Información Pública. Así las cosas, una vez admitido y notificado el Recurso de Revisión a las partes, estas fueron omisas en realizar manifestaciones y alegatos. </w:t>
      </w:r>
    </w:p>
    <w:p w:rsidR="00D25197" w:rsidRDefault="00D25197">
      <w:pPr>
        <w:tabs>
          <w:tab w:val="left" w:pos="4667"/>
        </w:tabs>
        <w:spacing w:after="0" w:line="360" w:lineRule="auto"/>
        <w:jc w:val="both"/>
        <w:rPr>
          <w:rFonts w:ascii="Palatino Linotype" w:eastAsia="Palatino Linotype" w:hAnsi="Palatino Linotype" w:cs="Palatino Linotype"/>
          <w:color w:val="000000"/>
        </w:rPr>
      </w:pPr>
    </w:p>
    <w:p w:rsidR="00D25197" w:rsidRDefault="00B052BB">
      <w:pPr>
        <w:tabs>
          <w:tab w:val="left" w:pos="4667"/>
        </w:tabs>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Lo anterior, se desprende de las documentales que obran en el expediente de referencia, materia de la presente resolución, consistentes en: la solicitud de acceso a la información; la respuesta proporcionada por el Sujeto Obligado,  y el escrito </w:t>
      </w:r>
      <w:proofErr w:type="spellStart"/>
      <w:r>
        <w:rPr>
          <w:rFonts w:ascii="Palatino Linotype" w:eastAsia="Palatino Linotype" w:hAnsi="Palatino Linotype" w:cs="Palatino Linotype"/>
        </w:rPr>
        <w:t>recursal</w:t>
      </w:r>
      <w:proofErr w:type="spellEnd"/>
      <w:r>
        <w:rPr>
          <w:rFonts w:ascii="Palatino Linotype" w:eastAsia="Palatino Linotype" w:hAnsi="Palatino Linotype" w:cs="Palatino Linotype"/>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rsidR="00D25197" w:rsidRDefault="00D25197">
      <w:pPr>
        <w:tabs>
          <w:tab w:val="left" w:pos="4962"/>
        </w:tabs>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CUARTO. Marco normativo aplicable en materia de transparencia y acceso a la información pública</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Por su parte, la Ley de Transparencia y Acceso a la Información Pública del Estado de México y Municipios (Reglamentaria del artículo 5° de la Constitución Local), establece lo siguiente:</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El artículo 12, que, quienes generen, recopilen, administren, manejen, procesen, archiven o conserven información pública serán responsables de la misma.</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El artículo 18, que, los Sujetos Obligados deberán documentar todo acto que derive del ejercicio de sus facultades, competencias o funciones, considerando desde su origen la eventual publicidad y reutilización de la información que generen.</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19, que, se presume que la información debe existir si se refiere a las facultades, competencias y funciones que los ordenamientos jurídicos aplicables otorgan a los sujetos </w:t>
      </w:r>
      <w:r>
        <w:rPr>
          <w:rFonts w:ascii="Palatino Linotype" w:eastAsia="Palatino Linotype" w:hAnsi="Palatino Linotype" w:cs="Palatino Linotype"/>
        </w:rPr>
        <w:lastRenderedPageBreak/>
        <w:t>obligados y en caso de que dichas facultades no se hayan ejercido, se deberá motivar la respuesta en función de las causas que motivaron tal circunstancia.</w:t>
      </w:r>
    </w:p>
    <w:p w:rsidR="00D25197" w:rsidRDefault="00D25197">
      <w:pPr>
        <w:spacing w:after="0" w:line="360" w:lineRule="auto"/>
        <w:ind w:right="-28"/>
        <w:jc w:val="both"/>
        <w:rPr>
          <w:rFonts w:ascii="Palatino Linotype" w:eastAsia="Palatino Linotype" w:hAnsi="Palatino Linotype" w:cs="Palatino Linotype"/>
          <w:b/>
        </w:rPr>
      </w:pPr>
    </w:p>
    <w:p w:rsidR="00D25197" w:rsidRDefault="00B052BB">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QUINTO. Estudio de Fondo</w:t>
      </w:r>
    </w:p>
    <w:p w:rsidR="00D25197" w:rsidRDefault="00D25197">
      <w:pPr>
        <w:spacing w:after="0" w:line="360" w:lineRule="auto"/>
        <w:ind w:right="-28"/>
        <w:jc w:val="both"/>
        <w:rPr>
          <w:rFonts w:ascii="Palatino Linotype" w:eastAsia="Palatino Linotype" w:hAnsi="Palatino Linotype" w:cs="Palatino Linotype"/>
          <w:b/>
        </w:rPr>
      </w:pPr>
    </w:p>
    <w:p w:rsidR="00D25197" w:rsidRDefault="00B052BB">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Expuestas las posturas de las partes, se procede a realizar el análisis del agravio hecho valer por el ahora Recurrente, concerniente a la entrega de información que no corresponde con lo solicitado, por lo que en principio resulta necesario contextualizar la solicitud de información.</w:t>
      </w:r>
    </w:p>
    <w:p w:rsidR="00D25197" w:rsidRDefault="00D25197">
      <w:pPr>
        <w:tabs>
          <w:tab w:val="left" w:pos="4962"/>
        </w:tabs>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w:t>
      </w:r>
      <w:r>
        <w:rPr>
          <w:rFonts w:ascii="Palatino Linotype" w:eastAsia="Palatino Linotype" w:hAnsi="Palatino Linotype" w:cs="Palatino Linotype"/>
          <w:b/>
        </w:rPr>
        <w:t>toda la información generada, obtenida, adquirida, transformada o en posesión de los sujetos obligados es pública y accesible a cualquier persona.</w:t>
      </w:r>
    </w:p>
    <w:p w:rsidR="00D25197" w:rsidRDefault="00D25197">
      <w:pPr>
        <w:tabs>
          <w:tab w:val="left" w:pos="4962"/>
        </w:tabs>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rPr>
        <w:t xml:space="preserve">En ese contexto, el artículo 18 de la Ley de Transparencia y Acceso a la Información Pública del Estado de México y Municipios, contempla que los sujetos obligados deberán documentar todo acto que derive del ejercicio de sus facultades, competencias o funciones. </w:t>
      </w:r>
      <w:r>
        <w:rPr>
          <w:rFonts w:ascii="Palatino Linotype" w:eastAsia="Palatino Linotype" w:hAnsi="Palatino Linotype" w:cs="Palatino Linotype"/>
          <w:color w:val="0D0D0D"/>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D25197" w:rsidRDefault="00D25197">
      <w:pPr>
        <w:spacing w:after="0" w:line="360" w:lineRule="auto"/>
        <w:jc w:val="both"/>
        <w:rPr>
          <w:rFonts w:ascii="Palatino Linotype" w:eastAsia="Palatino Linotype" w:hAnsi="Palatino Linotype" w:cs="Palatino Linotype"/>
          <w:color w:val="0D0D0D"/>
        </w:rPr>
      </w:pPr>
    </w:p>
    <w:p w:rsidR="00D25197" w:rsidRDefault="00B052BB">
      <w:pPr>
        <w:spacing w:after="0" w:line="360" w:lineRule="auto"/>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lastRenderedPageBreak/>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D25197" w:rsidRDefault="00D25197">
      <w:pPr>
        <w:spacing w:after="0" w:line="360" w:lineRule="auto"/>
        <w:jc w:val="both"/>
        <w:rPr>
          <w:rFonts w:ascii="Palatino Linotype" w:eastAsia="Palatino Linotype" w:hAnsi="Palatino Linotype" w:cs="Palatino Linotype"/>
          <w:color w:val="0D0D0D"/>
        </w:rPr>
      </w:pPr>
    </w:p>
    <w:p w:rsidR="00D25197" w:rsidRDefault="00B052BB">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contexto, los diversos 12 y 24 de dicho ordenamiento jurídico,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mismo contexto,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precisan que las facultades de los servidores públicos, corresponden a las aptitudes o potestades (actividades) que deben realizar para llevar a cabo actos administrativos o legales, de los cuales surgen derechos u obligaciones.</w:t>
      </w: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orden de ideas, el artículo 70, fracción III, de la Ley General de Transparencia y Acceso a la Información Pública, con relación al 92, fracción III, de la Ley de Transparencia y Acceso a la Información Pública del Estado de México y Municipios, precisa que es una obligación común de transparencia que deben publicar todos los Sujetos Obligados, son las facultades de cada área.</w:t>
      </w:r>
    </w:p>
    <w:p w:rsidR="00D25197" w:rsidRDefault="00D25197">
      <w:pPr>
        <w:spacing w:after="0" w:line="360" w:lineRule="auto"/>
        <w:jc w:val="center"/>
        <w:rPr>
          <w:rFonts w:ascii="Palatino Linotype" w:eastAsia="Palatino Linotype" w:hAnsi="Palatino Linotype" w:cs="Palatino Linotype"/>
        </w:rPr>
      </w:pPr>
    </w:p>
    <w:p w:rsidR="00D25197" w:rsidRDefault="00B052BB">
      <w:pPr>
        <w:tabs>
          <w:tab w:val="left" w:pos="4962"/>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lastRenderedPageBreak/>
        <w:t>Conforme a lo anterior, se logra vislumbrar que la pretensión del ahora Recurrente, es obtener los documentos que contengan el nombre y las actividades realizadas por los servidores públicos adscritos a la Dirección General de Medio Ambiente, el dieciocho de septiembre de dos mil veinticuatro, desde su hora de entrada hasta su salida.</w:t>
      </w:r>
    </w:p>
    <w:p w:rsidR="00D25197" w:rsidRDefault="00D25197">
      <w:pPr>
        <w:tabs>
          <w:tab w:val="left" w:pos="4962"/>
        </w:tabs>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Establecida dicha circunstancia, se procede analizar la respuesta entregada, para lo cual, es de señalar que de las constancias que de las constancias que obran en el expediente, se logra vislumbrar que el Sujeto Obligado turno la solicitud de información a la Dirección General de Administración;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a efecto de determinar si el Sujeto Obligado cumplió con el procedimiento de búsqueda, resulta necesario citar los artículos 3.1, 3.2, fracción I, numerales 5 y 6, y 3.8 del </w:t>
      </w:r>
      <w:r>
        <w:rPr>
          <w:rFonts w:ascii="Palatino Linotype" w:eastAsia="Palatino Linotype" w:hAnsi="Palatino Linotype" w:cs="Palatino Linotype"/>
        </w:rPr>
        <w:t>Código Reglamentario Municipal de Toluca, que establece que el Ayuntamiento cuenta con diversas unidades administrativas para el ejercicio de sus funciones, entre las cuales se encuentra la Dirección General de Administración y la Dirección General de Medio Ambiente; además, que le corresponden a los titulares de dichas áreas, respectivamente, planear, organizar, dirigir y evaluar las actividades que tengan encomendadas en el área a su cargo; así como, acordar con sus directores de área, coordinadores, jefes de departamento y demás servidores públicos adscritos al área de la cual son titulares, los asuntos que sean de su competencia.</w:t>
      </w:r>
    </w:p>
    <w:p w:rsidR="00D25197" w:rsidRDefault="00D25197">
      <w:pPr>
        <w:spacing w:after="0" w:line="360" w:lineRule="auto"/>
        <w:ind w:right="-28"/>
        <w:jc w:val="both"/>
        <w:rPr>
          <w:rFonts w:ascii="Palatino Linotype" w:eastAsia="Palatino Linotype" w:hAnsi="Palatino Linotype" w:cs="Palatino Linotype"/>
          <w:color w:val="000000"/>
        </w:rPr>
      </w:pPr>
    </w:p>
    <w:p w:rsidR="00D25197" w:rsidRDefault="00B052BB">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Conforme a lo anterior, se logra vislumbrar que los Directores Generales serán los encargados de dirigir y vigilar de que los servidores públicos que estén adscritos a su área, realicen las funciones, atribuciones y actividades establecidas; por lo que, este Instituto, tal como lo señaló la Dirección General de Administración, precisa que esta área carece de atribuciones para conocer de lo peticionado, pues no conoce de cada una de las actividades realizadas por el área solicitada. Sin embargo, al haber turnado el requerimiento de información a la Dirección General de Medio Ambiente, se considera que cumplió con el procedimiento de búsqueda, pues esta es la encargada de dirigido a los servidores públicos que tiene adscritos.</w:t>
      </w: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Ahora bien en respuesta, la Dirección General de Medio Ambiente indicó que los servidores públicos realizaban las actividades o funciones contenidas en el Manual de Organización y de Procedimientos del área; sobre dicha circunstancia, se revisó el Primero y contiene las funciones que debe realizar de manera continua cada una de las áreas que conforman a la unidad administrativa, sin embargo, este no contiene las atribuciones o actividades generales de cada servidor público, es decir, de todos aquellos trabajadores que conforman las áreas administrativas de la Dirección, por lo que, no contiene la información requerida.</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Por otra parte, se revisó el Manual de Procedimientos y se logra vislumbrar que contiene las actividades realizadas por cada una de las áreas que conforman a la Dirección General de Medio Ambiente, para cada uno de los trámites y procedimientos que se realizan en la misma; situación que como en el caso anterior, tampoco da cuenta de lo peticionado, pues como se mencionó la pretensión del Recurrente no es obtener la información por área, sino de cada uno de los servidores públicos que conforman a la unidad administrativa.</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el Manual de Organización y de Procedimiento de la Dirección General de Medio Ambiente, si bien contienen información relacionada con lo peticionado, lo cierto es que no </w:t>
      </w:r>
      <w:r>
        <w:rPr>
          <w:rFonts w:ascii="Palatino Linotype" w:eastAsia="Palatino Linotype" w:hAnsi="Palatino Linotype" w:cs="Palatino Linotype"/>
        </w:rPr>
        <w:lastRenderedPageBreak/>
        <w:t>atiende el requerimiento de información, pues la pretensión del Recurrente es obtener información específica por cada uno de los servidores públicos, en un día determinado.</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tabs>
          <w:tab w:val="left" w:pos="1843"/>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Lo anterior toma relevancia pues este Instituto revisó el Portal de Información Pública de Oficio Mexiquense del Sujeto Obligado, en el apartado de remuneraciones fracción VIII A, y logro vislumbrar que la Dirección General de Medio Ambiente cuenta con diversos servidores públicos adscritos a sus diversas unidades administrativas como se puede observar, los cuales deben tener actividades específicas, se muestra un extracto a continuación:</w:t>
      </w:r>
    </w:p>
    <w:p w:rsidR="00D25197" w:rsidRDefault="00D25197">
      <w:pPr>
        <w:tabs>
          <w:tab w:val="left" w:pos="1843"/>
        </w:tabs>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4200833" cy="396372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4259"/>
                    <a:stretch>
                      <a:fillRect/>
                    </a:stretch>
                  </pic:blipFill>
                  <pic:spPr>
                    <a:xfrm>
                      <a:off x="0" y="0"/>
                      <a:ext cx="4200833" cy="3963720"/>
                    </a:xfrm>
                    <a:prstGeom prst="rect">
                      <a:avLst/>
                    </a:prstGeom>
                    <a:ln/>
                  </pic:spPr>
                </pic:pic>
              </a:graphicData>
            </a:graphic>
          </wp:inline>
        </w:drawing>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rPr>
        <w:t xml:space="preserve">Conforme a lo anterior, se logra colegir que el Sujeto Obligado no proporcionó los documentos que dieran cuenta de las actividades que desarrollan los servidores públicos adscritos a la </w:t>
      </w:r>
      <w:r>
        <w:rPr>
          <w:rFonts w:ascii="Palatino Linotype" w:eastAsia="Palatino Linotype" w:hAnsi="Palatino Linotype" w:cs="Palatino Linotype"/>
        </w:rPr>
        <w:lastRenderedPageBreak/>
        <w:t xml:space="preserve">Dirección General de Medio Ambiente, en un determinado día, razón por la cual el agravio resulta </w:t>
      </w:r>
      <w:r>
        <w:rPr>
          <w:rFonts w:ascii="Palatino Linotype" w:eastAsia="Palatino Linotype" w:hAnsi="Palatino Linotype" w:cs="Palatino Linotype"/>
          <w:b/>
        </w:rPr>
        <w:t>FUNDADO.</w:t>
      </w:r>
    </w:p>
    <w:p w:rsidR="00D25197" w:rsidRDefault="00D25197">
      <w:pPr>
        <w:spacing w:after="0" w:line="360" w:lineRule="auto"/>
        <w:ind w:right="-28"/>
        <w:jc w:val="both"/>
        <w:rPr>
          <w:rFonts w:ascii="Palatino Linotype" w:eastAsia="Palatino Linotype" w:hAnsi="Palatino Linotype" w:cs="Palatino Linotype"/>
          <w:b/>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Por lo anteriormente expuesto, y a efecto de brindar atención al requerimiento de información, deberá realizar una búsqueda exhaustiva y razonable en la Dirección General de Administración y la Unidad de Transparencia y Acceso a la Información, a efecto de que entregue los documentos en los que consten las actividades realizadas por los servidores públicos adscritos a la Dirección General de Medio Ambiente, el dieciocho de septiembre de dos mil veinticuatro, desde su entrada hasta su salida.</w:t>
      </w: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w:t>
      </w:r>
    </w:p>
    <w:p w:rsidR="00D25197" w:rsidRDefault="00D25197">
      <w:pPr>
        <w:spacing w:after="0" w:line="360" w:lineRule="auto"/>
        <w:ind w:right="-28"/>
        <w:jc w:val="both"/>
        <w:rPr>
          <w:rFonts w:ascii="Palatino Linotype" w:eastAsia="Palatino Linotype" w:hAnsi="Palatino Linotype" w:cs="Palatino Linotype"/>
        </w:rPr>
      </w:pPr>
    </w:p>
    <w:p w:rsidR="00D25197" w:rsidRDefault="00B052BB">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rPr>
        <w:t>ad hoc</w:t>
      </w:r>
      <w:r>
        <w:rPr>
          <w:rFonts w:ascii="Palatino Linotype" w:eastAsia="Palatino Linotype" w:hAnsi="Palatino Linotype" w:cs="Palatino Linotype"/>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D25197" w:rsidRDefault="00D25197">
      <w:pPr>
        <w:spacing w:after="0" w:line="360" w:lineRule="auto"/>
        <w:jc w:val="both"/>
        <w:rPr>
          <w:rFonts w:ascii="Palatino Linotype" w:eastAsia="Palatino Linotype" w:hAnsi="Palatino Linotype" w:cs="Palatino Linotype"/>
          <w:color w:val="000000"/>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que den cuenta de lo requerido.</w:t>
      </w:r>
    </w:p>
    <w:p w:rsidR="00D25197" w:rsidRDefault="00D25197">
      <w:pPr>
        <w:spacing w:after="0" w:line="360" w:lineRule="auto"/>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es de señalar que este Instituto revisó la normatividad Estatal y Municipal aplicable al Ayuntamiento y no localizó alguna obligación normativa de generar documentos con las actividades realizadas por cada servidor público, en sus días laborales; por lo que, en el caso de que no se haya generado algún documento, deberá hacerlo del conocimiento de la parte Recurrente, de manera clara y precisa, en términos del artículo 19, párrafo segundo, de la Ley de Transparencia y Acceso a la Información Pública del Estado de México y Municipios.</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no pasa desapercibido para este Instituto, que los documentos podrían contener datos o información clasificada, por lo que, deberá elaborar las versiones públicas respectivas;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D25197" w:rsidRDefault="00D25197">
      <w:pPr>
        <w:spacing w:after="0" w:line="360" w:lineRule="auto"/>
        <w:rPr>
          <w:rFonts w:ascii="Palatino Linotype" w:eastAsia="Palatino Linotype" w:hAnsi="Palatino Linotype" w:cs="Palatino Linotype"/>
          <w:b/>
        </w:rPr>
      </w:pPr>
    </w:p>
    <w:p w:rsidR="00D25197" w:rsidRDefault="00B052BB">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SEXTO. Decisión</w:t>
      </w:r>
    </w:p>
    <w:p w:rsidR="00D25197" w:rsidRDefault="00B052BB">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otorgada a la solicitud de información, a efecto de que previa </w:t>
      </w:r>
      <w:r>
        <w:rPr>
          <w:rFonts w:ascii="Palatino Linotype" w:eastAsia="Palatino Linotype" w:hAnsi="Palatino Linotype" w:cs="Palatino Linotype"/>
        </w:rPr>
        <w:lastRenderedPageBreak/>
        <w:t xml:space="preserve">búsqueda exhaustiva y razonable en los archivos del Sujeto Obligado, entregue, la información solicitada. </w:t>
      </w:r>
    </w:p>
    <w:p w:rsidR="00D25197" w:rsidRDefault="00D25197">
      <w:pPr>
        <w:spacing w:after="0" w:line="360" w:lineRule="auto"/>
        <w:jc w:val="both"/>
        <w:rPr>
          <w:rFonts w:ascii="Palatino Linotype" w:eastAsia="Palatino Linotype" w:hAnsi="Palatino Linotype" w:cs="Palatino Linotype"/>
          <w:b/>
        </w:rPr>
      </w:pPr>
    </w:p>
    <w:p w:rsidR="00D25197" w:rsidRDefault="00B052BB">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Términos de la Resolución para conocimiento del Particular</w:t>
      </w:r>
    </w:p>
    <w:p w:rsidR="00D25197" w:rsidRDefault="00D25197">
      <w:pPr>
        <w:spacing w:after="0" w:line="360" w:lineRule="auto"/>
        <w:jc w:val="both"/>
        <w:rPr>
          <w:rFonts w:ascii="Palatino Linotype" w:eastAsia="Palatino Linotype" w:hAnsi="Palatino Linotype" w:cs="Palatino Linotype"/>
          <w:b/>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 le hace del conocimiento al Particular, que, en el presente caso, se le concede la razón, toda vez que, el Sujeto Obligado omitió la entrega de la información solicitada al proporcionarle información que no corresponde con lo solicitado; la labor del Instituto, es apoyar a la población a acceder a la información pública y garantizar la protección de sus datos personales.</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expuesto y fundado, este Pleno:</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REVOCA </w:t>
      </w:r>
      <w:r>
        <w:rPr>
          <w:rFonts w:ascii="Palatino Linotype" w:eastAsia="Palatino Linotype" w:hAnsi="Palatino Linotype" w:cs="Palatino Linotype"/>
        </w:rPr>
        <w:t>la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respuesta entregada por el </w:t>
      </w:r>
      <w:r>
        <w:rPr>
          <w:rFonts w:ascii="Palatino Linotype" w:eastAsia="Palatino Linotype" w:hAnsi="Palatino Linotype" w:cs="Palatino Linotype"/>
          <w:color w:val="000000"/>
        </w:rPr>
        <w:t>Ayuntamiento de Toluca</w:t>
      </w:r>
      <w:r>
        <w:rPr>
          <w:rFonts w:ascii="Palatino Linotype" w:eastAsia="Palatino Linotype" w:hAnsi="Palatino Linotype" w:cs="Palatino Linotype"/>
        </w:rPr>
        <w:t>, a la solicitud de información</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02680/TOLUCA/IP/2024</w:t>
      </w:r>
      <w:r>
        <w:rPr>
          <w:rFonts w:ascii="Palatino Linotype" w:eastAsia="Palatino Linotype" w:hAnsi="Palatino Linotype" w:cs="Palatino Linotype"/>
        </w:rPr>
        <w:t xml:space="preserve">, por resultar </w:t>
      </w:r>
      <w:r>
        <w:rPr>
          <w:rFonts w:ascii="Palatino Linotype" w:eastAsia="Palatino Linotype" w:hAnsi="Palatino Linotype" w:cs="Palatino Linotype"/>
          <w:b/>
        </w:rPr>
        <w:t>FUNDADAS</w:t>
      </w:r>
      <w:r>
        <w:rPr>
          <w:rFonts w:ascii="Palatino Linotype" w:eastAsia="Palatino Linotype" w:hAnsi="Palatino Linotype" w:cs="Palatino Linotype"/>
        </w:rPr>
        <w:t xml:space="preserve"> las razones o motivos de inconformidad hechos valer por el Recurrente, en términos de los considerandos QUINTO y SEXTO de la presente Resolución.</w:t>
      </w:r>
    </w:p>
    <w:p w:rsidR="00D25197" w:rsidRDefault="00D25197">
      <w:pPr>
        <w:spacing w:after="0" w:line="360" w:lineRule="auto"/>
        <w:jc w:val="both"/>
        <w:rPr>
          <w:rFonts w:ascii="Palatino Linotype" w:eastAsia="Palatino Linotype" w:hAnsi="Palatino Linotype" w:cs="Palatino Linotype"/>
        </w:rPr>
      </w:pPr>
    </w:p>
    <w:p w:rsidR="00D25197" w:rsidRDefault="00B052BB">
      <w:pPr>
        <w:tabs>
          <w:tab w:val="left" w:pos="4962"/>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al </w:t>
      </w:r>
      <w:r>
        <w:rPr>
          <w:rFonts w:ascii="Palatino Linotype" w:eastAsia="Palatino Linotype" w:hAnsi="Palatino Linotype" w:cs="Palatino Linotype"/>
          <w:color w:val="0C0C0C"/>
        </w:rPr>
        <w:t>Sujeto Obligado</w:t>
      </w:r>
      <w:r>
        <w:rPr>
          <w:rFonts w:ascii="Palatino Linotype" w:eastAsia="Palatino Linotype" w:hAnsi="Palatino Linotype" w:cs="Palatino Linotype"/>
        </w:rPr>
        <w:t>, a efecto de que previa búsqueda exhaustiva y razonable en todas las unidades administrativas competentes, entregue a través del Sistema de Acceso a la Información Mexiquense (SAIMEX), los documentos donde conste lo siguiente:</w:t>
      </w:r>
    </w:p>
    <w:p w:rsidR="00D25197" w:rsidRDefault="00D25197">
      <w:pPr>
        <w:tabs>
          <w:tab w:val="left" w:pos="4962"/>
        </w:tabs>
        <w:spacing w:after="0" w:line="360" w:lineRule="auto"/>
        <w:ind w:right="-28"/>
        <w:jc w:val="both"/>
        <w:rPr>
          <w:rFonts w:ascii="Palatino Linotype" w:eastAsia="Palatino Linotype" w:hAnsi="Palatino Linotype" w:cs="Palatino Linotype"/>
        </w:rPr>
      </w:pPr>
    </w:p>
    <w:p w:rsidR="00D25197" w:rsidRDefault="00B052BB">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C0C0C"/>
        </w:rPr>
      </w:pPr>
      <w:r>
        <w:rPr>
          <w:rFonts w:ascii="Palatino Linotype" w:eastAsia="Palatino Linotype" w:hAnsi="Palatino Linotype" w:cs="Palatino Linotype"/>
          <w:color w:val="000000"/>
        </w:rPr>
        <w:lastRenderedPageBreak/>
        <w:t>El nombre y las actividades realizadas por cada uno de los servidores públicos adscritos a la Dirección General de Medio Ambiente, el dieciocho de septiembre de dos mil veinticuatro, desde su entrada hasta su salida.</w:t>
      </w:r>
    </w:p>
    <w:p w:rsidR="00D25197" w:rsidRDefault="00D25197">
      <w:pPr>
        <w:pBdr>
          <w:top w:val="nil"/>
          <w:left w:val="nil"/>
          <w:bottom w:val="nil"/>
          <w:right w:val="nil"/>
          <w:between w:val="nil"/>
        </w:pBdr>
        <w:spacing w:after="0" w:line="360" w:lineRule="auto"/>
        <w:ind w:left="720" w:right="-28"/>
        <w:jc w:val="both"/>
        <w:rPr>
          <w:rFonts w:ascii="Palatino Linotype" w:eastAsia="Palatino Linotype" w:hAnsi="Palatino Linotype" w:cs="Palatino Linotype"/>
          <w:color w:val="0C0C0C"/>
        </w:rPr>
      </w:pPr>
    </w:p>
    <w:p w:rsidR="00D25197" w:rsidRDefault="00B052BB">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de ser necesario, deberá proporcionar el Acuerdo de Clasificación donde el Comité de Transparencia, confirme la eliminación de los datos, en la versión pública, de conformidad con los artículos 49, fracciones II y VIII y 132, fracción II de la Ley de Transparencia y Acceso a la Información Pública del Estado de México y Municipios.</w:t>
      </w:r>
    </w:p>
    <w:p w:rsidR="00D25197" w:rsidRDefault="00D25197">
      <w:pPr>
        <w:spacing w:after="0" w:line="360" w:lineRule="auto"/>
        <w:ind w:right="-28"/>
        <w:jc w:val="both"/>
        <w:rPr>
          <w:rFonts w:ascii="Palatino Linotype" w:eastAsia="Palatino Linotype" w:hAnsi="Palatino Linotype" w:cs="Palatino Linotype"/>
          <w:color w:val="000000"/>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el caso, de que no cuente con algún documento que dé cuenta de lo señalado, al no haber obligación normativa de generarlo, deberá hacerlo del conocimiento de la parte Recurrente, de manera clara y precisa.</w:t>
      </w:r>
    </w:p>
    <w:p w:rsidR="00D25197" w:rsidRDefault="00D25197">
      <w:pPr>
        <w:spacing w:after="0" w:line="360" w:lineRule="auto"/>
        <w:jc w:val="both"/>
        <w:rPr>
          <w:rFonts w:ascii="Palatino Linotype" w:eastAsia="Palatino Linotype" w:hAnsi="Palatino Linotype" w:cs="Palatino Linotype"/>
          <w:b/>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POR SAIMEX </w:t>
      </w:r>
      <w:r>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D25197" w:rsidRDefault="00D25197">
      <w:pPr>
        <w:spacing w:after="0" w:line="360" w:lineRule="auto"/>
        <w:jc w:val="both"/>
        <w:rPr>
          <w:rFonts w:ascii="Palatino Linotype" w:eastAsia="Palatino Linotype" w:hAnsi="Palatino Linotype" w:cs="Palatino Linotype"/>
        </w:rPr>
      </w:pP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conformidad con el artículo 198 de la Ley de la materia, de considerarlo procedente, el Sujeto Obligado de manera fundada y motivada, podrá solicitar una ampliación de plazo para el cumplimiento de la presente Resolución.</w:t>
      </w:r>
    </w:p>
    <w:p w:rsidR="00D25197" w:rsidRDefault="00D25197">
      <w:pPr>
        <w:spacing w:after="0" w:line="360" w:lineRule="auto"/>
        <w:jc w:val="both"/>
        <w:rPr>
          <w:rFonts w:ascii="Palatino Linotype" w:eastAsia="Palatino Linotype" w:hAnsi="Palatino Linotype" w:cs="Palatino Linotype"/>
        </w:rPr>
      </w:pPr>
    </w:p>
    <w:p w:rsidR="00D25197" w:rsidRDefault="00B052BB">
      <w:pPr>
        <w:shd w:val="clear" w:color="auto" w:fill="FFFFFF"/>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CUARTO. NOTIFÍQUESE POR SAIMEX</w:t>
      </w:r>
      <w:r>
        <w:rPr>
          <w:rFonts w:ascii="Palatino Linotype" w:eastAsia="Palatino Linotype" w:hAnsi="Palatino Linotype" w:cs="Palatino Linotype"/>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D25197" w:rsidRDefault="00B052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w:t>
      </w:r>
      <w:r w:rsidRPr="00833933">
        <w:rPr>
          <w:rFonts w:ascii="Palatino Linotype" w:eastAsia="Palatino Linotype" w:hAnsi="Palatino Linotype" w:cs="Palatino Linotype"/>
          <w:b/>
        </w:rPr>
        <w:t>UNANIMIDAD</w:t>
      </w:r>
      <w:r>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rsidR="00D25197" w:rsidRDefault="00D25197">
      <w:pPr>
        <w:spacing w:after="0" w:line="360" w:lineRule="auto"/>
        <w:ind w:right="-28"/>
        <w:jc w:val="both"/>
        <w:rPr>
          <w:rFonts w:ascii="Palatino Linotype" w:eastAsia="Palatino Linotype" w:hAnsi="Palatino Linotype" w:cs="Palatino Linotype"/>
        </w:rPr>
      </w:pPr>
    </w:p>
    <w:p w:rsidR="00D25197" w:rsidRDefault="00D25197">
      <w:pPr>
        <w:spacing w:after="0" w:line="360" w:lineRule="auto"/>
        <w:ind w:right="-28"/>
        <w:jc w:val="both"/>
        <w:rPr>
          <w:rFonts w:ascii="Palatino Linotype" w:eastAsia="Palatino Linotype" w:hAnsi="Palatino Linotype" w:cs="Palatino Linotype"/>
        </w:rPr>
      </w:pPr>
    </w:p>
    <w:p w:rsidR="00D25197" w:rsidRDefault="00D25197">
      <w:pPr>
        <w:spacing w:after="0" w:line="360" w:lineRule="auto"/>
        <w:ind w:right="-28"/>
        <w:jc w:val="both"/>
        <w:rPr>
          <w:rFonts w:ascii="Palatino Linotype" w:eastAsia="Palatino Linotype" w:hAnsi="Palatino Linotype" w:cs="Palatino Linotype"/>
          <w:color w:val="0D0D0D"/>
        </w:rPr>
      </w:pPr>
    </w:p>
    <w:p w:rsidR="00D25197" w:rsidRDefault="00D25197">
      <w:pPr>
        <w:spacing w:after="0" w:line="360" w:lineRule="auto"/>
        <w:rPr>
          <w:rFonts w:ascii="Palatino Linotype" w:eastAsia="Palatino Linotype" w:hAnsi="Palatino Linotype" w:cs="Palatino Linotype"/>
          <w:b/>
        </w:rPr>
      </w:pPr>
    </w:p>
    <w:p w:rsidR="00D25197" w:rsidRDefault="00D25197">
      <w:pPr>
        <w:spacing w:after="0" w:line="360" w:lineRule="auto"/>
        <w:jc w:val="both"/>
      </w:pPr>
    </w:p>
    <w:p w:rsidR="00D25197" w:rsidRDefault="00D25197">
      <w:pPr>
        <w:spacing w:after="0" w:line="360" w:lineRule="auto"/>
      </w:pPr>
    </w:p>
    <w:p w:rsidR="00346B0E" w:rsidRDefault="00346B0E">
      <w:pPr>
        <w:spacing w:after="0" w:line="360" w:lineRule="auto"/>
      </w:pPr>
    </w:p>
    <w:p w:rsidR="00346B0E" w:rsidRDefault="00346B0E">
      <w:pPr>
        <w:spacing w:after="0" w:line="360" w:lineRule="auto"/>
      </w:pPr>
    </w:p>
    <w:p w:rsidR="00346B0E" w:rsidRDefault="00346B0E">
      <w:pPr>
        <w:spacing w:after="0" w:line="360" w:lineRule="auto"/>
      </w:pPr>
    </w:p>
    <w:p w:rsidR="00346B0E" w:rsidRDefault="00346B0E">
      <w:pPr>
        <w:spacing w:after="0" w:line="360" w:lineRule="auto"/>
      </w:pPr>
    </w:p>
    <w:p w:rsidR="00346B0E" w:rsidRDefault="00346B0E">
      <w:pPr>
        <w:spacing w:after="0" w:line="360" w:lineRule="auto"/>
      </w:pPr>
    </w:p>
    <w:p w:rsidR="00833933" w:rsidRDefault="00833933">
      <w:pPr>
        <w:spacing w:after="0" w:line="360" w:lineRule="auto"/>
      </w:pPr>
    </w:p>
    <w:p w:rsidR="00833933" w:rsidRDefault="00833933">
      <w:pPr>
        <w:spacing w:after="0" w:line="360" w:lineRule="auto"/>
      </w:pPr>
    </w:p>
    <w:p w:rsidR="00833933" w:rsidRDefault="00833933">
      <w:pPr>
        <w:spacing w:after="0" w:line="360" w:lineRule="auto"/>
      </w:pPr>
    </w:p>
    <w:p w:rsidR="00833933" w:rsidRDefault="00833933">
      <w:pPr>
        <w:spacing w:after="0" w:line="360" w:lineRule="auto"/>
      </w:pPr>
    </w:p>
    <w:p w:rsidR="00833933" w:rsidRDefault="00833933">
      <w:pPr>
        <w:spacing w:after="0" w:line="360" w:lineRule="auto"/>
      </w:pPr>
    </w:p>
    <w:p w:rsidR="00833933" w:rsidRDefault="00833933">
      <w:pPr>
        <w:spacing w:after="0" w:line="360" w:lineRule="auto"/>
      </w:pPr>
    </w:p>
    <w:p w:rsidR="00833933" w:rsidRDefault="00833933">
      <w:pPr>
        <w:spacing w:after="0" w:line="360" w:lineRule="auto"/>
      </w:pPr>
    </w:p>
    <w:sectPr w:rsidR="00833933">
      <w:headerReference w:type="even" r:id="rId9"/>
      <w:headerReference w:type="default" r:id="rId10"/>
      <w:footerReference w:type="default" r:id="rId11"/>
      <w:headerReference w:type="first" r:id="rId12"/>
      <w:footerReference w:type="first" r:id="rId13"/>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689" w:rsidRDefault="00325689">
      <w:pPr>
        <w:spacing w:after="0" w:line="240" w:lineRule="auto"/>
      </w:pPr>
      <w:r>
        <w:separator/>
      </w:r>
    </w:p>
  </w:endnote>
  <w:endnote w:type="continuationSeparator" w:id="0">
    <w:p w:rsidR="00325689" w:rsidRDefault="0032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197" w:rsidRDefault="00D2519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6"/>
        <w:szCs w:val="26"/>
      </w:rPr>
    </w:pPr>
  </w:p>
  <w:p w:rsidR="00D25197" w:rsidRDefault="00B052BB">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A2EE7">
      <w:rPr>
        <w:rFonts w:ascii="Times New Roman" w:eastAsia="Times New Roman" w:hAnsi="Times New Roman" w:cs="Times New Roman"/>
        <w:b/>
        <w:noProof/>
        <w:color w:val="000000"/>
        <w:sz w:val="24"/>
        <w:szCs w:val="24"/>
      </w:rPr>
      <w:t>22</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A2EE7">
      <w:rPr>
        <w:rFonts w:ascii="Times New Roman" w:eastAsia="Times New Roman" w:hAnsi="Times New Roman" w:cs="Times New Roman"/>
        <w:b/>
        <w:noProof/>
        <w:color w:val="000000"/>
        <w:sz w:val="24"/>
        <w:szCs w:val="24"/>
      </w:rPr>
      <w:t>22</w:t>
    </w:r>
    <w:r>
      <w:rPr>
        <w:rFonts w:ascii="Times New Roman" w:eastAsia="Times New Roman" w:hAnsi="Times New Roman" w:cs="Times New Roman"/>
        <w:b/>
        <w:color w:val="000000"/>
        <w:sz w:val="24"/>
        <w:szCs w:val="24"/>
      </w:rPr>
      <w:fldChar w:fldCharType="end"/>
    </w:r>
  </w:p>
  <w:p w:rsidR="00D25197" w:rsidRDefault="00D2519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197" w:rsidRDefault="00D2519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D25197" w:rsidRDefault="00D2519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D25197" w:rsidRDefault="00D2519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D25197" w:rsidRDefault="00B052BB">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A2EE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A2EE7">
      <w:rPr>
        <w:rFonts w:ascii="Times New Roman" w:eastAsia="Times New Roman" w:hAnsi="Times New Roman" w:cs="Times New Roman"/>
        <w:b/>
        <w:noProof/>
        <w:color w:val="000000"/>
        <w:sz w:val="24"/>
        <w:szCs w:val="24"/>
      </w:rPr>
      <w:t>22</w:t>
    </w:r>
    <w:r>
      <w:rPr>
        <w:rFonts w:ascii="Times New Roman" w:eastAsia="Times New Roman" w:hAnsi="Times New Roman" w:cs="Times New Roman"/>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689" w:rsidRDefault="00325689">
      <w:pPr>
        <w:spacing w:after="0" w:line="240" w:lineRule="auto"/>
      </w:pPr>
      <w:r>
        <w:separator/>
      </w:r>
    </w:p>
  </w:footnote>
  <w:footnote w:type="continuationSeparator" w:id="0">
    <w:p w:rsidR="00325689" w:rsidRDefault="00325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197" w:rsidRDefault="0032568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197" w:rsidRDefault="00325689">
    <w:pPr>
      <w:tabs>
        <w:tab w:val="left" w:pos="3416"/>
      </w:tabs>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D25197">
      <w:trPr>
        <w:trHeight w:val="70"/>
      </w:trPr>
      <w:tc>
        <w:tcPr>
          <w:tcW w:w="2268" w:type="dxa"/>
          <w:shd w:val="clear" w:color="auto" w:fill="auto"/>
        </w:tcPr>
        <w:p w:rsidR="00D25197" w:rsidRDefault="00D25197">
          <w:pPr>
            <w:tabs>
              <w:tab w:val="right" w:pos="4273"/>
            </w:tabs>
            <w:rPr>
              <w:rFonts w:ascii="Garamond" w:eastAsia="Garamond" w:hAnsi="Garamond" w:cs="Garamond"/>
              <w:sz w:val="16"/>
              <w:szCs w:val="16"/>
            </w:rPr>
          </w:pPr>
        </w:p>
      </w:tc>
      <w:tc>
        <w:tcPr>
          <w:tcW w:w="7193" w:type="dxa"/>
          <w:shd w:val="clear" w:color="auto" w:fill="auto"/>
        </w:tcPr>
        <w:p w:rsidR="00D25197" w:rsidRDefault="00D25197">
          <w:pPr>
            <w:widowControl w:val="0"/>
            <w:pBdr>
              <w:top w:val="nil"/>
              <w:left w:val="nil"/>
              <w:bottom w:val="nil"/>
              <w:right w:val="nil"/>
              <w:between w:val="nil"/>
            </w:pBdr>
            <w:spacing w:after="0"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67"/>
            <w:gridCol w:w="4071"/>
          </w:tblGrid>
          <w:tr w:rsidR="00D25197">
            <w:trPr>
              <w:trHeight w:val="128"/>
            </w:trPr>
            <w:tc>
              <w:tcPr>
                <w:tcW w:w="3867" w:type="dxa"/>
                <w:vAlign w:val="bottom"/>
              </w:tcPr>
              <w:p w:rsidR="00D25197" w:rsidRDefault="00B052BB">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4071" w:type="dxa"/>
              </w:tcPr>
              <w:p w:rsidR="00D25197" w:rsidRDefault="00B052BB">
                <w:pPr>
                  <w:tabs>
                    <w:tab w:val="right" w:pos="8838"/>
                  </w:tabs>
                  <w:ind w:left="-28" w:right="683"/>
                  <w:rPr>
                    <w:rFonts w:ascii="Palatino Linotype" w:eastAsia="Palatino Linotype" w:hAnsi="Palatino Linotype" w:cs="Palatino Linotype"/>
                  </w:rPr>
                </w:pPr>
                <w:r>
                  <w:rPr>
                    <w:rFonts w:ascii="Palatino Linotype" w:eastAsia="Palatino Linotype" w:hAnsi="Palatino Linotype" w:cs="Palatino Linotype"/>
                  </w:rPr>
                  <w:t>07476/INFOEM/IP/RR/2024</w:t>
                </w:r>
              </w:p>
            </w:tc>
          </w:tr>
          <w:tr w:rsidR="00D25197">
            <w:trPr>
              <w:trHeight w:val="251"/>
            </w:trPr>
            <w:tc>
              <w:tcPr>
                <w:tcW w:w="3867" w:type="dxa"/>
              </w:tcPr>
              <w:p w:rsidR="00D25197" w:rsidRDefault="00B052BB">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4071" w:type="dxa"/>
              </w:tcPr>
              <w:p w:rsidR="00D25197" w:rsidRDefault="00B052BB">
                <w:pPr>
                  <w:tabs>
                    <w:tab w:val="right" w:pos="8838"/>
                  </w:tabs>
                  <w:ind w:right="1008"/>
                  <w:jc w:val="both"/>
                  <w:rPr>
                    <w:rFonts w:ascii="Palatino Linotype" w:eastAsia="Palatino Linotype" w:hAnsi="Palatino Linotype" w:cs="Palatino Linotype"/>
                  </w:rPr>
                </w:pPr>
                <w:r>
                  <w:rPr>
                    <w:rFonts w:ascii="Palatino Linotype" w:eastAsia="Palatino Linotype" w:hAnsi="Palatino Linotype" w:cs="Palatino Linotype"/>
                    <w:color w:val="000000"/>
                  </w:rPr>
                  <w:t>Ayuntamiento de Toluca</w:t>
                </w:r>
              </w:p>
            </w:tc>
          </w:tr>
          <w:tr w:rsidR="00D25197">
            <w:trPr>
              <w:trHeight w:val="251"/>
            </w:trPr>
            <w:tc>
              <w:tcPr>
                <w:tcW w:w="3867" w:type="dxa"/>
              </w:tcPr>
              <w:p w:rsidR="00D25197" w:rsidRDefault="00B052BB">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4071" w:type="dxa"/>
              </w:tcPr>
              <w:p w:rsidR="00D25197" w:rsidRDefault="00B052BB">
                <w:pPr>
                  <w:tabs>
                    <w:tab w:val="right" w:pos="8838"/>
                  </w:tabs>
                  <w:ind w:right="-32"/>
                  <w:rPr>
                    <w:rFonts w:ascii="Palatino Linotype" w:eastAsia="Palatino Linotype" w:hAnsi="Palatino Linotype" w:cs="Palatino Linotype"/>
                    <w:b/>
                  </w:rPr>
                </w:pPr>
                <w:r>
                  <w:rPr>
                    <w:rFonts w:ascii="Palatino Linotype" w:eastAsia="Palatino Linotype" w:hAnsi="Palatino Linotype" w:cs="Palatino Linotype"/>
                  </w:rPr>
                  <w:t>Luis Gustavo Parra Noriega</w:t>
                </w:r>
              </w:p>
            </w:tc>
          </w:tr>
        </w:tbl>
        <w:p w:rsidR="00D25197" w:rsidRDefault="00D25197">
          <w:pPr>
            <w:tabs>
              <w:tab w:val="right" w:pos="8838"/>
            </w:tabs>
            <w:ind w:left="-28"/>
            <w:rPr>
              <w:rFonts w:ascii="Arial" w:eastAsia="Arial" w:hAnsi="Arial" w:cs="Arial"/>
              <w:b/>
            </w:rPr>
          </w:pPr>
        </w:p>
      </w:tc>
    </w:tr>
  </w:tbl>
  <w:p w:rsidR="00D25197" w:rsidRDefault="00D2519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4"/>
        <w:szCs w:val="14"/>
      </w:rPr>
    </w:pPr>
  </w:p>
  <w:p w:rsidR="00D25197" w:rsidRDefault="00D2519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197" w:rsidRDefault="00D2519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1"/>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968"/>
      <w:gridCol w:w="2977"/>
    </w:tblGrid>
    <w:tr w:rsidR="00D25197">
      <w:trPr>
        <w:trHeight w:val="302"/>
      </w:trPr>
      <w:tc>
        <w:tcPr>
          <w:tcW w:w="3969" w:type="dxa"/>
        </w:tcPr>
        <w:p w:rsidR="00D25197" w:rsidRDefault="00B052BB">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2977" w:type="dxa"/>
        </w:tcPr>
        <w:p w:rsidR="00D25197" w:rsidRDefault="00B052BB">
          <w:pPr>
            <w:tabs>
              <w:tab w:val="right" w:pos="8838"/>
            </w:tabs>
            <w:jc w:val="both"/>
            <w:rPr>
              <w:rFonts w:ascii="Palatino Linotype" w:eastAsia="Palatino Linotype" w:hAnsi="Palatino Linotype" w:cs="Palatino Linotype"/>
            </w:rPr>
          </w:pPr>
          <w:r>
            <w:rPr>
              <w:rFonts w:ascii="Palatino Linotype" w:eastAsia="Palatino Linotype" w:hAnsi="Palatino Linotype" w:cs="Palatino Linotype"/>
            </w:rPr>
            <w:t>07476/INFOEM/IP/RR/2024</w:t>
          </w:r>
        </w:p>
      </w:tc>
    </w:tr>
    <w:tr w:rsidR="00D25197">
      <w:trPr>
        <w:trHeight w:val="110"/>
      </w:trPr>
      <w:tc>
        <w:tcPr>
          <w:tcW w:w="3969" w:type="dxa"/>
        </w:tcPr>
        <w:p w:rsidR="00D25197" w:rsidRDefault="00B052BB">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Recurrente:</w:t>
          </w:r>
        </w:p>
      </w:tc>
      <w:tc>
        <w:tcPr>
          <w:tcW w:w="2977" w:type="dxa"/>
        </w:tcPr>
        <w:p w:rsidR="00D25197" w:rsidRDefault="001A2EE7">
          <w:pPr>
            <w:jc w:val="both"/>
            <w:rPr>
              <w:rFonts w:ascii="Palatino Linotype" w:eastAsia="Palatino Linotype" w:hAnsi="Palatino Linotype" w:cs="Palatino Linotype"/>
            </w:rPr>
          </w:pPr>
          <w:r w:rsidRPr="001A2EE7">
            <w:rPr>
              <w:rFonts w:ascii="Palatino Linotype" w:eastAsia="Palatino Linotype" w:hAnsi="Palatino Linotype" w:cs="Palatino Linotype"/>
              <w:highlight w:val="black"/>
            </w:rPr>
            <w:t>XXXXXXXXXXXXXXX</w:t>
          </w:r>
        </w:p>
      </w:tc>
    </w:tr>
    <w:tr w:rsidR="00D25197">
      <w:trPr>
        <w:trHeight w:val="248"/>
      </w:trPr>
      <w:tc>
        <w:tcPr>
          <w:tcW w:w="3969" w:type="dxa"/>
        </w:tcPr>
        <w:p w:rsidR="00D25197" w:rsidRDefault="00B052BB">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2977" w:type="dxa"/>
        </w:tcPr>
        <w:p w:rsidR="00D25197" w:rsidRDefault="00B052BB">
          <w:pPr>
            <w:tabs>
              <w:tab w:val="right" w:pos="8838"/>
            </w:tabs>
            <w:jc w:val="both"/>
            <w:rPr>
              <w:rFonts w:ascii="Palatino Linotype" w:eastAsia="Palatino Linotype" w:hAnsi="Palatino Linotype" w:cs="Palatino Linotype"/>
            </w:rPr>
          </w:pPr>
          <w:r>
            <w:rPr>
              <w:rFonts w:ascii="Palatino Linotype" w:eastAsia="Palatino Linotype" w:hAnsi="Palatino Linotype" w:cs="Palatino Linotype"/>
              <w:color w:val="000000"/>
            </w:rPr>
            <w:t>Ayuntamiento de Toluca</w:t>
          </w:r>
        </w:p>
      </w:tc>
    </w:tr>
    <w:tr w:rsidR="00D25197">
      <w:trPr>
        <w:trHeight w:val="248"/>
      </w:trPr>
      <w:tc>
        <w:tcPr>
          <w:tcW w:w="3969" w:type="dxa"/>
        </w:tcPr>
        <w:p w:rsidR="00D25197" w:rsidRDefault="00B052BB">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2977" w:type="dxa"/>
        </w:tcPr>
        <w:p w:rsidR="00D25197" w:rsidRDefault="00B052BB">
          <w:pPr>
            <w:tabs>
              <w:tab w:val="right" w:pos="8838"/>
            </w:tabs>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r>
  </w:tbl>
  <w:p w:rsidR="00D25197" w:rsidRDefault="00325689">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64A15"/>
    <w:multiLevelType w:val="multilevel"/>
    <w:tmpl w:val="841E1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97"/>
    <w:rsid w:val="001A2EE7"/>
    <w:rsid w:val="00291934"/>
    <w:rsid w:val="00325689"/>
    <w:rsid w:val="00346B0E"/>
    <w:rsid w:val="004103B4"/>
    <w:rsid w:val="00601852"/>
    <w:rsid w:val="00833933"/>
    <w:rsid w:val="00B052BB"/>
    <w:rsid w:val="00D251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494EB40-CEF5-4926-9F1E-EE5C3FD9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0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12F07"/>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812F0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12F07"/>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812F07"/>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12F07"/>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12F07"/>
    <w:rPr>
      <w:rFonts w:ascii="Century Gothic" w:eastAsia="Times New Roman" w:hAnsi="Century Gothic" w:cs="Times New Roman"/>
      <w:szCs w:val="24"/>
      <w:lang w:eastAsia="es-ES"/>
    </w:rPr>
  </w:style>
  <w:style w:type="table" w:styleId="Tablaconcuadrcula">
    <w:name w:val="Table Grid"/>
    <w:basedOn w:val="Tablanormal"/>
    <w:uiPriority w:val="39"/>
    <w:rsid w:val="00812F0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2F0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83A52"/>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kVfDhjE6Qkqj3V3zyuXQV324Q==">CgMxLjAyCGguZ2pkZ3hzMgloLjMwajB6bGwyCWguMWZvYjl0ZTIJaC4zem55c2g3OAByITFFaHhPVTZaSWhvTndZMmp4MVlFTXVldllvNnpxWnlJUQ==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5266</Words>
  <Characters>28964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INFOEM500</cp:lastModifiedBy>
  <cp:revision>4</cp:revision>
  <cp:lastPrinted>2025-01-17T00:08:00Z</cp:lastPrinted>
  <dcterms:created xsi:type="dcterms:W3CDTF">2025-01-17T00:07:00Z</dcterms:created>
  <dcterms:modified xsi:type="dcterms:W3CDTF">2025-01-23T18:07:00Z</dcterms:modified>
</cp:coreProperties>
</file>