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2E9" w:rsidRPr="005A7997" w:rsidRDefault="005D2BDF" w:rsidP="00E922E9">
      <w:pPr>
        <w:tabs>
          <w:tab w:val="left" w:pos="3465"/>
        </w:tabs>
        <w:spacing w:line="360" w:lineRule="auto"/>
        <w:jc w:val="both"/>
        <w:rPr>
          <w:rFonts w:ascii="Palatino Linotype" w:eastAsia="Palatino Linotype" w:hAnsi="Palatino Linotype" w:cs="Palatino Linotype"/>
          <w:b/>
          <w:color w:val="000000" w:themeColor="text1"/>
        </w:rPr>
      </w:pPr>
      <w:bookmarkStart w:id="0" w:name="_GoBack"/>
      <w:bookmarkEnd w:id="0"/>
      <w:r w:rsidRPr="005A7997">
        <w:rPr>
          <w:rFonts w:ascii="Palatino Linotype" w:eastAsia="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w:t>
      </w:r>
      <w:r w:rsidR="00E922E9" w:rsidRPr="005A7997">
        <w:rPr>
          <w:rFonts w:ascii="Palatino Linotype" w:eastAsia="Palatino Linotype" w:hAnsi="Palatino Linotype" w:cs="Palatino Linotype"/>
          <w:b/>
          <w:color w:val="000000" w:themeColor="text1"/>
        </w:rPr>
        <w:t>de fecha veintisiete (27) de agosto de dos mil veinticinco.</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spacing w:line="360" w:lineRule="auto"/>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VISTO</w:t>
      </w:r>
      <w:r w:rsidRPr="005A7997">
        <w:rPr>
          <w:rFonts w:ascii="Palatino Linotype" w:eastAsia="Palatino Linotype" w:hAnsi="Palatino Linotype" w:cs="Arial"/>
          <w:color w:val="000000" w:themeColor="text1"/>
        </w:rPr>
        <w:t xml:space="preserve"> l</w:t>
      </w:r>
      <w:r w:rsidR="00E922E9" w:rsidRPr="005A7997">
        <w:rPr>
          <w:rFonts w:ascii="Palatino Linotype" w:eastAsia="Palatino Linotype" w:hAnsi="Palatino Linotype" w:cs="Arial"/>
          <w:color w:val="000000" w:themeColor="text1"/>
        </w:rPr>
        <w:t>os</w:t>
      </w:r>
      <w:r w:rsidRPr="005A7997">
        <w:rPr>
          <w:rFonts w:ascii="Palatino Linotype" w:eastAsia="Palatino Linotype" w:hAnsi="Palatino Linotype" w:cs="Arial"/>
          <w:color w:val="000000" w:themeColor="text1"/>
        </w:rPr>
        <w:t xml:space="preserve"> expediente</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electrónico</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formado</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con motivo de</w:t>
      </w:r>
      <w:r w:rsidR="00E922E9" w:rsidRPr="005A7997">
        <w:rPr>
          <w:rFonts w:ascii="Palatino Linotype" w:eastAsia="Palatino Linotype" w:hAnsi="Palatino Linotype" w:cs="Arial"/>
          <w:color w:val="000000" w:themeColor="text1"/>
        </w:rPr>
        <w:t xml:space="preserve"> </w:t>
      </w:r>
      <w:r w:rsidRPr="005A7997">
        <w:rPr>
          <w:rFonts w:ascii="Palatino Linotype" w:eastAsia="Palatino Linotype" w:hAnsi="Palatino Linotype" w:cs="Arial"/>
          <w:color w:val="000000" w:themeColor="text1"/>
        </w:rPr>
        <w:t>l</w:t>
      </w:r>
      <w:r w:rsidR="00E922E9" w:rsidRPr="005A7997">
        <w:rPr>
          <w:rFonts w:ascii="Palatino Linotype" w:eastAsia="Palatino Linotype" w:hAnsi="Palatino Linotype" w:cs="Arial"/>
          <w:color w:val="000000" w:themeColor="text1"/>
        </w:rPr>
        <w:t>os</w:t>
      </w:r>
      <w:r w:rsidRPr="005A7997">
        <w:rPr>
          <w:rFonts w:ascii="Palatino Linotype" w:eastAsia="Palatino Linotype" w:hAnsi="Palatino Linotype" w:cs="Arial"/>
          <w:color w:val="000000" w:themeColor="text1"/>
        </w:rPr>
        <w:t xml:space="preserve"> recurso</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de revisión </w:t>
      </w:r>
      <w:r w:rsidR="00A1387A" w:rsidRPr="005A7997">
        <w:rPr>
          <w:rFonts w:ascii="Palatino Linotype" w:eastAsia="Palatino Linotype" w:hAnsi="Palatino Linotype" w:cs="Arial"/>
          <w:b/>
          <w:color w:val="000000" w:themeColor="text1"/>
        </w:rPr>
        <w:t xml:space="preserve"> </w:t>
      </w:r>
      <w:r w:rsidR="00685981" w:rsidRPr="005A7997">
        <w:rPr>
          <w:rFonts w:ascii="Palatino Linotype" w:eastAsia="Palatino Linotype" w:hAnsi="Palatino Linotype" w:cs="Arial"/>
          <w:b/>
          <w:color w:val="000000" w:themeColor="text1"/>
        </w:rPr>
        <w:t>06228/INFOEM/IP/RR/2025 y 06242</w:t>
      </w:r>
      <w:r w:rsidR="003B2F30" w:rsidRPr="005A7997">
        <w:rPr>
          <w:rFonts w:ascii="Palatino Linotype" w:eastAsia="Palatino Linotype" w:hAnsi="Palatino Linotype" w:cs="Arial"/>
          <w:b/>
          <w:color w:val="000000" w:themeColor="text1"/>
        </w:rPr>
        <w:t>/INFOEM/IP/RR/2025</w:t>
      </w:r>
      <w:r w:rsidRPr="005A7997">
        <w:rPr>
          <w:rFonts w:ascii="Palatino Linotype" w:eastAsia="Palatino Linotype" w:hAnsi="Palatino Linotype" w:cs="Arial"/>
          <w:b/>
          <w:color w:val="000000" w:themeColor="text1"/>
        </w:rPr>
        <w:t xml:space="preserve">, </w:t>
      </w:r>
      <w:r w:rsidRPr="005A7997">
        <w:rPr>
          <w:rFonts w:ascii="Palatino Linotype" w:eastAsia="Palatino Linotype" w:hAnsi="Palatino Linotype" w:cs="Arial"/>
          <w:color w:val="000000" w:themeColor="text1"/>
        </w:rPr>
        <w:t xml:space="preserve">promovidos por </w:t>
      </w:r>
      <w:r w:rsidR="00021C36">
        <w:rPr>
          <w:rFonts w:ascii="Palatino Linotype" w:eastAsia="Palatino Linotype" w:hAnsi="Palatino Linotype" w:cs="Arial"/>
          <w:b/>
          <w:color w:val="000000" w:themeColor="text1"/>
        </w:rPr>
        <w:t>XXXX</w:t>
      </w:r>
      <w:r w:rsidRPr="005A7997">
        <w:rPr>
          <w:rFonts w:ascii="Palatino Linotype" w:eastAsia="Palatino Linotype" w:hAnsi="Palatino Linotype" w:cs="Arial"/>
          <w:b/>
          <w:color w:val="000000" w:themeColor="text1"/>
        </w:rPr>
        <w:t xml:space="preserve">, </w:t>
      </w:r>
      <w:r w:rsidRPr="005A7997">
        <w:rPr>
          <w:rFonts w:ascii="Palatino Linotype" w:eastAsia="Palatino Linotype" w:hAnsi="Palatino Linotype" w:cs="Arial"/>
          <w:color w:val="000000" w:themeColor="text1"/>
        </w:rPr>
        <w:t>a quien en lo sucesivo se le denominará</w:t>
      </w:r>
      <w:r w:rsidRPr="005A7997">
        <w:rPr>
          <w:rFonts w:ascii="Palatino Linotype" w:eastAsia="Palatino Linotype" w:hAnsi="Palatino Linotype" w:cs="Arial"/>
          <w:b/>
          <w:color w:val="000000" w:themeColor="text1"/>
        </w:rPr>
        <w:t xml:space="preserve"> </w:t>
      </w:r>
      <w:r w:rsidR="00E922E9" w:rsidRPr="005A7997">
        <w:rPr>
          <w:rFonts w:ascii="Palatino Linotype" w:eastAsia="Palatino Linotype" w:hAnsi="Palatino Linotype" w:cs="Arial"/>
          <w:b/>
          <w:color w:val="000000" w:themeColor="text1"/>
        </w:rPr>
        <w:t xml:space="preserve">EL </w:t>
      </w:r>
      <w:r w:rsidRPr="005A7997">
        <w:rPr>
          <w:rFonts w:ascii="Palatino Linotype" w:eastAsia="Palatino Linotype" w:hAnsi="Palatino Linotype" w:cs="Arial"/>
          <w:b/>
          <w:color w:val="000000" w:themeColor="text1"/>
        </w:rPr>
        <w:t>RECURRENTE</w:t>
      </w:r>
      <w:r w:rsidRPr="005A7997">
        <w:rPr>
          <w:rFonts w:ascii="Palatino Linotype" w:eastAsia="Palatino Linotype" w:hAnsi="Palatino Linotype" w:cs="Arial"/>
          <w:color w:val="000000" w:themeColor="text1"/>
        </w:rPr>
        <w:t>, en contra de la</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respuesta</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del </w:t>
      </w:r>
      <w:r w:rsidRPr="005A7997">
        <w:rPr>
          <w:rFonts w:ascii="Palatino Linotype" w:eastAsia="Palatino Linotype" w:hAnsi="Palatino Linotype" w:cs="Arial"/>
          <w:b/>
          <w:color w:val="000000" w:themeColor="text1"/>
        </w:rPr>
        <w:t>Ayuntamiento de</w:t>
      </w:r>
      <w:r w:rsidR="00685981" w:rsidRPr="005A7997">
        <w:rPr>
          <w:rFonts w:ascii="Palatino Linotype" w:eastAsia="Palatino Linotype" w:hAnsi="Palatino Linotype" w:cs="Arial"/>
          <w:b/>
          <w:color w:val="000000" w:themeColor="text1"/>
        </w:rPr>
        <w:t xml:space="preserve"> Naucalpan de Juárez</w:t>
      </w:r>
      <w:r w:rsidRPr="005A7997">
        <w:rPr>
          <w:rFonts w:ascii="Palatino Linotype" w:eastAsia="Palatino Linotype" w:hAnsi="Palatino Linotype" w:cs="Arial"/>
          <w:b/>
          <w:color w:val="000000" w:themeColor="text1"/>
        </w:rPr>
        <w:t xml:space="preserve">, </w:t>
      </w:r>
      <w:r w:rsidRPr="005A7997">
        <w:rPr>
          <w:rFonts w:ascii="Palatino Linotype" w:eastAsia="Palatino Linotype" w:hAnsi="Palatino Linotype" w:cs="Arial"/>
          <w:color w:val="000000" w:themeColor="text1"/>
        </w:rPr>
        <w:t xml:space="preserve">en </w:t>
      </w:r>
      <w:r w:rsidR="00337DFE">
        <w:rPr>
          <w:rFonts w:ascii="Palatino Linotype" w:eastAsia="Palatino Linotype" w:hAnsi="Palatino Linotype" w:cs="Arial"/>
          <w:color w:val="000000" w:themeColor="text1"/>
        </w:rPr>
        <w:t>adelante</w:t>
      </w:r>
      <w:r w:rsidRPr="005A7997">
        <w:rPr>
          <w:rFonts w:ascii="Palatino Linotype" w:eastAsia="Palatino Linotype" w:hAnsi="Palatino Linotype" w:cs="Arial"/>
          <w:color w:val="000000" w:themeColor="text1"/>
        </w:rPr>
        <w:t xml:space="preserve"> el</w:t>
      </w:r>
      <w:r w:rsidRPr="005A7997">
        <w:rPr>
          <w:rFonts w:ascii="Palatino Linotype" w:eastAsia="Palatino Linotype" w:hAnsi="Palatino Linotype" w:cs="Arial"/>
          <w:b/>
          <w:color w:val="000000" w:themeColor="text1"/>
        </w:rPr>
        <w:t xml:space="preserve"> SUJETO OBLIGADO</w:t>
      </w:r>
      <w:r w:rsidRPr="005A7997">
        <w:rPr>
          <w:rFonts w:ascii="Palatino Linotype" w:eastAsia="Palatino Linotype" w:hAnsi="Palatino Linotype" w:cs="Arial"/>
          <w:color w:val="000000" w:themeColor="text1"/>
        </w:rPr>
        <w:t>, por lo que se procede a dictar la presente resolución, con base en los siguientes:</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keepNext/>
        <w:keepLines/>
        <w:spacing w:line="360" w:lineRule="auto"/>
        <w:ind w:right="-28"/>
        <w:jc w:val="center"/>
        <w:rPr>
          <w:rFonts w:ascii="Palatino Linotype" w:eastAsia="Palatino Linotype" w:hAnsi="Palatino Linotype" w:cs="Arial"/>
          <w:b/>
          <w:color w:val="000000" w:themeColor="text1"/>
        </w:rPr>
      </w:pPr>
      <w:bookmarkStart w:id="1" w:name="_heading=h.gjdgxs" w:colFirst="0" w:colLast="0"/>
      <w:bookmarkEnd w:id="1"/>
      <w:r w:rsidRPr="005A7997">
        <w:rPr>
          <w:rFonts w:ascii="Palatino Linotype" w:eastAsia="Palatino Linotype" w:hAnsi="Palatino Linotype" w:cs="Arial"/>
          <w:b/>
          <w:color w:val="000000" w:themeColor="text1"/>
        </w:rPr>
        <w:t>A N T E C E D E N T E S</w:t>
      </w:r>
    </w:p>
    <w:p w:rsidR="009821B1" w:rsidRPr="005A7997" w:rsidRDefault="009821B1" w:rsidP="00E922E9">
      <w:pPr>
        <w:spacing w:line="360" w:lineRule="auto"/>
        <w:ind w:right="-28"/>
        <w:rPr>
          <w:rFonts w:ascii="Palatino Linotype" w:eastAsia="Palatino Linotype" w:hAnsi="Palatino Linotype" w:cs="Arial"/>
          <w:color w:val="000000" w:themeColor="text1"/>
        </w:rPr>
      </w:pP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El </w:t>
      </w:r>
      <w:r w:rsidR="00685981" w:rsidRPr="005A7997">
        <w:rPr>
          <w:rFonts w:ascii="Palatino Linotype" w:eastAsia="Palatino Linotype" w:hAnsi="Palatino Linotype" w:cs="Arial"/>
          <w:color w:val="000000" w:themeColor="text1"/>
        </w:rPr>
        <w:t>ocho y quince</w:t>
      </w:r>
      <w:r w:rsidR="001F7BC0" w:rsidRPr="005A7997">
        <w:rPr>
          <w:rFonts w:ascii="Palatino Linotype" w:eastAsia="Palatino Linotype" w:hAnsi="Palatino Linotype" w:cs="Arial"/>
          <w:color w:val="000000" w:themeColor="text1"/>
        </w:rPr>
        <w:t xml:space="preserve"> de mayo de dos mil veinticinco, la parte</w:t>
      </w:r>
      <w:r w:rsidRPr="005A7997">
        <w:rPr>
          <w:rFonts w:ascii="Palatino Linotype" w:eastAsia="Palatino Linotype" w:hAnsi="Palatino Linotype" w:cs="Arial"/>
          <w:b/>
          <w:color w:val="000000" w:themeColor="text1"/>
        </w:rPr>
        <w:t xml:space="preserve"> RECURRENTE </w:t>
      </w:r>
      <w:r w:rsidRPr="005A7997">
        <w:rPr>
          <w:rFonts w:ascii="Palatino Linotype" w:eastAsia="Palatino Linotype" w:hAnsi="Palatino Linotype" w:cs="Arial"/>
          <w:color w:val="000000" w:themeColor="text1"/>
        </w:rPr>
        <w:t xml:space="preserve">presentó ante el </w:t>
      </w:r>
      <w:r w:rsidRPr="005A7997">
        <w:rPr>
          <w:rFonts w:ascii="Palatino Linotype" w:eastAsia="Palatino Linotype" w:hAnsi="Palatino Linotype" w:cs="Arial"/>
          <w:b/>
          <w:color w:val="000000" w:themeColor="text1"/>
        </w:rPr>
        <w:t>SUJETO OBLIGADO,</w:t>
      </w:r>
      <w:r w:rsidRPr="005A7997">
        <w:rPr>
          <w:rFonts w:ascii="Palatino Linotype" w:eastAsia="Palatino Linotype" w:hAnsi="Palatino Linotype" w:cs="Arial"/>
          <w:color w:val="000000" w:themeColor="text1"/>
        </w:rPr>
        <w:t xml:space="preserve"> a través del el Sistema de Acceso a la Información Mexiquense </w:t>
      </w:r>
      <w:r w:rsidRPr="005A7997">
        <w:rPr>
          <w:rFonts w:ascii="Palatino Linotype" w:eastAsia="Palatino Linotype" w:hAnsi="Palatino Linotype" w:cs="Arial"/>
          <w:b/>
          <w:color w:val="000000" w:themeColor="text1"/>
        </w:rPr>
        <w:t>(SAIMEX),</w:t>
      </w:r>
      <w:r w:rsidRPr="005A7997">
        <w:rPr>
          <w:rFonts w:ascii="Palatino Linotype" w:eastAsia="Palatino Linotype" w:hAnsi="Palatino Linotype" w:cs="Arial"/>
          <w:color w:val="000000" w:themeColor="text1"/>
        </w:rPr>
        <w:t xml:space="preserve"> la</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solicitud</w:t>
      </w:r>
      <w:r w:rsidR="00E922E9" w:rsidRPr="005A7997">
        <w:rPr>
          <w:rFonts w:ascii="Palatino Linotype" w:eastAsia="Palatino Linotype" w:hAnsi="Palatino Linotype" w:cs="Arial"/>
          <w:color w:val="000000" w:themeColor="text1"/>
        </w:rPr>
        <w:t>es</w:t>
      </w:r>
      <w:r w:rsidRPr="005A7997">
        <w:rPr>
          <w:rFonts w:ascii="Palatino Linotype" w:eastAsia="Palatino Linotype" w:hAnsi="Palatino Linotype" w:cs="Arial"/>
          <w:color w:val="000000" w:themeColor="text1"/>
        </w:rPr>
        <w:t xml:space="preserve"> de información pública</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w:t>
      </w:r>
      <w:r w:rsidR="00685981" w:rsidRPr="005A7997">
        <w:rPr>
          <w:rFonts w:ascii="Palatino Linotype" w:eastAsia="Palatino Linotype" w:hAnsi="Palatino Linotype" w:cs="Arial"/>
          <w:b/>
          <w:color w:val="000000" w:themeColor="text1"/>
        </w:rPr>
        <w:t>00445</w:t>
      </w:r>
      <w:r w:rsidR="001F7BC0" w:rsidRPr="005A7997">
        <w:rPr>
          <w:rFonts w:ascii="Palatino Linotype" w:eastAsia="Palatino Linotype" w:hAnsi="Palatino Linotype" w:cs="Arial"/>
          <w:b/>
          <w:color w:val="000000" w:themeColor="text1"/>
        </w:rPr>
        <w:t>/TOLUCA/IP/2025</w:t>
      </w:r>
      <w:r w:rsidR="00685981" w:rsidRPr="005A7997">
        <w:rPr>
          <w:rFonts w:ascii="Palatino Linotype" w:eastAsia="Palatino Linotype" w:hAnsi="Palatino Linotype" w:cs="Arial"/>
          <w:b/>
          <w:color w:val="000000" w:themeColor="text1"/>
        </w:rPr>
        <w:t xml:space="preserve"> y 00</w:t>
      </w:r>
      <w:r w:rsidR="00482B2D" w:rsidRPr="005A7997">
        <w:rPr>
          <w:rFonts w:ascii="Palatino Linotype" w:eastAsia="Palatino Linotype" w:hAnsi="Palatino Linotype" w:cs="Arial"/>
          <w:b/>
          <w:color w:val="000000" w:themeColor="text1"/>
        </w:rPr>
        <w:t>4</w:t>
      </w:r>
      <w:r w:rsidR="00685981" w:rsidRPr="005A7997">
        <w:rPr>
          <w:rFonts w:ascii="Palatino Linotype" w:eastAsia="Palatino Linotype" w:hAnsi="Palatino Linotype" w:cs="Arial"/>
          <w:b/>
          <w:color w:val="000000" w:themeColor="text1"/>
        </w:rPr>
        <w:t>33</w:t>
      </w:r>
      <w:r w:rsidRPr="005A7997">
        <w:rPr>
          <w:rFonts w:ascii="Palatino Linotype" w:eastAsia="Palatino Linotype" w:hAnsi="Palatino Linotype" w:cs="Arial"/>
          <w:b/>
          <w:color w:val="000000" w:themeColor="text1"/>
        </w:rPr>
        <w:t>/TOLUCA/IP/2025</w:t>
      </w:r>
      <w:r w:rsidRPr="005A7997">
        <w:rPr>
          <w:rFonts w:ascii="Palatino Linotype" w:eastAsia="Palatino Linotype" w:hAnsi="Palatino Linotype" w:cs="Arial"/>
          <w:color w:val="000000" w:themeColor="text1"/>
        </w:rPr>
        <w:t xml:space="preserve">, </w:t>
      </w:r>
      <w:r w:rsidR="00337DFE">
        <w:rPr>
          <w:rFonts w:ascii="Palatino Linotype" w:eastAsia="Palatino Linotype" w:hAnsi="Palatino Linotype" w:cs="Arial"/>
          <w:color w:val="000000" w:themeColor="text1"/>
        </w:rPr>
        <w:t>en las que se</w:t>
      </w:r>
      <w:r w:rsidRPr="005A7997">
        <w:rPr>
          <w:rFonts w:ascii="Palatino Linotype" w:eastAsia="Palatino Linotype" w:hAnsi="Palatino Linotype" w:cs="Arial"/>
          <w:color w:val="000000" w:themeColor="text1"/>
        </w:rPr>
        <w:t xml:space="preserve"> solicitó:</w:t>
      </w:r>
    </w:p>
    <w:p w:rsidR="009821B1" w:rsidRPr="005A7997" w:rsidRDefault="009821B1" w:rsidP="00E922E9">
      <w:pPr>
        <w:ind w:right="-28"/>
        <w:jc w:val="both"/>
        <w:rPr>
          <w:rFonts w:ascii="Palatino Linotype" w:eastAsia="Palatino Linotype" w:hAnsi="Palatino Linotype" w:cs="Arial"/>
          <w:i/>
          <w:color w:val="000000" w:themeColor="text1"/>
        </w:rPr>
      </w:pPr>
    </w:p>
    <w:tbl>
      <w:tblPr>
        <w:tblStyle w:val="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379"/>
      </w:tblGrid>
      <w:tr w:rsidR="00E922E9" w:rsidRPr="005A7997" w:rsidTr="00337DFE">
        <w:tc>
          <w:tcPr>
            <w:tcW w:w="3544" w:type="dxa"/>
            <w:shd w:val="clear" w:color="auto" w:fill="D9D9D9"/>
          </w:tcPr>
          <w:p w:rsidR="00482B2D"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 xml:space="preserve">06228/INFOEM/IP/RR/2025 </w:t>
            </w:r>
          </w:p>
          <w:p w:rsidR="00685981" w:rsidRPr="005A7997" w:rsidRDefault="00685981" w:rsidP="00E922E9">
            <w:pPr>
              <w:ind w:right="-28"/>
              <w:jc w:val="both"/>
              <w:rPr>
                <w:rFonts w:ascii="Palatino Linotype" w:eastAsia="Palatino Linotype" w:hAnsi="Palatino Linotype" w:cs="Arial"/>
                <w:b/>
                <w:color w:val="000000" w:themeColor="text1"/>
              </w:rPr>
            </w:pPr>
          </w:p>
          <w:p w:rsidR="00685981" w:rsidRPr="005A7997" w:rsidRDefault="00685981" w:rsidP="00E922E9">
            <w:pPr>
              <w:ind w:right="-28"/>
              <w:jc w:val="both"/>
              <w:rPr>
                <w:rFonts w:ascii="Palatino Linotype" w:eastAsia="Palatino Linotype" w:hAnsi="Palatino Linotype" w:cs="Arial"/>
                <w:i/>
                <w:color w:val="000000" w:themeColor="text1"/>
              </w:rPr>
            </w:pPr>
            <w:r w:rsidRPr="005A7997">
              <w:rPr>
                <w:rFonts w:ascii="Palatino Linotype" w:eastAsia="Palatino Linotype" w:hAnsi="Palatino Linotype" w:cs="Arial"/>
                <w:b/>
                <w:color w:val="000000" w:themeColor="text1"/>
              </w:rPr>
              <w:t>00445/TOLUCA/IP/2025</w:t>
            </w:r>
          </w:p>
        </w:tc>
        <w:tc>
          <w:tcPr>
            <w:tcW w:w="6379" w:type="dxa"/>
          </w:tcPr>
          <w:p w:rsidR="009821B1" w:rsidRPr="005A7997" w:rsidRDefault="00685981" w:rsidP="00E922E9">
            <w:pPr>
              <w:tabs>
                <w:tab w:val="left" w:pos="2175"/>
              </w:tabs>
              <w:ind w:right="-28"/>
              <w:jc w:val="both"/>
              <w:rPr>
                <w:rFonts w:ascii="Palatino Linotype" w:eastAsia="Palatino Linotype" w:hAnsi="Palatino Linotype" w:cs="Arial"/>
                <w:i/>
                <w:color w:val="000000" w:themeColor="text1"/>
              </w:rPr>
            </w:pPr>
            <w:r w:rsidRPr="005A7997">
              <w:rPr>
                <w:rFonts w:ascii="Palatino Linotype" w:eastAsia="Palatino Linotype" w:hAnsi="Palatino Linotype" w:cs="Arial"/>
                <w:i/>
                <w:color w:val="000000" w:themeColor="text1"/>
              </w:rPr>
              <w:t>“S</w:t>
            </w:r>
            <w:r w:rsidRPr="005A7997">
              <w:rPr>
                <w:rFonts w:ascii="Palatino Linotype" w:hAnsi="Palatino Linotype"/>
                <w:i/>
                <w:color w:val="000000" w:themeColor="text1"/>
              </w:rPr>
              <w:t>olicito la pagina o documentación del Panteón de San Francisco Chimalpa, Naucalpan de Juarez: 1.- Las actividades que hicieron los delegados del año 2000 a la fecha actual 2.- Que reglamento rige el panteón 3.- Mapa del panteón, es decir con cada tumba y el espacio que hay entre cada una 4.- El reglamento tiene validez oficial por parte del diario Oficial de la Federación 5.- Los cambios que se han echo a través del tiempo en periodos de tres años a partir del año 2000 7.- Documento de compra del panteón 8.- Documento de Donación del Pateón” (Sic)</w:t>
            </w:r>
          </w:p>
        </w:tc>
      </w:tr>
      <w:tr w:rsidR="00E922E9" w:rsidRPr="005A7997" w:rsidTr="00337DFE">
        <w:tc>
          <w:tcPr>
            <w:tcW w:w="3544" w:type="dxa"/>
            <w:shd w:val="clear" w:color="auto" w:fill="D9D9D9"/>
          </w:tcPr>
          <w:p w:rsidR="00482B2D"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06242/INFOEM/IP/RR/2025</w:t>
            </w:r>
          </w:p>
          <w:p w:rsidR="00685981" w:rsidRPr="005A7997" w:rsidRDefault="00685981" w:rsidP="00E922E9">
            <w:pPr>
              <w:ind w:right="-28"/>
              <w:jc w:val="both"/>
              <w:rPr>
                <w:rFonts w:ascii="Palatino Linotype" w:eastAsia="Palatino Linotype" w:hAnsi="Palatino Linotype" w:cs="Arial"/>
                <w:b/>
                <w:color w:val="000000" w:themeColor="text1"/>
              </w:rPr>
            </w:pPr>
          </w:p>
          <w:p w:rsidR="00685981" w:rsidRPr="005A7997" w:rsidRDefault="00685981" w:rsidP="00E922E9">
            <w:pPr>
              <w:ind w:right="-28"/>
              <w:jc w:val="both"/>
              <w:rPr>
                <w:rFonts w:ascii="Palatino Linotype" w:eastAsia="Palatino Linotype" w:hAnsi="Palatino Linotype" w:cs="Arial"/>
                <w:i/>
                <w:color w:val="000000" w:themeColor="text1"/>
              </w:rPr>
            </w:pPr>
            <w:r w:rsidRPr="005A7997">
              <w:rPr>
                <w:rFonts w:ascii="Palatino Linotype" w:eastAsia="Palatino Linotype" w:hAnsi="Palatino Linotype" w:cs="Arial"/>
                <w:b/>
                <w:color w:val="000000" w:themeColor="text1"/>
              </w:rPr>
              <w:t>00433/TOLUCA/IP/2025</w:t>
            </w:r>
          </w:p>
        </w:tc>
        <w:tc>
          <w:tcPr>
            <w:tcW w:w="6379" w:type="dxa"/>
          </w:tcPr>
          <w:p w:rsidR="009821B1" w:rsidRPr="005A7997" w:rsidRDefault="00685981" w:rsidP="00E922E9">
            <w:pPr>
              <w:ind w:right="-28"/>
              <w:jc w:val="both"/>
              <w:rPr>
                <w:rFonts w:ascii="Palatino Linotype" w:eastAsia="Palatino Linotype" w:hAnsi="Palatino Linotype" w:cs="Arial"/>
                <w:i/>
                <w:color w:val="000000" w:themeColor="text1"/>
              </w:rPr>
            </w:pPr>
            <w:r w:rsidRPr="005A7997">
              <w:rPr>
                <w:rFonts w:ascii="Palatino Linotype" w:eastAsia="Palatino Linotype" w:hAnsi="Palatino Linotype" w:cs="Arial"/>
                <w:i/>
                <w:color w:val="000000" w:themeColor="text1"/>
              </w:rPr>
              <w:t>“S</w:t>
            </w:r>
            <w:r w:rsidRPr="005A7997">
              <w:rPr>
                <w:rFonts w:ascii="Palatino Linotype" w:hAnsi="Palatino Linotype"/>
                <w:i/>
                <w:color w:val="000000" w:themeColor="text1"/>
              </w:rPr>
              <w:t>olicito la pagina o documento oficial con la cual se rige el reglamento del panteón de San Francisco Chimalpa Naucalpan de Juarez” (Sic)</w:t>
            </w:r>
          </w:p>
        </w:tc>
      </w:tr>
    </w:tbl>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lastRenderedPageBreak/>
        <w:t xml:space="preserve">Se hace constar que se señaló como modalidad de entrega de la información a través del </w:t>
      </w:r>
      <w:r w:rsidRPr="005A7997">
        <w:rPr>
          <w:rFonts w:ascii="Palatino Linotype" w:eastAsia="Palatino Linotype" w:hAnsi="Palatino Linotype" w:cs="Arial"/>
          <w:b/>
          <w:color w:val="000000" w:themeColor="text1"/>
        </w:rPr>
        <w:t>SAIMEX.</w:t>
      </w:r>
    </w:p>
    <w:p w:rsidR="00482B2D" w:rsidRPr="005A7997" w:rsidRDefault="00482B2D" w:rsidP="00E922E9">
      <w:pPr>
        <w:ind w:right="-28"/>
        <w:rPr>
          <w:rFonts w:ascii="Palatino Linotype" w:eastAsia="Palatino Linotype" w:hAnsi="Palatino Linotype" w:cs="Arial"/>
          <w:color w:val="000000" w:themeColor="text1"/>
        </w:rPr>
      </w:pPr>
    </w:p>
    <w:p w:rsidR="007F7593"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El </w:t>
      </w:r>
      <w:r w:rsidR="00685981" w:rsidRPr="005A7997">
        <w:rPr>
          <w:rFonts w:ascii="Palatino Linotype" w:eastAsia="Palatino Linotype" w:hAnsi="Palatino Linotype" w:cs="Arial"/>
          <w:color w:val="000000" w:themeColor="text1"/>
        </w:rPr>
        <w:t>dieciséis y veintidós de mayo</w:t>
      </w:r>
      <w:r w:rsidRPr="005A7997">
        <w:rPr>
          <w:rFonts w:ascii="Palatino Linotype" w:eastAsia="Palatino Linotype" w:hAnsi="Palatino Linotype" w:cs="Arial"/>
          <w:color w:val="000000" w:themeColor="text1"/>
        </w:rPr>
        <w:t xml:space="preserve"> de dos mil veinticinco, el </w:t>
      </w:r>
      <w:r w:rsidRPr="005A7997">
        <w:rPr>
          <w:rFonts w:ascii="Palatino Linotype" w:eastAsia="Palatino Linotype" w:hAnsi="Palatino Linotype" w:cs="Arial"/>
          <w:b/>
          <w:color w:val="000000" w:themeColor="text1"/>
        </w:rPr>
        <w:t>SUJETO OBLIGADO</w:t>
      </w:r>
      <w:r w:rsidRPr="005A7997">
        <w:rPr>
          <w:rFonts w:ascii="Palatino Linotype" w:eastAsia="Palatino Linotype" w:hAnsi="Palatino Linotype" w:cs="Arial"/>
          <w:b/>
          <w:i/>
          <w:color w:val="000000" w:themeColor="text1"/>
        </w:rPr>
        <w:t xml:space="preserve"> </w:t>
      </w:r>
      <w:r w:rsidRPr="005A7997">
        <w:rPr>
          <w:rFonts w:ascii="Palatino Linotype" w:eastAsia="Palatino Linotype" w:hAnsi="Palatino Linotype" w:cs="Arial"/>
          <w:color w:val="000000" w:themeColor="text1"/>
        </w:rPr>
        <w:t>dio respuesta a la</w:t>
      </w:r>
      <w:r w:rsidR="00E922E9" w:rsidRPr="005A7997">
        <w:rPr>
          <w:rFonts w:ascii="Palatino Linotype" w:eastAsia="Palatino Linotype" w:hAnsi="Palatino Linotype" w:cs="Arial"/>
          <w:color w:val="000000" w:themeColor="text1"/>
        </w:rPr>
        <w:t>s</w:t>
      </w:r>
      <w:r w:rsidRPr="005A7997">
        <w:rPr>
          <w:rFonts w:ascii="Palatino Linotype" w:eastAsia="Palatino Linotype" w:hAnsi="Palatino Linotype" w:cs="Arial"/>
          <w:color w:val="000000" w:themeColor="text1"/>
        </w:rPr>
        <w:t xml:space="preserve"> solicitud</w:t>
      </w:r>
      <w:r w:rsidR="00E922E9" w:rsidRPr="005A7997">
        <w:rPr>
          <w:rFonts w:ascii="Palatino Linotype" w:eastAsia="Palatino Linotype" w:hAnsi="Palatino Linotype" w:cs="Arial"/>
          <w:color w:val="000000" w:themeColor="text1"/>
        </w:rPr>
        <w:t>es</w:t>
      </w:r>
      <w:r w:rsidRPr="005A7997">
        <w:rPr>
          <w:rFonts w:ascii="Palatino Linotype" w:eastAsia="Palatino Linotype" w:hAnsi="Palatino Linotype" w:cs="Arial"/>
          <w:color w:val="000000" w:themeColor="text1"/>
        </w:rPr>
        <w:t xml:space="preserve"> de información, </w:t>
      </w:r>
      <w:r w:rsidR="00F824D9" w:rsidRPr="005A7997">
        <w:rPr>
          <w:rFonts w:ascii="Palatino Linotype" w:eastAsia="Palatino Linotype" w:hAnsi="Palatino Linotype" w:cs="Arial"/>
          <w:color w:val="000000" w:themeColor="text1"/>
        </w:rPr>
        <w:t>por medio de los siguientes archivos electrónicos:</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tbl>
      <w:tblPr>
        <w:tblStyle w:val="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379"/>
      </w:tblGrid>
      <w:tr w:rsidR="00E922E9" w:rsidRPr="005A7997" w:rsidTr="00337DFE">
        <w:tc>
          <w:tcPr>
            <w:tcW w:w="3544" w:type="dxa"/>
            <w:shd w:val="clear" w:color="auto" w:fill="D9D9D9"/>
          </w:tcPr>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 xml:space="preserve">06228/INFOEM/IP/RR/2025 </w:t>
            </w:r>
          </w:p>
          <w:p w:rsidR="00685981" w:rsidRPr="005A7997" w:rsidRDefault="00685981" w:rsidP="00E922E9">
            <w:pPr>
              <w:ind w:right="-28"/>
              <w:jc w:val="both"/>
              <w:rPr>
                <w:rFonts w:ascii="Palatino Linotype" w:eastAsia="Palatino Linotype" w:hAnsi="Palatino Linotype" w:cs="Arial"/>
                <w:b/>
                <w:color w:val="000000" w:themeColor="text1"/>
              </w:rPr>
            </w:pPr>
          </w:p>
          <w:p w:rsidR="00520F4A" w:rsidRPr="005A7997" w:rsidRDefault="00685981" w:rsidP="00E922E9">
            <w:pPr>
              <w:ind w:right="-28"/>
              <w:jc w:val="both"/>
              <w:rPr>
                <w:rFonts w:ascii="Palatino Linotype" w:eastAsia="Palatino Linotype" w:hAnsi="Palatino Linotype" w:cs="Arial"/>
                <w:b/>
                <w:i/>
                <w:color w:val="000000" w:themeColor="text1"/>
              </w:rPr>
            </w:pPr>
            <w:r w:rsidRPr="005A7997">
              <w:rPr>
                <w:rFonts w:ascii="Palatino Linotype" w:eastAsia="Palatino Linotype" w:hAnsi="Palatino Linotype" w:cs="Arial"/>
                <w:b/>
                <w:color w:val="000000" w:themeColor="text1"/>
              </w:rPr>
              <w:t>00445/TOLUCA/IP/2025</w:t>
            </w:r>
          </w:p>
        </w:tc>
        <w:tc>
          <w:tcPr>
            <w:tcW w:w="6379" w:type="dxa"/>
          </w:tcPr>
          <w:p w:rsidR="00AC365F" w:rsidRPr="005A7997" w:rsidRDefault="00A42613" w:rsidP="00E922E9">
            <w:pPr>
              <w:tabs>
                <w:tab w:val="left" w:pos="2175"/>
              </w:tabs>
              <w:ind w:right="-28"/>
              <w:jc w:val="both"/>
              <w:rPr>
                <w:rFonts w:ascii="Palatino Linotype" w:eastAsiaTheme="minorEastAsia" w:hAnsi="Palatino Linotype" w:cstheme="minorBidi"/>
                <w:color w:val="000000" w:themeColor="text1"/>
              </w:rPr>
            </w:pPr>
            <w:hyperlink r:id="rId8" w:tgtFrame="_blank" w:history="1">
              <w:r w:rsidR="00685981" w:rsidRPr="005A7997">
                <w:rPr>
                  <w:rFonts w:ascii="Palatino Linotype" w:eastAsiaTheme="minorEastAsia" w:hAnsi="Palatino Linotype" w:cs="Arial"/>
                  <w:b/>
                  <w:bCs/>
                  <w:color w:val="000000" w:themeColor="text1"/>
                </w:rPr>
                <w:t>00445NAUCALPAIP2025.pdf</w:t>
              </w:r>
            </w:hyperlink>
            <w:r w:rsidR="00685981" w:rsidRPr="005A7997">
              <w:rPr>
                <w:rFonts w:ascii="Palatino Linotype" w:eastAsiaTheme="minorEastAsia" w:hAnsi="Palatino Linotype" w:cstheme="minorBidi"/>
                <w:b/>
                <w:color w:val="000000" w:themeColor="text1"/>
              </w:rPr>
              <w:t>:</w:t>
            </w:r>
            <w:r w:rsidR="00233A31" w:rsidRPr="005A7997">
              <w:rPr>
                <w:rFonts w:ascii="Palatino Linotype" w:eastAsiaTheme="minorEastAsia" w:hAnsi="Palatino Linotype" w:cstheme="minorBidi"/>
                <w:b/>
                <w:color w:val="000000" w:themeColor="text1"/>
              </w:rPr>
              <w:t xml:space="preserve"> </w:t>
            </w:r>
            <w:r w:rsidR="00233A31" w:rsidRPr="005A7997">
              <w:rPr>
                <w:rFonts w:ascii="Palatino Linotype" w:eastAsiaTheme="minorEastAsia" w:hAnsi="Palatino Linotype" w:cstheme="minorBidi"/>
                <w:color w:val="000000" w:themeColor="text1"/>
              </w:rPr>
              <w:t xml:space="preserve">Oficio suscrito por el Director de Servicios Públicos, por medio del cual, </w:t>
            </w:r>
            <w:r w:rsidR="009F6ABB" w:rsidRPr="005A7997">
              <w:rPr>
                <w:rFonts w:ascii="Palatino Linotype" w:eastAsiaTheme="minorEastAsia" w:hAnsi="Palatino Linotype" w:cstheme="minorBidi"/>
                <w:color w:val="000000" w:themeColor="text1"/>
              </w:rPr>
              <w:t>informó que después de realizar una búsqueda exhaustiva en los archivos de la Dirección de Servicios Públicos, no hay en existencia, ni se encontraron contratos, registros, copias evidencia fotográfica o documentos que acrediten la información solicitada, asimismo, señaló que el panteón referido así como otros panteones privados y/o particulares, son de usos y costumbres de dicha población y son de administración local, por lo que la Dirección de Servicios Públicos, así como, el Departamento de Panteones no tienen competencia para realizar ningún tipo de trámites, contratos, convenios y/o licitaciones de ningún tipo, ya que dicha información es de competencia directa de la administración del panteón del Poblado de San Francisco Chimalpa. (Artículo 7.4)</w:t>
            </w:r>
          </w:p>
          <w:p w:rsidR="009F6ABB" w:rsidRPr="005A7997" w:rsidRDefault="009F6ABB" w:rsidP="00E922E9">
            <w:pPr>
              <w:tabs>
                <w:tab w:val="left" w:pos="2175"/>
              </w:tabs>
              <w:ind w:right="-28"/>
              <w:jc w:val="both"/>
              <w:rPr>
                <w:rFonts w:ascii="Palatino Linotype" w:eastAsia="Palatino Linotype" w:hAnsi="Palatino Linotype" w:cs="Arial"/>
                <w:b/>
                <w:color w:val="000000" w:themeColor="text1"/>
              </w:rPr>
            </w:pPr>
          </w:p>
        </w:tc>
      </w:tr>
      <w:tr w:rsidR="00E922E9" w:rsidRPr="005A7997" w:rsidTr="00337DFE">
        <w:tc>
          <w:tcPr>
            <w:tcW w:w="3544" w:type="dxa"/>
            <w:shd w:val="clear" w:color="auto" w:fill="D9D9D9"/>
          </w:tcPr>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06242/INFOEM/IP/RR/2025</w:t>
            </w:r>
          </w:p>
          <w:p w:rsidR="00685981" w:rsidRPr="005A7997" w:rsidRDefault="00685981" w:rsidP="00E922E9">
            <w:pPr>
              <w:ind w:right="-28"/>
              <w:jc w:val="both"/>
              <w:rPr>
                <w:rFonts w:ascii="Palatino Linotype" w:eastAsia="Palatino Linotype" w:hAnsi="Palatino Linotype" w:cs="Arial"/>
                <w:b/>
                <w:color w:val="000000" w:themeColor="text1"/>
              </w:rPr>
            </w:pPr>
          </w:p>
          <w:p w:rsidR="002A15EA" w:rsidRPr="005A7997" w:rsidRDefault="00685981" w:rsidP="00E922E9">
            <w:pPr>
              <w:ind w:right="-28"/>
              <w:jc w:val="both"/>
              <w:rPr>
                <w:rFonts w:ascii="Palatino Linotype" w:eastAsia="Palatino Linotype" w:hAnsi="Palatino Linotype" w:cs="Arial"/>
                <w:b/>
                <w:i/>
                <w:color w:val="000000" w:themeColor="text1"/>
              </w:rPr>
            </w:pPr>
            <w:r w:rsidRPr="005A7997">
              <w:rPr>
                <w:rFonts w:ascii="Palatino Linotype" w:eastAsia="Palatino Linotype" w:hAnsi="Palatino Linotype" w:cs="Arial"/>
                <w:b/>
                <w:color w:val="000000" w:themeColor="text1"/>
              </w:rPr>
              <w:t>00433/TOLUCA/IP/2025</w:t>
            </w:r>
          </w:p>
        </w:tc>
        <w:tc>
          <w:tcPr>
            <w:tcW w:w="6379" w:type="dxa"/>
          </w:tcPr>
          <w:p w:rsidR="006538A3" w:rsidRPr="005A7997" w:rsidRDefault="00A42613" w:rsidP="00E922E9">
            <w:pPr>
              <w:tabs>
                <w:tab w:val="left" w:pos="2175"/>
              </w:tabs>
              <w:ind w:right="-28"/>
              <w:jc w:val="both"/>
              <w:rPr>
                <w:rFonts w:ascii="Palatino Linotype" w:eastAsiaTheme="minorEastAsia" w:hAnsi="Palatino Linotype" w:cstheme="minorBidi"/>
                <w:color w:val="000000" w:themeColor="text1"/>
              </w:rPr>
            </w:pPr>
            <w:hyperlink r:id="rId9" w:tgtFrame="_blank" w:history="1">
              <w:r w:rsidR="00685981" w:rsidRPr="005A7997">
                <w:rPr>
                  <w:rFonts w:ascii="Palatino Linotype" w:eastAsiaTheme="minorEastAsia" w:hAnsi="Palatino Linotype" w:cs="Arial"/>
                  <w:b/>
                  <w:bCs/>
                  <w:color w:val="000000" w:themeColor="text1"/>
                </w:rPr>
                <w:t>oficio 00433NAUCALPAIP2025.pdf</w:t>
              </w:r>
            </w:hyperlink>
            <w:r w:rsidR="00685981" w:rsidRPr="005A7997">
              <w:rPr>
                <w:rFonts w:ascii="Palatino Linotype" w:eastAsiaTheme="minorEastAsia" w:hAnsi="Palatino Linotype" w:cstheme="minorBidi"/>
                <w:b/>
                <w:color w:val="000000" w:themeColor="text1"/>
              </w:rPr>
              <w:t>:</w:t>
            </w:r>
            <w:r w:rsidR="009F6ABB" w:rsidRPr="005A7997">
              <w:rPr>
                <w:rFonts w:ascii="Palatino Linotype" w:eastAsiaTheme="minorEastAsia" w:hAnsi="Palatino Linotype" w:cstheme="minorBidi"/>
                <w:b/>
                <w:color w:val="000000" w:themeColor="text1"/>
              </w:rPr>
              <w:t xml:space="preserve"> </w:t>
            </w:r>
            <w:r w:rsidR="009F6ABB" w:rsidRPr="005A7997">
              <w:rPr>
                <w:rFonts w:ascii="Palatino Linotype" w:eastAsiaTheme="minorEastAsia" w:hAnsi="Palatino Linotype" w:cstheme="minorBidi"/>
                <w:color w:val="000000" w:themeColor="text1"/>
              </w:rPr>
              <w:t>Oficio suscrito por el Director de Servicios Públicos, por medio del cual, refirió que después de realizar una búsqueda exhaustiva</w:t>
            </w:r>
            <w:r w:rsidR="006538A3" w:rsidRPr="005A7997">
              <w:rPr>
                <w:rFonts w:ascii="Palatino Linotype" w:eastAsiaTheme="minorEastAsia" w:hAnsi="Palatino Linotype" w:cstheme="minorBidi"/>
                <w:color w:val="000000" w:themeColor="text1"/>
              </w:rPr>
              <w:t xml:space="preserve"> en los archivos de la Dirección de Servicios Públicos, no hay existencia ni se encontraron contratos, registros, copias, evidencia fotográfica o documentos que acrediten la información solicitada. Asimismo, señaló que el panteón referido en la solicitud de información, así como otros panteones privados y/o particulares, son de usos y costumbres de dicha población y son de administración local, por lo que la Dirección de Servicios Públicos, así </w:t>
            </w:r>
            <w:r w:rsidR="006538A3" w:rsidRPr="005A7997">
              <w:rPr>
                <w:rFonts w:ascii="Palatino Linotype" w:eastAsiaTheme="minorEastAsia" w:hAnsi="Palatino Linotype" w:cstheme="minorBidi"/>
                <w:color w:val="000000" w:themeColor="text1"/>
              </w:rPr>
              <w:lastRenderedPageBreak/>
              <w:t>como en el Departamento de Panteones, no tiene competencia para realizar ningún tipo de trámites, contratos, convenios y/o licitaciones de ningún tipo, ya que dicha información es de competencia directa de la administración del panteón del Poblado de San Francisco Chimalpa. (Artículo 7.4)</w:t>
            </w:r>
          </w:p>
          <w:p w:rsidR="00685981" w:rsidRPr="005A7997" w:rsidRDefault="00685981" w:rsidP="00E922E9">
            <w:pPr>
              <w:ind w:right="-28"/>
              <w:jc w:val="both"/>
              <w:rPr>
                <w:rFonts w:ascii="Palatino Linotype" w:hAnsi="Palatino Linotype" w:cs="Arial"/>
                <w:b/>
                <w:color w:val="000000" w:themeColor="text1"/>
              </w:rPr>
            </w:pPr>
          </w:p>
        </w:tc>
      </w:tr>
    </w:tbl>
    <w:p w:rsidR="009821B1" w:rsidRPr="005A7997" w:rsidRDefault="009821B1" w:rsidP="00E922E9">
      <w:pPr>
        <w:spacing w:line="360" w:lineRule="auto"/>
        <w:ind w:right="-28"/>
        <w:rPr>
          <w:rFonts w:ascii="Palatino Linotype" w:eastAsia="Palatino Linotype" w:hAnsi="Palatino Linotype" w:cs="Arial"/>
          <w:b/>
          <w:color w:val="000000" w:themeColor="text1"/>
        </w:rPr>
      </w:pPr>
    </w:p>
    <w:p w:rsidR="009821B1" w:rsidRPr="005A7997" w:rsidRDefault="00AC365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El </w:t>
      </w:r>
      <w:r w:rsidR="00685981" w:rsidRPr="005A7997">
        <w:rPr>
          <w:rFonts w:ascii="Palatino Linotype" w:eastAsia="Palatino Linotype" w:hAnsi="Palatino Linotype" w:cs="Arial"/>
          <w:color w:val="000000" w:themeColor="text1"/>
        </w:rPr>
        <w:t>veintinueve de mayo</w:t>
      </w:r>
      <w:r w:rsidR="005D2BDF" w:rsidRPr="005A7997">
        <w:rPr>
          <w:rFonts w:ascii="Palatino Linotype" w:eastAsia="Palatino Linotype" w:hAnsi="Palatino Linotype" w:cs="Arial"/>
          <w:color w:val="000000" w:themeColor="text1"/>
        </w:rPr>
        <w:t xml:space="preserve"> de dos mil veinticinco,</w:t>
      </w:r>
      <w:r w:rsidR="005D2BDF" w:rsidRPr="005A7997">
        <w:rPr>
          <w:rFonts w:ascii="Palatino Linotype" w:eastAsia="Palatino Linotype" w:hAnsi="Palatino Linotype" w:cs="Arial"/>
          <w:b/>
          <w:color w:val="000000" w:themeColor="text1"/>
        </w:rPr>
        <w:t xml:space="preserve"> </w:t>
      </w:r>
      <w:r w:rsidR="005D2BDF" w:rsidRPr="005A7997">
        <w:rPr>
          <w:rFonts w:ascii="Palatino Linotype" w:eastAsia="Palatino Linotype" w:hAnsi="Palatino Linotype" w:cs="Arial"/>
          <w:color w:val="000000" w:themeColor="text1"/>
        </w:rPr>
        <w:t xml:space="preserve">el </w:t>
      </w:r>
      <w:r w:rsidR="005D2BDF" w:rsidRPr="005A7997">
        <w:rPr>
          <w:rFonts w:ascii="Palatino Linotype" w:eastAsia="Palatino Linotype" w:hAnsi="Palatino Linotype" w:cs="Arial"/>
          <w:b/>
          <w:color w:val="000000" w:themeColor="text1"/>
        </w:rPr>
        <w:t>RECURRENTE</w:t>
      </w:r>
      <w:r w:rsidR="005D2BDF" w:rsidRPr="005A7997">
        <w:rPr>
          <w:rFonts w:ascii="Palatino Linotype" w:eastAsia="Palatino Linotype" w:hAnsi="Palatino Linotype" w:cs="Arial"/>
          <w:color w:val="000000" w:themeColor="text1"/>
        </w:rPr>
        <w:t xml:space="preserve"> interpuso el recurso de revisión en contra de la respuesta respectivamente, en los </w:t>
      </w:r>
      <w:r w:rsidR="00685981" w:rsidRPr="005A7997">
        <w:rPr>
          <w:rFonts w:ascii="Palatino Linotype" w:eastAsia="Palatino Linotype" w:hAnsi="Palatino Linotype" w:cs="Arial"/>
          <w:color w:val="000000" w:themeColor="text1"/>
        </w:rPr>
        <w:t>siguientes</w:t>
      </w:r>
      <w:r w:rsidR="005D2BDF" w:rsidRPr="005A7997">
        <w:rPr>
          <w:rFonts w:ascii="Palatino Linotype" w:eastAsia="Palatino Linotype" w:hAnsi="Palatino Linotype" w:cs="Arial"/>
          <w:color w:val="000000" w:themeColor="text1"/>
        </w:rPr>
        <w:t xml:space="preserve"> términos, señalando como:</w:t>
      </w:r>
    </w:p>
    <w:p w:rsidR="009821B1" w:rsidRPr="005A7997" w:rsidRDefault="009821B1" w:rsidP="00E922E9">
      <w:pPr>
        <w:ind w:right="-28"/>
        <w:jc w:val="both"/>
        <w:rPr>
          <w:rFonts w:ascii="Palatino Linotype" w:eastAsia="Palatino Linotype" w:hAnsi="Palatino Linotype" w:cs="Arial"/>
          <w:color w:val="000000" w:themeColor="text1"/>
        </w:rPr>
      </w:pPr>
    </w:p>
    <w:tbl>
      <w:tblPr>
        <w:tblStyle w:val="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242"/>
      </w:tblGrid>
      <w:tr w:rsidR="00E922E9" w:rsidRPr="005A7997" w:rsidTr="00337DFE">
        <w:tc>
          <w:tcPr>
            <w:tcW w:w="3681" w:type="dxa"/>
            <w:shd w:val="clear" w:color="auto" w:fill="D9D9D9"/>
          </w:tcPr>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 xml:space="preserve">06228/INFOEM/IP/RR/2025 </w:t>
            </w:r>
          </w:p>
          <w:p w:rsidR="00685981" w:rsidRPr="005A7997" w:rsidRDefault="00685981" w:rsidP="00E922E9">
            <w:pPr>
              <w:ind w:right="-28"/>
              <w:jc w:val="both"/>
              <w:rPr>
                <w:rFonts w:ascii="Palatino Linotype" w:eastAsia="Palatino Linotype" w:hAnsi="Palatino Linotype" w:cs="Arial"/>
                <w:b/>
                <w:color w:val="000000" w:themeColor="text1"/>
              </w:rPr>
            </w:pPr>
          </w:p>
          <w:p w:rsidR="00685981" w:rsidRPr="005A7997" w:rsidRDefault="00685981" w:rsidP="00E922E9">
            <w:pPr>
              <w:ind w:right="-28"/>
              <w:jc w:val="both"/>
              <w:rPr>
                <w:rFonts w:ascii="Palatino Linotype" w:eastAsia="Palatino Linotype" w:hAnsi="Palatino Linotype" w:cs="Arial"/>
                <w:b/>
                <w:i/>
                <w:color w:val="000000" w:themeColor="text1"/>
              </w:rPr>
            </w:pPr>
            <w:r w:rsidRPr="005A7997">
              <w:rPr>
                <w:rFonts w:ascii="Palatino Linotype" w:eastAsia="Palatino Linotype" w:hAnsi="Palatino Linotype" w:cs="Arial"/>
                <w:b/>
                <w:color w:val="000000" w:themeColor="text1"/>
              </w:rPr>
              <w:t>00445/TOLUCA/IP/2025</w:t>
            </w:r>
          </w:p>
        </w:tc>
        <w:tc>
          <w:tcPr>
            <w:tcW w:w="6242" w:type="dxa"/>
          </w:tcPr>
          <w:p w:rsidR="00B823EE" w:rsidRPr="005A7997" w:rsidRDefault="00685981" w:rsidP="00E922E9">
            <w:pPr>
              <w:ind w:right="-28"/>
              <w:jc w:val="both"/>
              <w:rPr>
                <w:rFonts w:ascii="Palatino Linotype" w:hAnsi="Palatino Linotype"/>
                <w:i/>
                <w:color w:val="000000" w:themeColor="text1"/>
              </w:rPr>
            </w:pPr>
            <w:r w:rsidRPr="005A7997">
              <w:rPr>
                <w:rFonts w:ascii="Palatino Linotype" w:eastAsia="Palatino Linotype" w:hAnsi="Palatino Linotype" w:cs="Arial"/>
                <w:b/>
                <w:color w:val="000000" w:themeColor="text1"/>
              </w:rPr>
              <w:t xml:space="preserve">ACTO IMPUGNADO: </w:t>
            </w:r>
            <w:r w:rsidRPr="005A7997">
              <w:rPr>
                <w:rFonts w:ascii="Palatino Linotype" w:eastAsia="Palatino Linotype" w:hAnsi="Palatino Linotype" w:cs="Arial"/>
                <w:i/>
                <w:color w:val="000000" w:themeColor="text1"/>
              </w:rPr>
              <w:t>“</w:t>
            </w:r>
            <w:r w:rsidRPr="005A7997">
              <w:rPr>
                <w:rFonts w:ascii="Palatino Linotype" w:hAnsi="Palatino Linotype"/>
                <w:i/>
                <w:color w:val="000000" w:themeColor="text1"/>
              </w:rPr>
              <w:t>Aún no entregan la documentación de las auditorias de los años solicitados, mencionan que son usos y costumbres: UNO. ¿Usos y costumbres es vender los pasos que hay entre cada tumba? DOS. ¿El panteón se rige por usos y costumbres al igual que la comunidad? TRES. ¿Los usos y costumbres están por enc</w:t>
            </w:r>
            <w:r w:rsidR="00172485" w:rsidRPr="005A7997">
              <w:rPr>
                <w:rFonts w:ascii="Palatino Linotype" w:hAnsi="Palatino Linotype"/>
                <w:i/>
                <w:color w:val="000000" w:themeColor="text1"/>
              </w:rPr>
              <w:t>ima de la carta magna? CUATRO.¿</w:t>
            </w:r>
          </w:p>
          <w:p w:rsidR="00B823EE" w:rsidRPr="005A7997" w:rsidRDefault="00B823EE" w:rsidP="00E922E9">
            <w:pPr>
              <w:ind w:right="-28"/>
              <w:jc w:val="both"/>
              <w:rPr>
                <w:rFonts w:ascii="Palatino Linotype" w:hAnsi="Palatino Linotype"/>
                <w:i/>
                <w:color w:val="000000" w:themeColor="text1"/>
              </w:rPr>
            </w:pPr>
          </w:p>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hAnsi="Palatino Linotype"/>
                <w:i/>
                <w:color w:val="000000" w:themeColor="text1"/>
              </w:rPr>
              <w:t>Por que no entregan la documentación de cada auditoria? CINCO ¿Quien vigila las anomalías de los panteones? SEIS ¿Puede ser parte el que cobra y el que da las auditorias? Desde que empezaron a cobrar no se ha visto ninguna auditoria, antes no se cobraba y había paso entre cada tumba</w:t>
            </w:r>
            <w:r w:rsidRPr="005A7997">
              <w:rPr>
                <w:rFonts w:ascii="Palatino Linotype" w:eastAsia="Palatino Linotype" w:hAnsi="Palatino Linotype" w:cs="Arial"/>
                <w:i/>
                <w:color w:val="000000" w:themeColor="text1"/>
              </w:rPr>
              <w:t>” (Sic)</w:t>
            </w:r>
          </w:p>
          <w:p w:rsidR="00685981" w:rsidRPr="005A7997" w:rsidRDefault="00685981" w:rsidP="00E922E9">
            <w:pPr>
              <w:ind w:right="-28"/>
              <w:jc w:val="both"/>
              <w:rPr>
                <w:rFonts w:ascii="Palatino Linotype" w:eastAsia="Palatino Linotype" w:hAnsi="Palatino Linotype" w:cs="Arial"/>
                <w:b/>
                <w:color w:val="000000" w:themeColor="text1"/>
              </w:rPr>
            </w:pPr>
          </w:p>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 xml:space="preserve">RAZONEZ O MOTIVOS DE INCONFORMIDAD: </w:t>
            </w:r>
            <w:r w:rsidRPr="005A7997">
              <w:rPr>
                <w:rFonts w:ascii="Palatino Linotype" w:eastAsia="Palatino Linotype" w:hAnsi="Palatino Linotype" w:cs="Arial"/>
                <w:i/>
                <w:color w:val="000000" w:themeColor="text1"/>
              </w:rPr>
              <w:t>“</w:t>
            </w:r>
            <w:r w:rsidRPr="005A7997">
              <w:rPr>
                <w:rFonts w:ascii="Palatino Linotype" w:hAnsi="Palatino Linotype"/>
                <w:i/>
                <w:color w:val="000000" w:themeColor="text1"/>
              </w:rPr>
              <w:t>No existe antecedentes de las auditorias de los diferentes cobros Si existe un reglamento, cual es el que gobierna el panteón de San Francisco Chimalpa, no lo mencionan ni lo justifican Mencionan que se maneja por usos y costumbres. Lo que se ve es que están haciendo lo que quieren en cada año o periodo</w:t>
            </w:r>
            <w:r w:rsidRPr="005A7997">
              <w:rPr>
                <w:rFonts w:ascii="Palatino Linotype" w:eastAsia="Palatino Linotype" w:hAnsi="Palatino Linotype" w:cs="Arial"/>
                <w:i/>
                <w:color w:val="000000" w:themeColor="text1"/>
              </w:rPr>
              <w:t>” (Sic)</w:t>
            </w:r>
          </w:p>
          <w:p w:rsidR="00685981" w:rsidRPr="005A7997" w:rsidRDefault="00685981" w:rsidP="00E922E9">
            <w:pPr>
              <w:tabs>
                <w:tab w:val="left" w:pos="2175"/>
              </w:tabs>
              <w:ind w:right="-28"/>
              <w:jc w:val="both"/>
              <w:rPr>
                <w:rFonts w:ascii="Palatino Linotype" w:eastAsia="Palatino Linotype" w:hAnsi="Palatino Linotype" w:cs="Arial"/>
                <w:b/>
                <w:color w:val="000000" w:themeColor="text1"/>
              </w:rPr>
            </w:pPr>
          </w:p>
        </w:tc>
      </w:tr>
      <w:tr w:rsidR="00E922E9" w:rsidRPr="005A7997" w:rsidTr="00337DFE">
        <w:tc>
          <w:tcPr>
            <w:tcW w:w="3681" w:type="dxa"/>
            <w:shd w:val="clear" w:color="auto" w:fill="D9D9D9"/>
          </w:tcPr>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06242/INFOEM/IP/RR/2025</w:t>
            </w:r>
          </w:p>
          <w:p w:rsidR="00685981" w:rsidRPr="005A7997" w:rsidRDefault="00685981" w:rsidP="00E922E9">
            <w:pPr>
              <w:ind w:right="-28"/>
              <w:jc w:val="both"/>
              <w:rPr>
                <w:rFonts w:ascii="Palatino Linotype" w:eastAsia="Palatino Linotype" w:hAnsi="Palatino Linotype" w:cs="Arial"/>
                <w:b/>
                <w:color w:val="000000" w:themeColor="text1"/>
              </w:rPr>
            </w:pPr>
          </w:p>
          <w:p w:rsidR="00685981" w:rsidRPr="005A7997" w:rsidRDefault="00685981" w:rsidP="00E922E9">
            <w:pPr>
              <w:ind w:right="-28"/>
              <w:jc w:val="both"/>
              <w:rPr>
                <w:rFonts w:ascii="Palatino Linotype" w:eastAsia="Palatino Linotype" w:hAnsi="Palatino Linotype" w:cs="Arial"/>
                <w:b/>
                <w:i/>
                <w:color w:val="000000" w:themeColor="text1"/>
              </w:rPr>
            </w:pPr>
            <w:r w:rsidRPr="005A7997">
              <w:rPr>
                <w:rFonts w:ascii="Palatino Linotype" w:eastAsia="Palatino Linotype" w:hAnsi="Palatino Linotype" w:cs="Arial"/>
                <w:b/>
                <w:color w:val="000000" w:themeColor="text1"/>
              </w:rPr>
              <w:t>00433/TOLUCA/IP/2025</w:t>
            </w:r>
          </w:p>
        </w:tc>
        <w:tc>
          <w:tcPr>
            <w:tcW w:w="6242" w:type="dxa"/>
          </w:tcPr>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t xml:space="preserve">ACTO IMPUGNADO: </w:t>
            </w:r>
            <w:r w:rsidRPr="005A7997">
              <w:rPr>
                <w:rFonts w:ascii="Palatino Linotype" w:eastAsia="Palatino Linotype" w:hAnsi="Palatino Linotype" w:cs="Arial"/>
                <w:i/>
                <w:color w:val="000000" w:themeColor="text1"/>
              </w:rPr>
              <w:t>“</w:t>
            </w:r>
            <w:r w:rsidRPr="005A7997">
              <w:rPr>
                <w:rFonts w:ascii="Palatino Linotype" w:hAnsi="Palatino Linotype"/>
                <w:i/>
                <w:color w:val="000000" w:themeColor="text1"/>
              </w:rPr>
              <w:t>No entregan documentación y mencionan que son usos y costumbres por las que se rige el panteón</w:t>
            </w:r>
            <w:r w:rsidRPr="005A7997">
              <w:rPr>
                <w:rFonts w:ascii="Palatino Linotype" w:eastAsia="Palatino Linotype" w:hAnsi="Palatino Linotype" w:cs="Arial"/>
                <w:i/>
                <w:color w:val="000000" w:themeColor="text1"/>
              </w:rPr>
              <w:t>” (Sic)</w:t>
            </w:r>
          </w:p>
          <w:p w:rsidR="00685981" w:rsidRPr="005A7997" w:rsidRDefault="00685981" w:rsidP="00E922E9">
            <w:pPr>
              <w:ind w:right="-28"/>
              <w:jc w:val="both"/>
              <w:rPr>
                <w:rFonts w:ascii="Palatino Linotype" w:eastAsia="Palatino Linotype" w:hAnsi="Palatino Linotype" w:cs="Arial"/>
                <w:b/>
                <w:color w:val="000000" w:themeColor="text1"/>
              </w:rPr>
            </w:pPr>
          </w:p>
          <w:p w:rsidR="00685981" w:rsidRPr="005A7997" w:rsidRDefault="00685981" w:rsidP="00E922E9">
            <w:pPr>
              <w:ind w:right="-28"/>
              <w:jc w:val="both"/>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lastRenderedPageBreak/>
              <w:t xml:space="preserve">RAZONEZ O MOTIVOS DE INCONFORMIDAD: </w:t>
            </w:r>
            <w:r w:rsidRPr="005A7997">
              <w:rPr>
                <w:rFonts w:ascii="Palatino Linotype" w:eastAsia="Palatino Linotype" w:hAnsi="Palatino Linotype" w:cs="Arial"/>
                <w:i/>
                <w:color w:val="000000" w:themeColor="text1"/>
              </w:rPr>
              <w:t>“</w:t>
            </w:r>
            <w:r w:rsidR="002B58AF" w:rsidRPr="005A7997">
              <w:rPr>
                <w:rFonts w:ascii="Palatino Linotype" w:hAnsi="Palatino Linotype"/>
                <w:i/>
                <w:color w:val="000000" w:themeColor="text1"/>
              </w:rPr>
              <w:t>1.-Existen diversos cobros que hacen al panteón los cuales no presentan y muestra auditorias. 2.- Mencionan que son usos y costumbres, las cuales se rige el panteón 3.- No hay minutas por las cuales se ponen representantes 4.- Existen recibos de los cuales tiene el logo o sello del palacio de Naucalpan 5.- Si los servidores públicos están mintiendo hacer las denuncias correspondientes a contraloría y a la fiscalía, por vender terreno que no son de ellos 6.- Argumenten los usos y costumbres</w:t>
            </w:r>
            <w:r w:rsidRPr="005A7997">
              <w:rPr>
                <w:rFonts w:ascii="Palatino Linotype" w:eastAsia="Palatino Linotype" w:hAnsi="Palatino Linotype" w:cs="Arial"/>
                <w:i/>
                <w:color w:val="000000" w:themeColor="text1"/>
              </w:rPr>
              <w:t>” (Sic)</w:t>
            </w:r>
          </w:p>
          <w:p w:rsidR="00685981" w:rsidRPr="005A7997" w:rsidRDefault="00685981" w:rsidP="00E922E9">
            <w:pPr>
              <w:ind w:right="-28"/>
              <w:jc w:val="both"/>
              <w:rPr>
                <w:rFonts w:ascii="Palatino Linotype" w:hAnsi="Palatino Linotype" w:cs="Arial"/>
                <w:b/>
                <w:color w:val="000000" w:themeColor="text1"/>
              </w:rPr>
            </w:pPr>
          </w:p>
        </w:tc>
      </w:tr>
    </w:tbl>
    <w:p w:rsidR="00AC365F" w:rsidRPr="005A7997" w:rsidRDefault="00AC365F" w:rsidP="00E922E9">
      <w:pPr>
        <w:ind w:right="-28"/>
        <w:jc w:val="both"/>
        <w:rPr>
          <w:rFonts w:ascii="Palatino Linotype" w:eastAsia="Palatino Linotype" w:hAnsi="Palatino Linotype" w:cs="Arial"/>
          <w:b/>
          <w:color w:val="000000" w:themeColor="text1"/>
        </w:rPr>
      </w:pP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Se registraron los recursos de revisión bajo los números de expediente </w:t>
      </w:r>
      <w:r w:rsidR="002B58AF" w:rsidRPr="005A7997">
        <w:rPr>
          <w:rFonts w:ascii="Palatino Linotype" w:eastAsia="Palatino Linotype" w:hAnsi="Palatino Linotype" w:cs="Arial"/>
          <w:b/>
          <w:color w:val="000000" w:themeColor="text1"/>
        </w:rPr>
        <w:t>06228/INFOEM/IP/RR/2025 y 06242</w:t>
      </w:r>
      <w:r w:rsidR="00AC365F" w:rsidRPr="005A7997">
        <w:rPr>
          <w:rFonts w:ascii="Palatino Linotype" w:eastAsia="Palatino Linotype" w:hAnsi="Palatino Linotype" w:cs="Arial"/>
          <w:b/>
          <w:color w:val="000000" w:themeColor="text1"/>
        </w:rPr>
        <w:t>/INFOEM/IP/RR/2025</w:t>
      </w:r>
      <w:r w:rsidRPr="005A7997">
        <w:rPr>
          <w:rFonts w:ascii="Palatino Linotype" w:eastAsia="Palatino Linotype" w:hAnsi="Palatino Linotype" w:cs="Arial"/>
          <w:color w:val="000000" w:themeColor="text1"/>
        </w:rPr>
        <w:t xml:space="preserve">; asimismo, con fundamento en lo dispuesto por el artículo 185, fracción I, de la Ley de Transparencia y Acceso a la Información Pública del Estado de México y Municipios se turnaron a la </w:t>
      </w:r>
      <w:r w:rsidRPr="005A7997">
        <w:rPr>
          <w:rFonts w:ascii="Palatino Linotype" w:eastAsia="Palatino Linotype" w:hAnsi="Palatino Linotype" w:cs="Arial"/>
          <w:b/>
          <w:color w:val="000000" w:themeColor="text1"/>
        </w:rPr>
        <w:t xml:space="preserve">Comisionada </w:t>
      </w:r>
      <w:r w:rsidR="00AC365F" w:rsidRPr="005A7997">
        <w:rPr>
          <w:rFonts w:ascii="Palatino Linotype" w:eastAsia="Palatino Linotype" w:hAnsi="Palatino Linotype" w:cs="Arial"/>
          <w:b/>
          <w:color w:val="000000" w:themeColor="text1"/>
        </w:rPr>
        <w:t xml:space="preserve">María del Rosario Mejía Ayala </w:t>
      </w:r>
      <w:r w:rsidRPr="005A7997">
        <w:rPr>
          <w:rFonts w:ascii="Palatino Linotype" w:eastAsia="Palatino Linotype" w:hAnsi="Palatino Linotype" w:cs="Arial"/>
          <w:color w:val="000000" w:themeColor="text1"/>
        </w:rPr>
        <w:t>con el objeto de su análisis.</w:t>
      </w:r>
    </w:p>
    <w:p w:rsidR="00B56FFD" w:rsidRPr="005A7997" w:rsidRDefault="00B56FFD"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Posteriormente, en la</w:t>
      </w:r>
      <w:r w:rsidRPr="005A7997">
        <w:rPr>
          <w:rFonts w:ascii="Palatino Linotype" w:eastAsia="Palatino Linotype" w:hAnsi="Palatino Linotype" w:cs="Arial"/>
          <w:b/>
          <w:color w:val="000000" w:themeColor="text1"/>
        </w:rPr>
        <w:t xml:space="preserve"> Vigésima </w:t>
      </w:r>
      <w:r w:rsidR="00D74E73" w:rsidRPr="005A7997">
        <w:rPr>
          <w:rFonts w:ascii="Palatino Linotype" w:eastAsia="Palatino Linotype" w:hAnsi="Palatino Linotype" w:cs="Arial"/>
          <w:b/>
          <w:color w:val="000000" w:themeColor="text1"/>
        </w:rPr>
        <w:t>Segunda</w:t>
      </w:r>
      <w:r w:rsidR="00751228" w:rsidRPr="005A7997">
        <w:rPr>
          <w:rFonts w:ascii="Palatino Linotype" w:eastAsia="Palatino Linotype" w:hAnsi="Palatino Linotype" w:cs="Arial"/>
          <w:b/>
          <w:color w:val="000000" w:themeColor="text1"/>
        </w:rPr>
        <w:t xml:space="preserve"> </w:t>
      </w:r>
      <w:r w:rsidRPr="005A7997">
        <w:rPr>
          <w:rFonts w:ascii="Palatino Linotype" w:eastAsia="Palatino Linotype" w:hAnsi="Palatino Linotype" w:cs="Arial"/>
          <w:b/>
          <w:color w:val="000000" w:themeColor="text1"/>
        </w:rPr>
        <w:t xml:space="preserve">Sesión Ordinaria, </w:t>
      </w:r>
      <w:r w:rsidRPr="005A7997">
        <w:rPr>
          <w:rFonts w:ascii="Palatino Linotype" w:eastAsia="Palatino Linotype" w:hAnsi="Palatino Linotype" w:cs="Arial"/>
          <w:color w:val="000000" w:themeColor="text1"/>
        </w:rPr>
        <w:t xml:space="preserve">celebrada el </w:t>
      </w:r>
      <w:r w:rsidR="00D74E73" w:rsidRPr="005A7997">
        <w:rPr>
          <w:rFonts w:ascii="Palatino Linotype" w:eastAsia="Palatino Linotype" w:hAnsi="Palatino Linotype" w:cs="Arial"/>
          <w:color w:val="000000" w:themeColor="text1"/>
        </w:rPr>
        <w:t xml:space="preserve">dieciocho de junio </w:t>
      </w:r>
      <w:r w:rsidRPr="005A7997">
        <w:rPr>
          <w:rFonts w:ascii="Palatino Linotype" w:eastAsia="Palatino Linotype" w:hAnsi="Palatino Linotype" w:cs="Arial"/>
          <w:color w:val="000000" w:themeColor="text1"/>
        </w:rPr>
        <w:t>de dos mil veinticinco, el Pleno de este Órgano Autónomo ordenó la acumulación del recurso de revisión</w:t>
      </w:r>
      <w:r w:rsidRPr="005A7997">
        <w:rPr>
          <w:rFonts w:ascii="Palatino Linotype" w:eastAsia="Palatino Linotype" w:hAnsi="Palatino Linotype" w:cs="Arial"/>
          <w:b/>
          <w:color w:val="000000" w:themeColor="text1"/>
        </w:rPr>
        <w:t xml:space="preserve"> </w:t>
      </w:r>
      <w:r w:rsidR="00D74E73" w:rsidRPr="005A7997">
        <w:rPr>
          <w:rFonts w:ascii="Palatino Linotype" w:eastAsia="Palatino Linotype" w:hAnsi="Palatino Linotype" w:cs="Arial"/>
          <w:b/>
          <w:color w:val="000000" w:themeColor="text1"/>
        </w:rPr>
        <w:t>06242</w:t>
      </w:r>
      <w:r w:rsidR="00AC365F" w:rsidRPr="005A7997">
        <w:rPr>
          <w:rFonts w:ascii="Palatino Linotype" w:eastAsia="Palatino Linotype" w:hAnsi="Palatino Linotype" w:cs="Arial"/>
          <w:b/>
          <w:color w:val="000000" w:themeColor="text1"/>
        </w:rPr>
        <w:t>/INFOEM/IP/RR/2025</w:t>
      </w:r>
      <w:r w:rsidR="00E922E9" w:rsidRPr="005A7997">
        <w:rPr>
          <w:rFonts w:ascii="Palatino Linotype" w:eastAsia="Palatino Linotype" w:hAnsi="Palatino Linotype" w:cs="Arial"/>
          <w:b/>
          <w:color w:val="000000" w:themeColor="text1"/>
        </w:rPr>
        <w:t xml:space="preserve"> </w:t>
      </w:r>
      <w:r w:rsidRPr="005A7997">
        <w:rPr>
          <w:rFonts w:ascii="Palatino Linotype" w:eastAsia="Palatino Linotype" w:hAnsi="Palatino Linotype" w:cs="Arial"/>
          <w:color w:val="000000" w:themeColor="text1"/>
        </w:rPr>
        <w:t xml:space="preserve">al diverso </w:t>
      </w:r>
      <w:r w:rsidR="00D74E73" w:rsidRPr="005A7997">
        <w:rPr>
          <w:rFonts w:ascii="Palatino Linotype" w:eastAsia="Palatino Linotype" w:hAnsi="Palatino Linotype" w:cs="Arial"/>
          <w:b/>
          <w:color w:val="000000" w:themeColor="text1"/>
        </w:rPr>
        <w:t>0622</w:t>
      </w:r>
      <w:r w:rsidR="00D806F4" w:rsidRPr="005A7997">
        <w:rPr>
          <w:rFonts w:ascii="Palatino Linotype" w:eastAsia="Palatino Linotype" w:hAnsi="Palatino Linotype" w:cs="Arial"/>
          <w:b/>
          <w:color w:val="000000" w:themeColor="text1"/>
        </w:rPr>
        <w:t>8</w:t>
      </w:r>
      <w:r w:rsidR="00AC365F" w:rsidRPr="005A7997">
        <w:rPr>
          <w:rFonts w:ascii="Palatino Linotype" w:eastAsia="Palatino Linotype" w:hAnsi="Palatino Linotype" w:cs="Arial"/>
          <w:b/>
          <w:color w:val="000000" w:themeColor="text1"/>
        </w:rPr>
        <w:t>/INFOEM/IP/RR/2025</w:t>
      </w:r>
      <w:r w:rsidRPr="005A7997">
        <w:rPr>
          <w:rFonts w:ascii="Palatino Linotype" w:eastAsia="Palatino Linotype" w:hAnsi="Palatino Linotype" w:cs="Arial"/>
          <w:color w:val="000000" w:themeColor="text1"/>
        </w:rPr>
        <w:t>, a efecto de que está Órgano Garante formulará y presentará el proyecto de resolución correspondiente, de conformidad con el numeral ONCE, incisos b) y c), de los Lineamientos para la Recepción, Trámite y Resolución de las Solicitudes de Acceso a la Información Pública.</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La Comisionada Ponente con fundamento en lo dispuesto por el artículo 185 fracción II de la ley de la materia, a través del acuerdo de admisión</w:t>
      </w:r>
      <w:r w:rsidR="00850B49" w:rsidRPr="005A7997">
        <w:rPr>
          <w:rFonts w:ascii="Palatino Linotype" w:eastAsia="Palatino Linotype" w:hAnsi="Palatino Linotype" w:cs="Arial"/>
          <w:color w:val="000000" w:themeColor="text1"/>
        </w:rPr>
        <w:t xml:space="preserve"> </w:t>
      </w:r>
      <w:r w:rsidR="00D74E73" w:rsidRPr="005A7997">
        <w:rPr>
          <w:rFonts w:ascii="Palatino Linotype" w:eastAsia="Palatino Linotype" w:hAnsi="Palatino Linotype" w:cs="Arial"/>
          <w:color w:val="000000" w:themeColor="text1"/>
        </w:rPr>
        <w:t>dos de junio</w:t>
      </w:r>
      <w:r w:rsidRPr="005A7997">
        <w:rPr>
          <w:rFonts w:ascii="Palatino Linotype" w:eastAsia="Palatino Linotype" w:hAnsi="Palatino Linotype" w:cs="Arial"/>
          <w:color w:val="000000" w:themeColor="text1"/>
        </w:rPr>
        <w:t xml:space="preserve"> de dos mil veinticinco, puso a disposición de las partes el expediente electrónico vía </w:t>
      </w:r>
      <w:r w:rsidRPr="005A7997">
        <w:rPr>
          <w:rFonts w:ascii="Palatino Linotype" w:eastAsia="Palatino Linotype" w:hAnsi="Palatino Linotype" w:cs="Arial"/>
          <w:b/>
          <w:color w:val="000000" w:themeColor="text1"/>
        </w:rPr>
        <w:t xml:space="preserve">SAIMEX </w:t>
      </w:r>
      <w:r w:rsidRPr="005A7997">
        <w:rPr>
          <w:rFonts w:ascii="Palatino Linotype" w:eastAsia="Palatino Linotype" w:hAnsi="Palatino Linotype" w:cs="Arial"/>
          <w:color w:val="000000" w:themeColor="text1"/>
        </w:rPr>
        <w:t xml:space="preserve">a efecto de que en un plazo máximo de siete días manifestara lo que a derecho conviniera, ofreciera pruebas y alegatos </w:t>
      </w:r>
      <w:r w:rsidRPr="005A7997">
        <w:rPr>
          <w:rFonts w:ascii="Palatino Linotype" w:eastAsia="Palatino Linotype" w:hAnsi="Palatino Linotype" w:cs="Arial"/>
          <w:color w:val="000000" w:themeColor="text1"/>
        </w:rPr>
        <w:lastRenderedPageBreak/>
        <w:t xml:space="preserve">según corresponda al caso concreto, de esta forma para que el </w:t>
      </w:r>
      <w:r w:rsidRPr="005A7997">
        <w:rPr>
          <w:rFonts w:ascii="Palatino Linotype" w:eastAsia="Palatino Linotype" w:hAnsi="Palatino Linotype" w:cs="Arial"/>
          <w:b/>
          <w:color w:val="000000" w:themeColor="text1"/>
        </w:rPr>
        <w:t>SUJETO OBLIGADO</w:t>
      </w:r>
      <w:r w:rsidRPr="005A7997">
        <w:rPr>
          <w:rFonts w:ascii="Palatino Linotype" w:eastAsia="Palatino Linotype" w:hAnsi="Palatino Linotype" w:cs="Arial"/>
          <w:color w:val="000000" w:themeColor="text1"/>
        </w:rPr>
        <w:t xml:space="preserve"> presentará el informe justificado procedente.</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9821B1" w:rsidRPr="005A7997" w:rsidRDefault="0090640A"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El </w:t>
      </w:r>
      <w:r w:rsidR="00172485" w:rsidRPr="005A7997">
        <w:rPr>
          <w:rFonts w:ascii="Palatino Linotype" w:eastAsia="Palatino Linotype" w:hAnsi="Palatino Linotype" w:cs="Arial"/>
          <w:color w:val="000000" w:themeColor="text1"/>
        </w:rPr>
        <w:t>nueve de junio</w:t>
      </w:r>
      <w:r w:rsidR="005D2BDF" w:rsidRPr="005A7997">
        <w:rPr>
          <w:rFonts w:ascii="Palatino Linotype" w:eastAsia="Palatino Linotype" w:hAnsi="Palatino Linotype" w:cs="Arial"/>
          <w:color w:val="000000" w:themeColor="text1"/>
        </w:rPr>
        <w:t xml:space="preserve"> de dos mil veinticinco, el </w:t>
      </w:r>
      <w:r w:rsidR="005D2BDF" w:rsidRPr="005A7997">
        <w:rPr>
          <w:rFonts w:ascii="Palatino Linotype" w:eastAsia="Palatino Linotype" w:hAnsi="Palatino Linotype" w:cs="Arial"/>
          <w:b/>
          <w:color w:val="000000" w:themeColor="text1"/>
        </w:rPr>
        <w:t>SUJETO OBLIGADO</w:t>
      </w:r>
      <w:r w:rsidR="005D2BDF" w:rsidRPr="005A7997">
        <w:rPr>
          <w:rFonts w:ascii="Palatino Linotype" w:eastAsia="Palatino Linotype" w:hAnsi="Palatino Linotype" w:cs="Arial"/>
          <w:color w:val="000000" w:themeColor="text1"/>
        </w:rPr>
        <w:t xml:space="preserve"> rindió el informe justificado correspondiente, por medio </w:t>
      </w:r>
      <w:r w:rsidRPr="005A7997">
        <w:rPr>
          <w:rFonts w:ascii="Palatino Linotype" w:eastAsia="Palatino Linotype" w:hAnsi="Palatino Linotype" w:cs="Arial"/>
          <w:color w:val="000000" w:themeColor="text1"/>
        </w:rPr>
        <w:t xml:space="preserve">del cual, </w:t>
      </w:r>
      <w:r w:rsidRPr="005A7997">
        <w:rPr>
          <w:rFonts w:ascii="Palatino Linotype" w:eastAsia="Palatino Linotype" w:hAnsi="Palatino Linotype" w:cs="Arial"/>
          <w:b/>
          <w:color w:val="000000" w:themeColor="text1"/>
        </w:rPr>
        <w:t xml:space="preserve">ratificó la respuesta. </w:t>
      </w:r>
    </w:p>
    <w:p w:rsidR="00D74E73" w:rsidRPr="005A7997" w:rsidRDefault="00D74E73"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2" w:name="_heading=h.1fob9te" w:colFirst="0" w:colLast="0"/>
      <w:bookmarkEnd w:id="2"/>
      <w:r w:rsidRPr="005A7997">
        <w:rPr>
          <w:rFonts w:ascii="Palatino Linotype" w:eastAsia="Palatino Linotype" w:hAnsi="Palatino Linotype" w:cs="Arial"/>
          <w:color w:val="000000" w:themeColor="text1"/>
        </w:rPr>
        <w:t xml:space="preserve">Por su parte, el </w:t>
      </w:r>
      <w:r w:rsidRPr="005A7997">
        <w:rPr>
          <w:rFonts w:ascii="Palatino Linotype" w:eastAsia="Palatino Linotype" w:hAnsi="Palatino Linotype" w:cs="Arial"/>
          <w:b/>
          <w:color w:val="000000" w:themeColor="text1"/>
        </w:rPr>
        <w:t xml:space="preserve">RECURRENTE </w:t>
      </w:r>
      <w:r w:rsidRPr="005A7997">
        <w:rPr>
          <w:rFonts w:ascii="Palatino Linotype" w:eastAsia="Palatino Linotype" w:hAnsi="Palatino Linotype" w:cs="Arial"/>
          <w:color w:val="000000" w:themeColor="text1"/>
        </w:rPr>
        <w:t>no realizó manifestaciones, ni ofreció pruebas o alegatos que a su derecho conviniera.</w:t>
      </w:r>
    </w:p>
    <w:p w:rsidR="00172485" w:rsidRPr="005A7997" w:rsidRDefault="00172485" w:rsidP="00E922E9">
      <w:pPr>
        <w:ind w:right="-28"/>
        <w:rPr>
          <w:rFonts w:ascii="Palatino Linotype" w:eastAsia="Palatino Linotype" w:hAnsi="Palatino Linotype" w:cs="Arial"/>
          <w:color w:val="000000" w:themeColor="text1"/>
        </w:rPr>
      </w:pPr>
    </w:p>
    <w:p w:rsidR="00005D06" w:rsidRPr="005A7997" w:rsidRDefault="00005D06"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El veintiuno de agosto </w:t>
      </w:r>
      <w:r w:rsidRPr="005A7997">
        <w:rPr>
          <w:rFonts w:ascii="Palatino Linotype" w:eastAsia="Palatino Linotype" w:hAnsi="Palatino Linotype" w:cs="Palatino Linotype"/>
          <w:color w:val="000000" w:themeColor="text1"/>
        </w:rPr>
        <w:t>de dos mil veinticinco, se notificó el acuerdo mediante el cual se aprobó la ampliación de plazo para emitir resolución.</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b/>
          <w:color w:val="000000" w:themeColor="text1"/>
        </w:rPr>
      </w:pPr>
      <w:r w:rsidRPr="005A7997">
        <w:rPr>
          <w:rFonts w:ascii="Palatino Linotype" w:eastAsia="Palatino Linotype" w:hAnsi="Palatino Linotype" w:cs="Arial"/>
          <w:color w:val="000000" w:themeColor="text1"/>
        </w:rPr>
        <w:t xml:space="preserve">La Comisionada Ponente decretó el cierre de instrucción mediante el acuerdo del </w:t>
      </w:r>
      <w:r w:rsidR="009C3D5B" w:rsidRPr="005A7997">
        <w:rPr>
          <w:rFonts w:ascii="Palatino Linotype" w:eastAsia="Palatino Linotype" w:hAnsi="Palatino Linotype" w:cs="Arial"/>
          <w:color w:val="000000" w:themeColor="text1"/>
        </w:rPr>
        <w:t>veintisiete</w:t>
      </w:r>
      <w:r w:rsidR="0090640A" w:rsidRPr="005A7997">
        <w:rPr>
          <w:rFonts w:ascii="Palatino Linotype" w:eastAsia="Palatino Linotype" w:hAnsi="Palatino Linotype" w:cs="Arial"/>
          <w:color w:val="000000" w:themeColor="text1"/>
        </w:rPr>
        <w:t xml:space="preserve"> de agosto</w:t>
      </w:r>
      <w:r w:rsidR="00E922E9" w:rsidRPr="005A7997">
        <w:rPr>
          <w:rFonts w:ascii="Palatino Linotype" w:eastAsia="Palatino Linotype" w:hAnsi="Palatino Linotype" w:cs="Arial"/>
          <w:color w:val="000000" w:themeColor="text1"/>
        </w:rPr>
        <w:t xml:space="preserve"> de dos mil veinticinco</w:t>
      </w:r>
    </w:p>
    <w:p w:rsidR="009821B1" w:rsidRPr="005A7997" w:rsidRDefault="009821B1" w:rsidP="00E922E9">
      <w:pPr>
        <w:spacing w:line="360" w:lineRule="auto"/>
        <w:ind w:right="-28"/>
        <w:jc w:val="both"/>
        <w:rPr>
          <w:rFonts w:ascii="Palatino Linotype" w:eastAsia="Palatino Linotype" w:hAnsi="Palatino Linotype" w:cs="Arial"/>
          <w:b/>
          <w:color w:val="000000" w:themeColor="text1"/>
        </w:rPr>
      </w:pPr>
    </w:p>
    <w:p w:rsidR="009821B1" w:rsidRPr="005A7997" w:rsidRDefault="005D2BDF" w:rsidP="00E922E9">
      <w:pPr>
        <w:keepNext/>
        <w:keepLines/>
        <w:spacing w:line="360" w:lineRule="auto"/>
        <w:ind w:right="-28"/>
        <w:jc w:val="center"/>
        <w:rPr>
          <w:rFonts w:ascii="Palatino Linotype" w:eastAsia="Palatino Linotype" w:hAnsi="Palatino Linotype" w:cs="Arial"/>
          <w:color w:val="000000" w:themeColor="text1"/>
        </w:rPr>
      </w:pPr>
      <w:r w:rsidRPr="005A7997">
        <w:rPr>
          <w:rFonts w:ascii="Palatino Linotype" w:eastAsia="Palatino Linotype" w:hAnsi="Palatino Linotype" w:cs="Arial"/>
          <w:b/>
          <w:color w:val="000000" w:themeColor="text1"/>
        </w:rPr>
        <w:t xml:space="preserve">C O N S I D E R A N D O </w:t>
      </w:r>
    </w:p>
    <w:p w:rsidR="009821B1" w:rsidRPr="005A7997" w:rsidRDefault="009821B1" w:rsidP="00E922E9">
      <w:pPr>
        <w:spacing w:line="360" w:lineRule="auto"/>
        <w:ind w:right="-28"/>
        <w:rPr>
          <w:rFonts w:ascii="Palatino Linotype" w:eastAsia="Palatino Linotype" w:hAnsi="Palatino Linotype" w:cs="Arial"/>
          <w:color w:val="000000" w:themeColor="text1"/>
        </w:rPr>
      </w:pPr>
    </w:p>
    <w:p w:rsidR="009821B1" w:rsidRPr="005A7997" w:rsidRDefault="005D2BDF" w:rsidP="00E922E9">
      <w:pPr>
        <w:keepNext/>
        <w:keepLines/>
        <w:spacing w:line="360" w:lineRule="auto"/>
        <w:ind w:right="-28"/>
        <w:rPr>
          <w:rFonts w:ascii="Palatino Linotype" w:eastAsia="Palatino Linotype" w:hAnsi="Palatino Linotype" w:cs="Arial"/>
          <w:b/>
          <w:color w:val="000000" w:themeColor="text1"/>
        </w:rPr>
      </w:pPr>
      <w:bookmarkStart w:id="3" w:name="_heading=h.3znysh7" w:colFirst="0" w:colLast="0"/>
      <w:bookmarkEnd w:id="3"/>
      <w:r w:rsidRPr="005A7997">
        <w:rPr>
          <w:rFonts w:ascii="Palatino Linotype" w:eastAsia="Palatino Linotype" w:hAnsi="Palatino Linotype" w:cs="Arial"/>
          <w:b/>
          <w:color w:val="000000" w:themeColor="text1"/>
        </w:rPr>
        <w:t>PRIMERO. De la competencia.</w:t>
      </w: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w:t>
      </w:r>
      <w:r w:rsidRPr="005A7997">
        <w:rPr>
          <w:rFonts w:ascii="Palatino Linotype" w:eastAsia="Palatino Linotype" w:hAnsi="Palatino Linotype" w:cs="Arial"/>
          <w:color w:val="000000" w:themeColor="text1"/>
        </w:rPr>
        <w:lastRenderedPageBreak/>
        <w:t>y 11 del Reglamento Interior del Instituto de Transparencia, Acceso a la Información Pública y Protección de Datos Personales del Estado de México y Municipios.</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keepNext/>
        <w:keepLines/>
        <w:spacing w:line="360" w:lineRule="auto"/>
        <w:ind w:right="-28"/>
        <w:rPr>
          <w:rFonts w:ascii="Palatino Linotype" w:eastAsia="Palatino Linotype" w:hAnsi="Palatino Linotype" w:cs="Arial"/>
          <w:b/>
          <w:color w:val="000000" w:themeColor="text1"/>
        </w:rPr>
      </w:pPr>
      <w:bookmarkStart w:id="4" w:name="_heading=h.2et92p0" w:colFirst="0" w:colLast="0"/>
      <w:bookmarkEnd w:id="4"/>
      <w:r w:rsidRPr="005A7997">
        <w:rPr>
          <w:rFonts w:ascii="Palatino Linotype" w:eastAsia="Palatino Linotype" w:hAnsi="Palatino Linotype" w:cs="Arial"/>
          <w:b/>
          <w:color w:val="000000" w:themeColor="text1"/>
        </w:rPr>
        <w:t>SEGUNDO. De la oportunidad y procedencia.</w:t>
      </w: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El medio de impugnación fue presentado a través del </w:t>
      </w:r>
      <w:r w:rsidRPr="005A7997">
        <w:rPr>
          <w:rFonts w:ascii="Palatino Linotype" w:eastAsia="Palatino Linotype" w:hAnsi="Palatino Linotype" w:cs="Arial"/>
          <w:b/>
          <w:color w:val="000000" w:themeColor="text1"/>
        </w:rPr>
        <w:t>SAIMEX,</w:t>
      </w:r>
      <w:r w:rsidRPr="005A7997">
        <w:rPr>
          <w:rFonts w:ascii="Palatino Linotype" w:eastAsia="Palatino Linotype" w:hAnsi="Palatino Linotype" w:cs="Arial"/>
          <w:color w:val="000000" w:themeColor="text1"/>
        </w:rPr>
        <w:t xml:space="preserve"> en el formato previamente aprobado para tal efecto y dentro del plazo legal de quince días hábiles otorgados; siendo así que el </w:t>
      </w:r>
      <w:r w:rsidRPr="005A7997">
        <w:rPr>
          <w:rFonts w:ascii="Palatino Linotype" w:eastAsia="Palatino Linotype" w:hAnsi="Palatino Linotype" w:cs="Arial"/>
          <w:b/>
          <w:color w:val="000000" w:themeColor="text1"/>
        </w:rPr>
        <w:t>SUJETO OBLIGADO</w:t>
      </w:r>
      <w:r w:rsidRPr="005A7997">
        <w:rPr>
          <w:rFonts w:ascii="Palatino Linotype" w:eastAsia="Palatino Linotype" w:hAnsi="Palatino Linotype" w:cs="Arial"/>
          <w:color w:val="000000" w:themeColor="text1"/>
        </w:rPr>
        <w:t xml:space="preserve"> entregó respuesta el </w:t>
      </w:r>
      <w:r w:rsidR="00E3575B" w:rsidRPr="005A7997">
        <w:rPr>
          <w:rFonts w:ascii="Palatino Linotype" w:eastAsia="Palatino Linotype" w:hAnsi="Palatino Linotype" w:cs="Arial"/>
          <w:color w:val="000000" w:themeColor="text1"/>
        </w:rPr>
        <w:t>dieciséis de mayo</w:t>
      </w:r>
      <w:r w:rsidRPr="005A7997">
        <w:rPr>
          <w:rFonts w:ascii="Palatino Linotype" w:eastAsia="Palatino Linotype" w:hAnsi="Palatino Linotype" w:cs="Arial"/>
          <w:color w:val="000000" w:themeColor="text1"/>
        </w:rPr>
        <w:t xml:space="preserve"> de dos mil veinticinco, de tal forma que el plazo para interponer el recurso de revisión transcurrió del </w:t>
      </w:r>
      <w:r w:rsidR="00E3575B" w:rsidRPr="005A7997">
        <w:rPr>
          <w:rFonts w:ascii="Palatino Linotype" w:eastAsia="Palatino Linotype" w:hAnsi="Palatino Linotype" w:cs="Arial"/>
          <w:color w:val="000000" w:themeColor="text1"/>
        </w:rPr>
        <w:t>diecinueve de mayo</w:t>
      </w:r>
      <w:r w:rsidR="00102FAE" w:rsidRPr="005A7997">
        <w:rPr>
          <w:rFonts w:ascii="Palatino Linotype" w:eastAsia="Palatino Linotype" w:hAnsi="Palatino Linotype" w:cs="Arial"/>
          <w:color w:val="000000" w:themeColor="text1"/>
        </w:rPr>
        <w:t xml:space="preserve"> </w:t>
      </w:r>
      <w:r w:rsidRPr="005A7997">
        <w:rPr>
          <w:rFonts w:ascii="Palatino Linotype" w:eastAsia="Palatino Linotype" w:hAnsi="Palatino Linotype" w:cs="Arial"/>
          <w:color w:val="000000" w:themeColor="text1"/>
        </w:rPr>
        <w:t xml:space="preserve">al </w:t>
      </w:r>
      <w:r w:rsidR="00E3575B" w:rsidRPr="005A7997">
        <w:rPr>
          <w:rFonts w:ascii="Palatino Linotype" w:eastAsia="Palatino Linotype" w:hAnsi="Palatino Linotype" w:cs="Arial"/>
          <w:color w:val="000000" w:themeColor="text1"/>
        </w:rPr>
        <w:t>seis de junio</w:t>
      </w:r>
      <w:r w:rsidRPr="005A7997">
        <w:rPr>
          <w:rFonts w:ascii="Palatino Linotype" w:eastAsia="Palatino Linotype" w:hAnsi="Palatino Linotype" w:cs="Arial"/>
          <w:color w:val="000000" w:themeColor="text1"/>
        </w:rPr>
        <w:t xml:space="preserve"> de dos mil veinticinco; en consecuencia, presen</w:t>
      </w:r>
      <w:r w:rsidR="00102FAE" w:rsidRPr="005A7997">
        <w:rPr>
          <w:rFonts w:ascii="Palatino Linotype" w:eastAsia="Palatino Linotype" w:hAnsi="Palatino Linotype" w:cs="Arial"/>
          <w:color w:val="000000" w:themeColor="text1"/>
        </w:rPr>
        <w:t xml:space="preserve">tó su inconformidad el </w:t>
      </w:r>
      <w:r w:rsidR="00E3575B" w:rsidRPr="005A7997">
        <w:rPr>
          <w:rFonts w:ascii="Palatino Linotype" w:eastAsia="Palatino Linotype" w:hAnsi="Palatino Linotype" w:cs="Arial"/>
          <w:color w:val="000000" w:themeColor="text1"/>
        </w:rPr>
        <w:t>veintinueve de mayo</w:t>
      </w:r>
      <w:r w:rsidRPr="005A7997">
        <w:rPr>
          <w:rFonts w:ascii="Palatino Linotype" w:eastAsia="Palatino Linotype" w:hAnsi="Palatino Linotype" w:cs="Arial"/>
          <w:color w:val="000000" w:themeColor="text1"/>
        </w:rPr>
        <w:t xml:space="preserve"> de dos mil veinticinco, por lo que se encuentra dentro de los márgenes temporales previstos en el artículo 178 de la </w:t>
      </w:r>
      <w:r w:rsidRPr="005A7997">
        <w:rPr>
          <w:rFonts w:ascii="Palatino Linotype" w:eastAsia="Palatino Linotype" w:hAnsi="Palatino Linotype" w:cs="Arial"/>
          <w:b/>
          <w:color w:val="000000" w:themeColor="text1"/>
        </w:rPr>
        <w:t xml:space="preserve">Ley de Transparencia y Acceso a la Información Pública del Estado de México y Municipios </w:t>
      </w:r>
      <w:r w:rsidRPr="005A7997">
        <w:rPr>
          <w:rFonts w:ascii="Palatino Linotype" w:eastAsia="Palatino Linotype" w:hAnsi="Palatino Linotype" w:cs="Arial"/>
          <w:color w:val="000000" w:themeColor="text1"/>
        </w:rPr>
        <w:t>vigente.</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5" w:name="_heading=h.3dy6vkm" w:colFirst="0" w:colLast="0"/>
      <w:bookmarkEnd w:id="5"/>
      <w:r w:rsidRPr="005A7997">
        <w:rPr>
          <w:rFonts w:ascii="Palatino Linotype" w:eastAsia="Palatino Linotype" w:hAnsi="Palatino Linotype" w:cs="Arial"/>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0D07B2" w:rsidRPr="005A7997" w:rsidRDefault="005D2BDF" w:rsidP="00E922E9">
      <w:pPr>
        <w:pStyle w:val="Ttulo1"/>
        <w:spacing w:before="0" w:line="360" w:lineRule="auto"/>
        <w:ind w:right="-28"/>
        <w:rPr>
          <w:color w:val="000000" w:themeColor="text1"/>
        </w:rPr>
      </w:pPr>
      <w:r w:rsidRPr="005A7997">
        <w:rPr>
          <w:rFonts w:cs="Arial"/>
          <w:color w:val="000000" w:themeColor="text1"/>
        </w:rPr>
        <w:t xml:space="preserve">TERCERO. </w:t>
      </w:r>
      <w:r w:rsidR="000D07B2" w:rsidRPr="005A7997">
        <w:rPr>
          <w:color w:val="000000" w:themeColor="text1"/>
        </w:rPr>
        <w:t>De las causales del sobreseimiento.</w:t>
      </w:r>
    </w:p>
    <w:p w:rsidR="000D07B2" w:rsidRPr="005A7997" w:rsidRDefault="000D07B2"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Palatino Linotype"/>
          <w:color w:val="000000" w:themeColor="text1"/>
        </w:rPr>
        <w:t xml:space="preserve">El </w:t>
      </w:r>
      <w:r w:rsidRPr="005A7997">
        <w:rPr>
          <w:rFonts w:ascii="Palatino Linotype" w:hAnsi="Palatino Linotype" w:cs="Arial"/>
          <w:color w:val="000000" w:themeColor="text1"/>
        </w:rPr>
        <w:t xml:space="preserve">recurso revisión tiene como finalidad reparar cualquier posible afectación al Derecho de Acceso a la Información Pública en términos del Título Octavo de la Ley de </w:t>
      </w:r>
      <w:r w:rsidRPr="005A7997">
        <w:rPr>
          <w:rFonts w:ascii="Palatino Linotype" w:eastAsia="Calibri" w:hAnsi="Palatino Linotype" w:cs="Arial"/>
          <w:color w:val="000000" w:themeColor="text1"/>
        </w:rPr>
        <w:t>Transparencia, Acceso a la Información Pública del Estado de México y Municipios</w:t>
      </w:r>
      <w:r w:rsidRPr="005A7997">
        <w:rPr>
          <w:rFonts w:ascii="Palatino Linotype" w:hAnsi="Palatino Linotype" w:cs="Arial"/>
          <w:color w:val="000000" w:themeColor="text1"/>
        </w:rPr>
        <w:t xml:space="preserve">, y determinar la confirmación; revocación o modificación; desechamiento o </w:t>
      </w:r>
      <w:r w:rsidRPr="005A7997">
        <w:rPr>
          <w:rFonts w:ascii="Palatino Linotype" w:hAnsi="Palatino Linotype" w:cs="Arial"/>
          <w:b/>
          <w:color w:val="000000" w:themeColor="text1"/>
          <w:u w:val="single"/>
        </w:rPr>
        <w:t>sobreseimiento</w:t>
      </w:r>
      <w:r w:rsidRPr="005A7997">
        <w:rPr>
          <w:rFonts w:ascii="Palatino Linotype" w:hAnsi="Palatino Linotype" w:cs="Arial"/>
          <w:color w:val="000000" w:themeColor="text1"/>
        </w:rPr>
        <w:t xml:space="preserve">; y, en su caso, ordenar la entrega de la información respecto a la falta de respuesta por parte del </w:t>
      </w:r>
      <w:r w:rsidRPr="005A7997">
        <w:rPr>
          <w:rFonts w:ascii="Palatino Linotype" w:hAnsi="Palatino Linotype" w:cs="Arial"/>
          <w:b/>
          <w:color w:val="000000" w:themeColor="text1"/>
        </w:rPr>
        <w:t>SUJETO</w:t>
      </w:r>
      <w:r w:rsidRPr="005A7997">
        <w:rPr>
          <w:rFonts w:ascii="Palatino Linotype" w:hAnsi="Palatino Linotype" w:cs="Arial"/>
          <w:color w:val="000000" w:themeColor="text1"/>
        </w:rPr>
        <w:t xml:space="preserve"> </w:t>
      </w:r>
      <w:r w:rsidRPr="005A7997">
        <w:rPr>
          <w:rFonts w:ascii="Palatino Linotype" w:hAnsi="Palatino Linotype" w:cs="Arial"/>
          <w:b/>
          <w:color w:val="000000" w:themeColor="text1"/>
        </w:rPr>
        <w:t>OBLIGADO</w:t>
      </w:r>
      <w:r w:rsidRPr="005A7997">
        <w:rPr>
          <w:rFonts w:ascii="Palatino Linotype" w:hAnsi="Palatino Linotype" w:cs="Arial"/>
          <w:color w:val="000000" w:themeColor="text1"/>
        </w:rPr>
        <w:t>.</w:t>
      </w:r>
    </w:p>
    <w:p w:rsidR="000D07B2" w:rsidRPr="005A7997" w:rsidRDefault="000D07B2"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Calibri" w:hAnsi="Palatino Linotype" w:cs="Tahoma"/>
          <w:iCs/>
          <w:color w:val="000000" w:themeColor="text1"/>
          <w:lang w:val="es-ES" w:eastAsia="es-ES_tradnl"/>
        </w:rPr>
        <w:lastRenderedPageBreak/>
        <w:t xml:space="preserve">De </w:t>
      </w:r>
      <w:r w:rsidRPr="005A7997">
        <w:rPr>
          <w:rFonts w:ascii="Palatino Linotype" w:eastAsia="Calibri" w:hAnsi="Palatino Linotype"/>
          <w:color w:val="000000" w:themeColor="text1"/>
        </w:rPr>
        <w:t xml:space="preserve">acuerdo con el precepto legal contenido en la fracción IV del artículo 192 de la </w:t>
      </w:r>
      <w:r w:rsidRPr="005A7997">
        <w:rPr>
          <w:rFonts w:ascii="Palatino Linotype" w:eastAsia="Calibri" w:hAnsi="Palatino Linotype"/>
          <w:b/>
          <w:color w:val="000000" w:themeColor="text1"/>
        </w:rPr>
        <w:t>Ley de Transparencia y Acceso a la Información Pública del Estado de México y Municipios</w:t>
      </w:r>
      <w:r w:rsidRPr="005A7997">
        <w:rPr>
          <w:rFonts w:ascii="Palatino Linotype" w:eastAsia="Calibri" w:hAnsi="Palatino Linotype"/>
          <w:color w:val="000000" w:themeColor="text1"/>
        </w:rPr>
        <w:t>, el recurso será sobreseído, cuando una vez admitido, aparezca alguna causal de improcedencia en términos de la misma Ley.</w:t>
      </w:r>
    </w:p>
    <w:p w:rsidR="000D07B2" w:rsidRPr="005A7997" w:rsidRDefault="000D07B2" w:rsidP="00E922E9">
      <w:pPr>
        <w:pStyle w:val="Prrafodelista"/>
        <w:spacing w:line="360" w:lineRule="auto"/>
        <w:ind w:left="0" w:right="-28"/>
        <w:jc w:val="both"/>
        <w:rPr>
          <w:rFonts w:ascii="Palatino Linotype" w:eastAsia="Calibri" w:hAnsi="Palatino Linotype" w:cs="Tahoma"/>
          <w:color w:val="000000" w:themeColor="text1"/>
          <w:sz w:val="24"/>
          <w:lang w:val="es-ES" w:eastAsia="es-ES_tradnl"/>
        </w:rPr>
      </w:pPr>
    </w:p>
    <w:p w:rsidR="000D07B2" w:rsidRPr="005A7997" w:rsidRDefault="000D07B2" w:rsidP="00337DFE">
      <w:pPr>
        <w:pStyle w:val="Prrafodelista"/>
        <w:numPr>
          <w:ilvl w:val="0"/>
          <w:numId w:val="8"/>
        </w:numPr>
        <w:spacing w:line="360" w:lineRule="auto"/>
        <w:ind w:left="0" w:right="-28" w:firstLine="0"/>
        <w:jc w:val="both"/>
        <w:rPr>
          <w:rFonts w:ascii="Palatino Linotype" w:eastAsia="Calibri" w:hAnsi="Palatino Linotype" w:cs="Tahoma"/>
          <w:color w:val="000000" w:themeColor="text1"/>
          <w:sz w:val="24"/>
          <w:lang w:val="es-ES" w:eastAsia="es-ES_tradnl"/>
        </w:rPr>
      </w:pPr>
      <w:bookmarkStart w:id="6" w:name="_Toc365136"/>
      <w:r w:rsidRPr="005A7997">
        <w:rPr>
          <w:rFonts w:ascii="Palatino Linotype" w:eastAsiaTheme="majorEastAsia" w:hAnsi="Palatino Linotype" w:cstheme="majorBidi"/>
          <w:b/>
          <w:iCs/>
          <w:color w:val="000000" w:themeColor="text1"/>
          <w:sz w:val="24"/>
        </w:rPr>
        <w:t>De la solicitud de información</w:t>
      </w:r>
      <w:bookmarkEnd w:id="6"/>
    </w:p>
    <w:p w:rsidR="00F824D9" w:rsidRPr="005A7997" w:rsidRDefault="00F824D9"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La parte</w:t>
      </w:r>
      <w:r w:rsidR="005D2BDF" w:rsidRPr="005A7997">
        <w:rPr>
          <w:rFonts w:ascii="Palatino Linotype" w:eastAsia="Palatino Linotype" w:hAnsi="Palatino Linotype" w:cs="Arial"/>
          <w:color w:val="000000" w:themeColor="text1"/>
        </w:rPr>
        <w:t xml:space="preserve"> </w:t>
      </w:r>
      <w:r w:rsidR="005D2BDF" w:rsidRPr="005A7997">
        <w:rPr>
          <w:rFonts w:ascii="Palatino Linotype" w:eastAsia="Palatino Linotype" w:hAnsi="Palatino Linotype" w:cs="Arial"/>
          <w:b/>
          <w:color w:val="000000" w:themeColor="text1"/>
        </w:rPr>
        <w:t xml:space="preserve">RECURRENTE </w:t>
      </w:r>
      <w:r w:rsidR="005D2BDF" w:rsidRPr="005A7997">
        <w:rPr>
          <w:rFonts w:ascii="Palatino Linotype" w:eastAsia="Palatino Linotype" w:hAnsi="Palatino Linotype" w:cs="Arial"/>
          <w:color w:val="000000" w:themeColor="text1"/>
        </w:rPr>
        <w:t xml:space="preserve">solicitó </w:t>
      </w:r>
      <w:r w:rsidRPr="005A7997">
        <w:rPr>
          <w:rFonts w:ascii="Palatino Linotype" w:eastAsia="Palatino Linotype" w:hAnsi="Palatino Linotype" w:cs="Arial"/>
          <w:color w:val="000000" w:themeColor="text1"/>
        </w:rPr>
        <w:t>lo siguiente:</w:t>
      </w:r>
      <w:r w:rsidR="00E3575B" w:rsidRPr="005A7997">
        <w:rPr>
          <w:rFonts w:ascii="Palatino Linotype" w:eastAsia="Palatino Linotype" w:hAnsi="Palatino Linotype" w:cs="Arial"/>
          <w:color w:val="000000" w:themeColor="text1"/>
        </w:rPr>
        <w:t xml:space="preserve"> </w:t>
      </w:r>
      <w:r w:rsidR="00E3575B" w:rsidRPr="005A7997">
        <w:rPr>
          <w:rFonts w:ascii="Palatino Linotype" w:eastAsia="Palatino Linotype" w:hAnsi="Palatino Linotype" w:cs="Arial"/>
          <w:i/>
          <w:color w:val="000000" w:themeColor="text1"/>
        </w:rPr>
        <w:t>“S</w:t>
      </w:r>
      <w:r w:rsidR="00E3575B" w:rsidRPr="005A7997">
        <w:rPr>
          <w:rFonts w:ascii="Palatino Linotype" w:hAnsi="Palatino Linotype"/>
          <w:i/>
          <w:color w:val="000000" w:themeColor="text1"/>
        </w:rPr>
        <w:t xml:space="preserve">olicito la pagina o documentación del Panteón de San Francisco Chimalpa, Naucalpan de Juarez: 1.- Las actividades que hicieron los delegados del año 2000 a la fecha actual 2.- Que reglamento rige el panteón 3.- Mapa del panteón, es decir con cada tumba y el espacio que hay entre cada una 4.- El reglamento tiene validez oficial por parte del diario Oficial de la Federación 5.- Los cambios que se han echo a través del tiempo en periodos de tres años a partir del año 2000 7.- Documento de compra del panteón 8.- Documento de Donación del Pateón” (Sic); y, </w:t>
      </w:r>
      <w:r w:rsidR="00E3575B" w:rsidRPr="005A7997">
        <w:rPr>
          <w:rFonts w:ascii="Palatino Linotype" w:eastAsia="Palatino Linotype" w:hAnsi="Palatino Linotype" w:cs="Arial"/>
          <w:i/>
          <w:color w:val="000000" w:themeColor="text1"/>
        </w:rPr>
        <w:t>“S</w:t>
      </w:r>
      <w:r w:rsidR="00E3575B" w:rsidRPr="005A7997">
        <w:rPr>
          <w:rFonts w:ascii="Palatino Linotype" w:hAnsi="Palatino Linotype"/>
          <w:i/>
          <w:color w:val="000000" w:themeColor="text1"/>
        </w:rPr>
        <w:t>olicito la pagina o documento oficial con la cual se rige el reglamento del panteón de San Francisco Chimalpa Naucalpan de Juarez” (Sic)</w:t>
      </w:r>
    </w:p>
    <w:p w:rsidR="00E3575B" w:rsidRPr="005A7997" w:rsidRDefault="00E3575B" w:rsidP="00E922E9">
      <w:pPr>
        <w:spacing w:line="360" w:lineRule="auto"/>
        <w:ind w:right="-28"/>
        <w:jc w:val="both"/>
        <w:rPr>
          <w:rFonts w:ascii="Palatino Linotype" w:eastAsia="Palatino Linotype" w:hAnsi="Palatino Linotype" w:cs="Arial"/>
          <w:color w:val="000000" w:themeColor="text1"/>
        </w:rPr>
      </w:pPr>
    </w:p>
    <w:p w:rsidR="00E3575B" w:rsidRPr="005A7997" w:rsidRDefault="005D2BDF"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Arial"/>
          <w:color w:val="000000" w:themeColor="text1"/>
        </w:rPr>
        <w:t xml:space="preserve">En respuesta, el </w:t>
      </w:r>
      <w:r w:rsidRPr="005A7997">
        <w:rPr>
          <w:rFonts w:ascii="Palatino Linotype" w:eastAsia="Palatino Linotype" w:hAnsi="Palatino Linotype" w:cs="Arial"/>
          <w:b/>
          <w:color w:val="000000" w:themeColor="text1"/>
        </w:rPr>
        <w:t>SUJETO OBLIGADO</w:t>
      </w:r>
      <w:r w:rsidR="00AA6CDD" w:rsidRPr="005A7997">
        <w:rPr>
          <w:rFonts w:ascii="Palatino Linotype" w:eastAsia="Palatino Linotype" w:hAnsi="Palatino Linotype" w:cs="Arial"/>
          <w:color w:val="000000" w:themeColor="text1"/>
        </w:rPr>
        <w:t xml:space="preserve"> por </w:t>
      </w:r>
      <w:r w:rsidR="00E3575B" w:rsidRPr="005A7997">
        <w:rPr>
          <w:rFonts w:ascii="Palatino Linotype" w:eastAsia="Palatino Linotype" w:hAnsi="Palatino Linotype" w:cs="Arial"/>
          <w:color w:val="000000" w:themeColor="text1"/>
        </w:rPr>
        <w:t xml:space="preserve">medio del </w:t>
      </w:r>
      <w:r w:rsidR="00E3575B" w:rsidRPr="005A7997">
        <w:rPr>
          <w:rFonts w:ascii="Palatino Linotype" w:eastAsiaTheme="minorEastAsia" w:hAnsi="Palatino Linotype" w:cstheme="minorBidi"/>
          <w:color w:val="000000" w:themeColor="text1"/>
        </w:rPr>
        <w:t xml:space="preserve">Director de Servicios Públicos, refirió que después de realizar una búsqueda exhaustiva en los archivos de la Dirección a su cargo, </w:t>
      </w:r>
      <w:r w:rsidR="00E3575B" w:rsidRPr="005A7997">
        <w:rPr>
          <w:rFonts w:ascii="Palatino Linotype" w:eastAsiaTheme="minorEastAsia" w:hAnsi="Palatino Linotype" w:cstheme="minorBidi"/>
          <w:b/>
          <w:color w:val="000000" w:themeColor="text1"/>
        </w:rPr>
        <w:t>no hay existencia ni se encontraron contratos, registros, copias, evidencia fotográfica o documentos que acrediten la información solicitada</w:t>
      </w:r>
      <w:r w:rsidR="00E3575B" w:rsidRPr="005A7997">
        <w:rPr>
          <w:rFonts w:ascii="Palatino Linotype" w:eastAsiaTheme="minorEastAsia" w:hAnsi="Palatino Linotype" w:cstheme="minorBidi"/>
          <w:color w:val="000000" w:themeColor="text1"/>
        </w:rPr>
        <w:t xml:space="preserve">. Asimismo, señaló que el panteón referido en la solicitud de información, así como otros </w:t>
      </w:r>
      <w:r w:rsidR="00E3575B" w:rsidRPr="005A7997">
        <w:rPr>
          <w:rFonts w:ascii="Palatino Linotype" w:eastAsiaTheme="minorEastAsia" w:hAnsi="Palatino Linotype" w:cstheme="minorBidi"/>
          <w:b/>
          <w:color w:val="000000" w:themeColor="text1"/>
        </w:rPr>
        <w:t>panteones privados y/o particulares</w:t>
      </w:r>
      <w:r w:rsidR="00E3575B" w:rsidRPr="005A7997">
        <w:rPr>
          <w:rFonts w:ascii="Palatino Linotype" w:eastAsiaTheme="minorEastAsia" w:hAnsi="Palatino Linotype" w:cstheme="minorBidi"/>
          <w:color w:val="000000" w:themeColor="text1"/>
        </w:rPr>
        <w:t xml:space="preserve">, </w:t>
      </w:r>
      <w:r w:rsidR="00E3575B" w:rsidRPr="005A7997">
        <w:rPr>
          <w:rFonts w:ascii="Palatino Linotype" w:eastAsiaTheme="minorEastAsia" w:hAnsi="Palatino Linotype" w:cstheme="minorBidi"/>
          <w:b/>
          <w:color w:val="000000" w:themeColor="text1"/>
        </w:rPr>
        <w:t>son de usos y costumbres de dicha población</w:t>
      </w:r>
      <w:r w:rsidR="00E3575B" w:rsidRPr="005A7997">
        <w:rPr>
          <w:rFonts w:ascii="Palatino Linotype" w:eastAsiaTheme="minorEastAsia" w:hAnsi="Palatino Linotype" w:cstheme="minorBidi"/>
          <w:color w:val="000000" w:themeColor="text1"/>
        </w:rPr>
        <w:t xml:space="preserve"> y son de administración local, </w:t>
      </w:r>
      <w:r w:rsidR="00E3575B" w:rsidRPr="005A7997">
        <w:rPr>
          <w:rFonts w:ascii="Palatino Linotype" w:eastAsiaTheme="minorEastAsia" w:hAnsi="Palatino Linotype" w:cstheme="minorBidi"/>
          <w:b/>
          <w:color w:val="000000" w:themeColor="text1"/>
        </w:rPr>
        <w:t>por lo que la Dirección de Servicios Públicos, así como en el Departamento de Panteones, no tiene competencia para realizar ningún tipo de trámites, contratos, convenios y/o licitaciones de ningún tipo, ya que dicha información es de competencia directa de la administración del panteón del Poblado de San Francisco Chimalpa</w:t>
      </w:r>
      <w:r w:rsidR="00E3575B" w:rsidRPr="005A7997">
        <w:rPr>
          <w:rFonts w:ascii="Palatino Linotype" w:eastAsiaTheme="minorEastAsia" w:hAnsi="Palatino Linotype" w:cstheme="minorBidi"/>
          <w:color w:val="000000" w:themeColor="text1"/>
        </w:rPr>
        <w:t>.</w:t>
      </w:r>
    </w:p>
    <w:p w:rsidR="009821B1" w:rsidRPr="005A7997" w:rsidRDefault="00F824D9" w:rsidP="00E922E9">
      <w:pPr>
        <w:numPr>
          <w:ilvl w:val="0"/>
          <w:numId w:val="1"/>
        </w:numPr>
        <w:spacing w:line="360" w:lineRule="auto"/>
        <w:ind w:left="0" w:right="-28" w:firstLine="0"/>
        <w:jc w:val="both"/>
        <w:rPr>
          <w:rFonts w:ascii="Palatino Linotype" w:eastAsia="Palatino Linotype" w:hAnsi="Palatino Linotype" w:cs="Arial"/>
          <w:b/>
          <w:color w:val="000000" w:themeColor="text1"/>
          <w:u w:val="single"/>
        </w:rPr>
      </w:pPr>
      <w:r w:rsidRPr="005A7997">
        <w:rPr>
          <w:rFonts w:ascii="Palatino Linotype" w:eastAsia="Palatino Linotype" w:hAnsi="Palatino Linotype" w:cs="Arial"/>
          <w:color w:val="000000" w:themeColor="text1"/>
        </w:rPr>
        <w:lastRenderedPageBreak/>
        <w:t>La parte</w:t>
      </w:r>
      <w:r w:rsidR="005D2BDF" w:rsidRPr="005A7997">
        <w:rPr>
          <w:rFonts w:ascii="Palatino Linotype" w:eastAsia="Palatino Linotype" w:hAnsi="Palatino Linotype" w:cs="Arial"/>
          <w:color w:val="000000" w:themeColor="text1"/>
        </w:rPr>
        <w:t xml:space="preserve"> </w:t>
      </w:r>
      <w:r w:rsidR="005D2BDF" w:rsidRPr="005A7997">
        <w:rPr>
          <w:rFonts w:ascii="Palatino Linotype" w:eastAsia="Palatino Linotype" w:hAnsi="Palatino Linotype" w:cs="Arial"/>
          <w:b/>
          <w:color w:val="000000" w:themeColor="text1"/>
        </w:rPr>
        <w:t>RECURRENTE</w:t>
      </w:r>
      <w:r w:rsidR="005D2BDF" w:rsidRPr="005A7997">
        <w:rPr>
          <w:rFonts w:ascii="Palatino Linotype" w:eastAsia="Palatino Linotype" w:hAnsi="Palatino Linotype" w:cs="Arial"/>
          <w:color w:val="000000" w:themeColor="text1"/>
        </w:rPr>
        <w:t xml:space="preserve"> interpuso el recurso de revisión </w:t>
      </w:r>
      <w:r w:rsidR="00E3575B" w:rsidRPr="005A7997">
        <w:rPr>
          <w:rFonts w:ascii="Palatino Linotype" w:eastAsia="Palatino Linotype" w:hAnsi="Palatino Linotype" w:cs="Arial"/>
          <w:color w:val="000000" w:themeColor="text1"/>
        </w:rPr>
        <w:t xml:space="preserve">mediante el cual, manifestó lo siguiente: </w:t>
      </w:r>
      <w:r w:rsidR="00E3575B" w:rsidRPr="005A7997">
        <w:rPr>
          <w:rFonts w:ascii="Palatino Linotype" w:eastAsia="Palatino Linotype" w:hAnsi="Palatino Linotype" w:cs="Arial"/>
          <w:b/>
          <w:i/>
          <w:color w:val="000000" w:themeColor="text1"/>
          <w:u w:val="single"/>
        </w:rPr>
        <w:t>“</w:t>
      </w:r>
      <w:r w:rsidR="00E3575B" w:rsidRPr="005A7997">
        <w:rPr>
          <w:rFonts w:ascii="Palatino Linotype" w:hAnsi="Palatino Linotype"/>
          <w:b/>
          <w:i/>
          <w:color w:val="000000" w:themeColor="text1"/>
          <w:u w:val="single"/>
        </w:rPr>
        <w:t>No existe antecedentes de las auditorias de los diferentes cobros Si existe un reglamento, cual es el que gobierna el panteón de San Francisco Chimalpa, no lo mencionan ni lo justifican Mencionan que se maneja por usos y costumbres. Lo que se ve es que están haciendo lo que quieren en cada año o periodo</w:t>
      </w:r>
      <w:r w:rsidR="00E3575B" w:rsidRPr="005A7997">
        <w:rPr>
          <w:rFonts w:ascii="Palatino Linotype" w:eastAsia="Palatino Linotype" w:hAnsi="Palatino Linotype" w:cs="Arial"/>
          <w:b/>
          <w:i/>
          <w:color w:val="000000" w:themeColor="text1"/>
          <w:u w:val="single"/>
        </w:rPr>
        <w:t>”</w:t>
      </w:r>
      <w:r w:rsidR="00E3575B" w:rsidRPr="005A7997">
        <w:rPr>
          <w:rFonts w:ascii="Palatino Linotype" w:eastAsia="Palatino Linotype" w:hAnsi="Palatino Linotype" w:cs="Arial"/>
          <w:i/>
          <w:color w:val="000000" w:themeColor="text1"/>
        </w:rPr>
        <w:t xml:space="preserve"> (Sic); y, “</w:t>
      </w:r>
      <w:r w:rsidR="00E3575B" w:rsidRPr="005A7997">
        <w:rPr>
          <w:rFonts w:ascii="Palatino Linotype" w:hAnsi="Palatino Linotype"/>
          <w:b/>
          <w:i/>
          <w:color w:val="000000" w:themeColor="text1"/>
          <w:u w:val="single"/>
        </w:rPr>
        <w:t>1.-Existen diversos cobros que hacen al panteón los cuales no presentan y muestra auditorias. 2.- Mencionan que son usos y costumbres, las cuales se rige el panteón 3.- No hay minutas por las cuales se ponen representantes 4.- Existen recibos de los cuales tiene el logo o sello del palacio de Naucalpan 5.- Si los servidores públicos están mintiendo hacer las denuncias correspondientes a contraloría y a la fiscalía, por vender terreno que no son de ellos 6.- Argumenten los usos y costumbres</w:t>
      </w:r>
      <w:r w:rsidR="00E3575B" w:rsidRPr="005A7997">
        <w:rPr>
          <w:rFonts w:ascii="Palatino Linotype" w:eastAsia="Palatino Linotype" w:hAnsi="Palatino Linotype" w:cs="Arial"/>
          <w:b/>
          <w:i/>
          <w:color w:val="000000" w:themeColor="text1"/>
          <w:u w:val="single"/>
        </w:rPr>
        <w:t xml:space="preserve">” </w:t>
      </w:r>
      <w:r w:rsidR="00E3575B" w:rsidRPr="005A7997">
        <w:rPr>
          <w:rFonts w:ascii="Palatino Linotype" w:eastAsia="Palatino Linotype" w:hAnsi="Palatino Linotype" w:cs="Arial"/>
          <w:i/>
          <w:color w:val="000000" w:themeColor="text1"/>
          <w:u w:val="single"/>
        </w:rPr>
        <w:t>(Sic)</w:t>
      </w:r>
    </w:p>
    <w:p w:rsidR="009821B1" w:rsidRPr="005A7997" w:rsidRDefault="009821B1" w:rsidP="00E922E9">
      <w:pPr>
        <w:spacing w:line="360" w:lineRule="auto"/>
        <w:ind w:right="-28"/>
        <w:jc w:val="both"/>
        <w:rPr>
          <w:rFonts w:ascii="Palatino Linotype" w:eastAsia="Palatino Linotype" w:hAnsi="Palatino Linotype" w:cs="Arial"/>
          <w:color w:val="000000" w:themeColor="text1"/>
        </w:rPr>
      </w:pPr>
    </w:p>
    <w:p w:rsidR="000D07B2" w:rsidRPr="005A7997" w:rsidRDefault="000D07B2"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eastAsia="Palatino Linotype" w:hAnsi="Palatino Linotype" w:cs="Palatino Linotype"/>
          <w:color w:val="000000" w:themeColor="text1"/>
        </w:rPr>
        <w:t>E</w:t>
      </w:r>
      <w:r w:rsidRPr="005A7997">
        <w:rPr>
          <w:rFonts w:ascii="Palatino Linotype" w:hAnsi="Palatino Linotype"/>
          <w:color w:val="000000" w:themeColor="text1"/>
        </w:rPr>
        <w:t>xpuesto lo anterior</w:t>
      </w:r>
      <w:r w:rsidRPr="005A7997">
        <w:rPr>
          <w:rFonts w:ascii="Palatino Linotype" w:eastAsia="MS Mincho" w:hAnsi="Palatino Linotype"/>
          <w:color w:val="000000" w:themeColor="text1"/>
          <w:lang w:eastAsia="es-ES"/>
        </w:rPr>
        <w:t xml:space="preserve">, es necesario señalar que hay </w:t>
      </w:r>
      <w:r w:rsidRPr="005A7997">
        <w:rPr>
          <w:rFonts w:ascii="Palatino Linotype" w:eastAsia="Palatino Linotype" w:hAnsi="Palatino Linotype" w:cs="Palatino Linotype"/>
          <w:color w:val="000000" w:themeColor="text1"/>
        </w:rPr>
        <w:t xml:space="preserve">elementos entregados en respuesta por parte del </w:t>
      </w:r>
      <w:r w:rsidRPr="005A7997">
        <w:rPr>
          <w:rFonts w:ascii="Palatino Linotype" w:eastAsia="Palatino Linotype" w:hAnsi="Palatino Linotype" w:cs="Palatino Linotype"/>
          <w:b/>
          <w:color w:val="000000" w:themeColor="text1"/>
        </w:rPr>
        <w:t>SUJETO OBLIGADO</w:t>
      </w:r>
      <w:r w:rsidRPr="005A7997">
        <w:rPr>
          <w:rFonts w:ascii="Palatino Linotype" w:eastAsia="Palatino Linotype" w:hAnsi="Palatino Linotype" w:cs="Palatino Linotype"/>
          <w:color w:val="000000" w:themeColor="text1"/>
        </w:rPr>
        <w:t xml:space="preserve"> sobre los cuales </w:t>
      </w:r>
      <w:r w:rsidRPr="005A7997">
        <w:rPr>
          <w:rFonts w:ascii="Palatino Linotype" w:eastAsia="Palatino Linotype" w:hAnsi="Palatino Linotype" w:cs="Palatino Linotype"/>
          <w:bCs/>
          <w:color w:val="000000" w:themeColor="text1"/>
        </w:rPr>
        <w:t xml:space="preserve">la parte </w:t>
      </w:r>
      <w:r w:rsidRPr="005A7997">
        <w:rPr>
          <w:rFonts w:ascii="Palatino Linotype" w:eastAsia="Palatino Linotype" w:hAnsi="Palatino Linotype" w:cs="Palatino Linotype"/>
          <w:b/>
          <w:color w:val="000000" w:themeColor="text1"/>
        </w:rPr>
        <w:t>RECURRENTE</w:t>
      </w:r>
      <w:r w:rsidRPr="005A7997">
        <w:rPr>
          <w:rFonts w:ascii="Palatino Linotype" w:eastAsia="Palatino Linotype" w:hAnsi="Palatino Linotype" w:cs="Palatino Linotype"/>
          <w:bCs/>
          <w:color w:val="000000" w:themeColor="text1"/>
        </w:rPr>
        <w:t xml:space="preserve"> no</w:t>
      </w:r>
      <w:r w:rsidRPr="005A7997">
        <w:rPr>
          <w:rFonts w:ascii="Palatino Linotype" w:eastAsia="Palatino Linotype" w:hAnsi="Palatino Linotype" w:cs="Palatino Linotype"/>
          <w:color w:val="000000" w:themeColor="text1"/>
        </w:rPr>
        <w:t xml:space="preserve"> se inconformó.</w:t>
      </w:r>
    </w:p>
    <w:p w:rsidR="000D07B2" w:rsidRPr="005A7997" w:rsidRDefault="000D07B2" w:rsidP="00E922E9">
      <w:pPr>
        <w:pStyle w:val="Prrafodelista"/>
        <w:ind w:left="0" w:right="-28"/>
        <w:rPr>
          <w:rFonts w:ascii="Palatino Linotype" w:hAnsi="Palatino Linotype"/>
          <w:color w:val="000000" w:themeColor="text1"/>
          <w:sz w:val="24"/>
        </w:rPr>
      </w:pPr>
    </w:p>
    <w:p w:rsidR="000D07B2" w:rsidRPr="005A7997" w:rsidRDefault="000D07B2" w:rsidP="00E922E9">
      <w:pPr>
        <w:numPr>
          <w:ilvl w:val="0"/>
          <w:numId w:val="1"/>
        </w:numPr>
        <w:spacing w:line="360" w:lineRule="auto"/>
        <w:ind w:left="0" w:right="-28" w:firstLine="0"/>
        <w:jc w:val="both"/>
        <w:rPr>
          <w:rFonts w:ascii="Palatino Linotype" w:eastAsia="Palatino Linotype" w:hAnsi="Palatino Linotype" w:cs="Arial"/>
          <w:color w:val="000000" w:themeColor="text1"/>
        </w:rPr>
      </w:pPr>
      <w:r w:rsidRPr="005A7997">
        <w:rPr>
          <w:rFonts w:ascii="Palatino Linotype" w:hAnsi="Palatino Linotype"/>
          <w:color w:val="000000" w:themeColor="text1"/>
        </w:rPr>
        <w:t xml:space="preserve">En </w:t>
      </w:r>
      <w:r w:rsidRPr="005A7997">
        <w:rPr>
          <w:rFonts w:ascii="Palatino Linotype" w:eastAsia="MS Mincho" w:hAnsi="Palatino Linotype"/>
          <w:color w:val="000000" w:themeColor="text1"/>
          <w:lang w:eastAsia="es-ES"/>
        </w:rPr>
        <w:t xml:space="preserve">este sentido, </w:t>
      </w:r>
      <w:r w:rsidRPr="005A7997">
        <w:rPr>
          <w:rFonts w:ascii="Palatino Linotype" w:eastAsia="Palatino Linotype" w:hAnsi="Palatino Linotype" w:cs="Palatino Linotype"/>
          <w:color w:val="000000" w:themeColor="text1"/>
        </w:rPr>
        <w:t>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w:t>
      </w:r>
    </w:p>
    <w:p w:rsidR="000D07B2" w:rsidRPr="005A7997" w:rsidRDefault="000D07B2" w:rsidP="00E922E9">
      <w:pPr>
        <w:spacing w:line="360" w:lineRule="auto"/>
        <w:ind w:right="-28"/>
        <w:contextualSpacing/>
        <w:jc w:val="both"/>
        <w:rPr>
          <w:rFonts w:ascii="Palatino Linotype" w:hAnsi="Palatino Linotype"/>
          <w:color w:val="000000" w:themeColor="text1"/>
        </w:rPr>
      </w:pPr>
    </w:p>
    <w:p w:rsidR="000D07B2" w:rsidRPr="005A7997" w:rsidRDefault="000D07B2" w:rsidP="00E922E9">
      <w:pPr>
        <w:pStyle w:val="Prrafodelista"/>
        <w:numPr>
          <w:ilvl w:val="0"/>
          <w:numId w:val="1"/>
        </w:numPr>
        <w:spacing w:line="360" w:lineRule="auto"/>
        <w:ind w:left="0" w:right="-28" w:firstLine="0"/>
        <w:jc w:val="both"/>
        <w:rPr>
          <w:rFonts w:ascii="Palatino Linotype" w:hAnsi="Palatino Linotype" w:cs="Arial"/>
          <w:color w:val="000000" w:themeColor="text1"/>
          <w:sz w:val="24"/>
          <w:lang w:val="es-ES" w:eastAsia="es-ES"/>
        </w:rPr>
      </w:pPr>
      <w:r w:rsidRPr="005A7997">
        <w:rPr>
          <w:rFonts w:ascii="Palatino Linotype" w:hAnsi="Palatino Linotype" w:cs="Arial"/>
          <w:color w:val="000000" w:themeColor="text1"/>
          <w:sz w:val="24"/>
          <w:lang w:val="es-ES" w:eastAsia="es-ES"/>
        </w:rPr>
        <w:t xml:space="preserve">Sirve </w:t>
      </w:r>
      <w:r w:rsidRPr="005A7997">
        <w:rPr>
          <w:rFonts w:ascii="Palatino Linotype" w:eastAsia="MS Mincho" w:hAnsi="Palatino Linotype"/>
          <w:color w:val="000000" w:themeColor="text1"/>
          <w:sz w:val="24"/>
          <w:lang w:eastAsia="es-ES"/>
        </w:rPr>
        <w:t xml:space="preserve">de sustento, </w:t>
      </w:r>
      <w:r w:rsidRPr="005A7997">
        <w:rPr>
          <w:rFonts w:ascii="Palatino Linotype" w:eastAsia="Palatino Linotype" w:hAnsi="Palatino Linotype" w:cs="Palatino Linotype"/>
          <w:color w:val="000000" w:themeColor="text1"/>
          <w:sz w:val="24"/>
        </w:rPr>
        <w:t>la tesis jurisprudencial número VI.3o.C. J/60, publicada en el Semanario Judicial de la Federación y su Gaceta bajo el número de registro 176,608 que a la letra dice:</w:t>
      </w:r>
    </w:p>
    <w:p w:rsidR="000D07B2" w:rsidRPr="005A7997" w:rsidRDefault="000D07B2" w:rsidP="00E922E9">
      <w:pPr>
        <w:tabs>
          <w:tab w:val="left" w:pos="851"/>
        </w:tabs>
        <w:ind w:right="-28"/>
        <w:jc w:val="both"/>
        <w:rPr>
          <w:rFonts w:ascii="Palatino Linotype" w:eastAsia="Palatino Linotype" w:hAnsi="Palatino Linotype" w:cs="Palatino Linotype"/>
          <w:i/>
          <w:color w:val="000000" w:themeColor="text1"/>
        </w:rPr>
      </w:pPr>
      <w:r w:rsidRPr="005A7997">
        <w:rPr>
          <w:rFonts w:ascii="Palatino Linotype" w:eastAsia="Palatino Linotype" w:hAnsi="Palatino Linotype" w:cs="Palatino Linotype"/>
          <w:b/>
          <w:i/>
          <w:color w:val="000000" w:themeColor="text1"/>
        </w:rPr>
        <w:t xml:space="preserve">“ACTOS CONSENTIDOS. SON LOS QUE NO SE IMPUGNAN MEDIANTE EL RECURSO IDÓNEO. </w:t>
      </w:r>
      <w:r w:rsidRPr="005A7997">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0D07B2" w:rsidRPr="005A7997" w:rsidRDefault="000D07B2" w:rsidP="00E922E9">
      <w:pPr>
        <w:pStyle w:val="Prrafodelista"/>
        <w:spacing w:line="360" w:lineRule="auto"/>
        <w:ind w:left="0" w:right="-28"/>
        <w:jc w:val="both"/>
        <w:rPr>
          <w:rFonts w:ascii="Palatino Linotype" w:hAnsi="Palatino Linotype" w:cs="Arial"/>
          <w:color w:val="000000" w:themeColor="text1"/>
          <w:sz w:val="24"/>
          <w:lang w:val="es-ES" w:eastAsia="es-ES"/>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lastRenderedPageBreak/>
        <w:t xml:space="preserve">De </w:t>
      </w:r>
      <w:r w:rsidRPr="005A7997">
        <w:rPr>
          <w:rFonts w:ascii="Palatino Linotype" w:eastAsia="MS Mincho" w:hAnsi="Palatino Linotype"/>
          <w:color w:val="000000" w:themeColor="text1"/>
          <w:lang w:eastAsia="es-ES"/>
        </w:rPr>
        <w:t xml:space="preserve">la </w:t>
      </w:r>
      <w:r w:rsidRPr="005A7997">
        <w:rPr>
          <w:rFonts w:ascii="Palatino Linotype" w:eastAsia="Palatino Linotype" w:hAnsi="Palatino Linotype" w:cs="Palatino Linotype"/>
          <w:color w:val="000000" w:themeColor="text1"/>
        </w:rPr>
        <w:t xml:space="preserve">interpretación del criterio antes citado, se advierte que cuando el Particular impugnó la respuesta del </w:t>
      </w:r>
      <w:r w:rsidRPr="005A7997">
        <w:rPr>
          <w:rFonts w:ascii="Palatino Linotype" w:eastAsia="Palatino Linotype" w:hAnsi="Palatino Linotype" w:cs="Palatino Linotype"/>
          <w:b/>
          <w:color w:val="000000" w:themeColor="text1"/>
        </w:rPr>
        <w:t>SUJETO OBLIGADO</w:t>
      </w:r>
      <w:r w:rsidRPr="005A7997">
        <w:rPr>
          <w:rFonts w:ascii="Palatino Linotype" w:eastAsia="Palatino Linotype" w:hAnsi="Palatino Linotype" w:cs="Palatino Linotype"/>
          <w:color w:val="000000" w:themeColor="text1"/>
        </w:rPr>
        <w:t xml:space="preserve">, no expresó razón o motivo de inconformidad en contra de los rubros solicitados, por tanto, estos deben declararse atendidos, pues se entiende que la </w:t>
      </w:r>
      <w:r w:rsidRPr="005A7997">
        <w:rPr>
          <w:rFonts w:ascii="Palatino Linotype" w:eastAsia="Palatino Linotype" w:hAnsi="Palatino Linotype" w:cs="Palatino Linotype"/>
          <w:b/>
          <w:bCs/>
          <w:color w:val="000000" w:themeColor="text1"/>
        </w:rPr>
        <w:t>RECURRENTE</w:t>
      </w:r>
      <w:r w:rsidRPr="005A7997">
        <w:rPr>
          <w:rFonts w:ascii="Palatino Linotype" w:eastAsia="Palatino Linotype" w:hAnsi="Palatino Linotype" w:cs="Palatino Linotype"/>
          <w:color w:val="000000" w:themeColor="text1"/>
        </w:rPr>
        <w:t xml:space="preserve"> está conforme con la respuesta proporcionada por el</w:t>
      </w:r>
      <w:r w:rsidRPr="005A7997">
        <w:rPr>
          <w:rFonts w:ascii="Palatino Linotype" w:eastAsia="Palatino Linotype" w:hAnsi="Palatino Linotype" w:cs="Palatino Linotype"/>
          <w:b/>
          <w:color w:val="000000" w:themeColor="text1"/>
        </w:rPr>
        <w:t xml:space="preserve"> SUJETO OBLIGADO,</w:t>
      </w:r>
      <w:r w:rsidRPr="005A7997">
        <w:rPr>
          <w:rFonts w:ascii="Palatino Linotype" w:eastAsia="Palatino Linotype" w:hAnsi="Palatino Linotype" w:cs="Palatino Linotype"/>
          <w:color w:val="000000" w:themeColor="text1"/>
        </w:rPr>
        <w:t xml:space="preserve"> al no contravenir la misma.</w:t>
      </w:r>
    </w:p>
    <w:p w:rsidR="000D07B2" w:rsidRPr="005A7997" w:rsidRDefault="000D07B2" w:rsidP="00E922E9">
      <w:pPr>
        <w:spacing w:line="360" w:lineRule="auto"/>
        <w:ind w:right="-28"/>
        <w:jc w:val="both"/>
        <w:rPr>
          <w:rFonts w:ascii="Palatino Linotype" w:hAnsi="Palatino Linotype" w:cs="Arial"/>
          <w:color w:val="000000" w:themeColor="text1"/>
          <w:lang w:val="es-ES" w:eastAsia="es-ES"/>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t xml:space="preserve">Ante </w:t>
      </w:r>
      <w:r w:rsidRPr="005A7997">
        <w:rPr>
          <w:rFonts w:ascii="Palatino Linotype" w:eastAsia="MS Mincho" w:hAnsi="Palatino Linotype"/>
          <w:color w:val="000000" w:themeColor="text1"/>
          <w:lang w:eastAsia="es-ES"/>
        </w:rPr>
        <w:t xml:space="preserve">ello, </w:t>
      </w:r>
      <w:r w:rsidRPr="005A7997">
        <w:rPr>
          <w:rFonts w:ascii="Palatino Linotype" w:eastAsia="Palatino Linotype" w:hAnsi="Palatino Linotype" w:cs="Palatino Linotype"/>
          <w:color w:val="000000" w:themeColor="text1"/>
        </w:rPr>
        <w:t>es importante traer a contexto la Tesis Jurisprudencial Número 3ª./J.7/91, Publicada en el Semanario Judicial de la Federación y su Gaceta bajo el número de registro 174,177, que establece lo siguiente:</w:t>
      </w:r>
    </w:p>
    <w:p w:rsidR="000D07B2" w:rsidRPr="005A7997" w:rsidRDefault="000D07B2" w:rsidP="00E922E9">
      <w:pPr>
        <w:ind w:right="-28"/>
        <w:jc w:val="both"/>
        <w:rPr>
          <w:rFonts w:ascii="Palatino Linotype" w:eastAsia="Palatino Linotype" w:hAnsi="Palatino Linotype" w:cs="Palatino Linotype"/>
          <w:i/>
          <w:color w:val="000000" w:themeColor="text1"/>
        </w:rPr>
      </w:pPr>
      <w:r w:rsidRPr="005A7997">
        <w:rPr>
          <w:rFonts w:ascii="Palatino Linotype" w:eastAsia="Palatino Linotype" w:hAnsi="Palatino Linotype" w:cs="Palatino Linotype"/>
          <w:b/>
          <w:i/>
          <w:color w:val="000000" w:themeColor="text1"/>
        </w:rPr>
        <w:t xml:space="preserve">“REVISIÓN EN AMPARO. LOS RESOLUTIVOS NO COMBATIDOS DEBEN DECLARARSE FIRMES. </w:t>
      </w:r>
      <w:r w:rsidRPr="005A7997">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D07B2" w:rsidRDefault="000D07B2" w:rsidP="00E922E9">
      <w:pPr>
        <w:ind w:right="-28"/>
        <w:rPr>
          <w:rFonts w:ascii="Palatino Linotype" w:hAnsi="Palatino Linotype"/>
          <w:color w:val="000000" w:themeColor="text1"/>
        </w:rPr>
      </w:pPr>
    </w:p>
    <w:p w:rsidR="00021C36" w:rsidRPr="005A7997" w:rsidRDefault="00021C36" w:rsidP="00E922E9">
      <w:pPr>
        <w:ind w:right="-28"/>
        <w:rPr>
          <w:rFonts w:ascii="Palatino Linotype" w:hAnsi="Palatino Linotype"/>
          <w:color w:val="000000" w:themeColor="text1"/>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t xml:space="preserve">Una vez hecha la precisión anterior, se advierte que este Instituto no se encuentra facultado para dudar de la veracidad de las respuestas emitidas por los Sujetos Obligados ni de la que ponen a disposición de los solicitantes; situación que se aleja de las atribuciones de este Órgano Garante que al momento que ponen a disposición ésta, la misma tiene el carácter oficial y se presume veraz, tan es así que la misma queda registrada en el </w:t>
      </w:r>
      <w:r w:rsidRPr="005A7997">
        <w:rPr>
          <w:rFonts w:ascii="Palatino Linotype" w:hAnsi="Palatino Linotype"/>
          <w:b/>
          <w:color w:val="000000" w:themeColor="text1"/>
        </w:rPr>
        <w:t>SAIMEX.</w:t>
      </w:r>
    </w:p>
    <w:p w:rsidR="000D07B2" w:rsidRPr="005A7997" w:rsidRDefault="000D07B2" w:rsidP="00E922E9">
      <w:pPr>
        <w:pStyle w:val="Prrafodelista"/>
        <w:suppressAutoHyphens/>
        <w:spacing w:line="360" w:lineRule="auto"/>
        <w:ind w:left="0" w:right="-28"/>
        <w:jc w:val="both"/>
        <w:rPr>
          <w:rFonts w:ascii="Palatino Linotype" w:hAnsi="Palatino Linotype"/>
          <w:color w:val="000000" w:themeColor="text1"/>
          <w:sz w:val="24"/>
        </w:rPr>
      </w:pPr>
    </w:p>
    <w:p w:rsidR="000D07B2" w:rsidRPr="005A7997" w:rsidRDefault="000D07B2" w:rsidP="00337DFE">
      <w:pPr>
        <w:pStyle w:val="Prrafodelista"/>
        <w:numPr>
          <w:ilvl w:val="0"/>
          <w:numId w:val="10"/>
        </w:numPr>
        <w:spacing w:line="360" w:lineRule="auto"/>
        <w:ind w:left="0" w:right="-28" w:firstLine="0"/>
        <w:rPr>
          <w:rFonts w:ascii="Palatino Linotype" w:eastAsiaTheme="minorEastAsia" w:hAnsi="Palatino Linotype"/>
          <w:b/>
          <w:bCs/>
          <w:i/>
          <w:iCs/>
          <w:color w:val="000000" w:themeColor="text1"/>
          <w:sz w:val="24"/>
          <w:lang w:eastAsia="es-ES"/>
        </w:rPr>
      </w:pPr>
      <w:r w:rsidRPr="005A7997">
        <w:rPr>
          <w:rFonts w:ascii="Palatino Linotype" w:eastAsiaTheme="minorEastAsia" w:hAnsi="Palatino Linotype"/>
          <w:b/>
          <w:bCs/>
          <w:i/>
          <w:iCs/>
          <w:color w:val="000000" w:themeColor="text1"/>
          <w:sz w:val="24"/>
          <w:lang w:eastAsia="es-ES"/>
        </w:rPr>
        <w:t>De la Plus Petitio.</w:t>
      </w:r>
    </w:p>
    <w:p w:rsidR="000D07B2" w:rsidRPr="005A7997" w:rsidRDefault="000D07B2" w:rsidP="00E922E9">
      <w:pPr>
        <w:pStyle w:val="Prrafodelista"/>
        <w:numPr>
          <w:ilvl w:val="0"/>
          <w:numId w:val="1"/>
        </w:numPr>
        <w:spacing w:line="360" w:lineRule="auto"/>
        <w:ind w:left="0" w:right="-28" w:firstLine="0"/>
        <w:jc w:val="both"/>
        <w:rPr>
          <w:rFonts w:ascii="Palatino Linotype" w:hAnsi="Palatino Linotype" w:cs="Arial"/>
          <w:color w:val="000000" w:themeColor="text1"/>
          <w:sz w:val="24"/>
          <w:lang w:val="es-ES" w:eastAsia="es-ES"/>
        </w:rPr>
      </w:pPr>
      <w:r w:rsidRPr="005A7997">
        <w:rPr>
          <w:rFonts w:ascii="Palatino Linotype" w:hAnsi="Palatino Linotype" w:cs="Arial"/>
          <w:color w:val="000000" w:themeColor="text1"/>
          <w:sz w:val="24"/>
          <w:lang w:val="es-ES" w:eastAsia="es-ES"/>
        </w:rPr>
        <w:t xml:space="preserve">Ahora bien, </w:t>
      </w:r>
      <w:r w:rsidRPr="005A7997">
        <w:rPr>
          <w:rFonts w:ascii="Palatino Linotype" w:eastAsiaTheme="minorEastAsia" w:hAnsi="Palatino Linotype"/>
          <w:color w:val="000000" w:themeColor="text1"/>
          <w:sz w:val="24"/>
          <w:lang w:eastAsia="es-ES"/>
        </w:rPr>
        <w:t>resulta necesario reiterar las razones o motivos de inconformidad vertidos en el recurso de revisión, en los siguientes términos:</w:t>
      </w:r>
      <w:r w:rsidRPr="005A7997">
        <w:rPr>
          <w:rFonts w:ascii="Palatino Linotype" w:hAnsi="Palatino Linotype" w:cs="Arial"/>
          <w:color w:val="000000" w:themeColor="text1"/>
          <w:sz w:val="24"/>
          <w:lang w:val="es-ES" w:eastAsia="es-ES"/>
        </w:rPr>
        <w:t xml:space="preserve"> </w:t>
      </w:r>
      <w:r w:rsidRPr="005A7997">
        <w:rPr>
          <w:rFonts w:ascii="Palatino Linotype" w:eastAsia="Palatino Linotype" w:hAnsi="Palatino Linotype" w:cs="Arial"/>
          <w:b/>
          <w:i/>
          <w:color w:val="000000" w:themeColor="text1"/>
          <w:sz w:val="24"/>
          <w:u w:val="single"/>
        </w:rPr>
        <w:t>“</w:t>
      </w:r>
      <w:r w:rsidRPr="005A7997">
        <w:rPr>
          <w:rFonts w:ascii="Palatino Linotype" w:hAnsi="Palatino Linotype"/>
          <w:b/>
          <w:i/>
          <w:color w:val="000000" w:themeColor="text1"/>
          <w:sz w:val="24"/>
          <w:u w:val="single"/>
        </w:rPr>
        <w:t xml:space="preserve">No existe antecedentes de las auditorias de los diferentes cobros Si existe un reglamento, cual es el que gobierna el panteón de San </w:t>
      </w:r>
      <w:r w:rsidRPr="005A7997">
        <w:rPr>
          <w:rFonts w:ascii="Palatino Linotype" w:hAnsi="Palatino Linotype"/>
          <w:b/>
          <w:i/>
          <w:color w:val="000000" w:themeColor="text1"/>
          <w:sz w:val="24"/>
          <w:u w:val="single"/>
        </w:rPr>
        <w:lastRenderedPageBreak/>
        <w:t>Francisco Chimalpa, no lo mencionan ni lo justifican Mencionan que se maneja por usos y costumbres. Lo que se ve es que están haciendo lo que quieren en cada año o periodo</w:t>
      </w:r>
      <w:r w:rsidRPr="005A7997">
        <w:rPr>
          <w:rFonts w:ascii="Palatino Linotype" w:eastAsia="Palatino Linotype" w:hAnsi="Palatino Linotype" w:cs="Arial"/>
          <w:b/>
          <w:i/>
          <w:color w:val="000000" w:themeColor="text1"/>
          <w:sz w:val="24"/>
          <w:u w:val="single"/>
        </w:rPr>
        <w:t>”</w:t>
      </w:r>
      <w:r w:rsidRPr="005A7997">
        <w:rPr>
          <w:rFonts w:ascii="Palatino Linotype" w:eastAsia="Palatino Linotype" w:hAnsi="Palatino Linotype" w:cs="Arial"/>
          <w:i/>
          <w:color w:val="000000" w:themeColor="text1"/>
          <w:sz w:val="24"/>
        </w:rPr>
        <w:t xml:space="preserve"> (Sic); y, “</w:t>
      </w:r>
      <w:r w:rsidRPr="005A7997">
        <w:rPr>
          <w:rFonts w:ascii="Palatino Linotype" w:hAnsi="Palatino Linotype"/>
          <w:b/>
          <w:i/>
          <w:color w:val="000000" w:themeColor="text1"/>
          <w:sz w:val="24"/>
          <w:u w:val="single"/>
        </w:rPr>
        <w:t>1.-Existen diversos cobros que hacen al panteón los cuales no presentan y muestra auditorias. 2.- Mencionan que son usos y costumbres, las cuales se rige el panteón 3.- No hay minutas por las cuales se ponen representantes 4.- Existen recibos de los cuales tiene el logo o sello del palacio de Naucalpan 5.- Si los servidores públicos están mintiendo hacer las denuncias correspondientes a contraloría y a la fiscalía, por vender terreno que no son de ellos 6.- Argumenten los usos y costumbres</w:t>
      </w:r>
      <w:r w:rsidRPr="005A7997">
        <w:rPr>
          <w:rFonts w:ascii="Palatino Linotype" w:eastAsia="Palatino Linotype" w:hAnsi="Palatino Linotype" w:cs="Arial"/>
          <w:b/>
          <w:i/>
          <w:color w:val="000000" w:themeColor="text1"/>
          <w:sz w:val="24"/>
          <w:u w:val="single"/>
        </w:rPr>
        <w:t xml:space="preserve">” </w:t>
      </w:r>
      <w:r w:rsidRPr="005A7997">
        <w:rPr>
          <w:rFonts w:ascii="Palatino Linotype" w:eastAsia="Palatino Linotype" w:hAnsi="Palatino Linotype" w:cs="Arial"/>
          <w:i/>
          <w:color w:val="000000" w:themeColor="text1"/>
          <w:sz w:val="24"/>
          <w:u w:val="single"/>
        </w:rPr>
        <w:t>(Sic)</w:t>
      </w:r>
    </w:p>
    <w:p w:rsidR="000D07B2" w:rsidRPr="005A7997" w:rsidRDefault="000D07B2" w:rsidP="00E922E9">
      <w:pPr>
        <w:spacing w:line="360" w:lineRule="auto"/>
        <w:ind w:right="-28"/>
        <w:jc w:val="both"/>
        <w:rPr>
          <w:rFonts w:ascii="Palatino Linotype" w:hAnsi="Palatino Linotype" w:cs="Arial"/>
          <w:color w:val="000000" w:themeColor="text1"/>
          <w:lang w:val="es-ES" w:eastAsia="es-ES"/>
        </w:rPr>
      </w:pPr>
    </w:p>
    <w:p w:rsidR="000D07B2" w:rsidRPr="005A7997" w:rsidRDefault="000D07B2" w:rsidP="00E922E9">
      <w:pPr>
        <w:pStyle w:val="Prrafodelista"/>
        <w:numPr>
          <w:ilvl w:val="0"/>
          <w:numId w:val="1"/>
        </w:numPr>
        <w:spacing w:line="360" w:lineRule="auto"/>
        <w:ind w:left="0" w:right="-28" w:firstLine="0"/>
        <w:jc w:val="both"/>
        <w:rPr>
          <w:rFonts w:ascii="Palatino Linotype" w:hAnsi="Palatino Linotype" w:cs="Arial"/>
          <w:color w:val="000000" w:themeColor="text1"/>
          <w:sz w:val="24"/>
          <w:lang w:val="es-ES" w:eastAsia="es-ES"/>
        </w:rPr>
      </w:pPr>
      <w:r w:rsidRPr="005A7997">
        <w:rPr>
          <w:rFonts w:ascii="Palatino Linotype" w:hAnsi="Palatino Linotype"/>
          <w:color w:val="000000" w:themeColor="text1"/>
          <w:sz w:val="24"/>
        </w:rPr>
        <w:t xml:space="preserve">Conforme a lo anterior, </w:t>
      </w:r>
      <w:r w:rsidRPr="005A7997">
        <w:rPr>
          <w:rFonts w:ascii="Palatino Linotype" w:eastAsiaTheme="minorEastAsia" w:hAnsi="Palatino Linotype" w:cs="Arial"/>
          <w:color w:val="000000" w:themeColor="text1"/>
          <w:sz w:val="24"/>
          <w:lang w:eastAsia="es-ES"/>
        </w:rPr>
        <w:t xml:space="preserve">el sistema de medios de impugnación se centra en el análisis de los agravios o motivos de inconformidad, los que deben tener relación directa con el acto de autoridad que lo motiva. </w:t>
      </w:r>
    </w:p>
    <w:p w:rsidR="000D07B2" w:rsidRPr="005A7997" w:rsidRDefault="000D07B2" w:rsidP="00E922E9">
      <w:pPr>
        <w:ind w:right="-28"/>
        <w:rPr>
          <w:rFonts w:ascii="Palatino Linotype" w:eastAsiaTheme="minorEastAsia" w:hAnsi="Palatino Linotype" w:cs="Arial"/>
          <w:color w:val="000000" w:themeColor="text1"/>
          <w:lang w:eastAsia="es-ES"/>
        </w:rPr>
      </w:pPr>
    </w:p>
    <w:p w:rsidR="000D07B2" w:rsidRPr="005A7997" w:rsidRDefault="000D07B2" w:rsidP="00E922E9">
      <w:pPr>
        <w:pStyle w:val="Prrafodelista"/>
        <w:numPr>
          <w:ilvl w:val="0"/>
          <w:numId w:val="1"/>
        </w:numPr>
        <w:spacing w:line="360" w:lineRule="auto"/>
        <w:ind w:left="0" w:right="-28" w:firstLine="0"/>
        <w:jc w:val="both"/>
        <w:rPr>
          <w:rFonts w:ascii="Palatino Linotype" w:hAnsi="Palatino Linotype" w:cs="Arial"/>
          <w:color w:val="000000" w:themeColor="text1"/>
          <w:sz w:val="24"/>
          <w:lang w:val="es-ES" w:eastAsia="es-ES"/>
        </w:rPr>
      </w:pPr>
      <w:r w:rsidRPr="005A7997">
        <w:rPr>
          <w:rFonts w:ascii="Palatino Linotype" w:eastAsiaTheme="minorEastAsia" w:hAnsi="Palatino Linotype" w:cs="Arial"/>
          <w:color w:val="000000" w:themeColor="text1"/>
          <w:sz w:val="24"/>
          <w:lang w:eastAsia="es-ES"/>
        </w:rPr>
        <w:t xml:space="preserve">En materia de transparencia, los motivos de la inconformidad deben versar sobre la respuesta de información proporcionada por los sujetos obligados o la negativa de entrega de la misma, derivada de la solicitud de información pública. De este modo, en los motivos de inconformidad los recurrentes no pueden incluir situaciones novedosas o solicitudes de información nuevas de las que el </w:t>
      </w:r>
      <w:r w:rsidRPr="005A7997">
        <w:rPr>
          <w:rFonts w:ascii="Palatino Linotype" w:eastAsiaTheme="minorEastAsia" w:hAnsi="Palatino Linotype" w:cs="Arial"/>
          <w:b/>
          <w:color w:val="000000" w:themeColor="text1"/>
          <w:sz w:val="24"/>
          <w:lang w:eastAsia="es-ES"/>
        </w:rPr>
        <w:t>SUJETO OBLIGADO</w:t>
      </w:r>
      <w:r w:rsidRPr="005A7997">
        <w:rPr>
          <w:rFonts w:ascii="Palatino Linotype" w:eastAsiaTheme="minorEastAsia" w:hAnsi="Palatino Linotype" w:cs="Arial"/>
          <w:color w:val="000000" w:themeColor="text1"/>
          <w:sz w:val="24"/>
          <w:lang w:eastAsia="es-ES"/>
        </w:rPr>
        <w:t xml:space="preserve"> no tuvo la oportunidad de conocer y por consiguiente producir un posicionamiento.</w:t>
      </w:r>
    </w:p>
    <w:p w:rsidR="000D07B2" w:rsidRPr="005A7997" w:rsidRDefault="000D07B2" w:rsidP="00E922E9">
      <w:pPr>
        <w:ind w:right="-28"/>
        <w:rPr>
          <w:rFonts w:ascii="Palatino Linotype" w:hAnsi="Palatino Linotype"/>
          <w:color w:val="000000" w:themeColor="text1"/>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t xml:space="preserve">Es </w:t>
      </w:r>
      <w:r w:rsidRPr="005A7997">
        <w:rPr>
          <w:rFonts w:ascii="Palatino Linotype" w:eastAsiaTheme="minorEastAsia" w:hAnsi="Palatino Linotype" w:cs="Arial"/>
          <w:color w:val="000000" w:themeColor="text1"/>
          <w:lang w:eastAsia="es-ES"/>
        </w:rPr>
        <w:t>por ello, que la Ley de la materia contempla que en los casos en que a través del recurso de revisión se pretenda ampliar los requerimientos de información, la inconformidad relativa a estas situaciones novedosas no debe ser tomada en cuenta como parte de la Litis y debe ser desechada, tal y como lo establece el artículo 191 fracción VII.</w:t>
      </w:r>
    </w:p>
    <w:p w:rsidR="000D07B2" w:rsidRPr="005A7997" w:rsidRDefault="000D07B2" w:rsidP="00E922E9">
      <w:pPr>
        <w:spacing w:line="360" w:lineRule="auto"/>
        <w:ind w:right="-28"/>
        <w:contextualSpacing/>
        <w:jc w:val="both"/>
        <w:rPr>
          <w:rFonts w:ascii="Palatino Linotype" w:hAnsi="Palatino Linotype"/>
          <w:color w:val="000000" w:themeColor="text1"/>
        </w:rPr>
      </w:pPr>
    </w:p>
    <w:p w:rsidR="000D07B2" w:rsidRPr="005A7997" w:rsidRDefault="000D07B2" w:rsidP="00E922E9">
      <w:pPr>
        <w:ind w:right="-28"/>
        <w:contextualSpacing/>
        <w:jc w:val="both"/>
        <w:rPr>
          <w:rFonts w:ascii="Palatino Linotype" w:eastAsiaTheme="minorEastAsia" w:hAnsi="Palatino Linotype" w:cs="Arial"/>
          <w:i/>
          <w:color w:val="000000" w:themeColor="text1"/>
          <w:lang w:eastAsia="es-ES"/>
        </w:rPr>
      </w:pPr>
      <w:r w:rsidRPr="005A7997">
        <w:rPr>
          <w:rFonts w:ascii="Palatino Linotype" w:eastAsiaTheme="minorEastAsia" w:hAnsi="Palatino Linotype" w:cs="Arial"/>
          <w:b/>
          <w:bCs/>
          <w:i/>
          <w:color w:val="000000" w:themeColor="text1"/>
          <w:lang w:eastAsia="es-ES"/>
        </w:rPr>
        <w:lastRenderedPageBreak/>
        <w:t>“Artículo 191.</w:t>
      </w:r>
      <w:r w:rsidRPr="005A7997">
        <w:rPr>
          <w:rFonts w:ascii="Palatino Linotype" w:eastAsiaTheme="minorEastAsia" w:hAnsi="Palatino Linotype" w:cs="Arial"/>
          <w:i/>
          <w:color w:val="000000" w:themeColor="text1"/>
          <w:lang w:eastAsia="es-ES"/>
        </w:rPr>
        <w:t xml:space="preserve"> El recurso será desechado por improcedente cuando:</w:t>
      </w:r>
    </w:p>
    <w:p w:rsidR="000D07B2" w:rsidRPr="005A7997" w:rsidRDefault="000D07B2" w:rsidP="00E922E9">
      <w:pPr>
        <w:ind w:right="-28"/>
        <w:contextualSpacing/>
        <w:jc w:val="both"/>
        <w:rPr>
          <w:rFonts w:ascii="Palatino Linotype" w:eastAsiaTheme="minorEastAsia" w:hAnsi="Palatino Linotype" w:cs="Arial"/>
          <w:i/>
          <w:color w:val="000000" w:themeColor="text1"/>
          <w:lang w:eastAsia="es-ES"/>
        </w:rPr>
      </w:pPr>
      <w:r w:rsidRPr="005A7997">
        <w:rPr>
          <w:rFonts w:ascii="Palatino Linotype" w:eastAsiaTheme="minorEastAsia" w:hAnsi="Palatino Linotype" w:cs="Arial"/>
          <w:i/>
          <w:color w:val="000000" w:themeColor="text1"/>
          <w:lang w:eastAsia="es-ES"/>
        </w:rPr>
        <w:t>(…)</w:t>
      </w:r>
    </w:p>
    <w:p w:rsidR="000D07B2" w:rsidRPr="005A7997" w:rsidRDefault="000D07B2" w:rsidP="00E922E9">
      <w:pPr>
        <w:ind w:right="-28"/>
        <w:contextualSpacing/>
        <w:jc w:val="both"/>
        <w:rPr>
          <w:rFonts w:ascii="Palatino Linotype" w:eastAsiaTheme="minorEastAsia" w:hAnsi="Palatino Linotype" w:cs="Arial"/>
          <w:b/>
          <w:bCs/>
          <w:i/>
          <w:color w:val="000000" w:themeColor="text1"/>
          <w:lang w:eastAsia="es-ES"/>
        </w:rPr>
      </w:pPr>
      <w:r w:rsidRPr="005A7997">
        <w:rPr>
          <w:rFonts w:ascii="Palatino Linotype" w:eastAsiaTheme="minorEastAsia" w:hAnsi="Palatino Linotype" w:cs="Arial"/>
          <w:b/>
          <w:bCs/>
          <w:i/>
          <w:color w:val="000000" w:themeColor="text1"/>
          <w:lang w:eastAsia="es-ES"/>
        </w:rPr>
        <w:t>VII. El recurrente amplíe su solicitud en el recurso de revisión, únicamente respecto de los nuevos contenidos.</w:t>
      </w:r>
    </w:p>
    <w:p w:rsidR="000D07B2" w:rsidRPr="005A7997" w:rsidRDefault="000D07B2" w:rsidP="00E922E9">
      <w:pPr>
        <w:ind w:right="-28"/>
        <w:contextualSpacing/>
        <w:jc w:val="both"/>
        <w:rPr>
          <w:rFonts w:ascii="Palatino Linotype" w:eastAsiaTheme="minorEastAsia" w:hAnsi="Palatino Linotype" w:cs="Arial"/>
          <w:i/>
          <w:color w:val="000000" w:themeColor="text1"/>
          <w:lang w:eastAsia="es-ES"/>
        </w:rPr>
      </w:pPr>
      <w:r w:rsidRPr="005A7997">
        <w:rPr>
          <w:rFonts w:ascii="Palatino Linotype" w:eastAsiaTheme="minorEastAsia" w:hAnsi="Palatino Linotype" w:cs="Arial"/>
          <w:i/>
          <w:color w:val="000000" w:themeColor="text1"/>
          <w:lang w:eastAsia="es-ES"/>
        </w:rPr>
        <w:t>(…)”</w:t>
      </w:r>
    </w:p>
    <w:p w:rsidR="000D07B2" w:rsidRPr="005A7997" w:rsidRDefault="000D07B2" w:rsidP="00E922E9">
      <w:pPr>
        <w:ind w:right="-28"/>
        <w:contextualSpacing/>
        <w:jc w:val="both"/>
        <w:rPr>
          <w:rFonts w:ascii="Palatino Linotype" w:eastAsiaTheme="minorEastAsia" w:hAnsi="Palatino Linotype" w:cs="Arial"/>
          <w:i/>
          <w:color w:val="000000" w:themeColor="text1"/>
          <w:lang w:eastAsia="es-ES"/>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t xml:space="preserve">Por </w:t>
      </w:r>
      <w:r w:rsidRPr="005A7997">
        <w:rPr>
          <w:rFonts w:ascii="Palatino Linotype" w:eastAsiaTheme="minorEastAsia" w:hAnsi="Palatino Linotype" w:cs="Arial"/>
          <w:color w:val="000000" w:themeColor="text1"/>
          <w:lang w:eastAsia="es-ES"/>
        </w:rPr>
        <w:t xml:space="preserve">lo anterior, resulta improcedente el referido motivo de inconformidad, ya que </w:t>
      </w:r>
      <w:r w:rsidRPr="005A7997">
        <w:rPr>
          <w:rFonts w:ascii="Palatino Linotype" w:hAnsi="Palatino Linotype" w:cs="Arial"/>
          <w:color w:val="000000" w:themeColor="text1"/>
        </w:rPr>
        <w:t xml:space="preserve">se aprecia que la </w:t>
      </w:r>
      <w:r w:rsidRPr="005A7997">
        <w:rPr>
          <w:rFonts w:ascii="Palatino Linotype" w:hAnsi="Palatino Linotype" w:cs="Arial"/>
          <w:b/>
          <w:bCs/>
          <w:color w:val="000000" w:themeColor="text1"/>
        </w:rPr>
        <w:t>RECURRENTE</w:t>
      </w:r>
      <w:r w:rsidRPr="005A7997">
        <w:rPr>
          <w:rFonts w:ascii="Palatino Linotype" w:hAnsi="Palatino Linotype" w:cs="Arial"/>
          <w:color w:val="000000" w:themeColor="text1"/>
        </w:rPr>
        <w:t xml:space="preserve"> se excede dentro de su inconformidad respecto a lo requerido originalmente en la solicitud de información, siendo el caso que pretende ampliar lo solicitado de origen, lo que hace que se surta lo que en la teoría jurídica se le denomina </w:t>
      </w:r>
      <w:r w:rsidRPr="005A7997">
        <w:rPr>
          <w:rFonts w:ascii="Palatino Linotype" w:hAnsi="Palatino Linotype" w:cs="Arial"/>
          <w:b/>
          <w:bCs/>
          <w:i/>
          <w:iCs/>
          <w:color w:val="000000" w:themeColor="text1"/>
        </w:rPr>
        <w:t>plus petitio.</w:t>
      </w:r>
    </w:p>
    <w:p w:rsidR="000D07B2" w:rsidRPr="005A7997" w:rsidRDefault="000D07B2" w:rsidP="00E922E9">
      <w:pPr>
        <w:spacing w:line="360" w:lineRule="auto"/>
        <w:ind w:right="-28"/>
        <w:contextualSpacing/>
        <w:jc w:val="both"/>
        <w:rPr>
          <w:rFonts w:ascii="Palatino Linotype" w:hAnsi="Palatino Linotype"/>
          <w:color w:val="000000" w:themeColor="text1"/>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t xml:space="preserve">Sirve </w:t>
      </w:r>
      <w:r w:rsidRPr="005A7997">
        <w:rPr>
          <w:rFonts w:ascii="Palatino Linotype" w:hAnsi="Palatino Linotype" w:cs="Arial"/>
          <w:color w:val="000000" w:themeColor="text1"/>
        </w:rPr>
        <w:t>de apoyo el criterio 01/17 emitido por el Instituto Nacional de Transparencia, Acceso a la Información y Protección de Datos Personales que establece lo siguiente:</w:t>
      </w:r>
    </w:p>
    <w:p w:rsidR="000D07B2" w:rsidRPr="005A7997" w:rsidRDefault="000D07B2" w:rsidP="00E922E9">
      <w:pPr>
        <w:ind w:right="-28"/>
        <w:contextualSpacing/>
        <w:jc w:val="both"/>
        <w:rPr>
          <w:rFonts w:ascii="Palatino Linotype" w:hAnsi="Palatino Linotype" w:cs="Arial"/>
          <w:i/>
          <w:color w:val="000000" w:themeColor="text1"/>
        </w:rPr>
      </w:pPr>
      <w:r w:rsidRPr="005A7997">
        <w:rPr>
          <w:rFonts w:ascii="Palatino Linotype" w:hAnsi="Palatino Linotype" w:cs="Arial"/>
          <w:b/>
          <w:i/>
          <w:color w:val="000000" w:themeColor="text1"/>
        </w:rPr>
        <w:t>Es improcedente ampliar las solicitudes de acceso a información, a través de la interposición del recurso de revisión.</w:t>
      </w:r>
      <w:r w:rsidRPr="005A7997">
        <w:rPr>
          <w:rFonts w:ascii="Palatino Linotype" w:hAnsi="Palatino Linotype" w:cs="Arial"/>
          <w:i/>
          <w:color w:val="000000" w:themeColor="text1"/>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0D07B2" w:rsidRPr="005A7997" w:rsidRDefault="000D07B2" w:rsidP="00E922E9">
      <w:pPr>
        <w:ind w:right="-28"/>
        <w:contextualSpacing/>
        <w:jc w:val="both"/>
        <w:rPr>
          <w:rFonts w:ascii="Palatino Linotype" w:hAnsi="Palatino Linotype" w:cs="Arial"/>
          <w:color w:val="000000" w:themeColor="text1"/>
        </w:rPr>
      </w:pPr>
    </w:p>
    <w:p w:rsidR="000D07B2" w:rsidRPr="005A7997" w:rsidRDefault="000D07B2" w:rsidP="00E922E9">
      <w:pPr>
        <w:ind w:right="-28"/>
        <w:contextualSpacing/>
        <w:jc w:val="both"/>
        <w:rPr>
          <w:rFonts w:ascii="Palatino Linotype" w:hAnsi="Palatino Linotype" w:cs="Arial"/>
          <w:i/>
          <w:color w:val="000000" w:themeColor="text1"/>
        </w:rPr>
      </w:pPr>
      <w:r w:rsidRPr="005A7997">
        <w:rPr>
          <w:rFonts w:ascii="Palatino Linotype" w:hAnsi="Palatino Linotype" w:cs="Arial"/>
          <w:i/>
          <w:color w:val="000000" w:themeColor="text1"/>
        </w:rPr>
        <w:t>Resoluciones:</w:t>
      </w:r>
    </w:p>
    <w:p w:rsidR="000D07B2" w:rsidRPr="005A7997" w:rsidRDefault="000D07B2" w:rsidP="00E922E9">
      <w:pPr>
        <w:ind w:right="-28"/>
        <w:contextualSpacing/>
        <w:jc w:val="both"/>
        <w:rPr>
          <w:rFonts w:ascii="Palatino Linotype" w:hAnsi="Palatino Linotype" w:cs="Arial"/>
          <w:i/>
          <w:color w:val="000000" w:themeColor="text1"/>
        </w:rPr>
      </w:pPr>
      <w:r w:rsidRPr="005A7997">
        <w:rPr>
          <w:rFonts w:ascii="Palatino Linotype" w:hAnsi="Palatino Linotype" w:cs="Arial"/>
          <w:i/>
          <w:color w:val="000000" w:themeColor="text1"/>
        </w:rPr>
        <w:t>RRA 0196/16. Secretaría de Agricultura, Ganadería, Desarrollo Rural, Pesca y Alimentación. 13 de julio de 2016. Por unanimidad. Comisionado Ponente Joel Salas Suárez.</w:t>
      </w:r>
    </w:p>
    <w:p w:rsidR="000D07B2" w:rsidRPr="005A7997" w:rsidRDefault="000D07B2" w:rsidP="00E922E9">
      <w:pPr>
        <w:ind w:right="-28"/>
        <w:contextualSpacing/>
        <w:jc w:val="both"/>
        <w:rPr>
          <w:rFonts w:ascii="Palatino Linotype" w:hAnsi="Palatino Linotype" w:cs="Arial"/>
          <w:i/>
          <w:color w:val="000000" w:themeColor="text1"/>
        </w:rPr>
      </w:pPr>
      <w:r w:rsidRPr="005A7997">
        <w:rPr>
          <w:rFonts w:ascii="Palatino Linotype" w:hAnsi="Palatino Linotype" w:cs="Arial"/>
          <w:i/>
          <w:color w:val="000000" w:themeColor="text1"/>
        </w:rPr>
        <w:t>RRA 0130/16. Comisión Nacional del Agua. 09 de agosto de 2016. Por unanimidad. Comisionado Ponente María Patricia Kurczyn Villalobos.</w:t>
      </w:r>
    </w:p>
    <w:p w:rsidR="000D07B2" w:rsidRPr="005A7997" w:rsidRDefault="000D07B2" w:rsidP="00E922E9">
      <w:pPr>
        <w:ind w:right="-28"/>
        <w:contextualSpacing/>
        <w:jc w:val="both"/>
        <w:rPr>
          <w:rFonts w:ascii="Palatino Linotype" w:hAnsi="Palatino Linotype" w:cs="Arial"/>
          <w:i/>
          <w:color w:val="000000" w:themeColor="text1"/>
        </w:rPr>
      </w:pPr>
      <w:r w:rsidRPr="005A7997">
        <w:rPr>
          <w:rFonts w:ascii="Palatino Linotype" w:hAnsi="Palatino Linotype" w:cs="Arial"/>
          <w:i/>
          <w:color w:val="000000" w:themeColor="text1"/>
        </w:rPr>
        <w:t>RRA 0342/16. Colegio de Bachilleres. 24 de agosto de 2016. Por unanimidad. Comisionada Ponente Ximena Puente de la Mora.</w:t>
      </w:r>
    </w:p>
    <w:p w:rsidR="000D07B2" w:rsidRDefault="000D07B2" w:rsidP="00E922E9">
      <w:pPr>
        <w:ind w:right="-28"/>
        <w:contextualSpacing/>
        <w:jc w:val="both"/>
        <w:rPr>
          <w:rFonts w:ascii="Palatino Linotype" w:hAnsi="Palatino Linotype" w:cs="Arial"/>
          <w:i/>
          <w:color w:val="000000" w:themeColor="text1"/>
        </w:rPr>
      </w:pPr>
    </w:p>
    <w:p w:rsidR="00337DFE" w:rsidRPr="005A7997" w:rsidRDefault="00337DFE" w:rsidP="00E922E9">
      <w:pPr>
        <w:ind w:right="-28"/>
        <w:contextualSpacing/>
        <w:jc w:val="both"/>
        <w:rPr>
          <w:rFonts w:ascii="Palatino Linotype" w:hAnsi="Palatino Linotype" w:cs="Arial"/>
          <w:i/>
          <w:color w:val="000000" w:themeColor="text1"/>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lastRenderedPageBreak/>
        <w:t xml:space="preserve">Asimismo, </w:t>
      </w:r>
      <w:r w:rsidRPr="005A7997">
        <w:rPr>
          <w:rFonts w:ascii="Palatino Linotype" w:hAnsi="Palatino Linotype" w:cs="Arial"/>
          <w:color w:val="000000" w:themeColor="text1"/>
        </w:rPr>
        <w:t>sirve de apoyo a lo anterior por analogía, la Jurisprudencia No. 29 visible a foja 19 del Apéndice al Semanario Judicial de la Federación 1917-1995, Torno VI, Materia Común, Primera Parte, Tesis de la Suprema Corte de Justicia, que contiene:</w:t>
      </w:r>
    </w:p>
    <w:p w:rsidR="000D07B2" w:rsidRPr="005A7997" w:rsidRDefault="000D07B2" w:rsidP="00E922E9">
      <w:pPr>
        <w:ind w:right="-28"/>
        <w:contextualSpacing/>
        <w:jc w:val="both"/>
        <w:rPr>
          <w:rFonts w:ascii="Palatino Linotype" w:hAnsi="Palatino Linotype"/>
          <w:color w:val="000000" w:themeColor="text1"/>
        </w:rPr>
      </w:pPr>
      <w:r w:rsidRPr="005A7997">
        <w:rPr>
          <w:rFonts w:ascii="Palatino Linotype" w:hAnsi="Palatino Linotype" w:cs="Arial"/>
          <w:b/>
          <w:i/>
          <w:color w:val="000000" w:themeColor="text1"/>
        </w:rPr>
        <w:t xml:space="preserve">AGRAVIOS EN LA REVISION. DEBEN ESTAR EN RELACION DIRECTA CON LOS FUNDAMENTOS Y CONSIDERACIONES DE LA SENTENCIA.- </w:t>
      </w:r>
      <w:r w:rsidRPr="005A7997">
        <w:rPr>
          <w:rFonts w:ascii="Palatino Linotype" w:hAnsi="Palatino Linotype" w:cs="Arial"/>
          <w:i/>
          <w:color w:val="000000" w:themeColor="text1"/>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0D07B2" w:rsidRPr="005A7997" w:rsidRDefault="000D07B2" w:rsidP="00E922E9">
      <w:pPr>
        <w:spacing w:line="360" w:lineRule="auto"/>
        <w:ind w:right="-28"/>
        <w:contextualSpacing/>
        <w:jc w:val="both"/>
        <w:rPr>
          <w:rFonts w:ascii="Palatino Linotype" w:hAnsi="Palatino Linotype"/>
          <w:color w:val="000000" w:themeColor="text1"/>
        </w:rPr>
      </w:pPr>
    </w:p>
    <w:p w:rsidR="000D07B2" w:rsidRPr="005A7997" w:rsidRDefault="000D07B2" w:rsidP="00E922E9">
      <w:pPr>
        <w:numPr>
          <w:ilvl w:val="0"/>
          <w:numId w:val="1"/>
        </w:numPr>
        <w:spacing w:line="360" w:lineRule="auto"/>
        <w:ind w:left="0" w:right="-28" w:firstLine="0"/>
        <w:contextualSpacing/>
        <w:jc w:val="both"/>
        <w:rPr>
          <w:rFonts w:ascii="Palatino Linotype" w:hAnsi="Palatino Linotype"/>
          <w:color w:val="000000" w:themeColor="text1"/>
        </w:rPr>
      </w:pPr>
      <w:r w:rsidRPr="005A7997">
        <w:rPr>
          <w:rFonts w:ascii="Palatino Linotype" w:hAnsi="Palatino Linotype"/>
          <w:color w:val="000000" w:themeColor="text1"/>
        </w:rPr>
        <w:t>Consecuentemente</w:t>
      </w:r>
      <w:r w:rsidRPr="005A7997">
        <w:rPr>
          <w:rFonts w:ascii="Palatino Linotype" w:hAnsi="Palatino Linotype" w:cs="Arial"/>
          <w:color w:val="000000" w:themeColor="text1"/>
        </w:rPr>
        <w:t xml:space="preserve">, en términos del artículo 191, fracción VII de la Ley de Transparencia y Acceso a la Información Pública del Estado de México y Municipios, este Instituto </w:t>
      </w:r>
      <w:r w:rsidRPr="005A7997">
        <w:rPr>
          <w:rFonts w:ascii="Palatino Linotype" w:eastAsia="Calibri" w:hAnsi="Palatino Linotype"/>
          <w:color w:val="000000" w:themeColor="text1"/>
          <w:lang w:val="es-CO"/>
        </w:rPr>
        <w:t xml:space="preserve">determina el </w:t>
      </w:r>
      <w:r w:rsidRPr="005A7997">
        <w:rPr>
          <w:rFonts w:ascii="Palatino Linotype" w:eastAsia="Calibri" w:hAnsi="Palatino Linotype"/>
          <w:b/>
          <w:color w:val="000000" w:themeColor="text1"/>
          <w:lang w:val="es-CO"/>
        </w:rPr>
        <w:t xml:space="preserve">SOBRESEIMIENTO </w:t>
      </w:r>
      <w:r w:rsidRPr="005A7997">
        <w:rPr>
          <w:rFonts w:ascii="Palatino Linotype" w:eastAsia="Calibri" w:hAnsi="Palatino Linotype"/>
          <w:color w:val="000000" w:themeColor="text1"/>
          <w:lang w:val="es-CO"/>
        </w:rPr>
        <w:t>del presente recurso de revisión,</w:t>
      </w:r>
      <w:r w:rsidRPr="005A7997">
        <w:rPr>
          <w:rFonts w:ascii="Palatino Linotype" w:hAnsi="Palatino Linotype"/>
          <w:color w:val="000000" w:themeColor="text1"/>
        </w:rPr>
        <w:t xml:space="preserve"> por</w:t>
      </w:r>
      <w:r w:rsidRPr="005A7997">
        <w:rPr>
          <w:rFonts w:ascii="Palatino Linotype" w:hAnsi="Palatino Linotype"/>
          <w:color w:val="000000" w:themeColor="text1"/>
          <w:spacing w:val="1"/>
        </w:rPr>
        <w:t xml:space="preserve"> </w:t>
      </w:r>
      <w:r w:rsidRPr="005A7997">
        <w:rPr>
          <w:rFonts w:ascii="Palatino Linotype" w:hAnsi="Palatino Linotype"/>
          <w:color w:val="000000" w:themeColor="text1"/>
        </w:rPr>
        <w:t>resultar</w:t>
      </w:r>
      <w:r w:rsidRPr="005A7997">
        <w:rPr>
          <w:rFonts w:ascii="Palatino Linotype" w:hAnsi="Palatino Linotype"/>
          <w:color w:val="000000" w:themeColor="text1"/>
          <w:spacing w:val="1"/>
        </w:rPr>
        <w:t xml:space="preserve"> </w:t>
      </w:r>
      <w:r w:rsidRPr="005A7997">
        <w:rPr>
          <w:rFonts w:ascii="Palatino Linotype" w:hAnsi="Palatino Linotype"/>
          <w:color w:val="000000" w:themeColor="text1"/>
        </w:rPr>
        <w:t>improcedente, de acuerdo con el artículo 192, fracción IV del mismo ordenamiento legal.</w:t>
      </w:r>
    </w:p>
    <w:p w:rsidR="000D07B2" w:rsidRPr="005A7997" w:rsidRDefault="000D07B2" w:rsidP="00E922E9">
      <w:pPr>
        <w:ind w:right="-28"/>
        <w:contextualSpacing/>
        <w:jc w:val="both"/>
        <w:rPr>
          <w:rFonts w:ascii="Palatino Linotype" w:hAnsi="Palatino Linotype"/>
          <w:i/>
          <w:iCs/>
          <w:color w:val="000000" w:themeColor="text1"/>
        </w:rPr>
      </w:pPr>
      <w:r w:rsidRPr="005A7997">
        <w:rPr>
          <w:rFonts w:ascii="Palatino Linotype" w:hAnsi="Palatino Linotype"/>
          <w:b/>
          <w:bCs/>
          <w:i/>
          <w:iCs/>
          <w:color w:val="000000" w:themeColor="text1"/>
        </w:rPr>
        <w:t>“Artículo 192.</w:t>
      </w:r>
      <w:r w:rsidRPr="005A7997">
        <w:rPr>
          <w:rFonts w:ascii="Palatino Linotype" w:hAnsi="Palatino Linotype"/>
          <w:i/>
          <w:iCs/>
          <w:color w:val="000000" w:themeColor="text1"/>
        </w:rPr>
        <w:t xml:space="preserve"> El recurso será sobreseído, en todo o en parte, cuando una vez admitido, se actualicen alguno de los siguientes supuestos: </w:t>
      </w:r>
    </w:p>
    <w:p w:rsidR="000D07B2" w:rsidRPr="005A7997" w:rsidRDefault="000D07B2" w:rsidP="00E922E9">
      <w:pPr>
        <w:ind w:right="-28"/>
        <w:contextualSpacing/>
        <w:jc w:val="both"/>
        <w:rPr>
          <w:rFonts w:ascii="Palatino Linotype" w:hAnsi="Palatino Linotype"/>
          <w:i/>
          <w:iCs/>
          <w:color w:val="000000" w:themeColor="text1"/>
        </w:rPr>
      </w:pPr>
      <w:r w:rsidRPr="005A7997">
        <w:rPr>
          <w:rFonts w:ascii="Palatino Linotype" w:hAnsi="Palatino Linotype"/>
          <w:i/>
          <w:iCs/>
          <w:color w:val="000000" w:themeColor="text1"/>
        </w:rPr>
        <w:t>(…)</w:t>
      </w:r>
    </w:p>
    <w:p w:rsidR="000D07B2" w:rsidRPr="005A7997" w:rsidRDefault="000D07B2" w:rsidP="00E922E9">
      <w:pPr>
        <w:ind w:right="-28"/>
        <w:contextualSpacing/>
        <w:jc w:val="both"/>
        <w:rPr>
          <w:rFonts w:ascii="Palatino Linotype" w:hAnsi="Palatino Linotype"/>
          <w:b/>
          <w:bCs/>
          <w:i/>
          <w:iCs/>
          <w:color w:val="000000" w:themeColor="text1"/>
        </w:rPr>
      </w:pPr>
      <w:r w:rsidRPr="005A7997">
        <w:rPr>
          <w:rFonts w:ascii="Palatino Linotype" w:hAnsi="Palatino Linotype"/>
          <w:b/>
          <w:bCs/>
          <w:i/>
          <w:iCs/>
          <w:color w:val="000000" w:themeColor="text1"/>
        </w:rPr>
        <w:t xml:space="preserve">IV. Admitido el recurso de revisión, aparezca alguna causal de improcedencia en los términos de la presente Ley; </w:t>
      </w:r>
    </w:p>
    <w:p w:rsidR="000D07B2" w:rsidRPr="005A7997" w:rsidRDefault="000D07B2" w:rsidP="00E922E9">
      <w:pPr>
        <w:ind w:right="-28"/>
        <w:contextualSpacing/>
        <w:jc w:val="both"/>
        <w:rPr>
          <w:rFonts w:ascii="Palatino Linotype" w:hAnsi="Palatino Linotype"/>
          <w:b/>
          <w:bCs/>
          <w:i/>
          <w:iCs/>
          <w:color w:val="000000" w:themeColor="text1"/>
        </w:rPr>
      </w:pPr>
      <w:r w:rsidRPr="005A7997">
        <w:rPr>
          <w:rFonts w:ascii="Palatino Linotype" w:hAnsi="Palatino Linotype"/>
          <w:i/>
          <w:iCs/>
          <w:color w:val="000000" w:themeColor="text1"/>
        </w:rPr>
        <w:t>(…)”</w:t>
      </w:r>
    </w:p>
    <w:p w:rsidR="009C4058" w:rsidRDefault="009C4058" w:rsidP="00E922E9">
      <w:pPr>
        <w:ind w:right="-28"/>
        <w:jc w:val="both"/>
        <w:rPr>
          <w:rFonts w:ascii="Palatino Linotype" w:eastAsia="Palatino Linotype" w:hAnsi="Palatino Linotype" w:cs="Arial"/>
          <w:color w:val="000000" w:themeColor="text1"/>
        </w:rPr>
      </w:pPr>
    </w:p>
    <w:p w:rsidR="00337DFE" w:rsidRPr="005A7997" w:rsidRDefault="00337DFE" w:rsidP="00E922E9">
      <w:pPr>
        <w:ind w:right="-28"/>
        <w:jc w:val="both"/>
        <w:rPr>
          <w:rFonts w:ascii="Palatino Linotype" w:eastAsia="Palatino Linotype" w:hAnsi="Palatino Linotype" w:cs="Arial"/>
          <w:color w:val="000000" w:themeColor="text1"/>
        </w:rPr>
      </w:pPr>
    </w:p>
    <w:p w:rsidR="00337DFE" w:rsidRDefault="005D2BDF" w:rsidP="00337DFE">
      <w:pPr>
        <w:numPr>
          <w:ilvl w:val="0"/>
          <w:numId w:val="1"/>
        </w:numPr>
        <w:spacing w:line="360" w:lineRule="auto"/>
        <w:ind w:left="0" w:right="-28" w:firstLine="0"/>
        <w:jc w:val="both"/>
        <w:rPr>
          <w:rFonts w:ascii="Palatino Linotype" w:eastAsia="Palatino Linotype" w:hAnsi="Palatino Linotype" w:cs="Arial"/>
          <w:color w:val="000000" w:themeColor="text1"/>
        </w:rPr>
      </w:pPr>
      <w:bookmarkStart w:id="7" w:name="_heading=h.3rdcrjn" w:colFirst="0" w:colLast="0"/>
      <w:bookmarkEnd w:id="7"/>
      <w:r w:rsidRPr="005A7997">
        <w:rPr>
          <w:rFonts w:ascii="Palatino Linotype" w:eastAsia="Palatino Linotype" w:hAnsi="Palatino Linotype" w:cs="Arial"/>
          <w:color w:val="000000" w:themeColor="text1"/>
        </w:rPr>
        <w:t xml:space="preserve">Por lo anteriormente expuesto y fundado, este </w:t>
      </w:r>
      <w:r w:rsidRPr="005A7997">
        <w:rPr>
          <w:rFonts w:ascii="Palatino Linotype" w:eastAsia="Palatino Linotype" w:hAnsi="Palatino Linotype" w:cs="Arial"/>
          <w:b/>
          <w:color w:val="000000" w:themeColor="text1"/>
        </w:rPr>
        <w:t>ÓRGANO GARANTE</w:t>
      </w:r>
      <w:r w:rsidRPr="005A7997">
        <w:rPr>
          <w:rFonts w:ascii="Palatino Linotype" w:eastAsia="Palatino Linotype" w:hAnsi="Palatino Linotype" w:cs="Arial"/>
          <w:color w:val="000000" w:themeColor="text1"/>
        </w:rPr>
        <w:t xml:space="preserve"> emite los siguientes:</w:t>
      </w:r>
      <w:r w:rsidR="00337DFE">
        <w:rPr>
          <w:rFonts w:ascii="Palatino Linotype" w:eastAsia="Palatino Linotype" w:hAnsi="Palatino Linotype" w:cs="Arial"/>
          <w:color w:val="000000" w:themeColor="text1"/>
        </w:rPr>
        <w:t xml:space="preserve"> ---------------------------------------------------------------------------------------------------------------</w:t>
      </w:r>
    </w:p>
    <w:p w:rsidR="00337DFE" w:rsidRPr="00337DFE" w:rsidRDefault="00337DFE" w:rsidP="00021C36">
      <w:pPr>
        <w:spacing w:line="360" w:lineRule="auto"/>
        <w:ind w:right="-28"/>
        <w:jc w:val="both"/>
        <w:rPr>
          <w:rFonts w:ascii="Palatino Linotype" w:eastAsia="Palatino Linotype" w:hAnsi="Palatino Linotype" w:cs="Arial"/>
          <w:color w:val="000000" w:themeColor="text1"/>
        </w:rPr>
      </w:pPr>
    </w:p>
    <w:p w:rsidR="009821B1" w:rsidRPr="005A7997" w:rsidRDefault="005D2BDF" w:rsidP="00E922E9">
      <w:pPr>
        <w:keepNext/>
        <w:keepLines/>
        <w:spacing w:line="360" w:lineRule="auto"/>
        <w:ind w:right="-28"/>
        <w:jc w:val="center"/>
        <w:rPr>
          <w:rFonts w:ascii="Palatino Linotype" w:eastAsia="Palatino Linotype" w:hAnsi="Palatino Linotype" w:cs="Arial"/>
          <w:b/>
          <w:color w:val="000000" w:themeColor="text1"/>
        </w:rPr>
      </w:pPr>
      <w:r w:rsidRPr="005A7997">
        <w:rPr>
          <w:rFonts w:ascii="Palatino Linotype" w:eastAsia="Palatino Linotype" w:hAnsi="Palatino Linotype" w:cs="Arial"/>
          <w:b/>
          <w:color w:val="000000" w:themeColor="text1"/>
        </w:rPr>
        <w:lastRenderedPageBreak/>
        <w:t>R E S O L U T I V O S</w:t>
      </w:r>
    </w:p>
    <w:p w:rsidR="009821B1" w:rsidRPr="005A7997" w:rsidRDefault="009821B1" w:rsidP="00E922E9">
      <w:pPr>
        <w:keepNext/>
        <w:keepLines/>
        <w:ind w:right="-28"/>
        <w:rPr>
          <w:rFonts w:ascii="Palatino Linotype" w:eastAsia="Palatino Linotype" w:hAnsi="Palatino Linotype" w:cs="Arial"/>
          <w:b/>
          <w:color w:val="000000" w:themeColor="text1"/>
        </w:rPr>
      </w:pPr>
    </w:p>
    <w:p w:rsidR="000D07B2" w:rsidRPr="005A7997" w:rsidRDefault="000D07B2" w:rsidP="00E922E9">
      <w:pPr>
        <w:spacing w:line="360" w:lineRule="auto"/>
        <w:ind w:right="-28"/>
        <w:jc w:val="both"/>
        <w:rPr>
          <w:rFonts w:ascii="Palatino Linotype" w:eastAsiaTheme="minorEastAsia" w:hAnsi="Palatino Linotype" w:cs="Arial"/>
          <w:bCs/>
          <w:color w:val="000000" w:themeColor="text1"/>
          <w:lang w:eastAsia="es-ES"/>
        </w:rPr>
      </w:pPr>
      <w:bookmarkStart w:id="8" w:name="_heading=h.krrsd25mjy70" w:colFirst="0" w:colLast="0"/>
      <w:bookmarkEnd w:id="8"/>
      <w:r w:rsidRPr="005A7997">
        <w:rPr>
          <w:rFonts w:ascii="Palatino Linotype" w:hAnsi="Palatino Linotype" w:cs="Arial"/>
          <w:b/>
          <w:color w:val="000000" w:themeColor="text1"/>
          <w:lang w:eastAsia="es-ES"/>
        </w:rPr>
        <w:t xml:space="preserve">PRIMERO. </w:t>
      </w:r>
      <w:r w:rsidRPr="005A7997">
        <w:rPr>
          <w:rFonts w:ascii="Palatino Linotype" w:hAnsi="Palatino Linotype"/>
          <w:color w:val="000000" w:themeColor="text1"/>
        </w:rPr>
        <w:t xml:space="preserve">Se </w:t>
      </w:r>
      <w:r w:rsidRPr="005A7997">
        <w:rPr>
          <w:rFonts w:ascii="Palatino Linotype" w:hAnsi="Palatino Linotype"/>
          <w:b/>
          <w:color w:val="000000" w:themeColor="text1"/>
        </w:rPr>
        <w:t>SOBRESEE</w:t>
      </w:r>
      <w:r w:rsidR="00E922E9" w:rsidRPr="005A7997">
        <w:rPr>
          <w:rFonts w:ascii="Palatino Linotype" w:hAnsi="Palatino Linotype"/>
          <w:b/>
          <w:color w:val="000000" w:themeColor="text1"/>
        </w:rPr>
        <w:t>N</w:t>
      </w:r>
      <w:r w:rsidRPr="005A7997">
        <w:rPr>
          <w:rFonts w:ascii="Palatino Linotype" w:hAnsi="Palatino Linotype"/>
          <w:b/>
          <w:color w:val="000000" w:themeColor="text1"/>
        </w:rPr>
        <w:t xml:space="preserve"> por improcedente</w:t>
      </w:r>
      <w:r w:rsidR="00E922E9" w:rsidRPr="005A7997">
        <w:rPr>
          <w:rFonts w:ascii="Palatino Linotype" w:hAnsi="Palatino Linotype"/>
          <w:b/>
          <w:color w:val="000000" w:themeColor="text1"/>
        </w:rPr>
        <w:t>s</w:t>
      </w:r>
      <w:r w:rsidRPr="005A7997">
        <w:rPr>
          <w:rFonts w:ascii="Palatino Linotype" w:hAnsi="Palatino Linotype"/>
          <w:color w:val="000000" w:themeColor="text1"/>
        </w:rPr>
        <w:t xml:space="preserve"> l</w:t>
      </w:r>
      <w:r w:rsidR="00E922E9" w:rsidRPr="005A7997">
        <w:rPr>
          <w:rFonts w:ascii="Palatino Linotype" w:hAnsi="Palatino Linotype"/>
          <w:color w:val="000000" w:themeColor="text1"/>
        </w:rPr>
        <w:t>os</w:t>
      </w:r>
      <w:r w:rsidRPr="005A7997">
        <w:rPr>
          <w:rFonts w:ascii="Palatino Linotype" w:hAnsi="Palatino Linotype"/>
          <w:color w:val="000000" w:themeColor="text1"/>
        </w:rPr>
        <w:t xml:space="preserve"> recurso</w:t>
      </w:r>
      <w:r w:rsidR="00E922E9" w:rsidRPr="005A7997">
        <w:rPr>
          <w:rFonts w:ascii="Palatino Linotype" w:hAnsi="Palatino Linotype"/>
          <w:color w:val="000000" w:themeColor="text1"/>
        </w:rPr>
        <w:t>s</w:t>
      </w:r>
      <w:r w:rsidRPr="005A7997">
        <w:rPr>
          <w:rFonts w:ascii="Palatino Linotype" w:hAnsi="Palatino Linotype"/>
          <w:color w:val="000000" w:themeColor="text1"/>
        </w:rPr>
        <w:t xml:space="preserve"> de revisión número </w:t>
      </w:r>
      <w:r w:rsidRPr="005A7997">
        <w:rPr>
          <w:rFonts w:ascii="Palatino Linotype" w:eastAsia="Palatino Linotype" w:hAnsi="Palatino Linotype" w:cs="Arial"/>
          <w:b/>
          <w:color w:val="000000" w:themeColor="text1"/>
        </w:rPr>
        <w:t xml:space="preserve">06228/INFOEM/IP/RR/2025 </w:t>
      </w:r>
      <w:r w:rsidR="00E922E9" w:rsidRPr="005A7997">
        <w:rPr>
          <w:rFonts w:ascii="Palatino Linotype" w:eastAsia="Palatino Linotype" w:hAnsi="Palatino Linotype" w:cs="Arial"/>
          <w:b/>
          <w:color w:val="000000" w:themeColor="text1"/>
        </w:rPr>
        <w:t>y 06242/INFOEM/IP/RR/2025,</w:t>
      </w:r>
      <w:r w:rsidRPr="005A7997">
        <w:rPr>
          <w:rFonts w:ascii="Palatino Linotype" w:hAnsi="Palatino Linotype"/>
          <w:bCs/>
          <w:color w:val="000000" w:themeColor="text1"/>
        </w:rPr>
        <w:t xml:space="preserve"> de conformidad con el 192, fracción IV, en relación con el artículo 191, fracción VII de la Ley de Transparencia y Acceso a la Información Pública del Estado de México y Municipios</w:t>
      </w:r>
      <w:r w:rsidRPr="005A7997">
        <w:rPr>
          <w:rFonts w:ascii="Palatino Linotype" w:hAnsi="Palatino Linotype"/>
          <w:color w:val="000000" w:themeColor="text1"/>
        </w:rPr>
        <w:t xml:space="preserve">, en términos del Considerando </w:t>
      </w:r>
      <w:r w:rsidRPr="005A7997">
        <w:rPr>
          <w:rFonts w:ascii="Palatino Linotype" w:hAnsi="Palatino Linotype"/>
          <w:b/>
          <w:color w:val="000000" w:themeColor="text1"/>
        </w:rPr>
        <w:t>TERCERO</w:t>
      </w:r>
      <w:r w:rsidRPr="005A7997">
        <w:rPr>
          <w:rFonts w:ascii="Palatino Linotype" w:hAnsi="Palatino Linotype"/>
          <w:color w:val="000000" w:themeColor="text1"/>
        </w:rPr>
        <w:t xml:space="preserve"> de la presente resolución.</w:t>
      </w:r>
    </w:p>
    <w:p w:rsidR="000D07B2" w:rsidRPr="005A7997" w:rsidRDefault="000D07B2" w:rsidP="00E922E9">
      <w:pPr>
        <w:spacing w:line="360" w:lineRule="auto"/>
        <w:ind w:right="-28"/>
        <w:jc w:val="both"/>
        <w:rPr>
          <w:rFonts w:ascii="Palatino Linotype" w:hAnsi="Palatino Linotype"/>
          <w:color w:val="000000" w:themeColor="text1"/>
          <w:lang w:eastAsia="es-ES"/>
        </w:rPr>
      </w:pPr>
    </w:p>
    <w:p w:rsidR="000D07B2" w:rsidRPr="005A7997" w:rsidRDefault="000D07B2" w:rsidP="00E922E9">
      <w:pPr>
        <w:spacing w:line="360" w:lineRule="auto"/>
        <w:ind w:right="-28"/>
        <w:jc w:val="both"/>
        <w:rPr>
          <w:rFonts w:ascii="Palatino Linotype" w:eastAsia="Calibri" w:hAnsi="Palatino Linotype" w:cs="Arial"/>
          <w:color w:val="000000" w:themeColor="text1"/>
          <w:lang w:val="es-ES" w:eastAsia="es-ES"/>
        </w:rPr>
      </w:pPr>
      <w:r w:rsidRPr="005A7997">
        <w:rPr>
          <w:rFonts w:ascii="Palatino Linotype" w:eastAsiaTheme="minorEastAsia" w:hAnsi="Palatino Linotype"/>
          <w:b/>
          <w:color w:val="000000" w:themeColor="text1"/>
          <w:lang w:eastAsia="es-ES"/>
        </w:rPr>
        <w:t>SEGUNDO.</w:t>
      </w:r>
      <w:r w:rsidRPr="005A7997">
        <w:rPr>
          <w:rFonts w:ascii="Palatino Linotype" w:eastAsiaTheme="majorEastAsia" w:hAnsi="Palatino Linotype" w:cstheme="majorBidi"/>
          <w:b/>
          <w:color w:val="000000" w:themeColor="text1"/>
          <w:lang w:eastAsia="es-ES"/>
        </w:rPr>
        <w:t xml:space="preserve"> </w:t>
      </w:r>
      <w:r w:rsidR="00E922E9" w:rsidRPr="005A7997">
        <w:rPr>
          <w:rFonts w:ascii="Palatino Linotype" w:eastAsia="Calibri" w:hAnsi="Palatino Linotype" w:cs="Arial"/>
          <w:b/>
          <w:bCs/>
          <w:color w:val="000000" w:themeColor="text1"/>
          <w:lang w:val="es-ES"/>
        </w:rPr>
        <w:t>NOTIFÍQUESE</w:t>
      </w:r>
      <w:r w:rsidRPr="005A7997">
        <w:rPr>
          <w:rFonts w:ascii="Palatino Linotype" w:eastAsia="Calibri" w:hAnsi="Palatino Linotype" w:cs="Arial"/>
          <w:b/>
          <w:bCs/>
          <w:color w:val="000000" w:themeColor="text1"/>
          <w:lang w:val="es-ES"/>
        </w:rPr>
        <w:t xml:space="preserve"> </w:t>
      </w:r>
      <w:r w:rsidRPr="005A7997">
        <w:rPr>
          <w:rFonts w:ascii="Palatino Linotype" w:eastAsia="Calibri" w:hAnsi="Palatino Linotype" w:cs="Arial"/>
          <w:bCs/>
          <w:color w:val="000000" w:themeColor="text1"/>
          <w:lang w:val="es-ES"/>
        </w:rPr>
        <w:t xml:space="preserve">a través del Sistema de Acceso a la Información Mexiquense </w:t>
      </w:r>
      <w:r w:rsidRPr="005A7997">
        <w:rPr>
          <w:rFonts w:ascii="Palatino Linotype" w:eastAsia="Calibri" w:hAnsi="Palatino Linotype" w:cs="Arial"/>
          <w:b/>
          <w:bCs/>
          <w:color w:val="000000" w:themeColor="text1"/>
          <w:lang w:val="es-ES"/>
        </w:rPr>
        <w:t xml:space="preserve">(SAIMEX) </w:t>
      </w:r>
      <w:r w:rsidRPr="005A7997">
        <w:rPr>
          <w:rFonts w:ascii="Palatino Linotype" w:eastAsia="Calibri" w:hAnsi="Palatino Linotype" w:cs="Arial"/>
          <w:bCs/>
          <w:color w:val="000000" w:themeColor="text1"/>
          <w:lang w:val="es-ES"/>
        </w:rPr>
        <w:t>la presente resolución al Titular de la Unidad de Transparencia del</w:t>
      </w:r>
      <w:r w:rsidRPr="005A7997">
        <w:rPr>
          <w:rFonts w:ascii="Palatino Linotype" w:eastAsia="Calibri" w:hAnsi="Palatino Linotype" w:cs="Arial"/>
          <w:b/>
          <w:bCs/>
          <w:color w:val="000000" w:themeColor="text1"/>
          <w:lang w:val="es-ES"/>
        </w:rPr>
        <w:t xml:space="preserve"> SUJETO OBLIGADO.</w:t>
      </w:r>
    </w:p>
    <w:p w:rsidR="000D07B2" w:rsidRPr="005A7997" w:rsidRDefault="000D07B2" w:rsidP="00E922E9">
      <w:pPr>
        <w:spacing w:line="360" w:lineRule="auto"/>
        <w:ind w:right="-28"/>
        <w:jc w:val="both"/>
        <w:rPr>
          <w:rFonts w:ascii="Palatino Linotype" w:eastAsia="Calibri" w:hAnsi="Palatino Linotype" w:cs="Arial"/>
          <w:color w:val="000000" w:themeColor="text1"/>
          <w:lang w:val="es-ES" w:eastAsia="es-ES"/>
        </w:rPr>
      </w:pPr>
    </w:p>
    <w:p w:rsidR="000D07B2" w:rsidRPr="005A7997" w:rsidRDefault="000D07B2" w:rsidP="00E922E9">
      <w:pPr>
        <w:tabs>
          <w:tab w:val="left" w:pos="8080"/>
        </w:tabs>
        <w:spacing w:line="360" w:lineRule="auto"/>
        <w:ind w:right="-28"/>
        <w:contextualSpacing/>
        <w:jc w:val="both"/>
        <w:rPr>
          <w:rFonts w:ascii="Palatino Linotype" w:eastAsia="Calibri" w:hAnsi="Palatino Linotype" w:cs="Arial"/>
          <w:b/>
          <w:bCs/>
          <w:color w:val="000000" w:themeColor="text1"/>
          <w:lang w:val="es-ES"/>
        </w:rPr>
      </w:pPr>
      <w:r w:rsidRPr="005A7997">
        <w:rPr>
          <w:rFonts w:ascii="Palatino Linotype" w:eastAsia="Palatino Linotype" w:hAnsi="Palatino Linotype" w:cs="Palatino Linotype"/>
          <w:b/>
          <w:color w:val="000000" w:themeColor="text1"/>
          <w:lang w:eastAsia="es-ES"/>
        </w:rPr>
        <w:t xml:space="preserve">TERCERO. </w:t>
      </w:r>
      <w:r w:rsidRPr="005A7997">
        <w:rPr>
          <w:rFonts w:ascii="Palatino Linotype" w:hAnsi="Palatino Linotype"/>
          <w:b/>
          <w:bCs/>
          <w:color w:val="000000" w:themeColor="text1"/>
          <w:lang w:val="es-ES"/>
        </w:rPr>
        <w:t xml:space="preserve">Notifíquese </w:t>
      </w:r>
      <w:r w:rsidRPr="005A7997">
        <w:rPr>
          <w:rFonts w:ascii="Palatino Linotype" w:hAnsi="Palatino Linotype"/>
          <w:bCs/>
          <w:color w:val="000000" w:themeColor="text1"/>
          <w:lang w:val="es-ES"/>
        </w:rPr>
        <w:t xml:space="preserve">al </w:t>
      </w:r>
      <w:r w:rsidRPr="005A7997">
        <w:rPr>
          <w:rFonts w:ascii="Palatino Linotype" w:hAnsi="Palatino Linotype"/>
          <w:b/>
          <w:bCs/>
          <w:color w:val="000000" w:themeColor="text1"/>
          <w:lang w:val="es-ES"/>
        </w:rPr>
        <w:t>RECURRENTE</w:t>
      </w:r>
      <w:r w:rsidRPr="005A7997">
        <w:rPr>
          <w:rFonts w:ascii="Palatino Linotype" w:hAnsi="Palatino Linotype"/>
          <w:color w:val="000000" w:themeColor="text1"/>
        </w:rPr>
        <w:t xml:space="preserve"> </w:t>
      </w:r>
      <w:r w:rsidRPr="005A7997">
        <w:rPr>
          <w:rFonts w:ascii="Palatino Linotype" w:hAnsi="Palatino Linotype"/>
          <w:color w:val="000000" w:themeColor="text1"/>
          <w:lang w:val="es-ES"/>
        </w:rPr>
        <w:t xml:space="preserve">la presente resolución, </w:t>
      </w:r>
      <w:r w:rsidRPr="005A7997">
        <w:rPr>
          <w:rFonts w:ascii="Palatino Linotype" w:eastAsia="Calibri" w:hAnsi="Palatino Linotype" w:cs="Arial"/>
          <w:bCs/>
          <w:color w:val="000000" w:themeColor="text1"/>
          <w:lang w:val="es-ES"/>
        </w:rPr>
        <w:t xml:space="preserve">a través del Sistema de Acceso a la Información Mexiquense </w:t>
      </w:r>
      <w:r w:rsidRPr="005A7997">
        <w:rPr>
          <w:rFonts w:ascii="Palatino Linotype" w:eastAsia="Calibri" w:hAnsi="Palatino Linotype" w:cs="Arial"/>
          <w:b/>
          <w:bCs/>
          <w:color w:val="000000" w:themeColor="text1"/>
          <w:lang w:val="es-ES"/>
        </w:rPr>
        <w:t>(SAIMEX).</w:t>
      </w:r>
    </w:p>
    <w:p w:rsidR="000D07B2" w:rsidRPr="005A7997" w:rsidRDefault="000D07B2" w:rsidP="00E922E9">
      <w:pPr>
        <w:tabs>
          <w:tab w:val="left" w:pos="8080"/>
        </w:tabs>
        <w:spacing w:line="360" w:lineRule="auto"/>
        <w:ind w:right="-28"/>
        <w:contextualSpacing/>
        <w:jc w:val="both"/>
        <w:rPr>
          <w:rFonts w:ascii="Palatino Linotype" w:eastAsia="Calibri" w:hAnsi="Palatino Linotype" w:cs="Arial"/>
          <w:b/>
          <w:bCs/>
          <w:color w:val="000000" w:themeColor="text1"/>
          <w:lang w:val="es-ES"/>
        </w:rPr>
      </w:pPr>
    </w:p>
    <w:p w:rsidR="009821B1" w:rsidRPr="005A7997" w:rsidRDefault="000D07B2" w:rsidP="00E922E9">
      <w:pPr>
        <w:pBdr>
          <w:top w:val="nil"/>
          <w:left w:val="nil"/>
          <w:bottom w:val="nil"/>
          <w:right w:val="nil"/>
          <w:between w:val="nil"/>
        </w:pBdr>
        <w:spacing w:line="360" w:lineRule="auto"/>
        <w:ind w:right="-28"/>
        <w:jc w:val="both"/>
        <w:rPr>
          <w:rFonts w:ascii="Palatino Linotype" w:eastAsia="MS Mincho" w:hAnsi="Palatino Linotype"/>
          <w:color w:val="000000" w:themeColor="text1"/>
          <w:lang w:val="es-ES"/>
        </w:rPr>
      </w:pPr>
      <w:r w:rsidRPr="005A7997">
        <w:rPr>
          <w:rFonts w:ascii="Palatino Linotype" w:hAnsi="Palatino Linotype" w:cs="Arial"/>
          <w:b/>
          <w:color w:val="000000" w:themeColor="text1"/>
          <w:lang w:eastAsia="es-ES"/>
        </w:rPr>
        <w:t xml:space="preserve">CUARTO. </w:t>
      </w:r>
      <w:r w:rsidRPr="005A7997">
        <w:rPr>
          <w:rFonts w:ascii="Palatino Linotype" w:eastAsia="MS Mincho" w:hAnsi="Palatino Linotype"/>
          <w:color w:val="000000" w:themeColor="text1"/>
          <w:lang w:val="es-ES"/>
        </w:rPr>
        <w:t xml:space="preserve">Se hace del conocimiento del </w:t>
      </w:r>
      <w:r w:rsidRPr="005A7997">
        <w:rPr>
          <w:rFonts w:ascii="Palatino Linotype" w:hAnsi="Palatino Linotype"/>
          <w:b/>
          <w:bCs/>
          <w:color w:val="000000" w:themeColor="text1"/>
          <w:lang w:val="es-ES"/>
        </w:rPr>
        <w:t>RECURRENTE</w:t>
      </w:r>
      <w:r w:rsidRPr="005A7997">
        <w:rPr>
          <w:rFonts w:ascii="Palatino Linotype" w:hAnsi="Palatino Linotype"/>
          <w:color w:val="000000" w:themeColor="text1"/>
        </w:rPr>
        <w:t xml:space="preserve"> </w:t>
      </w:r>
      <w:r w:rsidRPr="005A7997">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A7997">
        <w:rPr>
          <w:rFonts w:ascii="Palatino Linotype" w:eastAsia="MS Mincho" w:hAnsi="Palatino Linotype"/>
          <w:bCs/>
          <w:color w:val="000000" w:themeColor="text1"/>
          <w:lang w:val="es-ES"/>
        </w:rPr>
        <w:t>vía juicio de amparo</w:t>
      </w:r>
      <w:r w:rsidRPr="005A7997">
        <w:rPr>
          <w:rFonts w:ascii="Palatino Linotype" w:eastAsia="MS Mincho" w:hAnsi="Palatino Linotype"/>
          <w:color w:val="000000" w:themeColor="text1"/>
          <w:lang w:val="es-ES"/>
        </w:rPr>
        <w:t> en los términos de las leyes aplicables.</w:t>
      </w:r>
    </w:p>
    <w:p w:rsidR="00E922E9" w:rsidRPr="005A7997" w:rsidRDefault="00E922E9" w:rsidP="00E922E9">
      <w:pPr>
        <w:pBdr>
          <w:top w:val="nil"/>
          <w:left w:val="nil"/>
          <w:bottom w:val="nil"/>
          <w:right w:val="nil"/>
          <w:between w:val="nil"/>
        </w:pBdr>
        <w:spacing w:line="360" w:lineRule="auto"/>
        <w:ind w:right="-28"/>
        <w:jc w:val="both"/>
        <w:rPr>
          <w:rFonts w:ascii="Palatino Linotype" w:eastAsia="MS Mincho" w:hAnsi="Palatino Linotype"/>
          <w:color w:val="000000" w:themeColor="text1"/>
          <w:lang w:val="es-ES"/>
        </w:rPr>
      </w:pPr>
    </w:p>
    <w:p w:rsidR="00E922E9" w:rsidRPr="00444783" w:rsidRDefault="005A7997" w:rsidP="00E922E9">
      <w:pPr>
        <w:spacing w:line="360" w:lineRule="auto"/>
        <w:ind w:right="49"/>
        <w:jc w:val="both"/>
        <w:rPr>
          <w:rFonts w:ascii="Palatino Linotype" w:eastAsia="Palatino Linotype" w:hAnsi="Palatino Linotype" w:cs="Palatino Linotype"/>
        </w:rPr>
      </w:pPr>
      <w:r w:rsidRPr="005A799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Pr="005A7997">
        <w:rPr>
          <w:rFonts w:ascii="Palatino Linotype" w:eastAsia="Palatino Linotype" w:hAnsi="Palatino Linotype" w:cs="Palatino Linotype"/>
        </w:rPr>
        <w:lastRenderedPageBreak/>
        <w:t>GUADALUPE RAMÍREZ PEÑA; EN LA TRIGÉSIMA SESIÓN ORDINARIA, CELEBRADA EL VEINTISIETE (27) DE AGOSTO DE DOS MIL VEINTICINCO, ANTE EL SECRETARIO TÉCNICO DEL PLENO ALEXIS TAPIA RAMÍREZ</w:t>
      </w:r>
      <w:r w:rsidR="00E922E9" w:rsidRPr="005A7997">
        <w:rPr>
          <w:rFonts w:ascii="Palatino Linotype" w:eastAsia="Palatino Linotype" w:hAnsi="Palatino Linotype" w:cs="Palatino Linotype"/>
        </w:rPr>
        <w:t>.</w:t>
      </w: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Default="009821B1" w:rsidP="00E922E9">
      <w:pPr>
        <w:spacing w:line="360" w:lineRule="auto"/>
        <w:ind w:right="-28"/>
        <w:jc w:val="both"/>
        <w:rPr>
          <w:rFonts w:ascii="Palatino Linotype" w:eastAsia="Palatino Linotype" w:hAnsi="Palatino Linotype" w:cs="Arial"/>
          <w:color w:val="000000" w:themeColor="text1"/>
        </w:rPr>
      </w:pPr>
    </w:p>
    <w:p w:rsidR="00337DFE" w:rsidRDefault="00337DFE" w:rsidP="00E922E9">
      <w:pPr>
        <w:spacing w:line="360" w:lineRule="auto"/>
        <w:ind w:right="-28"/>
        <w:jc w:val="both"/>
        <w:rPr>
          <w:rFonts w:ascii="Palatino Linotype" w:eastAsia="Palatino Linotype" w:hAnsi="Palatino Linotype" w:cs="Arial"/>
          <w:color w:val="000000" w:themeColor="text1"/>
        </w:rPr>
      </w:pPr>
    </w:p>
    <w:p w:rsidR="00337DFE" w:rsidRDefault="00337DFE" w:rsidP="00E922E9">
      <w:pPr>
        <w:spacing w:line="360" w:lineRule="auto"/>
        <w:ind w:right="-28"/>
        <w:jc w:val="both"/>
        <w:rPr>
          <w:rFonts w:ascii="Palatino Linotype" w:eastAsia="Palatino Linotype" w:hAnsi="Palatino Linotype" w:cs="Arial"/>
          <w:color w:val="000000" w:themeColor="text1"/>
        </w:rPr>
      </w:pPr>
    </w:p>
    <w:p w:rsidR="00337DFE" w:rsidRDefault="00337DFE" w:rsidP="00E922E9">
      <w:pPr>
        <w:spacing w:line="360" w:lineRule="auto"/>
        <w:ind w:right="-28"/>
        <w:jc w:val="both"/>
        <w:rPr>
          <w:rFonts w:ascii="Palatino Linotype" w:eastAsia="Palatino Linotype" w:hAnsi="Palatino Linotype" w:cs="Arial"/>
          <w:color w:val="000000" w:themeColor="text1"/>
        </w:rPr>
      </w:pPr>
    </w:p>
    <w:p w:rsidR="00337DFE" w:rsidRDefault="00337DFE" w:rsidP="00E922E9">
      <w:pPr>
        <w:spacing w:line="360" w:lineRule="auto"/>
        <w:ind w:right="-28"/>
        <w:jc w:val="both"/>
        <w:rPr>
          <w:rFonts w:ascii="Palatino Linotype" w:eastAsia="Palatino Linotype" w:hAnsi="Palatino Linotype" w:cs="Arial"/>
          <w:color w:val="000000" w:themeColor="text1"/>
        </w:rPr>
      </w:pPr>
    </w:p>
    <w:p w:rsidR="00337DFE" w:rsidRDefault="00337DFE" w:rsidP="00E922E9">
      <w:pPr>
        <w:spacing w:line="360" w:lineRule="auto"/>
        <w:ind w:right="-28"/>
        <w:jc w:val="both"/>
        <w:rPr>
          <w:rFonts w:ascii="Palatino Linotype" w:eastAsia="Palatino Linotype" w:hAnsi="Palatino Linotype" w:cs="Arial"/>
          <w:color w:val="000000" w:themeColor="text1"/>
        </w:rPr>
      </w:pPr>
    </w:p>
    <w:p w:rsidR="00337DFE" w:rsidRDefault="00337DFE" w:rsidP="00E922E9">
      <w:pPr>
        <w:spacing w:line="360" w:lineRule="auto"/>
        <w:ind w:right="-28"/>
        <w:jc w:val="both"/>
        <w:rPr>
          <w:rFonts w:ascii="Palatino Linotype" w:eastAsia="Palatino Linotype" w:hAnsi="Palatino Linotype" w:cs="Arial"/>
          <w:color w:val="000000" w:themeColor="text1"/>
        </w:rPr>
      </w:pPr>
    </w:p>
    <w:p w:rsidR="00337DFE" w:rsidRPr="00E922E9" w:rsidRDefault="00337DFE"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jc w:val="both"/>
        <w:rPr>
          <w:rFonts w:ascii="Palatino Linotype" w:eastAsia="Palatino Linotype" w:hAnsi="Palatino Linotype" w:cs="Arial"/>
          <w:color w:val="000000" w:themeColor="text1"/>
        </w:rPr>
      </w:pP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spacing w:line="360" w:lineRule="auto"/>
        <w:ind w:right="-28"/>
        <w:rPr>
          <w:rFonts w:ascii="Palatino Linotype" w:eastAsia="Palatino Linotype" w:hAnsi="Palatino Linotype" w:cs="Arial"/>
          <w:color w:val="000000" w:themeColor="text1"/>
        </w:rPr>
      </w:pPr>
    </w:p>
    <w:p w:rsidR="009821B1" w:rsidRPr="00E922E9" w:rsidRDefault="009821B1" w:rsidP="00E922E9">
      <w:pPr>
        <w:ind w:right="-28"/>
        <w:rPr>
          <w:rFonts w:ascii="Palatino Linotype" w:eastAsia="Palatino Linotype" w:hAnsi="Palatino Linotype" w:cs="Arial"/>
          <w:color w:val="000000" w:themeColor="text1"/>
        </w:rPr>
      </w:pPr>
    </w:p>
    <w:sectPr w:rsidR="009821B1" w:rsidRPr="00E922E9" w:rsidSect="00337DFE">
      <w:headerReference w:type="even" r:id="rId10"/>
      <w:headerReference w:type="default" r:id="rId11"/>
      <w:footerReference w:type="default" r:id="rId12"/>
      <w:headerReference w:type="first" r:id="rId13"/>
      <w:footerReference w:type="first" r:id="rId14"/>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613" w:rsidRDefault="00A42613">
      <w:r>
        <w:separator/>
      </w:r>
    </w:p>
  </w:endnote>
  <w:endnote w:type="continuationSeparator" w:id="0">
    <w:p w:rsidR="00A42613" w:rsidRDefault="00A4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BB" w:rsidRDefault="009F6AB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21C3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21C36">
      <w:rPr>
        <w:b/>
        <w:noProof/>
        <w:color w:val="000000"/>
      </w:rPr>
      <w:t>15</w:t>
    </w:r>
    <w:r>
      <w:rPr>
        <w:b/>
        <w:color w:val="000000"/>
      </w:rPr>
      <w:fldChar w:fldCharType="end"/>
    </w:r>
  </w:p>
  <w:p w:rsidR="009F6ABB" w:rsidRDefault="009F6AB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BB" w:rsidRDefault="009F6ABB">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21C3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21C36">
      <w:rPr>
        <w:b/>
        <w:noProof/>
        <w:color w:val="000000"/>
      </w:rPr>
      <w:t>15</w:t>
    </w:r>
    <w:r>
      <w:rPr>
        <w:b/>
        <w:color w:val="000000"/>
      </w:rPr>
      <w:fldChar w:fldCharType="end"/>
    </w:r>
  </w:p>
  <w:p w:rsidR="009F6ABB" w:rsidRDefault="009F6AB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613" w:rsidRDefault="00A42613">
      <w:r>
        <w:separator/>
      </w:r>
    </w:p>
  </w:footnote>
  <w:footnote w:type="continuationSeparator" w:id="0">
    <w:p w:rsidR="00A42613" w:rsidRDefault="00A42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ABB" w:rsidRDefault="00A4261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0348" w:type="dxa"/>
      <w:tblInd w:w="0" w:type="dxa"/>
      <w:tblLayout w:type="fixed"/>
      <w:tblLook w:val="0400" w:firstRow="0" w:lastRow="0" w:firstColumn="0" w:lastColumn="0" w:noHBand="0" w:noVBand="1"/>
    </w:tblPr>
    <w:tblGrid>
      <w:gridCol w:w="2835"/>
      <w:gridCol w:w="7513"/>
    </w:tblGrid>
    <w:tr w:rsidR="009F6ABB" w:rsidTr="00337DFE">
      <w:trPr>
        <w:trHeight w:val="1435"/>
      </w:trPr>
      <w:tc>
        <w:tcPr>
          <w:tcW w:w="2835" w:type="dxa"/>
          <w:shd w:val="clear" w:color="auto" w:fill="auto"/>
        </w:tcPr>
        <w:p w:rsidR="009F6ABB" w:rsidRDefault="009F6ABB">
          <w:pPr>
            <w:tabs>
              <w:tab w:val="right" w:pos="4273"/>
            </w:tabs>
            <w:rPr>
              <w:rFonts w:ascii="Garamond" w:eastAsia="Garamond" w:hAnsi="Garamond" w:cs="Garamond"/>
              <w:sz w:val="16"/>
              <w:szCs w:val="16"/>
            </w:rPr>
          </w:pPr>
        </w:p>
      </w:tc>
      <w:tc>
        <w:tcPr>
          <w:tcW w:w="7513" w:type="dxa"/>
          <w:shd w:val="clear" w:color="auto" w:fill="auto"/>
        </w:tcPr>
        <w:tbl>
          <w:tblPr>
            <w:tblStyle w:val="a4"/>
            <w:tblW w:w="7783" w:type="dxa"/>
            <w:tblInd w:w="40" w:type="dxa"/>
            <w:tblLayout w:type="fixed"/>
            <w:tblLook w:val="0400" w:firstRow="0" w:lastRow="0" w:firstColumn="0" w:lastColumn="0" w:noHBand="0" w:noVBand="1"/>
          </w:tblPr>
          <w:tblGrid>
            <w:gridCol w:w="2680"/>
            <w:gridCol w:w="5103"/>
          </w:tblGrid>
          <w:tr w:rsidR="009F6ABB" w:rsidTr="00E922E9">
            <w:trPr>
              <w:trHeight w:val="150"/>
            </w:trPr>
            <w:tc>
              <w:tcPr>
                <w:tcW w:w="2680" w:type="dxa"/>
                <w:shd w:val="clear" w:color="auto" w:fill="auto"/>
              </w:tcPr>
              <w:p w:rsidR="009F6ABB" w:rsidRPr="00E922E9" w:rsidRDefault="009F6ABB" w:rsidP="00E922E9">
                <w:pPr>
                  <w:tabs>
                    <w:tab w:val="right" w:pos="8838"/>
                  </w:tabs>
                  <w:ind w:right="-105"/>
                  <w:jc w:val="both"/>
                  <w:rPr>
                    <w:rFonts w:ascii="Palatino Linotype" w:eastAsia="Palatino Linotype" w:hAnsi="Palatino Linotype" w:cs="Palatino Linotype"/>
                    <w:b/>
                  </w:rPr>
                </w:pPr>
                <w:r w:rsidRPr="00E922E9">
                  <w:rPr>
                    <w:rFonts w:ascii="Palatino Linotype" w:eastAsia="Palatino Linotype" w:hAnsi="Palatino Linotype" w:cs="Palatino Linotype"/>
                    <w:b/>
                  </w:rPr>
                  <w:t>Recurso de Revisión:</w:t>
                </w:r>
              </w:p>
            </w:tc>
            <w:tc>
              <w:tcPr>
                <w:tcW w:w="5103" w:type="dxa"/>
                <w:shd w:val="clear" w:color="auto" w:fill="auto"/>
              </w:tcPr>
              <w:p w:rsidR="009F6ABB" w:rsidRPr="00E922E9" w:rsidRDefault="009F6ABB" w:rsidP="00E922E9">
                <w:pPr>
                  <w:tabs>
                    <w:tab w:val="right" w:pos="8838"/>
                  </w:tabs>
                  <w:ind w:left="-108" w:right="-102"/>
                  <w:jc w:val="both"/>
                  <w:rPr>
                    <w:rFonts w:ascii="Palatino Linotype" w:eastAsia="Palatino Linotype" w:hAnsi="Palatino Linotype" w:cs="Palatino Linotype"/>
                  </w:rPr>
                </w:pPr>
                <w:r w:rsidRPr="00E922E9">
                  <w:rPr>
                    <w:rFonts w:ascii="Palatino Linotype" w:eastAsia="Palatino Linotype" w:hAnsi="Palatino Linotype" w:cs="Palatino Linotype"/>
                  </w:rPr>
                  <w:t>06228/INFOEM/IP/RR/2025 y Acumulado</w:t>
                </w:r>
              </w:p>
            </w:tc>
          </w:tr>
          <w:tr w:rsidR="009F6ABB" w:rsidTr="00E922E9">
            <w:trPr>
              <w:trHeight w:val="295"/>
            </w:trPr>
            <w:tc>
              <w:tcPr>
                <w:tcW w:w="2680" w:type="dxa"/>
                <w:shd w:val="clear" w:color="auto" w:fill="auto"/>
              </w:tcPr>
              <w:p w:rsidR="009F6ABB" w:rsidRPr="00E922E9" w:rsidRDefault="009F6ABB" w:rsidP="00E922E9">
                <w:pPr>
                  <w:tabs>
                    <w:tab w:val="right" w:pos="8838"/>
                  </w:tabs>
                  <w:ind w:right="-105"/>
                  <w:jc w:val="both"/>
                  <w:rPr>
                    <w:rFonts w:ascii="Palatino Linotype" w:eastAsia="Palatino Linotype" w:hAnsi="Palatino Linotype" w:cs="Palatino Linotype"/>
                    <w:b/>
                  </w:rPr>
                </w:pPr>
                <w:r w:rsidRPr="00E922E9">
                  <w:rPr>
                    <w:rFonts w:ascii="Palatino Linotype" w:eastAsia="Palatino Linotype" w:hAnsi="Palatino Linotype" w:cs="Palatino Linotype"/>
                    <w:b/>
                  </w:rPr>
                  <w:t>Sujeto Obligado:</w:t>
                </w:r>
              </w:p>
            </w:tc>
            <w:tc>
              <w:tcPr>
                <w:tcW w:w="5103" w:type="dxa"/>
                <w:shd w:val="clear" w:color="auto" w:fill="auto"/>
              </w:tcPr>
              <w:p w:rsidR="009F6ABB" w:rsidRPr="00E922E9" w:rsidRDefault="009F6ABB" w:rsidP="00E922E9">
                <w:pPr>
                  <w:tabs>
                    <w:tab w:val="left" w:pos="2834"/>
                    <w:tab w:val="right" w:pos="8838"/>
                  </w:tabs>
                  <w:ind w:left="-108" w:right="-102"/>
                  <w:jc w:val="both"/>
                  <w:rPr>
                    <w:rFonts w:ascii="Palatino Linotype" w:eastAsia="Palatino Linotype" w:hAnsi="Palatino Linotype" w:cs="Palatino Linotype"/>
                  </w:rPr>
                </w:pPr>
                <w:r w:rsidRPr="00E922E9">
                  <w:rPr>
                    <w:rFonts w:ascii="Palatino Linotype" w:eastAsia="Palatino Linotype" w:hAnsi="Palatino Linotype" w:cs="Palatino Linotype"/>
                  </w:rPr>
                  <w:t xml:space="preserve">Ayuntamiento de Naucalpan de Juárez </w:t>
                </w:r>
              </w:p>
            </w:tc>
          </w:tr>
          <w:tr w:rsidR="009F6ABB" w:rsidTr="00E922E9">
            <w:trPr>
              <w:trHeight w:val="295"/>
            </w:trPr>
            <w:tc>
              <w:tcPr>
                <w:tcW w:w="2680" w:type="dxa"/>
                <w:shd w:val="clear" w:color="auto" w:fill="auto"/>
              </w:tcPr>
              <w:p w:rsidR="009F6ABB" w:rsidRPr="00E922E9" w:rsidRDefault="009F6ABB" w:rsidP="00E922E9">
                <w:pPr>
                  <w:tabs>
                    <w:tab w:val="right" w:pos="8838"/>
                  </w:tabs>
                  <w:ind w:right="-105"/>
                  <w:jc w:val="both"/>
                  <w:rPr>
                    <w:rFonts w:ascii="Palatino Linotype" w:eastAsia="Palatino Linotype" w:hAnsi="Palatino Linotype" w:cs="Palatino Linotype"/>
                    <w:b/>
                  </w:rPr>
                </w:pPr>
                <w:r w:rsidRPr="00E922E9">
                  <w:rPr>
                    <w:rFonts w:ascii="Palatino Linotype" w:eastAsia="Palatino Linotype" w:hAnsi="Palatino Linotype" w:cs="Palatino Linotype"/>
                    <w:b/>
                  </w:rPr>
                  <w:t>Comisionada ponente:</w:t>
                </w:r>
              </w:p>
            </w:tc>
            <w:tc>
              <w:tcPr>
                <w:tcW w:w="5103" w:type="dxa"/>
                <w:shd w:val="clear" w:color="auto" w:fill="auto"/>
              </w:tcPr>
              <w:p w:rsidR="009F6ABB" w:rsidRPr="00E922E9" w:rsidRDefault="009F6ABB" w:rsidP="00E922E9">
                <w:pPr>
                  <w:tabs>
                    <w:tab w:val="right" w:pos="8838"/>
                  </w:tabs>
                  <w:ind w:left="-108" w:right="171"/>
                  <w:jc w:val="both"/>
                  <w:rPr>
                    <w:rFonts w:ascii="Palatino Linotype" w:eastAsia="Palatino Linotype" w:hAnsi="Palatino Linotype" w:cs="Palatino Linotype"/>
                  </w:rPr>
                </w:pPr>
                <w:r w:rsidRPr="00E922E9">
                  <w:rPr>
                    <w:rFonts w:ascii="Palatino Linotype" w:eastAsia="Palatino Linotype" w:hAnsi="Palatino Linotype" w:cs="Palatino Linotype"/>
                  </w:rPr>
                  <w:t>María del Rosario Mejía Ayala</w:t>
                </w:r>
              </w:p>
              <w:p w:rsidR="009F6ABB" w:rsidRPr="00E922E9" w:rsidRDefault="009F6ABB" w:rsidP="00E922E9">
                <w:pPr>
                  <w:tabs>
                    <w:tab w:val="right" w:pos="8838"/>
                  </w:tabs>
                  <w:ind w:left="-108" w:right="171"/>
                  <w:jc w:val="both"/>
                  <w:rPr>
                    <w:rFonts w:ascii="Palatino Linotype" w:eastAsia="Palatino Linotype" w:hAnsi="Palatino Linotype" w:cs="Palatino Linotype"/>
                  </w:rPr>
                </w:pPr>
              </w:p>
            </w:tc>
          </w:tr>
        </w:tbl>
        <w:p w:rsidR="009F6ABB" w:rsidRDefault="009F6ABB">
          <w:pPr>
            <w:tabs>
              <w:tab w:val="right" w:pos="8838"/>
            </w:tabs>
            <w:ind w:left="-28"/>
            <w:jc w:val="both"/>
            <w:rPr>
              <w:rFonts w:ascii="Arial" w:eastAsia="Arial" w:hAnsi="Arial" w:cs="Arial"/>
              <w:b/>
              <w:sz w:val="22"/>
              <w:szCs w:val="22"/>
            </w:rPr>
          </w:pPr>
        </w:p>
      </w:tc>
    </w:tr>
  </w:tbl>
  <w:p w:rsidR="009F6ABB" w:rsidRDefault="00A42613">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348" w:type="dxa"/>
      <w:tblInd w:w="0" w:type="dxa"/>
      <w:tblLayout w:type="fixed"/>
      <w:tblLook w:val="0400" w:firstRow="0" w:lastRow="0" w:firstColumn="0" w:lastColumn="0" w:noHBand="0" w:noVBand="1"/>
    </w:tblPr>
    <w:tblGrid>
      <w:gridCol w:w="2268"/>
      <w:gridCol w:w="8080"/>
    </w:tblGrid>
    <w:tr w:rsidR="009F6ABB" w:rsidTr="00337DFE">
      <w:trPr>
        <w:trHeight w:val="1435"/>
      </w:trPr>
      <w:tc>
        <w:tcPr>
          <w:tcW w:w="2268" w:type="dxa"/>
          <w:shd w:val="clear" w:color="auto" w:fill="auto"/>
        </w:tcPr>
        <w:p w:rsidR="009F6ABB" w:rsidRDefault="009F6ABB">
          <w:pPr>
            <w:tabs>
              <w:tab w:val="right" w:pos="4273"/>
            </w:tabs>
            <w:rPr>
              <w:rFonts w:ascii="Garamond" w:eastAsia="Garamond" w:hAnsi="Garamond" w:cs="Garamond"/>
              <w:sz w:val="22"/>
              <w:szCs w:val="22"/>
            </w:rPr>
          </w:pPr>
        </w:p>
      </w:tc>
      <w:tc>
        <w:tcPr>
          <w:tcW w:w="8080" w:type="dxa"/>
          <w:shd w:val="clear" w:color="auto" w:fill="auto"/>
        </w:tcPr>
        <w:tbl>
          <w:tblPr>
            <w:tblStyle w:val="a6"/>
            <w:tblW w:w="8067" w:type="dxa"/>
            <w:tblInd w:w="736" w:type="dxa"/>
            <w:tblLayout w:type="fixed"/>
            <w:tblLook w:val="0400" w:firstRow="0" w:lastRow="0" w:firstColumn="0" w:lastColumn="0" w:noHBand="0" w:noVBand="1"/>
          </w:tblPr>
          <w:tblGrid>
            <w:gridCol w:w="2539"/>
            <w:gridCol w:w="5528"/>
          </w:tblGrid>
          <w:tr w:rsidR="009F6ABB" w:rsidTr="00337DFE">
            <w:trPr>
              <w:trHeight w:val="144"/>
            </w:trPr>
            <w:tc>
              <w:tcPr>
                <w:tcW w:w="2539" w:type="dxa"/>
                <w:shd w:val="clear" w:color="auto" w:fill="auto"/>
              </w:tcPr>
              <w:p w:rsidR="009F6ABB" w:rsidRPr="00E922E9" w:rsidRDefault="009F6ABB" w:rsidP="00E922E9">
                <w:pPr>
                  <w:tabs>
                    <w:tab w:val="right" w:pos="8838"/>
                  </w:tabs>
                  <w:ind w:left="-264" w:right="-105" w:firstLine="195"/>
                  <w:jc w:val="both"/>
                  <w:rPr>
                    <w:rFonts w:ascii="Palatino Linotype" w:eastAsia="Palatino Linotype" w:hAnsi="Palatino Linotype" w:cs="Palatino Linotype"/>
                    <w:b/>
                  </w:rPr>
                </w:pPr>
                <w:r w:rsidRPr="00E922E9">
                  <w:rPr>
                    <w:rFonts w:ascii="Palatino Linotype" w:eastAsia="Palatino Linotype" w:hAnsi="Palatino Linotype" w:cs="Palatino Linotype"/>
                    <w:b/>
                  </w:rPr>
                  <w:t>Recurso de Revisión:</w:t>
                </w:r>
              </w:p>
            </w:tc>
            <w:tc>
              <w:tcPr>
                <w:tcW w:w="5528" w:type="dxa"/>
                <w:shd w:val="clear" w:color="auto" w:fill="auto"/>
              </w:tcPr>
              <w:p w:rsidR="009F6ABB" w:rsidRPr="00E922E9" w:rsidRDefault="009F6ABB" w:rsidP="00E922E9">
                <w:pPr>
                  <w:tabs>
                    <w:tab w:val="right" w:pos="8838"/>
                  </w:tabs>
                  <w:ind w:left="-74" w:right="-105"/>
                  <w:jc w:val="both"/>
                  <w:rPr>
                    <w:rFonts w:ascii="Palatino Linotype" w:eastAsia="Palatino Linotype" w:hAnsi="Palatino Linotype" w:cs="Palatino Linotype"/>
                  </w:rPr>
                </w:pPr>
                <w:r w:rsidRPr="00E922E9">
                  <w:rPr>
                    <w:rFonts w:ascii="Palatino Linotype" w:eastAsia="Palatino Linotype" w:hAnsi="Palatino Linotype" w:cs="Palatino Linotype"/>
                  </w:rPr>
                  <w:t>06228/INFOEM/IP/RR/2025 y Acumulado</w:t>
                </w:r>
              </w:p>
            </w:tc>
          </w:tr>
          <w:tr w:rsidR="009F6ABB" w:rsidTr="00337DFE">
            <w:trPr>
              <w:trHeight w:val="144"/>
            </w:trPr>
            <w:tc>
              <w:tcPr>
                <w:tcW w:w="2539" w:type="dxa"/>
                <w:shd w:val="clear" w:color="auto" w:fill="auto"/>
              </w:tcPr>
              <w:p w:rsidR="009F6ABB" w:rsidRPr="00E922E9" w:rsidRDefault="009F6ABB" w:rsidP="00E922E9">
                <w:pPr>
                  <w:tabs>
                    <w:tab w:val="right" w:pos="8838"/>
                  </w:tabs>
                  <w:ind w:left="-74" w:right="-105"/>
                  <w:jc w:val="both"/>
                  <w:rPr>
                    <w:rFonts w:ascii="Palatino Linotype" w:eastAsia="Palatino Linotype" w:hAnsi="Palatino Linotype" w:cs="Palatino Linotype"/>
                    <w:b/>
                  </w:rPr>
                </w:pPr>
                <w:r w:rsidRPr="00E922E9">
                  <w:rPr>
                    <w:rFonts w:ascii="Palatino Linotype" w:eastAsia="Palatino Linotype" w:hAnsi="Palatino Linotype" w:cs="Palatino Linotype"/>
                    <w:b/>
                  </w:rPr>
                  <w:t>Recurrente:</w:t>
                </w:r>
              </w:p>
            </w:tc>
            <w:tc>
              <w:tcPr>
                <w:tcW w:w="5528" w:type="dxa"/>
                <w:shd w:val="clear" w:color="auto" w:fill="auto"/>
              </w:tcPr>
              <w:p w:rsidR="009F6ABB" w:rsidRPr="00E922E9" w:rsidRDefault="00021C36" w:rsidP="00E922E9">
                <w:pPr>
                  <w:tabs>
                    <w:tab w:val="left" w:pos="3122"/>
                    <w:tab w:val="right" w:pos="8838"/>
                  </w:tabs>
                  <w:ind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9F6ABB" w:rsidTr="00337DFE">
            <w:trPr>
              <w:trHeight w:val="283"/>
            </w:trPr>
            <w:tc>
              <w:tcPr>
                <w:tcW w:w="2539" w:type="dxa"/>
                <w:shd w:val="clear" w:color="auto" w:fill="auto"/>
              </w:tcPr>
              <w:p w:rsidR="009F6ABB" w:rsidRPr="00E922E9" w:rsidRDefault="009F6ABB" w:rsidP="00E922E9">
                <w:pPr>
                  <w:tabs>
                    <w:tab w:val="right" w:pos="8838"/>
                  </w:tabs>
                  <w:ind w:left="-74" w:right="-105"/>
                  <w:jc w:val="both"/>
                  <w:rPr>
                    <w:rFonts w:ascii="Palatino Linotype" w:eastAsia="Palatino Linotype" w:hAnsi="Palatino Linotype" w:cs="Palatino Linotype"/>
                    <w:b/>
                  </w:rPr>
                </w:pPr>
                <w:r w:rsidRPr="00E922E9">
                  <w:rPr>
                    <w:rFonts w:ascii="Palatino Linotype" w:eastAsia="Palatino Linotype" w:hAnsi="Palatino Linotype" w:cs="Palatino Linotype"/>
                    <w:b/>
                  </w:rPr>
                  <w:t>Sujeto Obligado:</w:t>
                </w:r>
              </w:p>
            </w:tc>
            <w:tc>
              <w:tcPr>
                <w:tcW w:w="5528" w:type="dxa"/>
                <w:shd w:val="clear" w:color="auto" w:fill="auto"/>
              </w:tcPr>
              <w:p w:rsidR="009F6ABB" w:rsidRPr="00E922E9" w:rsidRDefault="009F6ABB" w:rsidP="00E922E9">
                <w:pPr>
                  <w:tabs>
                    <w:tab w:val="left" w:pos="2834"/>
                    <w:tab w:val="right" w:pos="8838"/>
                  </w:tabs>
                  <w:ind w:left="-74" w:right="-105"/>
                  <w:jc w:val="both"/>
                  <w:rPr>
                    <w:rFonts w:ascii="Palatino Linotype" w:eastAsia="Palatino Linotype" w:hAnsi="Palatino Linotype" w:cs="Palatino Linotype"/>
                  </w:rPr>
                </w:pPr>
                <w:r w:rsidRPr="00E922E9">
                  <w:rPr>
                    <w:rFonts w:ascii="Palatino Linotype" w:eastAsia="Palatino Linotype" w:hAnsi="Palatino Linotype" w:cs="Palatino Linotype"/>
                  </w:rPr>
                  <w:t xml:space="preserve">Ayuntamiento de Naucalpan de Juárez </w:t>
                </w:r>
              </w:p>
            </w:tc>
          </w:tr>
          <w:tr w:rsidR="009F6ABB" w:rsidTr="00337DFE">
            <w:trPr>
              <w:trHeight w:val="283"/>
            </w:trPr>
            <w:tc>
              <w:tcPr>
                <w:tcW w:w="2539" w:type="dxa"/>
                <w:shd w:val="clear" w:color="auto" w:fill="auto"/>
              </w:tcPr>
              <w:p w:rsidR="009F6ABB" w:rsidRPr="00E922E9" w:rsidRDefault="009F6ABB" w:rsidP="00E922E9">
                <w:pPr>
                  <w:tabs>
                    <w:tab w:val="right" w:pos="8838"/>
                  </w:tabs>
                  <w:ind w:left="-74" w:right="-105"/>
                  <w:jc w:val="both"/>
                  <w:rPr>
                    <w:rFonts w:ascii="Palatino Linotype" w:eastAsia="Palatino Linotype" w:hAnsi="Palatino Linotype" w:cs="Palatino Linotype"/>
                    <w:b/>
                  </w:rPr>
                </w:pPr>
                <w:r w:rsidRPr="00E922E9">
                  <w:rPr>
                    <w:rFonts w:ascii="Palatino Linotype" w:eastAsia="Palatino Linotype" w:hAnsi="Palatino Linotype" w:cs="Palatino Linotype"/>
                    <w:b/>
                  </w:rPr>
                  <w:t>Comisionada ponente:</w:t>
                </w:r>
              </w:p>
            </w:tc>
            <w:tc>
              <w:tcPr>
                <w:tcW w:w="5528" w:type="dxa"/>
                <w:shd w:val="clear" w:color="auto" w:fill="auto"/>
              </w:tcPr>
              <w:p w:rsidR="009F6ABB" w:rsidRPr="00E922E9" w:rsidRDefault="009F6ABB" w:rsidP="00E922E9">
                <w:pPr>
                  <w:tabs>
                    <w:tab w:val="right" w:pos="8838"/>
                  </w:tabs>
                  <w:ind w:left="-74" w:right="-105"/>
                  <w:jc w:val="both"/>
                  <w:rPr>
                    <w:rFonts w:ascii="Palatino Linotype" w:eastAsia="Palatino Linotype" w:hAnsi="Palatino Linotype" w:cs="Palatino Linotype"/>
                  </w:rPr>
                </w:pPr>
                <w:r w:rsidRPr="00E922E9">
                  <w:rPr>
                    <w:rFonts w:ascii="Palatino Linotype" w:eastAsia="Palatino Linotype" w:hAnsi="Palatino Linotype" w:cs="Palatino Linotype"/>
                  </w:rPr>
                  <w:t>María del Rosario Mejía Ayala</w:t>
                </w:r>
              </w:p>
              <w:p w:rsidR="009F6ABB" w:rsidRPr="00E922E9" w:rsidRDefault="009F6ABB" w:rsidP="00E922E9">
                <w:pPr>
                  <w:tabs>
                    <w:tab w:val="right" w:pos="8838"/>
                  </w:tabs>
                  <w:ind w:left="-74" w:right="-105"/>
                  <w:jc w:val="both"/>
                  <w:rPr>
                    <w:rFonts w:ascii="Palatino Linotype" w:eastAsia="Palatino Linotype" w:hAnsi="Palatino Linotype" w:cs="Palatino Linotype"/>
                  </w:rPr>
                </w:pPr>
              </w:p>
            </w:tc>
          </w:tr>
        </w:tbl>
        <w:p w:rsidR="009F6ABB" w:rsidRDefault="009F6ABB">
          <w:pPr>
            <w:tabs>
              <w:tab w:val="right" w:pos="8838"/>
            </w:tabs>
            <w:ind w:left="-28"/>
            <w:jc w:val="both"/>
            <w:rPr>
              <w:rFonts w:ascii="Arial" w:eastAsia="Arial" w:hAnsi="Arial" w:cs="Arial"/>
              <w:b/>
              <w:sz w:val="22"/>
              <w:szCs w:val="22"/>
            </w:rPr>
          </w:pPr>
        </w:p>
      </w:tc>
    </w:tr>
  </w:tbl>
  <w:p w:rsidR="009F6ABB" w:rsidRDefault="00A42613">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8682C"/>
    <w:multiLevelType w:val="multilevel"/>
    <w:tmpl w:val="593266C8"/>
    <w:lvl w:ilvl="0">
      <w:start w:val="1"/>
      <w:numFmt w:val="decimal"/>
      <w:lvlText w:val="%1."/>
      <w:lvlJc w:val="left"/>
      <w:pPr>
        <w:ind w:left="357"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ED5221"/>
    <w:multiLevelType w:val="multilevel"/>
    <w:tmpl w:val="00A401F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A8640C"/>
    <w:multiLevelType w:val="hybridMultilevel"/>
    <w:tmpl w:val="A240F898"/>
    <w:lvl w:ilvl="0" w:tplc="1EBC8CD0">
      <w:start w:val="1"/>
      <w:numFmt w:val="upperRoman"/>
      <w:lvlText w:val="%1."/>
      <w:lvlJc w:val="left"/>
      <w:pPr>
        <w:ind w:left="1080" w:hanging="720"/>
      </w:pPr>
      <w:rPr>
        <w:rFonts w:eastAsiaTheme="majorEastAsia" w:cstheme="maj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7164BD"/>
    <w:multiLevelType w:val="multilevel"/>
    <w:tmpl w:val="FE14E5E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FD4750"/>
    <w:multiLevelType w:val="hybridMultilevel"/>
    <w:tmpl w:val="FDA8D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111F5D"/>
    <w:multiLevelType w:val="hybridMultilevel"/>
    <w:tmpl w:val="B7385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8" w15:restartNumberingAfterBreak="0">
    <w:nsid w:val="55986F02"/>
    <w:multiLevelType w:val="hybridMultilevel"/>
    <w:tmpl w:val="C6844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435A25"/>
    <w:multiLevelType w:val="multilevel"/>
    <w:tmpl w:val="0C56AA58"/>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
  </w:num>
  <w:num w:numId="4">
    <w:abstractNumId w:val="8"/>
  </w:num>
  <w:num w:numId="5">
    <w:abstractNumId w:val="9"/>
  </w:num>
  <w:num w:numId="6">
    <w:abstractNumId w:val="7"/>
  </w:num>
  <w:num w:numId="7">
    <w:abstractNumId w:val="3"/>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1"/>
    <w:rsid w:val="00005D06"/>
    <w:rsid w:val="00021C36"/>
    <w:rsid w:val="000C6756"/>
    <w:rsid w:val="000D07B2"/>
    <w:rsid w:val="000E20AD"/>
    <w:rsid w:val="00102FAE"/>
    <w:rsid w:val="00155803"/>
    <w:rsid w:val="00172485"/>
    <w:rsid w:val="00191796"/>
    <w:rsid w:val="001F7BC0"/>
    <w:rsid w:val="00233A31"/>
    <w:rsid w:val="00272518"/>
    <w:rsid w:val="00286005"/>
    <w:rsid w:val="002A15EA"/>
    <w:rsid w:val="002A1C5D"/>
    <w:rsid w:val="002B58AF"/>
    <w:rsid w:val="002F08B5"/>
    <w:rsid w:val="00337DFE"/>
    <w:rsid w:val="00391F5E"/>
    <w:rsid w:val="003934D1"/>
    <w:rsid w:val="003B2F30"/>
    <w:rsid w:val="00482B2D"/>
    <w:rsid w:val="00520F4A"/>
    <w:rsid w:val="0057161B"/>
    <w:rsid w:val="005800FE"/>
    <w:rsid w:val="005A7997"/>
    <w:rsid w:val="005D2BDF"/>
    <w:rsid w:val="005F05D6"/>
    <w:rsid w:val="00610496"/>
    <w:rsid w:val="006247CE"/>
    <w:rsid w:val="006255CB"/>
    <w:rsid w:val="00647436"/>
    <w:rsid w:val="006526A4"/>
    <w:rsid w:val="006538A3"/>
    <w:rsid w:val="00665C46"/>
    <w:rsid w:val="00685981"/>
    <w:rsid w:val="006A2062"/>
    <w:rsid w:val="006D2C18"/>
    <w:rsid w:val="006D5953"/>
    <w:rsid w:val="0070606C"/>
    <w:rsid w:val="00734D2F"/>
    <w:rsid w:val="00751228"/>
    <w:rsid w:val="007D3C5F"/>
    <w:rsid w:val="007F7593"/>
    <w:rsid w:val="00800207"/>
    <w:rsid w:val="00834FD2"/>
    <w:rsid w:val="00850B49"/>
    <w:rsid w:val="008E71B9"/>
    <w:rsid w:val="0090640A"/>
    <w:rsid w:val="00921293"/>
    <w:rsid w:val="009303DC"/>
    <w:rsid w:val="009821B1"/>
    <w:rsid w:val="009B04FB"/>
    <w:rsid w:val="009B527A"/>
    <w:rsid w:val="009C3D5B"/>
    <w:rsid w:val="009C4058"/>
    <w:rsid w:val="009F07DC"/>
    <w:rsid w:val="009F15EB"/>
    <w:rsid w:val="009F6ABB"/>
    <w:rsid w:val="00A02D0D"/>
    <w:rsid w:val="00A1387A"/>
    <w:rsid w:val="00A42613"/>
    <w:rsid w:val="00AA6CDD"/>
    <w:rsid w:val="00AC365F"/>
    <w:rsid w:val="00B17EE5"/>
    <w:rsid w:val="00B41B93"/>
    <w:rsid w:val="00B56FFD"/>
    <w:rsid w:val="00B823EE"/>
    <w:rsid w:val="00B8568F"/>
    <w:rsid w:val="00B92C7B"/>
    <w:rsid w:val="00BE0274"/>
    <w:rsid w:val="00BE7F25"/>
    <w:rsid w:val="00BF6E03"/>
    <w:rsid w:val="00C46A64"/>
    <w:rsid w:val="00C553F0"/>
    <w:rsid w:val="00CA208E"/>
    <w:rsid w:val="00D25DE5"/>
    <w:rsid w:val="00D74E73"/>
    <w:rsid w:val="00D806F4"/>
    <w:rsid w:val="00D828E1"/>
    <w:rsid w:val="00DE636D"/>
    <w:rsid w:val="00E24A50"/>
    <w:rsid w:val="00E3575B"/>
    <w:rsid w:val="00E732EB"/>
    <w:rsid w:val="00E922E9"/>
    <w:rsid w:val="00F52ED8"/>
    <w:rsid w:val="00F70E0D"/>
    <w:rsid w:val="00F82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374CD74-88FD-426B-AD9E-3432613A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31C4F"/>
    <w:pPr>
      <w:tabs>
        <w:tab w:val="center" w:pos="4419"/>
        <w:tab w:val="right" w:pos="8838"/>
      </w:tabs>
    </w:pPr>
  </w:style>
  <w:style w:type="character" w:customStyle="1" w:styleId="PiedepginaCar">
    <w:name w:val="Pie de página Car"/>
    <w:basedOn w:val="Fuentedeprrafopredeter"/>
    <w:link w:val="Piedepgina"/>
    <w:uiPriority w:val="99"/>
    <w:rsid w:val="00A31C4F"/>
    <w:rPr>
      <w:rFonts w:ascii="Times New Roman" w:eastAsia="Times New Roman" w:hAnsi="Times New Roman" w:cs="Times New Roman"/>
      <w:sz w:val="24"/>
      <w:szCs w:val="24"/>
      <w:lang w:eastAsia="es-MX"/>
    </w:rPr>
  </w:style>
  <w:style w:type="paragraph" w:customStyle="1" w:styleId="Default">
    <w:name w:val="Default"/>
    <w:rsid w:val="0081249D"/>
    <w:pPr>
      <w:autoSpaceDE w:val="0"/>
      <w:autoSpaceDN w:val="0"/>
      <w:adjustRightInd w:val="0"/>
    </w:pPr>
    <w:rPr>
      <w:rFonts w:ascii="Calibri" w:hAnsi="Calibri" w:cs="Calibri"/>
      <w:color w:val="000000"/>
    </w:rPr>
  </w:style>
  <w:style w:type="table" w:styleId="Tablaconcuadrcula">
    <w:name w:val="Table Grid"/>
    <w:basedOn w:val="Tablanormal"/>
    <w:uiPriority w:val="39"/>
    <w:rsid w:val="00BF7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12817"/>
    <w:rPr>
      <w:sz w:val="16"/>
      <w:szCs w:val="16"/>
    </w:rPr>
  </w:style>
  <w:style w:type="paragraph" w:styleId="Textocomentario">
    <w:name w:val="annotation text"/>
    <w:basedOn w:val="Normal"/>
    <w:link w:val="TextocomentarioCar"/>
    <w:uiPriority w:val="99"/>
    <w:semiHidden/>
    <w:unhideWhenUsed/>
    <w:rsid w:val="00F12817"/>
    <w:rPr>
      <w:rFonts w:ascii="Cambria" w:eastAsia="Cambria" w:hAnsi="Cambria" w:cs="Cambria"/>
      <w:sz w:val="20"/>
      <w:szCs w:val="20"/>
      <w:lang w:val="es-ES_tradnl"/>
    </w:rPr>
  </w:style>
  <w:style w:type="character" w:customStyle="1" w:styleId="TextocomentarioCar">
    <w:name w:val="Texto comentario Car"/>
    <w:basedOn w:val="Fuentedeprrafopredeter"/>
    <w:link w:val="Textocomentario"/>
    <w:uiPriority w:val="99"/>
    <w:semiHidden/>
    <w:rsid w:val="00F12817"/>
    <w:rPr>
      <w:rFonts w:ascii="Cambria" w:eastAsia="Cambria" w:hAnsi="Cambria" w:cs="Cambria"/>
      <w:sz w:val="20"/>
      <w:szCs w:val="20"/>
      <w:lang w:val="es-ES_tradnl" w:eastAsia="es-MX"/>
    </w:rPr>
  </w:style>
  <w:style w:type="paragraph" w:styleId="Textodeglobo">
    <w:name w:val="Balloon Text"/>
    <w:basedOn w:val="Normal"/>
    <w:link w:val="TextodegloboCar"/>
    <w:uiPriority w:val="99"/>
    <w:semiHidden/>
    <w:unhideWhenUsed/>
    <w:rsid w:val="00F128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2817"/>
    <w:rPr>
      <w:rFonts w:ascii="Segoe UI" w:eastAsia="Times New Roman" w:hAnsi="Segoe UI" w:cs="Segoe UI"/>
      <w:sz w:val="18"/>
      <w:szCs w:val="18"/>
      <w:lang w:eastAsia="es-MX"/>
    </w:rPr>
  </w:style>
  <w:style w:type="paragraph" w:styleId="Asuntodelcomentario">
    <w:name w:val="annotation subject"/>
    <w:basedOn w:val="Textocomentario"/>
    <w:next w:val="Textocomentario"/>
    <w:link w:val="AsuntodelcomentarioCar"/>
    <w:uiPriority w:val="99"/>
    <w:semiHidden/>
    <w:unhideWhenUsed/>
    <w:rsid w:val="009F2EA1"/>
    <w:rPr>
      <w:rFonts w:ascii="Times New Roman" w:eastAsia="Times New Roman" w:hAnsi="Times New Roman" w:cs="Times New Roman"/>
      <w:b/>
      <w:bCs/>
      <w:lang w:val="es-MX"/>
    </w:rPr>
  </w:style>
  <w:style w:type="character" w:customStyle="1" w:styleId="AsuntodelcomentarioCar">
    <w:name w:val="Asunto del comentario Car"/>
    <w:basedOn w:val="TextocomentarioCar"/>
    <w:link w:val="Asuntodelcomentario"/>
    <w:uiPriority w:val="99"/>
    <w:semiHidden/>
    <w:rsid w:val="009F2EA1"/>
    <w:rPr>
      <w:rFonts w:ascii="Times New Roman" w:eastAsia="Times New Roman" w:hAnsi="Times New Roman" w:cs="Times New Roman"/>
      <w:b/>
      <w:bCs/>
      <w:sz w:val="20"/>
      <w:szCs w:val="20"/>
      <w:lang w:val="es-ES_tradnl" w:eastAsia="es-MX"/>
    </w:rPr>
  </w:style>
  <w:style w:type="character" w:customStyle="1" w:styleId="Ttulo1Car">
    <w:name w:val="Título 1 Car"/>
    <w:basedOn w:val="Fuentedeprrafopredeter"/>
    <w:uiPriority w:val="9"/>
    <w:rsid w:val="00B54D85"/>
    <w:rPr>
      <w:rFonts w:ascii="Palatino Linotype" w:eastAsiaTheme="majorEastAsia" w:hAnsi="Palatino Linotype" w:cstheme="majorBidi"/>
      <w:b/>
      <w:color w:val="000000" w:themeColor="text1"/>
      <w:sz w:val="24"/>
      <w:szCs w:val="32"/>
    </w:rPr>
  </w:style>
  <w:style w:type="paragraph" w:styleId="Textoindependiente">
    <w:name w:val="Body Text"/>
    <w:basedOn w:val="Normal"/>
    <w:link w:val="TextoindependienteCar"/>
    <w:rsid w:val="00030A97"/>
    <w:pPr>
      <w:jc w:val="both"/>
    </w:pPr>
    <w:rPr>
      <w:rFonts w:ascii="Arial" w:hAnsi="Arial"/>
      <w:szCs w:val="20"/>
      <w:lang w:val="es-ES_tradnl"/>
    </w:rPr>
  </w:style>
  <w:style w:type="character" w:customStyle="1" w:styleId="TextoindependienteCar">
    <w:name w:val="Texto independiente Car"/>
    <w:basedOn w:val="Fuentedeprrafopredeter"/>
    <w:link w:val="Textoindependiente"/>
    <w:rsid w:val="00030A97"/>
    <w:rPr>
      <w:rFonts w:ascii="Arial" w:eastAsia="Times New Roman" w:hAnsi="Arial" w:cs="Times New Roman"/>
      <w:sz w:val="24"/>
      <w:szCs w:val="20"/>
      <w:lang w:val="es-ES_tradnl"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TableNormal1">
    <w:name w:val="Table Normal1"/>
    <w:rsid w:val="00B17EE5"/>
    <w:rPr>
      <w:rFonts w:ascii="Cambria" w:eastAsia="Cambria" w:hAnsi="Cambria" w:cs="Cambria"/>
      <w:lang w:val="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6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44901.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4424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8jIwka+MVdVuCxGb9zla8va1Q==">CgMxLjAyCGguZ2pkZ3hzMgloLjFmb2I5dGUyCWguM3pueXNoNzIJaC4yZXQ5MnAwMgloLjNkeTZ2a20yCWguM3JkY3JqbjIOaC5rcnJzZDI1bWp5NzAyDmgudXE3ajNucGlrd3k2OAByITEzRm5sc1hkNDJwV1FHTy1VS0UwTHVLdmphbW5DRktoWA==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3592</Words>
  <Characters>19757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7</cp:revision>
  <cp:lastPrinted>2025-08-29T16:41:00Z</cp:lastPrinted>
  <dcterms:created xsi:type="dcterms:W3CDTF">2025-08-21T20:31:00Z</dcterms:created>
  <dcterms:modified xsi:type="dcterms:W3CDTF">2025-09-08T16:49:00Z</dcterms:modified>
</cp:coreProperties>
</file>