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veintidós de enero de dos mil veinticinco. </w:t>
      </w:r>
    </w:p>
    <w:p w:rsidR="00000000" w:rsidDel="00000000" w:rsidP="00000000" w:rsidRDefault="00000000" w:rsidRPr="00000000" w14:paraId="0000000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07604/INFOEM/IP/RR/2024</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color w:val="000000"/>
          <w:rtl w:val="0"/>
        </w:rPr>
        <w:t xml:space="preserve">XXXXXX XXXX XXX</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00535/PLEGISLA/IP/2024</w:t>
      </w:r>
      <w:r w:rsidDel="00000000" w:rsidR="00000000" w:rsidRPr="00000000">
        <w:rPr>
          <w:rFonts w:ascii="Palatino Linotype" w:cs="Palatino Linotype" w:eastAsia="Palatino Linotype" w:hAnsi="Palatino Linotype"/>
          <w:rtl w:val="0"/>
        </w:rPr>
        <w:t xml:space="preserve"> proporcionada por parte del Poder Legislativo,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siete de noviembre de dos mil veinticuatro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8">
      <w:pPr>
        <w:spacing w:after="0" w:line="276" w:lineRule="auto"/>
        <w:ind w:left="567" w:right="560"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“Por que no proceden las quejas a servidores públicos incompetentes”. </w:t>
      </w:r>
    </w:p>
    <w:p w:rsidR="00000000" w:rsidDel="00000000" w:rsidP="00000000" w:rsidRDefault="00000000" w:rsidRPr="00000000" w14:paraId="0000000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Aclaración.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ocho de noviembre de dos mil veinticuatro,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notificó una aclaración que versa en lo siguiente: </w:t>
      </w:r>
    </w:p>
    <w:p w:rsidR="00000000" w:rsidDel="00000000" w:rsidP="00000000" w:rsidRDefault="00000000" w:rsidRPr="00000000" w14:paraId="0000000D">
      <w:pPr>
        <w:tabs>
          <w:tab w:val="left" w:leader="none" w:pos="284"/>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tabs>
          <w:tab w:val="left" w:leader="none" w:pos="284"/>
        </w:tabs>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ocho de noviembre de dos mil veinticuatro, signado por el Titular de la Unidad de Transparencia, mediante el cual solicita se aclare la solicitud. </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Desahogo de la aclaración.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trece de noviembre de dos mil veinticuatro</w:t>
      </w:r>
      <w:r w:rsidDel="00000000" w:rsidR="00000000" w:rsidRPr="00000000">
        <w:rPr>
          <w:rFonts w:ascii="Palatino Linotype" w:cs="Palatino Linotype" w:eastAsia="Palatino Linotype" w:hAnsi="Palatino Linotype"/>
          <w:rtl w:val="0"/>
        </w:rPr>
        <w:t xml:space="preserve">, el particular desahogó el requerimiento de aclaración al tenor de lo siguiente: </w:t>
      </w:r>
    </w:p>
    <w:p w:rsidR="00000000" w:rsidDel="00000000" w:rsidP="00000000" w:rsidRDefault="00000000" w:rsidRPr="00000000" w14:paraId="00000010">
      <w:pPr>
        <w:tabs>
          <w:tab w:val="left" w:leader="none" w:pos="284"/>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tabs>
          <w:tab w:val="left" w:leader="none" w:pos="284"/>
        </w:tabs>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u w:val="single"/>
          <w:rtl w:val="0"/>
        </w:rPr>
        <w:t xml:space="preserve">Donde puedo meter una queja a servidores públicos en materia vehicular</w:t>
      </w:r>
      <w:r w:rsidDel="00000000" w:rsidR="00000000" w:rsidRPr="00000000">
        <w:rPr>
          <w:rFonts w:ascii="Palatino Linotype" w:cs="Palatino Linotype" w:eastAsia="Palatino Linotype" w:hAnsi="Palatino Linotype"/>
          <w:i w:val="1"/>
          <w:rtl w:val="0"/>
        </w:rPr>
        <w:t xml:space="preserve"> ya que tengo doble placa y cuando yo realice mi trámite de cambio de propietario nunca se me hizo mención de esas placas y me expidieron las laminas del vehículo ahora quieren que pague las otras placas cuando fui a realizar el trámite en las oficinas de gobierno tengo como comprobar la información y la contraloría es un órgano que no hace nada protege a sus servidores públicos cuando no saben realizar sus funciones”. </w:t>
      </w:r>
    </w:p>
    <w:p w:rsidR="00000000" w:rsidDel="00000000" w:rsidP="00000000" w:rsidRDefault="00000000" w:rsidRPr="00000000" w14:paraId="00000012">
      <w:pPr>
        <w:tabs>
          <w:tab w:val="left" w:leader="none" w:pos="284"/>
        </w:tabs>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Orientación.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trece de noviembre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el documento que versó en lo siguiente: </w:t>
      </w:r>
    </w:p>
    <w:p w:rsidR="00000000" w:rsidDel="00000000" w:rsidP="00000000" w:rsidRDefault="00000000" w:rsidRPr="00000000" w14:paraId="00000014">
      <w:pPr>
        <w:tabs>
          <w:tab w:val="left" w:leader="none" w:pos="284"/>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tabs>
          <w:tab w:val="left" w:leader="none" w:pos="284"/>
        </w:tabs>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trece de noviembre de dos mil veinticuatro, signado por el Titular de la Unidad de Transparencia, mediante el cual informa que, debe dirigir la solicitud a la Secretaría de Movilidad del Estado de México, toda vez que a través de su Órgano Interno de Control, tiene la facultad de recibir, tramitar y dar seguimiento a la quejas, denuncias e inconformidades que presenten los particulares o servicios públicos con motivo del incumplimiento de sus actividades. </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284"/>
        </w:tabs>
        <w:spacing w:after="0" w:line="36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Información que puede estar en poder de otro Sujeto Obligado.</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tres de diciembre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refirió la incompetencia y orientación a la solicitud de acceso a la información a través del SAIMEX, la cual versa como sigue:</w:t>
      </w:r>
    </w:p>
    <w:p w:rsidR="00000000" w:rsidDel="00000000" w:rsidP="00000000" w:rsidRDefault="00000000" w:rsidRPr="00000000" w14:paraId="00000018">
      <w:pPr>
        <w:spacing w:after="0" w:line="276" w:lineRule="auto"/>
        <w:ind w:right="84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tabs>
          <w:tab w:val="left" w:leader="none" w:pos="284"/>
        </w:tabs>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trece de noviembre de dos mil veinticuatro, signado por el Titular de la Unidad de Transparencia, mediante el cual informa que, debe dirigir la solicitud a la Secretaría de Movilidad del Estado de México, toda vez que a través de su Órgano Interno de Control, tiene la facultad de recibir, tramitar y dar seguimiento a la quejas, denuncias e inconformidades que presenten los particulares o servicios públicos con motivo del incumplimiento de sus actividades.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left="1080"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Interposición del Recurso de Revisión</w:t>
      </w:r>
      <w:r w:rsidDel="00000000" w:rsidR="00000000" w:rsidRPr="00000000">
        <w:rPr>
          <w:rFonts w:ascii="Palatino Linotype" w:cs="Palatino Linotype" w:eastAsia="Palatino Linotype" w:hAnsi="Palatino Linotype"/>
          <w:rtl w:val="0"/>
        </w:rPr>
        <w:t xml:space="preserve">. La parte Solicitante, derivado de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once de diciembre de dos mil veinticuatro</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rtl w:val="0"/>
        </w:rPr>
        <w:t xml:space="preserve">Acto impugnado.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Por parte del sujeto obligado no se me da ninguna respuesta</w:t>
      </w:r>
      <w:r w:rsidDel="00000000" w:rsidR="00000000" w:rsidRPr="00000000">
        <w:rPr>
          <w:rFonts w:ascii="Verdana" w:cs="Verdana" w:eastAsia="Verdana" w:hAnsi="Verdana"/>
          <w:sz w:val="14"/>
          <w:szCs w:val="14"/>
          <w:rtl w:val="0"/>
        </w:rPr>
        <w:t xml:space="preserve">.</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1E">
      <w:pPr>
        <w:spacing w:after="0" w:lineRule="auto"/>
        <w:ind w:left="567"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F">
      <w:pPr>
        <w:spacing w:after="0" w:lineRule="auto"/>
        <w:ind w:lef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“Por parte del sujeto obligado no se me da ninguna respuesta”</w:t>
      </w:r>
      <w:r w:rsidDel="00000000" w:rsidR="00000000" w:rsidRPr="00000000">
        <w:rPr>
          <w:rtl w:val="0"/>
        </w:rPr>
      </w:r>
    </w:p>
    <w:p w:rsidR="00000000" w:rsidDel="00000000" w:rsidP="00000000" w:rsidRDefault="00000000" w:rsidRPr="00000000" w14:paraId="0000002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07604/INFOEM/IP/RR/2024</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dieciséis de diciembre de dos mil veinticuatro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Manifestaciones.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dieciséis de diciembre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rindió su informe justificado al tenor de lo siguiente: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dieciséis de diciembre de dos mil veinticuatro, signado por el Titular de la Unidad de Transparencia, mediante el cual ratificó su respuesta inicial.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documento se hizo del conocimiento de la parte Recurrente el </w:t>
      </w:r>
      <w:r w:rsidDel="00000000" w:rsidR="00000000" w:rsidRPr="00000000">
        <w:rPr>
          <w:rFonts w:ascii="Palatino Linotype" w:cs="Palatino Linotype" w:eastAsia="Palatino Linotype" w:hAnsi="Palatino Linotype"/>
          <w:b w:val="1"/>
          <w:rtl w:val="0"/>
        </w:rPr>
        <w:t xml:space="preserve">catorce de enero de dos mil veinticinco.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Recurrente no realizó manifestaciones.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veinte de enero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3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spacing w:after="0" w:line="360" w:lineRule="auto"/>
        <w:jc w:val="both"/>
        <w:rPr>
          <w:rFonts w:ascii="Palatino Linotype" w:cs="Palatino Linotype" w:eastAsia="Palatino Linotype" w:hAnsi="Palatino Linotype"/>
        </w:rPr>
      </w:pPr>
      <w:bookmarkStart w:colFirst="0" w:colLast="0" w:name="_heading=h.3znysh7" w:id="1"/>
      <w:bookmarkEnd w:id="1"/>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declinó su competencia el </w:t>
      </w:r>
      <w:r w:rsidDel="00000000" w:rsidR="00000000" w:rsidRPr="00000000">
        <w:rPr>
          <w:rFonts w:ascii="Palatino Linotype" w:cs="Palatino Linotype" w:eastAsia="Palatino Linotype" w:hAnsi="Palatino Linotype"/>
          <w:b w:val="1"/>
          <w:rtl w:val="0"/>
        </w:rPr>
        <w:t xml:space="preserve">tres de diciembre de dos mil veinticuatro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mientras que el recurso de revisión interpuesto por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w:t>
      </w:r>
      <w:r w:rsidDel="00000000" w:rsidR="00000000" w:rsidRPr="00000000">
        <w:rPr>
          <w:rFonts w:ascii="Palatino Linotype" w:cs="Palatino Linotype" w:eastAsia="Palatino Linotype" w:hAnsi="Palatino Linotype"/>
          <w:b w:val="1"/>
          <w:rtl w:val="0"/>
        </w:rPr>
        <w:t xml:space="preserve">once de diciembre de dos mil veinticuatro</w:t>
      </w:r>
      <w:r w:rsidDel="00000000" w:rsidR="00000000" w:rsidRPr="00000000">
        <w:rPr>
          <w:rFonts w:ascii="Palatino Linotype" w:cs="Palatino Linotype" w:eastAsia="Palatino Linotype" w:hAnsi="Palatino Linotype"/>
          <w:rtl w:val="0"/>
        </w:rPr>
        <w:t xml:space="preserve">, esto es, al sexto día hábil en que se tuvo conocimiento de la respuesta. </w:t>
      </w:r>
    </w:p>
    <w:p w:rsidR="00000000" w:rsidDel="00000000" w:rsidP="00000000" w:rsidRDefault="00000000" w:rsidRPr="00000000" w14:paraId="0000003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suma importancia mencionar que, si bien, la parte proporcionó un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3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Del="00000000" w:rsidR="00000000" w:rsidRPr="00000000">
        <w:rPr>
          <w:rFonts w:ascii="Palatino Linotype" w:cs="Palatino Linotype" w:eastAsia="Palatino Linotype" w:hAnsi="Palatino Linotype"/>
          <w:b w:val="1"/>
          <w:rtl w:val="0"/>
        </w:rPr>
        <w:t xml:space="preserve">SAIMEX.</w:t>
      </w:r>
    </w:p>
    <w:p w:rsidR="00000000" w:rsidDel="00000000" w:rsidP="00000000" w:rsidRDefault="00000000" w:rsidRPr="00000000" w14:paraId="0000003E">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el recurrente en sus motivos de inconformidad, de acuerdo con el artículo 179, fracción VII del ordenamiento legal citado, que a la letra dice: </w:t>
      </w:r>
    </w:p>
    <w:p w:rsidR="00000000" w:rsidDel="00000000" w:rsidP="00000000" w:rsidRDefault="00000000" w:rsidRPr="00000000" w14:paraId="0000004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La falta de respuesta a una solicitud de acceso a la información;</w:t>
        <w:br w:type="textWrapping"/>
        <w:t xml:space="preserve">…</w:t>
      </w:r>
    </w:p>
    <w:p w:rsidR="00000000" w:rsidDel="00000000" w:rsidP="00000000" w:rsidRDefault="00000000" w:rsidRPr="00000000" w14:paraId="00000044">
      <w:pPr>
        <w:spacing w:after="0" w:line="360" w:lineRule="auto"/>
        <w:ind w:right="616"/>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Análisis de las causales de improcedencia y sobreseimiento del recurso de revisión.</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00000" w:rsidDel="00000000" w:rsidP="00000000" w:rsidRDefault="00000000" w:rsidRPr="00000000" w14:paraId="00000046">
      <w:pPr>
        <w:tabs>
          <w:tab w:val="left" w:leader="none" w:pos="1350"/>
        </w:tabs>
        <w:spacing w:after="0" w:line="360" w:lineRule="auto"/>
        <w:jc w:val="both"/>
        <w:rPr>
          <w:rFonts w:ascii="Palatino Linotype" w:cs="Palatino Linotype" w:eastAsia="Palatino Linotype" w:hAnsi="Palatino Linotype"/>
        </w:rPr>
      </w:pPr>
      <w:r w:rsidDel="00000000" w:rsidR="00000000" w:rsidRPr="00000000">
        <w:rPr>
          <w:rtl w:val="0"/>
        </w:rPr>
        <w:tab/>
      </w:r>
      <w:r w:rsidDel="00000000" w:rsidR="00000000" w:rsidRPr="00000000">
        <w:rPr>
          <w:rtl w:val="0"/>
        </w:rPr>
      </w:r>
    </w:p>
    <w:p w:rsidR="00000000" w:rsidDel="00000000" w:rsidP="00000000" w:rsidRDefault="00000000" w:rsidRPr="00000000" w14:paraId="00000047">
      <w:pPr>
        <w:spacing w:after="0" w:line="360" w:lineRule="auto"/>
        <w:jc w:val="both"/>
        <w:rPr/>
      </w:pPr>
      <w:r w:rsidDel="00000000" w:rsidR="00000000" w:rsidRPr="00000000">
        <w:rPr>
          <w:rFonts w:ascii="Palatino Linotype" w:cs="Palatino Linotype" w:eastAsia="Palatino Linotype" w:hAnsi="Palatino Linotype"/>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Del="00000000" w:rsidR="00000000" w:rsidRPr="00000000">
        <w:rPr>
          <w:rtl w:val="0"/>
        </w:rPr>
      </w:r>
    </w:p>
    <w:p w:rsidR="00000000" w:rsidDel="00000000" w:rsidP="00000000" w:rsidRDefault="00000000" w:rsidRPr="00000000" w14:paraId="00000048">
      <w:pPr>
        <w:spacing w:after="0" w:line="360" w:lineRule="auto"/>
        <w:rPr/>
      </w:pPr>
      <w:r w:rsidDel="00000000" w:rsidR="00000000" w:rsidRPr="00000000">
        <w:rPr>
          <w:rtl w:val="0"/>
        </w:rPr>
      </w:r>
    </w:p>
    <w:p w:rsidR="00000000" w:rsidDel="00000000" w:rsidP="00000000" w:rsidRDefault="00000000" w:rsidRPr="00000000" w14:paraId="00000049">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4A">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del análisis de la solicitud de información motivo del recurso de revisión que ahora se resuelve, se advierte que la parte s</w:t>
      </w:r>
      <w:r w:rsidDel="00000000" w:rsidR="00000000" w:rsidRPr="00000000">
        <w:rPr>
          <w:rFonts w:ascii="Palatino Linotype" w:cs="Palatino Linotype" w:eastAsia="Palatino Linotype" w:hAnsi="Palatino Linotype"/>
          <w:b w:val="1"/>
          <w:u w:val="single"/>
          <w:rtl w:val="0"/>
        </w:rPr>
        <w:t xml:space="preserve">olicitante requirió al Sujeto Obligado le informara el lugar donde se puede interponer una queja a servidores públicos en materia vehicular.</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C">
      <w:pPr>
        <w:tabs>
          <w:tab w:val="left" w:leader="none" w:pos="1134"/>
        </w:tabs>
        <w:spacing w:after="0" w:line="360" w:lineRule="auto"/>
        <w:ind w:right="90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Sujeto Obligado, se declaró incompetente, orientando al particular a dirigir su solicitud de información a la Secretaría de Movilidad del Estado de México, a través de su órgano interno de control. </w:t>
      </w:r>
    </w:p>
    <w:p w:rsidR="00000000" w:rsidDel="00000000" w:rsidP="00000000" w:rsidRDefault="00000000" w:rsidRPr="00000000" w14:paraId="0000004E">
      <w:pPr>
        <w:spacing w:after="0"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F">
      <w:pPr>
        <w:tabs>
          <w:tab w:val="left" w:leader="none" w:pos="7371"/>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se inconformó arguyendo que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i w:val="1"/>
          <w:rtl w:val="0"/>
        </w:rPr>
        <w:t xml:space="preserve">“Por parte del sujeto obligado </w:t>
      </w:r>
      <w:r w:rsidDel="00000000" w:rsidR="00000000" w:rsidRPr="00000000">
        <w:rPr>
          <w:rFonts w:ascii="Palatino Linotype" w:cs="Palatino Linotype" w:eastAsia="Palatino Linotype" w:hAnsi="Palatino Linotype"/>
          <w:b w:val="1"/>
          <w:i w:val="1"/>
          <w:rtl w:val="0"/>
        </w:rPr>
        <w:t xml:space="preserve">no se me da ninguna respuesta</w:t>
      </w: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050">
      <w:pPr>
        <w:tabs>
          <w:tab w:val="left" w:leader="none" w:pos="7371"/>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1">
      <w:pPr>
        <w:tabs>
          <w:tab w:val="left" w:leader="none" w:pos="7371"/>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mediante informe justificado, el Sujeto Obligado medularmente ratificó su respuesta inicial y, la parte Recurrente fue omisa en rendir manifestaciones. </w:t>
      </w:r>
    </w:p>
    <w:p w:rsidR="00000000" w:rsidDel="00000000" w:rsidP="00000000" w:rsidRDefault="00000000" w:rsidRPr="00000000" w14:paraId="00000052">
      <w:pPr>
        <w:tabs>
          <w:tab w:val="left" w:leader="none" w:pos="7371"/>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es de destacar que si bien, las razones o motivos de inconformidad hechos valer en el Recurso de Revisión resultan procedentes al encuadrar en la hipótesis normativa de la fracción VII del artículo 179 de la Ley en la materia, también lo es que para el caso particular, la hipótesis contenida en dicha fracción, </w:t>
      </w:r>
      <w:r w:rsidDel="00000000" w:rsidR="00000000" w:rsidRPr="00000000">
        <w:rPr>
          <w:rFonts w:ascii="Palatino Linotype" w:cs="Palatino Linotype" w:eastAsia="Palatino Linotype" w:hAnsi="Palatino Linotype"/>
          <w:b w:val="1"/>
          <w:u w:val="single"/>
          <w:rtl w:val="0"/>
        </w:rPr>
        <w:t xml:space="preserve">no se actualiza</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debido a que la parte Recurrente se agravió arguyendo que </w:t>
      </w:r>
      <w:r w:rsidDel="00000000" w:rsidR="00000000" w:rsidRPr="00000000">
        <w:rPr>
          <w:rFonts w:ascii="Palatino Linotype" w:cs="Palatino Linotype" w:eastAsia="Palatino Linotype" w:hAnsi="Palatino Linotype"/>
          <w:b w:val="1"/>
          <w:rtl w:val="0"/>
        </w:rPr>
        <w:t xml:space="preserve">no se le había proporcionado respuesta</w:t>
      </w:r>
      <w:r w:rsidDel="00000000" w:rsidR="00000000" w:rsidRPr="00000000">
        <w:rPr>
          <w:rFonts w:ascii="Palatino Linotype" w:cs="Palatino Linotype" w:eastAsia="Palatino Linotype" w:hAnsi="Palatino Linotype"/>
          <w:rtl w:val="0"/>
        </w:rPr>
        <w:t xml:space="preserve">, sin embargo, de lo contenido en el expediente electrónico, se advierte que contrario a lo que señala la parte Recurrente, el Sujeto Obligado sí proporcionó respuesta a la solicitud de información, como se advierte a continuación: </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1666875"/>
            <wp:effectExtent b="0" l="0" r="0" t="0"/>
            <wp:docPr id="33" name="image1.png"/>
            <a:graphic>
              <a:graphicData uri="http://schemas.openxmlformats.org/drawingml/2006/picture">
                <pic:pic>
                  <pic:nvPicPr>
                    <pic:cNvPr id="0" name="image1.png"/>
                    <pic:cNvPicPr preferRelativeResize="0"/>
                  </pic:nvPicPr>
                  <pic:blipFill>
                    <a:blip r:embed="rId7"/>
                    <a:srcRect b="14215" l="0" r="0" t="0"/>
                    <a:stretch>
                      <a:fillRect/>
                    </a:stretch>
                  </pic:blipFill>
                  <pic:spPr>
                    <a:xfrm>
                      <a:off x="0" y="0"/>
                      <a:ext cx="575627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es de destacar que, el Sujeto Obligado precisó que este era incompetente para generar, administrar y poseer la información requerida, por lo que, se debía dirigir la solicitud de información a la Secretaría de Movilidad a través de su Órgano Interno de Control, situación que se confirma mediante las atribuciones que tiene conferidas dicha secretaría y que se encuentran contenidas en el Manual de Organización de la Secretaría de Movilidad, las cuales son las siguientes: </w:t>
      </w:r>
    </w:p>
    <w:p w:rsidR="00000000" w:rsidDel="00000000" w:rsidP="00000000" w:rsidRDefault="00000000" w:rsidRPr="00000000" w14:paraId="0000005A">
      <w:pPr>
        <w:spacing w:after="0" w:line="276" w:lineRule="auto"/>
        <w:ind w:lef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22000003000000S ÓRGANO INTERNO DE CONTROL OBJETIVO:</w:t>
      </w:r>
      <w:r w:rsidDel="00000000" w:rsidR="00000000" w:rsidRPr="00000000">
        <w:rPr>
          <w:rFonts w:ascii="Palatino Linotype" w:cs="Palatino Linotype" w:eastAsia="Palatino Linotype" w:hAnsi="Palatino Linotype"/>
          <w:i w:val="1"/>
          <w:rtl w:val="0"/>
        </w:rPr>
        <w:t xml:space="preserve"> Vigilar que los procedimientos que se realizan en las unidades administrativas de la Secretaría de Movilidad, cumplan con las disposiciones jurídico-administrativas que los regulan, salvaguardando la legalidad, mediante la ejecución de acciones de control y evaluación; así como coadyuvar en el funcionamiento del Sistema de Control Interno, la evaluación de la gestión gubernamental y su mejora continua; implementar mecanismos de prevención, instrumentos de rendición de cuentas, y aplicar la Ley de Responsabilidades Administrativas del Estado de México y Municipios conforme a su competencia.</w:t>
      </w:r>
    </w:p>
    <w:p w:rsidR="00000000" w:rsidDel="00000000" w:rsidP="00000000" w:rsidRDefault="00000000" w:rsidRPr="00000000" w14:paraId="0000005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Supervisar la recepción de las denuncias que se formulen por presuntas infracciones o faltas administrativas derivadas de actos u omisiones cometidas por las y los servidores públicos de la dependencia, o de particulares por conductas sancionables, en términos de la Ley de Responsabilidades aplicable, así como la investigación y calificación de las faltas administrativas que detecte y las acciones que procedan.</w:t>
      </w:r>
    </w:p>
    <w:p w:rsidR="00000000" w:rsidDel="00000000" w:rsidP="00000000" w:rsidRDefault="00000000" w:rsidRPr="00000000" w14:paraId="0000005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en estricto derecho, la alegación de la parte Recurrente es calificada como inoperante, quedando sin materia el presente recurso de revisión, resultando necesario traer a colación la Tesis Aislada con número de registro 2017549, de rubro y texto siguiente:</w:t>
      </w:r>
    </w:p>
    <w:p w:rsidR="00000000" w:rsidDel="00000000" w:rsidP="00000000" w:rsidRDefault="00000000" w:rsidRPr="00000000" w14:paraId="0000006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INEXISTENCIA DE LOS ACTOS RECLAMADOS EN EL AMPARO. NO ES UN MOTIVO MANIFIESTO E INDUDABLE DE IMPROCEDENCIA QUE DÉ LUGAR AL DESECHAMIENTO DE LA DEMANDA, SINO QUE CONSTITUYE UNA CAUSAL DE SOBRESEIMIENTO EN EL JUICIO</w:t>
      </w:r>
      <w:r w:rsidDel="00000000" w:rsidR="00000000" w:rsidRPr="00000000">
        <w:rPr>
          <w:rFonts w:ascii="Palatino Linotype" w:cs="Palatino Linotype" w:eastAsia="Palatino Linotype" w:hAnsi="Palatino Linotype"/>
          <w:i w:val="1"/>
          <w:rtl w:val="0"/>
        </w:rPr>
        <w:t xml:space="preserve">. Conforme al artículo 63, fracción IV, de la Ley de Amparo, la inexistencia de los actos reclamados es una causal de sobreseimiento, pero no de improcedencia del juicio de amparo; por ende, no puede ser un motivo manifiesto e indudable que dé lugar al desechamiento de la demanda con sustento en el diverso precepto 113 de ese ordenamiento, pues el pronunciamiento relativo necesariamente debe efectuarse hasta la sentencia, al no haberse demostrado su existencia en la audiencia constitucional.”</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cual constituye un criterio orientador para este Organismo Garante, que pone en aptitudes de poder sobreseer el presente recurso de revisión, lo que en el caso particular, se tiene por acreditada la inexistencia del acto reclamado, quedando sin materia el presente asunto.</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expuesto, es necesario hacer del conocimiento de la persona solicitante que, de la simple lectura a su Recurso de Revisión, se desprende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las razones o motivos de inconformidad hechas valer, </w:t>
      </w:r>
      <w:r w:rsidDel="00000000" w:rsidR="00000000" w:rsidRPr="00000000">
        <w:rPr>
          <w:rFonts w:ascii="Palatino Linotype" w:cs="Palatino Linotype" w:eastAsia="Palatino Linotype" w:hAnsi="Palatino Linotype"/>
          <w:b w:val="1"/>
          <w:rtl w:val="0"/>
        </w:rPr>
        <w:t xml:space="preserve">no corresponden con la respuesta del Sujeto Obligado</w:t>
      </w:r>
      <w:r w:rsidDel="00000000" w:rsidR="00000000" w:rsidRPr="00000000">
        <w:rPr>
          <w:rFonts w:ascii="Palatino Linotype" w:cs="Palatino Linotype" w:eastAsia="Palatino Linotype" w:hAnsi="Palatino Linotype"/>
          <w:rtl w:val="0"/>
        </w:rPr>
        <w:t xml:space="preserve"> para atender su requerimiento de información, por lo tanto, es claro que el Recurso de Revisión que nos ocupa, no actualiza ninguno de los supuestos previstos en la Ley de la materia conforme a las actuaciones que obran en el expediente electrónico formado en el Sistema de Acceso a la Información Mexiquense.</w:t>
      </w:r>
    </w:p>
    <w:p w:rsidR="00000000" w:rsidDel="00000000" w:rsidP="00000000" w:rsidRDefault="00000000" w:rsidRPr="00000000" w14:paraId="0000006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tales circunstancias, este Instituto se encuentra impedido a entrar al estudio de fondo, en virtud que la particular no manifestó razones o motivos de inconformidad relacionados con la respuesta del Sujeto Obligado, a fin de atender su solicitud de acceso.</w:t>
      </w:r>
    </w:p>
    <w:p w:rsidR="00000000" w:rsidDel="00000000" w:rsidP="00000000" w:rsidRDefault="00000000" w:rsidRPr="00000000" w14:paraId="0000006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en virtud de  los argumentos expuestos con anterioridad así como del análisis realizado a las constancias que obran en el expediente electrónico, toda vez que no se actualizó algún supuesto de procedencia, se determina </w:t>
      </w:r>
      <w:r w:rsidDel="00000000" w:rsidR="00000000" w:rsidRPr="00000000">
        <w:rPr>
          <w:rFonts w:ascii="Palatino Linotype" w:cs="Palatino Linotype" w:eastAsia="Palatino Linotype" w:hAnsi="Palatino Linotype"/>
          <w:i w:val="1"/>
          <w:rtl w:val="0"/>
        </w:rPr>
        <w:t xml:space="preserve">sobreseer </w:t>
      </w:r>
      <w:r w:rsidDel="00000000" w:rsidR="00000000" w:rsidRPr="00000000">
        <w:rPr>
          <w:rFonts w:ascii="Palatino Linotype" w:cs="Palatino Linotype" w:eastAsia="Palatino Linotype" w:hAnsi="Palatino Linotype"/>
          <w:rtl w:val="0"/>
        </w:rPr>
        <w:t xml:space="preserve">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III del artículo 191 del ordenamiento legal en cita, los que se transcriben a continuación, para un mejor entendimiento:</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360" w:lineRule="auto"/>
        <w:ind w:right="9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1276"/>
          <w:tab w:val="left" w:leader="none" w:pos="1560"/>
          <w:tab w:val="left" w:leader="none" w:pos="7938"/>
        </w:tabs>
        <w:spacing w:after="0" w:line="360"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191</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será </w:t>
      </w:r>
      <w:r w:rsidDel="00000000" w:rsidR="00000000" w:rsidRPr="00000000">
        <w:rPr>
          <w:rFonts w:ascii="Palatino Linotype" w:cs="Palatino Linotype" w:eastAsia="Palatino Linotype" w:hAnsi="Palatino Linotype"/>
          <w:i w:val="1"/>
          <w:rtl w:val="0"/>
        </w:rPr>
        <w:t xml:space="preserve">desechado por </w:t>
      </w:r>
      <w:r w:rsidDel="00000000" w:rsidR="00000000" w:rsidRPr="00000000">
        <w:rPr>
          <w:rFonts w:ascii="Palatino Linotype" w:cs="Palatino Linotype" w:eastAsia="Palatino Linotype" w:hAnsi="Palatino Linotype"/>
          <w:b w:val="1"/>
          <w:i w:val="1"/>
          <w:rtl w:val="0"/>
        </w:rPr>
        <w:t xml:space="preserve">improcedente cuando</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1276"/>
          <w:tab w:val="left" w:leader="none" w:pos="1560"/>
          <w:tab w:val="left" w:leader="none" w:pos="7938"/>
        </w:tabs>
        <w:spacing w:after="0" w:line="360"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D">
      <w:pPr>
        <w:tabs>
          <w:tab w:val="left" w:leader="none" w:pos="1276"/>
          <w:tab w:val="left" w:leader="none" w:pos="1560"/>
          <w:tab w:val="left" w:leader="none" w:pos="7938"/>
        </w:tabs>
        <w:spacing w:after="0" w:line="360"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i w:val="1"/>
          <w:rtl w:val="0"/>
        </w:rPr>
        <w:t xml:space="preserve">No actualice alguno de los supuestos previstos en la presente Ley</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6E">
      <w:pPr>
        <w:tabs>
          <w:tab w:val="left" w:leader="none" w:pos="1276"/>
          <w:tab w:val="left" w:leader="none" w:pos="1560"/>
          <w:tab w:val="left" w:leader="none" w:pos="7938"/>
        </w:tabs>
        <w:spacing w:after="0" w:line="360"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1276"/>
          <w:tab w:val="left" w:leader="none" w:pos="1560"/>
          <w:tab w:val="left" w:leader="none" w:pos="7938"/>
        </w:tabs>
        <w:spacing w:after="0" w:line="360"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192.</w:t>
      </w:r>
      <w:r w:rsidDel="00000000" w:rsidR="00000000" w:rsidRPr="00000000">
        <w:rPr>
          <w:rFonts w:ascii="Palatino Linotype" w:cs="Palatino Linotype" w:eastAsia="Palatino Linotype" w:hAnsi="Palatino Linotype"/>
          <w:i w:val="1"/>
          <w:rtl w:val="0"/>
        </w:rPr>
        <w:t xml:space="preserve"> El recurso será sobreseído, en todo o en parte, cuando una vez admitido, se actualicen alguno de los siguientes supuestos:</w:t>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1276"/>
          <w:tab w:val="left" w:leader="none" w:pos="1560"/>
          <w:tab w:val="left" w:leader="none" w:pos="7938"/>
        </w:tabs>
        <w:spacing w:after="0" w:line="360"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1276"/>
          <w:tab w:val="left" w:leader="none" w:pos="1560"/>
          <w:tab w:val="left" w:leader="none" w:pos="7938"/>
        </w:tabs>
        <w:spacing w:after="0" w:line="360"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w:t>
      </w:r>
      <w:r w:rsidDel="00000000" w:rsidR="00000000" w:rsidRPr="00000000">
        <w:rPr>
          <w:rFonts w:ascii="Palatino Linotype" w:cs="Palatino Linotype" w:eastAsia="Palatino Linotype" w:hAnsi="Palatino Linotype"/>
          <w:i w:val="1"/>
          <w:rtl w:val="0"/>
        </w:rPr>
        <w:t xml:space="preserve">. Admitido el recurso de revisión, </w:t>
      </w:r>
      <w:r w:rsidDel="00000000" w:rsidR="00000000" w:rsidRPr="00000000">
        <w:rPr>
          <w:rFonts w:ascii="Palatino Linotype" w:cs="Palatino Linotype" w:eastAsia="Palatino Linotype" w:hAnsi="Palatino Linotype"/>
          <w:b w:val="1"/>
          <w:i w:val="1"/>
          <w:rtl w:val="0"/>
        </w:rPr>
        <w:t xml:space="preserve">aparezca alguna causal de improcedencia</w:t>
      </w:r>
      <w:r w:rsidDel="00000000" w:rsidR="00000000" w:rsidRPr="00000000">
        <w:rPr>
          <w:rFonts w:ascii="Palatino Linotype" w:cs="Palatino Linotype" w:eastAsia="Palatino Linotype" w:hAnsi="Palatino Linotype"/>
          <w:i w:val="1"/>
          <w:rtl w:val="0"/>
        </w:rPr>
        <w:t xml:space="preserve"> en los términos de la presente Ley. “</w: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1276"/>
          <w:tab w:val="left" w:leader="none" w:pos="1560"/>
          <w:tab w:val="left" w:leader="none" w:pos="7938"/>
        </w:tabs>
        <w:spacing w:after="0" w:line="360" w:lineRule="auto"/>
        <w:ind w:left="567"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el </w:t>
      </w:r>
      <w:r w:rsidDel="00000000" w:rsidR="00000000" w:rsidRPr="00000000">
        <w:rPr>
          <w:rFonts w:ascii="Palatino Linotype" w:cs="Palatino Linotype" w:eastAsia="Palatino Linotype" w:hAnsi="Palatino Linotype"/>
          <w:i w:val="1"/>
          <w:rtl w:val="0"/>
        </w:rPr>
        <w:t xml:space="preserve">sobreseimiento</w:t>
      </w:r>
      <w:r w:rsidDel="00000000" w:rsidR="00000000" w:rsidRPr="00000000">
        <w:rPr>
          <w:rFonts w:ascii="Palatino Linotype" w:cs="Palatino Linotype" w:eastAsia="Palatino Linotype" w:hAnsi="Palatino Linotype"/>
          <w:rtl w:val="0"/>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7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5">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SOBRESEIMIENTO, NO PERMITE ENTRAR AL ESTUDIO DE LAS CUESTIONES DE FONDO</w:t>
      </w:r>
      <w:r w:rsidDel="00000000" w:rsidR="00000000" w:rsidRPr="00000000">
        <w:rPr>
          <w:rFonts w:ascii="Palatino Linotype" w:cs="Palatino Linotype" w:eastAsia="Palatino Linotype" w:hAnsi="Palatino Linotype"/>
          <w:i w:val="1"/>
          <w:rtl w:val="0"/>
        </w:rPr>
        <w:t xml:space="preserve">. No causa agravio la sentencia que no se ocupa de los razonamientos tendientes a demostrar la inconstitucionalidad de los actos reclamados de las autoridades responsables, que constituyen el problema de fondo, si se decreta el sobreseimiento del juicio.” </w:t>
      </w:r>
    </w:p>
    <w:p w:rsidR="00000000" w:rsidDel="00000000" w:rsidP="00000000" w:rsidRDefault="00000000" w:rsidRPr="00000000" w14:paraId="00000076">
      <w:pPr>
        <w:spacing w:after="0" w:line="276" w:lineRule="auto"/>
        <w:ind w:left="567" w:right="616"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destacar que la decisión de este Organismo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“DESECHAMIENTO O SOBRESEIMIENTO EN EL JUICIO DE AMPARO. NO IMPLICA DENEGACIÓN DE JUSTICIA NI GENERA INSEGURIDAD JURÍDICA. </w:t>
      </w:r>
      <w:r w:rsidDel="00000000" w:rsidR="00000000" w:rsidRPr="00000000">
        <w:rPr>
          <w:rFonts w:ascii="Palatino Linotype" w:cs="Palatino Linotype" w:eastAsia="Palatino Linotype" w:hAnsi="Palatino Linotype"/>
          <w:i w:val="1"/>
          <w:rtl w:val="0"/>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rsidR="00000000" w:rsidDel="00000000" w:rsidP="00000000" w:rsidRDefault="00000000" w:rsidRPr="00000000" w14:paraId="0000007A">
      <w:pPr>
        <w:spacing w:after="0" w:line="360" w:lineRule="auto"/>
        <w:ind w:left="567" w:right="902"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7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ese tenor con fundamento en la segunda hipótesis de la fracción I del artículo 186, de la Ley de Transparencia y Acceso a la Información Pública del Estado de México y Municipios, se determina </w:t>
      </w:r>
      <w:r w:rsidDel="00000000" w:rsidR="00000000" w:rsidRPr="00000000">
        <w:rPr>
          <w:rFonts w:ascii="Palatino Linotype" w:cs="Palatino Linotype" w:eastAsia="Palatino Linotype" w:hAnsi="Palatino Linotype"/>
          <w:b w:val="1"/>
          <w:rtl w:val="0"/>
        </w:rPr>
        <w:t xml:space="preserve">SOBRESEER </w:t>
      </w:r>
      <w:r w:rsidDel="00000000" w:rsidR="00000000" w:rsidRPr="00000000">
        <w:rPr>
          <w:rFonts w:ascii="Palatino Linotype" w:cs="Palatino Linotype" w:eastAsia="Palatino Linotype" w:hAnsi="Palatino Linotype"/>
          <w:rtl w:val="0"/>
        </w:rPr>
        <w:t xml:space="preserve">el Recurso de Revisión </w:t>
      </w:r>
      <w:r w:rsidDel="00000000" w:rsidR="00000000" w:rsidRPr="00000000">
        <w:rPr>
          <w:rFonts w:ascii="Palatino Linotype" w:cs="Palatino Linotype" w:eastAsia="Palatino Linotype" w:hAnsi="Palatino Linotype"/>
          <w:b w:val="1"/>
          <w:rtl w:val="0"/>
        </w:rPr>
        <w:t xml:space="preserve">07604/INFOEM/IP/RR/2024</w:t>
      </w:r>
      <w:r w:rsidDel="00000000" w:rsidR="00000000" w:rsidRPr="00000000">
        <w:rPr>
          <w:rFonts w:ascii="Palatino Linotype" w:cs="Palatino Linotype" w:eastAsia="Palatino Linotype" w:hAnsi="Palatino Linotype"/>
          <w:rtl w:val="0"/>
        </w:rPr>
        <w:t xml:space="preserve">, que ha sido materia del presente fallo.</w:t>
      </w:r>
    </w:p>
    <w:p w:rsidR="00000000" w:rsidDel="00000000" w:rsidP="00000000" w:rsidRDefault="00000000" w:rsidRPr="00000000" w14:paraId="0000007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360" w:lineRule="auto"/>
        <w:ind w:right="9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7936"/>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Sobresee </w:t>
      </w:r>
      <w:r w:rsidDel="00000000" w:rsidR="00000000" w:rsidRPr="00000000">
        <w:rPr>
          <w:rFonts w:ascii="Palatino Linotype" w:cs="Palatino Linotype" w:eastAsia="Palatino Linotype" w:hAnsi="Palatino Linotype"/>
          <w:rtl w:val="0"/>
        </w:rPr>
        <w:t xml:space="preserve">el recurso de revisión número </w:t>
      </w:r>
      <w:r w:rsidDel="00000000" w:rsidR="00000000" w:rsidRPr="00000000">
        <w:rPr>
          <w:rFonts w:ascii="Palatino Linotype" w:cs="Palatino Linotype" w:eastAsia="Palatino Linotype" w:hAnsi="Palatino Linotype"/>
          <w:b w:val="1"/>
          <w:rtl w:val="0"/>
        </w:rPr>
        <w:t xml:space="preserve">07604/INFOEM/IP/RR/2024, </w:t>
      </w:r>
      <w:r w:rsidDel="00000000" w:rsidR="00000000" w:rsidRPr="00000000">
        <w:rPr>
          <w:rFonts w:ascii="Palatino Linotype" w:cs="Palatino Linotype" w:eastAsia="Palatino Linotype" w:hAnsi="Palatino Linotype"/>
          <w:rtl w:val="0"/>
        </w:rPr>
        <w:t xml:space="preserve">porque una vez admitido se actualizó la causal de improcedencia prevista en artículo 192 fracción IV, en relación con la fracción III del artículo 191, de la Ley de Transparencia y Acceso a la Información Pública del Estado de México y Municipios, que lo dejó sin materia en términos del Considerando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Tercero</w:t>
      </w:r>
      <w:r w:rsidDel="00000000" w:rsidR="00000000" w:rsidRPr="00000000">
        <w:rPr>
          <w:rFonts w:ascii="Palatino Linotype" w:cs="Palatino Linotype" w:eastAsia="Palatino Linotype" w:hAnsi="Palatino Linotype"/>
          <w:b w:val="1"/>
          <w:rtl w:val="0"/>
        </w:rPr>
        <w:t xml:space="preserve"> d</w:t>
      </w:r>
      <w:r w:rsidDel="00000000" w:rsidR="00000000" w:rsidRPr="00000000">
        <w:rPr>
          <w:rFonts w:ascii="Palatino Linotype" w:cs="Palatino Linotype" w:eastAsia="Palatino Linotype" w:hAnsi="Palatino Linotype"/>
          <w:rtl w:val="0"/>
        </w:rPr>
        <w:t xml:space="preserve">e la presente resolución.</w:t>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7936"/>
        </w:tabs>
        <w:spacing w:after="0" w:line="360" w:lineRule="auto"/>
        <w:jc w:val="both"/>
        <w:rPr>
          <w:rFonts w:ascii="Palatino Linotype" w:cs="Palatino Linotype" w:eastAsia="Palatino Linotype" w:hAnsi="Palatino Linotype"/>
        </w:rPr>
      </w:pPr>
      <w:bookmarkStart w:colFirst="0" w:colLast="0" w:name="_heading=h.1fob9te" w:id="2"/>
      <w:bookmarkEnd w:id="2"/>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7936"/>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su conocimiento.</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7936"/>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00000" w:rsidDel="00000000" w:rsidP="00000000" w:rsidRDefault="00000000" w:rsidRPr="00000000" w14:paraId="0000008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VEINTIDÓS DE ENERO DE DOS MIL VEINTICINCO, ANTE EL SECRETARIO TÉCNICO DEL PLENO ALEXIS TAPIA RAMÍREZ.</w:t>
      </w:r>
    </w:p>
    <w:p w:rsidR="00000000" w:rsidDel="00000000" w:rsidP="00000000" w:rsidRDefault="00000000" w:rsidRPr="00000000" w14:paraId="0000008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-717548</wp:posOffset>
          </wp:positionH>
          <wp:positionV relativeFrom="paragraph">
            <wp:posOffset>-402588</wp:posOffset>
          </wp:positionV>
          <wp:extent cx="7809876" cy="10165823"/>
          <wp:effectExtent b="0" l="0" r="0" t="0"/>
          <wp:wrapNone/>
          <wp:docPr id="3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07604/INFOEM/IP/RR/2024</w:t>
          </w:r>
        </w:p>
      </w:tc>
    </w:tr>
    <w:tr>
      <w:trPr>
        <w:cantSplit w:val="0"/>
        <w:trHeight w:val="228" w:hRule="atLeast"/>
        <w:tblHeader w:val="0"/>
      </w:trPr>
      <w:tc>
        <w:tcPr>
          <w:vAlign w:val="center"/>
        </w:tcPr>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Poder Legislativo</w:t>
          </w:r>
        </w:p>
      </w:tc>
    </w:tr>
    <w:tr>
      <w:trPr>
        <w:cantSplit w:val="0"/>
        <w:tblHeader w:val="0"/>
      </w:trPr>
      <w:tc>
        <w:tcPr>
          <w:vAlign w:val="center"/>
        </w:tcPr>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-761291</wp:posOffset>
          </wp:positionH>
          <wp:positionV relativeFrom="paragraph">
            <wp:posOffset>-183513</wp:posOffset>
          </wp:positionV>
          <wp:extent cx="7809876" cy="10165823"/>
          <wp:effectExtent b="0" l="0" r="0" t="0"/>
          <wp:wrapNone/>
          <wp:docPr id="3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07604/INFOEM/IP/RR/2024</w:t>
          </w:r>
        </w:p>
      </w:tc>
    </w:tr>
    <w:tr>
      <w:trPr>
        <w:cantSplit w:val="0"/>
        <w:tblHeader w:val="0"/>
      </w:trPr>
      <w:tc>
        <w:tcPr>
          <w:vAlign w:val="center"/>
        </w:tcPr>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XXXXXX XXXX XXX </w:t>
          </w:r>
        </w:p>
      </w:tc>
    </w:tr>
    <w:tr>
      <w:trPr>
        <w:cantSplit w:val="0"/>
        <w:trHeight w:val="228" w:hRule="atLeast"/>
        <w:tblHeader w:val="0"/>
      </w:trPr>
      <w:tc>
        <w:tcPr>
          <w:vAlign w:val="center"/>
        </w:tcPr>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Poder Legislativo</w:t>
          </w:r>
        </w:p>
      </w:tc>
    </w:tr>
    <w:tr>
      <w:trPr>
        <w:cantSplit w:val="0"/>
        <w:tblHeader w:val="0"/>
      </w:trPr>
      <w:tc>
        <w:tcPr>
          <w:vAlign w:val="center"/>
        </w:tcPr>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15.0" w:type="dxa"/>
        <w:left w:w="15.0" w:type="dxa"/>
        <w:bottom w:w="15.0" w:type="dxa"/>
        <w:right w:w="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top w:w="15.0" w:type="dxa"/>
        <w:left w:w="115.0" w:type="dxa"/>
        <w:bottom w:w="15.0" w:type="dxa"/>
        <w:right w:w="115.0" w:type="dxa"/>
      </w:tblCellMar>
    </w:tblPr>
  </w:style>
  <w:style w:type="table" w:styleId="a3" w:customStyle="1">
    <w:basedOn w:val="TableNormal0"/>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Aeg9NQXVZ0859gKWcWnVAphaYg==">CgMxLjAyCWguMzBqMHpsbDIJaC4zem55c2g3MgloLjFmb2I5dGU4AHIhMV9TeTFReEY3MzI5TXJlczhRZ2RLb2xPTFNYblkwbE02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2025-02-05T23:05:00Z</dcterms:created>
  <dc:creator>Cuenta Microsoft</dc:creator>
</cp:coreProperties>
</file>