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90254208" w:displacedByCustomXml="next"/>
    <w:sdt>
      <w:sdtPr>
        <w:rPr>
          <w:rFonts w:ascii="Palatino Linotype" w:eastAsia="Times New Roman" w:hAnsi="Palatino Linotype" w:cs="Times New Roman"/>
          <w:color w:val="auto"/>
          <w:sz w:val="20"/>
          <w:szCs w:val="20"/>
          <w:lang w:val="es-ES" w:eastAsia="es-ES"/>
        </w:rPr>
        <w:id w:val="-260844837"/>
        <w:docPartObj>
          <w:docPartGallery w:val="Table of Contents"/>
          <w:docPartUnique/>
        </w:docPartObj>
      </w:sdtPr>
      <w:sdtEndPr>
        <w:rPr>
          <w:rFonts w:eastAsiaTheme="minorHAnsi" w:cstheme="minorBidi"/>
          <w:color w:val="000000" w:themeColor="text1"/>
          <w:sz w:val="22"/>
          <w:szCs w:val="22"/>
          <w:lang w:eastAsia="en-US"/>
        </w:rPr>
      </w:sdtEndPr>
      <w:sdtContent>
        <w:p w14:paraId="54C5A517" w14:textId="1DC2333A" w:rsidR="00076681" w:rsidRPr="00D34D61" w:rsidRDefault="00076681" w:rsidP="008F72BB">
          <w:pPr>
            <w:pStyle w:val="TtulodeTDC"/>
            <w:spacing w:before="0" w:line="360" w:lineRule="auto"/>
            <w:jc w:val="center"/>
            <w:rPr>
              <w:rFonts w:ascii="Palatino Linotype" w:hAnsi="Palatino Linotype"/>
              <w:color w:val="000000" w:themeColor="text1"/>
              <w:sz w:val="22"/>
              <w:szCs w:val="22"/>
              <w:lang w:val="es-ES"/>
            </w:rPr>
          </w:pPr>
          <w:r w:rsidRPr="00D34D61">
            <w:rPr>
              <w:rFonts w:ascii="Palatino Linotype" w:hAnsi="Palatino Linotype"/>
              <w:color w:val="000000" w:themeColor="text1"/>
              <w:sz w:val="22"/>
              <w:szCs w:val="22"/>
              <w:lang w:val="es-ES"/>
            </w:rPr>
            <w:t xml:space="preserve">RESOLUCIÓN DEL RECURSO DE REVISIÓN </w:t>
          </w:r>
          <w:r w:rsidR="004E0A7C" w:rsidRPr="00D34D61">
            <w:rPr>
              <w:rFonts w:ascii="Palatino Linotype" w:hAnsi="Palatino Linotype"/>
              <w:color w:val="000000" w:themeColor="text1"/>
              <w:sz w:val="22"/>
              <w:szCs w:val="22"/>
              <w:lang w:val="es-ES"/>
            </w:rPr>
            <w:t>02476</w:t>
          </w:r>
          <w:r w:rsidR="007F316D" w:rsidRPr="00D34D61">
            <w:rPr>
              <w:rFonts w:ascii="Palatino Linotype" w:hAnsi="Palatino Linotype"/>
              <w:color w:val="000000" w:themeColor="text1"/>
              <w:sz w:val="22"/>
              <w:szCs w:val="22"/>
              <w:lang w:val="es-ES"/>
            </w:rPr>
            <w:t>/INFOEM/IP/RR/2025</w:t>
          </w:r>
        </w:p>
        <w:p w14:paraId="6D29ACC9" w14:textId="77777777" w:rsidR="00B26B9A" w:rsidRPr="00D34D61" w:rsidRDefault="00B26B9A" w:rsidP="008F72BB">
          <w:pPr>
            <w:spacing w:after="0" w:line="360" w:lineRule="auto"/>
            <w:rPr>
              <w:lang w:val="es-ES" w:eastAsia="es-MX"/>
            </w:rPr>
          </w:pPr>
        </w:p>
        <w:p w14:paraId="2A6A6770" w14:textId="19DCFF19" w:rsidR="00BE3A60" w:rsidRPr="00D34D61" w:rsidRDefault="00076681" w:rsidP="008F72BB">
          <w:pPr>
            <w:pStyle w:val="TDC1"/>
            <w:spacing w:after="0"/>
            <w:rPr>
              <w:rFonts w:ascii="Palatino Linotype" w:eastAsiaTheme="minorEastAsia" w:hAnsi="Palatino Linotype" w:cstheme="minorBidi"/>
              <w:noProof/>
              <w:sz w:val="24"/>
              <w:szCs w:val="24"/>
              <w:lang w:eastAsia="es-MX"/>
            </w:rPr>
          </w:pPr>
          <w:r w:rsidRPr="00D34D61">
            <w:rPr>
              <w:rFonts w:ascii="Palatino Linotype" w:hAnsi="Palatino Linotype"/>
              <w:sz w:val="22"/>
              <w:szCs w:val="22"/>
            </w:rPr>
            <w:fldChar w:fldCharType="begin"/>
          </w:r>
          <w:r w:rsidRPr="00D34D61">
            <w:rPr>
              <w:rFonts w:ascii="Palatino Linotype" w:hAnsi="Palatino Linotype"/>
              <w:sz w:val="22"/>
              <w:szCs w:val="22"/>
            </w:rPr>
            <w:instrText xml:space="preserve"> TOC \o "1-3" \h \z \u </w:instrText>
          </w:r>
          <w:r w:rsidRPr="00D34D61">
            <w:rPr>
              <w:rFonts w:ascii="Palatino Linotype" w:hAnsi="Palatino Linotype"/>
              <w:sz w:val="22"/>
              <w:szCs w:val="22"/>
            </w:rPr>
            <w:fldChar w:fldCharType="separate"/>
          </w:r>
          <w:hyperlink w:anchor="_Toc189676766" w:history="1">
            <w:r w:rsidR="00BE3A60" w:rsidRPr="00D34D61">
              <w:rPr>
                <w:rStyle w:val="Hipervnculo"/>
                <w:rFonts w:ascii="Palatino Linotype" w:hAnsi="Palatino Linotype"/>
                <w:noProof/>
                <w:sz w:val="22"/>
                <w:szCs w:val="22"/>
              </w:rPr>
              <w:t>A N T E C E D E N T E S</w:t>
            </w:r>
            <w:r w:rsidR="00BE3A60" w:rsidRPr="00D34D61">
              <w:rPr>
                <w:rFonts w:ascii="Palatino Linotype" w:hAnsi="Palatino Linotype"/>
                <w:noProof/>
                <w:webHidden/>
                <w:sz w:val="22"/>
                <w:szCs w:val="22"/>
              </w:rPr>
              <w:tab/>
            </w:r>
            <w:r w:rsidR="00BE3A60" w:rsidRPr="00D34D61">
              <w:rPr>
                <w:rFonts w:ascii="Palatino Linotype" w:hAnsi="Palatino Linotype"/>
                <w:noProof/>
                <w:webHidden/>
                <w:sz w:val="22"/>
                <w:szCs w:val="22"/>
              </w:rPr>
              <w:fldChar w:fldCharType="begin"/>
            </w:r>
            <w:r w:rsidR="00BE3A60" w:rsidRPr="00D34D61">
              <w:rPr>
                <w:rFonts w:ascii="Palatino Linotype" w:hAnsi="Palatino Linotype"/>
                <w:noProof/>
                <w:webHidden/>
                <w:sz w:val="22"/>
                <w:szCs w:val="22"/>
              </w:rPr>
              <w:instrText xml:space="preserve"> PAGEREF _Toc189676766 \h </w:instrText>
            </w:r>
            <w:r w:rsidR="00BE3A60" w:rsidRPr="00D34D61">
              <w:rPr>
                <w:rFonts w:ascii="Palatino Linotype" w:hAnsi="Palatino Linotype"/>
                <w:noProof/>
                <w:webHidden/>
                <w:sz w:val="22"/>
                <w:szCs w:val="22"/>
              </w:rPr>
            </w:r>
            <w:r w:rsidR="00BE3A60" w:rsidRPr="00D34D61">
              <w:rPr>
                <w:rFonts w:ascii="Palatino Linotype" w:hAnsi="Palatino Linotype"/>
                <w:noProof/>
                <w:webHidden/>
                <w:sz w:val="22"/>
                <w:szCs w:val="22"/>
              </w:rPr>
              <w:fldChar w:fldCharType="separate"/>
            </w:r>
            <w:r w:rsidR="00351EB4">
              <w:rPr>
                <w:rFonts w:ascii="Palatino Linotype" w:hAnsi="Palatino Linotype"/>
                <w:noProof/>
                <w:webHidden/>
                <w:sz w:val="22"/>
                <w:szCs w:val="22"/>
              </w:rPr>
              <w:t>2</w:t>
            </w:r>
            <w:r w:rsidR="00BE3A60" w:rsidRPr="00D34D61">
              <w:rPr>
                <w:rFonts w:ascii="Palatino Linotype" w:hAnsi="Palatino Linotype"/>
                <w:noProof/>
                <w:webHidden/>
                <w:sz w:val="22"/>
                <w:szCs w:val="22"/>
              </w:rPr>
              <w:fldChar w:fldCharType="end"/>
            </w:r>
          </w:hyperlink>
        </w:p>
        <w:p w14:paraId="4F0F09C8" w14:textId="5128B4A9" w:rsidR="00BE3A60" w:rsidRPr="00D34D61" w:rsidRDefault="004E1020" w:rsidP="008F72BB">
          <w:pPr>
            <w:pStyle w:val="TDC2"/>
            <w:tabs>
              <w:tab w:val="right" w:leader="dot" w:pos="8921"/>
            </w:tabs>
            <w:spacing w:after="0" w:line="360" w:lineRule="auto"/>
            <w:rPr>
              <w:rFonts w:ascii="Palatino Linotype" w:eastAsiaTheme="minorEastAsia" w:hAnsi="Palatino Linotype" w:cstheme="minorBidi"/>
              <w:noProof/>
              <w:sz w:val="24"/>
              <w:szCs w:val="24"/>
              <w:lang w:eastAsia="es-MX"/>
            </w:rPr>
          </w:pPr>
          <w:hyperlink w:anchor="_Toc189676767" w:history="1">
            <w:r w:rsidR="00BE3A60" w:rsidRPr="00D34D61">
              <w:rPr>
                <w:rStyle w:val="Hipervnculo"/>
                <w:rFonts w:ascii="Palatino Linotype" w:eastAsia="Calibri" w:hAnsi="Palatino Linotype"/>
                <w:noProof/>
                <w:sz w:val="22"/>
                <w:szCs w:val="22"/>
                <w:lang w:val="es-ES"/>
              </w:rPr>
              <w:t>I. Presentación de la solicitud de información</w:t>
            </w:r>
            <w:r w:rsidR="00BE3A60" w:rsidRPr="00D34D61">
              <w:rPr>
                <w:rFonts w:ascii="Palatino Linotype" w:hAnsi="Palatino Linotype"/>
                <w:noProof/>
                <w:webHidden/>
                <w:sz w:val="22"/>
                <w:szCs w:val="22"/>
              </w:rPr>
              <w:tab/>
            </w:r>
            <w:r w:rsidR="00BE3A60" w:rsidRPr="00D34D61">
              <w:rPr>
                <w:rFonts w:ascii="Palatino Linotype" w:hAnsi="Palatino Linotype"/>
                <w:noProof/>
                <w:webHidden/>
                <w:sz w:val="22"/>
                <w:szCs w:val="22"/>
              </w:rPr>
              <w:fldChar w:fldCharType="begin"/>
            </w:r>
            <w:r w:rsidR="00BE3A60" w:rsidRPr="00D34D61">
              <w:rPr>
                <w:rFonts w:ascii="Palatino Linotype" w:hAnsi="Palatino Linotype"/>
                <w:noProof/>
                <w:webHidden/>
                <w:sz w:val="22"/>
                <w:szCs w:val="22"/>
              </w:rPr>
              <w:instrText xml:space="preserve"> PAGEREF _Toc189676767 \h </w:instrText>
            </w:r>
            <w:r w:rsidR="00BE3A60" w:rsidRPr="00D34D61">
              <w:rPr>
                <w:rFonts w:ascii="Palatino Linotype" w:hAnsi="Palatino Linotype"/>
                <w:noProof/>
                <w:webHidden/>
                <w:sz w:val="22"/>
                <w:szCs w:val="22"/>
              </w:rPr>
            </w:r>
            <w:r w:rsidR="00BE3A60" w:rsidRPr="00D34D61">
              <w:rPr>
                <w:rFonts w:ascii="Palatino Linotype" w:hAnsi="Palatino Linotype"/>
                <w:noProof/>
                <w:webHidden/>
                <w:sz w:val="22"/>
                <w:szCs w:val="22"/>
              </w:rPr>
              <w:fldChar w:fldCharType="separate"/>
            </w:r>
            <w:r w:rsidR="00351EB4">
              <w:rPr>
                <w:rFonts w:ascii="Palatino Linotype" w:hAnsi="Palatino Linotype"/>
                <w:noProof/>
                <w:webHidden/>
                <w:sz w:val="22"/>
                <w:szCs w:val="22"/>
              </w:rPr>
              <w:t>2</w:t>
            </w:r>
            <w:r w:rsidR="00BE3A60" w:rsidRPr="00D34D61">
              <w:rPr>
                <w:rFonts w:ascii="Palatino Linotype" w:hAnsi="Palatino Linotype"/>
                <w:noProof/>
                <w:webHidden/>
                <w:sz w:val="22"/>
                <w:szCs w:val="22"/>
              </w:rPr>
              <w:fldChar w:fldCharType="end"/>
            </w:r>
          </w:hyperlink>
        </w:p>
        <w:p w14:paraId="0EF70C2F" w14:textId="16287970" w:rsidR="00BE3A60" w:rsidRPr="00D34D61" w:rsidRDefault="004E1020" w:rsidP="008F72BB">
          <w:pPr>
            <w:pStyle w:val="TDC2"/>
            <w:tabs>
              <w:tab w:val="right" w:leader="dot" w:pos="8921"/>
            </w:tabs>
            <w:spacing w:after="0" w:line="360" w:lineRule="auto"/>
            <w:rPr>
              <w:rFonts w:ascii="Palatino Linotype" w:eastAsiaTheme="minorEastAsia" w:hAnsi="Palatino Linotype" w:cstheme="minorBidi"/>
              <w:noProof/>
              <w:sz w:val="24"/>
              <w:szCs w:val="24"/>
              <w:lang w:eastAsia="es-MX"/>
            </w:rPr>
          </w:pPr>
          <w:hyperlink w:anchor="_Toc189676768" w:history="1">
            <w:r w:rsidR="00BE3A60" w:rsidRPr="00D34D61">
              <w:rPr>
                <w:rStyle w:val="Hipervnculo"/>
                <w:rFonts w:ascii="Palatino Linotype" w:eastAsia="Calibri" w:hAnsi="Palatino Linotype"/>
                <w:noProof/>
                <w:sz w:val="22"/>
                <w:szCs w:val="22"/>
              </w:rPr>
              <w:t>II. Respuesta del Sujeto Obligado</w:t>
            </w:r>
            <w:r w:rsidR="00BE3A60" w:rsidRPr="00D34D61">
              <w:rPr>
                <w:rFonts w:ascii="Palatino Linotype" w:hAnsi="Palatino Linotype"/>
                <w:noProof/>
                <w:webHidden/>
                <w:sz w:val="22"/>
                <w:szCs w:val="22"/>
              </w:rPr>
              <w:tab/>
            </w:r>
            <w:r w:rsidR="00BE3A60" w:rsidRPr="00D34D61">
              <w:rPr>
                <w:rFonts w:ascii="Palatino Linotype" w:hAnsi="Palatino Linotype"/>
                <w:noProof/>
                <w:webHidden/>
                <w:sz w:val="22"/>
                <w:szCs w:val="22"/>
              </w:rPr>
              <w:fldChar w:fldCharType="begin"/>
            </w:r>
            <w:r w:rsidR="00BE3A60" w:rsidRPr="00D34D61">
              <w:rPr>
                <w:rFonts w:ascii="Palatino Linotype" w:hAnsi="Palatino Linotype"/>
                <w:noProof/>
                <w:webHidden/>
                <w:sz w:val="22"/>
                <w:szCs w:val="22"/>
              </w:rPr>
              <w:instrText xml:space="preserve"> PAGEREF _Toc189676768 \h </w:instrText>
            </w:r>
            <w:r w:rsidR="00BE3A60" w:rsidRPr="00D34D61">
              <w:rPr>
                <w:rFonts w:ascii="Palatino Linotype" w:hAnsi="Palatino Linotype"/>
                <w:noProof/>
                <w:webHidden/>
                <w:sz w:val="22"/>
                <w:szCs w:val="22"/>
              </w:rPr>
            </w:r>
            <w:r w:rsidR="00BE3A60" w:rsidRPr="00D34D61">
              <w:rPr>
                <w:rFonts w:ascii="Palatino Linotype" w:hAnsi="Palatino Linotype"/>
                <w:noProof/>
                <w:webHidden/>
                <w:sz w:val="22"/>
                <w:szCs w:val="22"/>
              </w:rPr>
              <w:fldChar w:fldCharType="separate"/>
            </w:r>
            <w:r w:rsidR="00351EB4">
              <w:rPr>
                <w:rFonts w:ascii="Palatino Linotype" w:hAnsi="Palatino Linotype"/>
                <w:noProof/>
                <w:webHidden/>
                <w:sz w:val="22"/>
                <w:szCs w:val="22"/>
              </w:rPr>
              <w:t>3</w:t>
            </w:r>
            <w:r w:rsidR="00BE3A60" w:rsidRPr="00D34D61">
              <w:rPr>
                <w:rFonts w:ascii="Palatino Linotype" w:hAnsi="Palatino Linotype"/>
                <w:noProof/>
                <w:webHidden/>
                <w:sz w:val="22"/>
                <w:szCs w:val="22"/>
              </w:rPr>
              <w:fldChar w:fldCharType="end"/>
            </w:r>
          </w:hyperlink>
        </w:p>
        <w:p w14:paraId="369B2856" w14:textId="575C0E12" w:rsidR="00BE3A60" w:rsidRPr="00D34D61" w:rsidRDefault="004E1020" w:rsidP="008F72BB">
          <w:pPr>
            <w:pStyle w:val="TDC2"/>
            <w:tabs>
              <w:tab w:val="right" w:leader="dot" w:pos="8921"/>
            </w:tabs>
            <w:spacing w:after="0" w:line="360" w:lineRule="auto"/>
            <w:rPr>
              <w:rFonts w:ascii="Palatino Linotype" w:eastAsiaTheme="minorEastAsia" w:hAnsi="Palatino Linotype" w:cstheme="minorBidi"/>
              <w:noProof/>
              <w:sz w:val="24"/>
              <w:szCs w:val="24"/>
              <w:lang w:eastAsia="es-MX"/>
            </w:rPr>
          </w:pPr>
          <w:hyperlink w:anchor="_Toc189676769" w:history="1">
            <w:r w:rsidR="00BE3A60" w:rsidRPr="00D34D61">
              <w:rPr>
                <w:rStyle w:val="Hipervnculo"/>
                <w:rFonts w:ascii="Palatino Linotype" w:eastAsia="Calibri" w:hAnsi="Palatino Linotype"/>
                <w:noProof/>
                <w:sz w:val="22"/>
                <w:szCs w:val="22"/>
              </w:rPr>
              <w:t>III. Interposición del Recurso de Revisión</w:t>
            </w:r>
            <w:r w:rsidR="00BE3A60" w:rsidRPr="00D34D61">
              <w:rPr>
                <w:rFonts w:ascii="Palatino Linotype" w:hAnsi="Palatino Linotype"/>
                <w:noProof/>
                <w:webHidden/>
                <w:sz w:val="22"/>
                <w:szCs w:val="22"/>
              </w:rPr>
              <w:tab/>
            </w:r>
            <w:r w:rsidR="00BE3A60" w:rsidRPr="00D34D61">
              <w:rPr>
                <w:rFonts w:ascii="Palatino Linotype" w:hAnsi="Palatino Linotype"/>
                <w:noProof/>
                <w:webHidden/>
                <w:sz w:val="22"/>
                <w:szCs w:val="22"/>
              </w:rPr>
              <w:fldChar w:fldCharType="begin"/>
            </w:r>
            <w:r w:rsidR="00BE3A60" w:rsidRPr="00D34D61">
              <w:rPr>
                <w:rFonts w:ascii="Palatino Linotype" w:hAnsi="Palatino Linotype"/>
                <w:noProof/>
                <w:webHidden/>
                <w:sz w:val="22"/>
                <w:szCs w:val="22"/>
              </w:rPr>
              <w:instrText xml:space="preserve"> PAGEREF _Toc189676769 \h </w:instrText>
            </w:r>
            <w:r w:rsidR="00BE3A60" w:rsidRPr="00D34D61">
              <w:rPr>
                <w:rFonts w:ascii="Palatino Linotype" w:hAnsi="Palatino Linotype"/>
                <w:noProof/>
                <w:webHidden/>
                <w:sz w:val="22"/>
                <w:szCs w:val="22"/>
              </w:rPr>
            </w:r>
            <w:r w:rsidR="00BE3A60" w:rsidRPr="00D34D61">
              <w:rPr>
                <w:rFonts w:ascii="Palatino Linotype" w:hAnsi="Palatino Linotype"/>
                <w:noProof/>
                <w:webHidden/>
                <w:sz w:val="22"/>
                <w:szCs w:val="22"/>
              </w:rPr>
              <w:fldChar w:fldCharType="separate"/>
            </w:r>
            <w:r w:rsidR="00351EB4">
              <w:rPr>
                <w:rFonts w:ascii="Palatino Linotype" w:hAnsi="Palatino Linotype"/>
                <w:noProof/>
                <w:webHidden/>
                <w:sz w:val="22"/>
                <w:szCs w:val="22"/>
              </w:rPr>
              <w:t>4</w:t>
            </w:r>
            <w:r w:rsidR="00BE3A60" w:rsidRPr="00D34D61">
              <w:rPr>
                <w:rFonts w:ascii="Palatino Linotype" w:hAnsi="Palatino Linotype"/>
                <w:noProof/>
                <w:webHidden/>
                <w:sz w:val="22"/>
                <w:szCs w:val="22"/>
              </w:rPr>
              <w:fldChar w:fldCharType="end"/>
            </w:r>
          </w:hyperlink>
        </w:p>
        <w:p w14:paraId="79674D18" w14:textId="1F6AC517" w:rsidR="00BE3A60" w:rsidRPr="00D34D61" w:rsidRDefault="004E1020" w:rsidP="008F72BB">
          <w:pPr>
            <w:pStyle w:val="TDC2"/>
            <w:tabs>
              <w:tab w:val="right" w:leader="dot" w:pos="8921"/>
            </w:tabs>
            <w:spacing w:after="0" w:line="360" w:lineRule="auto"/>
            <w:rPr>
              <w:rFonts w:ascii="Palatino Linotype" w:eastAsiaTheme="minorEastAsia" w:hAnsi="Palatino Linotype" w:cstheme="minorBidi"/>
              <w:noProof/>
              <w:sz w:val="24"/>
              <w:szCs w:val="24"/>
              <w:lang w:eastAsia="es-MX"/>
            </w:rPr>
          </w:pPr>
          <w:hyperlink w:anchor="_Toc189676770" w:history="1">
            <w:r w:rsidR="00BE3A60" w:rsidRPr="00D34D61">
              <w:rPr>
                <w:rStyle w:val="Hipervnculo"/>
                <w:rFonts w:ascii="Palatino Linotype" w:eastAsia="Calibri" w:hAnsi="Palatino Linotype"/>
                <w:noProof/>
                <w:sz w:val="22"/>
                <w:szCs w:val="22"/>
              </w:rPr>
              <w:t xml:space="preserve">IV. </w:t>
            </w:r>
            <w:r w:rsidR="00BE3A60" w:rsidRPr="00D34D61">
              <w:rPr>
                <w:rStyle w:val="Hipervnculo"/>
                <w:rFonts w:ascii="Palatino Linotype" w:eastAsia="Batang" w:hAnsi="Palatino Linotype"/>
                <w:noProof/>
                <w:sz w:val="22"/>
                <w:szCs w:val="22"/>
              </w:rPr>
              <w:t>Trámite del Recurso de Revisión</w:t>
            </w:r>
            <w:r w:rsidR="00BE3A60" w:rsidRPr="00D34D61">
              <w:rPr>
                <w:rStyle w:val="Hipervnculo"/>
                <w:rFonts w:ascii="Palatino Linotype" w:eastAsia="Calibri" w:hAnsi="Palatino Linotype"/>
                <w:noProof/>
                <w:sz w:val="22"/>
                <w:szCs w:val="22"/>
              </w:rPr>
              <w:t xml:space="preserve"> </w:t>
            </w:r>
            <w:r w:rsidR="00BE3A60" w:rsidRPr="00D34D61">
              <w:rPr>
                <w:rStyle w:val="Hipervnculo"/>
                <w:rFonts w:ascii="Palatino Linotype" w:eastAsia="Batang" w:hAnsi="Palatino Linotype"/>
                <w:noProof/>
                <w:sz w:val="22"/>
                <w:szCs w:val="22"/>
              </w:rPr>
              <w:t>ante este Instituto</w:t>
            </w:r>
            <w:r w:rsidR="00BE3A60" w:rsidRPr="00D34D61">
              <w:rPr>
                <w:rFonts w:ascii="Palatino Linotype" w:hAnsi="Palatino Linotype"/>
                <w:noProof/>
                <w:webHidden/>
                <w:sz w:val="22"/>
                <w:szCs w:val="22"/>
              </w:rPr>
              <w:tab/>
            </w:r>
            <w:r w:rsidR="00BE3A60" w:rsidRPr="00D34D61">
              <w:rPr>
                <w:rFonts w:ascii="Palatino Linotype" w:hAnsi="Palatino Linotype"/>
                <w:noProof/>
                <w:webHidden/>
                <w:sz w:val="22"/>
                <w:szCs w:val="22"/>
              </w:rPr>
              <w:fldChar w:fldCharType="begin"/>
            </w:r>
            <w:r w:rsidR="00BE3A60" w:rsidRPr="00D34D61">
              <w:rPr>
                <w:rFonts w:ascii="Palatino Linotype" w:hAnsi="Palatino Linotype"/>
                <w:noProof/>
                <w:webHidden/>
                <w:sz w:val="22"/>
                <w:szCs w:val="22"/>
              </w:rPr>
              <w:instrText xml:space="preserve"> PAGEREF _Toc189676770 \h </w:instrText>
            </w:r>
            <w:r w:rsidR="00BE3A60" w:rsidRPr="00D34D61">
              <w:rPr>
                <w:rFonts w:ascii="Palatino Linotype" w:hAnsi="Palatino Linotype"/>
                <w:noProof/>
                <w:webHidden/>
                <w:sz w:val="22"/>
                <w:szCs w:val="22"/>
              </w:rPr>
            </w:r>
            <w:r w:rsidR="00BE3A60" w:rsidRPr="00D34D61">
              <w:rPr>
                <w:rFonts w:ascii="Palatino Linotype" w:hAnsi="Palatino Linotype"/>
                <w:noProof/>
                <w:webHidden/>
                <w:sz w:val="22"/>
                <w:szCs w:val="22"/>
              </w:rPr>
              <w:fldChar w:fldCharType="separate"/>
            </w:r>
            <w:r w:rsidR="00351EB4">
              <w:rPr>
                <w:rFonts w:ascii="Palatino Linotype" w:hAnsi="Palatino Linotype"/>
                <w:noProof/>
                <w:webHidden/>
                <w:sz w:val="22"/>
                <w:szCs w:val="22"/>
              </w:rPr>
              <w:t>4</w:t>
            </w:r>
            <w:r w:rsidR="00BE3A60" w:rsidRPr="00D34D61">
              <w:rPr>
                <w:rFonts w:ascii="Palatino Linotype" w:hAnsi="Palatino Linotype"/>
                <w:noProof/>
                <w:webHidden/>
                <w:sz w:val="22"/>
                <w:szCs w:val="22"/>
              </w:rPr>
              <w:fldChar w:fldCharType="end"/>
            </w:r>
          </w:hyperlink>
        </w:p>
        <w:p w14:paraId="0B059A77" w14:textId="38235093" w:rsidR="00BE3A60" w:rsidRPr="00D34D61" w:rsidRDefault="004E1020" w:rsidP="008F72BB">
          <w:pPr>
            <w:pStyle w:val="TDC2"/>
            <w:tabs>
              <w:tab w:val="right" w:leader="dot" w:pos="8921"/>
            </w:tabs>
            <w:spacing w:after="0" w:line="360" w:lineRule="auto"/>
            <w:rPr>
              <w:rFonts w:ascii="Palatino Linotype" w:eastAsiaTheme="minorEastAsia" w:hAnsi="Palatino Linotype" w:cstheme="minorBidi"/>
              <w:noProof/>
              <w:sz w:val="24"/>
              <w:szCs w:val="24"/>
              <w:lang w:eastAsia="es-MX"/>
            </w:rPr>
          </w:pPr>
          <w:hyperlink w:anchor="_Toc189676771" w:history="1">
            <w:r w:rsidR="00BE3A60" w:rsidRPr="00D34D61">
              <w:rPr>
                <w:rStyle w:val="Hipervnculo"/>
                <w:rFonts w:ascii="Palatino Linotype" w:hAnsi="Palatino Linotype"/>
                <w:noProof/>
                <w:sz w:val="22"/>
                <w:szCs w:val="22"/>
              </w:rPr>
              <w:t>a) Turno del Medio de Impugnación.</w:t>
            </w:r>
            <w:r w:rsidR="00BE3A60" w:rsidRPr="00D34D61">
              <w:rPr>
                <w:rFonts w:ascii="Palatino Linotype" w:hAnsi="Palatino Linotype"/>
                <w:noProof/>
                <w:webHidden/>
                <w:sz w:val="22"/>
                <w:szCs w:val="22"/>
              </w:rPr>
              <w:tab/>
            </w:r>
            <w:r w:rsidR="00BE3A60" w:rsidRPr="00D34D61">
              <w:rPr>
                <w:rFonts w:ascii="Palatino Linotype" w:hAnsi="Palatino Linotype"/>
                <w:noProof/>
                <w:webHidden/>
                <w:sz w:val="22"/>
                <w:szCs w:val="22"/>
              </w:rPr>
              <w:fldChar w:fldCharType="begin"/>
            </w:r>
            <w:r w:rsidR="00BE3A60" w:rsidRPr="00D34D61">
              <w:rPr>
                <w:rFonts w:ascii="Palatino Linotype" w:hAnsi="Palatino Linotype"/>
                <w:noProof/>
                <w:webHidden/>
                <w:sz w:val="22"/>
                <w:szCs w:val="22"/>
              </w:rPr>
              <w:instrText xml:space="preserve"> PAGEREF _Toc189676771 \h </w:instrText>
            </w:r>
            <w:r w:rsidR="00BE3A60" w:rsidRPr="00D34D61">
              <w:rPr>
                <w:rFonts w:ascii="Palatino Linotype" w:hAnsi="Palatino Linotype"/>
                <w:noProof/>
                <w:webHidden/>
                <w:sz w:val="22"/>
                <w:szCs w:val="22"/>
              </w:rPr>
            </w:r>
            <w:r w:rsidR="00BE3A60" w:rsidRPr="00D34D61">
              <w:rPr>
                <w:rFonts w:ascii="Palatino Linotype" w:hAnsi="Palatino Linotype"/>
                <w:noProof/>
                <w:webHidden/>
                <w:sz w:val="22"/>
                <w:szCs w:val="22"/>
              </w:rPr>
              <w:fldChar w:fldCharType="separate"/>
            </w:r>
            <w:r w:rsidR="00351EB4">
              <w:rPr>
                <w:rFonts w:ascii="Palatino Linotype" w:hAnsi="Palatino Linotype"/>
                <w:noProof/>
                <w:webHidden/>
                <w:sz w:val="22"/>
                <w:szCs w:val="22"/>
              </w:rPr>
              <w:t>5</w:t>
            </w:r>
            <w:r w:rsidR="00BE3A60" w:rsidRPr="00D34D61">
              <w:rPr>
                <w:rFonts w:ascii="Palatino Linotype" w:hAnsi="Palatino Linotype"/>
                <w:noProof/>
                <w:webHidden/>
                <w:sz w:val="22"/>
                <w:szCs w:val="22"/>
              </w:rPr>
              <w:fldChar w:fldCharType="end"/>
            </w:r>
          </w:hyperlink>
        </w:p>
        <w:p w14:paraId="71038DBC" w14:textId="0D9CDAC8" w:rsidR="00BE3A60" w:rsidRPr="00D34D61" w:rsidRDefault="004E1020" w:rsidP="008F72BB">
          <w:pPr>
            <w:pStyle w:val="TDC2"/>
            <w:tabs>
              <w:tab w:val="right" w:leader="dot" w:pos="8921"/>
            </w:tabs>
            <w:spacing w:after="0" w:line="360" w:lineRule="auto"/>
            <w:rPr>
              <w:rFonts w:ascii="Palatino Linotype" w:eastAsiaTheme="minorEastAsia" w:hAnsi="Palatino Linotype" w:cstheme="minorBidi"/>
              <w:noProof/>
              <w:sz w:val="24"/>
              <w:szCs w:val="24"/>
              <w:lang w:eastAsia="es-MX"/>
            </w:rPr>
          </w:pPr>
          <w:hyperlink w:anchor="_Toc189676772" w:history="1">
            <w:r w:rsidR="00BE3A60" w:rsidRPr="00D34D61">
              <w:rPr>
                <w:rStyle w:val="Hipervnculo"/>
                <w:rFonts w:ascii="Palatino Linotype" w:hAnsi="Palatino Linotype"/>
                <w:noProof/>
                <w:sz w:val="22"/>
                <w:szCs w:val="22"/>
              </w:rPr>
              <w:t>b) Admisión del Recurso de Revisión.</w:t>
            </w:r>
            <w:r w:rsidR="00BE3A60" w:rsidRPr="00D34D61">
              <w:rPr>
                <w:rFonts w:ascii="Palatino Linotype" w:hAnsi="Palatino Linotype"/>
                <w:noProof/>
                <w:webHidden/>
                <w:sz w:val="22"/>
                <w:szCs w:val="22"/>
              </w:rPr>
              <w:tab/>
            </w:r>
            <w:r w:rsidR="00BE3A60" w:rsidRPr="00D34D61">
              <w:rPr>
                <w:rFonts w:ascii="Palatino Linotype" w:hAnsi="Palatino Linotype"/>
                <w:noProof/>
                <w:webHidden/>
                <w:sz w:val="22"/>
                <w:szCs w:val="22"/>
              </w:rPr>
              <w:fldChar w:fldCharType="begin"/>
            </w:r>
            <w:r w:rsidR="00BE3A60" w:rsidRPr="00D34D61">
              <w:rPr>
                <w:rFonts w:ascii="Palatino Linotype" w:hAnsi="Palatino Linotype"/>
                <w:noProof/>
                <w:webHidden/>
                <w:sz w:val="22"/>
                <w:szCs w:val="22"/>
              </w:rPr>
              <w:instrText xml:space="preserve"> PAGEREF _Toc189676772 \h </w:instrText>
            </w:r>
            <w:r w:rsidR="00BE3A60" w:rsidRPr="00D34D61">
              <w:rPr>
                <w:rFonts w:ascii="Palatino Linotype" w:hAnsi="Palatino Linotype"/>
                <w:noProof/>
                <w:webHidden/>
                <w:sz w:val="22"/>
                <w:szCs w:val="22"/>
              </w:rPr>
            </w:r>
            <w:r w:rsidR="00BE3A60" w:rsidRPr="00D34D61">
              <w:rPr>
                <w:rFonts w:ascii="Palatino Linotype" w:hAnsi="Palatino Linotype"/>
                <w:noProof/>
                <w:webHidden/>
                <w:sz w:val="22"/>
                <w:szCs w:val="22"/>
              </w:rPr>
              <w:fldChar w:fldCharType="separate"/>
            </w:r>
            <w:r w:rsidR="00351EB4">
              <w:rPr>
                <w:rFonts w:ascii="Palatino Linotype" w:hAnsi="Palatino Linotype"/>
                <w:noProof/>
                <w:webHidden/>
                <w:sz w:val="22"/>
                <w:szCs w:val="22"/>
              </w:rPr>
              <w:t>5</w:t>
            </w:r>
            <w:r w:rsidR="00BE3A60" w:rsidRPr="00D34D61">
              <w:rPr>
                <w:rFonts w:ascii="Palatino Linotype" w:hAnsi="Palatino Linotype"/>
                <w:noProof/>
                <w:webHidden/>
                <w:sz w:val="22"/>
                <w:szCs w:val="22"/>
              </w:rPr>
              <w:fldChar w:fldCharType="end"/>
            </w:r>
          </w:hyperlink>
        </w:p>
        <w:p w14:paraId="30616294" w14:textId="3D422B81" w:rsidR="00BE3A60" w:rsidRPr="00D34D61" w:rsidRDefault="004E1020" w:rsidP="008F72BB">
          <w:pPr>
            <w:pStyle w:val="TDC2"/>
            <w:tabs>
              <w:tab w:val="right" w:leader="dot" w:pos="8921"/>
            </w:tabs>
            <w:spacing w:after="0" w:line="360" w:lineRule="auto"/>
            <w:rPr>
              <w:rFonts w:ascii="Palatino Linotype" w:eastAsiaTheme="minorEastAsia" w:hAnsi="Palatino Linotype" w:cstheme="minorBidi"/>
              <w:noProof/>
              <w:sz w:val="24"/>
              <w:szCs w:val="24"/>
              <w:lang w:eastAsia="es-MX"/>
            </w:rPr>
          </w:pPr>
          <w:hyperlink w:anchor="_Toc189676773" w:history="1">
            <w:r w:rsidR="00BE3A60" w:rsidRPr="00D34D61">
              <w:rPr>
                <w:rStyle w:val="Hipervnculo"/>
                <w:rFonts w:ascii="Palatino Linotype" w:hAnsi="Palatino Linotype"/>
                <w:noProof/>
                <w:sz w:val="22"/>
                <w:szCs w:val="22"/>
              </w:rPr>
              <w:t>c) Informe Justificado o Manifestaciones.</w:t>
            </w:r>
            <w:r w:rsidR="00BE3A60" w:rsidRPr="00D34D61">
              <w:rPr>
                <w:rFonts w:ascii="Palatino Linotype" w:hAnsi="Palatino Linotype"/>
                <w:noProof/>
                <w:webHidden/>
                <w:sz w:val="22"/>
                <w:szCs w:val="22"/>
              </w:rPr>
              <w:tab/>
            </w:r>
            <w:r w:rsidR="00BE3A60" w:rsidRPr="00D34D61">
              <w:rPr>
                <w:rFonts w:ascii="Palatino Linotype" w:hAnsi="Palatino Linotype"/>
                <w:noProof/>
                <w:webHidden/>
                <w:sz w:val="22"/>
                <w:szCs w:val="22"/>
              </w:rPr>
              <w:fldChar w:fldCharType="begin"/>
            </w:r>
            <w:r w:rsidR="00BE3A60" w:rsidRPr="00D34D61">
              <w:rPr>
                <w:rFonts w:ascii="Palatino Linotype" w:hAnsi="Palatino Linotype"/>
                <w:noProof/>
                <w:webHidden/>
                <w:sz w:val="22"/>
                <w:szCs w:val="22"/>
              </w:rPr>
              <w:instrText xml:space="preserve"> PAGEREF _Toc189676773 \h </w:instrText>
            </w:r>
            <w:r w:rsidR="00BE3A60" w:rsidRPr="00D34D61">
              <w:rPr>
                <w:rFonts w:ascii="Palatino Linotype" w:hAnsi="Palatino Linotype"/>
                <w:noProof/>
                <w:webHidden/>
                <w:sz w:val="22"/>
                <w:szCs w:val="22"/>
              </w:rPr>
            </w:r>
            <w:r w:rsidR="00BE3A60" w:rsidRPr="00D34D61">
              <w:rPr>
                <w:rFonts w:ascii="Palatino Linotype" w:hAnsi="Palatino Linotype"/>
                <w:noProof/>
                <w:webHidden/>
                <w:sz w:val="22"/>
                <w:szCs w:val="22"/>
              </w:rPr>
              <w:fldChar w:fldCharType="separate"/>
            </w:r>
            <w:r w:rsidR="00351EB4">
              <w:rPr>
                <w:rFonts w:ascii="Palatino Linotype" w:hAnsi="Palatino Linotype"/>
                <w:noProof/>
                <w:webHidden/>
                <w:sz w:val="22"/>
                <w:szCs w:val="22"/>
              </w:rPr>
              <w:t>5</w:t>
            </w:r>
            <w:r w:rsidR="00BE3A60" w:rsidRPr="00D34D61">
              <w:rPr>
                <w:rFonts w:ascii="Palatino Linotype" w:hAnsi="Palatino Linotype"/>
                <w:noProof/>
                <w:webHidden/>
                <w:sz w:val="22"/>
                <w:szCs w:val="22"/>
              </w:rPr>
              <w:fldChar w:fldCharType="end"/>
            </w:r>
          </w:hyperlink>
        </w:p>
        <w:p w14:paraId="230F9638" w14:textId="42B893BD" w:rsidR="00BE3A60" w:rsidRPr="00D34D61" w:rsidRDefault="004E1020" w:rsidP="008F72BB">
          <w:pPr>
            <w:pStyle w:val="TDC2"/>
            <w:tabs>
              <w:tab w:val="right" w:leader="dot" w:pos="8921"/>
            </w:tabs>
            <w:spacing w:after="0" w:line="360" w:lineRule="auto"/>
            <w:rPr>
              <w:rFonts w:ascii="Palatino Linotype" w:eastAsiaTheme="minorEastAsia" w:hAnsi="Palatino Linotype" w:cstheme="minorBidi"/>
              <w:noProof/>
              <w:sz w:val="24"/>
              <w:szCs w:val="24"/>
              <w:lang w:eastAsia="es-MX"/>
            </w:rPr>
          </w:pPr>
          <w:hyperlink w:anchor="_Toc189676774" w:history="1">
            <w:r w:rsidR="00BE3A60" w:rsidRPr="00D34D61">
              <w:rPr>
                <w:rStyle w:val="Hipervnculo"/>
                <w:rFonts w:ascii="Palatino Linotype" w:hAnsi="Palatino Linotype"/>
                <w:noProof/>
                <w:sz w:val="22"/>
                <w:szCs w:val="22"/>
              </w:rPr>
              <w:t>d) Cierre de instrucción.</w:t>
            </w:r>
            <w:r w:rsidR="00BE3A60" w:rsidRPr="00D34D61">
              <w:rPr>
                <w:rFonts w:ascii="Palatino Linotype" w:hAnsi="Palatino Linotype"/>
                <w:noProof/>
                <w:webHidden/>
                <w:sz w:val="22"/>
                <w:szCs w:val="22"/>
              </w:rPr>
              <w:tab/>
            </w:r>
            <w:r w:rsidR="00BE3A60" w:rsidRPr="00D34D61">
              <w:rPr>
                <w:rFonts w:ascii="Palatino Linotype" w:hAnsi="Palatino Linotype"/>
                <w:noProof/>
                <w:webHidden/>
                <w:sz w:val="22"/>
                <w:szCs w:val="22"/>
              </w:rPr>
              <w:fldChar w:fldCharType="begin"/>
            </w:r>
            <w:r w:rsidR="00BE3A60" w:rsidRPr="00D34D61">
              <w:rPr>
                <w:rFonts w:ascii="Palatino Linotype" w:hAnsi="Palatino Linotype"/>
                <w:noProof/>
                <w:webHidden/>
                <w:sz w:val="22"/>
                <w:szCs w:val="22"/>
              </w:rPr>
              <w:instrText xml:space="preserve"> PAGEREF _Toc189676774 \h </w:instrText>
            </w:r>
            <w:r w:rsidR="00BE3A60" w:rsidRPr="00D34D61">
              <w:rPr>
                <w:rFonts w:ascii="Palatino Linotype" w:hAnsi="Palatino Linotype"/>
                <w:noProof/>
                <w:webHidden/>
                <w:sz w:val="22"/>
                <w:szCs w:val="22"/>
              </w:rPr>
            </w:r>
            <w:r w:rsidR="00BE3A60" w:rsidRPr="00D34D61">
              <w:rPr>
                <w:rFonts w:ascii="Palatino Linotype" w:hAnsi="Palatino Linotype"/>
                <w:noProof/>
                <w:webHidden/>
                <w:sz w:val="22"/>
                <w:szCs w:val="22"/>
              </w:rPr>
              <w:fldChar w:fldCharType="separate"/>
            </w:r>
            <w:r w:rsidR="00351EB4">
              <w:rPr>
                <w:rFonts w:ascii="Palatino Linotype" w:hAnsi="Palatino Linotype"/>
                <w:noProof/>
                <w:webHidden/>
                <w:sz w:val="22"/>
                <w:szCs w:val="22"/>
              </w:rPr>
              <w:t>7</w:t>
            </w:r>
            <w:r w:rsidR="00BE3A60" w:rsidRPr="00D34D61">
              <w:rPr>
                <w:rFonts w:ascii="Palatino Linotype" w:hAnsi="Palatino Linotype"/>
                <w:noProof/>
                <w:webHidden/>
                <w:sz w:val="22"/>
                <w:szCs w:val="22"/>
              </w:rPr>
              <w:fldChar w:fldCharType="end"/>
            </w:r>
          </w:hyperlink>
        </w:p>
        <w:p w14:paraId="28029CA4" w14:textId="7B4C19FD" w:rsidR="00BE3A60" w:rsidRPr="00D34D61" w:rsidRDefault="004E1020" w:rsidP="008F72BB">
          <w:pPr>
            <w:pStyle w:val="TDC1"/>
            <w:spacing w:after="0"/>
            <w:rPr>
              <w:rFonts w:ascii="Palatino Linotype" w:eastAsiaTheme="minorEastAsia" w:hAnsi="Palatino Linotype" w:cstheme="minorBidi"/>
              <w:noProof/>
              <w:sz w:val="24"/>
              <w:szCs w:val="24"/>
              <w:lang w:eastAsia="es-MX"/>
            </w:rPr>
          </w:pPr>
          <w:hyperlink w:anchor="_Toc189676775" w:history="1">
            <w:r w:rsidR="00BE3A60" w:rsidRPr="00D34D61">
              <w:rPr>
                <w:rStyle w:val="Hipervnculo"/>
                <w:rFonts w:ascii="Palatino Linotype" w:hAnsi="Palatino Linotype"/>
                <w:noProof/>
                <w:sz w:val="22"/>
                <w:szCs w:val="22"/>
                <w:lang w:val="es-ES"/>
              </w:rPr>
              <w:t>C O N S I D E R A N D O S</w:t>
            </w:r>
            <w:r w:rsidR="00BE3A60" w:rsidRPr="00D34D61">
              <w:rPr>
                <w:rFonts w:ascii="Palatino Linotype" w:hAnsi="Palatino Linotype"/>
                <w:noProof/>
                <w:webHidden/>
                <w:sz w:val="22"/>
                <w:szCs w:val="22"/>
              </w:rPr>
              <w:tab/>
            </w:r>
            <w:r w:rsidR="00BE3A60" w:rsidRPr="00D34D61">
              <w:rPr>
                <w:rFonts w:ascii="Palatino Linotype" w:hAnsi="Palatino Linotype"/>
                <w:noProof/>
                <w:webHidden/>
                <w:sz w:val="22"/>
                <w:szCs w:val="22"/>
              </w:rPr>
              <w:fldChar w:fldCharType="begin"/>
            </w:r>
            <w:r w:rsidR="00BE3A60" w:rsidRPr="00D34D61">
              <w:rPr>
                <w:rFonts w:ascii="Palatino Linotype" w:hAnsi="Palatino Linotype"/>
                <w:noProof/>
                <w:webHidden/>
                <w:sz w:val="22"/>
                <w:szCs w:val="22"/>
              </w:rPr>
              <w:instrText xml:space="preserve"> PAGEREF _Toc189676775 \h </w:instrText>
            </w:r>
            <w:r w:rsidR="00BE3A60" w:rsidRPr="00D34D61">
              <w:rPr>
                <w:rFonts w:ascii="Palatino Linotype" w:hAnsi="Palatino Linotype"/>
                <w:noProof/>
                <w:webHidden/>
                <w:sz w:val="22"/>
                <w:szCs w:val="22"/>
              </w:rPr>
            </w:r>
            <w:r w:rsidR="00BE3A60" w:rsidRPr="00D34D61">
              <w:rPr>
                <w:rFonts w:ascii="Palatino Linotype" w:hAnsi="Palatino Linotype"/>
                <w:noProof/>
                <w:webHidden/>
                <w:sz w:val="22"/>
                <w:szCs w:val="22"/>
              </w:rPr>
              <w:fldChar w:fldCharType="separate"/>
            </w:r>
            <w:r w:rsidR="00351EB4">
              <w:rPr>
                <w:rFonts w:ascii="Palatino Linotype" w:hAnsi="Palatino Linotype"/>
                <w:noProof/>
                <w:webHidden/>
                <w:sz w:val="22"/>
                <w:szCs w:val="22"/>
              </w:rPr>
              <w:t>7</w:t>
            </w:r>
            <w:r w:rsidR="00BE3A60" w:rsidRPr="00D34D61">
              <w:rPr>
                <w:rFonts w:ascii="Palatino Linotype" w:hAnsi="Palatino Linotype"/>
                <w:noProof/>
                <w:webHidden/>
                <w:sz w:val="22"/>
                <w:szCs w:val="22"/>
              </w:rPr>
              <w:fldChar w:fldCharType="end"/>
            </w:r>
          </w:hyperlink>
        </w:p>
        <w:p w14:paraId="073FFF32" w14:textId="69B5AA82" w:rsidR="00BE3A60" w:rsidRPr="00D34D61" w:rsidRDefault="004E1020" w:rsidP="008F72BB">
          <w:pPr>
            <w:pStyle w:val="TDC2"/>
            <w:tabs>
              <w:tab w:val="right" w:leader="dot" w:pos="8921"/>
            </w:tabs>
            <w:spacing w:after="0" w:line="360" w:lineRule="auto"/>
            <w:rPr>
              <w:rFonts w:ascii="Palatino Linotype" w:eastAsiaTheme="minorEastAsia" w:hAnsi="Palatino Linotype" w:cstheme="minorBidi"/>
              <w:noProof/>
              <w:sz w:val="24"/>
              <w:szCs w:val="24"/>
              <w:lang w:eastAsia="es-MX"/>
            </w:rPr>
          </w:pPr>
          <w:hyperlink w:anchor="_Toc189676776" w:history="1">
            <w:r w:rsidR="00BE3A60" w:rsidRPr="00D34D61">
              <w:rPr>
                <w:rStyle w:val="Hipervnculo"/>
                <w:rFonts w:ascii="Palatino Linotype" w:eastAsia="Calibri" w:hAnsi="Palatino Linotype"/>
                <w:noProof/>
                <w:sz w:val="22"/>
                <w:szCs w:val="22"/>
                <w:lang w:val="es-ES" w:eastAsia="es-MX"/>
              </w:rPr>
              <w:t xml:space="preserve">PRIMERO. </w:t>
            </w:r>
            <w:r w:rsidR="00BE3A60" w:rsidRPr="00D34D61">
              <w:rPr>
                <w:rStyle w:val="Hipervnculo"/>
                <w:rFonts w:ascii="Palatino Linotype" w:hAnsi="Palatino Linotype"/>
                <w:noProof/>
                <w:sz w:val="22"/>
                <w:szCs w:val="22"/>
                <w:lang w:val="es-ES"/>
              </w:rPr>
              <w:t>Competencia</w:t>
            </w:r>
            <w:r w:rsidR="00BE3A60" w:rsidRPr="00D34D61">
              <w:rPr>
                <w:rFonts w:ascii="Palatino Linotype" w:hAnsi="Palatino Linotype"/>
                <w:noProof/>
                <w:webHidden/>
                <w:sz w:val="22"/>
                <w:szCs w:val="22"/>
              </w:rPr>
              <w:tab/>
            </w:r>
            <w:r w:rsidR="00BE3A60" w:rsidRPr="00D34D61">
              <w:rPr>
                <w:rFonts w:ascii="Palatino Linotype" w:hAnsi="Palatino Linotype"/>
                <w:noProof/>
                <w:webHidden/>
                <w:sz w:val="22"/>
                <w:szCs w:val="22"/>
              </w:rPr>
              <w:fldChar w:fldCharType="begin"/>
            </w:r>
            <w:r w:rsidR="00BE3A60" w:rsidRPr="00D34D61">
              <w:rPr>
                <w:rFonts w:ascii="Palatino Linotype" w:hAnsi="Palatino Linotype"/>
                <w:noProof/>
                <w:webHidden/>
                <w:sz w:val="22"/>
                <w:szCs w:val="22"/>
              </w:rPr>
              <w:instrText xml:space="preserve"> PAGEREF _Toc189676776 \h </w:instrText>
            </w:r>
            <w:r w:rsidR="00BE3A60" w:rsidRPr="00D34D61">
              <w:rPr>
                <w:rFonts w:ascii="Palatino Linotype" w:hAnsi="Palatino Linotype"/>
                <w:noProof/>
                <w:webHidden/>
                <w:sz w:val="22"/>
                <w:szCs w:val="22"/>
              </w:rPr>
            </w:r>
            <w:r w:rsidR="00BE3A60" w:rsidRPr="00D34D61">
              <w:rPr>
                <w:rFonts w:ascii="Palatino Linotype" w:hAnsi="Palatino Linotype"/>
                <w:noProof/>
                <w:webHidden/>
                <w:sz w:val="22"/>
                <w:szCs w:val="22"/>
              </w:rPr>
              <w:fldChar w:fldCharType="separate"/>
            </w:r>
            <w:r w:rsidR="00351EB4">
              <w:rPr>
                <w:rFonts w:ascii="Palatino Linotype" w:hAnsi="Palatino Linotype"/>
                <w:noProof/>
                <w:webHidden/>
                <w:sz w:val="22"/>
                <w:szCs w:val="22"/>
              </w:rPr>
              <w:t>7</w:t>
            </w:r>
            <w:r w:rsidR="00BE3A60" w:rsidRPr="00D34D61">
              <w:rPr>
                <w:rFonts w:ascii="Palatino Linotype" w:hAnsi="Palatino Linotype"/>
                <w:noProof/>
                <w:webHidden/>
                <w:sz w:val="22"/>
                <w:szCs w:val="22"/>
              </w:rPr>
              <w:fldChar w:fldCharType="end"/>
            </w:r>
          </w:hyperlink>
        </w:p>
        <w:p w14:paraId="3D2DDCCF" w14:textId="34F08C36" w:rsidR="00BE3A60" w:rsidRPr="00D34D61" w:rsidRDefault="004E1020" w:rsidP="008F72BB">
          <w:pPr>
            <w:pStyle w:val="TDC2"/>
            <w:tabs>
              <w:tab w:val="right" w:leader="dot" w:pos="8921"/>
            </w:tabs>
            <w:spacing w:after="0" w:line="360" w:lineRule="auto"/>
            <w:rPr>
              <w:rFonts w:ascii="Palatino Linotype" w:eastAsiaTheme="minorEastAsia" w:hAnsi="Palatino Linotype" w:cstheme="minorBidi"/>
              <w:noProof/>
              <w:sz w:val="24"/>
              <w:szCs w:val="24"/>
              <w:lang w:eastAsia="es-MX"/>
            </w:rPr>
          </w:pPr>
          <w:hyperlink w:anchor="_Toc189676777" w:history="1">
            <w:r w:rsidR="00BE3A60" w:rsidRPr="00D34D61">
              <w:rPr>
                <w:rStyle w:val="Hipervnculo"/>
                <w:rFonts w:ascii="Palatino Linotype" w:eastAsia="Calibri" w:hAnsi="Palatino Linotype"/>
                <w:noProof/>
                <w:sz w:val="22"/>
                <w:szCs w:val="22"/>
                <w:lang w:val="es-ES" w:eastAsia="es-MX"/>
              </w:rPr>
              <w:t xml:space="preserve">SEGUNDO. </w:t>
            </w:r>
            <w:r w:rsidR="00BE3A60" w:rsidRPr="00D34D61">
              <w:rPr>
                <w:rStyle w:val="Hipervnculo"/>
                <w:rFonts w:ascii="Palatino Linotype" w:hAnsi="Palatino Linotype"/>
                <w:noProof/>
                <w:sz w:val="22"/>
                <w:szCs w:val="22"/>
                <w:lang w:val="es-ES"/>
              </w:rPr>
              <w:t>Causales de improcedencia y sobreseimiento</w:t>
            </w:r>
            <w:r w:rsidR="00BE3A60" w:rsidRPr="00D34D61">
              <w:rPr>
                <w:rFonts w:ascii="Palatino Linotype" w:hAnsi="Palatino Linotype"/>
                <w:noProof/>
                <w:webHidden/>
                <w:sz w:val="22"/>
                <w:szCs w:val="22"/>
              </w:rPr>
              <w:tab/>
            </w:r>
            <w:r w:rsidR="00BE3A60" w:rsidRPr="00D34D61">
              <w:rPr>
                <w:rFonts w:ascii="Palatino Linotype" w:hAnsi="Palatino Linotype"/>
                <w:noProof/>
                <w:webHidden/>
                <w:sz w:val="22"/>
                <w:szCs w:val="22"/>
              </w:rPr>
              <w:fldChar w:fldCharType="begin"/>
            </w:r>
            <w:r w:rsidR="00BE3A60" w:rsidRPr="00D34D61">
              <w:rPr>
                <w:rFonts w:ascii="Palatino Linotype" w:hAnsi="Palatino Linotype"/>
                <w:noProof/>
                <w:webHidden/>
                <w:sz w:val="22"/>
                <w:szCs w:val="22"/>
              </w:rPr>
              <w:instrText xml:space="preserve"> PAGEREF _Toc189676777 \h </w:instrText>
            </w:r>
            <w:r w:rsidR="00BE3A60" w:rsidRPr="00D34D61">
              <w:rPr>
                <w:rFonts w:ascii="Palatino Linotype" w:hAnsi="Palatino Linotype"/>
                <w:noProof/>
                <w:webHidden/>
                <w:sz w:val="22"/>
                <w:szCs w:val="22"/>
              </w:rPr>
            </w:r>
            <w:r w:rsidR="00BE3A60" w:rsidRPr="00D34D61">
              <w:rPr>
                <w:rFonts w:ascii="Palatino Linotype" w:hAnsi="Palatino Linotype"/>
                <w:noProof/>
                <w:webHidden/>
                <w:sz w:val="22"/>
                <w:szCs w:val="22"/>
              </w:rPr>
              <w:fldChar w:fldCharType="separate"/>
            </w:r>
            <w:r w:rsidR="00351EB4">
              <w:rPr>
                <w:rFonts w:ascii="Palatino Linotype" w:hAnsi="Palatino Linotype"/>
                <w:noProof/>
                <w:webHidden/>
                <w:sz w:val="22"/>
                <w:szCs w:val="22"/>
              </w:rPr>
              <w:t>8</w:t>
            </w:r>
            <w:r w:rsidR="00BE3A60" w:rsidRPr="00D34D61">
              <w:rPr>
                <w:rFonts w:ascii="Palatino Linotype" w:hAnsi="Palatino Linotype"/>
                <w:noProof/>
                <w:webHidden/>
                <w:sz w:val="22"/>
                <w:szCs w:val="22"/>
              </w:rPr>
              <w:fldChar w:fldCharType="end"/>
            </w:r>
          </w:hyperlink>
        </w:p>
        <w:p w14:paraId="237CBB28" w14:textId="4F83E786" w:rsidR="00BE3A60" w:rsidRPr="00D34D61" w:rsidRDefault="004E1020" w:rsidP="008F72BB">
          <w:pPr>
            <w:pStyle w:val="TDC2"/>
            <w:tabs>
              <w:tab w:val="right" w:leader="dot" w:pos="8921"/>
            </w:tabs>
            <w:spacing w:after="0" w:line="360" w:lineRule="auto"/>
            <w:rPr>
              <w:rFonts w:ascii="Palatino Linotype" w:eastAsiaTheme="minorEastAsia" w:hAnsi="Palatino Linotype" w:cstheme="minorBidi"/>
              <w:noProof/>
              <w:sz w:val="24"/>
              <w:szCs w:val="24"/>
              <w:lang w:eastAsia="es-MX"/>
            </w:rPr>
          </w:pPr>
          <w:hyperlink w:anchor="_Toc189676778" w:history="1">
            <w:r w:rsidR="00BE3A60" w:rsidRPr="00D34D61">
              <w:rPr>
                <w:rStyle w:val="Hipervnculo"/>
                <w:rFonts w:ascii="Palatino Linotype" w:hAnsi="Palatino Linotype"/>
                <w:noProof/>
                <w:sz w:val="22"/>
                <w:szCs w:val="22"/>
                <w:lang w:val="es-ES"/>
              </w:rPr>
              <w:t>TERCERO. Determinación de la Controversia</w:t>
            </w:r>
            <w:r w:rsidR="00BE3A60" w:rsidRPr="00D34D61">
              <w:rPr>
                <w:rFonts w:ascii="Palatino Linotype" w:hAnsi="Palatino Linotype"/>
                <w:noProof/>
                <w:webHidden/>
                <w:sz w:val="22"/>
                <w:szCs w:val="22"/>
              </w:rPr>
              <w:tab/>
            </w:r>
            <w:r w:rsidR="00BE3A60" w:rsidRPr="00D34D61">
              <w:rPr>
                <w:rFonts w:ascii="Palatino Linotype" w:hAnsi="Palatino Linotype"/>
                <w:noProof/>
                <w:webHidden/>
                <w:sz w:val="22"/>
                <w:szCs w:val="22"/>
              </w:rPr>
              <w:fldChar w:fldCharType="begin"/>
            </w:r>
            <w:r w:rsidR="00BE3A60" w:rsidRPr="00D34D61">
              <w:rPr>
                <w:rFonts w:ascii="Palatino Linotype" w:hAnsi="Palatino Linotype"/>
                <w:noProof/>
                <w:webHidden/>
                <w:sz w:val="22"/>
                <w:szCs w:val="22"/>
              </w:rPr>
              <w:instrText xml:space="preserve"> PAGEREF _Toc189676778 \h </w:instrText>
            </w:r>
            <w:r w:rsidR="00BE3A60" w:rsidRPr="00D34D61">
              <w:rPr>
                <w:rFonts w:ascii="Palatino Linotype" w:hAnsi="Palatino Linotype"/>
                <w:noProof/>
                <w:webHidden/>
                <w:sz w:val="22"/>
                <w:szCs w:val="22"/>
              </w:rPr>
            </w:r>
            <w:r w:rsidR="00BE3A60" w:rsidRPr="00D34D61">
              <w:rPr>
                <w:rFonts w:ascii="Palatino Linotype" w:hAnsi="Palatino Linotype"/>
                <w:noProof/>
                <w:webHidden/>
                <w:sz w:val="22"/>
                <w:szCs w:val="22"/>
              </w:rPr>
              <w:fldChar w:fldCharType="separate"/>
            </w:r>
            <w:r w:rsidR="00351EB4">
              <w:rPr>
                <w:rFonts w:ascii="Palatino Linotype" w:hAnsi="Palatino Linotype"/>
                <w:noProof/>
                <w:webHidden/>
                <w:sz w:val="22"/>
                <w:szCs w:val="22"/>
              </w:rPr>
              <w:t>9</w:t>
            </w:r>
            <w:r w:rsidR="00BE3A60" w:rsidRPr="00D34D61">
              <w:rPr>
                <w:rFonts w:ascii="Palatino Linotype" w:hAnsi="Palatino Linotype"/>
                <w:noProof/>
                <w:webHidden/>
                <w:sz w:val="22"/>
                <w:szCs w:val="22"/>
              </w:rPr>
              <w:fldChar w:fldCharType="end"/>
            </w:r>
          </w:hyperlink>
        </w:p>
        <w:p w14:paraId="0324ABBA" w14:textId="32F70E3F" w:rsidR="00BE3A60" w:rsidRPr="00D34D61" w:rsidRDefault="004E1020" w:rsidP="008F72BB">
          <w:pPr>
            <w:pStyle w:val="TDC2"/>
            <w:tabs>
              <w:tab w:val="right" w:leader="dot" w:pos="8921"/>
            </w:tabs>
            <w:spacing w:after="0" w:line="360" w:lineRule="auto"/>
            <w:rPr>
              <w:rFonts w:ascii="Palatino Linotype" w:eastAsiaTheme="minorEastAsia" w:hAnsi="Palatino Linotype" w:cstheme="minorBidi"/>
              <w:noProof/>
              <w:sz w:val="24"/>
              <w:szCs w:val="24"/>
              <w:lang w:eastAsia="es-MX"/>
            </w:rPr>
          </w:pPr>
          <w:hyperlink w:anchor="_Toc189676779" w:history="1">
            <w:r w:rsidR="00BE3A60" w:rsidRPr="00D34D61">
              <w:rPr>
                <w:rStyle w:val="Hipervnculo"/>
                <w:rFonts w:ascii="Palatino Linotype" w:hAnsi="Palatino Linotype"/>
                <w:noProof/>
                <w:sz w:val="22"/>
                <w:szCs w:val="22"/>
                <w:lang w:val="es-ES"/>
              </w:rPr>
              <w:t xml:space="preserve">CUARTO. </w:t>
            </w:r>
            <w:r w:rsidR="00BE3A60" w:rsidRPr="00D34D61">
              <w:rPr>
                <w:rStyle w:val="Hipervnculo"/>
                <w:rFonts w:ascii="Palatino Linotype" w:hAnsi="Palatino Linotype"/>
                <w:noProof/>
                <w:sz w:val="22"/>
                <w:szCs w:val="22"/>
              </w:rPr>
              <w:t>Marco normativo aplicable en materia de transparencia y acceso a la información pública</w:t>
            </w:r>
            <w:r w:rsidR="00BE3A60" w:rsidRPr="00D34D61">
              <w:rPr>
                <w:rFonts w:ascii="Palatino Linotype" w:hAnsi="Palatino Linotype"/>
                <w:noProof/>
                <w:webHidden/>
                <w:sz w:val="22"/>
                <w:szCs w:val="22"/>
              </w:rPr>
              <w:tab/>
            </w:r>
            <w:r w:rsidR="00BE3A60" w:rsidRPr="00D34D61">
              <w:rPr>
                <w:rFonts w:ascii="Palatino Linotype" w:hAnsi="Palatino Linotype"/>
                <w:noProof/>
                <w:webHidden/>
                <w:sz w:val="22"/>
                <w:szCs w:val="22"/>
              </w:rPr>
              <w:fldChar w:fldCharType="begin"/>
            </w:r>
            <w:r w:rsidR="00BE3A60" w:rsidRPr="00D34D61">
              <w:rPr>
                <w:rFonts w:ascii="Palatino Linotype" w:hAnsi="Palatino Linotype"/>
                <w:noProof/>
                <w:webHidden/>
                <w:sz w:val="22"/>
                <w:szCs w:val="22"/>
              </w:rPr>
              <w:instrText xml:space="preserve"> PAGEREF _Toc189676779 \h </w:instrText>
            </w:r>
            <w:r w:rsidR="00BE3A60" w:rsidRPr="00D34D61">
              <w:rPr>
                <w:rFonts w:ascii="Palatino Linotype" w:hAnsi="Palatino Linotype"/>
                <w:noProof/>
                <w:webHidden/>
                <w:sz w:val="22"/>
                <w:szCs w:val="22"/>
              </w:rPr>
            </w:r>
            <w:r w:rsidR="00BE3A60" w:rsidRPr="00D34D61">
              <w:rPr>
                <w:rFonts w:ascii="Palatino Linotype" w:hAnsi="Palatino Linotype"/>
                <w:noProof/>
                <w:webHidden/>
                <w:sz w:val="22"/>
                <w:szCs w:val="22"/>
              </w:rPr>
              <w:fldChar w:fldCharType="separate"/>
            </w:r>
            <w:r w:rsidR="00351EB4">
              <w:rPr>
                <w:rFonts w:ascii="Palatino Linotype" w:hAnsi="Palatino Linotype"/>
                <w:noProof/>
                <w:webHidden/>
                <w:sz w:val="22"/>
                <w:szCs w:val="22"/>
              </w:rPr>
              <w:t>10</w:t>
            </w:r>
            <w:r w:rsidR="00BE3A60" w:rsidRPr="00D34D61">
              <w:rPr>
                <w:rFonts w:ascii="Palatino Linotype" w:hAnsi="Palatino Linotype"/>
                <w:noProof/>
                <w:webHidden/>
                <w:sz w:val="22"/>
                <w:szCs w:val="22"/>
              </w:rPr>
              <w:fldChar w:fldCharType="end"/>
            </w:r>
          </w:hyperlink>
        </w:p>
        <w:p w14:paraId="30DCA8E8" w14:textId="1E4AC68A" w:rsidR="00BE3A60" w:rsidRPr="00D34D61" w:rsidRDefault="004E1020" w:rsidP="008F72BB">
          <w:pPr>
            <w:pStyle w:val="TDC2"/>
            <w:tabs>
              <w:tab w:val="right" w:leader="dot" w:pos="8921"/>
            </w:tabs>
            <w:spacing w:after="0" w:line="360" w:lineRule="auto"/>
            <w:rPr>
              <w:rFonts w:ascii="Palatino Linotype" w:eastAsiaTheme="minorEastAsia" w:hAnsi="Palatino Linotype" w:cstheme="minorBidi"/>
              <w:noProof/>
              <w:sz w:val="24"/>
              <w:szCs w:val="24"/>
              <w:lang w:eastAsia="es-MX"/>
            </w:rPr>
          </w:pPr>
          <w:hyperlink w:anchor="_Toc189676780" w:history="1">
            <w:r w:rsidR="00BE3A60" w:rsidRPr="00D34D61">
              <w:rPr>
                <w:rStyle w:val="Hipervnculo"/>
                <w:rFonts w:ascii="Palatino Linotype" w:hAnsi="Palatino Linotype"/>
                <w:noProof/>
                <w:sz w:val="22"/>
                <w:szCs w:val="22"/>
                <w:lang w:val="es-ES"/>
              </w:rPr>
              <w:t>QUINTO. Estudio de Fondo</w:t>
            </w:r>
            <w:r w:rsidR="00BE3A60" w:rsidRPr="00D34D61">
              <w:rPr>
                <w:rFonts w:ascii="Palatino Linotype" w:hAnsi="Palatino Linotype"/>
                <w:noProof/>
                <w:webHidden/>
                <w:sz w:val="22"/>
                <w:szCs w:val="22"/>
              </w:rPr>
              <w:tab/>
            </w:r>
            <w:r w:rsidR="00BE3A60" w:rsidRPr="00D34D61">
              <w:rPr>
                <w:rFonts w:ascii="Palatino Linotype" w:hAnsi="Palatino Linotype"/>
                <w:noProof/>
                <w:webHidden/>
                <w:sz w:val="22"/>
                <w:szCs w:val="22"/>
              </w:rPr>
              <w:fldChar w:fldCharType="begin"/>
            </w:r>
            <w:r w:rsidR="00BE3A60" w:rsidRPr="00D34D61">
              <w:rPr>
                <w:rFonts w:ascii="Palatino Linotype" w:hAnsi="Palatino Linotype"/>
                <w:noProof/>
                <w:webHidden/>
                <w:sz w:val="22"/>
                <w:szCs w:val="22"/>
              </w:rPr>
              <w:instrText xml:space="preserve"> PAGEREF _Toc189676780 \h </w:instrText>
            </w:r>
            <w:r w:rsidR="00BE3A60" w:rsidRPr="00D34D61">
              <w:rPr>
                <w:rFonts w:ascii="Palatino Linotype" w:hAnsi="Palatino Linotype"/>
                <w:noProof/>
                <w:webHidden/>
                <w:sz w:val="22"/>
                <w:szCs w:val="22"/>
              </w:rPr>
            </w:r>
            <w:r w:rsidR="00BE3A60" w:rsidRPr="00D34D61">
              <w:rPr>
                <w:rFonts w:ascii="Palatino Linotype" w:hAnsi="Palatino Linotype"/>
                <w:noProof/>
                <w:webHidden/>
                <w:sz w:val="22"/>
                <w:szCs w:val="22"/>
              </w:rPr>
              <w:fldChar w:fldCharType="separate"/>
            </w:r>
            <w:r w:rsidR="00351EB4">
              <w:rPr>
                <w:rFonts w:ascii="Palatino Linotype" w:hAnsi="Palatino Linotype"/>
                <w:noProof/>
                <w:webHidden/>
                <w:sz w:val="22"/>
                <w:szCs w:val="22"/>
              </w:rPr>
              <w:t>12</w:t>
            </w:r>
            <w:r w:rsidR="00BE3A60" w:rsidRPr="00D34D61">
              <w:rPr>
                <w:rFonts w:ascii="Palatino Linotype" w:hAnsi="Palatino Linotype"/>
                <w:noProof/>
                <w:webHidden/>
                <w:sz w:val="22"/>
                <w:szCs w:val="22"/>
              </w:rPr>
              <w:fldChar w:fldCharType="end"/>
            </w:r>
          </w:hyperlink>
        </w:p>
        <w:p w14:paraId="1C4897D0" w14:textId="7869D187" w:rsidR="00BE3A60" w:rsidRPr="00D34D61" w:rsidRDefault="004E1020" w:rsidP="008F72BB">
          <w:pPr>
            <w:pStyle w:val="TDC2"/>
            <w:tabs>
              <w:tab w:val="right" w:leader="dot" w:pos="8921"/>
            </w:tabs>
            <w:spacing w:after="0" w:line="360" w:lineRule="auto"/>
            <w:rPr>
              <w:rFonts w:ascii="Palatino Linotype" w:eastAsiaTheme="minorEastAsia" w:hAnsi="Palatino Linotype" w:cstheme="minorBidi"/>
              <w:noProof/>
              <w:sz w:val="24"/>
              <w:szCs w:val="24"/>
              <w:lang w:eastAsia="es-MX"/>
            </w:rPr>
          </w:pPr>
          <w:hyperlink w:anchor="_Toc189676781" w:history="1">
            <w:r w:rsidR="00BE3A60" w:rsidRPr="00D34D61">
              <w:rPr>
                <w:rStyle w:val="Hipervnculo"/>
                <w:rFonts w:ascii="Palatino Linotype" w:eastAsia="Calibri" w:hAnsi="Palatino Linotype"/>
                <w:noProof/>
                <w:sz w:val="22"/>
                <w:szCs w:val="22"/>
              </w:rPr>
              <w:t>SEXTO. Decisión.</w:t>
            </w:r>
            <w:r w:rsidR="00BE3A60" w:rsidRPr="00D34D61">
              <w:rPr>
                <w:rFonts w:ascii="Palatino Linotype" w:hAnsi="Palatino Linotype"/>
                <w:noProof/>
                <w:webHidden/>
                <w:sz w:val="22"/>
                <w:szCs w:val="22"/>
              </w:rPr>
              <w:tab/>
            </w:r>
            <w:r w:rsidR="00BE3A60" w:rsidRPr="00D34D61">
              <w:rPr>
                <w:rFonts w:ascii="Palatino Linotype" w:hAnsi="Palatino Linotype"/>
                <w:noProof/>
                <w:webHidden/>
                <w:sz w:val="22"/>
                <w:szCs w:val="22"/>
              </w:rPr>
              <w:fldChar w:fldCharType="begin"/>
            </w:r>
            <w:r w:rsidR="00BE3A60" w:rsidRPr="00D34D61">
              <w:rPr>
                <w:rFonts w:ascii="Palatino Linotype" w:hAnsi="Palatino Linotype"/>
                <w:noProof/>
                <w:webHidden/>
                <w:sz w:val="22"/>
                <w:szCs w:val="22"/>
              </w:rPr>
              <w:instrText xml:space="preserve"> PAGEREF _Toc189676781 \h </w:instrText>
            </w:r>
            <w:r w:rsidR="00BE3A60" w:rsidRPr="00D34D61">
              <w:rPr>
                <w:rFonts w:ascii="Palatino Linotype" w:hAnsi="Palatino Linotype"/>
                <w:noProof/>
                <w:webHidden/>
                <w:sz w:val="22"/>
                <w:szCs w:val="22"/>
              </w:rPr>
            </w:r>
            <w:r w:rsidR="00BE3A60" w:rsidRPr="00D34D61">
              <w:rPr>
                <w:rFonts w:ascii="Palatino Linotype" w:hAnsi="Palatino Linotype"/>
                <w:noProof/>
                <w:webHidden/>
                <w:sz w:val="22"/>
                <w:szCs w:val="22"/>
              </w:rPr>
              <w:fldChar w:fldCharType="separate"/>
            </w:r>
            <w:r w:rsidR="00351EB4">
              <w:rPr>
                <w:rFonts w:ascii="Palatino Linotype" w:hAnsi="Palatino Linotype"/>
                <w:noProof/>
                <w:webHidden/>
                <w:sz w:val="22"/>
                <w:szCs w:val="22"/>
              </w:rPr>
              <w:t>31</w:t>
            </w:r>
            <w:r w:rsidR="00BE3A60" w:rsidRPr="00D34D61">
              <w:rPr>
                <w:rFonts w:ascii="Palatino Linotype" w:hAnsi="Palatino Linotype"/>
                <w:noProof/>
                <w:webHidden/>
                <w:sz w:val="22"/>
                <w:szCs w:val="22"/>
              </w:rPr>
              <w:fldChar w:fldCharType="end"/>
            </w:r>
          </w:hyperlink>
        </w:p>
        <w:p w14:paraId="27F4D4A4" w14:textId="7AF41FCE" w:rsidR="00BE3A60" w:rsidRPr="00D34D61" w:rsidRDefault="004E1020" w:rsidP="008F72BB">
          <w:pPr>
            <w:pStyle w:val="TDC1"/>
            <w:spacing w:after="0"/>
            <w:rPr>
              <w:rFonts w:ascii="Palatino Linotype" w:eastAsiaTheme="minorEastAsia" w:hAnsi="Palatino Linotype" w:cstheme="minorBidi"/>
              <w:noProof/>
              <w:sz w:val="24"/>
              <w:szCs w:val="24"/>
              <w:lang w:eastAsia="es-MX"/>
            </w:rPr>
          </w:pPr>
          <w:hyperlink w:anchor="_Toc189676782" w:history="1">
            <w:r w:rsidR="00BE3A60" w:rsidRPr="00D34D61">
              <w:rPr>
                <w:rStyle w:val="Hipervnculo"/>
                <w:rFonts w:ascii="Palatino Linotype" w:eastAsia="Calibri" w:hAnsi="Palatino Linotype"/>
                <w:noProof/>
                <w:sz w:val="22"/>
                <w:szCs w:val="22"/>
              </w:rPr>
              <w:t>R E S U E L V E:</w:t>
            </w:r>
            <w:r w:rsidR="00BE3A60" w:rsidRPr="00D34D61">
              <w:rPr>
                <w:rFonts w:ascii="Palatino Linotype" w:hAnsi="Palatino Linotype"/>
                <w:noProof/>
                <w:webHidden/>
                <w:sz w:val="22"/>
                <w:szCs w:val="22"/>
              </w:rPr>
              <w:tab/>
            </w:r>
            <w:r w:rsidR="00BE3A60" w:rsidRPr="00D34D61">
              <w:rPr>
                <w:rFonts w:ascii="Palatino Linotype" w:hAnsi="Palatino Linotype"/>
                <w:noProof/>
                <w:webHidden/>
                <w:sz w:val="22"/>
                <w:szCs w:val="22"/>
              </w:rPr>
              <w:fldChar w:fldCharType="begin"/>
            </w:r>
            <w:r w:rsidR="00BE3A60" w:rsidRPr="00D34D61">
              <w:rPr>
                <w:rFonts w:ascii="Palatino Linotype" w:hAnsi="Palatino Linotype"/>
                <w:noProof/>
                <w:webHidden/>
                <w:sz w:val="22"/>
                <w:szCs w:val="22"/>
              </w:rPr>
              <w:instrText xml:space="preserve"> PAGEREF _Toc189676782 \h </w:instrText>
            </w:r>
            <w:r w:rsidR="00BE3A60" w:rsidRPr="00D34D61">
              <w:rPr>
                <w:rFonts w:ascii="Palatino Linotype" w:hAnsi="Palatino Linotype"/>
                <w:noProof/>
                <w:webHidden/>
                <w:sz w:val="22"/>
                <w:szCs w:val="22"/>
              </w:rPr>
            </w:r>
            <w:r w:rsidR="00BE3A60" w:rsidRPr="00D34D61">
              <w:rPr>
                <w:rFonts w:ascii="Palatino Linotype" w:hAnsi="Palatino Linotype"/>
                <w:noProof/>
                <w:webHidden/>
                <w:sz w:val="22"/>
                <w:szCs w:val="22"/>
              </w:rPr>
              <w:fldChar w:fldCharType="separate"/>
            </w:r>
            <w:r w:rsidR="00351EB4">
              <w:rPr>
                <w:rFonts w:ascii="Palatino Linotype" w:hAnsi="Palatino Linotype"/>
                <w:noProof/>
                <w:webHidden/>
                <w:sz w:val="22"/>
                <w:szCs w:val="22"/>
              </w:rPr>
              <w:t>32</w:t>
            </w:r>
            <w:r w:rsidR="00BE3A60" w:rsidRPr="00D34D61">
              <w:rPr>
                <w:rFonts w:ascii="Palatino Linotype" w:hAnsi="Palatino Linotype"/>
                <w:noProof/>
                <w:webHidden/>
                <w:sz w:val="22"/>
                <w:szCs w:val="22"/>
              </w:rPr>
              <w:fldChar w:fldCharType="end"/>
            </w:r>
          </w:hyperlink>
        </w:p>
        <w:p w14:paraId="39113C74" w14:textId="768E5564" w:rsidR="00076681" w:rsidRPr="00D34D61" w:rsidRDefault="00076681" w:rsidP="008F72BB">
          <w:pPr>
            <w:spacing w:after="0" w:line="360" w:lineRule="auto"/>
          </w:pPr>
          <w:r w:rsidRPr="00D34D61">
            <w:rPr>
              <w:lang w:val="es-ES"/>
            </w:rPr>
            <w:fldChar w:fldCharType="end"/>
          </w:r>
        </w:p>
      </w:sdtContent>
    </w:sdt>
    <w:bookmarkEnd w:id="0" w:displacedByCustomXml="prev"/>
    <w:p w14:paraId="075FABE6" w14:textId="77777777" w:rsidR="00F063F0" w:rsidRPr="00D34D61" w:rsidRDefault="00F063F0" w:rsidP="008F72BB">
      <w:pPr>
        <w:tabs>
          <w:tab w:val="left" w:pos="8931"/>
        </w:tabs>
        <w:spacing w:after="0" w:line="360" w:lineRule="auto"/>
        <w:contextualSpacing/>
        <w:rPr>
          <w:rFonts w:cs="Tahoma"/>
          <w:bCs/>
          <w:color w:val="FF0000"/>
        </w:rPr>
      </w:pPr>
    </w:p>
    <w:p w14:paraId="15E4A7DB" w14:textId="77777777" w:rsidR="009A627C" w:rsidRPr="00D34D61" w:rsidRDefault="009A627C" w:rsidP="008F72BB">
      <w:pPr>
        <w:tabs>
          <w:tab w:val="left" w:pos="8931"/>
        </w:tabs>
        <w:spacing w:after="0" w:line="360" w:lineRule="auto"/>
        <w:contextualSpacing/>
        <w:rPr>
          <w:rFonts w:cs="Tahoma"/>
          <w:bCs/>
          <w:color w:val="FF0000"/>
        </w:rPr>
      </w:pPr>
    </w:p>
    <w:p w14:paraId="2B180D5E" w14:textId="77777777" w:rsidR="00076681" w:rsidRPr="00D34D61" w:rsidRDefault="00076681" w:rsidP="008F72BB">
      <w:pPr>
        <w:tabs>
          <w:tab w:val="left" w:pos="8931"/>
        </w:tabs>
        <w:spacing w:after="0" w:line="360" w:lineRule="auto"/>
        <w:contextualSpacing/>
        <w:rPr>
          <w:rFonts w:cs="Tahoma"/>
          <w:bCs/>
          <w:color w:val="auto"/>
        </w:rPr>
      </w:pPr>
    </w:p>
    <w:p w14:paraId="443972CA" w14:textId="77777777" w:rsidR="0076543C" w:rsidRPr="00D34D61" w:rsidRDefault="0076543C" w:rsidP="008F72BB">
      <w:pPr>
        <w:tabs>
          <w:tab w:val="left" w:pos="8931"/>
        </w:tabs>
        <w:spacing w:after="0" w:line="360" w:lineRule="auto"/>
        <w:contextualSpacing/>
        <w:rPr>
          <w:rFonts w:cs="Tahoma"/>
          <w:bCs/>
          <w:color w:val="auto"/>
        </w:rPr>
      </w:pPr>
    </w:p>
    <w:p w14:paraId="3530C0FA" w14:textId="4BD44C32" w:rsidR="00DB3DC5" w:rsidRPr="00D34D61" w:rsidRDefault="00DB3DC5" w:rsidP="008F72BB">
      <w:pPr>
        <w:tabs>
          <w:tab w:val="left" w:pos="8931"/>
        </w:tabs>
        <w:spacing w:after="0" w:line="360" w:lineRule="auto"/>
        <w:contextualSpacing/>
        <w:rPr>
          <w:rFonts w:eastAsia="Calibri" w:cs="Tahoma"/>
          <w:color w:val="auto"/>
          <w:lang w:val="es-ES"/>
        </w:rPr>
      </w:pPr>
      <w:r w:rsidRPr="00D34D61">
        <w:rPr>
          <w:rFonts w:cs="Tahoma"/>
          <w:bCs/>
          <w:color w:val="auto"/>
        </w:rPr>
        <w:lastRenderedPageBreak/>
        <w:t xml:space="preserve">Resolución del Pleno del Instituto de Transparencia, Acceso a la Información Pública y Protección de Datos Personales del Estado de México y Municipios, con domicilio en Metepec, </w:t>
      </w:r>
      <w:r w:rsidRPr="00D34D61">
        <w:rPr>
          <w:rFonts w:eastAsia="Calibri" w:cs="Tahoma"/>
          <w:color w:val="auto"/>
          <w:lang w:val="es-ES"/>
        </w:rPr>
        <w:t xml:space="preserve">Estado de México, de fecha </w:t>
      </w:r>
      <w:r w:rsidR="002B51F2" w:rsidRPr="00D34D61">
        <w:rPr>
          <w:rFonts w:eastAsia="Calibri" w:cs="Tahoma"/>
          <w:color w:val="auto"/>
          <w:lang w:val="es-ES"/>
        </w:rPr>
        <w:t>veintitrés</w:t>
      </w:r>
      <w:r w:rsidR="004E0A7C" w:rsidRPr="00D34D61">
        <w:rPr>
          <w:rFonts w:eastAsia="Calibri" w:cs="Tahoma"/>
          <w:color w:val="auto"/>
          <w:lang w:val="es-ES"/>
        </w:rPr>
        <w:t xml:space="preserve"> de abril</w:t>
      </w:r>
      <w:r w:rsidR="008E279B" w:rsidRPr="00D34D61">
        <w:rPr>
          <w:rFonts w:eastAsia="Calibri" w:cs="Tahoma"/>
          <w:color w:val="auto"/>
          <w:lang w:val="es-ES"/>
        </w:rPr>
        <w:t xml:space="preserve"> de dos mil veinticinco.</w:t>
      </w:r>
      <w:r w:rsidRPr="00D34D61">
        <w:rPr>
          <w:rFonts w:eastAsia="Calibri" w:cs="Tahoma"/>
          <w:color w:val="auto"/>
          <w:lang w:val="es-ES"/>
        </w:rPr>
        <w:t xml:space="preserve"> </w:t>
      </w:r>
    </w:p>
    <w:p w14:paraId="2A681408" w14:textId="1CE12C44" w:rsidR="00DB3DC5" w:rsidRPr="00D34D61" w:rsidRDefault="00455DCB" w:rsidP="008F72BB">
      <w:pPr>
        <w:tabs>
          <w:tab w:val="left" w:pos="2340"/>
        </w:tabs>
        <w:spacing w:after="0" w:line="360" w:lineRule="auto"/>
        <w:contextualSpacing/>
        <w:rPr>
          <w:rFonts w:eastAsia="Calibri" w:cs="Tahoma"/>
          <w:b/>
          <w:bCs/>
          <w:color w:val="FF0000"/>
          <w:lang w:val="es-ES"/>
        </w:rPr>
      </w:pPr>
      <w:r w:rsidRPr="00D34D61">
        <w:rPr>
          <w:rFonts w:eastAsia="Calibri" w:cs="Tahoma"/>
          <w:b/>
          <w:bCs/>
          <w:color w:val="FF0000"/>
          <w:lang w:val="es-ES"/>
        </w:rPr>
        <w:tab/>
      </w:r>
    </w:p>
    <w:p w14:paraId="75D54F3E" w14:textId="730AFC90" w:rsidR="00DB3DC5" w:rsidRPr="00D34D61" w:rsidRDefault="00DB3DC5" w:rsidP="008F72BB">
      <w:pPr>
        <w:spacing w:after="0" w:line="360" w:lineRule="auto"/>
        <w:contextualSpacing/>
        <w:rPr>
          <w:rFonts w:cs="Tahoma"/>
          <w:color w:val="auto"/>
        </w:rPr>
      </w:pPr>
      <w:r w:rsidRPr="00D34D61">
        <w:rPr>
          <w:rFonts w:eastAsia="Calibri" w:cs="Tahoma"/>
          <w:b/>
          <w:bCs/>
          <w:color w:val="auto"/>
          <w:lang w:val="es-ES"/>
        </w:rPr>
        <w:t xml:space="preserve">VISTO </w:t>
      </w:r>
      <w:r w:rsidRPr="00D34D61">
        <w:rPr>
          <w:rFonts w:eastAsia="Calibri" w:cs="Tahoma"/>
          <w:color w:val="auto"/>
          <w:lang w:val="es-ES"/>
        </w:rPr>
        <w:t>el expediente electrónico conformado con motivo d</w:t>
      </w:r>
      <w:r w:rsidR="00087796" w:rsidRPr="00D34D61">
        <w:rPr>
          <w:rFonts w:eastAsia="Calibri" w:cs="Tahoma"/>
          <w:color w:val="auto"/>
          <w:lang w:val="es-ES"/>
        </w:rPr>
        <w:t>el</w:t>
      </w:r>
      <w:r w:rsidRPr="00D34D61">
        <w:rPr>
          <w:rFonts w:eastAsia="Calibri" w:cs="Tahoma"/>
          <w:color w:val="auto"/>
          <w:lang w:val="es-ES"/>
        </w:rPr>
        <w:t xml:space="preserve"> Recurso de Revisión </w:t>
      </w:r>
      <w:r w:rsidR="004E0A7C" w:rsidRPr="00BD7EC5">
        <w:rPr>
          <w:rFonts w:eastAsia="Calibri" w:cs="Tahoma"/>
          <w:b/>
          <w:color w:val="auto"/>
        </w:rPr>
        <w:t>02476</w:t>
      </w:r>
      <w:r w:rsidR="001E2583" w:rsidRPr="00BD7EC5">
        <w:rPr>
          <w:rFonts w:eastAsia="Calibri" w:cs="Tahoma"/>
          <w:b/>
          <w:color w:val="auto"/>
        </w:rPr>
        <w:t>/INFOEM/IP/RR/2025</w:t>
      </w:r>
      <w:r w:rsidRPr="00D34D61">
        <w:rPr>
          <w:rFonts w:eastAsia="Calibri" w:cs="Tahoma"/>
          <w:color w:val="auto"/>
        </w:rPr>
        <w:t>, interpuesto</w:t>
      </w:r>
      <w:r w:rsidR="00A63EA5" w:rsidRPr="00D34D61">
        <w:rPr>
          <w:rFonts w:eastAsia="Calibri" w:cs="Tahoma"/>
          <w:color w:val="auto"/>
        </w:rPr>
        <w:t xml:space="preserve"> por</w:t>
      </w:r>
      <w:r w:rsidR="001E2583" w:rsidRPr="00D34D61">
        <w:rPr>
          <w:rFonts w:eastAsia="Calibri" w:cs="Tahoma"/>
          <w:color w:val="auto"/>
        </w:rPr>
        <w:t xml:space="preserve"> </w:t>
      </w:r>
      <w:r w:rsidR="004E0A7C" w:rsidRPr="00D34D61">
        <w:rPr>
          <w:rFonts w:eastAsia="Calibri" w:cs="Tahoma"/>
          <w:color w:val="auto"/>
        </w:rPr>
        <w:t xml:space="preserve">la Persona Recurrente o Particular, </w:t>
      </w:r>
      <w:r w:rsidRPr="00D34D61">
        <w:rPr>
          <w:rFonts w:cs="Tahoma"/>
          <w:color w:val="auto"/>
        </w:rPr>
        <w:t xml:space="preserve">en contra de la respuesta del Sujeto Obligado, </w:t>
      </w:r>
      <w:bookmarkStart w:id="1" w:name="_GoBack"/>
      <w:r w:rsidR="004E0A7C" w:rsidRPr="00BD7EC5">
        <w:rPr>
          <w:rFonts w:eastAsia="Calibri" w:cs="Tahoma"/>
          <w:b/>
          <w:color w:val="auto"/>
        </w:rPr>
        <w:t>Universidad Autónoma del Estado de México</w:t>
      </w:r>
      <w:bookmarkEnd w:id="1"/>
      <w:r w:rsidRPr="00D34D61">
        <w:rPr>
          <w:rFonts w:cs="Tahoma"/>
          <w:color w:val="auto"/>
        </w:rPr>
        <w:t xml:space="preserve">, a la solicitud de acceso a la información </w:t>
      </w:r>
      <w:r w:rsidR="002C3558" w:rsidRPr="00D34D61">
        <w:rPr>
          <w:rFonts w:cs="Tahoma"/>
          <w:color w:val="auto"/>
        </w:rPr>
        <w:t xml:space="preserve">pública </w:t>
      </w:r>
      <w:r w:rsidR="004E0A7C" w:rsidRPr="00D34D61">
        <w:rPr>
          <w:rFonts w:eastAsia="Calibri" w:cs="Tahoma"/>
          <w:color w:val="auto"/>
        </w:rPr>
        <w:t>00038</w:t>
      </w:r>
      <w:r w:rsidR="001E2583" w:rsidRPr="00D34D61">
        <w:rPr>
          <w:rFonts w:eastAsia="Calibri" w:cs="Tahoma"/>
          <w:color w:val="auto"/>
        </w:rPr>
        <w:t>/</w:t>
      </w:r>
      <w:r w:rsidR="004E0A7C" w:rsidRPr="00D34D61">
        <w:rPr>
          <w:rFonts w:eastAsia="Calibri" w:cs="Tahoma"/>
          <w:color w:val="auto"/>
        </w:rPr>
        <w:t>UAEM</w:t>
      </w:r>
      <w:r w:rsidR="001E2583" w:rsidRPr="00D34D61">
        <w:rPr>
          <w:rFonts w:eastAsia="Calibri" w:cs="Tahoma"/>
          <w:color w:val="auto"/>
        </w:rPr>
        <w:t xml:space="preserve">/IP/2025 </w:t>
      </w:r>
      <w:r w:rsidRPr="00D34D61">
        <w:rPr>
          <w:rFonts w:cs="Tahoma"/>
          <w:color w:val="auto"/>
        </w:rPr>
        <w:t>se emite</w:t>
      </w:r>
      <w:r w:rsidRPr="00D34D61">
        <w:rPr>
          <w:rFonts w:cs="Tahoma"/>
          <w:bCs/>
          <w:color w:val="auto"/>
        </w:rPr>
        <w:t xml:space="preserve"> la presente Resolución, con base en los Antecedentes y Considerandos que se exponen a continuación:</w:t>
      </w:r>
    </w:p>
    <w:p w14:paraId="134E03A6" w14:textId="5F6E8CA4" w:rsidR="00DB3DC5" w:rsidRPr="00D34D61" w:rsidRDefault="00455DCB" w:rsidP="008F72BB">
      <w:pPr>
        <w:tabs>
          <w:tab w:val="left" w:pos="1965"/>
        </w:tabs>
        <w:spacing w:after="0" w:line="360" w:lineRule="auto"/>
        <w:contextualSpacing/>
        <w:rPr>
          <w:rFonts w:eastAsia="Calibri" w:cs="Tahoma"/>
          <w:b/>
          <w:bCs/>
          <w:color w:val="FF0000"/>
          <w:lang w:val="es-ES"/>
        </w:rPr>
      </w:pPr>
      <w:r w:rsidRPr="00D34D61">
        <w:rPr>
          <w:rFonts w:eastAsia="Calibri" w:cs="Tahoma"/>
          <w:b/>
          <w:bCs/>
          <w:color w:val="FF0000"/>
          <w:lang w:val="es-ES"/>
        </w:rPr>
        <w:tab/>
      </w:r>
    </w:p>
    <w:p w14:paraId="32EEB02D" w14:textId="734C012B" w:rsidR="00DB3DC5" w:rsidRPr="00D34D61" w:rsidRDefault="00737CF6" w:rsidP="008F72BB">
      <w:pPr>
        <w:pStyle w:val="Ttulo1"/>
        <w:spacing w:before="0" w:line="360" w:lineRule="auto"/>
        <w:jc w:val="center"/>
        <w:rPr>
          <w:rFonts w:ascii="Palatino Linotype" w:hAnsi="Palatino Linotype"/>
          <w:b/>
          <w:color w:val="000000" w:themeColor="text1"/>
          <w:sz w:val="22"/>
          <w:szCs w:val="22"/>
        </w:rPr>
      </w:pPr>
      <w:bookmarkStart w:id="2" w:name="_Toc189676766"/>
      <w:r w:rsidRPr="00D34D61">
        <w:rPr>
          <w:rFonts w:ascii="Palatino Linotype" w:hAnsi="Palatino Linotype"/>
          <w:b/>
          <w:color w:val="000000" w:themeColor="text1"/>
          <w:sz w:val="22"/>
          <w:szCs w:val="22"/>
        </w:rPr>
        <w:t>A N T E C E D E N T E S</w:t>
      </w:r>
      <w:bookmarkEnd w:id="2"/>
    </w:p>
    <w:p w14:paraId="09E98305" w14:textId="77777777" w:rsidR="00DB3DC5" w:rsidRPr="00D34D61" w:rsidRDefault="00DB3DC5" w:rsidP="008F72BB">
      <w:pPr>
        <w:spacing w:after="0" w:line="360" w:lineRule="auto"/>
        <w:contextualSpacing/>
        <w:jc w:val="center"/>
        <w:rPr>
          <w:rFonts w:eastAsia="Calibri" w:cs="Tahoma"/>
          <w:b/>
          <w:bCs/>
          <w:color w:val="auto"/>
          <w:lang w:val="es-ES"/>
        </w:rPr>
      </w:pPr>
    </w:p>
    <w:p w14:paraId="5E541408" w14:textId="7E0BBF99" w:rsidR="00DB3DC5" w:rsidRPr="00D34D61" w:rsidRDefault="00DB3DC5" w:rsidP="008F72BB">
      <w:pPr>
        <w:pStyle w:val="Ttulo2"/>
        <w:spacing w:before="0" w:line="360" w:lineRule="auto"/>
        <w:rPr>
          <w:rFonts w:ascii="Palatino Linotype" w:eastAsia="Calibri" w:hAnsi="Palatino Linotype"/>
          <w:b/>
          <w:color w:val="000000" w:themeColor="text1"/>
          <w:sz w:val="22"/>
          <w:szCs w:val="22"/>
          <w:lang w:val="es-ES"/>
        </w:rPr>
      </w:pPr>
      <w:bookmarkStart w:id="3" w:name="_Toc189676767"/>
      <w:r w:rsidRPr="00D34D61">
        <w:rPr>
          <w:rFonts w:ascii="Palatino Linotype" w:eastAsia="Calibri" w:hAnsi="Palatino Linotype"/>
          <w:b/>
          <w:color w:val="000000" w:themeColor="text1"/>
          <w:sz w:val="22"/>
          <w:szCs w:val="22"/>
          <w:lang w:val="es-ES"/>
        </w:rPr>
        <w:t>I. Presentación</w:t>
      </w:r>
      <w:r w:rsidR="00737CF6" w:rsidRPr="00D34D61">
        <w:rPr>
          <w:rFonts w:ascii="Palatino Linotype" w:eastAsia="Calibri" w:hAnsi="Palatino Linotype"/>
          <w:b/>
          <w:color w:val="000000" w:themeColor="text1"/>
          <w:sz w:val="22"/>
          <w:szCs w:val="22"/>
          <w:lang w:val="es-ES"/>
        </w:rPr>
        <w:t xml:space="preserve"> de la solicitud de información</w:t>
      </w:r>
      <w:bookmarkEnd w:id="3"/>
    </w:p>
    <w:p w14:paraId="5A91601B" w14:textId="77777777" w:rsidR="00DB3DC5" w:rsidRPr="00D34D61" w:rsidRDefault="00DB3DC5" w:rsidP="008F72BB">
      <w:pPr>
        <w:spacing w:after="0" w:line="360" w:lineRule="auto"/>
        <w:contextualSpacing/>
        <w:rPr>
          <w:rFonts w:eastAsia="Calibri" w:cs="Tahoma"/>
          <w:b/>
          <w:bCs/>
          <w:color w:val="auto"/>
          <w:lang w:val="es-ES"/>
        </w:rPr>
      </w:pPr>
    </w:p>
    <w:p w14:paraId="1620C68D" w14:textId="5AA41E03" w:rsidR="00DB3DC5" w:rsidRPr="00D34D61" w:rsidRDefault="00DB3DC5" w:rsidP="008F72BB">
      <w:pPr>
        <w:spacing w:after="0" w:line="360" w:lineRule="auto"/>
        <w:contextualSpacing/>
        <w:rPr>
          <w:rFonts w:cs="Tahoma"/>
          <w:color w:val="auto"/>
        </w:rPr>
      </w:pPr>
      <w:r w:rsidRPr="00D34D61">
        <w:rPr>
          <w:rFonts w:eastAsia="Calibri" w:cs="Tahoma"/>
          <w:color w:val="auto"/>
          <w:lang w:val="es-ES"/>
        </w:rPr>
        <w:t xml:space="preserve">Con fecha </w:t>
      </w:r>
      <w:r w:rsidR="004E0A7C" w:rsidRPr="00D34D61">
        <w:rPr>
          <w:rFonts w:eastAsia="Calibri" w:cs="Tahoma"/>
          <w:color w:val="auto"/>
          <w:lang w:val="es-ES"/>
        </w:rPr>
        <w:t>veintidós</w:t>
      </w:r>
      <w:r w:rsidR="007F316D" w:rsidRPr="00D34D61">
        <w:rPr>
          <w:rFonts w:eastAsia="Calibri" w:cs="Tahoma"/>
          <w:color w:val="auto"/>
          <w:lang w:val="es-ES"/>
        </w:rPr>
        <w:t xml:space="preserve"> de </w:t>
      </w:r>
      <w:r w:rsidR="001E2583" w:rsidRPr="00D34D61">
        <w:rPr>
          <w:rFonts w:eastAsia="Calibri" w:cs="Tahoma"/>
          <w:color w:val="auto"/>
          <w:lang w:val="es-ES"/>
        </w:rPr>
        <w:t>enero</w:t>
      </w:r>
      <w:r w:rsidR="007F316D" w:rsidRPr="00D34D61">
        <w:rPr>
          <w:rFonts w:eastAsia="Calibri" w:cs="Tahoma"/>
          <w:color w:val="auto"/>
          <w:lang w:val="es-ES"/>
        </w:rPr>
        <w:t xml:space="preserve"> </w:t>
      </w:r>
      <w:r w:rsidR="002B51F2" w:rsidRPr="00D34D61">
        <w:rPr>
          <w:rFonts w:eastAsia="Calibri" w:cs="Tahoma"/>
          <w:color w:val="auto"/>
          <w:lang w:val="es-ES"/>
        </w:rPr>
        <w:t>de dos mil veinticinco</w:t>
      </w:r>
      <w:r w:rsidRPr="00D34D61">
        <w:rPr>
          <w:rFonts w:eastAsia="Calibri" w:cs="Tahoma"/>
          <w:color w:val="auto"/>
          <w:lang w:val="es-ES"/>
        </w:rPr>
        <w:t xml:space="preserve">, </w:t>
      </w:r>
      <w:r w:rsidR="0046538F" w:rsidRPr="00D34D61">
        <w:rPr>
          <w:rFonts w:eastAsia="Calibri" w:cs="Tahoma"/>
          <w:color w:val="auto"/>
          <w:lang w:val="es-ES"/>
        </w:rPr>
        <w:t>la persona Solicitante</w:t>
      </w:r>
      <w:r w:rsidRPr="00D34D61">
        <w:rPr>
          <w:rFonts w:eastAsia="Calibri" w:cs="Tahoma"/>
          <w:color w:val="auto"/>
          <w:lang w:val="es-ES"/>
        </w:rPr>
        <w:t xml:space="preserve"> presentó </w:t>
      </w:r>
      <w:r w:rsidR="0046538F" w:rsidRPr="00D34D61">
        <w:rPr>
          <w:rFonts w:eastAsia="Calibri" w:cs="Tahoma"/>
          <w:color w:val="auto"/>
          <w:lang w:val="es-ES"/>
        </w:rPr>
        <w:t>un requerimiento</w:t>
      </w:r>
      <w:r w:rsidR="00087796" w:rsidRPr="00D34D61">
        <w:rPr>
          <w:rFonts w:eastAsia="Calibri" w:cs="Tahoma"/>
          <w:color w:val="auto"/>
          <w:lang w:val="es-ES"/>
        </w:rPr>
        <w:t xml:space="preserve"> </w:t>
      </w:r>
      <w:r w:rsidRPr="00D34D61">
        <w:rPr>
          <w:rFonts w:eastAsia="Calibri" w:cs="Tahoma"/>
          <w:color w:val="auto"/>
          <w:lang w:val="es-ES"/>
        </w:rPr>
        <w:t xml:space="preserve">de acceso a la información, a través del Sistema de Acceso a la Información Mexiquense (SAIMEX), ante </w:t>
      </w:r>
      <w:r w:rsidR="004E0A7C" w:rsidRPr="00D34D61">
        <w:rPr>
          <w:rFonts w:eastAsia="Calibri" w:cs="Tahoma"/>
          <w:color w:val="auto"/>
          <w:lang w:val="es-ES"/>
        </w:rPr>
        <w:t>la Universidad Autónoma del Estado de México</w:t>
      </w:r>
      <w:r w:rsidRPr="00D34D61">
        <w:rPr>
          <w:rFonts w:eastAsia="Calibri" w:cs="Times New Roman"/>
          <w:color w:val="auto"/>
        </w:rPr>
        <w:t>,</w:t>
      </w:r>
      <w:r w:rsidRPr="00D34D61">
        <w:rPr>
          <w:rFonts w:eastAsia="Calibri" w:cs="Times New Roman"/>
          <w:b/>
          <w:color w:val="auto"/>
        </w:rPr>
        <w:t xml:space="preserve"> </w:t>
      </w:r>
      <w:r w:rsidRPr="00D34D61">
        <w:rPr>
          <w:rFonts w:cs="Tahoma"/>
          <w:color w:val="auto"/>
        </w:rPr>
        <w:t>en los siguientes términos:</w:t>
      </w:r>
    </w:p>
    <w:p w14:paraId="143ECF6C" w14:textId="0F6230CE" w:rsidR="00345BB5" w:rsidRPr="00D34D61" w:rsidRDefault="00345BB5" w:rsidP="008F72BB">
      <w:pPr>
        <w:tabs>
          <w:tab w:val="left" w:pos="4667"/>
        </w:tabs>
        <w:spacing w:after="0" w:line="360" w:lineRule="auto"/>
        <w:ind w:right="567"/>
        <w:contextualSpacing/>
        <w:rPr>
          <w:rFonts w:cs="Tahoma"/>
          <w:b/>
          <w:bCs/>
          <w:i/>
          <w:color w:val="FF0000"/>
        </w:rPr>
      </w:pPr>
    </w:p>
    <w:p w14:paraId="247E106E" w14:textId="7647D1A5" w:rsidR="001E2583" w:rsidRPr="00D34D61" w:rsidRDefault="00087796" w:rsidP="008F72BB">
      <w:pPr>
        <w:spacing w:after="0" w:line="360" w:lineRule="auto"/>
        <w:ind w:left="567" w:right="567"/>
        <w:contextualSpacing/>
        <w:rPr>
          <w:rFonts w:eastAsia="Times New Roman" w:cs="Arial"/>
          <w:b/>
          <w:bCs/>
          <w:i/>
          <w:iCs/>
          <w:color w:val="auto"/>
          <w:sz w:val="20"/>
          <w:lang w:eastAsia="es-ES"/>
        </w:rPr>
      </w:pPr>
      <w:r w:rsidRPr="00D34D61">
        <w:rPr>
          <w:rFonts w:eastAsia="Times New Roman" w:cs="Arial"/>
          <w:b/>
          <w:bCs/>
          <w:i/>
          <w:iCs/>
          <w:color w:val="auto"/>
          <w:sz w:val="20"/>
          <w:lang w:eastAsia="es-ES"/>
        </w:rPr>
        <w:t>“DESCRIPCIÓN CLARA Y PRECISA DE LA INFORMACIÓN SOLICITADA.</w:t>
      </w:r>
    </w:p>
    <w:p w14:paraId="5D13BEEC" w14:textId="62911429" w:rsidR="00087796" w:rsidRPr="00D34D61" w:rsidRDefault="002B51F2" w:rsidP="008F72BB">
      <w:pPr>
        <w:spacing w:after="0" w:line="360" w:lineRule="auto"/>
        <w:ind w:left="567" w:right="567"/>
        <w:contextualSpacing/>
        <w:rPr>
          <w:rFonts w:eastAsia="Times New Roman" w:cs="Arial"/>
          <w:bCs/>
          <w:i/>
          <w:iCs/>
          <w:color w:val="auto"/>
          <w:sz w:val="20"/>
          <w:lang w:eastAsia="es-ES"/>
        </w:rPr>
      </w:pPr>
      <w:r w:rsidRPr="00D34D61">
        <w:rPr>
          <w:rFonts w:eastAsia="Times New Roman" w:cs="Arial"/>
          <w:bCs/>
          <w:i/>
          <w:iCs/>
          <w:color w:val="auto"/>
          <w:sz w:val="20"/>
          <w:lang w:eastAsia="es-ES"/>
        </w:rPr>
        <w:t xml:space="preserve">solicito el </w:t>
      </w:r>
      <w:proofErr w:type="spellStart"/>
      <w:r w:rsidRPr="00D34D61">
        <w:rPr>
          <w:rFonts w:eastAsia="Times New Roman" w:cs="Arial"/>
          <w:bCs/>
          <w:i/>
          <w:iCs/>
          <w:color w:val="auto"/>
          <w:sz w:val="20"/>
          <w:lang w:eastAsia="es-ES"/>
        </w:rPr>
        <w:t>cfdi</w:t>
      </w:r>
      <w:proofErr w:type="spellEnd"/>
      <w:r w:rsidRPr="00D34D61">
        <w:rPr>
          <w:rFonts w:eastAsia="Times New Roman" w:cs="Arial"/>
          <w:bCs/>
          <w:i/>
          <w:iCs/>
          <w:color w:val="auto"/>
          <w:sz w:val="20"/>
          <w:lang w:eastAsia="es-ES"/>
        </w:rPr>
        <w:t xml:space="preserve"> de </w:t>
      </w:r>
      <w:proofErr w:type="spellStart"/>
      <w:r w:rsidRPr="00D34D61">
        <w:rPr>
          <w:rFonts w:eastAsia="Times New Roman" w:cs="Arial"/>
          <w:bCs/>
          <w:i/>
          <w:iCs/>
          <w:color w:val="auto"/>
          <w:sz w:val="20"/>
          <w:lang w:eastAsia="es-ES"/>
        </w:rPr>
        <w:t>nomina</w:t>
      </w:r>
      <w:proofErr w:type="spellEnd"/>
      <w:r w:rsidRPr="00D34D61">
        <w:rPr>
          <w:rFonts w:eastAsia="Times New Roman" w:cs="Arial"/>
          <w:bCs/>
          <w:i/>
          <w:iCs/>
          <w:color w:val="auto"/>
          <w:sz w:val="20"/>
          <w:lang w:eastAsia="es-ES"/>
        </w:rPr>
        <w:t xml:space="preserve"> de todos los servidores públicos de la </w:t>
      </w:r>
      <w:proofErr w:type="spellStart"/>
      <w:r w:rsidRPr="00D34D61">
        <w:rPr>
          <w:rFonts w:eastAsia="Times New Roman" w:cs="Arial"/>
          <w:bCs/>
          <w:i/>
          <w:iCs/>
          <w:color w:val="auto"/>
          <w:sz w:val="20"/>
          <w:lang w:eastAsia="es-ES"/>
        </w:rPr>
        <w:t>uaemex</w:t>
      </w:r>
      <w:proofErr w:type="spellEnd"/>
      <w:r w:rsidRPr="00D34D61">
        <w:rPr>
          <w:rFonts w:eastAsia="Times New Roman" w:cs="Arial"/>
          <w:bCs/>
          <w:i/>
          <w:iCs/>
          <w:color w:val="auto"/>
          <w:sz w:val="20"/>
          <w:lang w:eastAsia="es-ES"/>
        </w:rPr>
        <w:t xml:space="preserve"> de la última quincena del año 2024, cito como antecedente la resolución segunda del recurso de revisión 00114/INFOEM/IP/RR/2023 que ordena al sujeto obligado la entrega de la información con motivo de la solicitud 00806/UAEM/IP/2022.</w:t>
      </w:r>
      <w:r w:rsidR="00087796" w:rsidRPr="00D34D61">
        <w:rPr>
          <w:rFonts w:eastAsia="Times New Roman" w:cs="Arial"/>
          <w:bCs/>
          <w:i/>
          <w:iCs/>
          <w:color w:val="auto"/>
          <w:sz w:val="20"/>
          <w:lang w:eastAsia="es-ES"/>
        </w:rPr>
        <w:t xml:space="preserve">” (Sic) </w:t>
      </w:r>
    </w:p>
    <w:p w14:paraId="03420A6D" w14:textId="77777777" w:rsidR="0046538F" w:rsidRPr="00D34D61" w:rsidRDefault="0046538F" w:rsidP="008F72BB">
      <w:pPr>
        <w:spacing w:after="0" w:line="360" w:lineRule="auto"/>
        <w:ind w:right="567"/>
        <w:contextualSpacing/>
        <w:rPr>
          <w:rFonts w:eastAsia="Times New Roman" w:cs="Arial"/>
          <w:bCs/>
          <w:i/>
          <w:iCs/>
          <w:color w:val="auto"/>
          <w:sz w:val="20"/>
          <w:lang w:eastAsia="es-ES"/>
        </w:rPr>
      </w:pPr>
    </w:p>
    <w:p w14:paraId="115716E2" w14:textId="77777777" w:rsidR="00087796" w:rsidRPr="00D34D61" w:rsidRDefault="00087796" w:rsidP="008F72BB">
      <w:pPr>
        <w:spacing w:after="0" w:line="360" w:lineRule="auto"/>
        <w:ind w:left="567" w:right="567"/>
        <w:contextualSpacing/>
        <w:rPr>
          <w:rFonts w:eastAsia="Times New Roman" w:cs="Arial"/>
          <w:b/>
          <w:bCs/>
          <w:i/>
          <w:iCs/>
          <w:color w:val="auto"/>
          <w:sz w:val="20"/>
          <w:lang w:eastAsia="es-ES"/>
        </w:rPr>
      </w:pPr>
      <w:r w:rsidRPr="00D34D61">
        <w:rPr>
          <w:rFonts w:eastAsia="Times New Roman" w:cs="Arial"/>
          <w:b/>
          <w:bCs/>
          <w:i/>
          <w:iCs/>
          <w:color w:val="auto"/>
          <w:sz w:val="20"/>
          <w:lang w:eastAsia="es-ES"/>
        </w:rPr>
        <w:t>“MODALIDAD DE ENTREGA</w:t>
      </w:r>
    </w:p>
    <w:p w14:paraId="05C0E60D" w14:textId="5AA43E7D" w:rsidR="00345BB5" w:rsidRPr="00D34D61" w:rsidRDefault="00087796" w:rsidP="008F72BB">
      <w:pPr>
        <w:spacing w:after="0" w:line="360" w:lineRule="auto"/>
        <w:ind w:left="567" w:right="567"/>
        <w:contextualSpacing/>
        <w:rPr>
          <w:rFonts w:eastAsia="Times New Roman" w:cs="Arial"/>
          <w:bCs/>
          <w:i/>
          <w:iCs/>
          <w:color w:val="auto"/>
          <w:sz w:val="20"/>
          <w:lang w:eastAsia="es-ES"/>
        </w:rPr>
      </w:pPr>
      <w:r w:rsidRPr="00D34D61">
        <w:rPr>
          <w:rFonts w:eastAsia="Times New Roman" w:cs="Arial"/>
          <w:bCs/>
          <w:i/>
          <w:iCs/>
          <w:color w:val="auto"/>
          <w:sz w:val="20"/>
          <w:lang w:eastAsia="es-ES"/>
        </w:rPr>
        <w:t>A través del SAIMEX”</w:t>
      </w:r>
    </w:p>
    <w:p w14:paraId="4387F950" w14:textId="77777777" w:rsidR="001A0F43" w:rsidRPr="00D34D61" w:rsidRDefault="001A0F43" w:rsidP="008F72BB">
      <w:pPr>
        <w:spacing w:after="0" w:line="360" w:lineRule="auto"/>
        <w:contextualSpacing/>
        <w:rPr>
          <w:rFonts w:eastAsia="Calibri" w:cs="Tahoma"/>
          <w:b/>
          <w:bCs/>
          <w:color w:val="auto"/>
        </w:rPr>
      </w:pPr>
    </w:p>
    <w:p w14:paraId="72C7B216" w14:textId="6B39690F" w:rsidR="004E0A7C" w:rsidRPr="00D34D61" w:rsidRDefault="004E0A7C" w:rsidP="008F72BB">
      <w:pPr>
        <w:pStyle w:val="Ttulo2"/>
        <w:spacing w:before="0" w:line="360" w:lineRule="auto"/>
        <w:rPr>
          <w:rFonts w:ascii="Palatino Linotype" w:eastAsia="Palatino Linotype" w:hAnsi="Palatino Linotype" w:cs="Palatino Linotype"/>
          <w:b/>
          <w:color w:val="000000"/>
          <w:sz w:val="22"/>
          <w:szCs w:val="22"/>
        </w:rPr>
      </w:pPr>
      <w:bookmarkStart w:id="4" w:name="_Toc189676768"/>
      <w:r w:rsidRPr="00D34D61">
        <w:rPr>
          <w:rFonts w:ascii="Palatino Linotype" w:eastAsia="Palatino Linotype" w:hAnsi="Palatino Linotype" w:cs="Palatino Linotype"/>
          <w:b/>
          <w:color w:val="000000"/>
          <w:sz w:val="22"/>
          <w:szCs w:val="22"/>
        </w:rPr>
        <w:t xml:space="preserve">II. </w:t>
      </w:r>
      <w:r w:rsidR="002B51F2" w:rsidRPr="00D34D61">
        <w:rPr>
          <w:rFonts w:ascii="Palatino Linotype" w:eastAsia="Palatino Linotype" w:hAnsi="Palatino Linotype" w:cs="Palatino Linotype"/>
          <w:b/>
          <w:color w:val="000000"/>
          <w:sz w:val="22"/>
          <w:szCs w:val="22"/>
        </w:rPr>
        <w:t xml:space="preserve">Prórroga para atender la solicitud de información </w:t>
      </w:r>
    </w:p>
    <w:p w14:paraId="7207F657" w14:textId="77777777" w:rsidR="004E0A7C" w:rsidRPr="00D34D61" w:rsidRDefault="004E0A7C" w:rsidP="008F72BB">
      <w:pPr>
        <w:spacing w:after="0" w:line="360" w:lineRule="auto"/>
      </w:pPr>
    </w:p>
    <w:p w14:paraId="36826DA7" w14:textId="58921A20" w:rsidR="004E0A7C" w:rsidRPr="00D34D61" w:rsidRDefault="004E0A7C" w:rsidP="008F72BB">
      <w:pPr>
        <w:spacing w:after="0" w:line="360" w:lineRule="auto"/>
      </w:pPr>
      <w:r w:rsidRPr="00D34D61">
        <w:t>Con fecha del trece de febrero de dos mil veinticinco, el Sujeto Obligado, a través del Sistema de Acceso a la Información Mexiquense (SAIMEX) y mediante el Responsable de la Unidad de Transparencia del Sujeto Obligado, informó que se aprobó la ampliación de plazo por el Comité de Transparencia de</w:t>
      </w:r>
      <w:r w:rsidR="00CF4407" w:rsidRPr="00D34D61">
        <w:t>l Sujeto Obligado m</w:t>
      </w:r>
      <w:r w:rsidR="002B51F2" w:rsidRPr="00D34D61">
        <w:t xml:space="preserve">ediante el Acuerdo de Prórroga </w:t>
      </w:r>
      <w:r w:rsidR="00CF4407" w:rsidRPr="00D34D61">
        <w:t>UAEM/AP/04/2025.</w:t>
      </w:r>
    </w:p>
    <w:p w14:paraId="51EFACDE" w14:textId="77777777" w:rsidR="004E0A7C" w:rsidRPr="00D34D61" w:rsidRDefault="004E0A7C" w:rsidP="008F72BB">
      <w:pPr>
        <w:pStyle w:val="Ttulo2"/>
        <w:spacing w:before="0" w:line="360" w:lineRule="auto"/>
        <w:rPr>
          <w:rFonts w:ascii="Palatino Linotype" w:eastAsia="Calibri" w:hAnsi="Palatino Linotype"/>
          <w:b/>
          <w:color w:val="000000" w:themeColor="text1"/>
          <w:sz w:val="22"/>
          <w:szCs w:val="22"/>
        </w:rPr>
      </w:pPr>
    </w:p>
    <w:p w14:paraId="675E2DC0" w14:textId="75639D5F" w:rsidR="00DB3DC5" w:rsidRPr="00D34D61" w:rsidRDefault="00DB3DC5" w:rsidP="008F72BB">
      <w:pPr>
        <w:pStyle w:val="Ttulo2"/>
        <w:spacing w:before="0" w:line="360" w:lineRule="auto"/>
        <w:rPr>
          <w:rFonts w:ascii="Palatino Linotype" w:eastAsia="Calibri" w:hAnsi="Palatino Linotype"/>
          <w:b/>
          <w:color w:val="000000" w:themeColor="text1"/>
          <w:sz w:val="22"/>
          <w:szCs w:val="22"/>
        </w:rPr>
      </w:pPr>
      <w:r w:rsidRPr="00D34D61">
        <w:rPr>
          <w:rFonts w:ascii="Palatino Linotype" w:eastAsia="Calibri" w:hAnsi="Palatino Linotype"/>
          <w:b/>
          <w:color w:val="000000" w:themeColor="text1"/>
          <w:sz w:val="22"/>
          <w:szCs w:val="22"/>
        </w:rPr>
        <w:t>II. Respuesta</w:t>
      </w:r>
      <w:r w:rsidR="00076681" w:rsidRPr="00D34D61">
        <w:rPr>
          <w:rFonts w:ascii="Palatino Linotype" w:eastAsia="Calibri" w:hAnsi="Palatino Linotype"/>
          <w:b/>
          <w:color w:val="000000" w:themeColor="text1"/>
          <w:sz w:val="22"/>
          <w:szCs w:val="22"/>
        </w:rPr>
        <w:t xml:space="preserve"> del Sujeto Obligado</w:t>
      </w:r>
      <w:bookmarkEnd w:id="4"/>
    </w:p>
    <w:p w14:paraId="6BDD54F7" w14:textId="77777777" w:rsidR="00345BB5" w:rsidRPr="00D34D61" w:rsidRDefault="00345BB5" w:rsidP="008F72BB">
      <w:pPr>
        <w:spacing w:after="0" w:line="360" w:lineRule="auto"/>
        <w:contextualSpacing/>
        <w:rPr>
          <w:rFonts w:eastAsia="Calibri" w:cs="Tahoma"/>
          <w:b/>
          <w:bCs/>
          <w:color w:val="FF0000"/>
        </w:rPr>
      </w:pPr>
    </w:p>
    <w:p w14:paraId="033E686F" w14:textId="3509ECB5" w:rsidR="00CF4407" w:rsidRPr="00D34D61" w:rsidRDefault="00345BB5" w:rsidP="008F72BB">
      <w:pPr>
        <w:autoSpaceDE w:val="0"/>
        <w:autoSpaceDN w:val="0"/>
        <w:adjustRightInd w:val="0"/>
        <w:spacing w:after="0" w:line="360" w:lineRule="auto"/>
        <w:rPr>
          <w:rFonts w:cs="Tahoma"/>
          <w:bCs/>
          <w:color w:val="auto"/>
          <w:lang w:val="es-ES_tradnl"/>
        </w:rPr>
      </w:pPr>
      <w:r w:rsidRPr="00D34D61">
        <w:rPr>
          <w:rFonts w:cs="Tahoma"/>
          <w:bCs/>
          <w:color w:val="auto"/>
          <w:lang w:val="es-ES_tradnl"/>
        </w:rPr>
        <w:t xml:space="preserve">Con fecha </w:t>
      </w:r>
      <w:r w:rsidR="00CF4407" w:rsidRPr="00D34D61">
        <w:rPr>
          <w:rFonts w:cs="Tahoma"/>
          <w:bCs/>
          <w:color w:val="auto"/>
          <w:lang w:val="es-ES_tradnl"/>
        </w:rPr>
        <w:t>veinticuatro</w:t>
      </w:r>
      <w:r w:rsidR="00AA08E2" w:rsidRPr="00D34D61">
        <w:rPr>
          <w:rFonts w:cs="Tahoma"/>
          <w:bCs/>
          <w:color w:val="auto"/>
          <w:lang w:val="es-ES_tradnl"/>
        </w:rPr>
        <w:t xml:space="preserve"> de </w:t>
      </w:r>
      <w:r w:rsidR="00661EFD" w:rsidRPr="00D34D61">
        <w:rPr>
          <w:rFonts w:cs="Tahoma"/>
          <w:bCs/>
          <w:color w:val="auto"/>
          <w:lang w:val="es-ES_tradnl"/>
        </w:rPr>
        <w:t>febrero</w:t>
      </w:r>
      <w:r w:rsidR="00EA276A" w:rsidRPr="00D34D61">
        <w:rPr>
          <w:rFonts w:cs="Tahoma"/>
          <w:bCs/>
          <w:color w:val="auto"/>
          <w:lang w:val="es-ES_tradnl"/>
        </w:rPr>
        <w:t xml:space="preserve"> de dos mil</w:t>
      </w:r>
      <w:r w:rsidR="00CA0F13" w:rsidRPr="00D34D61">
        <w:rPr>
          <w:rFonts w:cs="Tahoma"/>
          <w:bCs/>
          <w:color w:val="auto"/>
          <w:lang w:val="es-ES_tradnl"/>
        </w:rPr>
        <w:t xml:space="preserve"> veinticinco</w:t>
      </w:r>
      <w:r w:rsidRPr="00D34D61">
        <w:rPr>
          <w:rFonts w:cs="Tahoma"/>
          <w:bCs/>
          <w:color w:val="auto"/>
          <w:lang w:val="es-ES_tradnl"/>
        </w:rPr>
        <w:t xml:space="preserve">, </w:t>
      </w:r>
      <w:r w:rsidR="00CF4407" w:rsidRPr="00D34D61">
        <w:rPr>
          <w:rFonts w:cs="Tahoma"/>
          <w:bCs/>
          <w:color w:val="auto"/>
          <w:lang w:val="es-ES_tradnl"/>
        </w:rPr>
        <w:t>la Universidad Autónoma del Estado de México</w:t>
      </w:r>
      <w:r w:rsidRPr="00D34D61">
        <w:rPr>
          <w:rFonts w:cs="Tahoma"/>
          <w:bCs/>
          <w:color w:val="auto"/>
          <w:lang w:val="es-ES_tradnl"/>
        </w:rPr>
        <w:t xml:space="preserve">, notificó la respuesta a la solicitud, a través del Sistema de Acceso a la Información Mexiquense (SAIMEX), </w:t>
      </w:r>
      <w:bookmarkStart w:id="5" w:name="_Hlk101903429"/>
      <w:r w:rsidR="00CF4407" w:rsidRPr="00D34D61">
        <w:rPr>
          <w:rFonts w:cs="Tahoma"/>
          <w:bCs/>
          <w:color w:val="auto"/>
          <w:lang w:val="es-ES_tradnl"/>
        </w:rPr>
        <w:t>mediante el cual informo lo siguiente:</w:t>
      </w:r>
    </w:p>
    <w:p w14:paraId="78012BB1" w14:textId="77777777" w:rsidR="002B51F2" w:rsidRPr="00D34D61" w:rsidRDefault="002B51F2" w:rsidP="008F72BB">
      <w:pPr>
        <w:autoSpaceDE w:val="0"/>
        <w:autoSpaceDN w:val="0"/>
        <w:adjustRightInd w:val="0"/>
        <w:spacing w:after="0" w:line="360" w:lineRule="auto"/>
        <w:rPr>
          <w:rFonts w:cs="Tahoma"/>
          <w:bCs/>
          <w:color w:val="auto"/>
          <w:lang w:val="es-ES_tradnl"/>
        </w:rPr>
      </w:pPr>
    </w:p>
    <w:p w14:paraId="5E52D2A0" w14:textId="61BC38F7" w:rsidR="007911D8" w:rsidRPr="00D34D61" w:rsidRDefault="00CF4407" w:rsidP="008F72BB">
      <w:pPr>
        <w:autoSpaceDE w:val="0"/>
        <w:autoSpaceDN w:val="0"/>
        <w:adjustRightInd w:val="0"/>
        <w:spacing w:after="0" w:line="360" w:lineRule="auto"/>
        <w:ind w:left="567" w:right="567"/>
        <w:rPr>
          <w:rFonts w:cs="Tahoma"/>
          <w:bCs/>
          <w:color w:val="auto"/>
          <w:sz w:val="20"/>
          <w:szCs w:val="20"/>
          <w:lang w:val="es-ES_tradnl"/>
        </w:rPr>
      </w:pPr>
      <w:r w:rsidRPr="00D34D61">
        <w:rPr>
          <w:rFonts w:cs="Tahoma"/>
          <w:bCs/>
          <w:color w:val="auto"/>
          <w:sz w:val="20"/>
          <w:szCs w:val="20"/>
          <w:lang w:val="es-ES_tradnl"/>
        </w:rPr>
        <w:t>“…</w:t>
      </w:r>
      <w:r w:rsidR="003514D6" w:rsidRPr="00D34D61">
        <w:rPr>
          <w:rFonts w:cs="Tahoma"/>
          <w:bCs/>
          <w:color w:val="auto"/>
          <w:sz w:val="20"/>
          <w:szCs w:val="20"/>
          <w:lang w:val="es-ES_tradnl"/>
        </w:rPr>
        <w:t>h</w:t>
      </w:r>
      <w:r w:rsidR="003514D6" w:rsidRPr="00D34D61">
        <w:rPr>
          <w:rFonts w:cs="Tahoma"/>
          <w:bCs/>
          <w:i/>
          <w:color w:val="auto"/>
          <w:sz w:val="20"/>
          <w:szCs w:val="20"/>
          <w:lang w:val="es-ES_tradnl"/>
        </w:rPr>
        <w:t xml:space="preserve">acemos </w:t>
      </w:r>
      <w:r w:rsidR="002B51F2" w:rsidRPr="00D34D61">
        <w:rPr>
          <w:rFonts w:cs="Tahoma"/>
          <w:bCs/>
          <w:i/>
          <w:color w:val="auto"/>
          <w:sz w:val="20"/>
          <w:szCs w:val="20"/>
          <w:lang w:val="es-ES_tradnl"/>
        </w:rPr>
        <w:t xml:space="preserve">de su conocimiento con base en la información proporcionada por la </w:t>
      </w:r>
      <w:r w:rsidR="002B51F2" w:rsidRPr="00D34D61">
        <w:rPr>
          <w:rFonts w:cs="Tahoma"/>
          <w:bCs/>
          <w:i/>
          <w:color w:val="auto"/>
          <w:sz w:val="20"/>
          <w:szCs w:val="20"/>
          <w:u w:val="single"/>
          <w:lang w:val="es-ES_tradnl"/>
        </w:rPr>
        <w:t>Dirección de Recursos Humanos que, en los archivos de esa Dirección no se cuenta con la información procesada conforme a lo solicitado</w:t>
      </w:r>
      <w:r w:rsidR="002B51F2" w:rsidRPr="00D34D61">
        <w:rPr>
          <w:rFonts w:cs="Tahoma"/>
          <w:bCs/>
          <w:i/>
          <w:color w:val="auto"/>
          <w:sz w:val="20"/>
          <w:szCs w:val="20"/>
          <w:lang w:val="es-ES_tradnl"/>
        </w:rPr>
        <w:t xml:space="preserve">, por lo cual, de acuerdo a lo establecido en el artículo 12 de la Ley de Transparencia y Acceso a la Información Pública del Estado de México y Municipios, no es posible proporcionar la información en los términos requeridos. Sin embargo, </w:t>
      </w:r>
      <w:r w:rsidR="002B51F2" w:rsidRPr="00D34D61">
        <w:rPr>
          <w:rFonts w:cs="Tahoma"/>
          <w:bCs/>
          <w:i/>
          <w:color w:val="auto"/>
          <w:sz w:val="20"/>
          <w:szCs w:val="20"/>
          <w:u w:val="single"/>
          <w:lang w:val="es-ES_tradnl"/>
        </w:rPr>
        <w:t xml:space="preserve">la Dirección de Transparencia Universitaria le informa que los salarios de los trabajadores universitarios pueden ser consultados en el Sitio de Transparencia de la </w:t>
      </w:r>
      <w:proofErr w:type="spellStart"/>
      <w:r w:rsidR="002B51F2" w:rsidRPr="00D34D61">
        <w:rPr>
          <w:rFonts w:cs="Tahoma"/>
          <w:bCs/>
          <w:i/>
          <w:color w:val="auto"/>
          <w:sz w:val="20"/>
          <w:szCs w:val="20"/>
          <w:u w:val="single"/>
          <w:lang w:val="es-ES_tradnl"/>
        </w:rPr>
        <w:t>UAEMéx</w:t>
      </w:r>
      <w:proofErr w:type="spellEnd"/>
      <w:r w:rsidR="002B51F2" w:rsidRPr="00D34D61">
        <w:rPr>
          <w:rFonts w:cs="Tahoma"/>
          <w:bCs/>
          <w:i/>
          <w:color w:val="auto"/>
          <w:sz w:val="20"/>
          <w:szCs w:val="20"/>
          <w:u w:val="single"/>
          <w:lang w:val="es-ES_tradnl"/>
        </w:rPr>
        <w:t xml:space="preserve"> y el IPOMEX en las siguientes ligas</w:t>
      </w:r>
      <w:r w:rsidR="002B51F2" w:rsidRPr="00D34D61">
        <w:rPr>
          <w:rFonts w:cs="Tahoma"/>
          <w:bCs/>
          <w:i/>
          <w:color w:val="auto"/>
          <w:sz w:val="20"/>
          <w:szCs w:val="20"/>
          <w:lang w:val="es-ES_tradnl"/>
        </w:rPr>
        <w:t xml:space="preserve"> electrónicas: • </w:t>
      </w:r>
      <w:hyperlink r:id="rId8" w:history="1">
        <w:r w:rsidR="003514D6" w:rsidRPr="00D34D61">
          <w:rPr>
            <w:rStyle w:val="Hipervnculo"/>
            <w:rFonts w:cs="Tahoma"/>
            <w:bCs/>
            <w:i/>
            <w:sz w:val="20"/>
            <w:szCs w:val="20"/>
            <w:lang w:val="es-ES_tradnl"/>
          </w:rPr>
          <w:t>http://transparencia.uaemex.mx/usuario/infPub.php?nomDir=03.catPueTabSal&amp;cveParent=5</w:t>
        </w:r>
      </w:hyperlink>
      <w:r w:rsidR="003514D6" w:rsidRPr="00D34D61">
        <w:rPr>
          <w:rFonts w:cs="Tahoma"/>
          <w:bCs/>
          <w:i/>
          <w:color w:val="auto"/>
          <w:sz w:val="20"/>
          <w:szCs w:val="20"/>
          <w:lang w:val="es-ES_tradnl"/>
        </w:rPr>
        <w:t xml:space="preserve"> </w:t>
      </w:r>
      <w:r w:rsidR="002B51F2" w:rsidRPr="00D34D61">
        <w:rPr>
          <w:rFonts w:cs="Tahoma"/>
          <w:bCs/>
          <w:i/>
          <w:color w:val="auto"/>
          <w:sz w:val="20"/>
          <w:szCs w:val="20"/>
          <w:lang w:val="es-ES_tradnl"/>
        </w:rPr>
        <w:t xml:space="preserve">• </w:t>
      </w:r>
      <w:hyperlink r:id="rId9" w:anchor="/info-fraccion/11/87/28" w:history="1">
        <w:r w:rsidR="003514D6" w:rsidRPr="00D34D61">
          <w:rPr>
            <w:rStyle w:val="Hipervnculo"/>
            <w:rFonts w:cs="Tahoma"/>
            <w:bCs/>
            <w:i/>
            <w:sz w:val="20"/>
            <w:szCs w:val="20"/>
            <w:lang w:val="es-ES_tradnl"/>
          </w:rPr>
          <w:t>https://infoem2.ipomex.org.mx/ipomex/#/info-fraccion/11/87/28</w:t>
        </w:r>
      </w:hyperlink>
      <w:r w:rsidRPr="00D34D61">
        <w:rPr>
          <w:rFonts w:cs="Tahoma"/>
          <w:bCs/>
          <w:i/>
          <w:color w:val="auto"/>
          <w:sz w:val="20"/>
          <w:szCs w:val="20"/>
          <w:lang w:val="es-ES_tradnl"/>
        </w:rPr>
        <w:t xml:space="preserve">…” </w:t>
      </w:r>
      <w:bookmarkEnd w:id="5"/>
    </w:p>
    <w:p w14:paraId="3A4DF0E9" w14:textId="77777777" w:rsidR="00CF4407" w:rsidRPr="00D34D61" w:rsidRDefault="00CF4407" w:rsidP="008F72BB">
      <w:pPr>
        <w:autoSpaceDE w:val="0"/>
        <w:autoSpaceDN w:val="0"/>
        <w:adjustRightInd w:val="0"/>
        <w:spacing w:after="0" w:line="360" w:lineRule="auto"/>
        <w:ind w:right="567"/>
        <w:rPr>
          <w:rFonts w:cs="Tahoma"/>
          <w:color w:val="FF0000"/>
          <w:lang w:val="es-ES_tradnl"/>
        </w:rPr>
      </w:pPr>
    </w:p>
    <w:p w14:paraId="5EAAB095" w14:textId="77777777" w:rsidR="008F72BB" w:rsidRPr="00D34D61" w:rsidRDefault="008F72BB" w:rsidP="008F72BB">
      <w:pPr>
        <w:autoSpaceDE w:val="0"/>
        <w:autoSpaceDN w:val="0"/>
        <w:adjustRightInd w:val="0"/>
        <w:spacing w:after="0" w:line="360" w:lineRule="auto"/>
        <w:ind w:right="567"/>
        <w:rPr>
          <w:rFonts w:cs="Tahoma"/>
          <w:color w:val="FF0000"/>
          <w:lang w:val="es-ES_tradnl"/>
        </w:rPr>
      </w:pPr>
    </w:p>
    <w:p w14:paraId="599E0D9D" w14:textId="77777777" w:rsidR="008F72BB" w:rsidRPr="00D34D61" w:rsidRDefault="008F72BB" w:rsidP="008F72BB">
      <w:pPr>
        <w:autoSpaceDE w:val="0"/>
        <w:autoSpaceDN w:val="0"/>
        <w:adjustRightInd w:val="0"/>
        <w:spacing w:after="0" w:line="360" w:lineRule="auto"/>
        <w:ind w:right="567"/>
        <w:rPr>
          <w:rFonts w:cs="Tahoma"/>
          <w:color w:val="FF0000"/>
          <w:lang w:val="es-ES_tradnl"/>
        </w:rPr>
      </w:pPr>
    </w:p>
    <w:p w14:paraId="6867D521" w14:textId="67290D74" w:rsidR="00DB3DC5" w:rsidRPr="00D34D61" w:rsidRDefault="00DB3DC5" w:rsidP="008F72BB">
      <w:pPr>
        <w:pStyle w:val="Ttulo2"/>
        <w:spacing w:before="0" w:line="360" w:lineRule="auto"/>
        <w:rPr>
          <w:rFonts w:ascii="Palatino Linotype" w:eastAsia="Calibri" w:hAnsi="Palatino Linotype"/>
          <w:b/>
          <w:color w:val="000000" w:themeColor="text1"/>
          <w:sz w:val="22"/>
          <w:szCs w:val="22"/>
        </w:rPr>
      </w:pPr>
      <w:bookmarkStart w:id="6" w:name="_Toc189676769"/>
      <w:r w:rsidRPr="00D34D61">
        <w:rPr>
          <w:rFonts w:ascii="Palatino Linotype" w:eastAsia="Calibri" w:hAnsi="Palatino Linotype"/>
          <w:b/>
          <w:color w:val="000000" w:themeColor="text1"/>
          <w:sz w:val="22"/>
          <w:szCs w:val="22"/>
        </w:rPr>
        <w:t>III. Interpo</w:t>
      </w:r>
      <w:r w:rsidR="00076681" w:rsidRPr="00D34D61">
        <w:rPr>
          <w:rFonts w:ascii="Palatino Linotype" w:eastAsia="Calibri" w:hAnsi="Palatino Linotype"/>
          <w:b/>
          <w:color w:val="000000" w:themeColor="text1"/>
          <w:sz w:val="22"/>
          <w:szCs w:val="22"/>
        </w:rPr>
        <w:t>sición del Recurso de Revisión</w:t>
      </w:r>
      <w:bookmarkEnd w:id="6"/>
    </w:p>
    <w:p w14:paraId="462885A3" w14:textId="77777777" w:rsidR="009A627C" w:rsidRPr="00D34D61" w:rsidRDefault="009A627C" w:rsidP="008F72BB">
      <w:pPr>
        <w:spacing w:after="0" w:line="360" w:lineRule="auto"/>
        <w:contextualSpacing/>
        <w:rPr>
          <w:rFonts w:eastAsia="Times New Roman" w:cs="Tahoma"/>
          <w:bCs/>
          <w:color w:val="FF0000"/>
          <w:lang w:eastAsia="es-ES"/>
        </w:rPr>
      </w:pPr>
    </w:p>
    <w:p w14:paraId="240D95DA" w14:textId="15536DDD" w:rsidR="00DB3DC5" w:rsidRPr="00D34D61" w:rsidRDefault="00DB3DC5" w:rsidP="008F72BB">
      <w:pPr>
        <w:widowControl w:val="0"/>
        <w:spacing w:after="0" w:line="360" w:lineRule="auto"/>
        <w:contextualSpacing/>
        <w:rPr>
          <w:rFonts w:eastAsia="Calibri" w:cs="Times New Roman"/>
          <w:bCs/>
          <w:color w:val="auto"/>
        </w:rPr>
      </w:pPr>
      <w:r w:rsidRPr="00D34D61">
        <w:rPr>
          <w:rFonts w:eastAsia="Calibri" w:cs="Times New Roman"/>
          <w:bCs/>
          <w:color w:val="auto"/>
        </w:rPr>
        <w:t xml:space="preserve">Con fecha </w:t>
      </w:r>
      <w:r w:rsidR="00CF4407" w:rsidRPr="00D34D61">
        <w:rPr>
          <w:rFonts w:eastAsia="Calibri" w:cs="Times New Roman"/>
          <w:bCs/>
          <w:color w:val="auto"/>
        </w:rPr>
        <w:t>cinco</w:t>
      </w:r>
      <w:r w:rsidR="00E40ED9" w:rsidRPr="00D34D61">
        <w:rPr>
          <w:rFonts w:eastAsia="Calibri" w:cs="Times New Roman"/>
          <w:bCs/>
          <w:color w:val="auto"/>
        </w:rPr>
        <w:t xml:space="preserve"> de </w:t>
      </w:r>
      <w:r w:rsidR="00CF4407" w:rsidRPr="00D34D61">
        <w:rPr>
          <w:rFonts w:eastAsia="Calibri" w:cs="Times New Roman"/>
          <w:bCs/>
          <w:color w:val="auto"/>
        </w:rPr>
        <w:t>marzo</w:t>
      </w:r>
      <w:r w:rsidR="00E40ED9" w:rsidRPr="00D34D61">
        <w:rPr>
          <w:rFonts w:eastAsia="Calibri" w:cs="Times New Roman"/>
          <w:bCs/>
          <w:color w:val="auto"/>
        </w:rPr>
        <w:t xml:space="preserve"> de dos mil veinticinco</w:t>
      </w:r>
      <w:r w:rsidRPr="00D34D61">
        <w:rPr>
          <w:rFonts w:eastAsia="Calibri" w:cs="Times New Roman"/>
          <w:bCs/>
          <w:color w:val="auto"/>
        </w:rPr>
        <w:t xml:space="preserve">, </w:t>
      </w:r>
      <w:r w:rsidRPr="00D34D61">
        <w:rPr>
          <w:rFonts w:eastAsia="Calibri" w:cs="Times New Roman"/>
          <w:bCs/>
          <w:color w:val="auto"/>
          <w:lang w:val="es-ES"/>
        </w:rPr>
        <w:t xml:space="preserve">se recibió en este Instituto, a través del Sistema de Acceso a la Información Mexiquense (SAIMEX), </w:t>
      </w:r>
      <w:r w:rsidR="00002991" w:rsidRPr="00D34D61">
        <w:rPr>
          <w:rFonts w:eastAsia="Calibri" w:cs="Times New Roman"/>
          <w:bCs/>
          <w:color w:val="auto"/>
          <w:lang w:val="es-ES"/>
        </w:rPr>
        <w:t>el</w:t>
      </w:r>
      <w:r w:rsidR="006A0867" w:rsidRPr="00D34D61">
        <w:rPr>
          <w:rFonts w:eastAsia="Calibri" w:cs="Times New Roman"/>
          <w:bCs/>
          <w:color w:val="auto"/>
          <w:lang w:val="es-ES"/>
        </w:rPr>
        <w:t xml:space="preserve"> </w:t>
      </w:r>
      <w:r w:rsidRPr="00D34D61">
        <w:rPr>
          <w:rFonts w:eastAsia="Calibri" w:cs="Times New Roman"/>
          <w:bCs/>
          <w:color w:val="auto"/>
          <w:lang w:val="es-ES"/>
        </w:rPr>
        <w:t>Recurso de Revisión interpuesto por la parte Recurrente, en contra de la respuesta del Sujeto Obligado</w:t>
      </w:r>
      <w:r w:rsidR="00667107" w:rsidRPr="00D34D61">
        <w:rPr>
          <w:rFonts w:eastAsia="Calibri" w:cs="Times New Roman"/>
          <w:color w:val="auto"/>
        </w:rPr>
        <w:t>,</w:t>
      </w:r>
      <w:r w:rsidR="005400EE" w:rsidRPr="00D34D61">
        <w:rPr>
          <w:rFonts w:eastAsia="Calibri" w:cs="Times New Roman"/>
          <w:color w:val="auto"/>
        </w:rPr>
        <w:t xml:space="preserve"> </w:t>
      </w:r>
      <w:r w:rsidRPr="00D34D61">
        <w:rPr>
          <w:rFonts w:eastAsia="Times New Roman" w:cs="Tahoma"/>
          <w:bCs/>
          <w:color w:val="auto"/>
          <w:lang w:val="es-ES" w:eastAsia="es-ES"/>
        </w:rPr>
        <w:t>en los siguientes términos:</w:t>
      </w:r>
    </w:p>
    <w:p w14:paraId="383A8105" w14:textId="77777777" w:rsidR="00DB3DC5" w:rsidRPr="00D34D61" w:rsidRDefault="00DB3DC5" w:rsidP="008F72BB">
      <w:pPr>
        <w:tabs>
          <w:tab w:val="left" w:pos="4667"/>
        </w:tabs>
        <w:spacing w:after="0" w:line="360" w:lineRule="auto"/>
        <w:ind w:left="567" w:right="567"/>
        <w:contextualSpacing/>
        <w:rPr>
          <w:rFonts w:cs="Tahoma"/>
          <w:b/>
          <w:bCs/>
          <w:i/>
          <w:color w:val="FF0000"/>
          <w:sz w:val="20"/>
          <w:szCs w:val="20"/>
        </w:rPr>
      </w:pPr>
    </w:p>
    <w:p w14:paraId="0E422949" w14:textId="77777777" w:rsidR="006A0867" w:rsidRPr="00D34D61" w:rsidRDefault="006A0867" w:rsidP="008F72BB">
      <w:pPr>
        <w:tabs>
          <w:tab w:val="left" w:pos="4667"/>
        </w:tabs>
        <w:spacing w:after="0" w:line="360" w:lineRule="auto"/>
        <w:ind w:left="567" w:right="567"/>
        <w:rPr>
          <w:b/>
          <w:i/>
          <w:iCs/>
          <w:color w:val="auto"/>
          <w:sz w:val="20"/>
          <w:szCs w:val="20"/>
        </w:rPr>
      </w:pPr>
      <w:r w:rsidRPr="00D34D61">
        <w:rPr>
          <w:b/>
          <w:i/>
          <w:iCs/>
          <w:color w:val="auto"/>
          <w:sz w:val="20"/>
          <w:szCs w:val="20"/>
        </w:rPr>
        <w:t>“ACTO IMPUGNADO</w:t>
      </w:r>
    </w:p>
    <w:p w14:paraId="199F28DE" w14:textId="7398049A" w:rsidR="006A0867" w:rsidRPr="00D34D61" w:rsidRDefault="003514D6" w:rsidP="008F72BB">
      <w:pPr>
        <w:tabs>
          <w:tab w:val="left" w:pos="4667"/>
        </w:tabs>
        <w:spacing w:after="0" w:line="360" w:lineRule="auto"/>
        <w:ind w:left="567" w:right="567"/>
        <w:rPr>
          <w:i/>
          <w:iCs/>
          <w:color w:val="auto"/>
          <w:sz w:val="20"/>
          <w:szCs w:val="20"/>
        </w:rPr>
      </w:pPr>
      <w:r w:rsidRPr="00D34D61">
        <w:rPr>
          <w:i/>
          <w:iCs/>
          <w:color w:val="auto"/>
          <w:sz w:val="20"/>
          <w:szCs w:val="20"/>
        </w:rPr>
        <w:t xml:space="preserve">1. negativa a entregar la información. 2. remite a dos ligas que no contienen la </w:t>
      </w:r>
      <w:proofErr w:type="spellStart"/>
      <w:r w:rsidRPr="00D34D61">
        <w:rPr>
          <w:i/>
          <w:iCs/>
          <w:color w:val="auto"/>
          <w:sz w:val="20"/>
          <w:szCs w:val="20"/>
        </w:rPr>
        <w:t>inffromación</w:t>
      </w:r>
      <w:proofErr w:type="spellEnd"/>
      <w:r w:rsidRPr="00D34D61">
        <w:rPr>
          <w:i/>
          <w:iCs/>
          <w:color w:val="auto"/>
          <w:sz w:val="20"/>
          <w:szCs w:val="20"/>
        </w:rPr>
        <w:t xml:space="preserve"> solicitada. 3. ampliación del plazo contraviniendo la ley de transparencia al solo referir dos ligas en que supuestamente se encuentra la información. 4. doló para no entregar la información aun cuando existe antecedente del </w:t>
      </w:r>
      <w:proofErr w:type="spellStart"/>
      <w:r w:rsidRPr="00D34D61">
        <w:rPr>
          <w:i/>
          <w:iCs/>
          <w:color w:val="auto"/>
          <w:sz w:val="20"/>
          <w:szCs w:val="20"/>
        </w:rPr>
        <w:t>infoem</w:t>
      </w:r>
      <w:proofErr w:type="spellEnd"/>
      <w:r w:rsidRPr="00D34D61">
        <w:rPr>
          <w:i/>
          <w:iCs/>
          <w:color w:val="auto"/>
          <w:sz w:val="20"/>
          <w:szCs w:val="20"/>
        </w:rPr>
        <w:t xml:space="preserve"> donde ordena la entrega de la información. 5. denuncia ante el </w:t>
      </w:r>
      <w:proofErr w:type="spellStart"/>
      <w:r w:rsidRPr="00D34D61">
        <w:rPr>
          <w:i/>
          <w:iCs/>
          <w:color w:val="auto"/>
          <w:sz w:val="20"/>
          <w:szCs w:val="20"/>
        </w:rPr>
        <w:t>infoem</w:t>
      </w:r>
      <w:proofErr w:type="spellEnd"/>
      <w:r w:rsidRPr="00D34D61">
        <w:rPr>
          <w:i/>
          <w:iCs/>
          <w:color w:val="auto"/>
          <w:sz w:val="20"/>
          <w:szCs w:val="20"/>
        </w:rPr>
        <w:t xml:space="preserve"> sobre la actuación del titular de transparencia de la </w:t>
      </w:r>
      <w:proofErr w:type="spellStart"/>
      <w:r w:rsidRPr="00D34D61">
        <w:rPr>
          <w:i/>
          <w:iCs/>
          <w:color w:val="auto"/>
          <w:sz w:val="20"/>
          <w:szCs w:val="20"/>
        </w:rPr>
        <w:t>uaemex</w:t>
      </w:r>
      <w:proofErr w:type="spellEnd"/>
      <w:r w:rsidRPr="00D34D61">
        <w:rPr>
          <w:i/>
          <w:iCs/>
          <w:color w:val="auto"/>
          <w:sz w:val="20"/>
          <w:szCs w:val="20"/>
        </w:rPr>
        <w:t xml:space="preserve"> para atender esta solicitud. 6. denuncia ante el </w:t>
      </w:r>
      <w:proofErr w:type="spellStart"/>
      <w:r w:rsidRPr="00D34D61">
        <w:rPr>
          <w:i/>
          <w:iCs/>
          <w:color w:val="auto"/>
          <w:sz w:val="20"/>
          <w:szCs w:val="20"/>
        </w:rPr>
        <w:t>infoem</w:t>
      </w:r>
      <w:proofErr w:type="spellEnd"/>
      <w:r w:rsidRPr="00D34D61">
        <w:rPr>
          <w:i/>
          <w:iCs/>
          <w:color w:val="auto"/>
          <w:sz w:val="20"/>
          <w:szCs w:val="20"/>
        </w:rPr>
        <w:t xml:space="preserve"> por tener contratada en esa misma </w:t>
      </w:r>
      <w:proofErr w:type="spellStart"/>
      <w:r w:rsidRPr="00D34D61">
        <w:rPr>
          <w:i/>
          <w:iCs/>
          <w:color w:val="auto"/>
          <w:sz w:val="20"/>
          <w:szCs w:val="20"/>
        </w:rPr>
        <w:t>insitución</w:t>
      </w:r>
      <w:proofErr w:type="spellEnd"/>
      <w:r w:rsidRPr="00D34D61">
        <w:rPr>
          <w:i/>
          <w:iCs/>
          <w:color w:val="auto"/>
          <w:sz w:val="20"/>
          <w:szCs w:val="20"/>
        </w:rPr>
        <w:t xml:space="preserve"> a la hermana del titular de transparencia de la </w:t>
      </w:r>
      <w:proofErr w:type="spellStart"/>
      <w:r w:rsidRPr="00D34D61">
        <w:rPr>
          <w:i/>
          <w:iCs/>
          <w:color w:val="auto"/>
          <w:sz w:val="20"/>
          <w:szCs w:val="20"/>
        </w:rPr>
        <w:t>uaemex</w:t>
      </w:r>
      <w:proofErr w:type="spellEnd"/>
      <w:r w:rsidRPr="00D34D61">
        <w:rPr>
          <w:i/>
          <w:iCs/>
          <w:color w:val="auto"/>
          <w:sz w:val="20"/>
          <w:szCs w:val="20"/>
        </w:rPr>
        <w:t>.</w:t>
      </w:r>
      <w:r w:rsidR="006A0867" w:rsidRPr="00D34D61">
        <w:rPr>
          <w:i/>
          <w:iCs/>
          <w:color w:val="auto"/>
          <w:sz w:val="20"/>
          <w:szCs w:val="20"/>
        </w:rPr>
        <w:t>” (Sic.)</w:t>
      </w:r>
    </w:p>
    <w:p w14:paraId="349885DE" w14:textId="77777777" w:rsidR="006A0867" w:rsidRPr="00D34D61" w:rsidRDefault="006A0867" w:rsidP="008F72BB">
      <w:pPr>
        <w:tabs>
          <w:tab w:val="left" w:pos="4667"/>
        </w:tabs>
        <w:spacing w:after="0" w:line="360" w:lineRule="auto"/>
        <w:ind w:left="567" w:right="567"/>
        <w:rPr>
          <w:rFonts w:cs="Tahoma"/>
          <w:bCs/>
          <w:i/>
          <w:color w:val="FF0000"/>
          <w:sz w:val="20"/>
          <w:szCs w:val="20"/>
        </w:rPr>
      </w:pPr>
    </w:p>
    <w:p w14:paraId="09EF88BF" w14:textId="77777777" w:rsidR="006A0867" w:rsidRPr="00D34D61" w:rsidRDefault="006A0867" w:rsidP="008F72BB">
      <w:pPr>
        <w:tabs>
          <w:tab w:val="left" w:pos="4667"/>
        </w:tabs>
        <w:spacing w:after="0" w:line="360" w:lineRule="auto"/>
        <w:ind w:left="567" w:right="567"/>
        <w:rPr>
          <w:rFonts w:cs="Tahoma"/>
          <w:b/>
          <w:bCs/>
          <w:i/>
          <w:color w:val="auto"/>
          <w:sz w:val="20"/>
          <w:szCs w:val="20"/>
        </w:rPr>
      </w:pPr>
      <w:r w:rsidRPr="00D34D61">
        <w:rPr>
          <w:rFonts w:cs="Tahoma"/>
          <w:b/>
          <w:bCs/>
          <w:i/>
          <w:color w:val="auto"/>
          <w:sz w:val="20"/>
          <w:szCs w:val="20"/>
        </w:rPr>
        <w:t>“RAZONES O MOTIVOS DE LA INCONFORMIDAD</w:t>
      </w:r>
    </w:p>
    <w:p w14:paraId="702646C1" w14:textId="129112BA" w:rsidR="00667107" w:rsidRPr="00D34D61" w:rsidRDefault="00CF4407" w:rsidP="008F72BB">
      <w:pPr>
        <w:tabs>
          <w:tab w:val="left" w:pos="4667"/>
        </w:tabs>
        <w:spacing w:after="0" w:line="360" w:lineRule="auto"/>
        <w:ind w:left="567" w:right="567"/>
        <w:rPr>
          <w:i/>
          <w:iCs/>
          <w:color w:val="auto"/>
          <w:sz w:val="20"/>
          <w:szCs w:val="20"/>
        </w:rPr>
      </w:pPr>
      <w:r w:rsidRPr="00D34D61">
        <w:rPr>
          <w:i/>
          <w:iCs/>
          <w:color w:val="auto"/>
          <w:sz w:val="20"/>
          <w:szCs w:val="20"/>
        </w:rPr>
        <w:t xml:space="preserve">1. negativa a entregar la información. 2. remite a dos ligas que no contienen la </w:t>
      </w:r>
      <w:proofErr w:type="spellStart"/>
      <w:r w:rsidRPr="00D34D61">
        <w:rPr>
          <w:i/>
          <w:iCs/>
          <w:color w:val="auto"/>
          <w:sz w:val="20"/>
          <w:szCs w:val="20"/>
        </w:rPr>
        <w:t>inffromación</w:t>
      </w:r>
      <w:proofErr w:type="spellEnd"/>
      <w:r w:rsidRPr="00D34D61">
        <w:rPr>
          <w:i/>
          <w:iCs/>
          <w:color w:val="auto"/>
          <w:sz w:val="20"/>
          <w:szCs w:val="20"/>
        </w:rPr>
        <w:t xml:space="preserve"> solicitada. 3. ampliación del plazo contraviniendo la ley de transparencia al solo referir dos ligas en que supuestamente se encuentra la información. 4. doló para no entregar la información aun cuando existe antecedente del </w:t>
      </w:r>
      <w:proofErr w:type="spellStart"/>
      <w:r w:rsidRPr="00D34D61">
        <w:rPr>
          <w:i/>
          <w:iCs/>
          <w:color w:val="auto"/>
          <w:sz w:val="20"/>
          <w:szCs w:val="20"/>
        </w:rPr>
        <w:t>infoem</w:t>
      </w:r>
      <w:proofErr w:type="spellEnd"/>
      <w:r w:rsidRPr="00D34D61">
        <w:rPr>
          <w:i/>
          <w:iCs/>
          <w:color w:val="auto"/>
          <w:sz w:val="20"/>
          <w:szCs w:val="20"/>
        </w:rPr>
        <w:t xml:space="preserve"> donde ordena la entrega de la información. 5. denuncia ante el </w:t>
      </w:r>
      <w:proofErr w:type="spellStart"/>
      <w:r w:rsidRPr="00D34D61">
        <w:rPr>
          <w:i/>
          <w:iCs/>
          <w:color w:val="auto"/>
          <w:sz w:val="20"/>
          <w:szCs w:val="20"/>
        </w:rPr>
        <w:t>infoem</w:t>
      </w:r>
      <w:proofErr w:type="spellEnd"/>
      <w:r w:rsidRPr="00D34D61">
        <w:rPr>
          <w:i/>
          <w:iCs/>
          <w:color w:val="auto"/>
          <w:sz w:val="20"/>
          <w:szCs w:val="20"/>
        </w:rPr>
        <w:t xml:space="preserve"> sobre la actuación del titular de transparencia de la </w:t>
      </w:r>
      <w:proofErr w:type="spellStart"/>
      <w:r w:rsidRPr="00D34D61">
        <w:rPr>
          <w:i/>
          <w:iCs/>
          <w:color w:val="auto"/>
          <w:sz w:val="20"/>
          <w:szCs w:val="20"/>
        </w:rPr>
        <w:t>uaemex</w:t>
      </w:r>
      <w:proofErr w:type="spellEnd"/>
      <w:r w:rsidRPr="00D34D61">
        <w:rPr>
          <w:i/>
          <w:iCs/>
          <w:color w:val="auto"/>
          <w:sz w:val="20"/>
          <w:szCs w:val="20"/>
        </w:rPr>
        <w:t xml:space="preserve"> para atender esta solicitud. 6. denuncia ante el </w:t>
      </w:r>
      <w:proofErr w:type="spellStart"/>
      <w:r w:rsidRPr="00D34D61">
        <w:rPr>
          <w:i/>
          <w:iCs/>
          <w:color w:val="auto"/>
          <w:sz w:val="20"/>
          <w:szCs w:val="20"/>
        </w:rPr>
        <w:t>infoem</w:t>
      </w:r>
      <w:proofErr w:type="spellEnd"/>
      <w:r w:rsidRPr="00D34D61">
        <w:rPr>
          <w:i/>
          <w:iCs/>
          <w:color w:val="auto"/>
          <w:sz w:val="20"/>
          <w:szCs w:val="20"/>
        </w:rPr>
        <w:t xml:space="preserve"> por tener contratada en esa misma </w:t>
      </w:r>
      <w:proofErr w:type="spellStart"/>
      <w:r w:rsidRPr="00D34D61">
        <w:rPr>
          <w:i/>
          <w:iCs/>
          <w:color w:val="auto"/>
          <w:sz w:val="20"/>
          <w:szCs w:val="20"/>
        </w:rPr>
        <w:t>insitución</w:t>
      </w:r>
      <w:proofErr w:type="spellEnd"/>
      <w:r w:rsidRPr="00D34D61">
        <w:rPr>
          <w:i/>
          <w:iCs/>
          <w:color w:val="auto"/>
          <w:sz w:val="20"/>
          <w:szCs w:val="20"/>
        </w:rPr>
        <w:t xml:space="preserve"> a la hermana del titular de transparencia de la </w:t>
      </w:r>
      <w:proofErr w:type="spellStart"/>
      <w:r w:rsidRPr="00D34D61">
        <w:rPr>
          <w:i/>
          <w:iCs/>
          <w:color w:val="auto"/>
          <w:sz w:val="20"/>
          <w:szCs w:val="20"/>
        </w:rPr>
        <w:t>uaemex</w:t>
      </w:r>
      <w:proofErr w:type="spellEnd"/>
      <w:r w:rsidRPr="00D34D61">
        <w:rPr>
          <w:i/>
          <w:iCs/>
          <w:color w:val="auto"/>
          <w:sz w:val="20"/>
          <w:szCs w:val="20"/>
        </w:rPr>
        <w:t>.</w:t>
      </w:r>
      <w:r w:rsidR="0064639F" w:rsidRPr="00D34D61">
        <w:rPr>
          <w:i/>
          <w:iCs/>
          <w:color w:val="auto"/>
          <w:sz w:val="20"/>
          <w:szCs w:val="20"/>
        </w:rPr>
        <w:t>” (Sic.)</w:t>
      </w:r>
    </w:p>
    <w:p w14:paraId="5EF80AD3" w14:textId="77777777" w:rsidR="00667107" w:rsidRPr="00D34D61" w:rsidRDefault="00667107" w:rsidP="008F72BB">
      <w:pPr>
        <w:tabs>
          <w:tab w:val="left" w:pos="4667"/>
        </w:tabs>
        <w:spacing w:after="0" w:line="360" w:lineRule="auto"/>
        <w:ind w:right="567"/>
        <w:rPr>
          <w:i/>
          <w:iCs/>
          <w:color w:val="auto"/>
          <w:sz w:val="20"/>
          <w:szCs w:val="20"/>
        </w:rPr>
      </w:pPr>
    </w:p>
    <w:p w14:paraId="2D3CE335" w14:textId="2BF858B6" w:rsidR="00DB3DC5" w:rsidRPr="00D34D61" w:rsidRDefault="00DB3DC5" w:rsidP="008F72BB">
      <w:pPr>
        <w:pStyle w:val="Ttulo2"/>
        <w:spacing w:before="0" w:line="360" w:lineRule="auto"/>
        <w:rPr>
          <w:rFonts w:ascii="Palatino Linotype" w:eastAsia="Batang" w:hAnsi="Palatino Linotype"/>
          <w:b/>
          <w:color w:val="000000" w:themeColor="text1"/>
          <w:sz w:val="22"/>
          <w:szCs w:val="22"/>
        </w:rPr>
      </w:pPr>
      <w:bookmarkStart w:id="7" w:name="_Toc189676770"/>
      <w:r w:rsidRPr="00D34D61">
        <w:rPr>
          <w:rFonts w:ascii="Palatino Linotype" w:eastAsia="Calibri" w:hAnsi="Palatino Linotype"/>
          <w:b/>
          <w:color w:val="000000" w:themeColor="text1"/>
          <w:sz w:val="22"/>
          <w:szCs w:val="22"/>
        </w:rPr>
        <w:t xml:space="preserve">IV. </w:t>
      </w:r>
      <w:r w:rsidRPr="00D34D61">
        <w:rPr>
          <w:rFonts w:ascii="Palatino Linotype" w:eastAsia="Batang" w:hAnsi="Palatino Linotype"/>
          <w:b/>
          <w:color w:val="000000" w:themeColor="text1"/>
          <w:sz w:val="22"/>
          <w:szCs w:val="22"/>
        </w:rPr>
        <w:t>Trámite del Recurso de Revisión</w:t>
      </w:r>
      <w:r w:rsidRPr="00D34D61">
        <w:rPr>
          <w:rFonts w:ascii="Palatino Linotype" w:eastAsia="Calibri" w:hAnsi="Palatino Linotype"/>
          <w:b/>
          <w:color w:val="000000" w:themeColor="text1"/>
          <w:sz w:val="22"/>
          <w:szCs w:val="22"/>
        </w:rPr>
        <w:t xml:space="preserve"> </w:t>
      </w:r>
      <w:r w:rsidR="00076681" w:rsidRPr="00D34D61">
        <w:rPr>
          <w:rFonts w:ascii="Palatino Linotype" w:eastAsia="Batang" w:hAnsi="Palatino Linotype"/>
          <w:b/>
          <w:color w:val="000000" w:themeColor="text1"/>
          <w:sz w:val="22"/>
          <w:szCs w:val="22"/>
        </w:rPr>
        <w:t>ante este Instituto</w:t>
      </w:r>
      <w:bookmarkEnd w:id="7"/>
    </w:p>
    <w:p w14:paraId="13E537D5" w14:textId="77777777" w:rsidR="00DB3DC5" w:rsidRPr="00D34D61" w:rsidRDefault="00DB3DC5" w:rsidP="008F72BB">
      <w:pPr>
        <w:spacing w:after="0" w:line="360" w:lineRule="auto"/>
        <w:contextualSpacing/>
        <w:rPr>
          <w:rFonts w:eastAsia="Batang" w:cs="Tahoma"/>
          <w:b/>
          <w:bCs/>
          <w:color w:val="FF0000"/>
        </w:rPr>
      </w:pPr>
    </w:p>
    <w:p w14:paraId="066B9BDB" w14:textId="77777777" w:rsidR="008F72BB" w:rsidRPr="00D34D61" w:rsidRDefault="008F72BB" w:rsidP="008F72BB">
      <w:pPr>
        <w:spacing w:after="0" w:line="360" w:lineRule="auto"/>
        <w:contextualSpacing/>
        <w:rPr>
          <w:rFonts w:eastAsia="Batang" w:cs="Tahoma"/>
          <w:b/>
          <w:bCs/>
          <w:color w:val="FF0000"/>
        </w:rPr>
      </w:pPr>
    </w:p>
    <w:p w14:paraId="5B9B961B" w14:textId="6C769EA5" w:rsidR="00DB3DC5" w:rsidRPr="00D34D61" w:rsidRDefault="00DB3DC5" w:rsidP="008F72BB">
      <w:pPr>
        <w:spacing w:after="0" w:line="360" w:lineRule="auto"/>
        <w:contextualSpacing/>
        <w:rPr>
          <w:rFonts w:eastAsia="Batang" w:cs="Tahoma"/>
          <w:b/>
          <w:bCs/>
          <w:color w:val="auto"/>
        </w:rPr>
      </w:pPr>
      <w:bookmarkStart w:id="8" w:name="_Toc189676771"/>
      <w:r w:rsidRPr="00D34D61">
        <w:rPr>
          <w:rStyle w:val="Ttulo2Car"/>
          <w:rFonts w:ascii="Palatino Linotype" w:hAnsi="Palatino Linotype"/>
          <w:b/>
          <w:color w:val="000000" w:themeColor="text1"/>
          <w:sz w:val="22"/>
          <w:szCs w:val="22"/>
        </w:rPr>
        <w:t>a) Turno del Medio de Impugnación.</w:t>
      </w:r>
      <w:bookmarkEnd w:id="8"/>
      <w:r w:rsidRPr="00D34D61">
        <w:rPr>
          <w:rFonts w:eastAsia="Batang" w:cs="Tahoma"/>
          <w:b/>
          <w:bCs/>
        </w:rPr>
        <w:t xml:space="preserve"> </w:t>
      </w:r>
      <w:r w:rsidRPr="00D34D61">
        <w:rPr>
          <w:rFonts w:eastAsia="Batang" w:cs="Tahoma"/>
          <w:bCs/>
          <w:color w:val="auto"/>
        </w:rPr>
        <w:t xml:space="preserve">El </w:t>
      </w:r>
      <w:r w:rsidR="00871B5E" w:rsidRPr="00D34D61">
        <w:rPr>
          <w:rFonts w:eastAsia="Batang" w:cs="Tahoma"/>
          <w:bCs/>
          <w:color w:val="auto"/>
        </w:rPr>
        <w:t>cinco</w:t>
      </w:r>
      <w:r w:rsidR="00B732D1" w:rsidRPr="00D34D61">
        <w:rPr>
          <w:rFonts w:eastAsia="Batang" w:cs="Tahoma"/>
          <w:bCs/>
          <w:color w:val="auto"/>
        </w:rPr>
        <w:t xml:space="preserve"> de </w:t>
      </w:r>
      <w:r w:rsidR="00871B5E" w:rsidRPr="00D34D61">
        <w:rPr>
          <w:rFonts w:eastAsia="Batang" w:cs="Tahoma"/>
          <w:bCs/>
          <w:color w:val="auto"/>
        </w:rPr>
        <w:t>marzo</w:t>
      </w:r>
      <w:r w:rsidR="00E063FC" w:rsidRPr="00D34D61">
        <w:rPr>
          <w:rFonts w:eastAsia="Batang" w:cs="Tahoma"/>
          <w:bCs/>
          <w:color w:val="auto"/>
        </w:rPr>
        <w:t xml:space="preserve"> </w:t>
      </w:r>
      <w:r w:rsidR="00B732D1" w:rsidRPr="00D34D61">
        <w:rPr>
          <w:rFonts w:eastAsia="Times New Roman" w:cs="Tahoma"/>
          <w:bCs/>
          <w:color w:val="auto"/>
          <w:lang w:eastAsia="es-ES"/>
        </w:rPr>
        <w:t xml:space="preserve">de dos mil </w:t>
      </w:r>
      <w:r w:rsidR="00667107" w:rsidRPr="00D34D61">
        <w:rPr>
          <w:rFonts w:eastAsia="Times New Roman" w:cs="Tahoma"/>
          <w:bCs/>
          <w:color w:val="auto"/>
          <w:lang w:eastAsia="es-ES"/>
        </w:rPr>
        <w:t>veinticinco</w:t>
      </w:r>
      <w:r w:rsidRPr="00D34D61">
        <w:rPr>
          <w:rFonts w:eastAsia="Batang" w:cs="Tahoma"/>
          <w:bCs/>
          <w:color w:val="auto"/>
        </w:rPr>
        <w:t xml:space="preserve">, el </w:t>
      </w:r>
      <w:r w:rsidRPr="00D34D61">
        <w:rPr>
          <w:rFonts w:eastAsia="Calibri" w:cs="Tahoma"/>
          <w:color w:val="auto"/>
          <w:lang w:val="es-ES"/>
        </w:rPr>
        <w:t>Sistema de Acceso a la Información Mexiquense (SAIMEX),</w:t>
      </w:r>
      <w:r w:rsidRPr="00D34D61">
        <w:rPr>
          <w:rFonts w:eastAsia="Batang" w:cs="Tahoma"/>
          <w:bCs/>
          <w:color w:val="auto"/>
        </w:rPr>
        <w:t xml:space="preserve"> </w:t>
      </w:r>
      <w:r w:rsidR="0089704B" w:rsidRPr="00D34D61">
        <w:rPr>
          <w:rFonts w:eastAsia="Batang" w:cs="Tahoma"/>
          <w:bCs/>
          <w:color w:val="auto"/>
          <w:lang w:val="es-ES_tradnl"/>
        </w:rPr>
        <w:t xml:space="preserve">asignó </w:t>
      </w:r>
      <w:r w:rsidR="0003316E" w:rsidRPr="00D34D61">
        <w:rPr>
          <w:rFonts w:eastAsia="Batang" w:cs="Tahoma"/>
          <w:bCs/>
          <w:color w:val="auto"/>
          <w:lang w:val="es-ES_tradnl"/>
        </w:rPr>
        <w:t>el</w:t>
      </w:r>
      <w:r w:rsidR="0089704B" w:rsidRPr="00D34D61">
        <w:rPr>
          <w:rFonts w:eastAsia="Batang" w:cs="Tahoma"/>
          <w:bCs/>
          <w:color w:val="auto"/>
          <w:lang w:val="es-ES_tradnl"/>
        </w:rPr>
        <w:t xml:space="preserve"> número de expediente </w:t>
      </w:r>
      <w:r w:rsidR="00871B5E" w:rsidRPr="00D34D61">
        <w:rPr>
          <w:rFonts w:eastAsia="Batang" w:cs="Tahoma"/>
          <w:b/>
          <w:color w:val="auto"/>
          <w:lang w:val="es-ES_tradnl"/>
        </w:rPr>
        <w:t>02476</w:t>
      </w:r>
      <w:r w:rsidR="0095305F" w:rsidRPr="00D34D61">
        <w:rPr>
          <w:rFonts w:eastAsia="Batang" w:cs="Tahoma"/>
          <w:b/>
          <w:color w:val="auto"/>
          <w:lang w:val="es-ES_tradnl"/>
        </w:rPr>
        <w:t>/INFOEM/IP/RR/2025</w:t>
      </w:r>
      <w:r w:rsidRPr="00D34D61">
        <w:rPr>
          <w:rFonts w:eastAsia="Batang" w:cs="Tahoma"/>
          <w:bCs/>
          <w:color w:val="auto"/>
        </w:rPr>
        <w:t xml:space="preserve">, al Medio de Impugnación que nos ocupa, con base en el sistema aprobado por el Pleno de este Órgano Garante y lo turnó al </w:t>
      </w:r>
      <w:r w:rsidRPr="00D34D61">
        <w:rPr>
          <w:rFonts w:eastAsia="Batang" w:cs="Tahoma"/>
          <w:b/>
          <w:color w:val="auto"/>
        </w:rPr>
        <w:t>Comisionado Ponente Luis Gustavo Parra Noriega</w:t>
      </w:r>
      <w:r w:rsidRPr="00D34D61">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D34D61" w:rsidRDefault="00DB3DC5" w:rsidP="008F72BB">
      <w:pPr>
        <w:spacing w:after="0" w:line="360" w:lineRule="auto"/>
        <w:contextualSpacing/>
        <w:rPr>
          <w:rFonts w:eastAsia="Batang" w:cs="Tahoma"/>
          <w:bCs/>
          <w:color w:val="FF0000"/>
        </w:rPr>
      </w:pPr>
    </w:p>
    <w:p w14:paraId="2B3B5A4B" w14:textId="656AD576" w:rsidR="00DB3DC5" w:rsidRPr="00D34D61" w:rsidRDefault="00DB3DC5" w:rsidP="008F72BB">
      <w:pPr>
        <w:spacing w:after="0" w:line="360" w:lineRule="auto"/>
        <w:contextualSpacing/>
        <w:rPr>
          <w:rFonts w:eastAsia="Times New Roman" w:cs="Tahoma"/>
          <w:bCs/>
          <w:color w:val="auto"/>
          <w:lang w:val="es-ES_tradnl" w:eastAsia="es-ES"/>
        </w:rPr>
      </w:pPr>
      <w:bookmarkStart w:id="9" w:name="_Toc189676772"/>
      <w:r w:rsidRPr="00D34D61">
        <w:rPr>
          <w:rStyle w:val="Ttulo2Car"/>
          <w:rFonts w:ascii="Palatino Linotype" w:hAnsi="Palatino Linotype"/>
          <w:b/>
          <w:color w:val="000000" w:themeColor="text1"/>
          <w:sz w:val="22"/>
          <w:szCs w:val="22"/>
        </w:rPr>
        <w:t>b) Admisión de</w:t>
      </w:r>
      <w:r w:rsidR="00EA3D68" w:rsidRPr="00D34D61">
        <w:rPr>
          <w:rStyle w:val="Ttulo2Car"/>
          <w:rFonts w:ascii="Palatino Linotype" w:hAnsi="Palatino Linotype"/>
          <w:b/>
          <w:color w:val="000000" w:themeColor="text1"/>
          <w:sz w:val="22"/>
          <w:szCs w:val="22"/>
        </w:rPr>
        <w:t>l</w:t>
      </w:r>
      <w:r w:rsidRPr="00D34D61">
        <w:rPr>
          <w:rStyle w:val="Ttulo2Car"/>
          <w:rFonts w:ascii="Palatino Linotype" w:hAnsi="Palatino Linotype"/>
          <w:b/>
          <w:color w:val="000000" w:themeColor="text1"/>
          <w:sz w:val="22"/>
          <w:szCs w:val="22"/>
        </w:rPr>
        <w:t xml:space="preserve"> Recurso de Revisión.</w:t>
      </w:r>
      <w:bookmarkEnd w:id="9"/>
      <w:r w:rsidRPr="00D34D61">
        <w:rPr>
          <w:rFonts w:eastAsia="Times New Roman" w:cs="Tahoma"/>
          <w:b/>
          <w:bCs/>
          <w:lang w:val="es-ES_tradnl" w:eastAsia="es-ES"/>
        </w:rPr>
        <w:t xml:space="preserve"> </w:t>
      </w:r>
      <w:r w:rsidRPr="00D34D61">
        <w:rPr>
          <w:rFonts w:eastAsia="Times New Roman" w:cs="Tahoma"/>
          <w:bCs/>
          <w:color w:val="auto"/>
          <w:lang w:val="es-ES_tradnl" w:eastAsia="es-ES"/>
        </w:rPr>
        <w:t xml:space="preserve">El </w:t>
      </w:r>
      <w:r w:rsidR="00871B5E" w:rsidRPr="00D34D61">
        <w:rPr>
          <w:rFonts w:eastAsia="Times New Roman" w:cs="Tahoma"/>
          <w:bCs/>
          <w:color w:val="auto"/>
          <w:lang w:val="es-ES_tradnl" w:eastAsia="es-ES"/>
        </w:rPr>
        <w:t>diez</w:t>
      </w:r>
      <w:r w:rsidR="00B732D1" w:rsidRPr="00D34D61">
        <w:rPr>
          <w:rFonts w:eastAsia="Times New Roman" w:cs="Tahoma"/>
          <w:bCs/>
          <w:color w:val="auto"/>
          <w:lang w:val="es-ES_tradnl" w:eastAsia="es-ES"/>
        </w:rPr>
        <w:t xml:space="preserve"> de </w:t>
      </w:r>
      <w:r w:rsidR="00871B5E" w:rsidRPr="00D34D61">
        <w:rPr>
          <w:rFonts w:eastAsia="Times New Roman" w:cs="Tahoma"/>
          <w:bCs/>
          <w:color w:val="auto"/>
          <w:lang w:val="es-ES_tradnl" w:eastAsia="es-ES"/>
        </w:rPr>
        <w:t>marzo</w:t>
      </w:r>
      <w:r w:rsidR="006778B9" w:rsidRPr="00D34D61">
        <w:rPr>
          <w:rFonts w:eastAsia="Batang" w:cs="Tahoma"/>
          <w:bCs/>
          <w:color w:val="auto"/>
        </w:rPr>
        <w:t xml:space="preserve"> </w:t>
      </w:r>
      <w:r w:rsidR="00B732D1" w:rsidRPr="00D34D61">
        <w:rPr>
          <w:rFonts w:eastAsia="Batang" w:cs="Tahoma"/>
          <w:bCs/>
          <w:color w:val="auto"/>
        </w:rPr>
        <w:t>de dos mil veinticinco</w:t>
      </w:r>
      <w:r w:rsidRPr="00D34D61">
        <w:rPr>
          <w:rFonts w:eastAsia="Times New Roman" w:cs="Tahoma"/>
          <w:bCs/>
          <w:color w:val="auto"/>
          <w:lang w:val="es-ES_tradnl" w:eastAsia="es-ES"/>
        </w:rPr>
        <w:t>, se acordó la admisión de</w:t>
      </w:r>
      <w:r w:rsidR="0003316E" w:rsidRPr="00D34D61">
        <w:rPr>
          <w:rFonts w:eastAsia="Times New Roman" w:cs="Tahoma"/>
          <w:bCs/>
          <w:color w:val="auto"/>
          <w:lang w:val="es-ES_tradnl" w:eastAsia="es-ES"/>
        </w:rPr>
        <w:t>l</w:t>
      </w:r>
      <w:r w:rsidRPr="00D34D61">
        <w:rPr>
          <w:rFonts w:eastAsia="Times New Roman" w:cs="Tahoma"/>
          <w:bCs/>
          <w:color w:val="auto"/>
          <w:lang w:val="es-ES_tradnl" w:eastAsia="es-ES"/>
        </w:rPr>
        <w:t xml:space="preserve"> Recurso de Revisión interpuesto por </w:t>
      </w:r>
      <w:r w:rsidR="0003316E" w:rsidRPr="00D34D61">
        <w:rPr>
          <w:rFonts w:eastAsia="Times New Roman" w:cs="Tahoma"/>
          <w:bCs/>
          <w:color w:val="auto"/>
          <w:lang w:val="es-ES_tradnl" w:eastAsia="es-ES"/>
        </w:rPr>
        <w:t>el</w:t>
      </w:r>
      <w:r w:rsidRPr="00D34D61">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w:t>
      </w:r>
      <w:r w:rsidR="0003316E" w:rsidRPr="00D34D61">
        <w:rPr>
          <w:rFonts w:eastAsia="Times New Roman" w:cs="Tahoma"/>
          <w:bCs/>
          <w:color w:val="auto"/>
          <w:lang w:val="es-ES_tradnl" w:eastAsia="es-ES"/>
        </w:rPr>
        <w:t>el</w:t>
      </w:r>
      <w:r w:rsidRPr="00D34D61">
        <w:rPr>
          <w:rFonts w:eastAsia="Times New Roman" w:cs="Tahoma"/>
          <w:bCs/>
          <w:color w:val="auto"/>
          <w:lang w:val="es-ES_tradnl" w:eastAsia="es-ES"/>
        </w:rPr>
        <w:t xml:space="preserve"> cual fue debidamente notificado a las parte</w:t>
      </w:r>
      <w:r w:rsidR="00A322C2" w:rsidRPr="00D34D61">
        <w:rPr>
          <w:rFonts w:eastAsia="Times New Roman" w:cs="Tahoma"/>
          <w:bCs/>
          <w:color w:val="auto"/>
          <w:lang w:val="es-ES_tradnl" w:eastAsia="es-ES"/>
        </w:rPr>
        <w:t xml:space="preserve">s, el </w:t>
      </w:r>
      <w:r w:rsidR="00B732D1" w:rsidRPr="00D34D61">
        <w:rPr>
          <w:rFonts w:eastAsia="Times New Roman" w:cs="Tahoma"/>
          <w:bCs/>
          <w:color w:val="auto"/>
          <w:lang w:val="es-ES_tradnl" w:eastAsia="es-ES"/>
        </w:rPr>
        <w:t>mismo día</w:t>
      </w:r>
      <w:r w:rsidRPr="00D34D61">
        <w:rPr>
          <w:rFonts w:eastAsia="Times New Roman" w:cs="Tahoma"/>
          <w:bCs/>
          <w:color w:val="auto"/>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7F8B0501" w14:textId="77777777" w:rsidR="00767EFB" w:rsidRPr="00D34D61" w:rsidRDefault="00767EFB" w:rsidP="008F72BB">
      <w:pPr>
        <w:spacing w:after="0" w:line="360" w:lineRule="auto"/>
        <w:contextualSpacing/>
        <w:rPr>
          <w:rFonts w:eastAsia="Times New Roman" w:cs="Tahoma"/>
          <w:b/>
          <w:bCs/>
          <w:color w:val="auto"/>
          <w:lang w:eastAsia="es-ES"/>
        </w:rPr>
      </w:pPr>
    </w:p>
    <w:p w14:paraId="5AD85E5F" w14:textId="53D9B12F" w:rsidR="00007F3F" w:rsidRPr="00D34D61" w:rsidRDefault="00767EFB" w:rsidP="008F72BB">
      <w:pPr>
        <w:tabs>
          <w:tab w:val="left" w:pos="3261"/>
        </w:tabs>
        <w:spacing w:after="0" w:line="360" w:lineRule="auto"/>
        <w:rPr>
          <w:rStyle w:val="Ttulo2Car"/>
          <w:rFonts w:ascii="Palatino Linotype" w:hAnsi="Palatino Linotype"/>
          <w:color w:val="000000" w:themeColor="text1"/>
          <w:sz w:val="22"/>
          <w:szCs w:val="22"/>
        </w:rPr>
      </w:pPr>
      <w:bookmarkStart w:id="10" w:name="_Toc189676773"/>
      <w:r w:rsidRPr="00D34D61">
        <w:rPr>
          <w:rStyle w:val="Ttulo2Car"/>
          <w:rFonts w:ascii="Palatino Linotype" w:hAnsi="Palatino Linotype"/>
          <w:b/>
          <w:color w:val="000000" w:themeColor="text1"/>
          <w:sz w:val="22"/>
          <w:szCs w:val="22"/>
        </w:rPr>
        <w:t xml:space="preserve">c) </w:t>
      </w:r>
      <w:r w:rsidR="0095305F" w:rsidRPr="00D34D61">
        <w:rPr>
          <w:rStyle w:val="Ttulo2Car"/>
          <w:rFonts w:ascii="Palatino Linotype" w:hAnsi="Palatino Linotype"/>
          <w:b/>
          <w:color w:val="000000" w:themeColor="text1"/>
          <w:sz w:val="22"/>
          <w:szCs w:val="22"/>
        </w:rPr>
        <w:t xml:space="preserve">Informe Justificado.  </w:t>
      </w:r>
      <w:r w:rsidR="0095305F" w:rsidRPr="00D34D61">
        <w:rPr>
          <w:rStyle w:val="Ttulo2Car"/>
          <w:rFonts w:ascii="Palatino Linotype" w:hAnsi="Palatino Linotype"/>
          <w:color w:val="000000" w:themeColor="text1"/>
          <w:sz w:val="22"/>
          <w:szCs w:val="22"/>
        </w:rPr>
        <w:t xml:space="preserve">El </w:t>
      </w:r>
      <w:r w:rsidR="00871B5E" w:rsidRPr="00D34D61">
        <w:rPr>
          <w:rStyle w:val="Ttulo2Car"/>
          <w:rFonts w:ascii="Palatino Linotype" w:hAnsi="Palatino Linotype"/>
          <w:color w:val="000000" w:themeColor="text1"/>
          <w:sz w:val="22"/>
          <w:szCs w:val="22"/>
        </w:rPr>
        <w:t>diecinueve</w:t>
      </w:r>
      <w:r w:rsidR="0095305F" w:rsidRPr="00D34D61">
        <w:rPr>
          <w:rStyle w:val="Ttulo2Car"/>
          <w:rFonts w:ascii="Palatino Linotype" w:hAnsi="Palatino Linotype"/>
          <w:color w:val="000000" w:themeColor="text1"/>
          <w:sz w:val="22"/>
          <w:szCs w:val="22"/>
        </w:rPr>
        <w:t xml:space="preserve"> de </w:t>
      </w:r>
      <w:r w:rsidR="00871B5E" w:rsidRPr="00D34D61">
        <w:rPr>
          <w:rStyle w:val="Ttulo2Car"/>
          <w:rFonts w:ascii="Palatino Linotype" w:hAnsi="Palatino Linotype"/>
          <w:color w:val="000000" w:themeColor="text1"/>
          <w:sz w:val="22"/>
          <w:szCs w:val="22"/>
        </w:rPr>
        <w:t>marzo</w:t>
      </w:r>
      <w:r w:rsidR="0095305F" w:rsidRPr="00D34D61">
        <w:rPr>
          <w:rStyle w:val="Ttulo2Car"/>
          <w:rFonts w:ascii="Palatino Linotype" w:hAnsi="Palatino Linotype"/>
          <w:color w:val="000000" w:themeColor="text1"/>
          <w:sz w:val="22"/>
          <w:szCs w:val="22"/>
        </w:rPr>
        <w:t xml:space="preserve"> de dos mil veinticinco, a través de</w:t>
      </w:r>
      <w:r w:rsidR="00007F3F" w:rsidRPr="00D34D61">
        <w:rPr>
          <w:rStyle w:val="Ttulo2Car"/>
          <w:rFonts w:ascii="Palatino Linotype" w:hAnsi="Palatino Linotype"/>
          <w:color w:val="000000" w:themeColor="text1"/>
          <w:sz w:val="22"/>
          <w:szCs w:val="22"/>
        </w:rPr>
        <w:t>l</w:t>
      </w:r>
      <w:r w:rsidR="0095305F" w:rsidRPr="00D34D61">
        <w:rPr>
          <w:rStyle w:val="Ttulo2Car"/>
          <w:rFonts w:ascii="Palatino Linotype" w:hAnsi="Palatino Linotype"/>
          <w:color w:val="000000" w:themeColor="text1"/>
          <w:sz w:val="22"/>
          <w:szCs w:val="22"/>
        </w:rPr>
        <w:t xml:space="preserve"> Sistema de Acceso a la Información Mexiquense (SAIMEX), </w:t>
      </w:r>
      <w:r w:rsidR="00007F3F" w:rsidRPr="00D34D61">
        <w:rPr>
          <w:rStyle w:val="Ttulo2Car"/>
          <w:rFonts w:ascii="Palatino Linotype" w:hAnsi="Palatino Linotype"/>
          <w:color w:val="000000" w:themeColor="text1"/>
          <w:sz w:val="22"/>
          <w:szCs w:val="22"/>
        </w:rPr>
        <w:t xml:space="preserve">se recibió en este Instituto </w:t>
      </w:r>
      <w:r w:rsidR="0095305F" w:rsidRPr="00D34D61">
        <w:rPr>
          <w:rStyle w:val="Ttulo2Car"/>
          <w:rFonts w:ascii="Palatino Linotype" w:hAnsi="Palatino Linotype"/>
          <w:color w:val="000000" w:themeColor="text1"/>
          <w:sz w:val="22"/>
          <w:szCs w:val="22"/>
        </w:rPr>
        <w:t xml:space="preserve">el Informe Justificado </w:t>
      </w:r>
      <w:r w:rsidR="00007F3F" w:rsidRPr="00D34D61">
        <w:rPr>
          <w:rStyle w:val="Ttulo2Car"/>
          <w:rFonts w:ascii="Palatino Linotype" w:hAnsi="Palatino Linotype"/>
          <w:color w:val="000000" w:themeColor="text1"/>
          <w:sz w:val="22"/>
          <w:szCs w:val="22"/>
        </w:rPr>
        <w:t>por parte del</w:t>
      </w:r>
      <w:r w:rsidR="0095305F" w:rsidRPr="00D34D61">
        <w:rPr>
          <w:rStyle w:val="Ttulo2Car"/>
          <w:rFonts w:ascii="Palatino Linotype" w:hAnsi="Palatino Linotype"/>
          <w:color w:val="000000" w:themeColor="text1"/>
          <w:sz w:val="22"/>
          <w:szCs w:val="22"/>
        </w:rPr>
        <w:t xml:space="preserve"> Sujeto Obligado, </w:t>
      </w:r>
      <w:r w:rsidR="00007F3F" w:rsidRPr="00D34D61">
        <w:rPr>
          <w:rStyle w:val="Ttulo2Car"/>
          <w:rFonts w:ascii="Palatino Linotype" w:hAnsi="Palatino Linotype"/>
          <w:color w:val="000000" w:themeColor="text1"/>
          <w:sz w:val="22"/>
          <w:szCs w:val="22"/>
        </w:rPr>
        <w:t xml:space="preserve">por medio de los documentos siguientes: </w:t>
      </w:r>
    </w:p>
    <w:p w14:paraId="2DE74A13" w14:textId="77777777" w:rsidR="00007F3F" w:rsidRPr="00D34D61" w:rsidRDefault="00007F3F" w:rsidP="008F72BB">
      <w:pPr>
        <w:tabs>
          <w:tab w:val="left" w:pos="3261"/>
        </w:tabs>
        <w:spacing w:after="0" w:line="360" w:lineRule="auto"/>
        <w:rPr>
          <w:rStyle w:val="Ttulo2Car"/>
          <w:rFonts w:ascii="Palatino Linotype" w:hAnsi="Palatino Linotype"/>
          <w:color w:val="000000" w:themeColor="text1"/>
          <w:sz w:val="22"/>
          <w:szCs w:val="22"/>
        </w:rPr>
      </w:pPr>
    </w:p>
    <w:p w14:paraId="5947AA09" w14:textId="77777777" w:rsidR="00F0066B" w:rsidRPr="00D34D61" w:rsidRDefault="00007F3F" w:rsidP="008F72BB">
      <w:pPr>
        <w:tabs>
          <w:tab w:val="left" w:pos="3261"/>
        </w:tabs>
        <w:spacing w:after="0" w:line="360" w:lineRule="auto"/>
        <w:rPr>
          <w:rStyle w:val="Ttulo2Car"/>
          <w:rFonts w:ascii="Palatino Linotype" w:hAnsi="Palatino Linotype"/>
          <w:color w:val="000000" w:themeColor="text1"/>
          <w:sz w:val="22"/>
          <w:szCs w:val="22"/>
        </w:rPr>
      </w:pPr>
      <w:r w:rsidRPr="00D34D61">
        <w:rPr>
          <w:rStyle w:val="Ttulo2Car"/>
          <w:rFonts w:ascii="Palatino Linotype" w:hAnsi="Palatino Linotype"/>
          <w:color w:val="000000" w:themeColor="text1"/>
          <w:sz w:val="22"/>
          <w:szCs w:val="22"/>
        </w:rPr>
        <w:t>i)</w:t>
      </w:r>
      <w:r w:rsidR="0095305F" w:rsidRPr="00D34D61">
        <w:rPr>
          <w:rStyle w:val="Ttulo2Car"/>
          <w:rFonts w:ascii="Palatino Linotype" w:hAnsi="Palatino Linotype"/>
          <w:color w:val="000000" w:themeColor="text1"/>
          <w:sz w:val="22"/>
          <w:szCs w:val="22"/>
        </w:rPr>
        <w:t xml:space="preserve"> </w:t>
      </w:r>
      <w:r w:rsidRPr="00D34D61">
        <w:rPr>
          <w:rStyle w:val="Ttulo2Car"/>
          <w:rFonts w:ascii="Palatino Linotype" w:hAnsi="Palatino Linotype"/>
          <w:color w:val="000000" w:themeColor="text1"/>
          <w:sz w:val="22"/>
          <w:szCs w:val="22"/>
        </w:rPr>
        <w:t>O</w:t>
      </w:r>
      <w:r w:rsidR="0095305F" w:rsidRPr="00D34D61">
        <w:rPr>
          <w:rStyle w:val="Ttulo2Car"/>
          <w:rFonts w:ascii="Palatino Linotype" w:hAnsi="Palatino Linotype"/>
          <w:color w:val="000000" w:themeColor="text1"/>
          <w:sz w:val="22"/>
          <w:szCs w:val="22"/>
        </w:rPr>
        <w:t xml:space="preserve">ficio número </w:t>
      </w:r>
      <w:r w:rsidR="007475D7" w:rsidRPr="00D34D61">
        <w:rPr>
          <w:rStyle w:val="Ttulo2Car"/>
          <w:rFonts w:ascii="Palatino Linotype" w:hAnsi="Palatino Linotype"/>
          <w:color w:val="000000" w:themeColor="text1"/>
          <w:sz w:val="22"/>
          <w:szCs w:val="22"/>
        </w:rPr>
        <w:t>DRH/REL/NÚM.01193</w:t>
      </w:r>
      <w:r w:rsidR="0095305F" w:rsidRPr="00D34D61">
        <w:rPr>
          <w:rStyle w:val="Ttulo2Car"/>
          <w:rFonts w:ascii="Palatino Linotype" w:hAnsi="Palatino Linotype"/>
          <w:color w:val="000000" w:themeColor="text1"/>
          <w:sz w:val="22"/>
          <w:szCs w:val="22"/>
        </w:rPr>
        <w:t xml:space="preserve">/2025, del </w:t>
      </w:r>
      <w:r w:rsidR="007475D7" w:rsidRPr="00D34D61">
        <w:rPr>
          <w:rStyle w:val="Ttulo2Car"/>
          <w:rFonts w:ascii="Palatino Linotype" w:hAnsi="Palatino Linotype"/>
          <w:color w:val="000000" w:themeColor="text1"/>
          <w:sz w:val="22"/>
          <w:szCs w:val="22"/>
        </w:rPr>
        <w:t>siete</w:t>
      </w:r>
      <w:r w:rsidR="0095305F" w:rsidRPr="00D34D61">
        <w:rPr>
          <w:rStyle w:val="Ttulo2Car"/>
          <w:rFonts w:ascii="Palatino Linotype" w:hAnsi="Palatino Linotype"/>
          <w:color w:val="000000" w:themeColor="text1"/>
          <w:sz w:val="22"/>
          <w:szCs w:val="22"/>
        </w:rPr>
        <w:t xml:space="preserve"> de </w:t>
      </w:r>
      <w:r w:rsidR="007475D7" w:rsidRPr="00D34D61">
        <w:rPr>
          <w:rStyle w:val="Ttulo2Car"/>
          <w:rFonts w:ascii="Palatino Linotype" w:hAnsi="Palatino Linotype"/>
          <w:color w:val="000000" w:themeColor="text1"/>
          <w:sz w:val="22"/>
          <w:szCs w:val="22"/>
        </w:rPr>
        <w:t>marzo</w:t>
      </w:r>
      <w:r w:rsidR="0095305F" w:rsidRPr="00D34D61">
        <w:rPr>
          <w:rStyle w:val="Ttulo2Car"/>
          <w:rFonts w:ascii="Palatino Linotype" w:hAnsi="Palatino Linotype"/>
          <w:color w:val="000000" w:themeColor="text1"/>
          <w:sz w:val="22"/>
          <w:szCs w:val="22"/>
        </w:rPr>
        <w:t xml:space="preserve"> de dos mil veinticinco, suscrito por </w:t>
      </w:r>
      <w:r w:rsidR="007475D7" w:rsidRPr="00D34D61">
        <w:rPr>
          <w:rStyle w:val="Ttulo2Car"/>
          <w:rFonts w:ascii="Palatino Linotype" w:hAnsi="Palatino Linotype"/>
          <w:color w:val="000000" w:themeColor="text1"/>
          <w:sz w:val="22"/>
          <w:szCs w:val="22"/>
        </w:rPr>
        <w:t>el Encargado del Despacho de la Dirección de Recursos Humanos</w:t>
      </w:r>
      <w:r w:rsidRPr="00D34D61">
        <w:rPr>
          <w:rStyle w:val="Ttulo2Car"/>
          <w:rFonts w:ascii="Palatino Linotype" w:hAnsi="Palatino Linotype"/>
          <w:color w:val="000000" w:themeColor="text1"/>
          <w:sz w:val="22"/>
          <w:szCs w:val="22"/>
        </w:rPr>
        <w:t xml:space="preserve"> y dirigido al </w:t>
      </w:r>
      <w:r w:rsidR="007475D7" w:rsidRPr="00D34D61">
        <w:rPr>
          <w:rStyle w:val="Ttulo2Car"/>
          <w:rFonts w:ascii="Palatino Linotype" w:hAnsi="Palatino Linotype"/>
          <w:color w:val="000000" w:themeColor="text1"/>
          <w:sz w:val="22"/>
          <w:szCs w:val="22"/>
        </w:rPr>
        <w:t>Director de Transparencia Universitaria</w:t>
      </w:r>
      <w:r w:rsidR="0095305F" w:rsidRPr="00D34D61">
        <w:rPr>
          <w:rStyle w:val="Ttulo2Car"/>
          <w:rFonts w:ascii="Palatino Linotype" w:hAnsi="Palatino Linotype"/>
          <w:color w:val="000000" w:themeColor="text1"/>
          <w:sz w:val="22"/>
          <w:szCs w:val="22"/>
        </w:rPr>
        <w:t xml:space="preserve">, </w:t>
      </w:r>
      <w:r w:rsidR="00F0066B" w:rsidRPr="00D34D61">
        <w:rPr>
          <w:rStyle w:val="Ttulo2Car"/>
          <w:rFonts w:ascii="Palatino Linotype" w:hAnsi="Palatino Linotype"/>
          <w:color w:val="000000" w:themeColor="text1"/>
          <w:sz w:val="22"/>
          <w:szCs w:val="22"/>
        </w:rPr>
        <w:t xml:space="preserve">en los siguientes términos: </w:t>
      </w:r>
    </w:p>
    <w:p w14:paraId="140D3F91" w14:textId="77777777" w:rsidR="00F0066B" w:rsidRPr="00D34D61" w:rsidRDefault="00F0066B" w:rsidP="008F72BB">
      <w:pPr>
        <w:tabs>
          <w:tab w:val="left" w:pos="3261"/>
        </w:tabs>
        <w:spacing w:after="0" w:line="360" w:lineRule="auto"/>
        <w:rPr>
          <w:rStyle w:val="Ttulo2Car"/>
          <w:rFonts w:ascii="Palatino Linotype" w:hAnsi="Palatino Linotype"/>
          <w:color w:val="000000" w:themeColor="text1"/>
          <w:sz w:val="22"/>
          <w:szCs w:val="22"/>
        </w:rPr>
      </w:pPr>
    </w:p>
    <w:p w14:paraId="3776F2DC" w14:textId="5B4C6502" w:rsidR="007475D7" w:rsidRPr="00D34D61" w:rsidRDefault="007475D7" w:rsidP="008F72BB">
      <w:pPr>
        <w:tabs>
          <w:tab w:val="left" w:pos="3261"/>
        </w:tabs>
        <w:spacing w:after="0" w:line="360" w:lineRule="auto"/>
        <w:ind w:left="567" w:right="567"/>
        <w:rPr>
          <w:rStyle w:val="Ttulo2Car"/>
          <w:rFonts w:ascii="Palatino Linotype" w:hAnsi="Palatino Linotype"/>
          <w:color w:val="000000" w:themeColor="text1"/>
          <w:sz w:val="20"/>
          <w:szCs w:val="22"/>
        </w:rPr>
      </w:pPr>
      <w:r w:rsidRPr="00D34D61">
        <w:rPr>
          <w:rStyle w:val="Ttulo2Car"/>
          <w:rFonts w:ascii="Palatino Linotype" w:hAnsi="Palatino Linotype"/>
          <w:color w:val="000000" w:themeColor="text1"/>
          <w:sz w:val="20"/>
          <w:szCs w:val="22"/>
        </w:rPr>
        <w:t xml:space="preserve"> </w:t>
      </w:r>
      <w:r w:rsidRPr="00D34D61">
        <w:rPr>
          <w:rStyle w:val="Ttulo2Car"/>
          <w:rFonts w:ascii="Palatino Linotype" w:hAnsi="Palatino Linotype"/>
          <w:i/>
          <w:color w:val="000000" w:themeColor="text1"/>
          <w:sz w:val="20"/>
          <w:szCs w:val="22"/>
        </w:rPr>
        <w:t xml:space="preserve">“En la respuesta que se proporcionó a dicho requerimiento, se informó que en los archivos de la Dirección de Recursos Humanos no se cuentan con la información procesada conforme a lo solicitado, por lo cual, de acuerdo a lo establecido en el artículo 12 de la Ley de Transparencia y </w:t>
      </w:r>
      <w:r w:rsidRPr="00D34D61">
        <w:rPr>
          <w:rStyle w:val="Ttulo2Car"/>
          <w:rFonts w:ascii="Palatino Linotype" w:hAnsi="Palatino Linotype"/>
          <w:i/>
          <w:color w:val="000000" w:themeColor="text1"/>
          <w:sz w:val="20"/>
          <w:szCs w:val="22"/>
        </w:rPr>
        <w:lastRenderedPageBreak/>
        <w:t xml:space="preserve">Acceso a la Información Pública del Estado de México y Municipios, no es posible proporcionar la información en los términos requeridos, esto en función de que en esta Dirección no se cuenta con los CFDI generados de todos los trabajadores universitarios, lo que entra en los supuestos establecidos en el </w:t>
      </w:r>
      <w:proofErr w:type="spellStart"/>
      <w:r w:rsidRPr="00D34D61">
        <w:rPr>
          <w:rStyle w:val="Ttulo2Car"/>
          <w:rFonts w:ascii="Palatino Linotype" w:hAnsi="Palatino Linotype"/>
          <w:i/>
          <w:color w:val="000000" w:themeColor="text1"/>
          <w:sz w:val="20"/>
          <w:szCs w:val="22"/>
        </w:rPr>
        <w:t>articulo</w:t>
      </w:r>
      <w:proofErr w:type="spellEnd"/>
      <w:r w:rsidRPr="00D34D61">
        <w:rPr>
          <w:rStyle w:val="Ttulo2Car"/>
          <w:rFonts w:ascii="Palatino Linotype" w:hAnsi="Palatino Linotype"/>
          <w:i/>
          <w:color w:val="000000" w:themeColor="text1"/>
          <w:sz w:val="20"/>
          <w:szCs w:val="22"/>
        </w:rPr>
        <w:t xml:space="preserve"> 12 en comento, el cual establece que la obligación de proporcionar información no comprende el procesamiento de la misma y no existe la obligación de generarla, lo que tendría que acontecer en el caso concreto.”</w:t>
      </w:r>
    </w:p>
    <w:p w14:paraId="2C45831D" w14:textId="77777777" w:rsidR="00007F3F" w:rsidRPr="00D34D61" w:rsidRDefault="00007F3F" w:rsidP="008F72BB">
      <w:pPr>
        <w:tabs>
          <w:tab w:val="left" w:pos="3261"/>
        </w:tabs>
        <w:spacing w:after="0" w:line="360" w:lineRule="auto"/>
        <w:rPr>
          <w:rStyle w:val="Ttulo2Car"/>
          <w:rFonts w:ascii="Palatino Linotype" w:hAnsi="Palatino Linotype"/>
          <w:color w:val="000000" w:themeColor="text1"/>
          <w:sz w:val="22"/>
          <w:szCs w:val="22"/>
        </w:rPr>
      </w:pPr>
    </w:p>
    <w:p w14:paraId="78E475EA" w14:textId="0621B030" w:rsidR="00AE1849" w:rsidRPr="00D34D61" w:rsidRDefault="00007F3F" w:rsidP="008F72BB">
      <w:pPr>
        <w:tabs>
          <w:tab w:val="left" w:pos="3261"/>
        </w:tabs>
        <w:spacing w:after="0" w:line="360" w:lineRule="auto"/>
        <w:rPr>
          <w:rStyle w:val="Ttulo2Car"/>
          <w:rFonts w:ascii="Palatino Linotype" w:hAnsi="Palatino Linotype"/>
          <w:color w:val="000000" w:themeColor="text1"/>
          <w:sz w:val="22"/>
          <w:szCs w:val="22"/>
        </w:rPr>
      </w:pPr>
      <w:r w:rsidRPr="00D34D61">
        <w:rPr>
          <w:rStyle w:val="Ttulo2Car"/>
          <w:rFonts w:ascii="Palatino Linotype" w:hAnsi="Palatino Linotype"/>
          <w:color w:val="000000" w:themeColor="text1"/>
          <w:sz w:val="22"/>
          <w:szCs w:val="22"/>
        </w:rPr>
        <w:t>ii)</w:t>
      </w:r>
      <w:r w:rsidR="00AE1849" w:rsidRPr="00D34D61">
        <w:rPr>
          <w:rStyle w:val="Ttulo2Car"/>
          <w:rFonts w:ascii="Palatino Linotype" w:hAnsi="Palatino Linotype"/>
          <w:color w:val="000000" w:themeColor="text1"/>
          <w:sz w:val="22"/>
          <w:szCs w:val="22"/>
        </w:rPr>
        <w:t xml:space="preserve"> </w:t>
      </w:r>
      <w:r w:rsidRPr="00D34D61">
        <w:rPr>
          <w:rStyle w:val="Ttulo2Car"/>
          <w:rFonts w:ascii="Palatino Linotype" w:hAnsi="Palatino Linotype"/>
          <w:color w:val="000000" w:themeColor="text1"/>
          <w:sz w:val="22"/>
          <w:szCs w:val="22"/>
        </w:rPr>
        <w:t>O</w:t>
      </w:r>
      <w:r w:rsidR="00AE1849" w:rsidRPr="00D34D61">
        <w:rPr>
          <w:rStyle w:val="Ttulo2Car"/>
          <w:rFonts w:ascii="Palatino Linotype" w:hAnsi="Palatino Linotype"/>
          <w:color w:val="000000" w:themeColor="text1"/>
          <w:sz w:val="22"/>
          <w:szCs w:val="22"/>
        </w:rPr>
        <w:t xml:space="preserve">ficio </w:t>
      </w:r>
      <w:r w:rsidR="00903685" w:rsidRPr="00D34D61">
        <w:rPr>
          <w:rStyle w:val="Ttulo2Car"/>
          <w:rFonts w:ascii="Palatino Linotype" w:hAnsi="Palatino Linotype"/>
          <w:color w:val="000000" w:themeColor="text1"/>
          <w:sz w:val="22"/>
          <w:szCs w:val="22"/>
        </w:rPr>
        <w:t>sin número</w:t>
      </w:r>
      <w:r w:rsidR="00AE1849" w:rsidRPr="00D34D61">
        <w:rPr>
          <w:rStyle w:val="Ttulo2Car"/>
          <w:rFonts w:ascii="Palatino Linotype" w:hAnsi="Palatino Linotype"/>
          <w:color w:val="000000" w:themeColor="text1"/>
          <w:sz w:val="22"/>
          <w:szCs w:val="22"/>
        </w:rPr>
        <w:t xml:space="preserve">, del </w:t>
      </w:r>
      <w:r w:rsidR="00903685" w:rsidRPr="00D34D61">
        <w:rPr>
          <w:rStyle w:val="Ttulo2Car"/>
          <w:rFonts w:ascii="Palatino Linotype" w:hAnsi="Palatino Linotype"/>
          <w:color w:val="000000" w:themeColor="text1"/>
          <w:sz w:val="22"/>
          <w:szCs w:val="22"/>
        </w:rPr>
        <w:t>veinte</w:t>
      </w:r>
      <w:r w:rsidR="00AE1849" w:rsidRPr="00D34D61">
        <w:rPr>
          <w:rStyle w:val="Ttulo2Car"/>
          <w:rFonts w:ascii="Palatino Linotype" w:hAnsi="Palatino Linotype"/>
          <w:color w:val="000000" w:themeColor="text1"/>
          <w:sz w:val="22"/>
          <w:szCs w:val="22"/>
        </w:rPr>
        <w:t xml:space="preserve"> de </w:t>
      </w:r>
      <w:r w:rsidR="00903685" w:rsidRPr="00D34D61">
        <w:rPr>
          <w:rStyle w:val="Ttulo2Car"/>
          <w:rFonts w:ascii="Palatino Linotype" w:hAnsi="Palatino Linotype"/>
          <w:color w:val="000000" w:themeColor="text1"/>
          <w:sz w:val="22"/>
          <w:szCs w:val="22"/>
        </w:rPr>
        <w:t>marzo</w:t>
      </w:r>
      <w:r w:rsidR="00AE1849" w:rsidRPr="00D34D61">
        <w:rPr>
          <w:rStyle w:val="Ttulo2Car"/>
          <w:rFonts w:ascii="Palatino Linotype" w:hAnsi="Palatino Linotype"/>
          <w:color w:val="000000" w:themeColor="text1"/>
          <w:sz w:val="22"/>
          <w:szCs w:val="22"/>
        </w:rPr>
        <w:t xml:space="preserve"> de </w:t>
      </w:r>
      <w:r w:rsidRPr="00D34D61">
        <w:rPr>
          <w:rStyle w:val="Ttulo2Car"/>
          <w:rFonts w:ascii="Palatino Linotype" w:hAnsi="Palatino Linotype"/>
          <w:color w:val="000000" w:themeColor="text1"/>
          <w:sz w:val="22"/>
          <w:szCs w:val="22"/>
        </w:rPr>
        <w:t>dos mil veinticinco</w:t>
      </w:r>
      <w:r w:rsidR="00AE1849" w:rsidRPr="00D34D61">
        <w:rPr>
          <w:rStyle w:val="Ttulo2Car"/>
          <w:rFonts w:ascii="Palatino Linotype" w:hAnsi="Palatino Linotype"/>
          <w:color w:val="000000" w:themeColor="text1"/>
          <w:sz w:val="22"/>
          <w:szCs w:val="22"/>
        </w:rPr>
        <w:t xml:space="preserve">, suscrito por el Director de </w:t>
      </w:r>
      <w:r w:rsidR="00AB2611" w:rsidRPr="00D34D61">
        <w:rPr>
          <w:rStyle w:val="Ttulo2Car"/>
          <w:rFonts w:ascii="Palatino Linotype" w:hAnsi="Palatino Linotype"/>
          <w:color w:val="000000" w:themeColor="text1"/>
          <w:sz w:val="22"/>
          <w:szCs w:val="22"/>
        </w:rPr>
        <w:t xml:space="preserve">Transparencia Universitaria </w:t>
      </w:r>
      <w:r w:rsidRPr="00D34D61">
        <w:rPr>
          <w:rStyle w:val="Ttulo2Car"/>
          <w:rFonts w:ascii="Palatino Linotype" w:hAnsi="Palatino Linotype"/>
          <w:color w:val="000000" w:themeColor="text1"/>
          <w:sz w:val="22"/>
          <w:szCs w:val="22"/>
        </w:rPr>
        <w:t xml:space="preserve">y dirigido al </w:t>
      </w:r>
      <w:r w:rsidR="00AB2611" w:rsidRPr="00D34D61">
        <w:rPr>
          <w:rStyle w:val="Ttulo2Car"/>
          <w:rFonts w:ascii="Palatino Linotype" w:hAnsi="Palatino Linotype"/>
          <w:color w:val="000000" w:themeColor="text1"/>
          <w:sz w:val="22"/>
          <w:szCs w:val="22"/>
        </w:rPr>
        <w:t>Comisionado Ponente</w:t>
      </w:r>
      <w:r w:rsidR="00AE1849" w:rsidRPr="00D34D61">
        <w:rPr>
          <w:rStyle w:val="Ttulo2Car"/>
          <w:rFonts w:ascii="Palatino Linotype" w:hAnsi="Palatino Linotype"/>
          <w:color w:val="000000" w:themeColor="text1"/>
          <w:sz w:val="22"/>
          <w:szCs w:val="22"/>
        </w:rPr>
        <w:t xml:space="preserve">, por medio del cual </w:t>
      </w:r>
      <w:r w:rsidR="00E519AF" w:rsidRPr="00D34D61">
        <w:rPr>
          <w:rStyle w:val="Ttulo2Car"/>
          <w:rFonts w:ascii="Palatino Linotype" w:hAnsi="Palatino Linotype"/>
          <w:color w:val="000000" w:themeColor="text1"/>
          <w:sz w:val="22"/>
          <w:szCs w:val="22"/>
        </w:rPr>
        <w:t xml:space="preserve">ratificó  su respuesta, de conformidad con lo siguiente: </w:t>
      </w:r>
    </w:p>
    <w:p w14:paraId="5570C22E" w14:textId="77777777" w:rsidR="00E519AF" w:rsidRPr="00D34D61" w:rsidRDefault="00E519AF" w:rsidP="008F72BB">
      <w:pPr>
        <w:tabs>
          <w:tab w:val="left" w:pos="3261"/>
        </w:tabs>
        <w:spacing w:after="0" w:line="360" w:lineRule="auto"/>
        <w:rPr>
          <w:rStyle w:val="Ttulo2Car"/>
          <w:rFonts w:ascii="Palatino Linotype" w:hAnsi="Palatino Linotype"/>
          <w:color w:val="000000" w:themeColor="text1"/>
          <w:sz w:val="22"/>
          <w:szCs w:val="22"/>
        </w:rPr>
      </w:pPr>
    </w:p>
    <w:p w14:paraId="61D64702" w14:textId="5CD8FCFC" w:rsidR="00E519AF" w:rsidRPr="00D34D61" w:rsidRDefault="00E519AF" w:rsidP="008F72BB">
      <w:pPr>
        <w:tabs>
          <w:tab w:val="left" w:pos="3261"/>
        </w:tabs>
        <w:spacing w:after="0" w:line="360" w:lineRule="auto"/>
        <w:ind w:left="567" w:right="567"/>
        <w:rPr>
          <w:rStyle w:val="Ttulo2Car"/>
          <w:rFonts w:ascii="Palatino Linotype" w:hAnsi="Palatino Linotype"/>
          <w:i/>
          <w:color w:val="000000" w:themeColor="text1"/>
          <w:sz w:val="20"/>
          <w:szCs w:val="22"/>
        </w:rPr>
      </w:pPr>
      <w:r w:rsidRPr="00D34D61">
        <w:rPr>
          <w:rStyle w:val="Ttulo2Car"/>
          <w:rFonts w:ascii="Palatino Linotype" w:hAnsi="Palatino Linotype"/>
          <w:i/>
          <w:color w:val="000000" w:themeColor="text1"/>
          <w:sz w:val="20"/>
          <w:szCs w:val="22"/>
        </w:rPr>
        <w:t xml:space="preserve">“ </w:t>
      </w:r>
      <w:r w:rsidR="005B7160" w:rsidRPr="00D34D61">
        <w:rPr>
          <w:rStyle w:val="Ttulo2Car"/>
          <w:rFonts w:ascii="Palatino Linotype" w:hAnsi="Palatino Linotype"/>
          <w:i/>
          <w:color w:val="000000" w:themeColor="text1"/>
          <w:sz w:val="20"/>
          <w:szCs w:val="22"/>
        </w:rPr>
        <w:t>…</w:t>
      </w:r>
    </w:p>
    <w:p w14:paraId="0B6E3D52" w14:textId="0C58D061" w:rsidR="005B7160" w:rsidRPr="00D34D61" w:rsidRDefault="005B7160" w:rsidP="008F72BB">
      <w:pPr>
        <w:tabs>
          <w:tab w:val="left" w:pos="3261"/>
        </w:tabs>
        <w:spacing w:after="0" w:line="360" w:lineRule="auto"/>
        <w:ind w:left="567" w:right="567"/>
        <w:rPr>
          <w:rStyle w:val="Ttulo2Car"/>
          <w:rFonts w:ascii="Palatino Linotype" w:hAnsi="Palatino Linotype"/>
          <w:i/>
          <w:color w:val="000000" w:themeColor="text1"/>
          <w:sz w:val="20"/>
          <w:szCs w:val="22"/>
        </w:rPr>
      </w:pPr>
      <w:r w:rsidRPr="00D34D61">
        <w:rPr>
          <w:rStyle w:val="Ttulo2Car"/>
          <w:rFonts w:ascii="Palatino Linotype" w:hAnsi="Palatino Linotype"/>
          <w:i/>
          <w:color w:val="000000" w:themeColor="text1"/>
          <w:sz w:val="20"/>
          <w:szCs w:val="22"/>
        </w:rPr>
        <w:t xml:space="preserve">PRIMERO: solicito </w:t>
      </w:r>
      <w:r w:rsidRPr="00D34D61">
        <w:rPr>
          <w:rStyle w:val="Ttulo2Car"/>
          <w:rFonts w:ascii="Palatino Linotype" w:hAnsi="Palatino Linotype"/>
          <w:b/>
          <w:i/>
          <w:color w:val="000000" w:themeColor="text1"/>
          <w:sz w:val="20"/>
          <w:szCs w:val="22"/>
        </w:rPr>
        <w:t>se confirme la respuesta</w:t>
      </w:r>
      <w:r w:rsidRPr="00D34D61">
        <w:rPr>
          <w:rStyle w:val="Ttulo2Car"/>
          <w:rFonts w:ascii="Palatino Linotype" w:hAnsi="Palatino Linotype"/>
          <w:i/>
          <w:color w:val="000000" w:themeColor="text1"/>
          <w:sz w:val="20"/>
          <w:szCs w:val="22"/>
        </w:rPr>
        <w:t xml:space="preserve"> primigenia proporcionada por este sujeto obligado, ello, en términos del artículo 182 de la ley de la materia.</w:t>
      </w:r>
    </w:p>
    <w:p w14:paraId="27F1F60E" w14:textId="43EEF32F" w:rsidR="005B7160" w:rsidRPr="00D34D61" w:rsidRDefault="005B7160" w:rsidP="008F72BB">
      <w:pPr>
        <w:tabs>
          <w:tab w:val="left" w:pos="3261"/>
        </w:tabs>
        <w:spacing w:after="0" w:line="360" w:lineRule="auto"/>
        <w:ind w:left="567" w:right="567"/>
        <w:rPr>
          <w:rStyle w:val="Ttulo2Car"/>
          <w:rFonts w:ascii="Palatino Linotype" w:hAnsi="Palatino Linotype"/>
          <w:i/>
          <w:color w:val="000000" w:themeColor="text1"/>
          <w:sz w:val="20"/>
          <w:szCs w:val="22"/>
        </w:rPr>
      </w:pPr>
      <w:r w:rsidRPr="00D34D61">
        <w:rPr>
          <w:rStyle w:val="Ttulo2Car"/>
          <w:rFonts w:ascii="Palatino Linotype" w:hAnsi="Palatino Linotype"/>
          <w:i/>
          <w:color w:val="000000" w:themeColor="text1"/>
          <w:sz w:val="20"/>
          <w:szCs w:val="22"/>
        </w:rPr>
        <w:t>…</w:t>
      </w:r>
    </w:p>
    <w:p w14:paraId="40F4270B" w14:textId="029D00FA" w:rsidR="005B7160" w:rsidRPr="00D34D61" w:rsidRDefault="005B7160" w:rsidP="008F72BB">
      <w:pPr>
        <w:tabs>
          <w:tab w:val="left" w:pos="3261"/>
        </w:tabs>
        <w:spacing w:after="0" w:line="360" w:lineRule="auto"/>
        <w:ind w:left="567" w:right="567"/>
        <w:rPr>
          <w:rStyle w:val="Ttulo2Car"/>
          <w:rFonts w:ascii="Palatino Linotype" w:hAnsi="Palatino Linotype"/>
          <w:i/>
          <w:color w:val="000000" w:themeColor="text1"/>
          <w:sz w:val="20"/>
          <w:szCs w:val="22"/>
        </w:rPr>
      </w:pPr>
      <w:r w:rsidRPr="00D34D61">
        <w:rPr>
          <w:rStyle w:val="Ttulo2Car"/>
          <w:rFonts w:ascii="Palatino Linotype" w:hAnsi="Palatino Linotype"/>
          <w:i/>
          <w:color w:val="000000" w:themeColor="text1"/>
          <w:sz w:val="20"/>
          <w:szCs w:val="22"/>
        </w:rPr>
        <w:t xml:space="preserve">Por todo lo antes expuesto, remito a usted, Dr. Luis Gustavo Parra Noriega Comisionado en turno del Pleno del Instituto de Transparencia, Acceso a la Información Pública y Protección de Datos Personales del Estado de México y Municipios, el presente informe solicitando </w:t>
      </w:r>
      <w:r w:rsidRPr="00D34D61">
        <w:rPr>
          <w:rStyle w:val="Ttulo2Car"/>
          <w:rFonts w:ascii="Palatino Linotype" w:hAnsi="Palatino Linotype"/>
          <w:b/>
          <w:i/>
          <w:color w:val="000000" w:themeColor="text1"/>
          <w:sz w:val="20"/>
          <w:szCs w:val="22"/>
        </w:rPr>
        <w:t>sea confirmada la respuesta proporcionada</w:t>
      </w:r>
      <w:r w:rsidRPr="00D34D61">
        <w:rPr>
          <w:rStyle w:val="Ttulo2Car"/>
          <w:rFonts w:ascii="Palatino Linotype" w:hAnsi="Palatino Linotype"/>
          <w:i/>
          <w:color w:val="000000" w:themeColor="text1"/>
          <w:sz w:val="20"/>
          <w:szCs w:val="22"/>
        </w:rPr>
        <w:t>, por las razones y motivos expresados con anterioridad.</w:t>
      </w:r>
    </w:p>
    <w:p w14:paraId="2B28109D" w14:textId="30491CB2" w:rsidR="005B7160" w:rsidRPr="00D34D61" w:rsidRDefault="005B7160" w:rsidP="008F72BB">
      <w:pPr>
        <w:tabs>
          <w:tab w:val="left" w:pos="3261"/>
        </w:tabs>
        <w:spacing w:after="0" w:line="360" w:lineRule="auto"/>
        <w:ind w:left="567" w:right="567"/>
        <w:rPr>
          <w:rStyle w:val="Ttulo2Car"/>
          <w:rFonts w:ascii="Palatino Linotype" w:hAnsi="Palatino Linotype"/>
          <w:i/>
          <w:color w:val="000000" w:themeColor="text1"/>
          <w:sz w:val="20"/>
          <w:szCs w:val="22"/>
        </w:rPr>
      </w:pPr>
      <w:r w:rsidRPr="00D34D61">
        <w:rPr>
          <w:rStyle w:val="Ttulo2Car"/>
          <w:rFonts w:ascii="Palatino Linotype" w:hAnsi="Palatino Linotype"/>
          <w:i/>
          <w:color w:val="000000" w:themeColor="text1"/>
          <w:sz w:val="20"/>
          <w:szCs w:val="22"/>
        </w:rPr>
        <w:t>…”</w:t>
      </w:r>
    </w:p>
    <w:p w14:paraId="7F072CEF" w14:textId="441458F1" w:rsidR="003E55F1" w:rsidRPr="00D34D61" w:rsidRDefault="003E55F1" w:rsidP="008F72BB">
      <w:pPr>
        <w:tabs>
          <w:tab w:val="left" w:pos="3261"/>
        </w:tabs>
        <w:spacing w:after="0" w:line="360" w:lineRule="auto"/>
        <w:rPr>
          <w:rStyle w:val="Ttulo2Car"/>
          <w:rFonts w:ascii="Palatino Linotype" w:hAnsi="Palatino Linotype"/>
          <w:color w:val="000000" w:themeColor="text1"/>
          <w:sz w:val="22"/>
          <w:szCs w:val="22"/>
        </w:rPr>
      </w:pPr>
    </w:p>
    <w:p w14:paraId="69C36F1D" w14:textId="35BDE855" w:rsidR="00793460" w:rsidRPr="00D34D61" w:rsidRDefault="00793460" w:rsidP="008F72BB">
      <w:pPr>
        <w:tabs>
          <w:tab w:val="left" w:pos="3261"/>
        </w:tabs>
        <w:spacing w:after="0" w:line="360" w:lineRule="auto"/>
        <w:rPr>
          <w:rStyle w:val="Ttulo2Car"/>
          <w:rFonts w:ascii="Palatino Linotype" w:hAnsi="Palatino Linotype"/>
          <w:b/>
          <w:bCs/>
          <w:color w:val="000000" w:themeColor="text1"/>
          <w:sz w:val="22"/>
          <w:szCs w:val="22"/>
        </w:rPr>
      </w:pPr>
      <w:r w:rsidRPr="00D34D61">
        <w:rPr>
          <w:rStyle w:val="Ttulo2Car"/>
          <w:rFonts w:ascii="Palatino Linotype" w:hAnsi="Palatino Linotype"/>
          <w:b/>
          <w:color w:val="000000" w:themeColor="text1"/>
          <w:sz w:val="22"/>
          <w:szCs w:val="22"/>
        </w:rPr>
        <w:t>d) Vista del Informe Justificado.</w:t>
      </w:r>
      <w:r w:rsidRPr="00D34D61">
        <w:rPr>
          <w:rStyle w:val="Ttulo2Car"/>
          <w:rFonts w:ascii="Palatino Linotype" w:hAnsi="Palatino Linotype"/>
          <w:color w:val="000000" w:themeColor="text1"/>
          <w:sz w:val="22"/>
          <w:szCs w:val="22"/>
        </w:rPr>
        <w:t xml:space="preserve"> El </w:t>
      </w:r>
      <w:r w:rsidR="008B6D57" w:rsidRPr="00D34D61">
        <w:rPr>
          <w:rStyle w:val="Ttulo2Car"/>
          <w:rFonts w:ascii="Palatino Linotype" w:hAnsi="Palatino Linotype"/>
          <w:color w:val="000000" w:themeColor="text1"/>
          <w:sz w:val="22"/>
          <w:szCs w:val="22"/>
        </w:rPr>
        <w:t>siete de abril</w:t>
      </w:r>
      <w:r w:rsidRPr="00D34D61">
        <w:rPr>
          <w:rStyle w:val="Ttulo2Car"/>
          <w:rFonts w:ascii="Palatino Linotype" w:hAnsi="Palatino Linotype"/>
          <w:color w:val="000000" w:themeColor="text1"/>
          <w:sz w:val="22"/>
          <w:szCs w:val="22"/>
        </w:rPr>
        <w:t xml:space="preserve"> de dos mil veinticinco, se dictó acuerdo por medio del cual se puso a la vista del Recurrente el Informe Justificado entregado por el Sujeto Obligado, el cual fue notificado a las partes, el </w:t>
      </w:r>
      <w:r w:rsidR="009522EC" w:rsidRPr="00D34D61">
        <w:rPr>
          <w:rStyle w:val="Ttulo2Car"/>
          <w:rFonts w:ascii="Palatino Linotype" w:hAnsi="Palatino Linotype"/>
          <w:color w:val="000000" w:themeColor="text1"/>
          <w:sz w:val="22"/>
          <w:szCs w:val="22"/>
        </w:rPr>
        <w:t>día hábil siguiente</w:t>
      </w:r>
      <w:r w:rsidRPr="00D34D61">
        <w:rPr>
          <w:rStyle w:val="Ttulo2Car"/>
          <w:rFonts w:ascii="Palatino Linotype" w:hAnsi="Palatino Linotype"/>
          <w:color w:val="000000" w:themeColor="text1"/>
          <w:sz w:val="22"/>
          <w:szCs w:val="22"/>
        </w:rPr>
        <w:t xml:space="preserve">, a través del Sistema de Acceso a la Información Mexiquense (SAIMEX). </w:t>
      </w:r>
      <w:r w:rsidRPr="00D34D61">
        <w:rPr>
          <w:rStyle w:val="Ttulo2Car"/>
          <w:rFonts w:ascii="Palatino Linotype" w:hAnsi="Palatino Linotype"/>
          <w:b/>
          <w:bCs/>
          <w:color w:val="000000" w:themeColor="text1"/>
          <w:sz w:val="22"/>
          <w:szCs w:val="22"/>
        </w:rPr>
        <w:t>Cabe señalar que el Particular fue omiso en realizar manifestación alguna.</w:t>
      </w:r>
    </w:p>
    <w:bookmarkEnd w:id="10"/>
    <w:p w14:paraId="2950AAC1" w14:textId="77777777" w:rsidR="00B456E9" w:rsidRPr="00D34D61" w:rsidRDefault="00B456E9" w:rsidP="008F72BB">
      <w:pPr>
        <w:spacing w:after="0" w:line="360" w:lineRule="auto"/>
        <w:contextualSpacing/>
        <w:rPr>
          <w:rFonts w:cs="Tahoma"/>
          <w:b/>
          <w:color w:val="FF0000"/>
        </w:rPr>
      </w:pPr>
    </w:p>
    <w:p w14:paraId="403F7296" w14:textId="50D1A25E" w:rsidR="00DB3DC5" w:rsidRPr="00D34D61" w:rsidRDefault="00793460" w:rsidP="008F72BB">
      <w:pPr>
        <w:autoSpaceDE w:val="0"/>
        <w:autoSpaceDN w:val="0"/>
        <w:adjustRightInd w:val="0"/>
        <w:spacing w:after="0" w:line="360" w:lineRule="auto"/>
        <w:ind w:right="-28"/>
        <w:contextualSpacing/>
        <w:rPr>
          <w:rFonts w:eastAsia="Calibri" w:cs="Tahoma"/>
          <w:bCs/>
        </w:rPr>
      </w:pPr>
      <w:bookmarkStart w:id="11" w:name="_Toc189676774"/>
      <w:r w:rsidRPr="00D34D61">
        <w:rPr>
          <w:rStyle w:val="Ttulo2Car"/>
          <w:rFonts w:ascii="Palatino Linotype" w:hAnsi="Palatino Linotype"/>
          <w:b/>
          <w:bCs/>
          <w:color w:val="000000" w:themeColor="text1"/>
          <w:sz w:val="22"/>
          <w:szCs w:val="22"/>
        </w:rPr>
        <w:lastRenderedPageBreak/>
        <w:t>e</w:t>
      </w:r>
      <w:r w:rsidR="0014339D" w:rsidRPr="00D34D61">
        <w:rPr>
          <w:rStyle w:val="Ttulo2Car"/>
          <w:rFonts w:ascii="Palatino Linotype" w:hAnsi="Palatino Linotype"/>
          <w:b/>
          <w:bCs/>
          <w:color w:val="000000" w:themeColor="text1"/>
          <w:sz w:val="22"/>
          <w:szCs w:val="22"/>
        </w:rPr>
        <w:t xml:space="preserve">) </w:t>
      </w:r>
      <w:r w:rsidR="00DB3DC5" w:rsidRPr="00D34D61">
        <w:rPr>
          <w:rStyle w:val="Ttulo2Car"/>
          <w:rFonts w:ascii="Palatino Linotype" w:hAnsi="Palatino Linotype"/>
          <w:b/>
          <w:bCs/>
          <w:color w:val="000000" w:themeColor="text1"/>
          <w:sz w:val="22"/>
          <w:szCs w:val="22"/>
        </w:rPr>
        <w:t>Cierre de instrucción.</w:t>
      </w:r>
      <w:bookmarkEnd w:id="11"/>
      <w:r w:rsidR="00DB3DC5" w:rsidRPr="00D34D61">
        <w:rPr>
          <w:rFonts w:eastAsia="Times New Roman" w:cs="Tahoma"/>
          <w:szCs w:val="24"/>
          <w:lang w:eastAsia="es-ES"/>
        </w:rPr>
        <w:t xml:space="preserve"> El </w:t>
      </w:r>
      <w:r w:rsidR="009522EC" w:rsidRPr="00D34D61">
        <w:rPr>
          <w:rFonts w:eastAsia="Times New Roman" w:cs="Tahoma"/>
          <w:szCs w:val="24"/>
          <w:lang w:eastAsia="es-ES"/>
        </w:rPr>
        <w:t>veintiuno</w:t>
      </w:r>
      <w:r w:rsidR="008B6D57" w:rsidRPr="00D34D61">
        <w:rPr>
          <w:rFonts w:eastAsia="Times New Roman" w:cs="Tahoma"/>
          <w:szCs w:val="24"/>
          <w:lang w:eastAsia="es-ES"/>
        </w:rPr>
        <w:t xml:space="preserve"> de abril </w:t>
      </w:r>
      <w:r w:rsidR="00B732D1" w:rsidRPr="00D34D61">
        <w:rPr>
          <w:rFonts w:eastAsia="Times New Roman" w:cs="Tahoma"/>
          <w:szCs w:val="24"/>
          <w:lang w:eastAsia="es-ES"/>
        </w:rPr>
        <w:t>de dos mil veinticinco</w:t>
      </w:r>
      <w:r w:rsidR="00DB3DC5" w:rsidRPr="00D34D61">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D34D61">
        <w:rPr>
          <w:rFonts w:eastAsia="Times New Roman" w:cs="Tahoma"/>
          <w:szCs w:val="20"/>
          <w:lang w:val="es-ES" w:eastAsia="es-ES"/>
        </w:rPr>
        <w:t>Sistema de Acceso a la Información Mexiquense (SAIMEX)</w:t>
      </w:r>
      <w:r w:rsidR="00DB3DC5" w:rsidRPr="00D34D61">
        <w:rPr>
          <w:rFonts w:eastAsia="Times New Roman" w:cs="Tahoma"/>
          <w:szCs w:val="24"/>
          <w:lang w:eastAsia="es-ES"/>
        </w:rPr>
        <w:t xml:space="preserve">. </w:t>
      </w:r>
    </w:p>
    <w:p w14:paraId="44D053F7" w14:textId="77777777" w:rsidR="0014339D" w:rsidRPr="00D34D61" w:rsidRDefault="0014339D" w:rsidP="008F72BB">
      <w:pPr>
        <w:autoSpaceDE w:val="0"/>
        <w:autoSpaceDN w:val="0"/>
        <w:adjustRightInd w:val="0"/>
        <w:spacing w:after="0" w:line="360" w:lineRule="auto"/>
        <w:ind w:right="-28"/>
        <w:contextualSpacing/>
        <w:rPr>
          <w:rFonts w:eastAsia="Calibri" w:cs="Tahoma"/>
          <w:bCs/>
        </w:rPr>
      </w:pPr>
    </w:p>
    <w:p w14:paraId="5D1BB03E" w14:textId="77777777" w:rsidR="00DB3DC5" w:rsidRPr="00D34D61" w:rsidRDefault="00DB3DC5" w:rsidP="008F72BB">
      <w:pPr>
        <w:spacing w:after="0" w:line="360" w:lineRule="auto"/>
        <w:contextualSpacing/>
        <w:rPr>
          <w:rFonts w:eastAsia="Times New Roman" w:cs="Tahoma"/>
          <w:szCs w:val="24"/>
          <w:lang w:eastAsia="es-ES"/>
        </w:rPr>
      </w:pPr>
      <w:r w:rsidRPr="00D34D61">
        <w:rPr>
          <w:rFonts w:eastAsia="Times New Roman" w:cs="Tahoma"/>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536DF52D" w:rsidR="00DB3DC5" w:rsidRPr="00D34D61" w:rsidRDefault="00076681" w:rsidP="008F72BB">
      <w:pPr>
        <w:tabs>
          <w:tab w:val="left" w:pos="2985"/>
        </w:tabs>
        <w:spacing w:after="0" w:line="360" w:lineRule="auto"/>
        <w:contextualSpacing/>
        <w:rPr>
          <w:rFonts w:eastAsia="Times New Roman" w:cs="Tahoma"/>
          <w:b/>
          <w:color w:val="auto"/>
          <w:lang w:val="es-ES" w:eastAsia="es-ES"/>
        </w:rPr>
      </w:pPr>
      <w:r w:rsidRPr="00D34D61">
        <w:rPr>
          <w:rFonts w:eastAsia="Times New Roman" w:cs="Tahoma"/>
          <w:b/>
          <w:color w:val="auto"/>
          <w:lang w:val="es-ES" w:eastAsia="es-ES"/>
        </w:rPr>
        <w:tab/>
      </w:r>
    </w:p>
    <w:p w14:paraId="1AD6FB2C" w14:textId="338C6782" w:rsidR="00DB3DC5" w:rsidRPr="00D34D61" w:rsidRDefault="00076681" w:rsidP="008F72BB">
      <w:pPr>
        <w:pStyle w:val="Ttulo1"/>
        <w:spacing w:before="0" w:line="360" w:lineRule="auto"/>
        <w:jc w:val="center"/>
        <w:rPr>
          <w:rFonts w:ascii="Palatino Linotype" w:eastAsia="Times New Roman" w:hAnsi="Palatino Linotype"/>
          <w:b/>
          <w:color w:val="000000" w:themeColor="text1"/>
          <w:sz w:val="22"/>
          <w:szCs w:val="22"/>
          <w:lang w:val="es-ES" w:eastAsia="es-ES"/>
        </w:rPr>
      </w:pPr>
      <w:bookmarkStart w:id="12" w:name="_Toc189676775"/>
      <w:r w:rsidRPr="00D34D61">
        <w:rPr>
          <w:rFonts w:ascii="Palatino Linotype" w:eastAsia="Times New Roman" w:hAnsi="Palatino Linotype"/>
          <w:b/>
          <w:color w:val="000000" w:themeColor="text1"/>
          <w:sz w:val="22"/>
          <w:szCs w:val="22"/>
          <w:lang w:val="es-ES" w:eastAsia="es-ES"/>
        </w:rPr>
        <w:t>C O N S I D E R A N D O S</w:t>
      </w:r>
      <w:bookmarkEnd w:id="12"/>
    </w:p>
    <w:p w14:paraId="446E7524" w14:textId="77777777" w:rsidR="00DB3DC5" w:rsidRPr="00D34D61" w:rsidRDefault="00DB3DC5" w:rsidP="008F72BB">
      <w:pPr>
        <w:spacing w:after="0" w:line="360" w:lineRule="auto"/>
        <w:contextualSpacing/>
        <w:jc w:val="center"/>
        <w:rPr>
          <w:rFonts w:eastAsia="Times New Roman" w:cs="Tahoma"/>
          <w:b/>
          <w:color w:val="auto"/>
          <w:lang w:val="es-ES" w:eastAsia="es-ES"/>
        </w:rPr>
      </w:pPr>
    </w:p>
    <w:p w14:paraId="5C90BBB8" w14:textId="2F93BE5A" w:rsidR="00DB3DC5" w:rsidRPr="00D34D61" w:rsidRDefault="00DB3DC5" w:rsidP="008F72BB">
      <w:pPr>
        <w:pStyle w:val="Ttulo2"/>
        <w:spacing w:before="0" w:line="360" w:lineRule="auto"/>
        <w:rPr>
          <w:rFonts w:ascii="Palatino Linotype" w:eastAsia="Times New Roman" w:hAnsi="Palatino Linotype"/>
          <w:b/>
          <w:color w:val="000000" w:themeColor="text1"/>
          <w:sz w:val="22"/>
          <w:szCs w:val="22"/>
          <w:lang w:val="es-ES" w:eastAsia="es-ES"/>
        </w:rPr>
      </w:pPr>
      <w:bookmarkStart w:id="13" w:name="_Toc189676776"/>
      <w:r w:rsidRPr="00D34D61">
        <w:rPr>
          <w:rFonts w:ascii="Palatino Linotype" w:eastAsia="Calibri" w:hAnsi="Palatino Linotype"/>
          <w:b/>
          <w:color w:val="000000" w:themeColor="text1"/>
          <w:sz w:val="22"/>
          <w:szCs w:val="22"/>
          <w:lang w:val="es-ES" w:eastAsia="es-MX"/>
        </w:rPr>
        <w:t xml:space="preserve">PRIMERO. </w:t>
      </w:r>
      <w:r w:rsidR="00076681" w:rsidRPr="00D34D61">
        <w:rPr>
          <w:rFonts w:ascii="Palatino Linotype" w:eastAsia="Times New Roman" w:hAnsi="Palatino Linotype"/>
          <w:b/>
          <w:color w:val="000000" w:themeColor="text1"/>
          <w:sz w:val="22"/>
          <w:szCs w:val="22"/>
          <w:lang w:val="es-ES" w:eastAsia="es-ES"/>
        </w:rPr>
        <w:t>Competencia</w:t>
      </w:r>
      <w:bookmarkEnd w:id="13"/>
    </w:p>
    <w:p w14:paraId="377E7349" w14:textId="77777777" w:rsidR="00DB3DC5" w:rsidRPr="00D34D61" w:rsidRDefault="00DB3DC5" w:rsidP="008F72BB">
      <w:pPr>
        <w:autoSpaceDE w:val="0"/>
        <w:autoSpaceDN w:val="0"/>
        <w:adjustRightInd w:val="0"/>
        <w:spacing w:after="0" w:line="360" w:lineRule="auto"/>
        <w:contextualSpacing/>
        <w:rPr>
          <w:rFonts w:eastAsia="Times New Roman" w:cs="Tahoma"/>
          <w:b/>
          <w:color w:val="FF0000"/>
          <w:szCs w:val="24"/>
          <w:lang w:val="es-ES" w:eastAsia="es-ES"/>
        </w:rPr>
      </w:pPr>
    </w:p>
    <w:p w14:paraId="34F007D6" w14:textId="2CF3A15A" w:rsidR="00DB3DC5" w:rsidRPr="00D34D61" w:rsidRDefault="00C0397C" w:rsidP="008F72BB">
      <w:pPr>
        <w:autoSpaceDE w:val="0"/>
        <w:autoSpaceDN w:val="0"/>
        <w:adjustRightInd w:val="0"/>
        <w:spacing w:after="0" w:line="360" w:lineRule="auto"/>
        <w:contextualSpacing/>
        <w:rPr>
          <w:rFonts w:eastAsia="Times New Roman" w:cs="Tahoma"/>
          <w:bCs/>
          <w:color w:val="auto"/>
          <w:lang w:eastAsia="es-ES"/>
        </w:rPr>
      </w:pPr>
      <w:r w:rsidRPr="00D34D61">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981CFF1" w14:textId="77777777" w:rsidR="00C0397C" w:rsidRPr="00D34D61" w:rsidRDefault="00C0397C" w:rsidP="008F72BB">
      <w:pPr>
        <w:autoSpaceDE w:val="0"/>
        <w:autoSpaceDN w:val="0"/>
        <w:adjustRightInd w:val="0"/>
        <w:spacing w:after="0" w:line="360" w:lineRule="auto"/>
        <w:contextualSpacing/>
        <w:rPr>
          <w:rFonts w:eastAsia="Calibri" w:cs="Tahoma"/>
          <w:b/>
          <w:color w:val="auto"/>
          <w:szCs w:val="24"/>
          <w:lang w:val="es-ES" w:eastAsia="es-MX"/>
        </w:rPr>
      </w:pPr>
    </w:p>
    <w:p w14:paraId="77696DE3" w14:textId="217D106C" w:rsidR="00DB3DC5" w:rsidRPr="00D34D61" w:rsidRDefault="00DB3DC5" w:rsidP="008F72BB">
      <w:pPr>
        <w:pStyle w:val="Ttulo2"/>
        <w:spacing w:before="0" w:line="360" w:lineRule="auto"/>
        <w:rPr>
          <w:rFonts w:ascii="Palatino Linotype" w:eastAsia="Times New Roman" w:hAnsi="Palatino Linotype"/>
          <w:b/>
          <w:color w:val="000000" w:themeColor="text1"/>
          <w:sz w:val="22"/>
          <w:szCs w:val="22"/>
          <w:lang w:val="es-ES" w:eastAsia="es-ES"/>
        </w:rPr>
      </w:pPr>
      <w:bookmarkStart w:id="14" w:name="_Toc189676777"/>
      <w:r w:rsidRPr="00D34D61">
        <w:rPr>
          <w:rFonts w:ascii="Palatino Linotype" w:eastAsia="Calibri" w:hAnsi="Palatino Linotype"/>
          <w:b/>
          <w:color w:val="000000" w:themeColor="text1"/>
          <w:sz w:val="22"/>
          <w:szCs w:val="22"/>
          <w:lang w:val="es-ES" w:eastAsia="es-MX"/>
        </w:rPr>
        <w:lastRenderedPageBreak/>
        <w:t xml:space="preserve">SEGUNDO. </w:t>
      </w:r>
      <w:r w:rsidRPr="00D34D61">
        <w:rPr>
          <w:rFonts w:ascii="Palatino Linotype" w:eastAsia="Times New Roman" w:hAnsi="Palatino Linotype"/>
          <w:b/>
          <w:color w:val="000000" w:themeColor="text1"/>
          <w:sz w:val="22"/>
          <w:szCs w:val="22"/>
          <w:lang w:val="es-ES" w:eastAsia="es-ES"/>
        </w:rPr>
        <w:t>Causales de</w:t>
      </w:r>
      <w:r w:rsidR="00076681" w:rsidRPr="00D34D61">
        <w:rPr>
          <w:rFonts w:ascii="Palatino Linotype" w:eastAsia="Times New Roman" w:hAnsi="Palatino Linotype"/>
          <w:b/>
          <w:color w:val="000000" w:themeColor="text1"/>
          <w:sz w:val="22"/>
          <w:szCs w:val="22"/>
          <w:lang w:val="es-ES" w:eastAsia="es-ES"/>
        </w:rPr>
        <w:t xml:space="preserve"> improcedencia y sobreseimiento</w:t>
      </w:r>
      <w:bookmarkEnd w:id="14"/>
      <w:r w:rsidRPr="00D34D61">
        <w:rPr>
          <w:rFonts w:ascii="Palatino Linotype" w:eastAsia="Times New Roman" w:hAnsi="Palatino Linotype"/>
          <w:b/>
          <w:color w:val="000000" w:themeColor="text1"/>
          <w:sz w:val="22"/>
          <w:szCs w:val="22"/>
          <w:lang w:val="es-ES" w:eastAsia="es-ES"/>
        </w:rPr>
        <w:t xml:space="preserve"> </w:t>
      </w:r>
    </w:p>
    <w:p w14:paraId="55EBC3F1" w14:textId="77777777" w:rsidR="007B68D1" w:rsidRPr="00D34D61" w:rsidRDefault="007B68D1" w:rsidP="008F72BB">
      <w:pPr>
        <w:spacing w:after="0" w:line="360" w:lineRule="auto"/>
        <w:rPr>
          <w:lang w:val="es-ES" w:eastAsia="es-ES"/>
        </w:rPr>
      </w:pPr>
    </w:p>
    <w:p w14:paraId="66568F72" w14:textId="77777777" w:rsidR="007B68D1" w:rsidRPr="00D34D61" w:rsidRDefault="007B68D1" w:rsidP="008F72BB">
      <w:pPr>
        <w:spacing w:after="0" w:line="360" w:lineRule="auto"/>
        <w:rPr>
          <w:rFonts w:eastAsia="Palatino Linotype" w:cs="Palatino Linotype"/>
          <w:color w:val="000000"/>
          <w:lang w:eastAsia="es-MX"/>
        </w:rPr>
      </w:pPr>
      <w:r w:rsidRPr="00D34D61">
        <w:rPr>
          <w:rFonts w:eastAsia="Palatino Linotype" w:cs="Palatino Linotype"/>
          <w:color w:val="000000"/>
          <w:lang w:eastAsia="es-MX"/>
        </w:rPr>
        <w:t xml:space="preserve">De las constancias que forma parte del Recurso de Revisión que se analiza, se advierte que previo al estudio del fondo de la </w:t>
      </w:r>
      <w:r w:rsidRPr="00D34D61">
        <w:rPr>
          <w:rFonts w:eastAsia="Palatino Linotype" w:cs="Palatino Linotype"/>
          <w:i/>
          <w:color w:val="000000"/>
          <w:lang w:eastAsia="es-MX"/>
        </w:rPr>
        <w:t>litis</w:t>
      </w:r>
      <w:r w:rsidRPr="00D34D61">
        <w:rPr>
          <w:rFonts w:eastAsia="Palatino Linotype" w:cs="Palatino Linotype"/>
          <w:color w:val="000000"/>
          <w:lang w:eastAsia="es-MX"/>
        </w:rPr>
        <w:t>, es necesario estudiar las causales de improcedencia y sobreseimiento que se adviertan, para determinar lo que en Derecho proceda.</w:t>
      </w:r>
    </w:p>
    <w:p w14:paraId="21C9EADF" w14:textId="77777777" w:rsidR="007B68D1" w:rsidRPr="00D34D61" w:rsidRDefault="007B68D1" w:rsidP="008F72BB">
      <w:pPr>
        <w:spacing w:after="0" w:line="360" w:lineRule="auto"/>
        <w:rPr>
          <w:rFonts w:eastAsia="Palatino Linotype" w:cs="Palatino Linotype"/>
          <w:color w:val="000000"/>
          <w:lang w:eastAsia="es-MX"/>
        </w:rPr>
      </w:pPr>
    </w:p>
    <w:p w14:paraId="5A443A69" w14:textId="77777777" w:rsidR="007B68D1" w:rsidRPr="00D34D61" w:rsidRDefault="007B68D1" w:rsidP="008F72BB">
      <w:pPr>
        <w:spacing w:after="0" w:line="360" w:lineRule="auto"/>
        <w:rPr>
          <w:rFonts w:eastAsia="Palatino Linotype" w:cs="Palatino Linotype"/>
          <w:b/>
          <w:color w:val="000000"/>
          <w:lang w:eastAsia="es-MX"/>
        </w:rPr>
      </w:pPr>
      <w:r w:rsidRPr="00D34D61">
        <w:rPr>
          <w:rFonts w:eastAsia="Palatino Linotype" w:cs="Palatino Linotype"/>
          <w:b/>
          <w:color w:val="000000"/>
          <w:lang w:eastAsia="es-MX"/>
        </w:rPr>
        <w:t>Causales de improcedencia</w:t>
      </w:r>
    </w:p>
    <w:p w14:paraId="0681C057" w14:textId="77777777" w:rsidR="007B68D1" w:rsidRPr="00D34D61" w:rsidRDefault="007B68D1" w:rsidP="008F72BB">
      <w:pPr>
        <w:spacing w:after="0" w:line="360" w:lineRule="auto"/>
        <w:rPr>
          <w:rFonts w:eastAsia="Palatino Linotype" w:cs="Palatino Linotype"/>
          <w:color w:val="000000"/>
          <w:lang w:eastAsia="es-MX"/>
        </w:rPr>
      </w:pPr>
    </w:p>
    <w:p w14:paraId="3ABC7630" w14:textId="77777777" w:rsidR="007B68D1" w:rsidRPr="00D34D61" w:rsidRDefault="007B68D1" w:rsidP="008F72BB">
      <w:pPr>
        <w:spacing w:after="0" w:line="360" w:lineRule="auto"/>
        <w:rPr>
          <w:rFonts w:eastAsia="Palatino Linotype" w:cs="Palatino Linotype"/>
          <w:color w:val="000000"/>
          <w:lang w:eastAsia="es-MX"/>
        </w:rPr>
      </w:pPr>
      <w:r w:rsidRPr="00D34D61">
        <w:rPr>
          <w:rFonts w:eastAsia="Palatino Linotype" w:cs="Palatino Linotype"/>
          <w:color w:val="000000"/>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B0EEC32" w14:textId="77777777" w:rsidR="007B68D1" w:rsidRPr="00D34D61" w:rsidRDefault="007B68D1" w:rsidP="008F72BB">
      <w:pPr>
        <w:spacing w:after="0" w:line="360" w:lineRule="auto"/>
        <w:rPr>
          <w:rFonts w:eastAsia="Palatino Linotype" w:cs="Palatino Linotype"/>
          <w:color w:val="000000"/>
          <w:lang w:eastAsia="es-MX"/>
        </w:rPr>
      </w:pPr>
    </w:p>
    <w:p w14:paraId="3688356C" w14:textId="77777777" w:rsidR="007B68D1" w:rsidRPr="00D34D61" w:rsidRDefault="007B68D1" w:rsidP="008F72BB">
      <w:pPr>
        <w:spacing w:after="0" w:line="360" w:lineRule="auto"/>
        <w:rPr>
          <w:rFonts w:eastAsia="Palatino Linotype" w:cs="Palatino Linotype"/>
          <w:color w:val="000000"/>
          <w:lang w:eastAsia="es-MX"/>
        </w:rPr>
      </w:pPr>
      <w:r w:rsidRPr="00D34D61">
        <w:rPr>
          <w:rFonts w:eastAsia="Palatino Linotype" w:cs="Palatino Linotype"/>
          <w:color w:val="000000"/>
          <w:lang w:eastAsia="es-MX"/>
        </w:rPr>
        <w:t>En el presente caso, </w:t>
      </w:r>
      <w:r w:rsidRPr="00D34D61">
        <w:rPr>
          <w:rFonts w:eastAsia="Palatino Linotype" w:cs="Palatino Linotype"/>
          <w:b/>
          <w:color w:val="000000"/>
          <w:lang w:eastAsia="es-MX"/>
        </w:rPr>
        <w:t>no se actualiza ninguna de las causales de improcedencia</w:t>
      </w:r>
      <w:r w:rsidRPr="00D34D61">
        <w:rPr>
          <w:rFonts w:eastAsia="Palatino Linotype" w:cs="Palatino Linotype"/>
          <w:color w:val="000000"/>
          <w:lang w:eastAsia="es-MX"/>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2276426F" w14:textId="77777777" w:rsidR="007B68D1" w:rsidRPr="00D34D61" w:rsidRDefault="007B68D1" w:rsidP="008F72BB">
      <w:pPr>
        <w:spacing w:after="0" w:line="360" w:lineRule="auto"/>
        <w:rPr>
          <w:rFonts w:eastAsia="Palatino Linotype" w:cs="Palatino Linotype"/>
          <w:color w:val="000000"/>
          <w:lang w:eastAsia="es-MX"/>
        </w:rPr>
      </w:pPr>
    </w:p>
    <w:p w14:paraId="2DDF59C4" w14:textId="349F5DF0" w:rsidR="007B68D1" w:rsidRPr="00D34D61" w:rsidRDefault="007B68D1" w:rsidP="008F72BB">
      <w:pPr>
        <w:spacing w:after="0" w:line="360" w:lineRule="auto"/>
        <w:rPr>
          <w:rFonts w:eastAsia="Palatino Linotype" w:cs="Palatino Linotype"/>
          <w:color w:val="000000"/>
          <w:lang w:eastAsia="es-MX"/>
        </w:rPr>
      </w:pPr>
      <w:r w:rsidRPr="00D34D61">
        <w:rPr>
          <w:rFonts w:eastAsia="Palatino Linotype" w:cs="Palatino Linotype"/>
          <w:color w:val="000000"/>
          <w:lang w:eastAsia="es-MX"/>
        </w:rPr>
        <w:lastRenderedPageBreak/>
        <w:t>Por lo cual, se actualiza la causal de procedencia del Recurso de Revisión señalada e</w:t>
      </w:r>
      <w:r w:rsidR="00CB45F7" w:rsidRPr="00D34D61">
        <w:rPr>
          <w:rFonts w:eastAsia="Palatino Linotype" w:cs="Palatino Linotype"/>
          <w:color w:val="000000"/>
          <w:lang w:eastAsia="es-MX"/>
        </w:rPr>
        <w:t>n el artículo 179, fracción V</w:t>
      </w:r>
      <w:r w:rsidRPr="00D34D61">
        <w:rPr>
          <w:rFonts w:eastAsia="Palatino Linotype" w:cs="Palatino Linotype"/>
          <w:color w:val="000000"/>
          <w:lang w:eastAsia="es-MX"/>
        </w:rPr>
        <w:t xml:space="preserve">I, de la Ley en cita, pues la persona Recurrente se inconformó de la </w:t>
      </w:r>
      <w:r w:rsidR="00F42A0F" w:rsidRPr="00D34D61">
        <w:rPr>
          <w:rFonts w:eastAsia="Palatino Linotype" w:cs="Palatino Linotype"/>
          <w:color w:val="000000"/>
          <w:lang w:eastAsia="es-MX"/>
        </w:rPr>
        <w:t>entrega de información que no correspond</w:t>
      </w:r>
      <w:r w:rsidR="00742988" w:rsidRPr="00D34D61">
        <w:rPr>
          <w:rFonts w:eastAsia="Palatino Linotype" w:cs="Palatino Linotype"/>
          <w:color w:val="000000"/>
          <w:lang w:eastAsia="es-MX"/>
        </w:rPr>
        <w:t xml:space="preserve">e con lo solicitado. </w:t>
      </w:r>
    </w:p>
    <w:p w14:paraId="6C838BF1" w14:textId="77777777" w:rsidR="007B68D1" w:rsidRPr="00D34D61" w:rsidRDefault="007B68D1" w:rsidP="008F72BB">
      <w:pPr>
        <w:spacing w:after="0" w:line="360" w:lineRule="auto"/>
        <w:rPr>
          <w:rFonts w:eastAsia="Palatino Linotype" w:cs="Palatino Linotype"/>
          <w:color w:val="000000"/>
          <w:lang w:eastAsia="es-MX"/>
        </w:rPr>
      </w:pPr>
    </w:p>
    <w:p w14:paraId="0D9C914B" w14:textId="77777777" w:rsidR="007B68D1" w:rsidRPr="00D34D61" w:rsidRDefault="007B68D1" w:rsidP="008F72BB">
      <w:pPr>
        <w:spacing w:after="0" w:line="360" w:lineRule="auto"/>
        <w:rPr>
          <w:rFonts w:eastAsia="Palatino Linotype" w:cs="Palatino Linotype"/>
          <w:color w:val="0D0D0D"/>
          <w:lang w:eastAsia="es-MX"/>
        </w:rPr>
      </w:pPr>
      <w:r w:rsidRPr="00D34D61">
        <w:rPr>
          <w:rFonts w:eastAsia="Palatino Linotype" w:cs="Palatino Linotype"/>
          <w:b/>
          <w:color w:val="0D0D0D"/>
          <w:lang w:eastAsia="es-MX"/>
        </w:rPr>
        <w:t>Causales de sobreseimiento</w:t>
      </w:r>
    </w:p>
    <w:p w14:paraId="4A7E9DB9" w14:textId="77777777" w:rsidR="007B68D1" w:rsidRPr="00D34D61" w:rsidRDefault="007B68D1" w:rsidP="008F72BB">
      <w:pPr>
        <w:spacing w:after="0" w:line="360" w:lineRule="auto"/>
        <w:rPr>
          <w:rFonts w:eastAsia="Palatino Linotype" w:cs="Palatino Linotype"/>
          <w:color w:val="0D0D0D"/>
          <w:lang w:eastAsia="es-MX"/>
        </w:rPr>
      </w:pPr>
    </w:p>
    <w:p w14:paraId="767593E0" w14:textId="77777777" w:rsidR="007B68D1" w:rsidRPr="00D34D61" w:rsidRDefault="007B68D1" w:rsidP="008F72BB">
      <w:pPr>
        <w:spacing w:after="0" w:line="360" w:lineRule="auto"/>
        <w:rPr>
          <w:rFonts w:eastAsia="Palatino Linotype" w:cs="Palatino Linotype"/>
          <w:color w:val="0D0D0D"/>
          <w:lang w:eastAsia="es-MX"/>
        </w:rPr>
      </w:pPr>
      <w:r w:rsidRPr="00D34D61">
        <w:rPr>
          <w:rFonts w:eastAsia="Palatino Linotype" w:cs="Palatino Linotype"/>
          <w:color w:val="0D0D0D"/>
          <w:lang w:eastAsia="es-MX"/>
        </w:rPr>
        <w:t>Por ser de previo y especial pronunciamiento, este Instituto analiza si se actualiza alguna causal de sobreseimiento.</w:t>
      </w:r>
    </w:p>
    <w:p w14:paraId="17B6F821" w14:textId="77777777" w:rsidR="007B68D1" w:rsidRPr="00D34D61" w:rsidRDefault="007B68D1" w:rsidP="008F72BB">
      <w:pPr>
        <w:spacing w:after="0" w:line="360" w:lineRule="auto"/>
        <w:rPr>
          <w:rFonts w:eastAsia="Palatino Linotype" w:cs="Palatino Linotype"/>
          <w:color w:val="0D0D0D"/>
          <w:lang w:eastAsia="es-MX"/>
        </w:rPr>
      </w:pPr>
    </w:p>
    <w:p w14:paraId="6159D849" w14:textId="77777777" w:rsidR="007B68D1" w:rsidRPr="00D34D61" w:rsidRDefault="007B68D1" w:rsidP="008F72BB">
      <w:pPr>
        <w:spacing w:after="0" w:line="360" w:lineRule="auto"/>
        <w:rPr>
          <w:rFonts w:eastAsia="Palatino Linotype" w:cs="Palatino Linotype"/>
          <w:color w:val="000000"/>
          <w:lang w:eastAsia="es-MX"/>
        </w:rPr>
      </w:pPr>
      <w:r w:rsidRPr="00D34D61">
        <w:rPr>
          <w:rFonts w:eastAsia="Palatino Linotype" w:cs="Palatino Linotype"/>
          <w:color w:val="0D0D0D"/>
          <w:lang w:eastAsia="es-MX"/>
        </w:rPr>
        <w:t>Sobre el tema, e</w:t>
      </w:r>
      <w:r w:rsidRPr="00D34D61">
        <w:rPr>
          <w:rFonts w:eastAsia="Palatino Linotype" w:cs="Palatino Linotype"/>
          <w:color w:val="000000"/>
          <w:lang w:eastAsia="es-MX"/>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4ECB619A" w14:textId="77777777" w:rsidR="007B68D1" w:rsidRPr="00D34D61" w:rsidRDefault="007B68D1" w:rsidP="008F72BB">
      <w:pPr>
        <w:spacing w:after="0" w:line="360" w:lineRule="auto"/>
        <w:rPr>
          <w:rFonts w:eastAsia="Palatino Linotype" w:cs="Palatino Linotype"/>
          <w:color w:val="000000"/>
          <w:lang w:eastAsia="es-MX"/>
        </w:rPr>
      </w:pPr>
    </w:p>
    <w:p w14:paraId="6B6C3F2A" w14:textId="77777777" w:rsidR="007B68D1" w:rsidRPr="00D34D61" w:rsidRDefault="007B68D1" w:rsidP="008F72BB">
      <w:pPr>
        <w:spacing w:after="0" w:line="360" w:lineRule="auto"/>
        <w:rPr>
          <w:rFonts w:eastAsia="Palatino Linotype" w:cs="Palatino Linotype"/>
          <w:color w:val="0D0D0D"/>
          <w:lang w:eastAsia="es-MX"/>
        </w:rPr>
      </w:pPr>
      <w:r w:rsidRPr="00D34D61">
        <w:rPr>
          <w:rFonts w:eastAsia="Palatino Linotype" w:cs="Palatino Linotype"/>
          <w:color w:val="0D0D0D"/>
          <w:lang w:eastAsia="es-MX"/>
        </w:rPr>
        <w:t xml:space="preserve">Por tales motivos, se considera procedente entrar al fondo del presente asunto. </w:t>
      </w:r>
    </w:p>
    <w:p w14:paraId="51FFF3D0" w14:textId="77777777" w:rsidR="00DB3DC5" w:rsidRPr="00D34D61" w:rsidRDefault="00DB3DC5" w:rsidP="008F72BB">
      <w:pPr>
        <w:spacing w:after="0" w:line="360" w:lineRule="auto"/>
        <w:contextualSpacing/>
        <w:rPr>
          <w:rFonts w:eastAsia="Times New Roman" w:cs="Tahoma"/>
          <w:b/>
          <w:bCs/>
          <w:iCs/>
          <w:color w:val="auto"/>
          <w:lang w:val="es-ES" w:eastAsia="es-ES"/>
        </w:rPr>
      </w:pPr>
    </w:p>
    <w:p w14:paraId="633955FE" w14:textId="54B7B231" w:rsidR="00DB3DC5" w:rsidRPr="00D34D61" w:rsidRDefault="00DB3DC5" w:rsidP="008F72BB">
      <w:pPr>
        <w:pStyle w:val="Ttulo2"/>
        <w:spacing w:before="0" w:line="360" w:lineRule="auto"/>
        <w:rPr>
          <w:rFonts w:ascii="Palatino Linotype" w:eastAsia="Times New Roman" w:hAnsi="Palatino Linotype"/>
          <w:b/>
          <w:color w:val="000000" w:themeColor="text1"/>
          <w:sz w:val="22"/>
          <w:szCs w:val="22"/>
          <w:lang w:val="es-ES" w:eastAsia="es-ES"/>
        </w:rPr>
      </w:pPr>
      <w:bookmarkStart w:id="15" w:name="_Toc189676778"/>
      <w:r w:rsidRPr="00D34D61">
        <w:rPr>
          <w:rFonts w:ascii="Palatino Linotype" w:eastAsia="Times New Roman" w:hAnsi="Palatino Linotype"/>
          <w:b/>
          <w:color w:val="000000" w:themeColor="text1"/>
          <w:sz w:val="22"/>
          <w:szCs w:val="22"/>
          <w:lang w:val="es-ES" w:eastAsia="es-ES"/>
        </w:rPr>
        <w:t>TERCERO. De</w:t>
      </w:r>
      <w:r w:rsidR="00076681" w:rsidRPr="00D34D61">
        <w:rPr>
          <w:rFonts w:ascii="Palatino Linotype" w:eastAsia="Times New Roman" w:hAnsi="Palatino Linotype"/>
          <w:b/>
          <w:color w:val="000000" w:themeColor="text1"/>
          <w:sz w:val="22"/>
          <w:szCs w:val="22"/>
          <w:lang w:val="es-ES" w:eastAsia="es-ES"/>
        </w:rPr>
        <w:t>terminación de la Controversia</w:t>
      </w:r>
      <w:bookmarkEnd w:id="15"/>
    </w:p>
    <w:p w14:paraId="29A4CC8A" w14:textId="77777777" w:rsidR="00DB3DC5" w:rsidRPr="00D34D61" w:rsidRDefault="00DB3DC5" w:rsidP="008F72BB">
      <w:pPr>
        <w:autoSpaceDE w:val="0"/>
        <w:autoSpaceDN w:val="0"/>
        <w:adjustRightInd w:val="0"/>
        <w:spacing w:after="0" w:line="360" w:lineRule="auto"/>
        <w:contextualSpacing/>
        <w:rPr>
          <w:rFonts w:eastAsia="Calibri" w:cs="Tahoma"/>
          <w:color w:val="FF0000"/>
          <w:lang w:val="es-ES" w:eastAsia="es-MX"/>
        </w:rPr>
      </w:pPr>
    </w:p>
    <w:p w14:paraId="63EE13A7" w14:textId="09583EB4" w:rsidR="007B68D1" w:rsidRPr="00D34D61" w:rsidRDefault="007B68D1" w:rsidP="008F72BB">
      <w:pPr>
        <w:spacing w:after="0" w:line="360" w:lineRule="auto"/>
        <w:rPr>
          <w:rFonts w:eastAsia="Palatino Linotype" w:cs="Tahoma"/>
          <w:color w:val="000000"/>
          <w:lang w:eastAsia="es-MX"/>
        </w:rPr>
      </w:pPr>
      <w:r w:rsidRPr="00D34D61">
        <w:rPr>
          <w:rFonts w:eastAsia="Palatino Linotype" w:cs="Tahoma"/>
          <w:color w:val="000000"/>
          <w:lang w:eastAsia="es-MX"/>
        </w:rPr>
        <w:t xml:space="preserve">Con el objetivo de ilustrar la controversia planteada, resulta conveniente precisar, que una vez realizado el estudio de las constancias que integran el expediente en el que se actúa, se desprende que el Particular requirió </w:t>
      </w:r>
      <w:r w:rsidR="0057399D" w:rsidRPr="00D34D61">
        <w:rPr>
          <w:rFonts w:eastAsia="Palatino Linotype" w:cs="Tahoma"/>
          <w:color w:val="000000"/>
          <w:lang w:eastAsia="es-MX"/>
        </w:rPr>
        <w:t xml:space="preserve">los </w:t>
      </w:r>
      <w:r w:rsidR="00AF7145" w:rsidRPr="00D34D61">
        <w:rPr>
          <w:rFonts w:eastAsia="Palatino Linotype" w:cs="Tahoma"/>
          <w:color w:val="000000"/>
          <w:lang w:eastAsia="es-MX"/>
        </w:rPr>
        <w:t>Comprobantes Fiscales Digitales por Internet por concepto de nómina</w:t>
      </w:r>
      <w:r w:rsidR="0057399D" w:rsidRPr="00D34D61">
        <w:rPr>
          <w:rFonts w:eastAsia="Palatino Linotype" w:cs="Tahoma"/>
          <w:color w:val="000000"/>
          <w:lang w:eastAsia="es-MX"/>
        </w:rPr>
        <w:t xml:space="preserve"> de todos los </w:t>
      </w:r>
      <w:r w:rsidR="00AF7145" w:rsidRPr="00D34D61">
        <w:rPr>
          <w:rFonts w:eastAsia="Palatino Linotype" w:cs="Tahoma"/>
          <w:color w:val="000000"/>
          <w:lang w:eastAsia="es-MX"/>
        </w:rPr>
        <w:t xml:space="preserve">servidores públicos adscritos </w:t>
      </w:r>
      <w:r w:rsidR="003B5857" w:rsidRPr="00D34D61">
        <w:rPr>
          <w:rFonts w:eastAsia="Palatino Linotype" w:cs="Tahoma"/>
          <w:color w:val="000000"/>
          <w:lang w:eastAsia="es-MX"/>
        </w:rPr>
        <w:t xml:space="preserve">a la </w:t>
      </w:r>
      <w:r w:rsidR="003B5857" w:rsidRPr="00D34D61">
        <w:t xml:space="preserve">Universidad Autónoma </w:t>
      </w:r>
      <w:r w:rsidR="003B5857" w:rsidRPr="00D34D61">
        <w:lastRenderedPageBreak/>
        <w:t>del Estado de México, correspondiente a la segunda quincena de diciembre de dos mil veinticuatro</w:t>
      </w:r>
      <w:r w:rsidR="003B5857" w:rsidRPr="00D34D61">
        <w:rPr>
          <w:rFonts w:eastAsia="Palatino Linotype" w:cs="Tahoma"/>
          <w:color w:val="000000"/>
          <w:lang w:eastAsia="es-MX"/>
        </w:rPr>
        <w:t xml:space="preserve">. </w:t>
      </w:r>
    </w:p>
    <w:p w14:paraId="3F74CF99" w14:textId="77777777" w:rsidR="007B68D1" w:rsidRPr="00D34D61" w:rsidRDefault="007B68D1" w:rsidP="008F72BB">
      <w:pPr>
        <w:spacing w:after="0" w:line="360" w:lineRule="auto"/>
        <w:rPr>
          <w:rFonts w:eastAsia="Palatino Linotype" w:cs="Tahoma"/>
          <w:color w:val="000000"/>
          <w:lang w:eastAsia="es-MX"/>
        </w:rPr>
      </w:pPr>
    </w:p>
    <w:p w14:paraId="7F4D09ED" w14:textId="4B84478B" w:rsidR="007B68D1" w:rsidRPr="00D34D61" w:rsidRDefault="007B68D1" w:rsidP="008F72BB">
      <w:pPr>
        <w:spacing w:after="0" w:line="360" w:lineRule="auto"/>
        <w:rPr>
          <w:rFonts w:eastAsia="Calibri" w:cs="Tahoma"/>
          <w:color w:val="000000"/>
          <w:lang w:eastAsia="es-MX"/>
        </w:rPr>
      </w:pPr>
      <w:r w:rsidRPr="00D34D61">
        <w:rPr>
          <w:rFonts w:eastAsia="Palatino Linotype" w:cs="Palatino Linotype"/>
          <w:color w:val="000000"/>
          <w:lang w:eastAsia="es-MX"/>
        </w:rPr>
        <w:t xml:space="preserve">En respuesta, el Sujeto Obligado, a través del </w:t>
      </w:r>
      <w:r w:rsidR="0057399D" w:rsidRPr="00D34D61">
        <w:rPr>
          <w:rFonts w:eastAsia="Palatino Linotype" w:cs="Palatino Linotype"/>
          <w:color w:val="000000"/>
          <w:lang w:eastAsia="es-MX"/>
        </w:rPr>
        <w:t>Director de Transparencia</w:t>
      </w:r>
      <w:r w:rsidR="00687D24" w:rsidRPr="00D34D61">
        <w:rPr>
          <w:rFonts w:eastAsia="Palatino Linotype" w:cs="Palatino Linotype"/>
          <w:color w:val="000000"/>
          <w:lang w:eastAsia="es-MX"/>
        </w:rPr>
        <w:t xml:space="preserve">, </w:t>
      </w:r>
      <w:r w:rsidRPr="00D34D61">
        <w:rPr>
          <w:rFonts w:eastAsia="Palatino Linotype" w:cs="Palatino Linotype"/>
          <w:color w:val="000000"/>
          <w:lang w:eastAsia="es-MX"/>
        </w:rPr>
        <w:t>precisó que</w:t>
      </w:r>
      <w:r w:rsidR="00687D24" w:rsidRPr="00D34D61">
        <w:rPr>
          <w:rFonts w:eastAsia="Palatino Linotype" w:cs="Palatino Linotype"/>
          <w:color w:val="000000"/>
          <w:lang w:eastAsia="es-MX"/>
        </w:rPr>
        <w:t xml:space="preserve"> de acuerdo con la información proporcionada por la Dirección de Recursos Humanos, no se cuenta con la información procesada conforme a los solicitado, </w:t>
      </w:r>
      <w:r w:rsidR="0089217F" w:rsidRPr="00D34D61">
        <w:rPr>
          <w:rFonts w:eastAsia="Palatino Linotype" w:cs="Palatino Linotype"/>
          <w:color w:val="000000"/>
          <w:lang w:eastAsia="es-MX"/>
        </w:rPr>
        <w:t>sin embargo la Dirección de Transparencia proporcionó dos</w:t>
      </w:r>
      <w:r w:rsidR="00687D24" w:rsidRPr="00D34D61">
        <w:rPr>
          <w:rFonts w:eastAsia="Palatino Linotype" w:cs="Palatino Linotype"/>
          <w:color w:val="000000"/>
          <w:lang w:eastAsia="es-MX"/>
        </w:rPr>
        <w:t xml:space="preserve"> ligas </w:t>
      </w:r>
      <w:r w:rsidR="0089217F" w:rsidRPr="00D34D61">
        <w:rPr>
          <w:rFonts w:eastAsia="Palatino Linotype" w:cs="Palatino Linotype"/>
          <w:color w:val="000000"/>
          <w:lang w:eastAsia="es-MX"/>
        </w:rPr>
        <w:t>electrónicas</w:t>
      </w:r>
      <w:r w:rsidR="00687D24" w:rsidRPr="00D34D61">
        <w:rPr>
          <w:rFonts w:eastAsia="Palatino Linotype" w:cs="Palatino Linotype"/>
          <w:color w:val="000000"/>
          <w:lang w:eastAsia="es-MX"/>
        </w:rPr>
        <w:t xml:space="preserve"> del IPOMEX</w:t>
      </w:r>
      <w:r w:rsidRPr="00D34D61">
        <w:rPr>
          <w:rFonts w:eastAsia="Palatino Linotype" w:cs="Tahoma"/>
          <w:color w:val="000000"/>
          <w:lang w:eastAsia="es-MX"/>
        </w:rPr>
        <w:t>;</w:t>
      </w:r>
      <w:r w:rsidRPr="00D34D61">
        <w:rPr>
          <w:rFonts w:eastAsia="Palatino Linotype" w:cs="Palatino Linotype"/>
          <w:color w:val="000000"/>
          <w:lang w:eastAsia="es-MX"/>
        </w:rPr>
        <w:t xml:space="preserve"> </w:t>
      </w:r>
      <w:r w:rsidRPr="00D34D61">
        <w:rPr>
          <w:rFonts w:eastAsia="Palatino Linotype" w:cs="Tahoma"/>
          <w:color w:val="000000"/>
          <w:lang w:val="es-ES" w:eastAsia="es-MX"/>
        </w:rPr>
        <w:t xml:space="preserve">ante dicha circunstancia, el Particular se inconformó </w:t>
      </w:r>
      <w:r w:rsidR="0089217F" w:rsidRPr="00D34D61">
        <w:rPr>
          <w:rFonts w:eastAsia="Palatino Linotype" w:cs="Tahoma"/>
          <w:color w:val="000000"/>
          <w:lang w:val="es-ES" w:eastAsia="es-MX"/>
        </w:rPr>
        <w:t>con la entrega de información que no corresponde con lo solicitado</w:t>
      </w:r>
      <w:r w:rsidRPr="00D34D61">
        <w:rPr>
          <w:rFonts w:eastAsia="Palatino Linotype" w:cs="Tahoma"/>
          <w:color w:val="000000"/>
          <w:lang w:val="es-ES" w:eastAsia="es-MX"/>
        </w:rPr>
        <w:t xml:space="preserve">, lo cual </w:t>
      </w:r>
      <w:r w:rsidRPr="00D34D61">
        <w:rPr>
          <w:rFonts w:eastAsia="Calibri" w:cs="Tahoma"/>
          <w:color w:val="000000"/>
          <w:lang w:eastAsia="es-MX"/>
        </w:rPr>
        <w:t xml:space="preserve">actualiza la causal de procedencia prevista en </w:t>
      </w:r>
      <w:r w:rsidR="005E53AE" w:rsidRPr="00D34D61">
        <w:rPr>
          <w:rFonts w:eastAsia="Calibri" w:cs="Tahoma"/>
          <w:color w:val="000000"/>
          <w:lang w:eastAsia="es-MX"/>
        </w:rPr>
        <w:t xml:space="preserve">la fracción </w:t>
      </w:r>
      <w:r w:rsidR="00AC29A0" w:rsidRPr="00D34D61">
        <w:rPr>
          <w:rFonts w:eastAsia="Calibri" w:cs="Tahoma"/>
          <w:color w:val="000000"/>
          <w:lang w:eastAsia="es-MX"/>
        </w:rPr>
        <w:t xml:space="preserve">VI </w:t>
      </w:r>
      <w:r w:rsidRPr="00D34D61">
        <w:rPr>
          <w:rFonts w:eastAsia="Calibri" w:cs="Tahoma"/>
          <w:color w:val="000000"/>
          <w:lang w:eastAsia="es-MX"/>
        </w:rPr>
        <w:t>, del artículo 179 de la Ley de Transparencia y Acceso a la Información Pública del Estado de México y Municipios</w:t>
      </w:r>
      <w:r w:rsidRPr="00D34D61">
        <w:rPr>
          <w:rFonts w:eastAsia="Palatino Linotype" w:cs="Palatino Linotype"/>
          <w:color w:val="0D0D0D"/>
          <w:lang w:eastAsia="es-MX"/>
        </w:rPr>
        <w:t xml:space="preserve">. </w:t>
      </w:r>
      <w:r w:rsidRPr="00D34D61">
        <w:rPr>
          <w:rFonts w:eastAsia="Calibri" w:cs="Tahoma"/>
          <w:color w:val="000000"/>
          <w:lang w:eastAsia="es-MX"/>
        </w:rPr>
        <w:t>Así, las cosas, una vez admitido y notificado el Re</w:t>
      </w:r>
      <w:r w:rsidR="00AC29A0" w:rsidRPr="00D34D61">
        <w:rPr>
          <w:rFonts w:eastAsia="Calibri" w:cs="Tahoma"/>
          <w:color w:val="000000"/>
          <w:lang w:eastAsia="es-MX"/>
        </w:rPr>
        <w:t>curso de Revisión a las partes, el Titular de la Unidad de Transparencia, ratifico su respuesta inicial</w:t>
      </w:r>
      <w:r w:rsidR="00D93EAF" w:rsidRPr="00D34D61">
        <w:rPr>
          <w:rFonts w:eastAsia="Calibri" w:cs="Tahoma"/>
          <w:color w:val="000000"/>
          <w:lang w:eastAsia="es-MX"/>
        </w:rPr>
        <w:t>.</w:t>
      </w:r>
    </w:p>
    <w:p w14:paraId="4982D823" w14:textId="77777777" w:rsidR="007B68D1" w:rsidRPr="00D34D61" w:rsidRDefault="007B68D1" w:rsidP="008F72BB">
      <w:pPr>
        <w:spacing w:after="0" w:line="360" w:lineRule="auto"/>
        <w:rPr>
          <w:rFonts w:eastAsia="Palatino Linotype" w:cs="Palatino Linotype"/>
          <w:color w:val="000000"/>
          <w:lang w:eastAsia="es-MX"/>
        </w:rPr>
      </w:pPr>
    </w:p>
    <w:p w14:paraId="3BAA871D" w14:textId="77777777" w:rsidR="007B68D1" w:rsidRPr="00D34D61" w:rsidRDefault="007B68D1" w:rsidP="008F72BB">
      <w:pPr>
        <w:tabs>
          <w:tab w:val="left" w:pos="4962"/>
        </w:tabs>
        <w:spacing w:after="0" w:line="360" w:lineRule="auto"/>
        <w:rPr>
          <w:rFonts w:eastAsia="Calibri" w:cs="Tahoma"/>
          <w:bCs/>
          <w:color w:val="000000"/>
          <w:lang w:eastAsia="es-MX"/>
        </w:rPr>
      </w:pPr>
      <w:r w:rsidRPr="00D34D61">
        <w:rPr>
          <w:rFonts w:eastAsia="Calibri" w:cs="Tahoma"/>
          <w:iCs/>
          <w:color w:val="000000"/>
          <w:lang w:val="es-ES" w:eastAsia="es-ES_tradnl"/>
        </w:rPr>
        <w:t xml:space="preserve">Lo anterior, se desprende de las documentales que obran en el expediente de referencia, materia de la presente resolución, consistente en: la solicitud de acceso a la información </w:t>
      </w:r>
      <w:r w:rsidRPr="00D34D61">
        <w:rPr>
          <w:rFonts w:eastAsia="Calibri" w:cs="Tahoma"/>
          <w:iCs/>
          <w:color w:val="000000"/>
          <w:lang w:eastAsia="es-ES_tradnl"/>
        </w:rPr>
        <w:t xml:space="preserve">y el escrito recursal; </w:t>
      </w:r>
      <w:r w:rsidRPr="00D34D61">
        <w:rPr>
          <w:rFonts w:eastAsia="Calibri" w:cs="Tahoma"/>
          <w:bCs/>
          <w:color w:val="000000"/>
          <w:lang w:eastAsia="es-MX"/>
        </w:rPr>
        <w:t>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D34D61" w:rsidRDefault="00DB3DC5" w:rsidP="008F72BB">
      <w:pPr>
        <w:autoSpaceDE w:val="0"/>
        <w:autoSpaceDN w:val="0"/>
        <w:adjustRightInd w:val="0"/>
        <w:spacing w:after="0" w:line="360" w:lineRule="auto"/>
        <w:contextualSpacing/>
        <w:rPr>
          <w:rFonts w:eastAsia="Times New Roman" w:cs="Tahoma"/>
          <w:b/>
          <w:bCs/>
          <w:iCs/>
          <w:color w:val="auto"/>
          <w:lang w:val="es-ES" w:eastAsia="es-ES"/>
        </w:rPr>
      </w:pPr>
    </w:p>
    <w:p w14:paraId="6818EF86" w14:textId="7240494C" w:rsidR="00DB3DC5" w:rsidRPr="00D34D61" w:rsidRDefault="00DB3DC5" w:rsidP="008F72BB">
      <w:pPr>
        <w:pStyle w:val="Ttulo2"/>
        <w:spacing w:before="0" w:line="360" w:lineRule="auto"/>
        <w:rPr>
          <w:rFonts w:ascii="Palatino Linotype" w:eastAsia="Times New Roman" w:hAnsi="Palatino Linotype"/>
          <w:b/>
          <w:color w:val="000000" w:themeColor="text1"/>
          <w:sz w:val="22"/>
          <w:szCs w:val="22"/>
          <w:lang w:eastAsia="es-ES"/>
        </w:rPr>
      </w:pPr>
      <w:bookmarkStart w:id="16" w:name="_Toc189676779"/>
      <w:r w:rsidRPr="00D34D61">
        <w:rPr>
          <w:rFonts w:ascii="Palatino Linotype" w:eastAsia="Times New Roman" w:hAnsi="Palatino Linotype"/>
          <w:b/>
          <w:color w:val="000000" w:themeColor="text1"/>
          <w:sz w:val="22"/>
          <w:szCs w:val="22"/>
          <w:lang w:val="es-ES" w:eastAsia="es-ES"/>
        </w:rPr>
        <w:t xml:space="preserve">CUARTO. </w:t>
      </w:r>
      <w:r w:rsidRPr="00D34D61">
        <w:rPr>
          <w:rFonts w:ascii="Palatino Linotype" w:eastAsia="Times New Roman" w:hAnsi="Palatino Linotype"/>
          <w:b/>
          <w:color w:val="000000" w:themeColor="text1"/>
          <w:sz w:val="22"/>
          <w:szCs w:val="22"/>
          <w:lang w:eastAsia="es-ES"/>
        </w:rPr>
        <w:t xml:space="preserve">Marco normativo aplicable en materia de transparencia y </w:t>
      </w:r>
      <w:r w:rsidR="00076681" w:rsidRPr="00D34D61">
        <w:rPr>
          <w:rFonts w:ascii="Palatino Linotype" w:eastAsia="Times New Roman" w:hAnsi="Palatino Linotype"/>
          <w:b/>
          <w:color w:val="000000" w:themeColor="text1"/>
          <w:sz w:val="22"/>
          <w:szCs w:val="22"/>
          <w:lang w:eastAsia="es-ES"/>
        </w:rPr>
        <w:t>acceso a la información pública</w:t>
      </w:r>
      <w:bookmarkEnd w:id="16"/>
    </w:p>
    <w:p w14:paraId="1FA9DF31" w14:textId="77777777" w:rsidR="00DB3DC5" w:rsidRPr="00D34D61" w:rsidRDefault="00DB3DC5" w:rsidP="008F72BB">
      <w:pPr>
        <w:autoSpaceDE w:val="0"/>
        <w:autoSpaceDN w:val="0"/>
        <w:adjustRightInd w:val="0"/>
        <w:spacing w:after="0" w:line="360" w:lineRule="auto"/>
        <w:contextualSpacing/>
        <w:rPr>
          <w:rFonts w:eastAsia="Times New Roman" w:cs="Tahoma"/>
          <w:bCs/>
          <w:iCs/>
          <w:color w:val="FF0000"/>
          <w:lang w:val="es-ES" w:eastAsia="es-ES"/>
        </w:rPr>
      </w:pPr>
    </w:p>
    <w:p w14:paraId="687AC8F9" w14:textId="77777777" w:rsidR="00C0397C" w:rsidRPr="00D34D61" w:rsidRDefault="00C0397C" w:rsidP="008F72BB">
      <w:pPr>
        <w:spacing w:after="0" w:line="360" w:lineRule="auto"/>
        <w:contextualSpacing/>
        <w:rPr>
          <w:rFonts w:eastAsia="Times New Roman" w:cs="Tahoma"/>
          <w:bCs/>
          <w:iCs/>
          <w:color w:val="auto"/>
          <w:lang w:eastAsia="es-ES"/>
        </w:rPr>
      </w:pPr>
      <w:r w:rsidRPr="00D34D61">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97CDCB6" w14:textId="77777777" w:rsidR="00C0397C" w:rsidRPr="00D34D61" w:rsidRDefault="00C0397C" w:rsidP="008F72BB">
      <w:pPr>
        <w:spacing w:after="0" w:line="360" w:lineRule="auto"/>
        <w:contextualSpacing/>
        <w:rPr>
          <w:rFonts w:eastAsia="Times New Roman" w:cs="Tahoma"/>
          <w:bCs/>
          <w:iCs/>
          <w:color w:val="auto"/>
          <w:lang w:eastAsia="es-ES"/>
        </w:rPr>
      </w:pPr>
    </w:p>
    <w:p w14:paraId="562C0D4E" w14:textId="77777777" w:rsidR="00C0397C" w:rsidRPr="00D34D61" w:rsidRDefault="00C0397C" w:rsidP="008F72BB">
      <w:pPr>
        <w:spacing w:after="0" w:line="360" w:lineRule="auto"/>
        <w:contextualSpacing/>
        <w:rPr>
          <w:rFonts w:eastAsia="Times New Roman" w:cs="Tahoma"/>
          <w:bCs/>
          <w:iCs/>
          <w:color w:val="auto"/>
          <w:lang w:eastAsia="es-ES"/>
        </w:rPr>
      </w:pPr>
      <w:r w:rsidRPr="00D34D61">
        <w:rPr>
          <w:rFonts w:eastAsia="Times New Roman" w:cs="Tahoma"/>
          <w:bCs/>
          <w:iCs/>
          <w:color w:val="auto"/>
          <w:lang w:eastAsia="es-ES"/>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3074558" w14:textId="77777777" w:rsidR="00C0397C" w:rsidRPr="00D34D61" w:rsidRDefault="00C0397C" w:rsidP="008F72BB">
      <w:pPr>
        <w:spacing w:after="0" w:line="360" w:lineRule="auto"/>
        <w:contextualSpacing/>
        <w:rPr>
          <w:rFonts w:eastAsia="Times New Roman" w:cs="Tahoma"/>
          <w:bCs/>
          <w:iCs/>
          <w:color w:val="auto"/>
          <w:lang w:eastAsia="es-ES"/>
        </w:rPr>
      </w:pPr>
    </w:p>
    <w:p w14:paraId="78FC4344" w14:textId="77777777" w:rsidR="00C0397C" w:rsidRPr="00D34D61" w:rsidRDefault="00C0397C" w:rsidP="008F72BB">
      <w:pPr>
        <w:spacing w:after="0" w:line="360" w:lineRule="auto"/>
        <w:contextualSpacing/>
        <w:rPr>
          <w:rFonts w:eastAsia="Times New Roman" w:cs="Tahoma"/>
          <w:bCs/>
          <w:iCs/>
          <w:color w:val="auto"/>
          <w:lang w:eastAsia="es-ES"/>
        </w:rPr>
      </w:pPr>
      <w:r w:rsidRPr="00D34D61">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0AD831D" w14:textId="77777777" w:rsidR="00C0397C" w:rsidRPr="00D34D61" w:rsidRDefault="00C0397C" w:rsidP="008F72BB">
      <w:pPr>
        <w:spacing w:after="0" w:line="360" w:lineRule="auto"/>
        <w:contextualSpacing/>
        <w:rPr>
          <w:rFonts w:eastAsia="Times New Roman" w:cs="Tahoma"/>
          <w:bCs/>
          <w:iCs/>
          <w:color w:val="auto"/>
          <w:lang w:eastAsia="es-ES"/>
        </w:rPr>
      </w:pPr>
    </w:p>
    <w:p w14:paraId="1B8BA94F" w14:textId="77777777" w:rsidR="00C0397C" w:rsidRPr="00D34D61" w:rsidRDefault="00C0397C" w:rsidP="008F72BB">
      <w:pPr>
        <w:spacing w:after="0" w:line="360" w:lineRule="auto"/>
        <w:contextualSpacing/>
        <w:rPr>
          <w:rFonts w:eastAsia="Times New Roman" w:cs="Tahoma"/>
          <w:bCs/>
          <w:iCs/>
          <w:color w:val="auto"/>
          <w:lang w:eastAsia="es-ES"/>
        </w:rPr>
      </w:pPr>
      <w:r w:rsidRPr="00D34D61">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57EAF0E6" w14:textId="77777777" w:rsidR="00C0397C" w:rsidRPr="00D34D61" w:rsidRDefault="00C0397C" w:rsidP="008F72BB">
      <w:pPr>
        <w:spacing w:after="0" w:line="360" w:lineRule="auto"/>
        <w:contextualSpacing/>
        <w:rPr>
          <w:rFonts w:eastAsia="Times New Roman" w:cs="Tahoma"/>
          <w:bCs/>
          <w:iCs/>
          <w:color w:val="auto"/>
          <w:lang w:eastAsia="es-ES"/>
        </w:rPr>
      </w:pPr>
    </w:p>
    <w:p w14:paraId="6B288B8B" w14:textId="77777777" w:rsidR="00C0397C" w:rsidRPr="00D34D61" w:rsidRDefault="00C0397C" w:rsidP="008F72BB">
      <w:pPr>
        <w:spacing w:after="0" w:line="360" w:lineRule="auto"/>
        <w:contextualSpacing/>
        <w:rPr>
          <w:rFonts w:eastAsia="Times New Roman" w:cs="Tahoma"/>
          <w:bCs/>
          <w:iCs/>
          <w:color w:val="auto"/>
          <w:lang w:eastAsia="es-ES"/>
        </w:rPr>
      </w:pPr>
      <w:r w:rsidRPr="00D34D61">
        <w:rPr>
          <w:rFonts w:eastAsia="Times New Roman" w:cs="Tahoma"/>
          <w:bCs/>
          <w:iCs/>
          <w:color w:val="auto"/>
          <w:lang w:eastAsia="es-ES"/>
        </w:rPr>
        <w:t>El artículo 12, que, quienes generen, recopilen, administren, manejen, procesen, archiven o conserven información pública serán responsables de la misma.</w:t>
      </w:r>
    </w:p>
    <w:p w14:paraId="0D7E4FE1" w14:textId="77777777" w:rsidR="00C0397C" w:rsidRPr="00D34D61" w:rsidRDefault="00C0397C" w:rsidP="008F72BB">
      <w:pPr>
        <w:spacing w:after="0" w:line="360" w:lineRule="auto"/>
        <w:contextualSpacing/>
        <w:rPr>
          <w:rFonts w:eastAsia="Times New Roman" w:cs="Tahoma"/>
          <w:bCs/>
          <w:iCs/>
          <w:color w:val="auto"/>
          <w:lang w:eastAsia="es-ES"/>
        </w:rPr>
      </w:pPr>
    </w:p>
    <w:p w14:paraId="41CB324C" w14:textId="77777777" w:rsidR="00C0397C" w:rsidRPr="00D34D61" w:rsidRDefault="00C0397C" w:rsidP="008F72BB">
      <w:pPr>
        <w:spacing w:after="0" w:line="360" w:lineRule="auto"/>
        <w:contextualSpacing/>
        <w:rPr>
          <w:rFonts w:eastAsia="Times New Roman" w:cs="Tahoma"/>
          <w:bCs/>
          <w:iCs/>
          <w:color w:val="auto"/>
          <w:lang w:eastAsia="es-ES"/>
        </w:rPr>
      </w:pPr>
      <w:r w:rsidRPr="00D34D61">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2B5552FF" w14:textId="77777777" w:rsidR="00C0397C" w:rsidRPr="00D34D61" w:rsidRDefault="00C0397C" w:rsidP="008F72BB">
      <w:pPr>
        <w:spacing w:after="0" w:line="360" w:lineRule="auto"/>
        <w:contextualSpacing/>
        <w:rPr>
          <w:rFonts w:eastAsia="Times New Roman" w:cs="Tahoma"/>
          <w:bCs/>
          <w:iCs/>
          <w:color w:val="auto"/>
          <w:lang w:eastAsia="es-ES"/>
        </w:rPr>
      </w:pPr>
    </w:p>
    <w:p w14:paraId="120AAD97" w14:textId="035DBBC2" w:rsidR="00DB3DC5" w:rsidRPr="00D34D61" w:rsidRDefault="00C0397C" w:rsidP="008F72BB">
      <w:pPr>
        <w:spacing w:after="0" w:line="360" w:lineRule="auto"/>
        <w:contextualSpacing/>
        <w:rPr>
          <w:rFonts w:eastAsia="Times New Roman" w:cs="Tahoma"/>
          <w:bCs/>
          <w:iCs/>
          <w:color w:val="auto"/>
          <w:lang w:eastAsia="es-ES"/>
        </w:rPr>
      </w:pPr>
      <w:r w:rsidRPr="00D34D61">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DF8C104" w14:textId="77777777" w:rsidR="00C0397C" w:rsidRPr="00D34D61" w:rsidRDefault="00C0397C" w:rsidP="008F72BB">
      <w:pPr>
        <w:spacing w:after="0" w:line="360" w:lineRule="auto"/>
        <w:contextualSpacing/>
        <w:rPr>
          <w:rFonts w:cs="Tahoma"/>
          <w:bCs/>
          <w:iCs/>
          <w:color w:val="FF0000"/>
          <w:lang w:val="es-ES"/>
        </w:rPr>
      </w:pPr>
    </w:p>
    <w:p w14:paraId="3EB23114" w14:textId="33FEEC26" w:rsidR="00DB3DC5" w:rsidRPr="00D34D61" w:rsidRDefault="00076681" w:rsidP="008F72BB">
      <w:pPr>
        <w:pStyle w:val="Ttulo2"/>
        <w:spacing w:before="0" w:line="360" w:lineRule="auto"/>
        <w:rPr>
          <w:rFonts w:ascii="Palatino Linotype" w:eastAsia="Times New Roman" w:hAnsi="Palatino Linotype"/>
          <w:b/>
          <w:color w:val="000000" w:themeColor="text1"/>
          <w:sz w:val="22"/>
          <w:szCs w:val="22"/>
          <w:lang w:val="es-ES" w:eastAsia="es-ES"/>
        </w:rPr>
      </w:pPr>
      <w:bookmarkStart w:id="17" w:name="_Toc189676780"/>
      <w:r w:rsidRPr="00D34D61">
        <w:rPr>
          <w:rFonts w:ascii="Palatino Linotype" w:eastAsia="Times New Roman" w:hAnsi="Palatino Linotype"/>
          <w:b/>
          <w:color w:val="000000" w:themeColor="text1"/>
          <w:sz w:val="22"/>
          <w:szCs w:val="22"/>
          <w:lang w:val="es-ES" w:eastAsia="es-ES"/>
        </w:rPr>
        <w:lastRenderedPageBreak/>
        <w:t xml:space="preserve">QUINTO. </w:t>
      </w:r>
      <w:r w:rsidR="00DB3DC5" w:rsidRPr="00D34D61">
        <w:rPr>
          <w:rFonts w:ascii="Palatino Linotype" w:eastAsia="Times New Roman" w:hAnsi="Palatino Linotype"/>
          <w:b/>
          <w:color w:val="000000" w:themeColor="text1"/>
          <w:sz w:val="22"/>
          <w:szCs w:val="22"/>
          <w:lang w:val="es-ES" w:eastAsia="es-ES"/>
        </w:rPr>
        <w:t>E</w:t>
      </w:r>
      <w:r w:rsidRPr="00D34D61">
        <w:rPr>
          <w:rFonts w:ascii="Palatino Linotype" w:eastAsia="Times New Roman" w:hAnsi="Palatino Linotype"/>
          <w:b/>
          <w:color w:val="000000" w:themeColor="text1"/>
          <w:sz w:val="22"/>
          <w:szCs w:val="22"/>
          <w:lang w:val="es-ES" w:eastAsia="es-ES"/>
        </w:rPr>
        <w:t>studio de Fondo</w:t>
      </w:r>
      <w:bookmarkEnd w:id="17"/>
    </w:p>
    <w:p w14:paraId="5511A115" w14:textId="238AA78D" w:rsidR="00DB3DC5" w:rsidRPr="00D34D61" w:rsidRDefault="00DB3DC5" w:rsidP="008F72BB">
      <w:pPr>
        <w:spacing w:after="0" w:line="360" w:lineRule="auto"/>
        <w:contextualSpacing/>
        <w:rPr>
          <w:rFonts w:eastAsia="Times New Roman" w:cs="Tahoma"/>
          <w:b/>
          <w:bCs/>
          <w:iCs/>
          <w:color w:val="auto"/>
          <w:lang w:val="es-ES" w:eastAsia="es-ES"/>
        </w:rPr>
      </w:pPr>
    </w:p>
    <w:p w14:paraId="4A695E44" w14:textId="227911A1" w:rsidR="007B68D1" w:rsidRPr="00D34D61" w:rsidRDefault="006E26AA" w:rsidP="008F72BB">
      <w:pPr>
        <w:spacing w:after="0" w:line="360" w:lineRule="auto"/>
        <w:contextualSpacing/>
        <w:rPr>
          <w:rFonts w:eastAsia="Palatino Linotype" w:cs="Palatino Linotype"/>
          <w:color w:val="000000"/>
          <w:lang w:eastAsia="es-MX"/>
        </w:rPr>
      </w:pPr>
      <w:r w:rsidRPr="00D34D61">
        <w:rPr>
          <w:rFonts w:eastAsia="Times New Roman" w:cs="Tahoma"/>
          <w:iCs/>
          <w:color w:val="auto"/>
          <w:lang w:val="es-ES" w:eastAsia="es-ES"/>
        </w:rPr>
        <w:t xml:space="preserve">Expuestas las posturas de las partes, se procede al análisis del agravio hecho valer por el Recurrente, concerniente a </w:t>
      </w:r>
      <w:r w:rsidR="00D93EAF" w:rsidRPr="00D34D61">
        <w:rPr>
          <w:rFonts w:eastAsia="Times New Roman" w:cs="Tahoma"/>
          <w:iCs/>
          <w:color w:val="auto"/>
          <w:lang w:val="es-ES" w:eastAsia="es-ES"/>
        </w:rPr>
        <w:t>la entrega de información que</w:t>
      </w:r>
      <w:r w:rsidR="006E0EEB" w:rsidRPr="00D34D61">
        <w:rPr>
          <w:rFonts w:eastAsia="Times New Roman" w:cs="Tahoma"/>
          <w:iCs/>
          <w:color w:val="auto"/>
          <w:lang w:val="es-ES" w:eastAsia="es-ES"/>
        </w:rPr>
        <w:t xml:space="preserve"> no corresponde a lo solicitado</w:t>
      </w:r>
      <w:r w:rsidR="006E0EEB" w:rsidRPr="00D34D61">
        <w:rPr>
          <w:rFonts w:eastAsia="Palatino Linotype" w:cs="Palatino Linotype"/>
          <w:color w:val="000000"/>
          <w:lang w:eastAsia="es-MX"/>
        </w:rPr>
        <w:t xml:space="preserve">, </w:t>
      </w:r>
      <w:r w:rsidR="007B68D1" w:rsidRPr="00D34D61">
        <w:rPr>
          <w:rFonts w:eastAsia="Times New Roman" w:cs="Tahoma"/>
          <w:bCs/>
          <w:iCs/>
          <w:color w:val="000000"/>
          <w:lang w:eastAsia="es-ES"/>
        </w:rPr>
        <w:t xml:space="preserve">por lo que, en principio es necesario contextualizar la solicitud </w:t>
      </w:r>
      <w:r w:rsidR="006E0EEB" w:rsidRPr="00D34D61">
        <w:rPr>
          <w:rFonts w:eastAsia="Times New Roman" w:cs="Tahoma"/>
          <w:bCs/>
          <w:iCs/>
          <w:color w:val="000000"/>
          <w:lang w:eastAsia="es-ES"/>
        </w:rPr>
        <w:t>de información.</w:t>
      </w:r>
    </w:p>
    <w:p w14:paraId="475228D3" w14:textId="77777777" w:rsidR="007B68D1" w:rsidRPr="00D34D61" w:rsidRDefault="007B68D1" w:rsidP="008F72BB">
      <w:pPr>
        <w:spacing w:after="0" w:line="360" w:lineRule="auto"/>
        <w:rPr>
          <w:rFonts w:eastAsia="Times New Roman" w:cs="Tahoma"/>
          <w:bCs/>
          <w:iCs/>
          <w:color w:val="000000"/>
          <w:lang w:eastAsia="es-ES"/>
        </w:rPr>
      </w:pPr>
    </w:p>
    <w:p w14:paraId="0873C2C7" w14:textId="3674262A" w:rsidR="007B68D1" w:rsidRPr="00D34D61" w:rsidRDefault="00096AE4" w:rsidP="008F72BB">
      <w:pPr>
        <w:spacing w:after="0" w:line="360" w:lineRule="auto"/>
        <w:rPr>
          <w:rFonts w:eastAsia="Palatino Linotype" w:cs="Palatino Linotype"/>
          <w:color w:val="000000"/>
          <w:lang w:eastAsia="es-MX"/>
        </w:rPr>
      </w:pPr>
      <w:r w:rsidRPr="00D34D61">
        <w:rPr>
          <w:rFonts w:eastAsia="Palatino Linotype" w:cs="Palatino Linotype"/>
          <w:color w:val="000000"/>
          <w:lang w:eastAsia="es-MX"/>
        </w:rPr>
        <w:t xml:space="preserve">En orden de ideas, el artículo 3°, fracción </w:t>
      </w:r>
      <w:r w:rsidR="00301078" w:rsidRPr="00D34D61">
        <w:rPr>
          <w:rFonts w:eastAsia="Palatino Linotype" w:cs="Palatino Linotype"/>
          <w:color w:val="000000"/>
          <w:lang w:eastAsia="es-MX"/>
        </w:rPr>
        <w:t>LXVIII</w:t>
      </w:r>
      <w:r w:rsidRPr="00D34D61">
        <w:rPr>
          <w:rFonts w:eastAsia="Palatino Linotype" w:cs="Palatino Linotype"/>
          <w:color w:val="000000"/>
          <w:lang w:eastAsia="es-MX"/>
        </w:rPr>
        <w:t>,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124149A1" w14:textId="77777777" w:rsidR="00096AE4" w:rsidRPr="00D34D61" w:rsidRDefault="00096AE4" w:rsidP="008F72BB">
      <w:pPr>
        <w:spacing w:after="0" w:line="360" w:lineRule="auto"/>
        <w:rPr>
          <w:rFonts w:eastAsia="Palatino Linotype" w:cs="Palatino Linotype"/>
          <w:color w:val="000000"/>
          <w:lang w:eastAsia="es-MX"/>
        </w:rPr>
      </w:pPr>
    </w:p>
    <w:p w14:paraId="4F908998" w14:textId="2C1FBF3C" w:rsidR="00096AE4" w:rsidRPr="00D34D61" w:rsidRDefault="00574C02" w:rsidP="008F72BB">
      <w:pPr>
        <w:spacing w:after="0" w:line="360" w:lineRule="auto"/>
        <w:rPr>
          <w:rFonts w:eastAsia="Calibri" w:cs="Times New Roman"/>
          <w:b/>
          <w:bCs/>
          <w:color w:val="auto"/>
          <w:szCs w:val="28"/>
        </w:rPr>
      </w:pPr>
      <w:r w:rsidRPr="00D34D61">
        <w:rPr>
          <w:rFonts w:eastAsia="Calibri" w:cs="Times New Roman"/>
          <w:color w:val="auto"/>
          <w:szCs w:val="28"/>
        </w:rPr>
        <w:t xml:space="preserve">En ese contexto, el artículo </w:t>
      </w:r>
      <w:r w:rsidR="00096AE4" w:rsidRPr="00D34D61">
        <w:rPr>
          <w:rFonts w:eastAsia="Calibri" w:cs="Times New Roman"/>
          <w:color w:val="auto"/>
          <w:szCs w:val="28"/>
        </w:rPr>
        <w:t xml:space="preserve">92, fracción VIII, de la Ley de Transparencia y Acceso a la Información Pública del Estado de México y Municipios, establece que los Sujetos Obligados deberán poner a disposición del público de manera permanente y actualizada, </w:t>
      </w:r>
      <w:r w:rsidR="00096AE4" w:rsidRPr="00D34D61">
        <w:rPr>
          <w:rFonts w:eastAsia="Calibri" w:cs="Times New Roman"/>
          <w:b/>
          <w:bCs/>
          <w:color w:val="auto"/>
          <w:szCs w:val="28"/>
        </w:rPr>
        <w:t>las remuneraciones brutas y netas de todos los servidores públicos, que incluya todas las percepciones, entre las cuales, se encuentran los sueldos, prestaciones, gratificaciones, primas, comisiones, dietas, bonos, estímulos, ingresos, entre otros.</w:t>
      </w:r>
    </w:p>
    <w:p w14:paraId="593EA481" w14:textId="77777777" w:rsidR="00301078" w:rsidRPr="00D34D61" w:rsidRDefault="00301078" w:rsidP="008F72BB">
      <w:pPr>
        <w:spacing w:after="0" w:line="360" w:lineRule="auto"/>
        <w:rPr>
          <w:rFonts w:eastAsia="Calibri" w:cs="Times New Roman"/>
          <w:b/>
          <w:bCs/>
          <w:color w:val="auto"/>
          <w:szCs w:val="28"/>
        </w:rPr>
      </w:pPr>
    </w:p>
    <w:p w14:paraId="549D3D98" w14:textId="522E13B8" w:rsidR="000D43AB" w:rsidRPr="00D34D61" w:rsidRDefault="000D43AB" w:rsidP="008F72BB">
      <w:pPr>
        <w:spacing w:after="0" w:line="360" w:lineRule="auto"/>
        <w:rPr>
          <w:rFonts w:eastAsia="Calibri" w:cs="Times New Roman"/>
          <w:color w:val="auto"/>
          <w:szCs w:val="28"/>
        </w:rPr>
      </w:pPr>
      <w:r w:rsidRPr="00D34D61">
        <w:rPr>
          <w:rFonts w:eastAsia="Calibri" w:cs="Times New Roman"/>
          <w:color w:val="auto"/>
          <w:szCs w:val="28"/>
        </w:rPr>
        <w:t>Ahora bien, respecto a</w:t>
      </w:r>
      <w:r w:rsidR="008F72BB" w:rsidRPr="00D34D61">
        <w:rPr>
          <w:rFonts w:eastAsia="Calibri" w:cs="Times New Roman"/>
          <w:color w:val="auto"/>
          <w:szCs w:val="28"/>
        </w:rPr>
        <w:t xml:space="preserve"> </w:t>
      </w:r>
      <w:r w:rsidRPr="00D34D61">
        <w:rPr>
          <w:rFonts w:eastAsia="Calibri" w:cs="Times New Roman"/>
          <w:color w:val="auto"/>
          <w:szCs w:val="28"/>
        </w:rPr>
        <w:t>l</w:t>
      </w:r>
      <w:r w:rsidR="008F72BB" w:rsidRPr="00D34D61">
        <w:rPr>
          <w:rFonts w:eastAsia="Calibri" w:cs="Times New Roman"/>
          <w:color w:val="auto"/>
          <w:szCs w:val="28"/>
        </w:rPr>
        <w:t>os</w:t>
      </w:r>
      <w:r w:rsidRPr="00D34D61">
        <w:rPr>
          <w:rFonts w:eastAsia="Calibri" w:cs="Times New Roman"/>
          <w:color w:val="auto"/>
          <w:szCs w:val="28"/>
        </w:rPr>
        <w:t xml:space="preserve"> documento solicitado, la Ley del Trabajo de los Servidores Públicos del Estado y Municipios, en su artículo 220 K, fracciones II y IV, establece los documentos que tiene la obligación de conservar el Sujeto Obligado, entre los que se encuentra los </w:t>
      </w:r>
      <w:r w:rsidRPr="00D34D61">
        <w:rPr>
          <w:rFonts w:eastAsia="Calibri" w:cs="Times New Roman"/>
          <w:b/>
          <w:color w:val="auto"/>
          <w:szCs w:val="28"/>
        </w:rPr>
        <w:t>recibos de pago de salarios o las</w:t>
      </w:r>
      <w:r w:rsidRPr="00D34D61">
        <w:rPr>
          <w:rFonts w:eastAsia="Calibri" w:cs="Times New Roman"/>
          <w:color w:val="auto"/>
          <w:szCs w:val="28"/>
        </w:rPr>
        <w:t xml:space="preserve"> </w:t>
      </w:r>
      <w:r w:rsidRPr="00D34D61">
        <w:rPr>
          <w:rFonts w:eastAsia="Calibri" w:cs="Times New Roman"/>
          <w:b/>
          <w:color w:val="auto"/>
          <w:szCs w:val="28"/>
        </w:rPr>
        <w:t xml:space="preserve">constancias documentales del pago de sueldos, </w:t>
      </w:r>
      <w:r w:rsidRPr="00D34D61">
        <w:rPr>
          <w:rFonts w:eastAsia="Calibri" w:cs="Times New Roman"/>
          <w:color w:val="auto"/>
          <w:szCs w:val="28"/>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2F50CA82" w14:textId="77777777" w:rsidR="000D43AB" w:rsidRPr="00D34D61" w:rsidRDefault="000D43AB" w:rsidP="008F72BB">
      <w:pPr>
        <w:spacing w:after="0" w:line="360" w:lineRule="auto"/>
        <w:rPr>
          <w:rFonts w:eastAsia="Palatino Linotype" w:cs="Palatino Linotype"/>
          <w:color w:val="000000"/>
          <w:lang w:eastAsia="es-MX"/>
        </w:rPr>
      </w:pPr>
    </w:p>
    <w:p w14:paraId="4DF30991" w14:textId="2BB028F6" w:rsidR="002F7D8F" w:rsidRPr="00D34D61" w:rsidRDefault="002F7D8F" w:rsidP="008F72BB">
      <w:pPr>
        <w:spacing w:after="0" w:line="360" w:lineRule="auto"/>
        <w:rPr>
          <w:rFonts w:eastAsia="Palatino Linotype" w:cs="Palatino Linotype"/>
          <w:color w:val="000000"/>
          <w:lang w:eastAsia="es-MX"/>
        </w:rPr>
      </w:pPr>
      <w:r w:rsidRPr="00D34D61">
        <w:rPr>
          <w:rFonts w:eastAsia="Palatino Linotype" w:cs="Palatino Linotype"/>
          <w:color w:val="000000"/>
          <w:lang w:eastAsia="es-MX"/>
        </w:rPr>
        <w:lastRenderedPageBreak/>
        <w:t>Además, la Resolución Miscelánea Fiscal del ejercicio fiscal dos mil veinticinco, y la página oficial del Servicio de Administración Tributaria, precisan que un Comprobante Fiscal Digital por Internet por concepto de nómina y otras retenciones, es también conocido como Recibo de Nómina, mismo que se podrá expedir antes de la realización de los pagos correspondientes o dentro del plazo señalado en función al número de sus trabajadores, posteriores a la realización efectiva de dichos pagos, conforme a lo siguiente:</w:t>
      </w:r>
    </w:p>
    <w:p w14:paraId="302DB1C2" w14:textId="77777777" w:rsidR="002F7D8F" w:rsidRPr="00D34D61" w:rsidRDefault="002F7D8F" w:rsidP="008F72BB">
      <w:pPr>
        <w:spacing w:after="0" w:line="360" w:lineRule="auto"/>
        <w:rPr>
          <w:rFonts w:eastAsia="Palatino Linotype" w:cs="Palatino Linotype"/>
          <w:color w:val="000000"/>
          <w:lang w:eastAsia="es-MX"/>
        </w:rPr>
      </w:pPr>
    </w:p>
    <w:p w14:paraId="20203AA3" w14:textId="0F764DD1" w:rsidR="002F7D8F" w:rsidRPr="00D34D61" w:rsidRDefault="002F7D8F" w:rsidP="008F72BB">
      <w:pPr>
        <w:spacing w:after="0" w:line="360" w:lineRule="auto"/>
        <w:jc w:val="center"/>
        <w:rPr>
          <w:rFonts w:eastAsia="Palatino Linotype" w:cs="Palatino Linotype"/>
          <w:color w:val="000000"/>
          <w:lang w:eastAsia="es-MX"/>
        </w:rPr>
      </w:pPr>
      <w:r w:rsidRPr="00D34D61">
        <w:rPr>
          <w:rFonts w:eastAsia="Calibri" w:cs="Tahoma"/>
          <w:noProof/>
          <w:lang w:eastAsia="es-MX"/>
        </w:rPr>
        <w:drawing>
          <wp:inline distT="0" distB="0" distL="0" distR="0" wp14:anchorId="48941328" wp14:editId="73AFC344">
            <wp:extent cx="4895850" cy="1495425"/>
            <wp:effectExtent l="0" t="0" r="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0" cy="1495425"/>
                    </a:xfrm>
                    <a:prstGeom prst="rect">
                      <a:avLst/>
                    </a:prstGeom>
                    <a:noFill/>
                    <a:ln>
                      <a:noFill/>
                    </a:ln>
                  </pic:spPr>
                </pic:pic>
              </a:graphicData>
            </a:graphic>
          </wp:inline>
        </w:drawing>
      </w:r>
    </w:p>
    <w:p w14:paraId="03E00432" w14:textId="77777777" w:rsidR="002F7D8F" w:rsidRPr="00D34D61" w:rsidRDefault="002F7D8F" w:rsidP="008F72BB">
      <w:pPr>
        <w:spacing w:after="0" w:line="360" w:lineRule="auto"/>
        <w:rPr>
          <w:rFonts w:eastAsia="Palatino Linotype" w:cs="Palatino Linotype"/>
          <w:color w:val="000000"/>
          <w:lang w:eastAsia="es-MX"/>
        </w:rPr>
      </w:pPr>
    </w:p>
    <w:p w14:paraId="2017B37F" w14:textId="77777777" w:rsidR="002F7D8F" w:rsidRPr="00D34D61" w:rsidRDefault="002F7D8F" w:rsidP="008F72BB">
      <w:pPr>
        <w:spacing w:after="0" w:line="360" w:lineRule="auto"/>
        <w:rPr>
          <w:rFonts w:eastAsia="Calibri" w:cs="Tahoma"/>
          <w:bCs/>
        </w:rPr>
      </w:pPr>
      <w:r w:rsidRPr="00D34D61">
        <w:rPr>
          <w:rFonts w:eastAsia="Calibri" w:cs="Tahoma"/>
          <w:bCs/>
        </w:rPr>
        <w:t>Asimismo, precisa que se considerará como fecha de expedición y entrega de tales comprobantes fiscales la fecha en que efectivamente se realizó el pago de dichas remuneraciones.</w:t>
      </w:r>
    </w:p>
    <w:p w14:paraId="484DE587" w14:textId="77777777" w:rsidR="002F7D8F" w:rsidRPr="00D34D61" w:rsidRDefault="002F7D8F" w:rsidP="008F72BB">
      <w:pPr>
        <w:spacing w:after="0" w:line="360" w:lineRule="auto"/>
        <w:rPr>
          <w:rFonts w:eastAsia="Calibri" w:cs="Times New Roman"/>
          <w:color w:val="auto"/>
          <w:szCs w:val="28"/>
        </w:rPr>
      </w:pPr>
    </w:p>
    <w:p w14:paraId="6F6B5670" w14:textId="60D442DD" w:rsidR="002F7D8F" w:rsidRPr="00D34D61" w:rsidRDefault="002F7D8F" w:rsidP="008F72BB">
      <w:pPr>
        <w:spacing w:after="0" w:line="360" w:lineRule="auto"/>
        <w:rPr>
          <w:szCs w:val="28"/>
          <w:lang w:val="es-ES"/>
        </w:rPr>
      </w:pPr>
      <w:r w:rsidRPr="00D34D61">
        <w:rPr>
          <w:rFonts w:eastAsia="Times New Roman" w:cs="Tahoma"/>
          <w:bCs/>
          <w:color w:val="auto"/>
          <w:lang w:eastAsia="es-ES"/>
        </w:rPr>
        <w:t xml:space="preserve">Conforme a lo anterior, </w:t>
      </w:r>
      <w:r w:rsidRPr="00D34D61">
        <w:rPr>
          <w:szCs w:val="28"/>
        </w:rPr>
        <w:t>se logra advertir que, en el presente caso, se requirió C</w:t>
      </w:r>
      <w:r w:rsidRPr="00D34D61">
        <w:rPr>
          <w:rFonts w:eastAsia="Calibri" w:cs="Tahoma"/>
          <w:bCs/>
        </w:rPr>
        <w:t>omprobantes Fiscales Digitales por Internet</w:t>
      </w:r>
      <w:r w:rsidR="00DF0D24" w:rsidRPr="00D34D61">
        <w:rPr>
          <w:rFonts w:eastAsia="Calibri" w:cs="Tahoma"/>
          <w:bCs/>
        </w:rPr>
        <w:t xml:space="preserve"> por concepto de nómina de todos los servidores públicos adscritos a la Universidad Autónoma del Estado de México, </w:t>
      </w:r>
      <w:r w:rsidRPr="00D34D61">
        <w:rPr>
          <w:szCs w:val="28"/>
          <w:lang w:val="es-ES"/>
        </w:rPr>
        <w:t xml:space="preserve">de la </w:t>
      </w:r>
      <w:r w:rsidR="00DF0D24" w:rsidRPr="00D34D61">
        <w:rPr>
          <w:szCs w:val="28"/>
          <w:lang w:val="es-ES"/>
        </w:rPr>
        <w:t>segunda</w:t>
      </w:r>
      <w:r w:rsidRPr="00D34D61">
        <w:rPr>
          <w:szCs w:val="28"/>
          <w:lang w:val="es-ES"/>
        </w:rPr>
        <w:t xml:space="preserve"> quincena de </w:t>
      </w:r>
      <w:r w:rsidR="00DF0D24" w:rsidRPr="00D34D61">
        <w:rPr>
          <w:szCs w:val="28"/>
          <w:lang w:val="es-ES"/>
        </w:rPr>
        <w:t xml:space="preserve">diciembre </w:t>
      </w:r>
      <w:r w:rsidRPr="00D34D61">
        <w:rPr>
          <w:szCs w:val="28"/>
          <w:lang w:val="es-ES"/>
        </w:rPr>
        <w:t>dos mil veinticuatro.</w:t>
      </w:r>
    </w:p>
    <w:p w14:paraId="0FBB656B" w14:textId="77777777" w:rsidR="002F7D8F" w:rsidRPr="00D34D61" w:rsidRDefault="002F7D8F" w:rsidP="008F72BB">
      <w:pPr>
        <w:spacing w:after="0" w:line="360" w:lineRule="auto"/>
        <w:rPr>
          <w:rFonts w:eastAsia="Calibri" w:cs="Times New Roman"/>
          <w:color w:val="auto"/>
          <w:szCs w:val="28"/>
        </w:rPr>
      </w:pPr>
    </w:p>
    <w:p w14:paraId="62526AE9" w14:textId="3BDB5C92" w:rsidR="005F66FA" w:rsidRPr="00D34D61" w:rsidRDefault="005F66FA" w:rsidP="008F72BB">
      <w:pPr>
        <w:spacing w:after="0" w:line="360" w:lineRule="auto"/>
        <w:rPr>
          <w:rFonts w:cs="Tahoma"/>
          <w:bCs/>
          <w:iCs/>
        </w:rPr>
      </w:pPr>
      <w:r w:rsidRPr="00D34D61">
        <w:rPr>
          <w:rFonts w:cs="Tahoma"/>
          <w:bCs/>
          <w:iCs/>
        </w:rPr>
        <w:t xml:space="preserve">Establecido lo anterior, se procede analizar la información entregada, por lo que, en principio de la revisión de las constancias que obran en el expediente se logra vislumbrar, que el Sujeto Obligado, turno la solicitud de información a la Dirección de Recursos Humanos; </w:t>
      </w:r>
      <w:r w:rsidRPr="00D34D61">
        <w:rPr>
          <w:rFonts w:cs="Tahoma"/>
          <w:bCs/>
          <w:iCs/>
          <w:lang w:val="es-ES"/>
        </w:rPr>
        <w:t xml:space="preserve">por lo que, </w:t>
      </w:r>
      <w:r w:rsidRPr="00D34D61">
        <w:rPr>
          <w:rFonts w:cs="Tahoma"/>
          <w:bCs/>
          <w:iCs/>
        </w:rPr>
        <w:t xml:space="preserve">es necesario hacer referencia </w:t>
      </w:r>
      <w:r w:rsidRPr="00D34D61">
        <w:rPr>
          <w:rFonts w:cs="Tahoma"/>
          <w:bCs/>
          <w:iCs/>
          <w:lang w:val="es-ES"/>
        </w:rPr>
        <w:t xml:space="preserve">al procedimiento de búsqueda que deben de seguir los Sujetos </w:t>
      </w:r>
      <w:r w:rsidRPr="00D34D61">
        <w:rPr>
          <w:rFonts w:cs="Tahoma"/>
          <w:bCs/>
          <w:iCs/>
          <w:lang w:val="es-ES"/>
        </w:rPr>
        <w:lastRenderedPageBreak/>
        <w:t xml:space="preserve">Obligados para localizar la información, el cual se encuentra previsto en los artículos 160 y 162 de la Ley de Transparencia y Acceso a la Información Pública del Estado de México y Municipios, </w:t>
      </w:r>
      <w:r w:rsidR="00DF0D24" w:rsidRPr="00D34D61">
        <w:rPr>
          <w:rFonts w:cs="Tahoma"/>
          <w:bCs/>
          <w:iCs/>
        </w:rPr>
        <w:t>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697B0E86" w14:textId="77777777" w:rsidR="00DF0D24" w:rsidRPr="00D34D61" w:rsidRDefault="00DF0D24" w:rsidP="008F72BB">
      <w:pPr>
        <w:spacing w:after="0" w:line="360" w:lineRule="auto"/>
        <w:rPr>
          <w:rFonts w:cs="Tahoma"/>
          <w:bCs/>
          <w:iCs/>
        </w:rPr>
      </w:pPr>
    </w:p>
    <w:p w14:paraId="382BFF4F" w14:textId="23F2EC04" w:rsidR="005F66FA" w:rsidRPr="00D34D61" w:rsidRDefault="005F66FA" w:rsidP="008F72BB">
      <w:pPr>
        <w:spacing w:after="0" w:line="360" w:lineRule="auto"/>
        <w:rPr>
          <w:rFonts w:cs="Tahoma"/>
          <w:bCs/>
          <w:iCs/>
        </w:rPr>
      </w:pPr>
      <w:r w:rsidRPr="00D34D61">
        <w:rPr>
          <w:rFonts w:cs="Tahoma"/>
          <w:bCs/>
          <w:iCs/>
        </w:rPr>
        <w:t>En ese orden de ideas y a efecto de verificar que el Sujeto Obligado cumplió con dicho procedimiento, es necesar</w:t>
      </w:r>
      <w:r w:rsidR="00AF0C82" w:rsidRPr="00D34D61">
        <w:rPr>
          <w:rFonts w:cs="Tahoma"/>
          <w:bCs/>
          <w:iCs/>
        </w:rPr>
        <w:t>io traer a colación los C</w:t>
      </w:r>
      <w:r w:rsidRPr="00D34D61">
        <w:rPr>
          <w:rFonts w:cs="Tahoma"/>
          <w:bCs/>
          <w:iCs/>
        </w:rPr>
        <w:t>onsiderando</w:t>
      </w:r>
      <w:r w:rsidR="00AF0C82" w:rsidRPr="00D34D61">
        <w:rPr>
          <w:rFonts w:cs="Tahoma"/>
          <w:bCs/>
          <w:iCs/>
        </w:rPr>
        <w:t>s Quinto</w:t>
      </w:r>
      <w:r w:rsidR="006E50E1" w:rsidRPr="00D34D61">
        <w:rPr>
          <w:rFonts w:cs="Tahoma"/>
          <w:bCs/>
          <w:iCs/>
        </w:rPr>
        <w:t xml:space="preserve"> y </w:t>
      </w:r>
      <w:r w:rsidRPr="00D34D61">
        <w:rPr>
          <w:rFonts w:cs="Tahoma"/>
          <w:bCs/>
          <w:iCs/>
        </w:rPr>
        <w:t xml:space="preserve">Séptimo, Inciso A, del Acuerdo por el que se Escinde la Secretaría de Administración para conformar la Secretaría de Finanzas y la Secretaría de Administración de la Universidad Autónoma del Estado de México, que precisa que </w:t>
      </w:r>
      <w:r w:rsidR="00AF0C82" w:rsidRPr="00D34D61">
        <w:rPr>
          <w:rFonts w:cs="Tahoma"/>
          <w:bCs/>
          <w:iCs/>
        </w:rPr>
        <w:t>la Secretaría de Administración</w:t>
      </w:r>
      <w:r w:rsidR="006E50E1" w:rsidRPr="00D34D61">
        <w:rPr>
          <w:rFonts w:cs="Tahoma"/>
          <w:bCs/>
          <w:iCs/>
        </w:rPr>
        <w:t xml:space="preserve"> de la Universidad tendrá a su cargo el suministro y control de los recursos humanos, materiales y tecnológicos para atender las funciones sustantivas y adjetivas y para tal efecto se auxiliará</w:t>
      </w:r>
      <w:r w:rsidR="00AF0C82" w:rsidRPr="00D34D61">
        <w:rPr>
          <w:rFonts w:cs="Tahoma"/>
          <w:bCs/>
          <w:iCs/>
        </w:rPr>
        <w:t xml:space="preserve"> </w:t>
      </w:r>
      <w:r w:rsidRPr="00D34D61">
        <w:rPr>
          <w:rFonts w:cs="Tahoma"/>
          <w:bCs/>
          <w:iCs/>
        </w:rPr>
        <w:t xml:space="preserve"> </w:t>
      </w:r>
      <w:r w:rsidR="006E50E1" w:rsidRPr="00D34D61">
        <w:rPr>
          <w:rFonts w:cs="Tahoma"/>
          <w:bCs/>
          <w:iCs/>
        </w:rPr>
        <w:t>de la</w:t>
      </w:r>
      <w:r w:rsidRPr="00D34D61">
        <w:rPr>
          <w:rFonts w:cs="Tahoma"/>
          <w:bCs/>
          <w:iCs/>
        </w:rPr>
        <w:t xml:space="preserve"> </w:t>
      </w:r>
      <w:r w:rsidRPr="00D34D61">
        <w:rPr>
          <w:rFonts w:cs="Tahoma"/>
          <w:b/>
          <w:bCs/>
          <w:iCs/>
        </w:rPr>
        <w:t>Dirección de Recursos Humanos</w:t>
      </w:r>
      <w:r w:rsidRPr="00D34D61">
        <w:rPr>
          <w:rFonts w:cs="Tahoma"/>
          <w:bCs/>
          <w:iCs/>
        </w:rPr>
        <w:t>, encargada de supervisar la aplicaciones de los movimientos percepciones y deducciones, a efecto de garantizar el pago oportuno de sueldos y prestaciones de l</w:t>
      </w:r>
      <w:r w:rsidR="006E50E1" w:rsidRPr="00D34D61">
        <w:rPr>
          <w:rFonts w:cs="Tahoma"/>
          <w:bCs/>
          <w:iCs/>
        </w:rPr>
        <w:t xml:space="preserve">os trabajadores universitarios en el sistema dispuesto para la administración de recursos humanos. </w:t>
      </w:r>
    </w:p>
    <w:p w14:paraId="3955275A" w14:textId="77777777" w:rsidR="006E50E1" w:rsidRPr="00D34D61" w:rsidRDefault="006E50E1" w:rsidP="008F72BB">
      <w:pPr>
        <w:spacing w:after="0" w:line="360" w:lineRule="auto"/>
        <w:rPr>
          <w:rFonts w:cs="Tahoma"/>
          <w:bCs/>
          <w:iCs/>
        </w:rPr>
      </w:pPr>
    </w:p>
    <w:p w14:paraId="12D36FA1" w14:textId="397A4460" w:rsidR="006E50E1" w:rsidRPr="00D34D61" w:rsidRDefault="006E50E1" w:rsidP="008F72BB">
      <w:pPr>
        <w:spacing w:after="0" w:line="360" w:lineRule="auto"/>
        <w:rPr>
          <w:rFonts w:cs="Tahoma"/>
          <w:bCs/>
          <w:iCs/>
        </w:rPr>
      </w:pPr>
      <w:r w:rsidRPr="00D34D61">
        <w:rPr>
          <w:rFonts w:cs="Tahoma"/>
          <w:bCs/>
          <w:iCs/>
        </w:rPr>
        <w:t>Así mismo, conforme al Manual de Organización de</w:t>
      </w:r>
      <w:r w:rsidR="006115F4" w:rsidRPr="00D34D61">
        <w:rPr>
          <w:rFonts w:cs="Tahoma"/>
          <w:bCs/>
          <w:iCs/>
        </w:rPr>
        <w:t xml:space="preserve"> la Dirección de Recursos Humanos de la  Universidad Autónoma del Estado de México, precisa que la Dirección de Recursos Humanos se integrará de diversas unidades y departamentos, entre los cuales se encuentra el </w:t>
      </w:r>
      <w:r w:rsidR="006115F4" w:rsidRPr="00D34D61">
        <w:rPr>
          <w:rFonts w:cs="Tahoma"/>
          <w:b/>
          <w:bCs/>
          <w:iCs/>
        </w:rPr>
        <w:t>Departamento de Nóminas</w:t>
      </w:r>
      <w:r w:rsidR="00D00979" w:rsidRPr="00D34D61">
        <w:rPr>
          <w:rFonts w:cs="Tahoma"/>
          <w:bCs/>
          <w:iCs/>
        </w:rPr>
        <w:t xml:space="preserve">, encargada de analizar la correcta aplicación en el Sistema dispuesto para la Administración de Recursos Humanos, el pago por concepto de prestaciones correspondientes a los trabajadores universitarios, y el </w:t>
      </w:r>
      <w:r w:rsidR="00D00979" w:rsidRPr="00D34D61">
        <w:rPr>
          <w:rFonts w:cs="Tahoma"/>
          <w:b/>
          <w:bCs/>
          <w:iCs/>
        </w:rPr>
        <w:t xml:space="preserve">Departamento de </w:t>
      </w:r>
      <w:r w:rsidR="00D00979" w:rsidRPr="00D34D61">
        <w:rPr>
          <w:rFonts w:cs="Tahoma"/>
          <w:b/>
          <w:bCs/>
          <w:iCs/>
        </w:rPr>
        <w:lastRenderedPageBreak/>
        <w:t>Informática</w:t>
      </w:r>
      <w:r w:rsidR="00D00979" w:rsidRPr="00D34D61">
        <w:rPr>
          <w:rFonts w:cs="Tahoma"/>
          <w:bCs/>
          <w:iCs/>
        </w:rPr>
        <w:t xml:space="preserve">, en cargada de  generar la orden de pago y garantizar la entrega de la base de datos relativa a las aportaciones y retenciones del ISSEMyM, así como emitir y asegurar la entrega de documentación e información relacionada con retenciones y pagos que afecten directamente la nómina de los trabajadores universitarios. </w:t>
      </w:r>
    </w:p>
    <w:p w14:paraId="229DE70D" w14:textId="77777777" w:rsidR="00D00979" w:rsidRPr="00D34D61" w:rsidRDefault="00D00979" w:rsidP="008F72BB">
      <w:pPr>
        <w:spacing w:after="0" w:line="360" w:lineRule="auto"/>
        <w:rPr>
          <w:rFonts w:cs="Tahoma"/>
          <w:bCs/>
          <w:iCs/>
        </w:rPr>
      </w:pPr>
    </w:p>
    <w:p w14:paraId="0AEE4515" w14:textId="1EB59ED6" w:rsidR="005F66FA" w:rsidRPr="00D34D61" w:rsidRDefault="005F66FA" w:rsidP="008F72BB">
      <w:pPr>
        <w:spacing w:after="0" w:line="360" w:lineRule="auto"/>
        <w:rPr>
          <w:rFonts w:eastAsia="Calibri"/>
          <w:bCs/>
          <w:lang w:val="es-ES_tradnl"/>
        </w:rPr>
      </w:pPr>
      <w:r w:rsidRPr="00D34D61">
        <w:rPr>
          <w:rFonts w:eastAsia="Calibri"/>
          <w:bCs/>
          <w:lang w:val="es-ES_tradnl"/>
        </w:rPr>
        <w:t>De tal circunstancia, se logra colegir que el Sujeto Obligado cumplió con el procedimiento de búsqueda establecido en el artículo 162 de la Ley de Transparencia y Acceso a la Información Pública del Estado de México y Municipios, pues gestionó el requerimiento de información a la Dirección de Recursos Humanos.</w:t>
      </w:r>
    </w:p>
    <w:p w14:paraId="71DCDFC3" w14:textId="77777777" w:rsidR="005F66FA" w:rsidRPr="00D34D61" w:rsidRDefault="005F66FA" w:rsidP="008F72BB">
      <w:pPr>
        <w:spacing w:after="0" w:line="360" w:lineRule="auto"/>
        <w:rPr>
          <w:rFonts w:eastAsia="Calibri"/>
          <w:bCs/>
          <w:lang w:val="es-ES_tradnl"/>
        </w:rPr>
      </w:pPr>
    </w:p>
    <w:p w14:paraId="41813154" w14:textId="10A820A2" w:rsidR="005F66FA" w:rsidRPr="00D34D61" w:rsidRDefault="00486A83" w:rsidP="008F72BB">
      <w:pPr>
        <w:spacing w:after="0" w:line="360" w:lineRule="auto"/>
        <w:rPr>
          <w:rFonts w:cs="Tahoma"/>
          <w:bCs/>
          <w:iCs/>
          <w:lang w:val="es-ES"/>
        </w:rPr>
      </w:pPr>
      <w:r w:rsidRPr="00D34D61">
        <w:rPr>
          <w:rFonts w:cs="Tahoma"/>
          <w:bCs/>
          <w:iCs/>
          <w:lang w:val="es-ES"/>
        </w:rPr>
        <w:t>En ese orden de ideas</w:t>
      </w:r>
      <w:r w:rsidR="005F66FA" w:rsidRPr="00D34D61">
        <w:rPr>
          <w:rFonts w:cs="Tahoma"/>
          <w:bCs/>
          <w:iCs/>
          <w:lang w:val="es-ES"/>
        </w:rPr>
        <w:t xml:space="preserve">, </w:t>
      </w:r>
      <w:r w:rsidRPr="00D34D61">
        <w:rPr>
          <w:rFonts w:cs="Tahoma"/>
          <w:bCs/>
          <w:iCs/>
          <w:lang w:val="es-ES"/>
        </w:rPr>
        <w:t xml:space="preserve">en respuesta, dicha área precisó que no contaba con la información procesada conforme a lo solicitado por la persona Recurrente, sim embargo, la Dirección de </w:t>
      </w:r>
      <w:proofErr w:type="spellStart"/>
      <w:r w:rsidRPr="00D34D61">
        <w:rPr>
          <w:rFonts w:cs="Tahoma"/>
          <w:bCs/>
          <w:iCs/>
          <w:lang w:val="es-ES"/>
        </w:rPr>
        <w:t>de</w:t>
      </w:r>
      <w:proofErr w:type="spellEnd"/>
      <w:r w:rsidR="00BC0925" w:rsidRPr="00D34D61">
        <w:rPr>
          <w:rFonts w:cs="Tahoma"/>
          <w:bCs/>
          <w:iCs/>
          <w:lang w:val="es-ES"/>
        </w:rPr>
        <w:t xml:space="preserve"> </w:t>
      </w:r>
      <w:r w:rsidR="005F66FA" w:rsidRPr="00D34D61">
        <w:rPr>
          <w:rFonts w:cs="Tahoma"/>
          <w:bCs/>
          <w:iCs/>
          <w:lang w:val="es-ES"/>
        </w:rPr>
        <w:t>Transparencia</w:t>
      </w:r>
      <w:r w:rsidRPr="00D34D61">
        <w:rPr>
          <w:rFonts w:cs="Tahoma"/>
          <w:bCs/>
          <w:iCs/>
          <w:lang w:val="es-ES"/>
        </w:rPr>
        <w:t xml:space="preserve"> Universitaria</w:t>
      </w:r>
      <w:r w:rsidR="005F66FA" w:rsidRPr="00D34D61">
        <w:rPr>
          <w:rFonts w:cs="Tahoma"/>
          <w:bCs/>
          <w:iCs/>
          <w:lang w:val="es-ES"/>
        </w:rPr>
        <w:t xml:space="preserve"> proporcionó </w:t>
      </w:r>
      <w:r w:rsidRPr="00D34D61">
        <w:rPr>
          <w:rFonts w:cs="Tahoma"/>
          <w:bCs/>
          <w:iCs/>
          <w:lang w:val="es-ES"/>
        </w:rPr>
        <w:t xml:space="preserve">las </w:t>
      </w:r>
      <w:r w:rsidR="005F66FA" w:rsidRPr="00D34D61">
        <w:rPr>
          <w:rFonts w:cs="Tahoma"/>
          <w:bCs/>
          <w:iCs/>
          <w:lang w:val="es-ES"/>
        </w:rPr>
        <w:t xml:space="preserve">ligas </w:t>
      </w:r>
      <w:r w:rsidRPr="00D34D61">
        <w:rPr>
          <w:rFonts w:cs="Tahoma"/>
          <w:bCs/>
          <w:iCs/>
          <w:lang w:val="es-ES"/>
        </w:rPr>
        <w:t xml:space="preserve">electrónicas </w:t>
      </w:r>
      <w:hyperlink r:id="rId11" w:history="1">
        <w:r w:rsidRPr="00D34D61">
          <w:rPr>
            <w:rStyle w:val="Hipervnculo"/>
            <w:rFonts w:cs="Tahoma"/>
            <w:bCs/>
            <w:iCs/>
            <w:lang w:val="es-ES"/>
          </w:rPr>
          <w:t>http://transparencia.uaemex.mx/usuario/infPub.php?nomDir=03.catPueTabSal&amp;cveParent=5</w:t>
        </w:r>
      </w:hyperlink>
      <w:r w:rsidRPr="00D34D61">
        <w:rPr>
          <w:rFonts w:cs="Tahoma"/>
          <w:bCs/>
          <w:iCs/>
          <w:lang w:val="es-ES"/>
        </w:rPr>
        <w:t xml:space="preserve"> y </w:t>
      </w:r>
      <w:r w:rsidR="005F66FA" w:rsidRPr="00D34D61">
        <w:rPr>
          <w:rStyle w:val="Hipervnculo"/>
          <w:rFonts w:cs="Tahoma"/>
          <w:bCs/>
          <w:iCs/>
          <w:lang w:val="es-ES"/>
        </w:rPr>
        <w:t>https://infoem2.ipomex.org.mx/ipomex/#/info-fraccion/11/87/28</w:t>
      </w:r>
      <w:r w:rsidR="005F66FA" w:rsidRPr="00D34D61">
        <w:rPr>
          <w:rFonts w:cs="Tahoma"/>
          <w:bCs/>
          <w:iCs/>
          <w:lang w:val="es-ES"/>
        </w:rPr>
        <w:t xml:space="preserve">, </w:t>
      </w:r>
      <w:r w:rsidRPr="00D34D61">
        <w:rPr>
          <w:rFonts w:cs="Tahoma"/>
          <w:bCs/>
          <w:iCs/>
          <w:lang w:val="es-ES"/>
        </w:rPr>
        <w:t xml:space="preserve">de las cuales no se logró advertir la información solicitada, tal como se muestra en la siguientes imágenes ilustrativas: </w:t>
      </w:r>
    </w:p>
    <w:p w14:paraId="2F23AA1E" w14:textId="77777777" w:rsidR="00486A83" w:rsidRPr="00D34D61" w:rsidRDefault="00486A83" w:rsidP="008F72BB">
      <w:pPr>
        <w:spacing w:after="0" w:line="360" w:lineRule="auto"/>
        <w:rPr>
          <w:rFonts w:cs="Tahoma"/>
          <w:bCs/>
          <w:iCs/>
          <w:lang w:val="es-ES"/>
        </w:rPr>
      </w:pPr>
    </w:p>
    <w:p w14:paraId="08FB347E" w14:textId="17CB4364" w:rsidR="00486A83" w:rsidRPr="00D34D61" w:rsidRDefault="00486A83" w:rsidP="00B135B9">
      <w:pPr>
        <w:spacing w:after="0" w:line="360" w:lineRule="auto"/>
        <w:jc w:val="center"/>
        <w:rPr>
          <w:rFonts w:cs="Tahoma"/>
          <w:bCs/>
          <w:iCs/>
          <w:lang w:val="es-ES"/>
        </w:rPr>
      </w:pPr>
      <w:r w:rsidRPr="00D34D61">
        <w:rPr>
          <w:rFonts w:cs="Tahoma"/>
          <w:bCs/>
          <w:iCs/>
          <w:noProof/>
          <w:lang w:eastAsia="es-MX"/>
        </w:rPr>
        <w:drawing>
          <wp:inline distT="0" distB="0" distL="0" distR="0" wp14:anchorId="1464EFC4" wp14:editId="2E9A67EF">
            <wp:extent cx="4979117" cy="2647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8712"/>
                    <a:stretch/>
                  </pic:blipFill>
                  <pic:spPr bwMode="auto">
                    <a:xfrm>
                      <a:off x="0" y="0"/>
                      <a:ext cx="4992221" cy="2654919"/>
                    </a:xfrm>
                    <a:prstGeom prst="rect">
                      <a:avLst/>
                    </a:prstGeom>
                    <a:ln>
                      <a:noFill/>
                    </a:ln>
                    <a:extLst>
                      <a:ext uri="{53640926-AAD7-44D8-BBD7-CCE9431645EC}">
                        <a14:shadowObscured xmlns:a14="http://schemas.microsoft.com/office/drawing/2010/main"/>
                      </a:ext>
                    </a:extLst>
                  </pic:spPr>
                </pic:pic>
              </a:graphicData>
            </a:graphic>
          </wp:inline>
        </w:drawing>
      </w:r>
    </w:p>
    <w:p w14:paraId="75D2C72C" w14:textId="41FC62F6" w:rsidR="005F66FA" w:rsidRPr="00D34D61" w:rsidRDefault="00486A83" w:rsidP="008F72BB">
      <w:pPr>
        <w:spacing w:after="0" w:line="360" w:lineRule="auto"/>
        <w:jc w:val="center"/>
        <w:rPr>
          <w:rFonts w:cs="Tahoma"/>
          <w:bCs/>
          <w:iCs/>
          <w:lang w:val="es-ES"/>
        </w:rPr>
      </w:pPr>
      <w:r w:rsidRPr="00D34D61">
        <w:rPr>
          <w:rFonts w:cs="Tahoma"/>
          <w:bCs/>
          <w:iCs/>
          <w:noProof/>
          <w:lang w:eastAsia="es-MX"/>
        </w:rPr>
        <w:lastRenderedPageBreak/>
        <w:drawing>
          <wp:inline distT="0" distB="0" distL="0" distR="0" wp14:anchorId="0A6D4093" wp14:editId="386FAA13">
            <wp:extent cx="4371975" cy="23246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20509"/>
                    <a:stretch/>
                  </pic:blipFill>
                  <pic:spPr bwMode="auto">
                    <a:xfrm>
                      <a:off x="0" y="0"/>
                      <a:ext cx="4408561" cy="2344123"/>
                    </a:xfrm>
                    <a:prstGeom prst="rect">
                      <a:avLst/>
                    </a:prstGeom>
                    <a:ln>
                      <a:noFill/>
                    </a:ln>
                    <a:extLst>
                      <a:ext uri="{53640926-AAD7-44D8-BBD7-CCE9431645EC}">
                        <a14:shadowObscured xmlns:a14="http://schemas.microsoft.com/office/drawing/2010/main"/>
                      </a:ext>
                    </a:extLst>
                  </pic:spPr>
                </pic:pic>
              </a:graphicData>
            </a:graphic>
          </wp:inline>
        </w:drawing>
      </w:r>
    </w:p>
    <w:p w14:paraId="22C632E6" w14:textId="77777777" w:rsidR="00B135B9" w:rsidRPr="00D34D61" w:rsidRDefault="00B135B9" w:rsidP="008F72BB">
      <w:pPr>
        <w:spacing w:after="0" w:line="360" w:lineRule="auto"/>
        <w:rPr>
          <w:rFonts w:cs="Tahoma"/>
          <w:bCs/>
          <w:iCs/>
          <w:lang w:val="es-ES"/>
        </w:rPr>
      </w:pPr>
    </w:p>
    <w:p w14:paraId="52D20E16" w14:textId="34CAEBF0" w:rsidR="00B135B9" w:rsidRPr="00D34D61" w:rsidRDefault="00283AD8" w:rsidP="008F72BB">
      <w:pPr>
        <w:spacing w:after="0" w:line="360" w:lineRule="auto"/>
        <w:rPr>
          <w:rFonts w:cs="Tahoma"/>
          <w:bCs/>
          <w:iCs/>
          <w:lang w:val="es-ES"/>
        </w:rPr>
      </w:pPr>
      <w:r w:rsidRPr="00D34D61">
        <w:rPr>
          <w:rFonts w:cs="Tahoma"/>
          <w:bCs/>
          <w:iCs/>
          <w:lang w:val="es-ES"/>
        </w:rPr>
        <w:t xml:space="preserve">Situación que fue ratificada durante la sustanciación del </w:t>
      </w:r>
      <w:r w:rsidR="00B135B9" w:rsidRPr="00D34D61">
        <w:rPr>
          <w:rFonts w:cs="Tahoma"/>
          <w:bCs/>
          <w:iCs/>
          <w:lang w:val="es-ES"/>
        </w:rPr>
        <w:t>M</w:t>
      </w:r>
      <w:r w:rsidRPr="00D34D61">
        <w:rPr>
          <w:rFonts w:cs="Tahoma"/>
          <w:bCs/>
          <w:iCs/>
          <w:lang w:val="es-ES"/>
        </w:rPr>
        <w:t xml:space="preserve">edio de </w:t>
      </w:r>
      <w:r w:rsidR="00B135B9" w:rsidRPr="00D34D61">
        <w:rPr>
          <w:rFonts w:cs="Tahoma"/>
          <w:bCs/>
          <w:iCs/>
          <w:lang w:val="es-ES"/>
        </w:rPr>
        <w:t>I</w:t>
      </w:r>
      <w:r w:rsidRPr="00D34D61">
        <w:rPr>
          <w:rFonts w:cs="Tahoma"/>
          <w:bCs/>
          <w:iCs/>
          <w:lang w:val="es-ES"/>
        </w:rPr>
        <w:t>mpugnación</w:t>
      </w:r>
      <w:r w:rsidR="005F66FA" w:rsidRPr="00D34D61">
        <w:rPr>
          <w:rFonts w:cs="Tahoma"/>
          <w:bCs/>
          <w:iCs/>
          <w:lang w:val="es-ES"/>
        </w:rPr>
        <w:t>,</w:t>
      </w:r>
      <w:r w:rsidR="00BC0925" w:rsidRPr="00D34D61">
        <w:rPr>
          <w:rFonts w:cs="Tahoma"/>
          <w:bCs/>
          <w:iCs/>
          <w:lang w:val="es-ES"/>
        </w:rPr>
        <w:t xml:space="preserve"> por lo que</w:t>
      </w:r>
      <w:r w:rsidR="005F66FA" w:rsidRPr="00D34D61">
        <w:rPr>
          <w:rFonts w:cs="Tahoma"/>
          <w:bCs/>
          <w:iCs/>
          <w:lang w:val="es-ES"/>
        </w:rPr>
        <w:t xml:space="preserve"> se logra vislumbrar que</w:t>
      </w:r>
      <w:r w:rsidRPr="00D34D61">
        <w:rPr>
          <w:rFonts w:cs="Tahoma"/>
          <w:bCs/>
          <w:iCs/>
          <w:lang w:val="es-ES"/>
        </w:rPr>
        <w:t xml:space="preserve"> </w:t>
      </w:r>
      <w:r w:rsidR="00B135B9" w:rsidRPr="00D34D61">
        <w:rPr>
          <w:rFonts w:cs="Tahoma"/>
          <w:bCs/>
          <w:iCs/>
          <w:lang w:val="es-ES"/>
        </w:rPr>
        <w:t>la información proporcionada en las ligas electrónicas, no corresponde con lo solicitado, pues si bien una de las ligas se relaciona con las remuneraciones, la pretensión del particular es obtener el documento que acredite el pago de un determinado tiempo.</w:t>
      </w:r>
    </w:p>
    <w:p w14:paraId="50066C38" w14:textId="77777777" w:rsidR="00B135B9" w:rsidRPr="00D34D61" w:rsidRDefault="00B135B9" w:rsidP="008F72BB">
      <w:pPr>
        <w:spacing w:after="0" w:line="360" w:lineRule="auto"/>
        <w:rPr>
          <w:rFonts w:cs="Tahoma"/>
          <w:bCs/>
          <w:iCs/>
          <w:lang w:val="es-ES"/>
        </w:rPr>
      </w:pPr>
    </w:p>
    <w:p w14:paraId="60B761CA" w14:textId="2EDC6FF3" w:rsidR="00A72795" w:rsidRPr="00D34D61" w:rsidRDefault="00B135B9" w:rsidP="00B135B9">
      <w:pPr>
        <w:widowControl w:val="0"/>
        <w:spacing w:after="0" w:line="360" w:lineRule="auto"/>
        <w:rPr>
          <w:rFonts w:cs="Tahoma"/>
          <w:bCs/>
          <w:iCs/>
          <w:lang w:val="es-ES"/>
        </w:rPr>
      </w:pPr>
      <w:r w:rsidRPr="00D34D61">
        <w:rPr>
          <w:rFonts w:cs="Tahoma"/>
          <w:bCs/>
          <w:iCs/>
          <w:lang w:val="es-ES"/>
        </w:rPr>
        <w:t>Ahora bien, respecto a que no cuenta con los recibos</w:t>
      </w:r>
      <w:r w:rsidR="0043029B" w:rsidRPr="00D34D61">
        <w:rPr>
          <w:rFonts w:cs="Tahoma"/>
          <w:bCs/>
          <w:iCs/>
          <w:lang w:val="es-ES"/>
        </w:rPr>
        <w:t xml:space="preserve"> de nómina,</w:t>
      </w:r>
      <w:r w:rsidR="00A72795" w:rsidRPr="00D34D61">
        <w:rPr>
          <w:rFonts w:cs="Tahoma"/>
          <w:bCs/>
          <w:iCs/>
          <w:lang w:val="es-ES"/>
        </w:rPr>
        <w:t xml:space="preserve"> este Instituto localizó</w:t>
      </w:r>
      <w:r w:rsidR="0043029B" w:rsidRPr="00D34D61">
        <w:rPr>
          <w:rFonts w:cs="Tahoma"/>
          <w:bCs/>
          <w:iCs/>
          <w:lang w:val="es-ES"/>
        </w:rPr>
        <w:t xml:space="preserve"> la resolución </w:t>
      </w:r>
      <w:r w:rsidR="00A72795" w:rsidRPr="00D34D61">
        <w:rPr>
          <w:rFonts w:cs="Tahoma"/>
          <w:bCs/>
          <w:iCs/>
          <w:lang w:val="es-ES"/>
        </w:rPr>
        <w:t>del Recurso</w:t>
      </w:r>
      <w:r w:rsidRPr="00D34D61">
        <w:rPr>
          <w:rFonts w:cs="Tahoma"/>
          <w:bCs/>
          <w:iCs/>
          <w:lang w:val="es-ES"/>
        </w:rPr>
        <w:t xml:space="preserve"> de Revisión </w:t>
      </w:r>
      <w:r w:rsidR="0043029B" w:rsidRPr="00D34D61">
        <w:rPr>
          <w:rFonts w:cs="Tahoma"/>
          <w:bCs/>
          <w:iCs/>
          <w:lang w:val="es-ES"/>
        </w:rPr>
        <w:t>00114/INFOEM/IP/RR/2023</w:t>
      </w:r>
      <w:r w:rsidRPr="00D34D61">
        <w:rPr>
          <w:rFonts w:cs="Tahoma"/>
          <w:bCs/>
          <w:iCs/>
          <w:lang w:val="es-ES"/>
        </w:rPr>
        <w:t xml:space="preserve">, </w:t>
      </w:r>
      <w:r w:rsidR="00A72795" w:rsidRPr="00D34D61">
        <w:rPr>
          <w:rFonts w:cs="Tahoma"/>
          <w:bCs/>
          <w:iCs/>
          <w:lang w:val="es-ES"/>
        </w:rPr>
        <w:t xml:space="preserve">en donde se le ordenó a </w:t>
      </w:r>
      <w:r w:rsidRPr="00D34D61">
        <w:rPr>
          <w:rFonts w:cs="Tahoma"/>
          <w:bCs/>
          <w:iCs/>
          <w:lang w:val="es-ES"/>
        </w:rPr>
        <w:t>la Universidad Autónoma del Estado de México</w:t>
      </w:r>
      <w:r w:rsidR="0043029B" w:rsidRPr="00D34D61">
        <w:rPr>
          <w:rFonts w:cs="Tahoma"/>
          <w:bCs/>
          <w:iCs/>
          <w:lang w:val="es-ES"/>
        </w:rPr>
        <w:t>,</w:t>
      </w:r>
      <w:r w:rsidR="00A72795" w:rsidRPr="00D34D61">
        <w:rPr>
          <w:rFonts w:cs="Tahoma"/>
          <w:bCs/>
          <w:iCs/>
          <w:lang w:val="es-ES"/>
        </w:rPr>
        <w:t xml:space="preserve"> de los Comprobantes Fiscales Digitales por Internet, tal como se muestra a continuación:</w:t>
      </w:r>
    </w:p>
    <w:p w14:paraId="2790E5AB" w14:textId="1110A6E6" w:rsidR="00A72795" w:rsidRPr="00D34D61" w:rsidRDefault="00A72795" w:rsidP="00B135B9">
      <w:pPr>
        <w:widowControl w:val="0"/>
        <w:spacing w:after="0" w:line="360" w:lineRule="auto"/>
        <w:rPr>
          <w:rFonts w:cs="Tahoma"/>
          <w:bCs/>
          <w:iCs/>
          <w:lang w:val="es-ES"/>
        </w:rPr>
      </w:pPr>
    </w:p>
    <w:p w14:paraId="0707B003" w14:textId="5453155A" w:rsidR="00A72795" w:rsidRPr="00D34D61" w:rsidRDefault="00A72795" w:rsidP="00A72795">
      <w:pPr>
        <w:widowControl w:val="0"/>
        <w:spacing w:after="0" w:line="360" w:lineRule="auto"/>
        <w:jc w:val="center"/>
        <w:rPr>
          <w:rFonts w:cs="Tahoma"/>
          <w:bCs/>
          <w:iCs/>
          <w:lang w:val="es-ES"/>
        </w:rPr>
      </w:pPr>
      <w:r w:rsidRPr="00D34D61">
        <w:rPr>
          <w:rFonts w:cs="Tahoma"/>
          <w:bCs/>
          <w:iCs/>
          <w:noProof/>
          <w:lang w:eastAsia="es-MX"/>
        </w:rPr>
        <w:drawing>
          <wp:inline distT="0" distB="0" distL="0" distR="0" wp14:anchorId="12670B65" wp14:editId="0B84EAB5">
            <wp:extent cx="4150810" cy="1657350"/>
            <wp:effectExtent l="0" t="0" r="2540" b="0"/>
            <wp:docPr id="3185503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50351" name=""/>
                    <pic:cNvPicPr/>
                  </pic:nvPicPr>
                  <pic:blipFill>
                    <a:blip r:embed="rId14"/>
                    <a:stretch>
                      <a:fillRect/>
                    </a:stretch>
                  </pic:blipFill>
                  <pic:spPr>
                    <a:xfrm>
                      <a:off x="0" y="0"/>
                      <a:ext cx="4168302" cy="1664334"/>
                    </a:xfrm>
                    <a:prstGeom prst="rect">
                      <a:avLst/>
                    </a:prstGeom>
                  </pic:spPr>
                </pic:pic>
              </a:graphicData>
            </a:graphic>
          </wp:inline>
        </w:drawing>
      </w:r>
    </w:p>
    <w:p w14:paraId="4FD30B93" w14:textId="37FAD12B" w:rsidR="00B135B9" w:rsidRPr="00D34D61" w:rsidRDefault="00A72795" w:rsidP="00A72795">
      <w:pPr>
        <w:widowControl w:val="0"/>
        <w:spacing w:after="0" w:line="360" w:lineRule="auto"/>
        <w:rPr>
          <w:rFonts w:cs="Tahoma"/>
          <w:bCs/>
          <w:iCs/>
          <w:lang w:val="es-ES"/>
        </w:rPr>
      </w:pPr>
      <w:r w:rsidRPr="00D34D61">
        <w:rPr>
          <w:rFonts w:cs="Tahoma"/>
          <w:bCs/>
          <w:iCs/>
          <w:lang w:val="es-ES"/>
        </w:rPr>
        <w:lastRenderedPageBreak/>
        <w:t>Además, mediante el cumplimiento a dicha determinación, el Sujeto Obligado entregó los</w:t>
      </w:r>
      <w:r w:rsidR="00B135B9" w:rsidRPr="00D34D61">
        <w:rPr>
          <w:rFonts w:cs="Tahoma"/>
          <w:bCs/>
          <w:iCs/>
          <w:lang w:val="es-ES"/>
        </w:rPr>
        <w:t xml:space="preserve"> documentos denominados </w:t>
      </w:r>
      <w:r w:rsidR="0043029B" w:rsidRPr="00D34D61">
        <w:rPr>
          <w:rFonts w:cs="Tahoma"/>
          <w:bCs/>
          <w:iCs/>
          <w:lang w:val="es-ES"/>
        </w:rPr>
        <w:t>Comprobante Fiscal Digital a través de Internet</w:t>
      </w:r>
      <w:r w:rsidR="00B135B9" w:rsidRPr="00D34D61">
        <w:rPr>
          <w:rFonts w:cs="Tahoma"/>
          <w:bCs/>
          <w:iCs/>
          <w:lang w:val="es-ES"/>
        </w:rPr>
        <w:t xml:space="preserve"> correspondientes </w:t>
      </w:r>
      <w:r w:rsidRPr="00D34D61">
        <w:rPr>
          <w:rFonts w:cs="Tahoma"/>
          <w:bCs/>
          <w:iCs/>
          <w:lang w:val="es-ES"/>
        </w:rPr>
        <w:t xml:space="preserve">“Recibos de nómina” </w:t>
      </w:r>
      <w:r w:rsidR="00B135B9" w:rsidRPr="00D34D61">
        <w:rPr>
          <w:rFonts w:cs="Tahoma"/>
          <w:bCs/>
          <w:iCs/>
          <w:lang w:val="es-ES"/>
        </w:rPr>
        <w:t>de diversos servidores públicos; además, se logra vislumbrar que dichos documentos contienen las remuneraciones, prestaciones y deducciones de una determinada quincena de los servidores públicos</w:t>
      </w:r>
      <w:r w:rsidRPr="00D34D61">
        <w:rPr>
          <w:rFonts w:cs="Tahoma"/>
          <w:bCs/>
          <w:iCs/>
          <w:lang w:val="es-ES"/>
        </w:rPr>
        <w:t>, tal como se muestra a continuación:</w:t>
      </w:r>
    </w:p>
    <w:p w14:paraId="6E6FD9A5" w14:textId="77777777" w:rsidR="00B135B9" w:rsidRPr="00D34D61" w:rsidRDefault="00B135B9" w:rsidP="00B135B9">
      <w:pPr>
        <w:widowControl w:val="0"/>
        <w:spacing w:after="0" w:line="360" w:lineRule="auto"/>
        <w:rPr>
          <w:rFonts w:cs="Tahoma"/>
          <w:bCs/>
          <w:iCs/>
          <w:lang w:val="es-ES"/>
        </w:rPr>
      </w:pPr>
    </w:p>
    <w:p w14:paraId="5C69E4F4" w14:textId="12BCB3A3" w:rsidR="00A72795" w:rsidRPr="00D34D61" w:rsidRDefault="00A72795" w:rsidP="00DA412B">
      <w:pPr>
        <w:widowControl w:val="0"/>
        <w:spacing w:after="0" w:line="360" w:lineRule="auto"/>
        <w:jc w:val="center"/>
        <w:rPr>
          <w:rFonts w:cs="Tahoma"/>
          <w:bCs/>
          <w:iCs/>
          <w:lang w:val="es-ES"/>
        </w:rPr>
      </w:pPr>
      <w:r w:rsidRPr="00D34D61">
        <w:rPr>
          <w:rFonts w:cs="Tahoma"/>
          <w:bCs/>
          <w:iCs/>
          <w:noProof/>
          <w:lang w:eastAsia="es-MX"/>
        </w:rPr>
        <w:drawing>
          <wp:inline distT="0" distB="0" distL="0" distR="0" wp14:anchorId="6C443E9E" wp14:editId="7F58A02B">
            <wp:extent cx="4800600" cy="1496458"/>
            <wp:effectExtent l="0" t="0" r="0" b="8890"/>
            <wp:docPr id="9549585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58529" name=""/>
                    <pic:cNvPicPr/>
                  </pic:nvPicPr>
                  <pic:blipFill>
                    <a:blip r:embed="rId15"/>
                    <a:stretch>
                      <a:fillRect/>
                    </a:stretch>
                  </pic:blipFill>
                  <pic:spPr>
                    <a:xfrm>
                      <a:off x="0" y="0"/>
                      <a:ext cx="4811346" cy="1499808"/>
                    </a:xfrm>
                    <a:prstGeom prst="rect">
                      <a:avLst/>
                    </a:prstGeom>
                  </pic:spPr>
                </pic:pic>
              </a:graphicData>
            </a:graphic>
          </wp:inline>
        </w:drawing>
      </w:r>
    </w:p>
    <w:p w14:paraId="2C017271" w14:textId="77777777" w:rsidR="00A72795" w:rsidRPr="00D34D61" w:rsidRDefault="00A72795" w:rsidP="00B135B9">
      <w:pPr>
        <w:widowControl w:val="0"/>
        <w:spacing w:after="0" w:line="360" w:lineRule="auto"/>
        <w:rPr>
          <w:rFonts w:cs="Tahoma"/>
          <w:bCs/>
          <w:iCs/>
          <w:lang w:val="es-ES"/>
        </w:rPr>
      </w:pPr>
    </w:p>
    <w:p w14:paraId="53FD8793" w14:textId="4BEA44D0" w:rsidR="00B135B9" w:rsidRPr="00D34D61" w:rsidRDefault="0043029B" w:rsidP="00B135B9">
      <w:pPr>
        <w:spacing w:after="0" w:line="360" w:lineRule="auto"/>
        <w:rPr>
          <w:rFonts w:eastAsia="Palatino Linotype" w:cs="Palatino Linotype"/>
          <w:color w:val="auto"/>
          <w:lang w:eastAsia="es-ES"/>
        </w:rPr>
      </w:pPr>
      <w:r w:rsidRPr="00D34D61">
        <w:rPr>
          <w:rFonts w:eastAsia="Palatino Linotype" w:cs="Palatino Linotype"/>
          <w:color w:val="auto"/>
          <w:lang w:eastAsia="es-ES"/>
        </w:rPr>
        <w:t>La Resolución mencionada</w:t>
      </w:r>
      <w:r w:rsidR="00B135B9" w:rsidRPr="00D34D61">
        <w:rPr>
          <w:rFonts w:eastAsia="Palatino Linotype" w:cs="Palatino Linotype"/>
          <w:color w:val="auto"/>
          <w:lang w:eastAsia="es-ES"/>
        </w:rPr>
        <w:t>, se traen como hecho notorio, para justificar la entrega de lo peticionado, con fundamento en el artículo 36 del Código de Procedimientos Administrativos del Estado de México, de aplicación supletoria a la Ley de Transparencia y Acceso a la Información Pública del Estado de México y Municipios, que precisa que la autoridad debe invocarlos, aunque no sean alegados por las partes. Asimismo, en la Jurisprudencia número 2a./J. 103/2007, de la Segunda Sala, publicada en la página 285 de la Gaceta del Semanario Judicial de la Federación, Novena Época, Tomo XXV, junio de 2007, se establece que los órganos jurisdiccionales pueden invocar como hechos notorios las resoluciones que hayan emitido.</w:t>
      </w:r>
    </w:p>
    <w:p w14:paraId="3F41F4B2" w14:textId="77777777" w:rsidR="00B135B9" w:rsidRPr="00D34D61" w:rsidRDefault="00B135B9" w:rsidP="008F72BB">
      <w:pPr>
        <w:spacing w:after="0" w:line="360" w:lineRule="auto"/>
        <w:rPr>
          <w:rFonts w:cs="Tahoma"/>
          <w:bCs/>
          <w:iCs/>
          <w:lang w:val="es-ES"/>
        </w:rPr>
      </w:pPr>
    </w:p>
    <w:p w14:paraId="33CEFB13" w14:textId="6C8F9167" w:rsidR="007D4C0D" w:rsidRPr="00D34D61" w:rsidRDefault="0043029B" w:rsidP="0043029B">
      <w:pPr>
        <w:spacing w:after="0" w:line="360" w:lineRule="auto"/>
        <w:rPr>
          <w:rFonts w:cs="Tahoma"/>
          <w:iCs/>
          <w:color w:val="auto"/>
          <w:lang w:val="es-ES"/>
        </w:rPr>
      </w:pPr>
      <w:r w:rsidRPr="00D34D61">
        <w:rPr>
          <w:rFonts w:cs="Tahoma"/>
          <w:bCs/>
          <w:iCs/>
          <w:color w:val="auto"/>
          <w:lang w:val="es-ES"/>
        </w:rPr>
        <w:t xml:space="preserve">Conforme a lo anterior, se logra vislumbrar que contrario a loa precisado por el Sujeto Obligado, </w:t>
      </w:r>
      <w:r w:rsidR="00A72795" w:rsidRPr="00D34D61">
        <w:rPr>
          <w:rFonts w:cs="Tahoma"/>
          <w:bCs/>
          <w:iCs/>
          <w:color w:val="auto"/>
          <w:lang w:val="es-ES"/>
        </w:rPr>
        <w:t>genera y cuenta con los</w:t>
      </w:r>
      <w:r w:rsidR="007D4C0D" w:rsidRPr="00D34D61">
        <w:rPr>
          <w:rFonts w:cs="Tahoma"/>
          <w:bCs/>
          <w:iCs/>
          <w:color w:val="auto"/>
          <w:lang w:val="es-ES"/>
        </w:rPr>
        <w:t xml:space="preserve"> </w:t>
      </w:r>
      <w:r w:rsidR="00DA412B" w:rsidRPr="00D34D61">
        <w:rPr>
          <w:rFonts w:cs="Tahoma"/>
          <w:bCs/>
          <w:iCs/>
          <w:color w:val="auto"/>
          <w:lang w:val="es-ES"/>
        </w:rPr>
        <w:t>documentos solicitados</w:t>
      </w:r>
      <w:r w:rsidRPr="00D34D61">
        <w:rPr>
          <w:rFonts w:cs="Tahoma"/>
          <w:bCs/>
          <w:iCs/>
          <w:color w:val="auto"/>
          <w:lang w:val="es-ES"/>
        </w:rPr>
        <w:t xml:space="preserve"> de los servidores públicos</w:t>
      </w:r>
      <w:r w:rsidR="007D4C0D" w:rsidRPr="00D34D61">
        <w:rPr>
          <w:rFonts w:cs="Tahoma"/>
          <w:iCs/>
          <w:color w:val="auto"/>
          <w:lang w:val="es-ES"/>
        </w:rPr>
        <w:t xml:space="preserve">; por lo que, se considera que el agravio es </w:t>
      </w:r>
      <w:r w:rsidR="007D4C0D" w:rsidRPr="00D34D61">
        <w:rPr>
          <w:rFonts w:cs="Tahoma"/>
          <w:b/>
          <w:bCs/>
          <w:iCs/>
          <w:color w:val="auto"/>
          <w:lang w:val="es-ES"/>
        </w:rPr>
        <w:t>FUNDADO.</w:t>
      </w:r>
    </w:p>
    <w:p w14:paraId="07237BCD" w14:textId="77777777" w:rsidR="007D4C0D" w:rsidRPr="00D34D61" w:rsidRDefault="007D4C0D" w:rsidP="008F72BB">
      <w:pPr>
        <w:widowControl w:val="0"/>
        <w:spacing w:after="0" w:line="360" w:lineRule="auto"/>
        <w:rPr>
          <w:rFonts w:cs="Tahoma"/>
          <w:iCs/>
          <w:lang w:val="es-ES"/>
        </w:rPr>
      </w:pPr>
    </w:p>
    <w:p w14:paraId="7F5B7BD5" w14:textId="32FE5F80" w:rsidR="005F66FA" w:rsidRPr="00D34D61" w:rsidRDefault="004B7332" w:rsidP="004B7332">
      <w:pPr>
        <w:widowControl w:val="0"/>
        <w:spacing w:after="0" w:line="360" w:lineRule="auto"/>
        <w:rPr>
          <w:rFonts w:cs="Tahoma"/>
        </w:rPr>
      </w:pPr>
      <w:r w:rsidRPr="00D34D61">
        <w:rPr>
          <w:rFonts w:cs="Tahoma"/>
          <w:bCs/>
          <w:iCs/>
          <w:lang w:val="es-ES"/>
        </w:rPr>
        <w:lastRenderedPageBreak/>
        <w:t xml:space="preserve">Por lo que, en el presente caso, deberá proporcionar </w:t>
      </w:r>
      <w:r w:rsidR="00690F8B" w:rsidRPr="00D34D61">
        <w:rPr>
          <w:rFonts w:cs="Tahoma"/>
          <w:bCs/>
          <w:iCs/>
          <w:lang w:val="es-ES"/>
        </w:rPr>
        <w:t>los</w:t>
      </w:r>
      <w:r w:rsidRPr="00D34D61">
        <w:rPr>
          <w:rFonts w:cs="Tahoma"/>
          <w:bCs/>
          <w:iCs/>
          <w:lang w:val="es-ES"/>
        </w:rPr>
        <w:t xml:space="preserve"> </w:t>
      </w:r>
      <w:r w:rsidR="00A72795" w:rsidRPr="00D34D61">
        <w:rPr>
          <w:rFonts w:cs="Tahoma"/>
          <w:bCs/>
          <w:iCs/>
          <w:lang w:val="es-ES"/>
        </w:rPr>
        <w:t xml:space="preserve">Comprobantes Fiscales Digitales a través de Internet  “Recibos </w:t>
      </w:r>
      <w:r w:rsidR="00690F8B" w:rsidRPr="00D34D61">
        <w:rPr>
          <w:rFonts w:cs="Tahoma"/>
          <w:bCs/>
          <w:iCs/>
          <w:lang w:val="es-ES"/>
        </w:rPr>
        <w:t>de nómina</w:t>
      </w:r>
      <w:r w:rsidR="00A72795" w:rsidRPr="00D34D61">
        <w:rPr>
          <w:rFonts w:cs="Tahoma"/>
          <w:bCs/>
          <w:iCs/>
          <w:lang w:val="es-ES"/>
        </w:rPr>
        <w:t>”</w:t>
      </w:r>
      <w:r w:rsidR="00690F8B" w:rsidRPr="00D34D61">
        <w:rPr>
          <w:rFonts w:cs="Tahoma"/>
          <w:bCs/>
          <w:iCs/>
          <w:lang w:val="es-ES"/>
        </w:rPr>
        <w:t xml:space="preserve"> </w:t>
      </w:r>
      <w:r w:rsidRPr="00D34D61">
        <w:rPr>
          <w:rFonts w:cs="Tahoma"/>
          <w:bCs/>
          <w:iCs/>
          <w:lang w:val="es-ES"/>
        </w:rPr>
        <w:t>de la segunda quincena de diciembre de dos mil veinticuatro, al ser el documento que genera y obra en sus archivos; d</w:t>
      </w:r>
      <w:r w:rsidR="005F66FA" w:rsidRPr="00D34D61">
        <w:rPr>
          <w:rFonts w:eastAsia="Calibri" w:cs="Tahoma"/>
          <w:bCs/>
        </w:rPr>
        <w:t>icha</w:t>
      </w:r>
      <w:r w:rsidR="00690F8B" w:rsidRPr="00D34D61">
        <w:rPr>
          <w:rFonts w:cs="Tahoma"/>
          <w:bCs/>
          <w:iCs/>
          <w:szCs w:val="24"/>
          <w:lang w:val="es-ES"/>
        </w:rPr>
        <w:t xml:space="preserve"> </w:t>
      </w:r>
      <w:r w:rsidR="005F66FA" w:rsidRPr="00D34D61">
        <w:rPr>
          <w:rFonts w:cs="Tahoma"/>
          <w:bCs/>
          <w:iCs/>
          <w:szCs w:val="24"/>
          <w:lang w:val="es-ES"/>
        </w:rPr>
        <w:t xml:space="preserve">determinación toma relevancia, pues </w:t>
      </w:r>
      <w:r w:rsidR="005F66FA" w:rsidRPr="00D34D61">
        <w:rPr>
          <w:rFonts w:cs="Tahoma"/>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73AA9329" w14:textId="77777777" w:rsidR="005F66FA" w:rsidRPr="00D34D61" w:rsidRDefault="005F66FA" w:rsidP="008F72BB">
      <w:pPr>
        <w:tabs>
          <w:tab w:val="left" w:pos="4962"/>
        </w:tabs>
        <w:spacing w:after="0" w:line="360" w:lineRule="auto"/>
        <w:rPr>
          <w:rFonts w:cs="Tahoma"/>
        </w:rPr>
      </w:pPr>
    </w:p>
    <w:p w14:paraId="71DC849A" w14:textId="77777777" w:rsidR="005F66FA" w:rsidRPr="00D34D61" w:rsidRDefault="005F66FA" w:rsidP="008F72BB">
      <w:pPr>
        <w:spacing w:after="0" w:line="360" w:lineRule="auto"/>
        <w:rPr>
          <w:rFonts w:cs="Tahoma"/>
        </w:rPr>
      </w:pPr>
      <w:r w:rsidRPr="00D34D61">
        <w:rPr>
          <w:rFonts w:cs="Tahoma"/>
        </w:rPr>
        <w:t xml:space="preserve">De esta manera, </w:t>
      </w:r>
      <w:r w:rsidRPr="00D34D61">
        <w:rPr>
          <w:rFonts w:cs="Tahoma"/>
          <w:szCs w:val="24"/>
          <w:lang w:val="es-ES"/>
        </w:rPr>
        <w:t xml:space="preserve">el derecho de acceso a la información pública se satisface en aquellos casos en que se entregue el soporte documental en el que conste la información solicitada, sin necesidad de elaborar documentos </w:t>
      </w:r>
      <w:r w:rsidRPr="00D34D61">
        <w:rPr>
          <w:rFonts w:cs="Tahoma"/>
          <w:i/>
        </w:rPr>
        <w:t>ad hoc</w:t>
      </w:r>
      <w:r w:rsidRPr="00D34D61">
        <w:rPr>
          <w:rFonts w:cs="Tahoma"/>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33D7F9C3" w14:textId="77777777" w:rsidR="005F66FA" w:rsidRPr="00D34D61" w:rsidRDefault="005F66FA" w:rsidP="008F72BB">
      <w:pPr>
        <w:spacing w:after="0" w:line="360" w:lineRule="auto"/>
        <w:ind w:right="-28"/>
        <w:rPr>
          <w:rFonts w:cs="Tahoma"/>
          <w:iCs/>
        </w:rPr>
      </w:pPr>
    </w:p>
    <w:p w14:paraId="4E638A0F" w14:textId="4EBAE69B" w:rsidR="004B7332" w:rsidRPr="00D34D61" w:rsidRDefault="005F66FA" w:rsidP="008F72BB">
      <w:pPr>
        <w:spacing w:after="0" w:line="360" w:lineRule="auto"/>
        <w:rPr>
          <w:rFonts w:cs="Tahoma"/>
          <w:bCs/>
          <w:iCs/>
          <w:lang w:val="es-ES"/>
        </w:rPr>
      </w:pPr>
      <w:r w:rsidRPr="00D34D61">
        <w:rPr>
          <w:rFonts w:cs="Tahoma"/>
          <w:szCs w:val="24"/>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Sujeto Obligado deberá entregar </w:t>
      </w:r>
      <w:r w:rsidR="00DA412B" w:rsidRPr="00D34D61">
        <w:rPr>
          <w:rFonts w:cs="Tahoma"/>
          <w:bCs/>
          <w:iCs/>
          <w:lang w:val="es-ES"/>
        </w:rPr>
        <w:t>los documentos solicitados</w:t>
      </w:r>
      <w:r w:rsidR="004B7332" w:rsidRPr="00D34D61">
        <w:rPr>
          <w:rFonts w:cs="Tahoma"/>
          <w:bCs/>
          <w:iCs/>
          <w:lang w:val="es-ES"/>
        </w:rPr>
        <w:t xml:space="preserve"> </w:t>
      </w:r>
    </w:p>
    <w:p w14:paraId="2E5020AA" w14:textId="77777777" w:rsidR="004B7332" w:rsidRPr="00D34D61" w:rsidRDefault="004B7332" w:rsidP="008F72BB">
      <w:pPr>
        <w:spacing w:after="0" w:line="360" w:lineRule="auto"/>
        <w:rPr>
          <w:rFonts w:cs="Tahoma"/>
          <w:bCs/>
          <w:iCs/>
          <w:lang w:val="es-ES"/>
        </w:rPr>
      </w:pPr>
    </w:p>
    <w:p w14:paraId="08CA1E04" w14:textId="08EDFA70" w:rsidR="00DA412B" w:rsidRPr="00D34D61" w:rsidRDefault="00F46D07" w:rsidP="008F72BB">
      <w:pPr>
        <w:spacing w:after="0" w:line="360" w:lineRule="auto"/>
        <w:rPr>
          <w:rFonts w:eastAsia="Calibri" w:cs="Times New Roman"/>
          <w:bCs/>
          <w:color w:val="000000"/>
        </w:rPr>
      </w:pPr>
      <w:r w:rsidRPr="00D34D61">
        <w:rPr>
          <w:rFonts w:eastAsia="Calibri" w:cs="Times New Roman"/>
          <w:bCs/>
          <w:color w:val="000000"/>
        </w:rPr>
        <w:t xml:space="preserve">Ahora bien, </w:t>
      </w:r>
      <w:r w:rsidR="00DA412B" w:rsidRPr="00D34D61">
        <w:rPr>
          <w:rFonts w:eastAsia="Calibri" w:cs="Times New Roman"/>
          <w:bCs/>
          <w:color w:val="000000"/>
        </w:rPr>
        <w:t>los documentos pudieran contener diversos datos, entre los cuales se encuentran los siguientes:</w:t>
      </w:r>
    </w:p>
    <w:p w14:paraId="4D33F2A7" w14:textId="77777777" w:rsidR="00DA412B" w:rsidRPr="00D34D61" w:rsidRDefault="00DA412B" w:rsidP="008F72BB">
      <w:pPr>
        <w:spacing w:after="0" w:line="360" w:lineRule="auto"/>
        <w:rPr>
          <w:rFonts w:eastAsia="Calibri" w:cs="Times New Roman"/>
          <w:bCs/>
          <w:color w:val="000000"/>
        </w:rPr>
      </w:pPr>
    </w:p>
    <w:p w14:paraId="4752D836" w14:textId="77777777" w:rsidR="00DA412B" w:rsidRPr="00D34D61" w:rsidRDefault="00DA412B" w:rsidP="00DA412B">
      <w:pPr>
        <w:numPr>
          <w:ilvl w:val="0"/>
          <w:numId w:val="41"/>
        </w:numPr>
        <w:autoSpaceDE w:val="0"/>
        <w:autoSpaceDN w:val="0"/>
        <w:adjustRightInd w:val="0"/>
        <w:spacing w:line="360" w:lineRule="auto"/>
        <w:contextualSpacing/>
        <w:rPr>
          <w:rFonts w:cs="Adelle Sans Devanagari"/>
          <w:bCs/>
          <w:lang w:val="es-ES"/>
        </w:rPr>
      </w:pPr>
      <w:r w:rsidRPr="00D34D61">
        <w:rPr>
          <w:rFonts w:cs="Adelle Sans Devanagari"/>
          <w:bCs/>
          <w:lang w:val="es-ES"/>
        </w:rPr>
        <w:t>Clave Única de Registro de Población;</w:t>
      </w:r>
    </w:p>
    <w:p w14:paraId="503D7119" w14:textId="77777777" w:rsidR="00DA412B" w:rsidRPr="00D34D61" w:rsidRDefault="00DA412B" w:rsidP="00DA412B">
      <w:pPr>
        <w:numPr>
          <w:ilvl w:val="0"/>
          <w:numId w:val="41"/>
        </w:numPr>
        <w:autoSpaceDE w:val="0"/>
        <w:autoSpaceDN w:val="0"/>
        <w:adjustRightInd w:val="0"/>
        <w:spacing w:after="0" w:line="360" w:lineRule="auto"/>
        <w:contextualSpacing/>
        <w:rPr>
          <w:rFonts w:cs="Adelle Sans Devanagari"/>
          <w:bCs/>
          <w:iCs/>
          <w:szCs w:val="24"/>
        </w:rPr>
      </w:pPr>
      <w:r w:rsidRPr="00D34D61">
        <w:rPr>
          <w:rFonts w:cs="Adelle Sans Devanagari"/>
          <w:bCs/>
          <w:iCs/>
          <w:szCs w:val="24"/>
        </w:rPr>
        <w:lastRenderedPageBreak/>
        <w:t>Registro Federal de Contribuyentes;</w:t>
      </w:r>
    </w:p>
    <w:p w14:paraId="6028B1FC" w14:textId="77777777" w:rsidR="00DA412B" w:rsidRPr="00D34D61" w:rsidRDefault="00DA412B" w:rsidP="00DA412B">
      <w:pPr>
        <w:numPr>
          <w:ilvl w:val="0"/>
          <w:numId w:val="41"/>
        </w:numPr>
        <w:autoSpaceDE w:val="0"/>
        <w:autoSpaceDN w:val="0"/>
        <w:adjustRightInd w:val="0"/>
        <w:spacing w:after="0" w:line="360" w:lineRule="auto"/>
        <w:contextualSpacing/>
        <w:rPr>
          <w:rFonts w:cs="Adelle Sans Devanagari"/>
          <w:bCs/>
          <w:lang w:val="es-ES"/>
        </w:rPr>
      </w:pPr>
      <w:r w:rsidRPr="00D34D61">
        <w:rPr>
          <w:rFonts w:cs="Adelle Sans Devanagari"/>
          <w:bCs/>
          <w:lang w:val="es-ES"/>
        </w:rPr>
        <w:t>Código bidimensional o QR;</w:t>
      </w:r>
    </w:p>
    <w:p w14:paraId="1440EB96" w14:textId="77777777" w:rsidR="00DA412B" w:rsidRPr="00D34D61" w:rsidRDefault="00DA412B" w:rsidP="00DA412B">
      <w:pPr>
        <w:numPr>
          <w:ilvl w:val="0"/>
          <w:numId w:val="41"/>
        </w:numPr>
        <w:autoSpaceDE w:val="0"/>
        <w:autoSpaceDN w:val="0"/>
        <w:adjustRightInd w:val="0"/>
        <w:spacing w:after="0" w:line="360" w:lineRule="auto"/>
        <w:contextualSpacing/>
        <w:rPr>
          <w:rFonts w:cs="Adelle Sans Devanagari"/>
          <w:bCs/>
          <w:lang w:val="es-ES"/>
        </w:rPr>
      </w:pPr>
      <w:r w:rsidRPr="00D34D61">
        <w:rPr>
          <w:rFonts w:cs="Adelle Sans Devanagari"/>
          <w:bCs/>
          <w:lang w:val="es-ES"/>
        </w:rPr>
        <w:t>Número de seguridad social del Instituto de Seguridad Social del Estado de México y Municipios;</w:t>
      </w:r>
    </w:p>
    <w:p w14:paraId="199AA792" w14:textId="77777777" w:rsidR="00DA412B" w:rsidRPr="00D34D61" w:rsidRDefault="00DA412B" w:rsidP="00DA412B">
      <w:pPr>
        <w:numPr>
          <w:ilvl w:val="0"/>
          <w:numId w:val="41"/>
        </w:numPr>
        <w:autoSpaceDE w:val="0"/>
        <w:autoSpaceDN w:val="0"/>
        <w:adjustRightInd w:val="0"/>
        <w:spacing w:after="0" w:line="360" w:lineRule="auto"/>
        <w:contextualSpacing/>
        <w:rPr>
          <w:rFonts w:cs="Adelle Sans Devanagari"/>
          <w:bCs/>
          <w:lang w:val="es-ES"/>
        </w:rPr>
      </w:pPr>
      <w:r w:rsidRPr="00D34D61">
        <w:rPr>
          <w:rFonts w:cs="Adelle Sans Devanagari"/>
          <w:bCs/>
          <w:lang w:val="es-ES"/>
        </w:rPr>
        <w:t>Deducciones personales;</w:t>
      </w:r>
    </w:p>
    <w:p w14:paraId="5D1B49DA" w14:textId="77777777" w:rsidR="00DA412B" w:rsidRPr="00D34D61" w:rsidRDefault="00DA412B" w:rsidP="00DA412B">
      <w:pPr>
        <w:numPr>
          <w:ilvl w:val="0"/>
          <w:numId w:val="41"/>
        </w:numPr>
        <w:autoSpaceDE w:val="0"/>
        <w:autoSpaceDN w:val="0"/>
        <w:adjustRightInd w:val="0"/>
        <w:spacing w:after="0" w:line="360" w:lineRule="auto"/>
        <w:contextualSpacing/>
        <w:rPr>
          <w:rFonts w:cs="Adelle Sans Devanagari"/>
          <w:bCs/>
          <w:lang w:val="es-ES"/>
        </w:rPr>
      </w:pPr>
      <w:r w:rsidRPr="00D34D61">
        <w:rPr>
          <w:rFonts w:cs="Adelle Sans Devanagari"/>
          <w:bCs/>
          <w:lang w:val="es-ES"/>
        </w:rPr>
        <w:t xml:space="preserve">Número de empleado; </w:t>
      </w:r>
    </w:p>
    <w:p w14:paraId="7AED2AC6" w14:textId="77777777" w:rsidR="00DA412B" w:rsidRPr="00D34D61" w:rsidRDefault="00DA412B" w:rsidP="00DA412B">
      <w:pPr>
        <w:numPr>
          <w:ilvl w:val="0"/>
          <w:numId w:val="41"/>
        </w:numPr>
        <w:autoSpaceDE w:val="0"/>
        <w:autoSpaceDN w:val="0"/>
        <w:adjustRightInd w:val="0"/>
        <w:spacing w:after="0" w:line="360" w:lineRule="auto"/>
        <w:contextualSpacing/>
        <w:rPr>
          <w:rFonts w:cs="Adelle Sans Devanagari"/>
          <w:bCs/>
          <w:lang w:val="es-ES"/>
        </w:rPr>
      </w:pPr>
      <w:r w:rsidRPr="00D34D61">
        <w:rPr>
          <w:rFonts w:cs="Adelle Sans Devanagari"/>
          <w:bCs/>
          <w:lang w:val="es-ES"/>
        </w:rPr>
        <w:t xml:space="preserve">Folio fiscal; </w:t>
      </w:r>
    </w:p>
    <w:p w14:paraId="778EF46C" w14:textId="77777777" w:rsidR="00DA412B" w:rsidRPr="00D34D61" w:rsidRDefault="00DA412B" w:rsidP="00DA412B">
      <w:pPr>
        <w:numPr>
          <w:ilvl w:val="0"/>
          <w:numId w:val="41"/>
        </w:numPr>
        <w:autoSpaceDE w:val="0"/>
        <w:autoSpaceDN w:val="0"/>
        <w:adjustRightInd w:val="0"/>
        <w:spacing w:after="0" w:line="360" w:lineRule="auto"/>
        <w:contextualSpacing/>
        <w:rPr>
          <w:rFonts w:cs="Adelle Sans Devanagari"/>
          <w:bCs/>
          <w:lang w:val="es-ES"/>
        </w:rPr>
      </w:pPr>
      <w:r w:rsidRPr="00D34D61">
        <w:rPr>
          <w:rFonts w:cs="Adelle Sans Devanagari"/>
          <w:bCs/>
          <w:lang w:val="es-ES"/>
        </w:rPr>
        <w:t xml:space="preserve">Número de serie del CSD del SAT y del emisor; </w:t>
      </w:r>
    </w:p>
    <w:p w14:paraId="375C0D0F" w14:textId="77777777" w:rsidR="00DA412B" w:rsidRPr="00D34D61" w:rsidRDefault="00DA412B" w:rsidP="00DA412B">
      <w:pPr>
        <w:numPr>
          <w:ilvl w:val="0"/>
          <w:numId w:val="41"/>
        </w:numPr>
        <w:autoSpaceDE w:val="0"/>
        <w:autoSpaceDN w:val="0"/>
        <w:adjustRightInd w:val="0"/>
        <w:spacing w:after="0" w:line="360" w:lineRule="auto"/>
        <w:contextualSpacing/>
        <w:rPr>
          <w:rFonts w:cs="Adelle Sans Devanagari"/>
          <w:bCs/>
          <w:lang w:val="es-ES"/>
        </w:rPr>
      </w:pPr>
      <w:r w:rsidRPr="00D34D61">
        <w:rPr>
          <w:rFonts w:cs="Adelle Sans Devanagari"/>
          <w:bCs/>
          <w:lang w:val="es-ES"/>
        </w:rPr>
        <w:t xml:space="preserve">Sello digital del SAT y complemento de certificación digital del SAT. </w:t>
      </w:r>
    </w:p>
    <w:p w14:paraId="6B4F6D2C" w14:textId="77777777" w:rsidR="00DA412B" w:rsidRPr="00D34D61" w:rsidRDefault="00DA412B" w:rsidP="008F72BB">
      <w:pPr>
        <w:spacing w:after="0" w:line="360" w:lineRule="auto"/>
        <w:rPr>
          <w:rFonts w:eastAsia="Calibri" w:cs="Times New Roman"/>
          <w:bCs/>
          <w:color w:val="000000"/>
        </w:rPr>
      </w:pPr>
    </w:p>
    <w:p w14:paraId="572F663B" w14:textId="1DE077D0" w:rsidR="00F46D07" w:rsidRPr="00D34D61" w:rsidRDefault="00DA412B" w:rsidP="008F72BB">
      <w:pPr>
        <w:spacing w:after="0" w:line="360" w:lineRule="auto"/>
        <w:rPr>
          <w:rFonts w:eastAsia="Palatino Linotype" w:cs="Palatino Linotype"/>
          <w:lang w:eastAsia="es-MX"/>
        </w:rPr>
      </w:pPr>
      <w:r w:rsidRPr="00D34D61">
        <w:rPr>
          <w:rFonts w:eastAsia="Palatino Linotype" w:cs="Palatino Linotype"/>
          <w:lang w:eastAsia="es-MX"/>
        </w:rPr>
        <w:t>Así</w:t>
      </w:r>
      <w:r w:rsidR="00F46D07" w:rsidRPr="00D34D61">
        <w:rPr>
          <w:rFonts w:eastAsia="Palatino Linotype" w:cs="Palatino Linotype"/>
          <w:lang w:eastAsia="es-MX"/>
        </w:rPr>
        <w:t>, resulta procedente analizar si dichos datos son públicos o privados</w:t>
      </w:r>
      <w:r w:rsidR="004B7332" w:rsidRPr="00D34D61">
        <w:rPr>
          <w:rFonts w:eastAsia="Palatino Linotype" w:cs="Palatino Linotype"/>
          <w:lang w:eastAsia="es-MX"/>
        </w:rPr>
        <w:t>,</w:t>
      </w:r>
      <w:r w:rsidR="00F46D07" w:rsidRPr="00D34D61">
        <w:rPr>
          <w:rFonts w:eastAsia="Palatino Linotype" w:cs="Palatino Linotype"/>
          <w:lang w:eastAsia="es-MX"/>
        </w:rPr>
        <w:t xml:space="preserve"> para lo cual, el artículo 143, fracción I, de la Ley de la materia, establece que la información privada y los datos personales, concernientes a una persona física o jurídica colectiva identificada o identificable son confidenciales.</w:t>
      </w:r>
    </w:p>
    <w:p w14:paraId="5071BCA6" w14:textId="77777777" w:rsidR="00F46D07" w:rsidRPr="00D34D61" w:rsidRDefault="00F46D07" w:rsidP="008F72BB">
      <w:pPr>
        <w:spacing w:after="0" w:line="360" w:lineRule="auto"/>
        <w:rPr>
          <w:rFonts w:eastAsia="Palatino Linotype" w:cs="Palatino Linotype"/>
          <w:lang w:eastAsia="es-MX"/>
        </w:rPr>
      </w:pPr>
    </w:p>
    <w:p w14:paraId="365F16A1" w14:textId="77777777" w:rsidR="00F46D07" w:rsidRPr="00D34D61" w:rsidRDefault="00F46D07" w:rsidP="008F72BB">
      <w:pPr>
        <w:spacing w:after="0" w:line="360" w:lineRule="auto"/>
        <w:rPr>
          <w:rFonts w:eastAsia="Palatino Linotype" w:cs="Palatino Linotype"/>
          <w:lang w:eastAsia="es-MX"/>
        </w:rPr>
      </w:pPr>
      <w:r w:rsidRPr="00D34D61">
        <w:rPr>
          <w:rFonts w:eastAsia="Palatino Linotype" w:cs="Palatino Linotype"/>
          <w:lang w:eastAsia="es-MX"/>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78F3EEA9" w14:textId="77777777" w:rsidR="00F46D07" w:rsidRPr="00D34D61" w:rsidRDefault="00F46D07" w:rsidP="008F72BB">
      <w:pPr>
        <w:spacing w:after="0" w:line="360" w:lineRule="auto"/>
        <w:rPr>
          <w:rFonts w:eastAsia="Palatino Linotype" w:cs="Palatino Linotype"/>
          <w:lang w:eastAsia="es-MX"/>
        </w:rPr>
      </w:pPr>
    </w:p>
    <w:p w14:paraId="4117B0DF" w14:textId="77777777" w:rsidR="00F46D07" w:rsidRPr="00D34D61" w:rsidRDefault="00F46D07" w:rsidP="008F72BB">
      <w:pPr>
        <w:spacing w:after="0" w:line="360" w:lineRule="auto"/>
        <w:rPr>
          <w:rFonts w:eastAsia="Palatino Linotype" w:cs="Palatino Linotype"/>
          <w:lang w:eastAsia="es-MX"/>
        </w:rPr>
      </w:pPr>
      <w:r w:rsidRPr="00D34D61">
        <w:rPr>
          <w:rFonts w:eastAsia="Palatino Linotype" w:cs="Palatino Linotype"/>
          <w:lang w:eastAsia="es-MX"/>
        </w:rPr>
        <w:t>En términos de lo expuesto, la documentación y aquellos datos que se consideren confidenciales, serán una limitante del derecho de acceso a la información, siempre y cuando:</w:t>
      </w:r>
    </w:p>
    <w:p w14:paraId="44E92F02" w14:textId="77777777" w:rsidR="00F46D07" w:rsidRPr="00D34D61" w:rsidRDefault="00F46D07" w:rsidP="008F72BB">
      <w:pPr>
        <w:spacing w:after="0" w:line="360" w:lineRule="auto"/>
        <w:rPr>
          <w:rFonts w:eastAsia="Palatino Linotype" w:cs="Palatino Linotype"/>
          <w:lang w:eastAsia="es-MX"/>
        </w:rPr>
      </w:pPr>
    </w:p>
    <w:p w14:paraId="40BD2AF4" w14:textId="77777777" w:rsidR="00F46D07" w:rsidRPr="00D34D61" w:rsidRDefault="00F46D07" w:rsidP="008F72BB">
      <w:pPr>
        <w:numPr>
          <w:ilvl w:val="0"/>
          <w:numId w:val="35"/>
        </w:numPr>
        <w:spacing w:after="0" w:line="360" w:lineRule="auto"/>
        <w:rPr>
          <w:rFonts w:eastAsia="Palatino Linotype" w:cs="Palatino Linotype"/>
          <w:lang w:eastAsia="es-MX"/>
        </w:rPr>
      </w:pPr>
      <w:r w:rsidRPr="00D34D61">
        <w:rPr>
          <w:rFonts w:eastAsia="Palatino Linotype" w:cs="Palatino Linotype"/>
          <w:lang w:eastAsia="es-MX"/>
        </w:rPr>
        <w:t xml:space="preserve">Se trate de datos personales o información privada; esto es, información concerniente a una persona física o jurídico colectiva y que esta sea identificada o identificable. </w:t>
      </w:r>
    </w:p>
    <w:p w14:paraId="3425BA91" w14:textId="77777777" w:rsidR="00F46D07" w:rsidRPr="00D34D61" w:rsidRDefault="00F46D07" w:rsidP="008F72BB">
      <w:pPr>
        <w:numPr>
          <w:ilvl w:val="0"/>
          <w:numId w:val="35"/>
        </w:numPr>
        <w:spacing w:after="0" w:line="360" w:lineRule="auto"/>
        <w:rPr>
          <w:rFonts w:eastAsia="Palatino Linotype" w:cs="Palatino Linotype"/>
          <w:lang w:eastAsia="es-MX"/>
        </w:rPr>
      </w:pPr>
      <w:r w:rsidRPr="00D34D61">
        <w:rPr>
          <w:rFonts w:eastAsia="Palatino Linotype" w:cs="Palatino Linotype"/>
          <w:lang w:eastAsia="es-MX"/>
        </w:rPr>
        <w:t xml:space="preserve">Para la difusión de los datos, se requiera el consentimiento del titular. </w:t>
      </w:r>
    </w:p>
    <w:p w14:paraId="2673240B" w14:textId="77777777" w:rsidR="00F46D07" w:rsidRPr="00D34D61" w:rsidRDefault="00F46D07" w:rsidP="008F72BB">
      <w:pPr>
        <w:spacing w:after="0" w:line="360" w:lineRule="auto"/>
        <w:rPr>
          <w:rFonts w:eastAsia="Palatino Linotype" w:cs="Palatino Linotype"/>
          <w:lang w:eastAsia="es-MX"/>
        </w:rPr>
      </w:pPr>
    </w:p>
    <w:p w14:paraId="2A3A8BE5" w14:textId="77777777" w:rsidR="00F46D07" w:rsidRPr="00D34D61" w:rsidRDefault="00F46D07" w:rsidP="008F72BB">
      <w:pPr>
        <w:spacing w:after="0" w:line="360" w:lineRule="auto"/>
        <w:rPr>
          <w:rFonts w:eastAsia="Palatino Linotype" w:cs="Palatino Linotype"/>
          <w:lang w:eastAsia="es-MX"/>
        </w:rPr>
      </w:pPr>
      <w:r w:rsidRPr="00D34D61">
        <w:rPr>
          <w:rFonts w:eastAsia="Palatino Linotype" w:cs="Palatino Linotype"/>
          <w:lang w:eastAsia="es-MX"/>
        </w:rP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Bajo ese contexto, se analizarán si los datos mencionados de manera enunciativa son confidenciales o públicos.</w:t>
      </w:r>
    </w:p>
    <w:p w14:paraId="23159820" w14:textId="77777777" w:rsidR="00F46D07" w:rsidRPr="00D34D61" w:rsidRDefault="00F46D07" w:rsidP="008F72BB">
      <w:pPr>
        <w:spacing w:after="0" w:line="360" w:lineRule="auto"/>
        <w:rPr>
          <w:rFonts w:eastAsia="Palatino Linotype" w:cs="Palatino Linotype"/>
          <w:lang w:eastAsia="es-MX"/>
        </w:rPr>
      </w:pPr>
    </w:p>
    <w:p w14:paraId="3DC83AD2" w14:textId="77777777" w:rsidR="00F46D07" w:rsidRPr="00D34D61" w:rsidRDefault="00F46D07" w:rsidP="008F72BB">
      <w:pPr>
        <w:numPr>
          <w:ilvl w:val="0"/>
          <w:numId w:val="36"/>
        </w:numPr>
        <w:spacing w:after="0" w:line="360" w:lineRule="auto"/>
        <w:rPr>
          <w:rFonts w:eastAsia="Palatino Linotype" w:cs="Palatino Linotype"/>
          <w:b/>
          <w:lang w:eastAsia="es-MX"/>
        </w:rPr>
      </w:pPr>
      <w:r w:rsidRPr="00D34D61">
        <w:rPr>
          <w:rFonts w:eastAsia="Palatino Linotype" w:cs="Palatino Linotype"/>
          <w:b/>
          <w:lang w:eastAsia="es-MX"/>
        </w:rPr>
        <w:t>Registro Federal de Contribuyentes (RFC)</w:t>
      </w:r>
    </w:p>
    <w:p w14:paraId="45856F71" w14:textId="77777777" w:rsidR="00F46D07" w:rsidRPr="00D34D61" w:rsidRDefault="00F46D07" w:rsidP="008F72BB">
      <w:pPr>
        <w:spacing w:after="0" w:line="360" w:lineRule="auto"/>
        <w:rPr>
          <w:rFonts w:eastAsia="Palatino Linotype" w:cs="Palatino Linotype"/>
          <w:lang w:eastAsia="es-MX"/>
        </w:rPr>
      </w:pPr>
    </w:p>
    <w:p w14:paraId="2B112422" w14:textId="77777777" w:rsidR="00F46D07" w:rsidRPr="00D34D61" w:rsidRDefault="00F46D07" w:rsidP="008F72BB">
      <w:pPr>
        <w:spacing w:after="0" w:line="360" w:lineRule="auto"/>
        <w:rPr>
          <w:rFonts w:eastAsia="Palatino Linotype" w:cs="Palatino Linotype"/>
          <w:lang w:eastAsia="es-MX"/>
        </w:rPr>
      </w:pPr>
      <w:r w:rsidRPr="00D34D61">
        <w:rPr>
          <w:rFonts w:eastAsia="Palatino Linotype" w:cs="Palatino Linotype"/>
          <w:lang w:eastAsia="es-MX"/>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4BA3FD46" w14:textId="77777777" w:rsidR="00F46D07" w:rsidRPr="00D34D61" w:rsidRDefault="00F46D07" w:rsidP="008F72BB">
      <w:pPr>
        <w:spacing w:after="0" w:line="360" w:lineRule="auto"/>
        <w:rPr>
          <w:rFonts w:eastAsia="Palatino Linotype" w:cs="Palatino Linotype"/>
          <w:lang w:eastAsia="es-MX"/>
        </w:rPr>
      </w:pPr>
    </w:p>
    <w:p w14:paraId="6D3846DC" w14:textId="77777777" w:rsidR="00F46D07" w:rsidRPr="00D34D61" w:rsidRDefault="00F46D07" w:rsidP="008F72BB">
      <w:pPr>
        <w:spacing w:after="0" w:line="360" w:lineRule="auto"/>
        <w:rPr>
          <w:rFonts w:eastAsia="Palatino Linotype" w:cs="Palatino Linotype"/>
          <w:lang w:eastAsia="es-MX"/>
        </w:rPr>
      </w:pPr>
      <w:r w:rsidRPr="00D34D61">
        <w:rPr>
          <w:rFonts w:eastAsia="Palatino Linotype" w:cs="Palatino Linotype"/>
          <w:lang w:eastAsia="es-MX"/>
        </w:rPr>
        <w:t xml:space="preserve">De acuerdo a lo establecido en el artículo en comento, esta clave se compone de trece caracteres alfanuméricos, con datos obtenidos de los apellidos, nombre(s), fecha de </w:t>
      </w:r>
      <w:r w:rsidRPr="00D34D61">
        <w:rPr>
          <w:rFonts w:eastAsia="Palatino Linotype" w:cs="Palatino Linotype"/>
          <w:lang w:eastAsia="es-MX"/>
        </w:rPr>
        <w:lastRenderedPageBreak/>
        <w:t>nacimiento del titular, más una homoclave que establece el sistema automático del Servicio de Administración Tributaria.</w:t>
      </w:r>
    </w:p>
    <w:p w14:paraId="23035D5C" w14:textId="77777777" w:rsidR="00F46D07" w:rsidRPr="00D34D61" w:rsidRDefault="00F46D07" w:rsidP="008F72BB">
      <w:pPr>
        <w:spacing w:after="0" w:line="360" w:lineRule="auto"/>
        <w:rPr>
          <w:rFonts w:eastAsia="Palatino Linotype" w:cs="Palatino Linotype"/>
          <w:lang w:eastAsia="es-MX"/>
        </w:rPr>
      </w:pPr>
    </w:p>
    <w:p w14:paraId="53215A94" w14:textId="77777777" w:rsidR="00F46D07" w:rsidRPr="00D34D61" w:rsidRDefault="00F46D07" w:rsidP="008F72BB">
      <w:pPr>
        <w:spacing w:after="0" w:line="360" w:lineRule="auto"/>
        <w:rPr>
          <w:rFonts w:eastAsia="Palatino Linotype" w:cs="Palatino Linotype"/>
          <w:lang w:eastAsia="es-MX"/>
        </w:rPr>
      </w:pPr>
      <w:r w:rsidRPr="00D34D61">
        <w:rPr>
          <w:rFonts w:eastAsia="Palatino Linotype" w:cs="Palatino Linotype"/>
          <w:lang w:eastAsia="es-MX"/>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19CB688" w14:textId="77777777" w:rsidR="00F46D07" w:rsidRPr="00D34D61" w:rsidRDefault="00F46D07" w:rsidP="008F72BB">
      <w:pPr>
        <w:spacing w:after="0" w:line="360" w:lineRule="auto"/>
        <w:rPr>
          <w:rFonts w:eastAsia="Palatino Linotype" w:cs="Palatino Linotype"/>
          <w:lang w:eastAsia="es-MX"/>
        </w:rPr>
      </w:pPr>
    </w:p>
    <w:p w14:paraId="34136649" w14:textId="77777777" w:rsidR="00F46D07" w:rsidRPr="00D34D61" w:rsidRDefault="00F46D07" w:rsidP="008F72BB">
      <w:pPr>
        <w:spacing w:after="0" w:line="360" w:lineRule="auto"/>
        <w:rPr>
          <w:rFonts w:eastAsia="Palatino Linotype" w:cs="Palatino Linotype"/>
          <w:lang w:eastAsia="es-MX"/>
        </w:rPr>
      </w:pPr>
      <w:r w:rsidRPr="00D34D61">
        <w:rPr>
          <w:rFonts w:eastAsia="Palatino Linotype" w:cs="Palatino Linotype"/>
          <w:lang w:eastAsia="es-MX"/>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6747C10E" w14:textId="77777777" w:rsidR="00F46D07" w:rsidRPr="00D34D61" w:rsidRDefault="00F46D07" w:rsidP="008F72BB">
      <w:pPr>
        <w:spacing w:after="0" w:line="360" w:lineRule="auto"/>
        <w:rPr>
          <w:rFonts w:eastAsia="Palatino Linotype" w:cs="Palatino Linotype"/>
          <w:lang w:eastAsia="es-MX"/>
        </w:rPr>
      </w:pPr>
    </w:p>
    <w:p w14:paraId="46C61B50" w14:textId="0A754DDC" w:rsidR="00F46D07" w:rsidRPr="00D34D61" w:rsidRDefault="00F46D07" w:rsidP="008F72BB">
      <w:pPr>
        <w:spacing w:after="0" w:line="360" w:lineRule="auto"/>
        <w:rPr>
          <w:rFonts w:eastAsia="Palatino Linotype" w:cs="Palatino Linotype"/>
          <w:lang w:eastAsia="es-MX"/>
        </w:rPr>
      </w:pPr>
      <w:r w:rsidRPr="00D34D61">
        <w:rPr>
          <w:rFonts w:eastAsia="Palatino Linotype" w:cs="Palatino Linotype"/>
          <w:lang w:eastAsia="es-MX"/>
        </w:rPr>
        <w:t xml:space="preserve">Lo anterior, resulta congruente con el Criterio </w:t>
      </w:r>
      <w:r w:rsidR="004B7332" w:rsidRPr="00D34D61">
        <w:rPr>
          <w:rFonts w:eastAsia="Palatino Linotype" w:cs="Palatino Linotype"/>
          <w:lang w:eastAsia="es-MX"/>
        </w:rPr>
        <w:t>Orientador</w:t>
      </w:r>
      <w:r w:rsidRPr="00D34D61">
        <w:rPr>
          <w:rFonts w:eastAsia="Palatino Linotype" w:cs="Palatino Linotype"/>
          <w:lang w:eastAsia="es-MX"/>
        </w:rPr>
        <w:t xml:space="preserve">, de la Segunda Época, con número de registro SO/019/2017, emitido por el </w:t>
      </w:r>
      <w:r w:rsidR="004B7332" w:rsidRPr="00D34D61">
        <w:rPr>
          <w:rFonts w:eastAsia="Palatino Linotype" w:cs="Palatino Linotype"/>
          <w:lang w:eastAsia="es-MX"/>
        </w:rPr>
        <w:t xml:space="preserve">entonces </w:t>
      </w:r>
      <w:r w:rsidRPr="00D34D61">
        <w:rPr>
          <w:rFonts w:eastAsia="Palatino Linotype" w:cs="Palatino Linotype"/>
          <w:lang w:eastAsia="es-MX"/>
        </w:rPr>
        <w:t>Instituto Nacional de Transparencia, Acceso a la Información y Protección de Datos Personales</w:t>
      </w:r>
      <w:r w:rsidR="004B7332" w:rsidRPr="00D34D61">
        <w:rPr>
          <w:rFonts w:eastAsia="Palatino Linotype" w:cs="Palatino Linotype"/>
          <w:lang w:eastAsia="es-MX"/>
        </w:rPr>
        <w:t>, vigente a la fecha de la solicitud</w:t>
      </w:r>
      <w:r w:rsidRPr="00D34D61">
        <w:rPr>
          <w:rFonts w:eastAsia="Palatino Linotype" w:cs="Palatino Linotype"/>
          <w:lang w:eastAsia="es-MX"/>
        </w:rPr>
        <w:t>, en el cual se señala lo siguiente:</w:t>
      </w:r>
    </w:p>
    <w:p w14:paraId="3912B51D" w14:textId="77777777" w:rsidR="00F46D07" w:rsidRPr="00D34D61" w:rsidRDefault="00F46D07" w:rsidP="008F72BB">
      <w:pPr>
        <w:spacing w:after="0" w:line="360" w:lineRule="auto"/>
        <w:rPr>
          <w:rFonts w:eastAsia="Palatino Linotype" w:cs="Palatino Linotype"/>
          <w:lang w:eastAsia="es-MX"/>
        </w:rPr>
      </w:pPr>
    </w:p>
    <w:p w14:paraId="1DBAE657" w14:textId="77777777" w:rsidR="00F46D07" w:rsidRPr="00D34D61" w:rsidRDefault="00F46D07" w:rsidP="008F72BB">
      <w:pPr>
        <w:spacing w:after="0" w:line="360" w:lineRule="auto"/>
        <w:ind w:left="567" w:right="567"/>
        <w:rPr>
          <w:rFonts w:eastAsia="Palatino Linotype" w:cs="Palatino Linotype"/>
          <w:i/>
          <w:sz w:val="20"/>
          <w:szCs w:val="20"/>
          <w:lang w:eastAsia="es-MX"/>
        </w:rPr>
      </w:pPr>
      <w:r w:rsidRPr="00D34D61">
        <w:rPr>
          <w:rFonts w:eastAsia="Palatino Linotype" w:cs="Palatino Linotype"/>
          <w:b/>
          <w:i/>
          <w:sz w:val="20"/>
          <w:szCs w:val="20"/>
          <w:lang w:eastAsia="es-MX"/>
        </w:rPr>
        <w:t>“Registro Federal de Contribuyentes (RFC) de personas físicas.</w:t>
      </w:r>
      <w:r w:rsidRPr="00D34D61">
        <w:rPr>
          <w:rFonts w:eastAsia="Palatino Linotype" w:cs="Palatino Linotype"/>
          <w:i/>
          <w:sz w:val="20"/>
          <w:szCs w:val="20"/>
          <w:lang w:eastAsia="es-MX"/>
        </w:rPr>
        <w:t xml:space="preserve"> El RFC es una clave de carácter fiscal, única e irrepetible, que permite identificar al titular, su edad y fecha de nacimiento, por lo que es un dato personal de carácter confidencial.”</w:t>
      </w:r>
    </w:p>
    <w:p w14:paraId="2623520D" w14:textId="77777777" w:rsidR="00F46D07" w:rsidRPr="00D34D61" w:rsidRDefault="00F46D07" w:rsidP="008F72BB">
      <w:pPr>
        <w:spacing w:after="0" w:line="360" w:lineRule="auto"/>
        <w:rPr>
          <w:rFonts w:eastAsia="Palatino Linotype" w:cs="Palatino Linotype"/>
          <w:lang w:eastAsia="es-MX"/>
        </w:rPr>
      </w:pPr>
    </w:p>
    <w:p w14:paraId="340F8A46" w14:textId="77777777" w:rsidR="00F46D07" w:rsidRPr="00D34D61" w:rsidRDefault="00F46D07" w:rsidP="008F72BB">
      <w:pPr>
        <w:spacing w:after="0" w:line="360" w:lineRule="auto"/>
        <w:rPr>
          <w:rFonts w:eastAsia="Palatino Linotype" w:cs="Palatino Linotype"/>
          <w:lang w:eastAsia="es-MX"/>
        </w:rPr>
      </w:pPr>
      <w:r w:rsidRPr="00D34D61">
        <w:rPr>
          <w:rFonts w:eastAsia="Palatino Linotype" w:cs="Palatino Linotype"/>
          <w:lang w:eastAsia="es-MX"/>
        </w:rPr>
        <w:t xml:space="preserve">De tal suerte, el Registro Federal de Contribuyentes de los servidores públicos no guarda relación con la transparencia de los recursos públicos, así como tampoco con el desempeño </w:t>
      </w:r>
      <w:r w:rsidRPr="00D34D61">
        <w:rPr>
          <w:rFonts w:eastAsia="Palatino Linotype" w:cs="Palatino Linotype"/>
          <w:lang w:eastAsia="es-MX"/>
        </w:rPr>
        <w:lastRenderedPageBreak/>
        <w:t>laboral que pueda tener una persona, por lo que constituye un dato personal confidencial al actualizar el supuesto normativo del artículo 143, fracción I, de la Ley de Transparencia y Acceso a la Información Pública del Estado de México y Municipios.</w:t>
      </w:r>
      <w:r w:rsidRPr="00D34D61">
        <w:rPr>
          <w:rFonts w:eastAsia="Palatino Linotype" w:cs="Palatino Linotype"/>
          <w:b/>
          <w:lang w:eastAsia="es-MX"/>
        </w:rPr>
        <w:t xml:space="preserve"> </w:t>
      </w:r>
    </w:p>
    <w:p w14:paraId="53387931" w14:textId="77777777" w:rsidR="00F46D07" w:rsidRPr="00D34D61" w:rsidRDefault="00F46D07" w:rsidP="008F72BB">
      <w:pPr>
        <w:spacing w:after="0" w:line="360" w:lineRule="auto"/>
        <w:rPr>
          <w:rFonts w:eastAsia="Palatino Linotype" w:cs="Palatino Linotype"/>
          <w:lang w:eastAsia="es-MX"/>
        </w:rPr>
      </w:pPr>
    </w:p>
    <w:p w14:paraId="65A70417" w14:textId="77777777" w:rsidR="00DA412B" w:rsidRPr="00D34D61" w:rsidRDefault="00DA412B" w:rsidP="00DA66BF">
      <w:pPr>
        <w:numPr>
          <w:ilvl w:val="0"/>
          <w:numId w:val="39"/>
        </w:numPr>
        <w:spacing w:after="0" w:line="360" w:lineRule="auto"/>
        <w:rPr>
          <w:rFonts w:eastAsia="Times New Roman" w:cs="Tahoma"/>
          <w:b/>
          <w:color w:val="auto"/>
          <w:kern w:val="2"/>
          <w:lang w:eastAsia="es-ES"/>
          <w14:ligatures w14:val="standardContextual"/>
        </w:rPr>
      </w:pPr>
      <w:r w:rsidRPr="00D34D61">
        <w:rPr>
          <w:rFonts w:eastAsia="Times New Roman" w:cs="Tahoma"/>
          <w:b/>
          <w:color w:val="auto"/>
          <w:kern w:val="2"/>
          <w:lang w:eastAsia="es-ES"/>
          <w14:ligatures w14:val="standardContextual"/>
        </w:rPr>
        <w:t>Número de empleado</w:t>
      </w:r>
    </w:p>
    <w:p w14:paraId="5354D386" w14:textId="77777777" w:rsidR="00DA412B" w:rsidRPr="00D34D61" w:rsidRDefault="00DA412B" w:rsidP="00DA412B">
      <w:pPr>
        <w:spacing w:after="0" w:line="360" w:lineRule="auto"/>
        <w:rPr>
          <w:rFonts w:eastAsia="Times New Roman" w:cs="Tahoma"/>
          <w:b/>
          <w:color w:val="auto"/>
          <w:lang w:eastAsia="es-ES"/>
        </w:rPr>
      </w:pPr>
    </w:p>
    <w:p w14:paraId="7843AE77" w14:textId="77777777" w:rsidR="00DA412B" w:rsidRPr="00D34D61" w:rsidRDefault="00DA412B" w:rsidP="00DA412B">
      <w:pPr>
        <w:spacing w:after="0" w:line="360" w:lineRule="auto"/>
        <w:rPr>
          <w:rFonts w:eastAsia="Calibri" w:cs="Tahoma"/>
          <w:bCs/>
          <w:iCs/>
          <w:color w:val="auto"/>
          <w:lang w:eastAsia="es-ES"/>
        </w:rPr>
      </w:pPr>
      <w:r w:rsidRPr="00D34D61">
        <w:rPr>
          <w:rFonts w:eastAsia="Calibri" w:cs="Tahoma"/>
          <w:bCs/>
          <w:iCs/>
          <w:color w:val="auto"/>
          <w:lang w:eastAsia="es-ES"/>
        </w:rPr>
        <w:t>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14:paraId="578915EC" w14:textId="77777777" w:rsidR="00DA412B" w:rsidRPr="00D34D61" w:rsidRDefault="00DA412B" w:rsidP="00DA412B">
      <w:pPr>
        <w:spacing w:after="0" w:line="360" w:lineRule="auto"/>
        <w:rPr>
          <w:rFonts w:eastAsia="Calibri" w:cs="Tahoma"/>
          <w:bCs/>
          <w:iCs/>
          <w:color w:val="auto"/>
          <w:lang w:eastAsia="es-ES"/>
        </w:rPr>
      </w:pPr>
    </w:p>
    <w:p w14:paraId="411AE0F7" w14:textId="77777777" w:rsidR="00DA412B" w:rsidRPr="00D34D61" w:rsidRDefault="00DA412B" w:rsidP="00DA412B">
      <w:pPr>
        <w:spacing w:after="0" w:line="360" w:lineRule="auto"/>
        <w:rPr>
          <w:rFonts w:eastAsia="Calibri" w:cs="Tahoma"/>
          <w:bCs/>
          <w:iCs/>
          <w:color w:val="auto"/>
          <w:lang w:eastAsia="es-ES"/>
        </w:rPr>
      </w:pPr>
      <w:r w:rsidRPr="00D34D61">
        <w:rPr>
          <w:rFonts w:eastAsia="Calibri" w:cs="Tahoma"/>
          <w:bCs/>
          <w:iCs/>
          <w:color w:val="auto"/>
          <w:lang w:eastAsia="es-ES"/>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3F354297" w14:textId="77777777" w:rsidR="00DA412B" w:rsidRPr="00D34D61" w:rsidRDefault="00DA412B" w:rsidP="00DA412B">
      <w:pPr>
        <w:spacing w:after="0" w:line="360" w:lineRule="auto"/>
        <w:rPr>
          <w:rFonts w:eastAsia="Calibri" w:cs="Tahoma"/>
          <w:bCs/>
          <w:iCs/>
          <w:color w:val="auto"/>
          <w:lang w:eastAsia="es-ES"/>
        </w:rPr>
      </w:pPr>
    </w:p>
    <w:p w14:paraId="7948730B" w14:textId="40B3C41B" w:rsidR="00DA412B" w:rsidRPr="00D34D61" w:rsidRDefault="00DA412B" w:rsidP="00DA412B">
      <w:pPr>
        <w:spacing w:line="360" w:lineRule="auto"/>
        <w:contextualSpacing/>
        <w:rPr>
          <w:rFonts w:eastAsia="Calibri" w:cs="Tahoma"/>
          <w:bCs/>
          <w:iCs/>
          <w:color w:val="auto"/>
        </w:rPr>
      </w:pPr>
      <w:r w:rsidRPr="00D34D61">
        <w:rPr>
          <w:rFonts w:eastAsia="Calibri" w:cs="Tahoma"/>
          <w:bCs/>
          <w:iCs/>
          <w:color w:val="auto"/>
        </w:rPr>
        <w:t xml:space="preserve">Lo anterior, toma sustento en el </w:t>
      </w:r>
      <w:r w:rsidRPr="00D34D61">
        <w:rPr>
          <w:rFonts w:eastAsia="Calibri" w:cs="Tahoma"/>
          <w:bCs/>
          <w:color w:val="auto"/>
          <w:lang w:val="es-ES"/>
        </w:rPr>
        <w:t xml:space="preserve">Criterio de Interpretación, de la Segunda Época, con número de registro </w:t>
      </w:r>
      <w:r w:rsidRPr="00D34D61">
        <w:rPr>
          <w:rFonts w:eastAsia="Calibri" w:cs="Tahoma"/>
          <w:bCs/>
          <w:color w:val="auto"/>
        </w:rPr>
        <w:t>SO/006/2019</w:t>
      </w:r>
      <w:r w:rsidRPr="00D34D61">
        <w:rPr>
          <w:rFonts w:eastAsia="Calibri" w:cs="Tahoma"/>
          <w:bCs/>
          <w:iCs/>
          <w:color w:val="auto"/>
        </w:rPr>
        <w:t>, emitido por el entonces Instituto Nacional de Transparencia, Acceso a la Información y Protección de Datos Personales, vigente a la fecha de la solicitud, que establece lo siguiente:</w:t>
      </w:r>
    </w:p>
    <w:p w14:paraId="6B72652E" w14:textId="77777777" w:rsidR="00DA412B" w:rsidRPr="00D34D61" w:rsidRDefault="00DA412B" w:rsidP="00DA412B">
      <w:pPr>
        <w:spacing w:after="0" w:line="360" w:lineRule="auto"/>
        <w:rPr>
          <w:rFonts w:eastAsia="Calibri" w:cs="Tahoma"/>
          <w:bCs/>
          <w:iCs/>
          <w:color w:val="auto"/>
          <w:lang w:eastAsia="es-ES"/>
        </w:rPr>
      </w:pPr>
    </w:p>
    <w:p w14:paraId="1EA07D0A" w14:textId="77777777" w:rsidR="00DA412B" w:rsidRPr="00D34D61" w:rsidRDefault="00DA412B" w:rsidP="00DA412B">
      <w:pPr>
        <w:spacing w:after="0" w:line="360" w:lineRule="auto"/>
        <w:ind w:left="567" w:right="567"/>
        <w:rPr>
          <w:rFonts w:eastAsia="Calibri" w:cs="Tahoma"/>
          <w:bCs/>
          <w:i/>
          <w:iCs/>
          <w:color w:val="auto"/>
          <w:sz w:val="20"/>
          <w:szCs w:val="20"/>
          <w:lang w:eastAsia="es-ES"/>
        </w:rPr>
      </w:pPr>
      <w:r w:rsidRPr="00D34D61">
        <w:rPr>
          <w:rFonts w:eastAsia="Calibri" w:cs="Tahoma"/>
          <w:b/>
          <w:bCs/>
          <w:i/>
          <w:iCs/>
          <w:color w:val="auto"/>
          <w:sz w:val="20"/>
          <w:szCs w:val="20"/>
          <w:lang w:eastAsia="es-ES"/>
        </w:rPr>
        <w:t xml:space="preserve">“Número de empleado. </w:t>
      </w:r>
      <w:r w:rsidRPr="00D34D61">
        <w:rPr>
          <w:rFonts w:eastAsia="Calibri" w:cs="Tahoma"/>
          <w:bCs/>
          <w:i/>
          <w:iCs/>
          <w:color w:val="auto"/>
          <w:sz w:val="20"/>
          <w:szCs w:val="20"/>
          <w:lang w:eastAsia="es-ES"/>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0DE9AEB2" w14:textId="77777777" w:rsidR="00DA412B" w:rsidRPr="00D34D61" w:rsidRDefault="00DA412B" w:rsidP="00DA412B">
      <w:pPr>
        <w:spacing w:after="0" w:line="360" w:lineRule="auto"/>
        <w:rPr>
          <w:rFonts w:eastAsia="Calibri" w:cs="Tahoma"/>
          <w:bCs/>
          <w:iCs/>
          <w:color w:val="auto"/>
          <w:lang w:eastAsia="es-ES"/>
        </w:rPr>
      </w:pPr>
    </w:p>
    <w:p w14:paraId="58DF8FC5" w14:textId="77777777" w:rsidR="00DA412B" w:rsidRPr="00D34D61" w:rsidRDefault="00DA412B" w:rsidP="00DA412B">
      <w:pPr>
        <w:spacing w:line="360" w:lineRule="auto"/>
        <w:contextualSpacing/>
        <w:rPr>
          <w:rFonts w:eastAsia="Calibri" w:cs="Tahoma"/>
          <w:bCs/>
          <w:iCs/>
          <w:color w:val="auto"/>
        </w:rPr>
      </w:pPr>
      <w:r w:rsidRPr="00D34D61">
        <w:rPr>
          <w:rFonts w:eastAsia="Calibri" w:cs="Tahoma"/>
          <w:bCs/>
          <w:iCs/>
          <w:color w:val="auto"/>
        </w:rPr>
        <w:t>Así, se colige que solamente procederá la clasificación del número de empleado, cuando se integre con datos personales de los servidores públicos o funcione como clave de acceso que no requiera una contraseña para ingresar a sistemas o bases de datos.</w:t>
      </w:r>
    </w:p>
    <w:p w14:paraId="139B5FBF" w14:textId="77777777" w:rsidR="00DA412B" w:rsidRPr="00D34D61" w:rsidRDefault="00DA412B" w:rsidP="00DA412B">
      <w:pPr>
        <w:spacing w:line="360" w:lineRule="auto"/>
        <w:contextualSpacing/>
        <w:rPr>
          <w:rFonts w:eastAsia="Calibri" w:cs="Tahoma"/>
          <w:b/>
          <w:bCs/>
          <w:iCs/>
          <w:color w:val="auto"/>
        </w:rPr>
      </w:pPr>
    </w:p>
    <w:p w14:paraId="4AB4DA6F" w14:textId="77777777" w:rsidR="00DA412B" w:rsidRPr="00D34D61" w:rsidRDefault="00DA412B" w:rsidP="00DA412B">
      <w:pPr>
        <w:spacing w:after="0" w:line="360" w:lineRule="auto"/>
        <w:ind w:right="-93"/>
        <w:rPr>
          <w:rFonts w:eastAsia="Times New Roman" w:cs="Tahoma"/>
          <w:color w:val="auto"/>
          <w:lang w:val="es-ES" w:eastAsia="es-ES"/>
        </w:rPr>
      </w:pPr>
      <w:r w:rsidRPr="00D34D61">
        <w:rPr>
          <w:rFonts w:eastAsia="Times New Roman" w:cs="Tahoma"/>
          <w:color w:val="auto"/>
          <w:lang w:val="es-ES" w:eastAsia="es-ES"/>
        </w:rPr>
        <w:t xml:space="preserve">Por lo que, se considera que el Ente Recurrido </w:t>
      </w:r>
      <w:r w:rsidRPr="00D34D61">
        <w:rPr>
          <w:rFonts w:eastAsia="Times New Roman" w:cs="Tahoma"/>
          <w:b/>
          <w:bCs/>
          <w:color w:val="auto"/>
          <w:lang w:val="es-ES" w:eastAsia="es-ES"/>
        </w:rPr>
        <w:t>deberá proporcionar dicho dato, en el caso, de que de ninguna manera puedan dar acceso a sistemas con información de los trabajadores</w:t>
      </w:r>
      <w:r w:rsidRPr="00D34D61">
        <w:rPr>
          <w:rFonts w:eastAsia="Times New Roman" w:cs="Tahoma"/>
          <w:color w:val="auto"/>
          <w:lang w:val="es-ES" w:eastAsia="es-ES"/>
        </w:rPr>
        <w:t>; en el caso contrario, esto es que, de acceso a sistemas o base de datos, procederá su clasificación, en términos del artículo 143, fracción I de la Ley de la materia.</w:t>
      </w:r>
    </w:p>
    <w:p w14:paraId="172CA912" w14:textId="77777777" w:rsidR="00DA412B" w:rsidRPr="00D34D61" w:rsidRDefault="00DA412B" w:rsidP="00DA412B">
      <w:pPr>
        <w:spacing w:after="0" w:line="360" w:lineRule="auto"/>
        <w:rPr>
          <w:rFonts w:eastAsia="Calibri" w:cs="Times New Roman"/>
          <w:color w:val="000000"/>
        </w:rPr>
      </w:pPr>
    </w:p>
    <w:p w14:paraId="275EDBBA" w14:textId="77777777" w:rsidR="00DA412B" w:rsidRPr="00D34D61" w:rsidRDefault="00DA412B" w:rsidP="00DA66BF">
      <w:pPr>
        <w:numPr>
          <w:ilvl w:val="0"/>
          <w:numId w:val="39"/>
        </w:numPr>
        <w:spacing w:after="0" w:line="360" w:lineRule="auto"/>
        <w:rPr>
          <w:rFonts w:eastAsia="Calibri" w:cs="Times New Roman"/>
          <w:b/>
          <w:color w:val="000000"/>
        </w:rPr>
      </w:pPr>
      <w:r w:rsidRPr="00D34D61">
        <w:rPr>
          <w:rFonts w:eastAsia="Calibri" w:cs="Times New Roman"/>
          <w:b/>
          <w:color w:val="000000"/>
        </w:rPr>
        <w:t>Clave Única de Registro de Población (CURP)</w:t>
      </w:r>
    </w:p>
    <w:p w14:paraId="7D202D48" w14:textId="77777777" w:rsidR="00DA412B" w:rsidRPr="00D34D61" w:rsidRDefault="00DA412B" w:rsidP="00DA412B">
      <w:pPr>
        <w:spacing w:after="0" w:line="360" w:lineRule="auto"/>
        <w:rPr>
          <w:rFonts w:eastAsia="Calibri" w:cs="Times New Roman"/>
          <w:color w:val="000000"/>
        </w:rPr>
      </w:pPr>
    </w:p>
    <w:p w14:paraId="567624A2" w14:textId="77777777" w:rsidR="00DA412B" w:rsidRPr="00D34D61" w:rsidRDefault="00DA412B" w:rsidP="00DA412B">
      <w:pPr>
        <w:spacing w:after="0" w:line="360" w:lineRule="auto"/>
        <w:rPr>
          <w:rFonts w:eastAsia="Calibri" w:cs="Times New Roman"/>
          <w:color w:val="000000"/>
        </w:rPr>
      </w:pPr>
      <w:r w:rsidRPr="00D34D61">
        <w:rPr>
          <w:rFonts w:eastAsia="Calibri" w:cs="Times New Roman"/>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0D682FE6" w14:textId="77777777" w:rsidR="00DA412B" w:rsidRPr="00D34D61" w:rsidRDefault="00DA412B" w:rsidP="00DA412B">
      <w:pPr>
        <w:spacing w:after="0" w:line="360" w:lineRule="auto"/>
        <w:rPr>
          <w:rFonts w:eastAsia="Calibri" w:cs="Times New Roman"/>
          <w:color w:val="000000"/>
        </w:rPr>
      </w:pPr>
    </w:p>
    <w:p w14:paraId="7102443F" w14:textId="77777777" w:rsidR="00DA412B" w:rsidRPr="00D34D61" w:rsidRDefault="00DA412B" w:rsidP="00DA412B">
      <w:pPr>
        <w:spacing w:after="0" w:line="360" w:lineRule="auto"/>
        <w:rPr>
          <w:rFonts w:eastAsia="Calibri" w:cs="Times New Roman"/>
          <w:color w:val="000000"/>
        </w:rPr>
      </w:pPr>
      <w:r w:rsidRPr="00D34D61">
        <w:rPr>
          <w:rFonts w:eastAsia="Calibri" w:cs="Times New Roman"/>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7F011FD7" w14:textId="77777777" w:rsidR="00DA412B" w:rsidRPr="00D34D61" w:rsidRDefault="00DA412B" w:rsidP="00DA412B">
      <w:pPr>
        <w:spacing w:after="0" w:line="360" w:lineRule="auto"/>
        <w:rPr>
          <w:rFonts w:eastAsia="Calibri" w:cs="Times New Roman"/>
          <w:color w:val="000000"/>
        </w:rPr>
      </w:pPr>
    </w:p>
    <w:p w14:paraId="692F7E27" w14:textId="77777777" w:rsidR="00DA412B" w:rsidRPr="00D34D61" w:rsidRDefault="00DA412B" w:rsidP="00DA412B">
      <w:pPr>
        <w:spacing w:after="0" w:line="360" w:lineRule="auto"/>
        <w:rPr>
          <w:rFonts w:eastAsia="Calibri" w:cs="Times New Roman"/>
          <w:color w:val="000000"/>
        </w:rPr>
      </w:pPr>
      <w:r w:rsidRPr="00D34D61">
        <w:rPr>
          <w:rFonts w:eastAsia="Calibri" w:cs="Times New Roman"/>
          <w:color w:val="000000"/>
        </w:rPr>
        <w:t xml:space="preserve">En ese orden de ideas, la Secretaría de Gobernación en las direcciones </w:t>
      </w:r>
      <w:hyperlink r:id="rId16" w:history="1">
        <w:r w:rsidRPr="00D34D61">
          <w:rPr>
            <w:rFonts w:eastAsia="Calibri" w:cs="Times New Roman"/>
            <w:color w:val="0563C1"/>
            <w:u w:val="single"/>
          </w:rPr>
          <w:t>https://consultas.curp.gob.mx/CurpSP/html/informacionecurpPS.html</w:t>
        </w:r>
      </w:hyperlink>
      <w:r w:rsidRPr="00D34D61">
        <w:rPr>
          <w:rFonts w:eastAsia="Calibri" w:cs="Times New Roman"/>
          <w:color w:val="000000"/>
        </w:rPr>
        <w:t xml:space="preserve"> y </w:t>
      </w:r>
      <w:hyperlink r:id="rId17" w:history="1">
        <w:r w:rsidRPr="00D34D61">
          <w:rPr>
            <w:rFonts w:eastAsia="Calibri" w:cs="Times New Roman"/>
            <w:color w:val="0563C1"/>
            <w:u w:val="single"/>
          </w:rPr>
          <w:t>https://www.gob.mx/segob/renapo/acciones-y-programas/clave-unica-de-registro-de-poblacion-curp-142226</w:t>
        </w:r>
      </w:hyperlink>
      <w:r w:rsidRPr="00D34D61">
        <w:rPr>
          <w:rFonts w:eastAsia="Calibri" w:cs="Times New Roman"/>
          <w:color w:val="000000"/>
        </w:rPr>
        <w:t xml:space="preserve"> (consultadas el seis de junio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D34D61">
        <w:rPr>
          <w:rFonts w:eastAsia="Calibri" w:cs="Times New Roman"/>
          <w:b/>
          <w:color w:val="000000"/>
        </w:rPr>
        <w:t>se generan a partir de los datos contenidos en el documento probatorio de la identidad</w:t>
      </w:r>
      <w:r w:rsidRPr="00D34D61">
        <w:rPr>
          <w:rFonts w:eastAsia="Calibri" w:cs="Times New Roman"/>
          <w:color w:val="000000"/>
        </w:rPr>
        <w:t xml:space="preserve"> </w:t>
      </w:r>
      <w:r w:rsidRPr="00D34D61">
        <w:rPr>
          <w:rFonts w:eastAsia="Calibri" w:cs="Times New Roman"/>
          <w:b/>
          <w:color w:val="000000"/>
        </w:rPr>
        <w:t xml:space="preserve">del interesado </w:t>
      </w:r>
      <w:r w:rsidRPr="00D34D61">
        <w:rPr>
          <w:rFonts w:eastAsia="Calibri" w:cs="Times New Roman"/>
          <w:color w:val="000000"/>
        </w:rPr>
        <w:t>(acta de nacimiento, carta de naturalización o documento migratorio) de la siguiente forma:</w:t>
      </w:r>
    </w:p>
    <w:p w14:paraId="5E079288" w14:textId="77777777" w:rsidR="00DA412B" w:rsidRPr="00D34D61" w:rsidRDefault="00DA412B" w:rsidP="00DA412B">
      <w:pPr>
        <w:spacing w:after="0" w:line="360" w:lineRule="auto"/>
        <w:rPr>
          <w:rFonts w:eastAsia="Calibri" w:cs="Times New Roman"/>
          <w:color w:val="000000"/>
        </w:rPr>
      </w:pPr>
    </w:p>
    <w:p w14:paraId="638D489D" w14:textId="77777777" w:rsidR="00DA412B" w:rsidRPr="00D34D61" w:rsidRDefault="00DA412B" w:rsidP="00DA412B">
      <w:pPr>
        <w:numPr>
          <w:ilvl w:val="0"/>
          <w:numId w:val="44"/>
        </w:numPr>
        <w:spacing w:after="0" w:line="360" w:lineRule="auto"/>
        <w:rPr>
          <w:rFonts w:eastAsia="Calibri" w:cs="Times New Roman"/>
          <w:color w:val="000000"/>
        </w:rPr>
      </w:pPr>
      <w:r w:rsidRPr="00D34D61">
        <w:rPr>
          <w:rFonts w:eastAsia="Calibri" w:cs="Times New Roman"/>
          <w:color w:val="000000"/>
        </w:rPr>
        <w:t>El primero y segundo apellidos, así como al nombre de pila;</w:t>
      </w:r>
    </w:p>
    <w:p w14:paraId="3E27ADBD" w14:textId="77777777" w:rsidR="00DA412B" w:rsidRPr="00D34D61" w:rsidRDefault="00DA412B" w:rsidP="00DA412B">
      <w:pPr>
        <w:numPr>
          <w:ilvl w:val="0"/>
          <w:numId w:val="44"/>
        </w:numPr>
        <w:spacing w:after="0" w:line="360" w:lineRule="auto"/>
        <w:rPr>
          <w:rFonts w:eastAsia="Calibri" w:cs="Times New Roman"/>
          <w:color w:val="000000"/>
        </w:rPr>
      </w:pPr>
      <w:r w:rsidRPr="00D34D61">
        <w:rPr>
          <w:rFonts w:eastAsia="Calibri" w:cs="Times New Roman"/>
          <w:color w:val="000000"/>
        </w:rPr>
        <w:t>La fecha de nacimiento;</w:t>
      </w:r>
    </w:p>
    <w:p w14:paraId="13410B6C" w14:textId="77777777" w:rsidR="00DA412B" w:rsidRPr="00D34D61" w:rsidRDefault="00DA412B" w:rsidP="00DA412B">
      <w:pPr>
        <w:numPr>
          <w:ilvl w:val="0"/>
          <w:numId w:val="44"/>
        </w:numPr>
        <w:spacing w:after="0" w:line="360" w:lineRule="auto"/>
        <w:rPr>
          <w:rFonts w:eastAsia="Calibri" w:cs="Times New Roman"/>
          <w:color w:val="000000"/>
        </w:rPr>
      </w:pPr>
      <w:r w:rsidRPr="00D34D61">
        <w:rPr>
          <w:rFonts w:eastAsia="Calibri" w:cs="Times New Roman"/>
          <w:color w:val="000000"/>
        </w:rPr>
        <w:t>El sexo, y</w:t>
      </w:r>
    </w:p>
    <w:p w14:paraId="415FE6F5" w14:textId="77777777" w:rsidR="00DA412B" w:rsidRPr="00D34D61" w:rsidRDefault="00DA412B" w:rsidP="00DA412B">
      <w:pPr>
        <w:numPr>
          <w:ilvl w:val="0"/>
          <w:numId w:val="44"/>
        </w:numPr>
        <w:spacing w:after="0" w:line="360" w:lineRule="auto"/>
        <w:rPr>
          <w:rFonts w:eastAsia="Calibri" w:cs="Times New Roman"/>
          <w:color w:val="000000"/>
        </w:rPr>
      </w:pPr>
      <w:r w:rsidRPr="00D34D61">
        <w:rPr>
          <w:rFonts w:eastAsia="Calibri" w:cs="Times New Roman"/>
          <w:color w:val="000000"/>
        </w:rPr>
        <w:t>La entidad federativa de nacimiento.</w:t>
      </w:r>
    </w:p>
    <w:p w14:paraId="172C0BBD" w14:textId="77777777" w:rsidR="00DA412B" w:rsidRPr="00D34D61" w:rsidRDefault="00DA412B" w:rsidP="00DA412B">
      <w:pPr>
        <w:spacing w:after="0" w:line="360" w:lineRule="auto"/>
        <w:rPr>
          <w:rFonts w:eastAsia="Calibri" w:cs="Times New Roman"/>
          <w:color w:val="000000"/>
        </w:rPr>
      </w:pPr>
    </w:p>
    <w:p w14:paraId="0FCB171F" w14:textId="77777777" w:rsidR="00DA412B" w:rsidRPr="00D34D61" w:rsidRDefault="00DA412B" w:rsidP="00DA412B">
      <w:pPr>
        <w:spacing w:after="0" w:line="360" w:lineRule="auto"/>
        <w:rPr>
          <w:rFonts w:eastAsia="Calibri" w:cs="Times New Roman"/>
          <w:color w:val="000000"/>
        </w:rPr>
      </w:pPr>
      <w:r w:rsidRPr="00D34D61">
        <w:rPr>
          <w:rFonts w:eastAsia="Calibri" w:cs="Times New Roman"/>
          <w:color w:val="000000"/>
        </w:rPr>
        <w:t>Los dos últimos elementos de la Clave Única de Registro de Población evitan la duplicidad de la Clave y garantizan su correcta integración.</w:t>
      </w:r>
    </w:p>
    <w:p w14:paraId="7D42C258" w14:textId="77777777" w:rsidR="00DA412B" w:rsidRPr="00D34D61" w:rsidRDefault="00DA412B" w:rsidP="00DA412B">
      <w:pPr>
        <w:spacing w:after="0" w:line="360" w:lineRule="auto"/>
        <w:rPr>
          <w:rFonts w:eastAsia="Calibri" w:cs="Times New Roman"/>
          <w:color w:val="000000"/>
        </w:rPr>
      </w:pPr>
    </w:p>
    <w:p w14:paraId="0526B21E" w14:textId="77777777" w:rsidR="00DA412B" w:rsidRPr="00D34D61" w:rsidRDefault="00DA412B" w:rsidP="00DA412B">
      <w:pPr>
        <w:spacing w:after="0" w:line="360" w:lineRule="auto"/>
        <w:rPr>
          <w:rFonts w:eastAsia="Calibri" w:cs="Times New Roman"/>
          <w:color w:val="000000"/>
        </w:rPr>
      </w:pPr>
      <w:r w:rsidRPr="00D34D61">
        <w:rPr>
          <w:rFonts w:eastAsia="Calibri" w:cs="Times New Roman"/>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388BDE06" w14:textId="77777777" w:rsidR="00DA412B" w:rsidRPr="00D34D61" w:rsidRDefault="00DA412B" w:rsidP="00DA412B">
      <w:pPr>
        <w:spacing w:after="0" w:line="360" w:lineRule="auto"/>
        <w:rPr>
          <w:rFonts w:eastAsia="Calibri" w:cs="Times New Roman"/>
          <w:color w:val="000000"/>
        </w:rPr>
      </w:pPr>
    </w:p>
    <w:p w14:paraId="68D15DB3" w14:textId="5F43FAAB" w:rsidR="00DA412B" w:rsidRPr="00D34D61" w:rsidRDefault="00DA412B" w:rsidP="00DA412B">
      <w:pPr>
        <w:spacing w:after="0" w:line="360" w:lineRule="auto"/>
        <w:rPr>
          <w:rFonts w:eastAsia="Calibri" w:cs="Times New Roman"/>
          <w:color w:val="000000"/>
        </w:rPr>
      </w:pPr>
      <w:r w:rsidRPr="00D34D61">
        <w:rPr>
          <w:rFonts w:eastAsia="Calibri" w:cs="Times New Roman"/>
          <w:color w:val="000000"/>
        </w:rPr>
        <w:t xml:space="preserve">Situación que se robustece, con el Criterio Orientador, de la Segunda Época, con número de registro SO/018/2017, emitido por el entonces Instituto Nacional de Transparencia, Acceso a </w:t>
      </w:r>
      <w:r w:rsidRPr="00D34D61">
        <w:rPr>
          <w:rFonts w:eastAsia="Calibri" w:cs="Times New Roman"/>
          <w:color w:val="000000"/>
        </w:rPr>
        <w:lastRenderedPageBreak/>
        <w:t>la Información y Protección de Datos Personales, vigente a la fecha de la solicitud, que establece lo siguiente:</w:t>
      </w:r>
    </w:p>
    <w:p w14:paraId="43048DD8" w14:textId="77777777" w:rsidR="00DA412B" w:rsidRPr="00D34D61" w:rsidRDefault="00DA412B" w:rsidP="00DA412B">
      <w:pPr>
        <w:spacing w:after="0" w:line="360" w:lineRule="auto"/>
        <w:ind w:left="567" w:right="567"/>
        <w:rPr>
          <w:rFonts w:eastAsia="Calibri" w:cs="Times New Roman"/>
          <w:color w:val="000000"/>
          <w:sz w:val="20"/>
          <w:szCs w:val="20"/>
        </w:rPr>
      </w:pPr>
    </w:p>
    <w:p w14:paraId="20C26DF0" w14:textId="77777777" w:rsidR="00DA412B" w:rsidRPr="00D34D61" w:rsidRDefault="00DA412B" w:rsidP="00DA412B">
      <w:pPr>
        <w:spacing w:after="0" w:line="360" w:lineRule="auto"/>
        <w:ind w:left="567" w:right="567"/>
        <w:rPr>
          <w:rFonts w:eastAsia="Calibri" w:cs="Times New Roman"/>
          <w:i/>
          <w:color w:val="000000"/>
          <w:sz w:val="20"/>
          <w:szCs w:val="20"/>
        </w:rPr>
      </w:pPr>
      <w:r w:rsidRPr="00D34D61">
        <w:rPr>
          <w:rFonts w:eastAsia="Calibri" w:cs="Times New Roman"/>
          <w:b/>
          <w:i/>
          <w:color w:val="000000"/>
          <w:sz w:val="20"/>
          <w:szCs w:val="20"/>
        </w:rPr>
        <w:t xml:space="preserve">“Clave Única de Registro de Población (CURP). </w:t>
      </w:r>
      <w:r w:rsidRPr="00D34D61">
        <w:rPr>
          <w:rFonts w:eastAsia="Calibri" w:cs="Times New Roman"/>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5E005B30" w14:textId="77777777" w:rsidR="00DA412B" w:rsidRPr="00D34D61" w:rsidRDefault="00DA412B" w:rsidP="00DA412B">
      <w:pPr>
        <w:spacing w:after="0" w:line="360" w:lineRule="auto"/>
        <w:rPr>
          <w:rFonts w:eastAsia="Calibri" w:cs="Times New Roman"/>
          <w:color w:val="000000"/>
        </w:rPr>
      </w:pPr>
    </w:p>
    <w:p w14:paraId="0F62F585" w14:textId="7F118C67" w:rsidR="00DA412B" w:rsidRPr="00D34D61" w:rsidRDefault="00DA412B" w:rsidP="008F72BB">
      <w:pPr>
        <w:spacing w:after="0" w:line="360" w:lineRule="auto"/>
        <w:rPr>
          <w:rFonts w:eastAsia="Calibri" w:cs="Times New Roman"/>
          <w:color w:val="000000"/>
        </w:rPr>
      </w:pPr>
      <w:r w:rsidRPr="00D34D61">
        <w:rPr>
          <w:rFonts w:eastAsia="Calibri" w:cs="Times New Roman"/>
          <w:color w:val="000000"/>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3D484E5E" w14:textId="77777777" w:rsidR="00DA412B" w:rsidRPr="00D34D61" w:rsidRDefault="00DA412B" w:rsidP="008F72BB">
      <w:pPr>
        <w:spacing w:after="0" w:line="360" w:lineRule="auto"/>
        <w:rPr>
          <w:rFonts w:eastAsia="Palatino Linotype" w:cs="Palatino Linotype"/>
          <w:lang w:eastAsia="es-MX"/>
        </w:rPr>
      </w:pPr>
    </w:p>
    <w:p w14:paraId="020D790C" w14:textId="77777777" w:rsidR="00DA66BF" w:rsidRPr="00D34D61" w:rsidRDefault="00DA66BF" w:rsidP="00DA66BF">
      <w:pPr>
        <w:numPr>
          <w:ilvl w:val="0"/>
          <w:numId w:val="39"/>
        </w:numPr>
        <w:spacing w:after="0" w:line="360" w:lineRule="auto"/>
        <w:rPr>
          <w:rFonts w:eastAsia="Palatino Linotype" w:cs="Palatino Linotype"/>
          <w:b/>
          <w:lang w:eastAsia="es-MX"/>
        </w:rPr>
      </w:pPr>
      <w:r w:rsidRPr="00D34D61">
        <w:rPr>
          <w:rFonts w:eastAsia="Palatino Linotype" w:cs="Palatino Linotype"/>
          <w:b/>
          <w:lang w:eastAsia="es-MX"/>
        </w:rPr>
        <w:t xml:space="preserve">Código bidimensional o </w:t>
      </w:r>
      <w:proofErr w:type="spellStart"/>
      <w:r w:rsidRPr="00D34D61">
        <w:rPr>
          <w:rFonts w:eastAsia="Palatino Linotype" w:cs="Palatino Linotype"/>
          <w:b/>
          <w:lang w:eastAsia="es-MX"/>
        </w:rPr>
        <w:t>Qr</w:t>
      </w:r>
      <w:proofErr w:type="spellEnd"/>
    </w:p>
    <w:p w14:paraId="59E97DAD" w14:textId="77777777" w:rsidR="00DA66BF" w:rsidRPr="00D34D61" w:rsidRDefault="00DA66BF" w:rsidP="00DA66BF">
      <w:pPr>
        <w:spacing w:after="0" w:line="360" w:lineRule="auto"/>
        <w:rPr>
          <w:rFonts w:eastAsia="Palatino Linotype" w:cs="Palatino Linotype"/>
          <w:b/>
          <w:lang w:eastAsia="es-MX"/>
        </w:rPr>
      </w:pPr>
    </w:p>
    <w:p w14:paraId="6D873827" w14:textId="77777777" w:rsidR="00DA66BF" w:rsidRPr="00D34D61" w:rsidRDefault="00DA66BF" w:rsidP="00DA66BF">
      <w:pPr>
        <w:spacing w:after="0" w:line="360" w:lineRule="auto"/>
        <w:rPr>
          <w:rFonts w:eastAsia="Palatino Linotype" w:cs="Palatino Linotype"/>
          <w:lang w:eastAsia="es-MX"/>
        </w:rPr>
      </w:pPr>
      <w:r w:rsidRPr="00D34D61">
        <w:rPr>
          <w:rFonts w:eastAsia="Palatino Linotype" w:cs="Palatino Linotype"/>
          <w:lang w:eastAsia="es-MX"/>
        </w:rPr>
        <w:t xml:space="preserve">En principio, resulta necesario señalar que los comprobantes fiscales digitales por Internet, deben de incluir un código bidimensional conforme al formato </w:t>
      </w:r>
      <w:r w:rsidRPr="00D34D61">
        <w:rPr>
          <w:rFonts w:eastAsia="Palatino Linotype" w:cs="Palatino Linotype"/>
          <w:i/>
          <w:lang w:eastAsia="es-MX"/>
        </w:rPr>
        <w:t xml:space="preserve">QR </w:t>
      </w:r>
      <w:proofErr w:type="spellStart"/>
      <w:r w:rsidRPr="00D34D61">
        <w:rPr>
          <w:rFonts w:eastAsia="Palatino Linotype" w:cs="Palatino Linotype"/>
          <w:i/>
          <w:lang w:eastAsia="es-MX"/>
        </w:rPr>
        <w:t>Code</w:t>
      </w:r>
      <w:proofErr w:type="spellEnd"/>
      <w:r w:rsidRPr="00D34D61">
        <w:rPr>
          <w:rFonts w:eastAsia="Palatino Linotype" w:cs="Palatino Linotype"/>
          <w:i/>
          <w:lang w:eastAsia="es-MX"/>
        </w:rPr>
        <w:t xml:space="preserve"> (Quick Response </w:t>
      </w:r>
      <w:proofErr w:type="spellStart"/>
      <w:r w:rsidRPr="00D34D61">
        <w:rPr>
          <w:rFonts w:eastAsia="Palatino Linotype" w:cs="Palatino Linotype"/>
          <w:i/>
          <w:lang w:eastAsia="es-MX"/>
        </w:rPr>
        <w:t>Code</w:t>
      </w:r>
      <w:proofErr w:type="spellEnd"/>
      <w:r w:rsidRPr="00D34D61">
        <w:rPr>
          <w:rFonts w:eastAsia="Palatino Linotype" w:cs="Palatino Linotype"/>
          <w:i/>
          <w:lang w:eastAsia="es-MX"/>
        </w:rPr>
        <w:t>)</w:t>
      </w:r>
      <w:r w:rsidRPr="00D34D61">
        <w:rPr>
          <w:rFonts w:eastAsia="Palatino Linotype" w:cs="Palatino Linotype"/>
          <w:lang w:eastAsia="es-MX"/>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8" w:history="1">
        <w:r w:rsidRPr="00D34D61">
          <w:rPr>
            <w:rStyle w:val="Hipervnculo"/>
            <w:rFonts w:eastAsia="Palatino Linotype" w:cs="Palatino Linotype"/>
            <w:color w:val="0563C1"/>
            <w:lang w:eastAsia="es-MX"/>
          </w:rPr>
          <w:t>http://dof.gob.mx/nota_detalle.php?codigo=5492254&amp;fecha=28/07/2017</w:t>
        </w:r>
      </w:hyperlink>
      <w:r w:rsidRPr="00D34D61">
        <w:rPr>
          <w:rFonts w:eastAsia="Palatino Linotype" w:cs="Palatino Linotype"/>
          <w:lang w:eastAsia="es-MX"/>
        </w:rPr>
        <w:t>. Incluso con la captura de dicho código, a través de la aplicación móvil del Servicio de Administración Tributaria, permite el acceso al Registro Federal de Contribuyentes, como del Sujeto Obligado, como de los servidores públicos.</w:t>
      </w:r>
    </w:p>
    <w:p w14:paraId="77822CFF" w14:textId="77777777" w:rsidR="00DA66BF" w:rsidRPr="00D34D61" w:rsidRDefault="00DA66BF" w:rsidP="00DA66BF">
      <w:pPr>
        <w:spacing w:after="0" w:line="360" w:lineRule="auto"/>
        <w:rPr>
          <w:rFonts w:eastAsia="Palatino Linotype" w:cs="Palatino Linotype"/>
          <w:lang w:eastAsia="es-MX"/>
        </w:rPr>
      </w:pPr>
    </w:p>
    <w:p w14:paraId="58052427" w14:textId="77777777" w:rsidR="00DA66BF" w:rsidRPr="00D34D61" w:rsidRDefault="00DA66BF" w:rsidP="00DA66BF">
      <w:pPr>
        <w:spacing w:after="0" w:line="360" w:lineRule="auto"/>
        <w:rPr>
          <w:rFonts w:eastAsia="Palatino Linotype" w:cs="Palatino Linotype"/>
          <w:lang w:eastAsia="es-MX"/>
        </w:rPr>
      </w:pPr>
      <w:r w:rsidRPr="00D34D61">
        <w:rPr>
          <w:rFonts w:eastAsia="Palatino Linotype" w:cs="Palatino Linotype"/>
          <w:lang w:eastAsia="es-MX"/>
        </w:rPr>
        <w:lastRenderedPageBreak/>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0EBFBAC6" w14:textId="77777777" w:rsidR="00DA66BF" w:rsidRPr="00D34D61" w:rsidRDefault="00DA66BF" w:rsidP="008F72BB">
      <w:pPr>
        <w:spacing w:after="0" w:line="360" w:lineRule="auto"/>
        <w:rPr>
          <w:rFonts w:eastAsia="Palatino Linotype" w:cs="Palatino Linotype"/>
          <w:lang w:eastAsia="es-MX"/>
        </w:rPr>
      </w:pPr>
    </w:p>
    <w:p w14:paraId="2883EF44" w14:textId="77777777" w:rsidR="00F46D07" w:rsidRPr="00D34D61" w:rsidRDefault="00F46D07" w:rsidP="008F72BB">
      <w:pPr>
        <w:numPr>
          <w:ilvl w:val="0"/>
          <w:numId w:val="39"/>
        </w:numPr>
        <w:spacing w:after="0" w:line="360" w:lineRule="auto"/>
        <w:rPr>
          <w:rFonts w:eastAsia="Palatino Linotype" w:cs="Palatino Linotype"/>
          <w:b/>
          <w:lang w:eastAsia="es-MX"/>
        </w:rPr>
      </w:pPr>
      <w:r w:rsidRPr="00D34D61">
        <w:rPr>
          <w:rFonts w:eastAsia="Palatino Linotype" w:cs="Palatino Linotype"/>
          <w:b/>
          <w:lang w:eastAsia="es-MX"/>
        </w:rPr>
        <w:t>Descuentos personales</w:t>
      </w:r>
    </w:p>
    <w:p w14:paraId="687ECA0F" w14:textId="77777777" w:rsidR="00F46D07" w:rsidRPr="00D34D61" w:rsidRDefault="00F46D07" w:rsidP="008F72BB">
      <w:pPr>
        <w:spacing w:after="0" w:line="360" w:lineRule="auto"/>
        <w:rPr>
          <w:rFonts w:eastAsia="Palatino Linotype" w:cs="Palatino Linotype"/>
          <w:b/>
          <w:lang w:eastAsia="es-MX"/>
        </w:rPr>
      </w:pPr>
    </w:p>
    <w:p w14:paraId="631A90CA" w14:textId="77777777" w:rsidR="00F46D07" w:rsidRPr="00D34D61" w:rsidRDefault="00F46D07" w:rsidP="008F72BB">
      <w:pPr>
        <w:spacing w:after="0" w:line="360" w:lineRule="auto"/>
        <w:rPr>
          <w:rFonts w:eastAsia="Palatino Linotype" w:cs="Palatino Linotype"/>
          <w:lang w:eastAsia="es-MX"/>
        </w:rPr>
      </w:pPr>
      <w:r w:rsidRPr="00D34D61">
        <w:rPr>
          <w:rFonts w:eastAsia="Palatino Linotype" w:cs="Palatino Linotype"/>
          <w:lang w:eastAsia="es-MX"/>
        </w:rPr>
        <w:t>Es necesario precisar que existen deducciones que se generan con motivo de una decisión libre y voluntaria de los servidores públicos, como son: créditos personales, cuotas sindicales, los fondos de resistencia, de mutualidad y de ahorro del Sindicato Único de Trabajadores de los Poderes, Municipios e Institución Descentralizadas del Estado de México, seguro de vida, accidentes y enfermedades.</w:t>
      </w:r>
    </w:p>
    <w:p w14:paraId="0D319271" w14:textId="77777777" w:rsidR="00F46D07" w:rsidRPr="00D34D61" w:rsidRDefault="00F46D07" w:rsidP="008F72BB">
      <w:pPr>
        <w:spacing w:after="0" w:line="360" w:lineRule="auto"/>
        <w:rPr>
          <w:rFonts w:eastAsia="Palatino Linotype" w:cs="Palatino Linotype"/>
          <w:lang w:eastAsia="es-MX"/>
        </w:rPr>
      </w:pPr>
    </w:p>
    <w:p w14:paraId="41CBB299" w14:textId="77777777" w:rsidR="00F46D07" w:rsidRPr="00D34D61" w:rsidRDefault="00F46D07" w:rsidP="008F72BB">
      <w:pPr>
        <w:spacing w:after="0" w:line="360" w:lineRule="auto"/>
        <w:rPr>
          <w:rFonts w:eastAsia="Palatino Linotype" w:cs="Palatino Linotype"/>
          <w:lang w:eastAsia="es-MX"/>
        </w:rPr>
      </w:pPr>
      <w:r w:rsidRPr="00D34D61">
        <w:rPr>
          <w:rFonts w:eastAsia="Palatino Linotype" w:cs="Palatino Linotype"/>
          <w:lang w:eastAsia="es-MX"/>
        </w:rPr>
        <w:t>Asimismo, hay otras que se generan con motivo de una sentencia judicial, como es la pensión alimenticia que periódicamente se retira de la cuenta de un empleado, a efecto de que sea entregado a un tercero.  </w:t>
      </w:r>
    </w:p>
    <w:p w14:paraId="3E8F5E3D" w14:textId="77777777" w:rsidR="00F46D07" w:rsidRPr="00D34D61" w:rsidRDefault="00F46D07" w:rsidP="008F72BB">
      <w:pPr>
        <w:spacing w:after="0" w:line="360" w:lineRule="auto"/>
        <w:rPr>
          <w:rFonts w:eastAsia="Palatino Linotype" w:cs="Palatino Linotype"/>
          <w:lang w:eastAsia="es-MX"/>
        </w:rPr>
      </w:pPr>
    </w:p>
    <w:p w14:paraId="1D1F2F04" w14:textId="77777777" w:rsidR="00F46D07" w:rsidRPr="00D34D61" w:rsidRDefault="00F46D07" w:rsidP="008F72BB">
      <w:pPr>
        <w:spacing w:after="0" w:line="360" w:lineRule="auto"/>
        <w:rPr>
          <w:rFonts w:eastAsia="Palatino Linotype" w:cs="Palatino Linotype"/>
          <w:lang w:eastAsia="es-MX"/>
        </w:rPr>
      </w:pPr>
      <w:r w:rsidRPr="00D34D61">
        <w:rPr>
          <w:rFonts w:eastAsia="Palatino Linotype" w:cs="Palatino Linotype"/>
          <w:lang w:eastAsia="es-MX"/>
        </w:rPr>
        <w:t>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505B72A9" w14:textId="77777777" w:rsidR="00F46D07" w:rsidRPr="00D34D61" w:rsidRDefault="00F46D07" w:rsidP="008F72BB">
      <w:pPr>
        <w:spacing w:after="0" w:line="360" w:lineRule="auto"/>
        <w:rPr>
          <w:rFonts w:eastAsia="Palatino Linotype" w:cs="Palatino Linotype"/>
          <w:lang w:eastAsia="es-MX"/>
        </w:rPr>
      </w:pPr>
    </w:p>
    <w:p w14:paraId="5F4A9ECD" w14:textId="77777777" w:rsidR="00F46D07" w:rsidRPr="00D34D61" w:rsidRDefault="00F46D07" w:rsidP="008F72BB">
      <w:pPr>
        <w:spacing w:after="0" w:line="360" w:lineRule="auto"/>
        <w:rPr>
          <w:rFonts w:eastAsia="Palatino Linotype" w:cs="Palatino Linotype"/>
          <w:b/>
          <w:lang w:eastAsia="es-MX"/>
        </w:rPr>
      </w:pPr>
      <w:r w:rsidRPr="00D34D61">
        <w:rPr>
          <w:rFonts w:eastAsia="Palatino Linotype" w:cs="Palatino Linotype"/>
          <w:lang w:eastAsia="es-MX"/>
        </w:rPr>
        <w:t xml:space="preserve">Así, dichas deducciones reflejan el destino que un servidor público da a su patrimonio y, por lo tanto, resulta procedente clasificar dichos datos, en el caso, que obren, en los documentos </w:t>
      </w:r>
      <w:r w:rsidRPr="00D34D61">
        <w:rPr>
          <w:rFonts w:eastAsia="Palatino Linotype" w:cs="Palatino Linotype"/>
          <w:lang w:eastAsia="es-MX"/>
        </w:rPr>
        <w:lastRenderedPageBreak/>
        <w:t>que dan cuenta de lo requerido, en términos del artículo 143, fracción I de la Ley de Transparencia y Acceso a la Información Pública del Estado de México y Municipios. Cabe precisar que, tanto en respuesta, como Informe Justificado, el Sujeto Obligado dejó visible las cuotas sindicales y los fondos de resistencia, de mutualidad y de ahorro del Sindicato Único de Trabajadores de los Poderes, Municipios e Institución Descentralizadas del Estado de México.</w:t>
      </w:r>
    </w:p>
    <w:p w14:paraId="63C6C245" w14:textId="77777777" w:rsidR="00F46D07" w:rsidRPr="00D34D61" w:rsidRDefault="00F46D07" w:rsidP="008F72BB">
      <w:pPr>
        <w:spacing w:after="0" w:line="360" w:lineRule="auto"/>
        <w:rPr>
          <w:rFonts w:eastAsia="Palatino Linotype" w:cs="Palatino Linotype"/>
          <w:lang w:eastAsia="es-MX"/>
        </w:rPr>
      </w:pPr>
    </w:p>
    <w:p w14:paraId="24441D81" w14:textId="33AF93BB" w:rsidR="00DA66BF" w:rsidRPr="00D34D61" w:rsidRDefault="00DA66BF" w:rsidP="00DA66BF">
      <w:pPr>
        <w:numPr>
          <w:ilvl w:val="0"/>
          <w:numId w:val="39"/>
        </w:numPr>
        <w:spacing w:after="0" w:line="360" w:lineRule="auto"/>
        <w:rPr>
          <w:rFonts w:eastAsia="Palatino Linotype" w:cs="Palatino Linotype"/>
          <w:lang w:eastAsia="es-MX"/>
        </w:rPr>
      </w:pPr>
      <w:r w:rsidRPr="00D34D61">
        <w:rPr>
          <w:rFonts w:eastAsia="Palatino Linotype" w:cs="Palatino Linotype"/>
          <w:b/>
          <w:lang w:eastAsia="es-MX"/>
        </w:rPr>
        <w:t>Sellos digitales del emisor y del Servicio de Administración Tributaria y cadena original del complemento de certificación digital del órgano previamente señalado; así como los respectivos números de serie de los certificados de</w:t>
      </w:r>
      <w:r w:rsidR="009C0DF7" w:rsidRPr="00D34D61">
        <w:rPr>
          <w:rFonts w:eastAsia="Palatino Linotype" w:cs="Palatino Linotype"/>
          <w:b/>
          <w:lang w:eastAsia="es-MX"/>
        </w:rPr>
        <w:t xml:space="preserve"> sellos digitales, folio fiscal</w:t>
      </w:r>
    </w:p>
    <w:p w14:paraId="1D2104A9" w14:textId="77777777" w:rsidR="00DA66BF" w:rsidRPr="00D34D61" w:rsidRDefault="00DA66BF" w:rsidP="008F72BB">
      <w:pPr>
        <w:spacing w:after="0" w:line="360" w:lineRule="auto"/>
        <w:rPr>
          <w:rFonts w:eastAsia="Palatino Linotype" w:cs="Palatino Linotype"/>
          <w:lang w:eastAsia="es-MX"/>
        </w:rPr>
      </w:pPr>
    </w:p>
    <w:p w14:paraId="34927F80" w14:textId="77777777" w:rsidR="00DA66BF" w:rsidRPr="00D34D61" w:rsidRDefault="00DA66BF" w:rsidP="00DA66BF">
      <w:pPr>
        <w:spacing w:after="0" w:line="360" w:lineRule="auto"/>
        <w:rPr>
          <w:rFonts w:eastAsia="Palatino Linotype" w:cs="Palatino Linotype"/>
          <w:lang w:eastAsia="es-MX"/>
        </w:rPr>
      </w:pPr>
      <w:r w:rsidRPr="00D34D61">
        <w:rPr>
          <w:rFonts w:eastAsia="Palatino Linotype" w:cs="Palatino Linotype"/>
          <w:lang w:eastAsia="es-MX"/>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7332281D" w14:textId="77777777" w:rsidR="00DA66BF" w:rsidRPr="00D34D61" w:rsidRDefault="00DA66BF" w:rsidP="00DA66BF">
      <w:pPr>
        <w:spacing w:after="0" w:line="360" w:lineRule="auto"/>
        <w:rPr>
          <w:rFonts w:eastAsia="Palatino Linotype" w:cs="Palatino Linotype"/>
          <w:lang w:eastAsia="es-MX"/>
        </w:rPr>
      </w:pPr>
      <w:r w:rsidRPr="00D34D61">
        <w:rPr>
          <w:rFonts w:eastAsia="Palatino Linotype" w:cs="Palatino Linotype"/>
          <w:lang w:eastAsia="es-MX"/>
        </w:rPr>
        <w:t> </w:t>
      </w:r>
    </w:p>
    <w:p w14:paraId="6639DFD6" w14:textId="77777777" w:rsidR="00DA66BF" w:rsidRPr="00D34D61" w:rsidRDefault="00DA66BF" w:rsidP="00DA66BF">
      <w:pPr>
        <w:spacing w:after="0" w:line="360" w:lineRule="auto"/>
        <w:rPr>
          <w:rFonts w:eastAsia="Palatino Linotype" w:cs="Palatino Linotype"/>
          <w:lang w:eastAsia="es-MX"/>
        </w:rPr>
      </w:pPr>
      <w:r w:rsidRPr="00D34D61">
        <w:rPr>
          <w:rFonts w:eastAsia="Palatino Linotype" w:cs="Palatino Linotype"/>
          <w:lang w:eastAsia="es-MX"/>
        </w:rPr>
        <w:t>Las cadenas originales y sellos que se agregan a las facturas</w:t>
      </w:r>
      <w:r w:rsidRPr="00D34D61">
        <w:rPr>
          <w:rFonts w:eastAsia="Palatino Linotype" w:cs="Palatino Linotype"/>
          <w:b/>
          <w:lang w:eastAsia="es-MX"/>
        </w:rPr>
        <w:t>,</w:t>
      </w:r>
      <w:r w:rsidRPr="00D34D61">
        <w:rPr>
          <w:rFonts w:eastAsia="Palatino Linotype" w:cs="Palatino Linotype"/>
          <w:lang w:eastAsia="es-MX"/>
        </w:rPr>
        <w:t xml:space="preserve"> tienen una secuencia de generación, determinados con base en el ANEXO 20 de la Segunda Resolución de </w:t>
      </w:r>
      <w:r w:rsidRPr="00D34D61">
        <w:rPr>
          <w:rFonts w:eastAsia="Palatino Linotype" w:cs="Palatino Linotype"/>
          <w:lang w:eastAsia="es-MX"/>
        </w:rPr>
        <w:lastRenderedPageBreak/>
        <w:t>modificaciones a la Resolución Miscelánea Fiscal para dos mil veintitrés, publicada en el Diario Oficial de la Federación el dieciocho de julio de dos mil diecisiete, que precisa los datos de los que se componen los elementos de seguridad y se puntualiza que dicha información está encriptada.</w:t>
      </w:r>
    </w:p>
    <w:p w14:paraId="554D05F5" w14:textId="77777777" w:rsidR="00DA66BF" w:rsidRPr="00D34D61" w:rsidRDefault="00DA66BF" w:rsidP="00DA66BF">
      <w:pPr>
        <w:spacing w:after="0" w:line="360" w:lineRule="auto"/>
        <w:rPr>
          <w:rFonts w:eastAsia="Palatino Linotype" w:cs="Palatino Linotype"/>
          <w:lang w:eastAsia="es-MX"/>
        </w:rPr>
      </w:pPr>
      <w:r w:rsidRPr="00D34D61">
        <w:rPr>
          <w:rFonts w:eastAsia="Palatino Linotype" w:cs="Palatino Linotype"/>
          <w:lang w:eastAsia="es-MX"/>
        </w:rPr>
        <w:t> </w:t>
      </w:r>
    </w:p>
    <w:p w14:paraId="06EA7374" w14:textId="77777777" w:rsidR="00DA66BF" w:rsidRPr="00D34D61" w:rsidRDefault="00DA66BF" w:rsidP="00DA66BF">
      <w:pPr>
        <w:spacing w:after="0" w:line="360" w:lineRule="auto"/>
        <w:ind w:left="567" w:right="539"/>
        <w:rPr>
          <w:rFonts w:eastAsia="Palatino Linotype" w:cs="Palatino Linotype"/>
          <w:i/>
          <w:sz w:val="20"/>
          <w:szCs w:val="20"/>
          <w:lang w:eastAsia="es-MX"/>
        </w:rPr>
      </w:pPr>
      <w:r w:rsidRPr="00D34D61">
        <w:rPr>
          <w:rFonts w:eastAsia="Palatino Linotype" w:cs="Palatino Linotype"/>
          <w:i/>
          <w:sz w:val="20"/>
          <w:szCs w:val="20"/>
          <w:lang w:eastAsia="es-MX"/>
        </w:rPr>
        <w:t>“…</w:t>
      </w:r>
    </w:p>
    <w:p w14:paraId="6B5BEEBF" w14:textId="77777777" w:rsidR="00DA66BF" w:rsidRPr="00D34D61" w:rsidRDefault="00DA66BF" w:rsidP="00DA66BF">
      <w:pPr>
        <w:spacing w:after="0" w:line="360" w:lineRule="auto"/>
        <w:ind w:left="567" w:right="539"/>
        <w:rPr>
          <w:rFonts w:eastAsia="Palatino Linotype" w:cs="Palatino Linotype"/>
          <w:i/>
          <w:sz w:val="20"/>
          <w:szCs w:val="20"/>
          <w:lang w:eastAsia="es-MX"/>
        </w:rPr>
      </w:pPr>
      <w:r w:rsidRPr="00D34D61">
        <w:rPr>
          <w:rFonts w:eastAsia="Palatino Linotype" w:cs="Palatino Linotype"/>
          <w:i/>
          <w:sz w:val="20"/>
          <w:szCs w:val="20"/>
          <w:lang w:eastAsia="es-MX"/>
        </w:rPr>
        <w:t>Elementos utilizados en la generación de Sellos Digitales:</w:t>
      </w:r>
    </w:p>
    <w:p w14:paraId="40E30BC6" w14:textId="77777777" w:rsidR="00DA66BF" w:rsidRPr="00D34D61" w:rsidRDefault="00DA66BF" w:rsidP="00DA66BF">
      <w:pPr>
        <w:spacing w:after="0" w:line="360" w:lineRule="auto"/>
        <w:ind w:left="567" w:right="539"/>
        <w:rPr>
          <w:rFonts w:eastAsia="Palatino Linotype" w:cs="Palatino Linotype"/>
          <w:i/>
          <w:sz w:val="20"/>
          <w:szCs w:val="20"/>
          <w:lang w:eastAsia="es-MX"/>
        </w:rPr>
      </w:pPr>
      <w:r w:rsidRPr="00D34D61">
        <w:rPr>
          <w:rFonts w:eastAsia="Palatino Linotype" w:cs="Palatino Linotype"/>
          <w:i/>
          <w:sz w:val="20"/>
          <w:szCs w:val="20"/>
          <w:lang w:eastAsia="es-MX"/>
        </w:rPr>
        <w:t>•</w:t>
      </w:r>
      <w:r w:rsidRPr="00D34D61">
        <w:rPr>
          <w:rFonts w:eastAsia="Palatino Linotype" w:cs="Palatino Linotype"/>
          <w:i/>
          <w:sz w:val="20"/>
          <w:szCs w:val="20"/>
          <w:lang w:eastAsia="es-MX"/>
        </w:rPr>
        <w:tab/>
        <w:t>Cadena Original, el elemento a sellar, en este caso de un comprobante fiscal digital a través de Internet.</w:t>
      </w:r>
    </w:p>
    <w:p w14:paraId="61478478" w14:textId="77777777" w:rsidR="00DA66BF" w:rsidRPr="00D34D61" w:rsidRDefault="00DA66BF" w:rsidP="00DA66BF">
      <w:pPr>
        <w:spacing w:after="0" w:line="360" w:lineRule="auto"/>
        <w:ind w:left="567" w:right="539"/>
        <w:rPr>
          <w:rFonts w:eastAsia="Palatino Linotype" w:cs="Palatino Linotype"/>
          <w:i/>
          <w:sz w:val="20"/>
          <w:szCs w:val="20"/>
          <w:lang w:eastAsia="es-MX"/>
        </w:rPr>
      </w:pPr>
      <w:r w:rsidRPr="00D34D61">
        <w:rPr>
          <w:rFonts w:eastAsia="Palatino Linotype" w:cs="Palatino Linotype"/>
          <w:i/>
          <w:sz w:val="20"/>
          <w:szCs w:val="20"/>
          <w:lang w:eastAsia="es-MX"/>
        </w:rPr>
        <w:t>•</w:t>
      </w:r>
      <w:r w:rsidRPr="00D34D61">
        <w:rPr>
          <w:rFonts w:eastAsia="Palatino Linotype" w:cs="Palatino Linotype"/>
          <w:i/>
          <w:sz w:val="20"/>
          <w:szCs w:val="20"/>
          <w:lang w:eastAsia="es-MX"/>
        </w:rPr>
        <w:tab/>
        <w:t>Certificado de Sello Digital y su correspondiente clave privada.</w:t>
      </w:r>
    </w:p>
    <w:p w14:paraId="0FB1CBC2" w14:textId="77777777" w:rsidR="00DA66BF" w:rsidRPr="00D34D61" w:rsidRDefault="00DA66BF" w:rsidP="00DA66BF">
      <w:pPr>
        <w:spacing w:after="0" w:line="360" w:lineRule="auto"/>
        <w:ind w:left="567" w:right="539"/>
        <w:rPr>
          <w:rFonts w:eastAsia="Palatino Linotype" w:cs="Palatino Linotype"/>
          <w:i/>
          <w:sz w:val="20"/>
          <w:szCs w:val="20"/>
          <w:lang w:eastAsia="es-MX"/>
        </w:rPr>
      </w:pPr>
      <w:r w:rsidRPr="00D34D61">
        <w:rPr>
          <w:rFonts w:eastAsia="Palatino Linotype" w:cs="Palatino Linotype"/>
          <w:i/>
          <w:sz w:val="20"/>
          <w:szCs w:val="20"/>
          <w:lang w:eastAsia="es-MX"/>
        </w:rPr>
        <w:t>•</w:t>
      </w:r>
      <w:r w:rsidRPr="00D34D61">
        <w:rPr>
          <w:rFonts w:eastAsia="Palatino Linotype" w:cs="Palatino Linotype"/>
          <w:i/>
          <w:sz w:val="20"/>
          <w:szCs w:val="20"/>
          <w:lang w:eastAsia="es-MX"/>
        </w:rPr>
        <w:tab/>
        <w:t>Algoritmos de criptografía de clave pública para firma electrónica avanzada.</w:t>
      </w:r>
    </w:p>
    <w:p w14:paraId="32E294FD" w14:textId="77777777" w:rsidR="00DA66BF" w:rsidRPr="00D34D61" w:rsidRDefault="00DA66BF" w:rsidP="00DA66BF">
      <w:pPr>
        <w:spacing w:after="0" w:line="360" w:lineRule="auto"/>
        <w:ind w:left="567" w:right="539"/>
        <w:rPr>
          <w:rFonts w:eastAsia="Palatino Linotype" w:cs="Palatino Linotype"/>
          <w:i/>
          <w:sz w:val="20"/>
          <w:szCs w:val="20"/>
          <w:lang w:eastAsia="es-MX"/>
        </w:rPr>
      </w:pPr>
      <w:r w:rsidRPr="00D34D61">
        <w:rPr>
          <w:rFonts w:eastAsia="Palatino Linotype" w:cs="Palatino Linotype"/>
          <w:i/>
          <w:sz w:val="20"/>
          <w:szCs w:val="20"/>
          <w:lang w:eastAsia="es-MX"/>
        </w:rPr>
        <w:t>•</w:t>
      </w:r>
      <w:r w:rsidRPr="00D34D61">
        <w:rPr>
          <w:rFonts w:eastAsia="Palatino Linotype" w:cs="Palatino Linotype"/>
          <w:i/>
          <w:sz w:val="20"/>
          <w:szCs w:val="20"/>
          <w:lang w:eastAsia="es-MX"/>
        </w:rPr>
        <w:tab/>
        <w:t>Especificaciones de conversión de la firma electrónica avanzada a Base 64.</w:t>
      </w:r>
    </w:p>
    <w:p w14:paraId="397A7AA3" w14:textId="77777777" w:rsidR="00DA66BF" w:rsidRPr="00D34D61" w:rsidRDefault="00DA66BF" w:rsidP="00DA66BF">
      <w:pPr>
        <w:spacing w:after="0" w:line="360" w:lineRule="auto"/>
        <w:ind w:left="567" w:right="539"/>
        <w:rPr>
          <w:rFonts w:eastAsia="Palatino Linotype" w:cs="Palatino Linotype"/>
          <w:i/>
          <w:sz w:val="20"/>
          <w:szCs w:val="20"/>
          <w:lang w:eastAsia="es-MX"/>
        </w:rPr>
      </w:pPr>
      <w:r w:rsidRPr="00D34D61">
        <w:rPr>
          <w:rFonts w:eastAsia="Palatino Linotype" w:cs="Palatino Linotype"/>
          <w:i/>
          <w:sz w:val="20"/>
          <w:szCs w:val="20"/>
          <w:lang w:eastAsia="es-MX"/>
        </w:rPr>
        <w:t>Para la generación de sellos digitales se utiliza criptografía de clave pública aplicada a una cadena original.</w:t>
      </w:r>
    </w:p>
    <w:p w14:paraId="2ABF990E" w14:textId="77777777" w:rsidR="00DA66BF" w:rsidRPr="00D34D61" w:rsidRDefault="00DA66BF" w:rsidP="00DA66BF">
      <w:pPr>
        <w:spacing w:after="0" w:line="360" w:lineRule="auto"/>
        <w:ind w:left="567" w:right="539"/>
        <w:rPr>
          <w:rFonts w:eastAsia="Palatino Linotype" w:cs="Palatino Linotype"/>
          <w:i/>
          <w:sz w:val="20"/>
          <w:szCs w:val="20"/>
          <w:lang w:eastAsia="es-MX"/>
        </w:rPr>
      </w:pPr>
      <w:r w:rsidRPr="00D34D61">
        <w:rPr>
          <w:rFonts w:eastAsia="Palatino Linotype" w:cs="Palatino Linotype"/>
          <w:i/>
          <w:sz w:val="20"/>
          <w:szCs w:val="20"/>
          <w:lang w:eastAsia="es-MX"/>
        </w:rPr>
        <w:t>Criptografía de la Clave Pública</w:t>
      </w:r>
    </w:p>
    <w:p w14:paraId="135F7FC3" w14:textId="77777777" w:rsidR="00DA66BF" w:rsidRPr="00D34D61" w:rsidRDefault="00DA66BF" w:rsidP="00DA66BF">
      <w:pPr>
        <w:spacing w:after="0" w:line="360" w:lineRule="auto"/>
        <w:ind w:left="567" w:right="539"/>
        <w:rPr>
          <w:rFonts w:eastAsia="Palatino Linotype" w:cs="Palatino Linotype"/>
          <w:i/>
          <w:sz w:val="20"/>
          <w:szCs w:val="20"/>
          <w:lang w:eastAsia="es-MX"/>
        </w:rPr>
      </w:pPr>
      <w:r w:rsidRPr="00D34D61">
        <w:rPr>
          <w:rFonts w:eastAsia="Palatino Linotype" w:cs="Palatino Linotype"/>
          <w:i/>
          <w:sz w:val="20"/>
          <w:szCs w:val="20"/>
          <w:lang w:eastAsia="es-MX"/>
        </w:rPr>
        <w:t xml:space="preserve">La criptografía de Clave Pública se basa en la generación de una pareja de números muy grandes relacionados íntimamente entre sí, de tal manera que una operación de </w:t>
      </w:r>
      <w:proofErr w:type="spellStart"/>
      <w:r w:rsidRPr="00D34D61">
        <w:rPr>
          <w:rFonts w:eastAsia="Palatino Linotype" w:cs="Palatino Linotype"/>
          <w:i/>
          <w:sz w:val="20"/>
          <w:szCs w:val="20"/>
          <w:lang w:eastAsia="es-MX"/>
        </w:rPr>
        <w:t>encripción</w:t>
      </w:r>
      <w:proofErr w:type="spellEnd"/>
      <w:r w:rsidRPr="00D34D61">
        <w:rPr>
          <w:rFonts w:eastAsia="Palatino Linotype" w:cs="Palatino Linotype"/>
          <w:i/>
          <w:sz w:val="20"/>
          <w:szCs w:val="20"/>
          <w:lang w:eastAsia="es-MX"/>
        </w:rPr>
        <w:t xml:space="preserve"> sobre un mensaje tomando como clave de </w:t>
      </w:r>
      <w:proofErr w:type="spellStart"/>
      <w:r w:rsidRPr="00D34D61">
        <w:rPr>
          <w:rFonts w:eastAsia="Palatino Linotype" w:cs="Palatino Linotype"/>
          <w:i/>
          <w:sz w:val="20"/>
          <w:szCs w:val="20"/>
          <w:lang w:eastAsia="es-MX"/>
        </w:rPr>
        <w:t>encripción</w:t>
      </w:r>
      <w:proofErr w:type="spellEnd"/>
      <w:r w:rsidRPr="00D34D61">
        <w:rPr>
          <w:rFonts w:eastAsia="Palatino Linotype" w:cs="Palatino Linotype"/>
          <w:i/>
          <w:sz w:val="20"/>
          <w:szCs w:val="20"/>
          <w:lang w:eastAsia="es-MX"/>
        </w:rPr>
        <w:t xml:space="preserve"> a uno de los dos números, produce un mensaje alterado en su significado que solo puede ser devuelto a su estado original mediante la operación de </w:t>
      </w:r>
      <w:proofErr w:type="spellStart"/>
      <w:r w:rsidRPr="00D34D61">
        <w:rPr>
          <w:rFonts w:eastAsia="Palatino Linotype" w:cs="Palatino Linotype"/>
          <w:i/>
          <w:sz w:val="20"/>
          <w:szCs w:val="20"/>
          <w:lang w:eastAsia="es-MX"/>
        </w:rPr>
        <w:t>desencripción</w:t>
      </w:r>
      <w:proofErr w:type="spellEnd"/>
      <w:r w:rsidRPr="00D34D61">
        <w:rPr>
          <w:rFonts w:eastAsia="Palatino Linotype" w:cs="Palatino Linotype"/>
          <w:i/>
          <w:sz w:val="20"/>
          <w:szCs w:val="20"/>
          <w:lang w:eastAsia="es-MX"/>
        </w:rPr>
        <w:t xml:space="preserve"> correspondiente tomando como clave de </w:t>
      </w:r>
      <w:proofErr w:type="spellStart"/>
      <w:r w:rsidRPr="00D34D61">
        <w:rPr>
          <w:rFonts w:eastAsia="Palatino Linotype" w:cs="Palatino Linotype"/>
          <w:i/>
          <w:sz w:val="20"/>
          <w:szCs w:val="20"/>
          <w:lang w:eastAsia="es-MX"/>
        </w:rPr>
        <w:t>desencripción</w:t>
      </w:r>
      <w:proofErr w:type="spellEnd"/>
      <w:r w:rsidRPr="00D34D61">
        <w:rPr>
          <w:rFonts w:eastAsia="Palatino Linotype" w:cs="Palatino Linotype"/>
          <w:i/>
          <w:sz w:val="20"/>
          <w:szCs w:val="20"/>
          <w:lang w:eastAsia="es-MX"/>
        </w:rPr>
        <w:t xml:space="preserve"> al otro número de la pareja.</w:t>
      </w:r>
    </w:p>
    <w:p w14:paraId="51B50EDE" w14:textId="77777777" w:rsidR="00DA66BF" w:rsidRPr="00D34D61" w:rsidRDefault="00DA66BF" w:rsidP="00DA66BF">
      <w:pPr>
        <w:spacing w:after="0" w:line="360" w:lineRule="auto"/>
        <w:ind w:left="567" w:right="539"/>
        <w:rPr>
          <w:rFonts w:eastAsia="Palatino Linotype" w:cs="Palatino Linotype"/>
          <w:i/>
          <w:sz w:val="20"/>
          <w:szCs w:val="20"/>
          <w:lang w:eastAsia="es-MX"/>
        </w:rPr>
      </w:pPr>
      <w:r w:rsidRPr="00D34D61">
        <w:rPr>
          <w:rFonts w:eastAsia="Palatino Linotype" w:cs="Palatino Linotype"/>
          <w:i/>
          <w:sz w:val="20"/>
          <w:szCs w:val="20"/>
          <w:lang w:eastAsia="es-MX"/>
        </w:rPr>
        <w:t>…”</w:t>
      </w:r>
    </w:p>
    <w:p w14:paraId="2A0828E0" w14:textId="77777777" w:rsidR="00DA66BF" w:rsidRPr="00D34D61" w:rsidRDefault="00DA66BF" w:rsidP="00DA66BF">
      <w:pPr>
        <w:spacing w:after="0" w:line="360" w:lineRule="auto"/>
        <w:rPr>
          <w:rFonts w:eastAsia="Palatino Linotype" w:cs="Palatino Linotype"/>
          <w:lang w:eastAsia="es-MX"/>
        </w:rPr>
      </w:pPr>
      <w:r w:rsidRPr="00D34D61">
        <w:rPr>
          <w:rFonts w:eastAsia="Palatino Linotype" w:cs="Palatino Linotype"/>
          <w:lang w:eastAsia="es-MX"/>
        </w:rPr>
        <w:t> </w:t>
      </w:r>
    </w:p>
    <w:p w14:paraId="1614E521" w14:textId="77777777" w:rsidR="00DA66BF" w:rsidRPr="00D34D61" w:rsidRDefault="00DA66BF" w:rsidP="00DA66BF">
      <w:pPr>
        <w:spacing w:after="0" w:line="360" w:lineRule="auto"/>
        <w:rPr>
          <w:rFonts w:eastAsia="Palatino Linotype" w:cs="Palatino Linotype"/>
          <w:lang w:eastAsia="es-MX"/>
        </w:rPr>
      </w:pPr>
      <w:r w:rsidRPr="00D34D61">
        <w:rPr>
          <w:rFonts w:eastAsia="Palatino Linotype" w:cs="Palatino Linotype"/>
          <w:lang w:eastAsia="es-MX"/>
        </w:rPr>
        <w:t>Es decir, por sí solos las cadenas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r w:rsidRPr="00D34D61">
        <w:rPr>
          <w:rFonts w:eastAsia="Calibri" w:cs="Times New Roman"/>
        </w:rPr>
        <w:t xml:space="preserve"> </w:t>
      </w:r>
      <w:r w:rsidRPr="00D34D61">
        <w:rPr>
          <w:rFonts w:eastAsia="Palatino Linotype" w:cs="Palatino Linotype"/>
          <w:lang w:eastAsia="es-MX"/>
        </w:rPr>
        <w:t xml:space="preserve">Por otra parte, por lo que hace al número de serie de los certificados de Sello </w:t>
      </w:r>
      <w:r w:rsidRPr="00D34D61">
        <w:rPr>
          <w:rFonts w:eastAsia="Palatino Linotype" w:cs="Palatino Linotype"/>
          <w:lang w:eastAsia="es-MX"/>
        </w:rPr>
        <w:lastRenderedPageBreak/>
        <w:t xml:space="preserve">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cuatro de septiembre de dos mil veinticuatro, a las once horas con diez minutos, en la página electrónica </w:t>
      </w:r>
      <w:hyperlink r:id="rId19" w:history="1">
        <w:r w:rsidRPr="00D34D61">
          <w:rPr>
            <w:rFonts w:eastAsia="Calibri" w:cs="Times New Roman"/>
            <w:color w:val="0563C1" w:themeColor="hyperlink"/>
            <w:u w:val="single"/>
            <w:lang w:eastAsia="es-MX"/>
          </w:rPr>
          <w:t>https://portalanterior.ine.mx/archivos2/tutoriales/sistemas/ApoyoInstitucional/SIF/docs/candidatos/folioFiscalFactura.pdf</w:t>
        </w:r>
      </w:hyperlink>
      <w:r w:rsidRPr="00D34D61">
        <w:rPr>
          <w:rFonts w:eastAsia="Palatino Linotype" w:cs="Palatino Linotype"/>
          <w:lang w:eastAsia="es-MX"/>
        </w:rPr>
        <w:t>), en la cual se advierte que únicamente se encuentra conformado por números, se muestra a continuación:</w:t>
      </w:r>
    </w:p>
    <w:p w14:paraId="3AA6EEF7" w14:textId="77777777" w:rsidR="00DA66BF" w:rsidRPr="00D34D61" w:rsidRDefault="00DA66BF" w:rsidP="00DA66BF">
      <w:pPr>
        <w:spacing w:after="0" w:line="360" w:lineRule="auto"/>
        <w:rPr>
          <w:rFonts w:eastAsia="Palatino Linotype" w:cs="Palatino Linotype"/>
          <w:lang w:eastAsia="es-MX"/>
        </w:rPr>
      </w:pPr>
    </w:p>
    <w:p w14:paraId="312A5A9D" w14:textId="77777777" w:rsidR="00DA66BF" w:rsidRPr="00D34D61" w:rsidRDefault="00DA66BF" w:rsidP="00DA66BF">
      <w:pPr>
        <w:spacing w:after="0" w:line="360" w:lineRule="auto"/>
        <w:jc w:val="center"/>
        <w:rPr>
          <w:rFonts w:eastAsia="Palatino Linotype" w:cs="Palatino Linotype"/>
          <w:lang w:eastAsia="es-MX"/>
        </w:rPr>
      </w:pPr>
      <w:r w:rsidRPr="00D34D61">
        <w:rPr>
          <w:rFonts w:eastAsia="Palatino Linotype" w:cs="Palatino Linotype"/>
          <w:noProof/>
          <w:lang w:eastAsia="es-MX"/>
        </w:rPr>
        <w:drawing>
          <wp:inline distT="0" distB="0" distL="0" distR="0" wp14:anchorId="3129518C" wp14:editId="192A2681">
            <wp:extent cx="4619625" cy="914400"/>
            <wp:effectExtent l="0" t="0" r="9525" b="0"/>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9625" cy="914400"/>
                    </a:xfrm>
                    <a:prstGeom prst="rect">
                      <a:avLst/>
                    </a:prstGeom>
                    <a:noFill/>
                    <a:ln>
                      <a:noFill/>
                    </a:ln>
                  </pic:spPr>
                </pic:pic>
              </a:graphicData>
            </a:graphic>
          </wp:inline>
        </w:drawing>
      </w:r>
    </w:p>
    <w:p w14:paraId="40E30D8E" w14:textId="77777777" w:rsidR="00DA66BF" w:rsidRPr="00D34D61" w:rsidRDefault="00DA66BF" w:rsidP="00DA66BF">
      <w:pPr>
        <w:tabs>
          <w:tab w:val="left" w:pos="4962"/>
        </w:tabs>
        <w:spacing w:after="0" w:line="360" w:lineRule="auto"/>
        <w:rPr>
          <w:rFonts w:eastAsia="Palatino Linotype" w:cs="Palatino Linotype"/>
          <w:color w:val="000000"/>
          <w:lang w:eastAsia="es-MX"/>
        </w:rPr>
      </w:pPr>
    </w:p>
    <w:p w14:paraId="618BD63A" w14:textId="77777777" w:rsidR="00DA66BF" w:rsidRPr="00D34D61" w:rsidRDefault="00DA66BF" w:rsidP="00DA66BF">
      <w:pPr>
        <w:spacing w:after="0" w:line="360" w:lineRule="auto"/>
        <w:rPr>
          <w:rFonts w:eastAsia="Palatino Linotype" w:cs="Palatino Linotype"/>
          <w:color w:val="000000"/>
          <w:lang w:eastAsia="es-MX"/>
        </w:rPr>
      </w:pPr>
      <w:r w:rsidRPr="00D34D61">
        <w:rPr>
          <w:rFonts w:eastAsia="Palatino Linotype" w:cs="Palatino Linotype"/>
          <w:color w:val="000000"/>
          <w:lang w:eastAsia="es-MX"/>
        </w:rPr>
        <w:t>Como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4CA66083" w14:textId="77777777" w:rsidR="00DA66BF" w:rsidRPr="00D34D61" w:rsidRDefault="00DA66BF" w:rsidP="00DA66BF">
      <w:pPr>
        <w:spacing w:after="0" w:line="360" w:lineRule="auto"/>
        <w:rPr>
          <w:rFonts w:eastAsia="Palatino Linotype" w:cs="Palatino Linotype"/>
          <w:color w:val="000000"/>
          <w:lang w:eastAsia="es-MX"/>
        </w:rPr>
      </w:pPr>
    </w:p>
    <w:p w14:paraId="25D15B95" w14:textId="77777777" w:rsidR="00DA66BF" w:rsidRPr="00D34D61" w:rsidRDefault="00DA66BF" w:rsidP="00DA66BF">
      <w:pPr>
        <w:spacing w:after="0" w:line="360" w:lineRule="auto"/>
        <w:rPr>
          <w:rFonts w:eastAsia="Palatino Linotype" w:cs="Palatino Linotype"/>
          <w:color w:val="000000"/>
          <w:lang w:eastAsia="es-MX"/>
        </w:rPr>
      </w:pPr>
      <w:r w:rsidRPr="00D34D61">
        <w:rPr>
          <w:rFonts w:eastAsia="Palatino Linotype" w:cs="Palatino Linotype"/>
          <w:color w:val="000000"/>
          <w:lang w:eastAsia="es-MX"/>
        </w:rPr>
        <w:t xml:space="preserve">Ahora bien, por lo que hace </w:t>
      </w:r>
      <w:r w:rsidRPr="00D34D61">
        <w:rPr>
          <w:rFonts w:eastAsia="Palatino Linotype" w:cs="Palatino Linotype"/>
          <w:b/>
          <w:bCs/>
          <w:color w:val="000000"/>
          <w:lang w:eastAsia="es-MX"/>
        </w:rPr>
        <w:t>Folio Fiscal,</w:t>
      </w:r>
      <w:r w:rsidRPr="00D34D61">
        <w:rPr>
          <w:rFonts w:eastAsia="Palatino Linotype" w:cs="Palatino Linotype"/>
          <w:color w:val="000000"/>
          <w:lang w:eastAsia="es-MX"/>
        </w:rPr>
        <w:t xml:space="preserve">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w:t>
      </w:r>
      <w:r w:rsidRPr="00D34D61">
        <w:rPr>
          <w:rFonts w:eastAsia="Palatino Linotype" w:cs="Palatino Linotype"/>
          <w:color w:val="000000"/>
          <w:lang w:eastAsia="es-MX"/>
        </w:rPr>
        <w:lastRenderedPageBreak/>
        <w:t>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6BB31C5F" w14:textId="77777777" w:rsidR="00DA66BF" w:rsidRPr="00D34D61" w:rsidRDefault="00DA66BF" w:rsidP="00DA66BF">
      <w:pPr>
        <w:spacing w:after="0" w:line="360" w:lineRule="auto"/>
        <w:rPr>
          <w:rFonts w:eastAsia="Palatino Linotype" w:cs="Palatino Linotype"/>
          <w:color w:val="000000"/>
          <w:lang w:eastAsia="es-MX"/>
        </w:rPr>
      </w:pPr>
      <w:r w:rsidRPr="00D34D61">
        <w:rPr>
          <w:rFonts w:eastAsia="Palatino Linotype" w:cs="Palatino Linotype"/>
          <w:color w:val="000000"/>
          <w:lang w:eastAsia="es-MX"/>
        </w:rPr>
        <w:t xml:space="preserve"> </w:t>
      </w:r>
    </w:p>
    <w:p w14:paraId="51546006" w14:textId="77777777" w:rsidR="00DA66BF" w:rsidRPr="00D34D61" w:rsidRDefault="00DA66BF" w:rsidP="00DA66BF">
      <w:pPr>
        <w:spacing w:after="0" w:line="360" w:lineRule="auto"/>
        <w:jc w:val="center"/>
        <w:rPr>
          <w:rFonts w:eastAsia="Palatino Linotype" w:cs="Palatino Linotype"/>
          <w:color w:val="000000"/>
          <w:lang w:eastAsia="es-MX"/>
        </w:rPr>
      </w:pPr>
      <w:r w:rsidRPr="00D34D61">
        <w:rPr>
          <w:rFonts w:eastAsia="Palatino Linotype" w:cs="Palatino Linotype"/>
          <w:noProof/>
          <w:color w:val="000000"/>
          <w:lang w:eastAsia="es-MX"/>
        </w:rPr>
        <w:drawing>
          <wp:inline distT="0" distB="0" distL="0" distR="0" wp14:anchorId="0113D0A6" wp14:editId="7038231A">
            <wp:extent cx="4438650" cy="1028700"/>
            <wp:effectExtent l="0" t="0" r="0" b="0"/>
            <wp:docPr id="9387170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8650" cy="1028700"/>
                    </a:xfrm>
                    <a:prstGeom prst="rect">
                      <a:avLst/>
                    </a:prstGeom>
                    <a:noFill/>
                    <a:ln>
                      <a:noFill/>
                    </a:ln>
                  </pic:spPr>
                </pic:pic>
              </a:graphicData>
            </a:graphic>
          </wp:inline>
        </w:drawing>
      </w:r>
    </w:p>
    <w:p w14:paraId="2CF4953B" w14:textId="77777777" w:rsidR="00DA66BF" w:rsidRPr="00D34D61" w:rsidRDefault="00DA66BF" w:rsidP="00DA66BF">
      <w:pPr>
        <w:spacing w:after="0" w:line="360" w:lineRule="auto"/>
        <w:rPr>
          <w:rFonts w:eastAsia="Palatino Linotype" w:cs="Palatino Linotype"/>
          <w:color w:val="000000"/>
          <w:lang w:eastAsia="es-MX"/>
        </w:rPr>
      </w:pPr>
    </w:p>
    <w:p w14:paraId="3E0DC41D" w14:textId="77777777" w:rsidR="00DA66BF" w:rsidRPr="00D34D61" w:rsidRDefault="00DA66BF" w:rsidP="00DA66BF">
      <w:pPr>
        <w:spacing w:after="0" w:line="360" w:lineRule="auto"/>
        <w:rPr>
          <w:rFonts w:eastAsia="Palatino Linotype" w:cs="Palatino Linotype"/>
          <w:color w:val="000000"/>
          <w:lang w:eastAsia="es-MX"/>
        </w:rPr>
      </w:pPr>
      <w:r w:rsidRPr="00D34D61">
        <w:rPr>
          <w:rFonts w:eastAsia="Palatino Linotype" w:cs="Palatino Linotype"/>
          <w:color w:val="000000"/>
          <w:lang w:eastAsia="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6B825488" w14:textId="77777777" w:rsidR="00DA66BF" w:rsidRPr="00D34D61" w:rsidRDefault="00DA66BF" w:rsidP="008F72BB">
      <w:pPr>
        <w:spacing w:after="0" w:line="360" w:lineRule="auto"/>
        <w:rPr>
          <w:rFonts w:eastAsia="Palatino Linotype" w:cs="Palatino Linotype"/>
          <w:lang w:eastAsia="es-MX"/>
        </w:rPr>
      </w:pPr>
    </w:p>
    <w:p w14:paraId="116AC8D2" w14:textId="62A5DB55" w:rsidR="005F66FA" w:rsidRPr="00D34D61" w:rsidRDefault="00F46D07" w:rsidP="008F72BB">
      <w:pPr>
        <w:tabs>
          <w:tab w:val="left" w:pos="4962"/>
        </w:tabs>
        <w:spacing w:after="0" w:line="360" w:lineRule="auto"/>
        <w:rPr>
          <w:rFonts w:eastAsia="Palatino Linotype" w:cs="Palatino Linotype"/>
          <w:lang w:eastAsia="es-MX"/>
        </w:rPr>
      </w:pPr>
      <w:r w:rsidRPr="00D34D61">
        <w:rPr>
          <w:rFonts w:eastAsia="Palatino Linotype" w:cs="Palatino Linotype"/>
          <w:lang w:eastAsia="es-MX"/>
        </w:rPr>
        <w:t xml:space="preserve">Así, este Instituto considera que el Sujeto Obligado deberá proporcionar los documentos solicitados en versión pública; sobre dicha circunstancia, el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Para tal situación, el Sujeto Obligado deberá seguir el procedimiento </w:t>
      </w:r>
      <w:r w:rsidRPr="00D34D61">
        <w:rPr>
          <w:rFonts w:eastAsia="Palatino Linotype" w:cs="Palatino Linotype"/>
          <w:lang w:eastAsia="es-MX"/>
        </w:rPr>
        <w:lastRenderedPageBreak/>
        <w:t>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34ED85BA" w14:textId="77777777" w:rsidR="002A0B3A" w:rsidRPr="00D34D61" w:rsidRDefault="002A0B3A" w:rsidP="008F72BB">
      <w:pPr>
        <w:spacing w:after="0" w:line="360" w:lineRule="auto"/>
        <w:rPr>
          <w:rFonts w:eastAsia="Times New Roman" w:cs="Tahoma"/>
          <w:iCs/>
          <w:lang w:eastAsia="es-ES"/>
        </w:rPr>
      </w:pPr>
    </w:p>
    <w:p w14:paraId="0F79C929" w14:textId="77777777" w:rsidR="00BC7FA2" w:rsidRPr="00D34D61" w:rsidRDefault="00BC7FA2" w:rsidP="008F72BB">
      <w:pPr>
        <w:spacing w:after="0" w:line="360" w:lineRule="auto"/>
        <w:rPr>
          <w:rFonts w:eastAsia="Palatino Linotype" w:cs="Palatino Linotype"/>
          <w:bCs/>
          <w:color w:val="auto"/>
          <w:lang w:val="es-ES" w:eastAsia="es-MX"/>
        </w:rPr>
      </w:pPr>
      <w:r w:rsidRPr="00D34D61">
        <w:rPr>
          <w:rFonts w:eastAsia="Palatino Linotype" w:cs="Palatino Linotype"/>
          <w:bCs/>
          <w:color w:val="auto"/>
          <w:lang w:val="es-ES" w:eastAsia="es-MX"/>
        </w:rPr>
        <w:t xml:space="preserve">Finalmente, se la hace del conocimiento al Particular que el Recurso de Revisión no es la vía para interponer denuncias en contra de los Servidores Públicos y la presente resolución no tiene por objetivo investigar y determinar si el Sujeto Obligado actuó con negligencia o mala fe, por lo que se dejan a salvo los derechos del Particular, para que dé así requerirlo, presente la queja o denuncia, ante la autoridad competente. </w:t>
      </w:r>
    </w:p>
    <w:p w14:paraId="0FDC3F6C" w14:textId="77777777" w:rsidR="00BC7FA2" w:rsidRPr="00D34D61" w:rsidRDefault="00BC7FA2" w:rsidP="008F72BB">
      <w:pPr>
        <w:spacing w:after="0" w:line="360" w:lineRule="auto"/>
        <w:rPr>
          <w:rFonts w:eastAsia="Times New Roman" w:cs="Tahoma"/>
          <w:iCs/>
          <w:lang w:eastAsia="es-ES"/>
        </w:rPr>
      </w:pPr>
    </w:p>
    <w:p w14:paraId="172FFE0D" w14:textId="7EB5280D" w:rsidR="002A0B3A" w:rsidRPr="00D34D61" w:rsidRDefault="002A0B3A" w:rsidP="008F72BB">
      <w:pPr>
        <w:pStyle w:val="Ttulo2"/>
        <w:spacing w:before="0" w:line="360" w:lineRule="auto"/>
        <w:rPr>
          <w:rFonts w:ascii="Palatino Linotype" w:eastAsia="Calibri" w:hAnsi="Palatino Linotype"/>
          <w:b/>
          <w:color w:val="000000" w:themeColor="text1"/>
          <w:sz w:val="22"/>
          <w:szCs w:val="22"/>
        </w:rPr>
      </w:pPr>
      <w:bookmarkStart w:id="18" w:name="_Toc189676781"/>
      <w:r w:rsidRPr="00D34D61">
        <w:rPr>
          <w:rFonts w:ascii="Palatino Linotype" w:eastAsia="Calibri" w:hAnsi="Palatino Linotype"/>
          <w:b/>
          <w:color w:val="000000" w:themeColor="text1"/>
          <w:sz w:val="22"/>
          <w:szCs w:val="22"/>
        </w:rPr>
        <w:t>SEXTO. Decisión</w:t>
      </w:r>
      <w:bookmarkEnd w:id="18"/>
    </w:p>
    <w:p w14:paraId="2731E528" w14:textId="77777777" w:rsidR="002A0B3A" w:rsidRPr="00D34D61" w:rsidRDefault="002A0B3A" w:rsidP="008F72BB">
      <w:pPr>
        <w:spacing w:after="0" w:line="360" w:lineRule="auto"/>
        <w:contextualSpacing/>
        <w:rPr>
          <w:rFonts w:eastAsia="Calibri" w:cs="Tahoma"/>
          <w:b/>
          <w:color w:val="auto"/>
        </w:rPr>
      </w:pPr>
    </w:p>
    <w:p w14:paraId="676487A9" w14:textId="5A28B06B" w:rsidR="00BC7FA2" w:rsidRPr="00D34D61" w:rsidRDefault="00BC7FA2" w:rsidP="008F72BB">
      <w:pPr>
        <w:spacing w:after="0" w:line="360" w:lineRule="auto"/>
        <w:ind w:right="-93"/>
        <w:rPr>
          <w:rFonts w:eastAsia="Palatino Linotype" w:cs="Palatino Linotype"/>
          <w:color w:val="000000"/>
          <w:lang w:eastAsia="es-MX"/>
        </w:rPr>
      </w:pPr>
      <w:r w:rsidRPr="00D34D61">
        <w:rPr>
          <w:rFonts w:eastAsia="Palatino Linotype" w:cs="Palatino Linotype"/>
          <w:lang w:eastAsia="es-MX"/>
        </w:rPr>
        <w:t xml:space="preserve">Con fundamento en el artículo 186, fracción III, de la Ley de Transparencia y Acceso a la Información Pública del Estado de México y Municipios, este Instituto considera procedente </w:t>
      </w:r>
      <w:r w:rsidR="00DA412B" w:rsidRPr="00D34D61">
        <w:rPr>
          <w:rFonts w:eastAsia="Palatino Linotype" w:cs="Palatino Linotype"/>
          <w:b/>
          <w:lang w:eastAsia="es-MX"/>
        </w:rPr>
        <w:t>REVO</w:t>
      </w:r>
      <w:r w:rsidRPr="00D34D61">
        <w:rPr>
          <w:rFonts w:eastAsia="Palatino Linotype" w:cs="Palatino Linotype"/>
          <w:b/>
          <w:lang w:eastAsia="es-MX"/>
        </w:rPr>
        <w:t xml:space="preserve">CAR </w:t>
      </w:r>
      <w:r w:rsidRPr="00D34D61">
        <w:rPr>
          <w:rFonts w:eastAsia="Palatino Linotype" w:cs="Palatino Linotype"/>
          <w:color w:val="000000"/>
          <w:lang w:eastAsia="es-MX"/>
        </w:rPr>
        <w:t xml:space="preserve">la respuesta otorgada a la solicitud de información, toda vez que el Sujeto Obligado, omitió entregar la información solicitada. </w:t>
      </w:r>
    </w:p>
    <w:p w14:paraId="329AC632" w14:textId="77777777" w:rsidR="002A0B3A" w:rsidRPr="00D34D61" w:rsidRDefault="002A0B3A" w:rsidP="008F72BB">
      <w:pPr>
        <w:spacing w:after="0" w:line="360" w:lineRule="auto"/>
        <w:contextualSpacing/>
        <w:rPr>
          <w:rFonts w:eastAsia="Times New Roman" w:cs="Tahoma"/>
          <w:color w:val="auto"/>
          <w:szCs w:val="24"/>
          <w:lang w:val="es-ES" w:eastAsia="es-ES"/>
        </w:rPr>
      </w:pPr>
    </w:p>
    <w:p w14:paraId="76B23D88" w14:textId="052A9065" w:rsidR="002A0B3A" w:rsidRPr="00D34D61" w:rsidRDefault="002A0B3A" w:rsidP="008F72BB">
      <w:pPr>
        <w:spacing w:after="0" w:line="360" w:lineRule="auto"/>
        <w:contextualSpacing/>
        <w:rPr>
          <w:rFonts w:eastAsia="Calibri" w:cs="Tahoma"/>
          <w:b/>
          <w:bCs/>
          <w:color w:val="auto"/>
        </w:rPr>
      </w:pPr>
      <w:r w:rsidRPr="00D34D61">
        <w:rPr>
          <w:rFonts w:eastAsia="Calibri" w:cs="Tahoma"/>
          <w:b/>
          <w:bCs/>
          <w:color w:val="auto"/>
        </w:rPr>
        <w:t>Términos de la Resolución p</w:t>
      </w:r>
      <w:r w:rsidR="009C0DF7" w:rsidRPr="00D34D61">
        <w:rPr>
          <w:rFonts w:eastAsia="Calibri" w:cs="Tahoma"/>
          <w:b/>
          <w:bCs/>
          <w:color w:val="auto"/>
        </w:rPr>
        <w:t>ara conocimiento del Particular</w:t>
      </w:r>
    </w:p>
    <w:p w14:paraId="2EEF94A6" w14:textId="77777777" w:rsidR="002A0B3A" w:rsidRPr="00D34D61" w:rsidRDefault="002A0B3A" w:rsidP="008F72BB">
      <w:pPr>
        <w:spacing w:after="0" w:line="360" w:lineRule="auto"/>
        <w:contextualSpacing/>
        <w:rPr>
          <w:rFonts w:eastAsia="Calibri" w:cs="Tahoma"/>
          <w:b/>
          <w:bCs/>
          <w:color w:val="auto"/>
        </w:rPr>
      </w:pPr>
    </w:p>
    <w:p w14:paraId="1D43755E" w14:textId="77777777" w:rsidR="00DA66BF" w:rsidRPr="00D34D61" w:rsidRDefault="007B68D1" w:rsidP="008F72BB">
      <w:pPr>
        <w:spacing w:after="0" w:line="360" w:lineRule="auto"/>
        <w:rPr>
          <w:rFonts w:eastAsia="Palatino Linotype" w:cs="Palatino Linotype"/>
          <w:color w:val="000000"/>
          <w:lang w:eastAsia="es-MX"/>
        </w:rPr>
      </w:pPr>
      <w:r w:rsidRPr="00D34D61">
        <w:rPr>
          <w:rFonts w:eastAsia="Palatino Linotype" w:cs="Palatino Linotype"/>
          <w:color w:val="000000"/>
          <w:lang w:eastAsia="es-MX"/>
        </w:rPr>
        <w:t>Se le hace del conocimiento a la persona Recurrente que, en el presente asunto, se le da la razón, pues el Sujeto Obligado</w:t>
      </w:r>
      <w:r w:rsidR="004B7332" w:rsidRPr="00D34D61">
        <w:rPr>
          <w:rFonts w:eastAsia="Palatino Linotype" w:cs="Palatino Linotype"/>
          <w:color w:val="000000"/>
          <w:lang w:eastAsia="es-MX"/>
        </w:rPr>
        <w:t xml:space="preserve"> si bien señaló que no contaba con el documento específico solicitado, lo cierto es que </w:t>
      </w:r>
      <w:r w:rsidR="00690F8B" w:rsidRPr="00D34D61">
        <w:rPr>
          <w:rFonts w:eastAsia="Palatino Linotype" w:cs="Palatino Linotype"/>
          <w:color w:val="000000"/>
          <w:lang w:eastAsia="es-MX"/>
        </w:rPr>
        <w:t>obra en sus archivos</w:t>
      </w:r>
      <w:r w:rsidRPr="00D34D61">
        <w:rPr>
          <w:rFonts w:eastAsia="Palatino Linotype" w:cs="Palatino Linotype"/>
          <w:color w:val="000000"/>
          <w:lang w:eastAsia="es-MX"/>
        </w:rPr>
        <w:t xml:space="preserve">. </w:t>
      </w:r>
    </w:p>
    <w:p w14:paraId="01248142" w14:textId="77777777" w:rsidR="00DA66BF" w:rsidRPr="00D34D61" w:rsidRDefault="00DA66BF" w:rsidP="008F72BB">
      <w:pPr>
        <w:spacing w:after="0" w:line="360" w:lineRule="auto"/>
        <w:rPr>
          <w:rFonts w:eastAsia="Palatino Linotype" w:cs="Palatino Linotype"/>
          <w:color w:val="000000"/>
          <w:lang w:eastAsia="es-MX"/>
        </w:rPr>
      </w:pPr>
    </w:p>
    <w:p w14:paraId="3E89F87D" w14:textId="3FFA51E4" w:rsidR="007B68D1" w:rsidRPr="00D34D61" w:rsidRDefault="00DA412B" w:rsidP="008F72BB">
      <w:pPr>
        <w:spacing w:after="0" w:line="360" w:lineRule="auto"/>
        <w:rPr>
          <w:rFonts w:eastAsia="Palatino Linotype" w:cs="Palatino Linotype"/>
          <w:color w:val="000000"/>
          <w:lang w:eastAsia="es-MX"/>
        </w:rPr>
      </w:pPr>
      <w:r w:rsidRPr="00D34D61">
        <w:rPr>
          <w:rFonts w:eastAsia="Palatino Linotype" w:cs="Palatino Linotype"/>
          <w:color w:val="000000"/>
          <w:lang w:eastAsia="es-MX"/>
        </w:rPr>
        <w:t>L</w:t>
      </w:r>
      <w:r w:rsidR="007B68D1" w:rsidRPr="00D34D61">
        <w:rPr>
          <w:rFonts w:eastAsia="Palatino Linotype" w:cs="Palatino Linotype"/>
          <w:color w:val="000000"/>
          <w:lang w:eastAsia="es-MX"/>
        </w:rPr>
        <w:t>a labor del Instituto es apoyar a la población a acceder a la información pública y garantizar la protección de sus datos personales.</w:t>
      </w:r>
    </w:p>
    <w:p w14:paraId="6C904200" w14:textId="77777777" w:rsidR="00690F8B" w:rsidRPr="00D34D61" w:rsidRDefault="00690F8B" w:rsidP="008F72BB">
      <w:pPr>
        <w:spacing w:after="0" w:line="360" w:lineRule="auto"/>
        <w:rPr>
          <w:rFonts w:eastAsia="Palatino Linotype" w:cs="Palatino Linotype"/>
          <w:color w:val="000000"/>
          <w:lang w:eastAsia="es-MX"/>
        </w:rPr>
      </w:pPr>
    </w:p>
    <w:p w14:paraId="0FA647B5" w14:textId="27D24DB1" w:rsidR="002A0B3A" w:rsidRPr="00D34D61" w:rsidRDefault="002A0B3A" w:rsidP="008F72BB">
      <w:pPr>
        <w:spacing w:after="0" w:line="360" w:lineRule="auto"/>
        <w:contextualSpacing/>
        <w:rPr>
          <w:rFonts w:eastAsia="Calibri" w:cs="Tahoma"/>
          <w:bCs/>
          <w:color w:val="auto"/>
        </w:rPr>
      </w:pPr>
      <w:r w:rsidRPr="00D34D61">
        <w:rPr>
          <w:rFonts w:eastAsia="Calibri" w:cs="Tahoma"/>
          <w:bCs/>
          <w:color w:val="auto"/>
        </w:rPr>
        <w:t>Por lo expuesto y fundado, este Pleno:</w:t>
      </w:r>
    </w:p>
    <w:p w14:paraId="2134833F" w14:textId="77777777" w:rsidR="00BC7FA2" w:rsidRPr="00D34D61" w:rsidRDefault="00BC7FA2" w:rsidP="008F72BB">
      <w:pPr>
        <w:spacing w:after="0" w:line="360" w:lineRule="auto"/>
        <w:contextualSpacing/>
        <w:rPr>
          <w:rFonts w:eastAsia="Calibri" w:cs="Tahoma"/>
          <w:bCs/>
          <w:color w:val="auto"/>
        </w:rPr>
      </w:pPr>
    </w:p>
    <w:p w14:paraId="7919B441" w14:textId="06CE76E2" w:rsidR="002A0B3A" w:rsidRPr="00D34D61" w:rsidRDefault="002A0B3A" w:rsidP="008F72BB">
      <w:pPr>
        <w:pStyle w:val="Ttulo1"/>
        <w:spacing w:before="0" w:line="360" w:lineRule="auto"/>
        <w:jc w:val="center"/>
        <w:rPr>
          <w:rFonts w:ascii="Palatino Linotype" w:eastAsia="Calibri" w:hAnsi="Palatino Linotype"/>
          <w:b/>
          <w:color w:val="000000" w:themeColor="text1"/>
          <w:sz w:val="22"/>
          <w:szCs w:val="22"/>
        </w:rPr>
      </w:pPr>
      <w:bookmarkStart w:id="19" w:name="_Toc189676782"/>
      <w:r w:rsidRPr="00D34D61">
        <w:rPr>
          <w:rFonts w:ascii="Palatino Linotype" w:eastAsia="Calibri" w:hAnsi="Palatino Linotype"/>
          <w:b/>
          <w:color w:val="000000" w:themeColor="text1"/>
          <w:sz w:val="22"/>
          <w:szCs w:val="22"/>
        </w:rPr>
        <w:t>R E S U E L V E</w:t>
      </w:r>
      <w:bookmarkEnd w:id="19"/>
    </w:p>
    <w:p w14:paraId="41449BC5" w14:textId="77777777" w:rsidR="00BC7FA2" w:rsidRPr="00D34D61" w:rsidRDefault="00BC7FA2" w:rsidP="008F72BB">
      <w:pPr>
        <w:spacing w:after="0" w:line="360" w:lineRule="auto"/>
        <w:ind w:right="-28"/>
        <w:jc w:val="center"/>
        <w:rPr>
          <w:rFonts w:eastAsia="Calibri" w:cs="Tahoma"/>
          <w:b/>
          <w:bCs/>
          <w:color w:val="auto"/>
        </w:rPr>
      </w:pPr>
    </w:p>
    <w:p w14:paraId="0018AD10" w14:textId="6B633293" w:rsidR="00BC7FA2" w:rsidRPr="00D34D61" w:rsidRDefault="00BC7FA2" w:rsidP="008F72BB">
      <w:pPr>
        <w:spacing w:after="0" w:line="360" w:lineRule="auto"/>
        <w:contextualSpacing/>
        <w:rPr>
          <w:rFonts w:eastAsia="Calibri" w:cs="Tahoma"/>
          <w:bCs/>
        </w:rPr>
      </w:pPr>
      <w:r w:rsidRPr="00D34D61">
        <w:rPr>
          <w:rFonts w:cs="Tahoma"/>
          <w:b/>
          <w:bCs/>
        </w:rPr>
        <w:t xml:space="preserve">PRIMERO. </w:t>
      </w:r>
      <w:r w:rsidRPr="00D34D61">
        <w:rPr>
          <w:rFonts w:cs="Tahoma"/>
          <w:bCs/>
        </w:rPr>
        <w:t xml:space="preserve">Se </w:t>
      </w:r>
      <w:r w:rsidR="00DA412B" w:rsidRPr="00D34D61">
        <w:rPr>
          <w:rFonts w:cs="Tahoma"/>
          <w:b/>
          <w:bCs/>
        </w:rPr>
        <w:t>REVOCA</w:t>
      </w:r>
      <w:r w:rsidRPr="00D34D61">
        <w:rPr>
          <w:rFonts w:cs="Tahoma"/>
          <w:bCs/>
        </w:rPr>
        <w:t xml:space="preserve"> la respuesta entregada por el </w:t>
      </w:r>
      <w:r w:rsidRPr="00D34D61">
        <w:rPr>
          <w:rFonts w:eastAsia="Calibri" w:cs="Tahoma"/>
        </w:rPr>
        <w:t>Universidad Autónoma del Estado de México,</w:t>
      </w:r>
      <w:r w:rsidRPr="00D34D61">
        <w:rPr>
          <w:rFonts w:cs="Tahoma"/>
          <w:bCs/>
        </w:rPr>
        <w:t xml:space="preserve"> a la solicitud de </w:t>
      </w:r>
      <w:r w:rsidRPr="00D34D61">
        <w:rPr>
          <w:rFonts w:eastAsia="Calibri" w:cs="Tahoma"/>
        </w:rPr>
        <w:t>información 00038/UAEM/IP/2025,</w:t>
      </w:r>
      <w:r w:rsidRPr="00D34D61">
        <w:t xml:space="preserve"> por resultar </w:t>
      </w:r>
      <w:r w:rsidRPr="00D34D61">
        <w:rPr>
          <w:b/>
          <w:bCs/>
        </w:rPr>
        <w:t>FUNDADAS</w:t>
      </w:r>
      <w:r w:rsidRPr="00D34D61">
        <w:rPr>
          <w:rFonts w:cs="Tahoma"/>
          <w:bCs/>
        </w:rPr>
        <w:t xml:space="preserve"> </w:t>
      </w:r>
      <w:r w:rsidRPr="00D34D61">
        <w:rPr>
          <w:rFonts w:eastAsia="Calibri" w:cs="Tahoma"/>
          <w:bCs/>
        </w:rPr>
        <w:t>las</w:t>
      </w:r>
      <w:r w:rsidRPr="00D34D61">
        <w:rPr>
          <w:rFonts w:eastAsia="Calibri" w:cs="Tahoma"/>
        </w:rPr>
        <w:t xml:space="preserve"> razones o motivos de inconformidad hechos valer por la Particular, en</w:t>
      </w:r>
      <w:r w:rsidRPr="00D34D61">
        <w:rPr>
          <w:rFonts w:eastAsia="Calibri" w:cs="Tahoma"/>
          <w:bCs/>
        </w:rPr>
        <w:t xml:space="preserve"> términos de los considerandos </w:t>
      </w:r>
      <w:r w:rsidRPr="00D34D61">
        <w:rPr>
          <w:rFonts w:eastAsia="Calibri" w:cs="Tahoma"/>
        </w:rPr>
        <w:t>QUINTO y SEXTO de la presente</w:t>
      </w:r>
      <w:r w:rsidRPr="00D34D61">
        <w:rPr>
          <w:rFonts w:eastAsia="Calibri" w:cs="Tahoma"/>
          <w:bCs/>
        </w:rPr>
        <w:t xml:space="preserve"> Resolución.</w:t>
      </w:r>
    </w:p>
    <w:p w14:paraId="4DB3DFC8" w14:textId="77777777" w:rsidR="00BC7FA2" w:rsidRPr="00D34D61" w:rsidRDefault="00BC7FA2" w:rsidP="008F72BB">
      <w:pPr>
        <w:spacing w:after="0" w:line="360" w:lineRule="auto"/>
        <w:contextualSpacing/>
        <w:rPr>
          <w:rFonts w:eastAsia="Calibri" w:cs="Tahoma"/>
          <w:bCs/>
        </w:rPr>
      </w:pPr>
    </w:p>
    <w:p w14:paraId="089CD281" w14:textId="213B4888" w:rsidR="00BC7FA2" w:rsidRPr="00D34D61" w:rsidRDefault="00BC7FA2" w:rsidP="008F72BB">
      <w:pPr>
        <w:spacing w:after="0" w:line="360" w:lineRule="auto"/>
        <w:rPr>
          <w:rFonts w:eastAsia="Times New Roman" w:cs="Tahoma"/>
          <w:iCs/>
          <w:color w:val="auto"/>
          <w:lang w:val="es-ES" w:eastAsia="es-ES"/>
        </w:rPr>
      </w:pPr>
      <w:r w:rsidRPr="00D34D61">
        <w:rPr>
          <w:rFonts w:cs="Tahoma"/>
          <w:b/>
          <w:bCs/>
        </w:rPr>
        <w:t xml:space="preserve">SEGUNDO. </w:t>
      </w:r>
      <w:r w:rsidRPr="00D34D61">
        <w:rPr>
          <w:rFonts w:cs="Tahoma"/>
        </w:rPr>
        <w:t xml:space="preserve">Se </w:t>
      </w:r>
      <w:r w:rsidRPr="00D34D61">
        <w:rPr>
          <w:rFonts w:cs="Tahoma"/>
          <w:b/>
        </w:rPr>
        <w:t xml:space="preserve">ORDENA </w:t>
      </w:r>
      <w:r w:rsidRPr="00D34D61">
        <w:rPr>
          <w:rFonts w:cs="Tahoma"/>
          <w:bCs/>
        </w:rPr>
        <w:t xml:space="preserve">al </w:t>
      </w:r>
      <w:r w:rsidRPr="00D34D61">
        <w:rPr>
          <w:rFonts w:cs="Tahoma"/>
        </w:rPr>
        <w:t>Ente Recurrido, a efecto de que</w:t>
      </w:r>
      <w:r w:rsidR="004B7332" w:rsidRPr="00D34D61">
        <w:rPr>
          <w:rFonts w:cs="Tahoma"/>
        </w:rPr>
        <w:t xml:space="preserve"> previa búsqueda exhaustiva y razonable en los archivos de las unidades administrativas competentes,</w:t>
      </w:r>
      <w:r w:rsidRPr="00D34D61">
        <w:rPr>
          <w:rFonts w:cs="Tahoma"/>
        </w:rPr>
        <w:t xml:space="preserve"> entregue, </w:t>
      </w:r>
      <w:r w:rsidRPr="00D34D61">
        <w:rPr>
          <w:rFonts w:eastAsia="Calibri" w:cs="Tahoma"/>
          <w:iCs/>
          <w:lang w:eastAsia="es-ES_tradnl"/>
        </w:rPr>
        <w:t xml:space="preserve">a través del Sistema de Acceso a la Información Mexiquense (SAIMEX), en versión pública, </w:t>
      </w:r>
      <w:r w:rsidRPr="00D34D61">
        <w:rPr>
          <w:rFonts w:eastAsia="Times New Roman" w:cs="Tahoma"/>
          <w:iCs/>
          <w:color w:val="auto"/>
          <w:lang w:val="es-ES" w:eastAsia="es-ES"/>
        </w:rPr>
        <w:t>lo siguiente:</w:t>
      </w:r>
    </w:p>
    <w:p w14:paraId="03444D9F" w14:textId="77777777" w:rsidR="00BC7FA2" w:rsidRPr="00D34D61" w:rsidRDefault="00BC7FA2" w:rsidP="008F72BB">
      <w:pPr>
        <w:spacing w:after="0" w:line="360" w:lineRule="auto"/>
        <w:rPr>
          <w:rFonts w:eastAsia="Times New Roman" w:cs="Tahoma"/>
          <w:iCs/>
          <w:color w:val="auto"/>
          <w:lang w:val="es-ES" w:eastAsia="es-ES"/>
        </w:rPr>
      </w:pPr>
    </w:p>
    <w:p w14:paraId="55D85F12" w14:textId="60D89983" w:rsidR="00BC7FA2" w:rsidRPr="00D34D61" w:rsidRDefault="00690F8B" w:rsidP="00690F8B">
      <w:pPr>
        <w:numPr>
          <w:ilvl w:val="0"/>
          <w:numId w:val="40"/>
        </w:numPr>
        <w:spacing w:after="0" w:line="360" w:lineRule="auto"/>
        <w:contextualSpacing/>
        <w:rPr>
          <w:rFonts w:eastAsia="Calibri" w:cs="Times New Roman"/>
          <w:bCs/>
          <w:iCs/>
          <w:szCs w:val="24"/>
          <w:lang w:val="es-ES" w:eastAsia="es-ES"/>
        </w:rPr>
      </w:pPr>
      <w:r w:rsidRPr="00D34D61">
        <w:rPr>
          <w:rFonts w:eastAsia="Calibri" w:cs="Times New Roman"/>
          <w:bCs/>
          <w:iCs/>
          <w:szCs w:val="24"/>
          <w:lang w:val="es-ES" w:eastAsia="es-ES"/>
        </w:rPr>
        <w:t>Los</w:t>
      </w:r>
      <w:r w:rsidR="00D520F7" w:rsidRPr="00D34D61">
        <w:rPr>
          <w:rFonts w:eastAsia="Calibri" w:cs="Times New Roman"/>
          <w:bCs/>
          <w:iCs/>
          <w:szCs w:val="24"/>
          <w:lang w:val="es-ES" w:eastAsia="es-ES"/>
        </w:rPr>
        <w:t xml:space="preserve"> </w:t>
      </w:r>
      <w:r w:rsidRPr="00D34D61">
        <w:rPr>
          <w:rFonts w:eastAsia="Calibri" w:cs="Times New Roman"/>
          <w:bCs/>
          <w:iCs/>
          <w:szCs w:val="24"/>
          <w:lang w:val="es-ES" w:eastAsia="es-ES"/>
        </w:rPr>
        <w:t xml:space="preserve">Comprobantes Fiscales Digitales a través de Internet </w:t>
      </w:r>
      <w:r w:rsidR="00DA412B" w:rsidRPr="00D34D61">
        <w:rPr>
          <w:rFonts w:eastAsia="Calibri" w:cs="Times New Roman"/>
          <w:bCs/>
          <w:iCs/>
          <w:szCs w:val="24"/>
          <w:lang w:val="es-ES" w:eastAsia="es-ES"/>
        </w:rPr>
        <w:t xml:space="preserve">“Recibos </w:t>
      </w:r>
      <w:r w:rsidRPr="00D34D61">
        <w:rPr>
          <w:rFonts w:eastAsia="Calibri" w:cs="Times New Roman"/>
          <w:bCs/>
          <w:iCs/>
          <w:szCs w:val="24"/>
          <w:lang w:val="es-ES" w:eastAsia="es-ES"/>
        </w:rPr>
        <w:t>de nómina</w:t>
      </w:r>
      <w:r w:rsidR="00DA412B" w:rsidRPr="00D34D61">
        <w:rPr>
          <w:rFonts w:eastAsia="Calibri" w:cs="Times New Roman"/>
          <w:bCs/>
          <w:iCs/>
          <w:szCs w:val="24"/>
          <w:lang w:val="es-ES" w:eastAsia="es-ES"/>
        </w:rPr>
        <w:t>”</w:t>
      </w:r>
      <w:r w:rsidRPr="00D34D61">
        <w:rPr>
          <w:rFonts w:eastAsia="Calibri" w:cs="Times New Roman"/>
          <w:bCs/>
          <w:iCs/>
          <w:szCs w:val="24"/>
          <w:lang w:val="es-ES" w:eastAsia="es-ES"/>
        </w:rPr>
        <w:t xml:space="preserve"> </w:t>
      </w:r>
      <w:r w:rsidR="00D520F7" w:rsidRPr="00D34D61">
        <w:rPr>
          <w:rFonts w:eastAsia="Calibri" w:cs="Times New Roman"/>
          <w:bCs/>
          <w:iCs/>
          <w:szCs w:val="24"/>
          <w:lang w:val="es-ES" w:eastAsia="es-ES"/>
        </w:rPr>
        <w:t xml:space="preserve">de todos los servidores públicos adscritos a la Universidad Autónoma del Estado de México, </w:t>
      </w:r>
      <w:r w:rsidR="004B7332" w:rsidRPr="00D34D61">
        <w:rPr>
          <w:rFonts w:eastAsia="Calibri" w:cs="Times New Roman"/>
          <w:bCs/>
          <w:iCs/>
          <w:szCs w:val="24"/>
          <w:lang w:val="es-ES" w:eastAsia="es-ES"/>
        </w:rPr>
        <w:t>de</w:t>
      </w:r>
      <w:r w:rsidR="00D520F7" w:rsidRPr="00D34D61">
        <w:rPr>
          <w:rFonts w:eastAsia="Calibri" w:cs="Times New Roman"/>
          <w:bCs/>
          <w:iCs/>
          <w:szCs w:val="24"/>
          <w:lang w:val="es-ES" w:eastAsia="es-ES"/>
        </w:rPr>
        <w:t xml:space="preserve"> la segunda quincena de diciembre de dos mil veinticuatro.</w:t>
      </w:r>
    </w:p>
    <w:p w14:paraId="2748413F" w14:textId="77777777" w:rsidR="004B7332" w:rsidRPr="00D34D61" w:rsidRDefault="004B7332" w:rsidP="004B7332">
      <w:pPr>
        <w:spacing w:after="0" w:line="360" w:lineRule="auto"/>
        <w:ind w:left="720"/>
        <w:contextualSpacing/>
        <w:rPr>
          <w:rFonts w:eastAsia="Calibri" w:cs="Times New Roman"/>
          <w:bCs/>
          <w:iCs/>
          <w:szCs w:val="24"/>
          <w:lang w:val="es-ES" w:eastAsia="es-ES"/>
        </w:rPr>
      </w:pPr>
    </w:p>
    <w:p w14:paraId="73D4EEDA" w14:textId="006FCDC1" w:rsidR="00D520F7" w:rsidRPr="00D34D61" w:rsidRDefault="00D520F7" w:rsidP="008F72BB">
      <w:pPr>
        <w:spacing w:after="0" w:line="360" w:lineRule="auto"/>
        <w:rPr>
          <w:rFonts w:eastAsia="Times New Roman" w:cs="Tahoma"/>
          <w:bCs/>
          <w:color w:val="auto"/>
          <w:lang w:eastAsia="es-MX"/>
        </w:rPr>
      </w:pPr>
      <w:r w:rsidRPr="00D34D61">
        <w:rPr>
          <w:rFonts w:eastAsia="Times New Roman" w:cs="Tahoma"/>
          <w:bCs/>
          <w:color w:val="auto"/>
          <w:lang w:eastAsia="es-MX"/>
        </w:rPr>
        <w:t>Además, deberá proporcionar el Acuerdo de Clasificación donde el Comité de Transparencia, confirme la eliminación de los datos o información clasificada</w:t>
      </w:r>
      <w:r w:rsidR="004B7332" w:rsidRPr="00D34D61">
        <w:rPr>
          <w:rFonts w:eastAsia="Times New Roman" w:cs="Tahoma"/>
          <w:bCs/>
          <w:color w:val="auto"/>
          <w:lang w:eastAsia="es-MX"/>
        </w:rPr>
        <w:t>, en la versión pública</w:t>
      </w:r>
      <w:r w:rsidRPr="00D34D61">
        <w:rPr>
          <w:rFonts w:eastAsia="Times New Roman" w:cs="Tahoma"/>
          <w:bCs/>
          <w:color w:val="auto"/>
          <w:lang w:eastAsia="es-MX"/>
        </w:rPr>
        <w:t>, en términos del Considerando QUINTO, de conformidad con los artículos 49, fracciones II y VIII, y 132, fracción II, de la Ley de Transparencia y Acceso a la Información Pública del Estado de México y Municipios.</w:t>
      </w:r>
    </w:p>
    <w:p w14:paraId="487CE0A5" w14:textId="77777777" w:rsidR="00BC7FA2" w:rsidRPr="00D34D61" w:rsidRDefault="00BC7FA2" w:rsidP="008F72BB">
      <w:pPr>
        <w:spacing w:after="0" w:line="360" w:lineRule="auto"/>
        <w:rPr>
          <w:rFonts w:cs="Arial"/>
          <w:b/>
          <w:lang w:val="es-ES_tradnl"/>
        </w:rPr>
      </w:pPr>
    </w:p>
    <w:p w14:paraId="4F1B5730" w14:textId="6A029C32" w:rsidR="00BC7FA2" w:rsidRPr="00D34D61" w:rsidRDefault="00DA412B" w:rsidP="00DA412B">
      <w:pPr>
        <w:spacing w:after="0" w:line="360" w:lineRule="auto"/>
        <w:ind w:right="-28"/>
        <w:contextualSpacing/>
        <w:rPr>
          <w:rFonts w:eastAsia="Calibri" w:cs="Tahoma"/>
          <w:iCs/>
        </w:rPr>
      </w:pPr>
      <w:r w:rsidRPr="00D34D61">
        <w:rPr>
          <w:rFonts w:eastAsia="Calibri" w:cs="Tahoma"/>
          <w:b/>
          <w:bCs/>
        </w:rPr>
        <w:lastRenderedPageBreak/>
        <w:t xml:space="preserve">TERCERO. </w:t>
      </w:r>
      <w:r w:rsidRPr="00D34D61">
        <w:rPr>
          <w:rFonts w:cs="Tahoma"/>
          <w:b/>
          <w:bCs/>
          <w:iCs/>
        </w:rPr>
        <w:t xml:space="preserve">NOTIFÍQUESE POR SAIMEX </w:t>
      </w:r>
      <w:r w:rsidRPr="00D34D61">
        <w:rPr>
          <w:rFonts w:cs="Tahoma"/>
          <w:bCs/>
          <w:iC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 </w:t>
      </w:r>
      <w:bookmarkStart w:id="20" w:name="_Hlk61509110"/>
      <w:r w:rsidRPr="00D34D61">
        <w:rPr>
          <w:rFonts w:cs="Tahoma"/>
          <w:bCs/>
          <w:iCs/>
        </w:rPr>
        <w:t>D</w:t>
      </w:r>
      <w:r w:rsidR="00BC7FA2" w:rsidRPr="00D34D61">
        <w:rPr>
          <w:rFonts w:eastAsia="Calibri" w:cs="Tahoma"/>
          <w:iCs/>
        </w:rPr>
        <w:t xml:space="preserve">e conformidad con el artículo 198 de la </w:t>
      </w:r>
      <w:r w:rsidR="004B7332" w:rsidRPr="00D34D61">
        <w:rPr>
          <w:rFonts w:cs="Tahoma"/>
        </w:rPr>
        <w:t xml:space="preserve">Ley </w:t>
      </w:r>
      <w:r w:rsidRPr="00D34D61">
        <w:rPr>
          <w:rFonts w:cs="Tahoma"/>
        </w:rPr>
        <w:t>de la materia</w:t>
      </w:r>
      <w:r w:rsidR="00BC7FA2" w:rsidRPr="00D34D61">
        <w:rPr>
          <w:rFonts w:eastAsia="Calibri" w:cs="Tahoma"/>
          <w:iCs/>
        </w:rPr>
        <w:t>, de considerarlo procedente, el Sujeto Obligado de manera fundada y motivada, podrá solicitar una ampliación de plazo para el cumplimiento de la presente Resolución.</w:t>
      </w:r>
      <w:bookmarkEnd w:id="20"/>
    </w:p>
    <w:p w14:paraId="66ECA6CD" w14:textId="77777777" w:rsidR="00BC7FA2" w:rsidRPr="00D34D61" w:rsidRDefault="00BC7FA2" w:rsidP="008F72BB">
      <w:pPr>
        <w:spacing w:after="0" w:line="360" w:lineRule="auto"/>
        <w:contextualSpacing/>
        <w:rPr>
          <w:rFonts w:eastAsia="Calibri" w:cs="Tahoma"/>
          <w:iCs/>
        </w:rPr>
      </w:pPr>
    </w:p>
    <w:p w14:paraId="1FC7E290" w14:textId="77777777" w:rsidR="00BC7FA2" w:rsidRPr="00D34D61" w:rsidRDefault="00BC7FA2" w:rsidP="008F72BB">
      <w:pPr>
        <w:spacing w:after="0" w:line="360" w:lineRule="auto"/>
        <w:contextualSpacing/>
        <w:rPr>
          <w:rFonts w:cs="Tahoma"/>
        </w:rPr>
      </w:pPr>
      <w:r w:rsidRPr="00D34D61">
        <w:rPr>
          <w:rFonts w:cs="Tahoma"/>
          <w:b/>
        </w:rPr>
        <w:t>CUARTO. NOTIFÍQUESE POR SAIMEX</w:t>
      </w:r>
      <w:r w:rsidRPr="00D34D61">
        <w:rPr>
          <w:rFonts w:cs="Tahoma"/>
        </w:rPr>
        <w:t xml:space="preserve"> a la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24B6ADB" w14:textId="77777777" w:rsidR="00BC7FA2" w:rsidRPr="00D34D61" w:rsidRDefault="00BC7FA2" w:rsidP="008F72BB">
      <w:pPr>
        <w:spacing w:after="0" w:line="360" w:lineRule="auto"/>
        <w:rPr>
          <w:rFonts w:eastAsia="Calibri" w:cs="Tahoma"/>
          <w:bCs/>
          <w:lang w:val="es-ES"/>
        </w:rPr>
      </w:pPr>
    </w:p>
    <w:p w14:paraId="324F2468" w14:textId="0092EA5E" w:rsidR="00BC7FA2" w:rsidRPr="00BC7FA2" w:rsidRDefault="00BC7FA2" w:rsidP="008F72BB">
      <w:pPr>
        <w:spacing w:after="0" w:line="360" w:lineRule="auto"/>
        <w:rPr>
          <w:rFonts w:eastAsia="Calibri" w:cs="Tahoma"/>
          <w:bCs/>
        </w:rPr>
      </w:pPr>
      <w:r w:rsidRPr="00D34D61">
        <w:rPr>
          <w:rFonts w:eastAsia="Calibri" w:cs="Tahoma"/>
          <w:bCs/>
        </w:rPr>
        <w:t xml:space="preserve">ASÍ LO RESUELVE, POR </w:t>
      </w:r>
      <w:r w:rsidRPr="00D34D61">
        <w:rPr>
          <w:rFonts w:eastAsia="Calibri" w:cs="Tahoma"/>
          <w:b/>
        </w:rPr>
        <w:t>UNANIMIDAD</w:t>
      </w:r>
      <w:r w:rsidRPr="00D34D61">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DÉCIMA </w:t>
      </w:r>
      <w:r w:rsidR="00D520F7" w:rsidRPr="00D34D61">
        <w:rPr>
          <w:rFonts w:eastAsia="Calibri" w:cs="Tahoma"/>
          <w:bCs/>
        </w:rPr>
        <w:t>CUARTA</w:t>
      </w:r>
      <w:r w:rsidRPr="00D34D61">
        <w:rPr>
          <w:rFonts w:eastAsia="Calibri" w:cs="Tahoma"/>
          <w:bCs/>
        </w:rPr>
        <w:t xml:space="preserve"> SESIÓN ORDINARIA, CELEBRADA EL VEINTI</w:t>
      </w:r>
      <w:r w:rsidR="00D520F7" w:rsidRPr="00D34D61">
        <w:rPr>
          <w:rFonts w:eastAsia="Calibri" w:cs="Tahoma"/>
          <w:bCs/>
        </w:rPr>
        <w:t>TRÉS</w:t>
      </w:r>
      <w:r w:rsidRPr="00D34D61">
        <w:rPr>
          <w:rFonts w:eastAsia="Calibri" w:cs="Tahoma"/>
          <w:bCs/>
        </w:rPr>
        <w:t xml:space="preserve"> DE </w:t>
      </w:r>
      <w:r w:rsidR="00D520F7" w:rsidRPr="00D34D61">
        <w:rPr>
          <w:rFonts w:eastAsia="Calibri" w:cs="Tahoma"/>
          <w:bCs/>
        </w:rPr>
        <w:t>ABRIL</w:t>
      </w:r>
      <w:r w:rsidRPr="00D34D61">
        <w:rPr>
          <w:rFonts w:eastAsia="Calibri" w:cs="Tahoma"/>
          <w:bCs/>
        </w:rPr>
        <w:t xml:space="preserve"> DE DOS MIL VEINTICINCO, ANTE EL SECRETARIO TÉCNICO DEL PLENO, ALEXIS TAPIA RAMÍREZ.</w:t>
      </w:r>
    </w:p>
    <w:p w14:paraId="70E8439B" w14:textId="77777777" w:rsidR="00A9056D" w:rsidRDefault="00A9056D" w:rsidP="008F72BB">
      <w:pPr>
        <w:spacing w:after="0" w:line="360" w:lineRule="auto"/>
        <w:rPr>
          <w:color w:val="FF0000"/>
        </w:rPr>
      </w:pPr>
    </w:p>
    <w:p w14:paraId="7146A7F6" w14:textId="77777777" w:rsidR="00A9056D" w:rsidRDefault="00A9056D" w:rsidP="008F72BB">
      <w:pPr>
        <w:spacing w:after="0" w:line="360" w:lineRule="auto"/>
        <w:rPr>
          <w:color w:val="FF0000"/>
        </w:rPr>
      </w:pPr>
    </w:p>
    <w:p w14:paraId="15A13D10" w14:textId="77777777" w:rsidR="00A9056D" w:rsidRDefault="00A9056D" w:rsidP="008F72BB">
      <w:pPr>
        <w:spacing w:after="0" w:line="360" w:lineRule="auto"/>
        <w:rPr>
          <w:color w:val="FF0000"/>
        </w:rPr>
      </w:pPr>
    </w:p>
    <w:p w14:paraId="36F176C9" w14:textId="77777777" w:rsidR="00A9056D" w:rsidRDefault="00A9056D" w:rsidP="008F72BB">
      <w:pPr>
        <w:spacing w:after="0" w:line="360" w:lineRule="auto"/>
        <w:rPr>
          <w:color w:val="FF0000"/>
        </w:rPr>
      </w:pPr>
    </w:p>
    <w:p w14:paraId="4D86D97F" w14:textId="77777777" w:rsidR="00A9056D" w:rsidRDefault="00A9056D" w:rsidP="008F72BB">
      <w:pPr>
        <w:spacing w:after="0" w:line="360" w:lineRule="auto"/>
        <w:rPr>
          <w:color w:val="FF0000"/>
        </w:rPr>
      </w:pPr>
    </w:p>
    <w:p w14:paraId="06DD7401" w14:textId="77777777" w:rsidR="00A9056D" w:rsidRDefault="00A9056D" w:rsidP="008F72BB">
      <w:pPr>
        <w:spacing w:after="0" w:line="360" w:lineRule="auto"/>
        <w:rPr>
          <w:color w:val="FF0000"/>
        </w:rPr>
      </w:pPr>
    </w:p>
    <w:p w14:paraId="436CEB7B" w14:textId="77777777" w:rsidR="00A9056D" w:rsidRDefault="00A9056D" w:rsidP="008F72BB">
      <w:pPr>
        <w:spacing w:after="0" w:line="360" w:lineRule="auto"/>
        <w:rPr>
          <w:color w:val="FF0000"/>
        </w:rPr>
      </w:pPr>
    </w:p>
    <w:p w14:paraId="465D31F1" w14:textId="5DE2F320" w:rsidR="007B68D1" w:rsidRDefault="007B68D1" w:rsidP="008F72BB">
      <w:pPr>
        <w:spacing w:after="0" w:line="360" w:lineRule="auto"/>
        <w:jc w:val="left"/>
        <w:rPr>
          <w:color w:val="FF0000"/>
        </w:rPr>
      </w:pPr>
    </w:p>
    <w:sectPr w:rsidR="007B68D1" w:rsidSect="007F271C">
      <w:headerReference w:type="even" r:id="rId22"/>
      <w:headerReference w:type="default" r:id="rId23"/>
      <w:footerReference w:type="even" r:id="rId24"/>
      <w:footerReference w:type="default" r:id="rId25"/>
      <w:headerReference w:type="first" r:id="rId26"/>
      <w:footerReference w:type="first" r:id="rId27"/>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5CF15" w14:textId="77777777" w:rsidR="004E1020" w:rsidRDefault="004E1020" w:rsidP="00DB3DC5">
      <w:pPr>
        <w:spacing w:after="0" w:line="240" w:lineRule="auto"/>
      </w:pPr>
      <w:r>
        <w:separator/>
      </w:r>
    </w:p>
  </w:endnote>
  <w:endnote w:type="continuationSeparator" w:id="0">
    <w:p w14:paraId="1CEEBF58" w14:textId="77777777" w:rsidR="004E1020" w:rsidRDefault="004E1020"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delle Sans Devanagari">
    <w:charset w:val="B2"/>
    <w:family w:val="auto"/>
    <w:pitch w:val="variable"/>
    <w:sig w:usb0="0300A007" w:usb1="00000001" w:usb2="00000008" w:usb3="00000000" w:csb0="0001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0204DC" w:rsidRDefault="000204D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51EB4">
              <w:rPr>
                <w:b/>
                <w:bCs/>
                <w:noProof/>
              </w:rPr>
              <w:t>34</w:t>
            </w:r>
            <w:r>
              <w:rPr>
                <w:b/>
                <w:bCs/>
                <w:sz w:val="24"/>
                <w:szCs w:val="24"/>
              </w:rPr>
              <w:fldChar w:fldCharType="end"/>
            </w:r>
          </w:p>
        </w:sdtContent>
      </w:sdt>
    </w:sdtContent>
  </w:sdt>
  <w:p w14:paraId="68EED6E3" w14:textId="77777777" w:rsidR="000204DC" w:rsidRDefault="000204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0204DC" w:rsidRDefault="000204D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51EB4">
              <w:rPr>
                <w:b/>
                <w:bCs/>
                <w:noProof/>
              </w:rPr>
              <w:t>33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51EB4">
              <w:rPr>
                <w:b/>
                <w:bCs/>
                <w:noProof/>
              </w:rPr>
              <w:t>34</w:t>
            </w:r>
            <w:r>
              <w:rPr>
                <w:b/>
                <w:bCs/>
                <w:sz w:val="24"/>
                <w:szCs w:val="24"/>
              </w:rPr>
              <w:fldChar w:fldCharType="end"/>
            </w:r>
          </w:p>
        </w:sdtContent>
      </w:sdt>
    </w:sdtContent>
  </w:sdt>
  <w:p w14:paraId="5C9540ED" w14:textId="77777777" w:rsidR="000204DC" w:rsidRDefault="000204D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0204DC" w:rsidRDefault="000204D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51EB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51EB4">
              <w:rPr>
                <w:b/>
                <w:bCs/>
                <w:noProof/>
              </w:rPr>
              <w:t>34</w:t>
            </w:r>
            <w:r>
              <w:rPr>
                <w:b/>
                <w:bCs/>
                <w:sz w:val="24"/>
                <w:szCs w:val="24"/>
              </w:rPr>
              <w:fldChar w:fldCharType="end"/>
            </w:r>
          </w:p>
        </w:sdtContent>
      </w:sdt>
    </w:sdtContent>
  </w:sdt>
  <w:p w14:paraId="601C40B8" w14:textId="77777777" w:rsidR="000204DC" w:rsidRDefault="000204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BD98C" w14:textId="77777777" w:rsidR="004E1020" w:rsidRDefault="004E1020" w:rsidP="00DB3DC5">
      <w:pPr>
        <w:spacing w:after="0" w:line="240" w:lineRule="auto"/>
      </w:pPr>
      <w:r>
        <w:separator/>
      </w:r>
    </w:p>
  </w:footnote>
  <w:footnote w:type="continuationSeparator" w:id="0">
    <w:p w14:paraId="74711725" w14:textId="77777777" w:rsidR="004E1020" w:rsidRDefault="004E1020"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0204DC" w:rsidRPr="00E152D8" w14:paraId="04B090CA" w14:textId="77777777" w:rsidTr="00347876">
      <w:trPr>
        <w:trHeight w:val="132"/>
      </w:trPr>
      <w:tc>
        <w:tcPr>
          <w:tcW w:w="2691" w:type="dxa"/>
        </w:tcPr>
        <w:p w14:paraId="476D4D83" w14:textId="77777777" w:rsidR="000204DC" w:rsidRPr="00E152D8" w:rsidRDefault="000204DC"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0204DC" w:rsidRPr="00EE1572" w:rsidRDefault="000204DC" w:rsidP="00347876">
          <w:pPr>
            <w:tabs>
              <w:tab w:val="right" w:pos="8838"/>
            </w:tabs>
            <w:ind w:left="-28" w:right="-32"/>
            <w:rPr>
              <w:rFonts w:eastAsia="Calibri" w:cs="Tahoma"/>
            </w:rPr>
          </w:pPr>
          <w:r w:rsidRPr="00EE1572">
            <w:rPr>
              <w:rFonts w:eastAsia="Calibri" w:cs="Tahoma"/>
            </w:rPr>
            <w:t>03846/INFOEM/IP/RR/2020</w:t>
          </w:r>
        </w:p>
      </w:tc>
    </w:tr>
    <w:tr w:rsidR="000204DC" w:rsidRPr="00E152D8" w14:paraId="1A944E3B" w14:textId="77777777" w:rsidTr="00347876">
      <w:trPr>
        <w:trHeight w:val="261"/>
      </w:trPr>
      <w:tc>
        <w:tcPr>
          <w:tcW w:w="2691" w:type="dxa"/>
        </w:tcPr>
        <w:p w14:paraId="04AF3D79" w14:textId="77777777" w:rsidR="000204DC" w:rsidRPr="00E152D8" w:rsidRDefault="000204DC"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0204DC" w:rsidRPr="00EE1572" w:rsidRDefault="000204DC" w:rsidP="00347876">
          <w:pPr>
            <w:tabs>
              <w:tab w:val="right" w:pos="8838"/>
            </w:tabs>
            <w:ind w:right="-32"/>
            <w:rPr>
              <w:rFonts w:eastAsia="Calibri" w:cs="Tahoma"/>
              <w:lang w:val="es-MX"/>
            </w:rPr>
          </w:pPr>
          <w:r w:rsidRPr="00EE1572">
            <w:rPr>
              <w:rFonts w:eastAsia="Calibri" w:cs="Tahoma"/>
              <w:lang w:val="es-MX"/>
            </w:rPr>
            <w:t>Ayuntamiento de Temascalcingo</w:t>
          </w:r>
        </w:p>
      </w:tc>
    </w:tr>
    <w:tr w:rsidR="000204DC" w:rsidRPr="00E152D8" w14:paraId="51F43EE6" w14:textId="77777777" w:rsidTr="00347876">
      <w:trPr>
        <w:trHeight w:val="261"/>
      </w:trPr>
      <w:tc>
        <w:tcPr>
          <w:tcW w:w="2691" w:type="dxa"/>
        </w:tcPr>
        <w:p w14:paraId="4689E914" w14:textId="77777777" w:rsidR="000204DC" w:rsidRPr="00E152D8" w:rsidRDefault="000204DC"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0204DC" w:rsidRPr="00E152D8" w:rsidRDefault="000204DC"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0204DC" w:rsidRDefault="004E1020">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387"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836"/>
    </w:tblGrid>
    <w:tr w:rsidR="000204DC" w:rsidRPr="00E152D8" w14:paraId="6AD70801" w14:textId="77777777" w:rsidTr="004E0A7C">
      <w:trPr>
        <w:trHeight w:val="138"/>
      </w:trPr>
      <w:tc>
        <w:tcPr>
          <w:tcW w:w="2551" w:type="dxa"/>
          <w:vAlign w:val="center"/>
        </w:tcPr>
        <w:p w14:paraId="4714C583" w14:textId="77777777" w:rsidR="000204DC" w:rsidRPr="00E152D8" w:rsidRDefault="000204DC"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2836" w:type="dxa"/>
        </w:tcPr>
        <w:p w14:paraId="02EA1FEA" w14:textId="01CC5B57" w:rsidR="000204DC" w:rsidRPr="00051642" w:rsidRDefault="000204DC" w:rsidP="00347876">
          <w:pPr>
            <w:tabs>
              <w:tab w:val="right" w:pos="8838"/>
            </w:tabs>
            <w:ind w:left="-113" w:right="57"/>
            <w:rPr>
              <w:rFonts w:eastAsia="Calibri" w:cs="Tahoma"/>
            </w:rPr>
          </w:pPr>
          <w:r w:rsidRPr="00B26B9A">
            <w:rPr>
              <w:rFonts w:eastAsia="Calibri" w:cs="Tahoma"/>
              <w:lang w:val="es-MX"/>
            </w:rPr>
            <w:t>02476/INFOEM/IP/RR/2025</w:t>
          </w:r>
        </w:p>
      </w:tc>
    </w:tr>
    <w:tr w:rsidR="000204DC" w:rsidRPr="00E152D8" w14:paraId="7FF5EABC" w14:textId="77777777" w:rsidTr="004E0A7C">
      <w:trPr>
        <w:trHeight w:val="273"/>
      </w:trPr>
      <w:tc>
        <w:tcPr>
          <w:tcW w:w="2551" w:type="dxa"/>
        </w:tcPr>
        <w:p w14:paraId="565B10D1" w14:textId="77777777" w:rsidR="000204DC" w:rsidRPr="00E152D8" w:rsidRDefault="000204DC"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836" w:type="dxa"/>
        </w:tcPr>
        <w:p w14:paraId="7EA0F578" w14:textId="092B72BD" w:rsidR="000204DC" w:rsidRPr="00051642" w:rsidRDefault="000204DC" w:rsidP="004E0A7C">
          <w:pPr>
            <w:tabs>
              <w:tab w:val="left" w:pos="2728"/>
              <w:tab w:val="right" w:pos="8838"/>
            </w:tabs>
            <w:ind w:left="-113" w:right="-170"/>
            <w:rPr>
              <w:rFonts w:eastAsia="Calibri" w:cs="Tahoma"/>
              <w:lang w:val="es-MX"/>
            </w:rPr>
          </w:pPr>
          <w:r>
            <w:rPr>
              <w:rFonts w:eastAsia="Calibri" w:cs="Tahoma"/>
              <w:lang w:val="es-MX"/>
            </w:rPr>
            <w:t>Universidad Autónoma del Estado de México</w:t>
          </w:r>
        </w:p>
      </w:tc>
    </w:tr>
    <w:tr w:rsidR="000204DC" w:rsidRPr="00E152D8" w14:paraId="3156BE5F" w14:textId="77777777" w:rsidTr="004E0A7C">
      <w:trPr>
        <w:trHeight w:val="273"/>
      </w:trPr>
      <w:tc>
        <w:tcPr>
          <w:tcW w:w="2551" w:type="dxa"/>
        </w:tcPr>
        <w:p w14:paraId="183B2F1A" w14:textId="77777777" w:rsidR="000204DC" w:rsidRPr="00E152D8" w:rsidRDefault="000204DC" w:rsidP="00347876">
          <w:pPr>
            <w:tabs>
              <w:tab w:val="right" w:pos="8838"/>
            </w:tabs>
            <w:ind w:right="-105"/>
            <w:rPr>
              <w:rFonts w:eastAsia="Calibri" w:cs="Tahoma"/>
              <w:b/>
              <w:lang w:val="es-MX"/>
            </w:rPr>
          </w:pPr>
          <w:r w:rsidRPr="00E152D8">
            <w:rPr>
              <w:rFonts w:eastAsia="Calibri" w:cs="Tahoma"/>
              <w:b/>
              <w:lang w:val="es-MX"/>
            </w:rPr>
            <w:t>Comisionado Ponente:</w:t>
          </w:r>
        </w:p>
      </w:tc>
      <w:tc>
        <w:tcPr>
          <w:tcW w:w="2836" w:type="dxa"/>
        </w:tcPr>
        <w:p w14:paraId="318AB537" w14:textId="77777777" w:rsidR="000204DC" w:rsidRPr="00E152D8" w:rsidRDefault="000204DC"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0204DC" w:rsidRDefault="004E1020"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528"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0204DC" w:rsidRPr="00E152D8" w14:paraId="773597DE" w14:textId="77777777" w:rsidTr="00AD6680">
      <w:trPr>
        <w:trHeight w:val="132"/>
      </w:trPr>
      <w:tc>
        <w:tcPr>
          <w:tcW w:w="2551" w:type="dxa"/>
        </w:tcPr>
        <w:p w14:paraId="4FCB3AA3" w14:textId="77777777" w:rsidR="000204DC" w:rsidRPr="00E152D8" w:rsidRDefault="000204DC" w:rsidP="00347876">
          <w:pPr>
            <w:tabs>
              <w:tab w:val="right" w:pos="8838"/>
            </w:tabs>
            <w:ind w:right="-105"/>
            <w:rPr>
              <w:rFonts w:eastAsia="Calibri" w:cs="Tahoma"/>
              <w:b/>
              <w:lang w:val="es-MX"/>
            </w:rPr>
          </w:pPr>
          <w:r w:rsidRPr="00E152D8">
            <w:rPr>
              <w:rFonts w:eastAsia="Calibri" w:cs="Tahoma"/>
              <w:b/>
              <w:lang w:val="es-MX"/>
            </w:rPr>
            <w:t>Recurso de Revisión:</w:t>
          </w:r>
        </w:p>
      </w:tc>
      <w:tc>
        <w:tcPr>
          <w:tcW w:w="2977" w:type="dxa"/>
        </w:tcPr>
        <w:p w14:paraId="42955DA0" w14:textId="3EE137F5" w:rsidR="000204DC" w:rsidRPr="00051642" w:rsidRDefault="000204DC" w:rsidP="001A3A3E">
          <w:pPr>
            <w:tabs>
              <w:tab w:val="right" w:pos="8838"/>
            </w:tabs>
            <w:ind w:left="-113" w:right="-32"/>
            <w:rPr>
              <w:rFonts w:eastAsia="Calibri" w:cs="Tahoma"/>
            </w:rPr>
          </w:pPr>
          <w:r w:rsidRPr="00B26B9A">
            <w:rPr>
              <w:rFonts w:eastAsia="Calibri" w:cs="Tahoma"/>
              <w:lang w:val="es-MX"/>
            </w:rPr>
            <w:t>02476/INFOEM/IP/RR/2025</w:t>
          </w:r>
        </w:p>
      </w:tc>
    </w:tr>
    <w:tr w:rsidR="000204DC" w:rsidRPr="00E152D8" w14:paraId="202FB661" w14:textId="77777777" w:rsidTr="00AD6680">
      <w:trPr>
        <w:trHeight w:val="132"/>
      </w:trPr>
      <w:tc>
        <w:tcPr>
          <w:tcW w:w="2551" w:type="dxa"/>
          <w:shd w:val="clear" w:color="auto" w:fill="auto"/>
        </w:tcPr>
        <w:p w14:paraId="5E100A32" w14:textId="77777777" w:rsidR="000204DC" w:rsidRPr="00E152D8" w:rsidRDefault="000204DC"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2977" w:type="dxa"/>
          <w:shd w:val="clear" w:color="auto" w:fill="auto"/>
        </w:tcPr>
        <w:p w14:paraId="28640565" w14:textId="64A7D832" w:rsidR="000204DC" w:rsidRPr="00E21446" w:rsidRDefault="000204DC" w:rsidP="004E0A7C">
          <w:pPr>
            <w:tabs>
              <w:tab w:val="right" w:pos="8838"/>
            </w:tabs>
            <w:rPr>
              <w:rFonts w:eastAsia="Calibri" w:cs="Tahoma"/>
              <w:lang w:val="es-MX"/>
            </w:rPr>
          </w:pPr>
        </w:p>
      </w:tc>
    </w:tr>
    <w:tr w:rsidR="000204DC" w:rsidRPr="00E152D8" w14:paraId="1BA9B09B" w14:textId="77777777" w:rsidTr="00AD6680">
      <w:trPr>
        <w:trHeight w:val="261"/>
      </w:trPr>
      <w:tc>
        <w:tcPr>
          <w:tcW w:w="2551" w:type="dxa"/>
        </w:tcPr>
        <w:p w14:paraId="6174740A" w14:textId="77777777" w:rsidR="000204DC" w:rsidRPr="00E152D8" w:rsidRDefault="000204DC"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977" w:type="dxa"/>
        </w:tcPr>
        <w:p w14:paraId="4B948471" w14:textId="5749C1ED" w:rsidR="000204DC" w:rsidRPr="00051642" w:rsidRDefault="000204DC" w:rsidP="001A3A3E">
          <w:pPr>
            <w:tabs>
              <w:tab w:val="right" w:pos="8838"/>
            </w:tabs>
            <w:ind w:left="-113" w:right="-32"/>
            <w:rPr>
              <w:rFonts w:eastAsia="Calibri" w:cs="Tahoma"/>
              <w:lang w:val="es-MX"/>
            </w:rPr>
          </w:pPr>
          <w:r>
            <w:rPr>
              <w:rFonts w:eastAsia="Calibri" w:cs="Tahoma"/>
              <w:lang w:val="es-MX"/>
            </w:rPr>
            <w:t>Universidad Autónoma del Estado de México</w:t>
          </w:r>
        </w:p>
      </w:tc>
    </w:tr>
    <w:tr w:rsidR="000204DC" w:rsidRPr="00E152D8" w14:paraId="3F18AACD" w14:textId="77777777" w:rsidTr="00AD6680">
      <w:trPr>
        <w:trHeight w:val="261"/>
      </w:trPr>
      <w:tc>
        <w:tcPr>
          <w:tcW w:w="2551" w:type="dxa"/>
        </w:tcPr>
        <w:p w14:paraId="57E8DDB5" w14:textId="77777777" w:rsidR="000204DC" w:rsidRPr="00E152D8" w:rsidRDefault="000204DC" w:rsidP="00347876">
          <w:pPr>
            <w:tabs>
              <w:tab w:val="right" w:pos="8838"/>
            </w:tabs>
            <w:ind w:right="-105"/>
            <w:rPr>
              <w:rFonts w:eastAsia="Calibri" w:cs="Tahoma"/>
              <w:b/>
              <w:lang w:val="es-MX"/>
            </w:rPr>
          </w:pPr>
          <w:r w:rsidRPr="00E152D8">
            <w:rPr>
              <w:rFonts w:eastAsia="Calibri" w:cs="Tahoma"/>
              <w:b/>
              <w:lang w:val="es-MX"/>
            </w:rPr>
            <w:t>Comisionado Ponente:</w:t>
          </w:r>
        </w:p>
      </w:tc>
      <w:tc>
        <w:tcPr>
          <w:tcW w:w="2977" w:type="dxa"/>
        </w:tcPr>
        <w:p w14:paraId="1B8E59D3" w14:textId="77777777" w:rsidR="000204DC" w:rsidRPr="00E152D8" w:rsidRDefault="000204DC" w:rsidP="001A3A3E">
          <w:pPr>
            <w:tabs>
              <w:tab w:val="right" w:pos="8838"/>
            </w:tabs>
            <w:ind w:left="-113" w:right="-32"/>
            <w:rPr>
              <w:rFonts w:eastAsia="Calibri" w:cs="Tahoma"/>
              <w:b/>
              <w:lang w:val="es-MX"/>
            </w:rPr>
          </w:pPr>
          <w:r w:rsidRPr="00E152D8">
            <w:rPr>
              <w:rFonts w:eastAsia="Calibri" w:cs="Tahoma"/>
              <w:lang w:val="es-MX"/>
            </w:rPr>
            <w:t>Luis Gustavo Parra Noriega</w:t>
          </w:r>
        </w:p>
      </w:tc>
    </w:tr>
  </w:tbl>
  <w:p w14:paraId="305D4853" w14:textId="77777777" w:rsidR="000204DC" w:rsidRDefault="004E1020"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3.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4EC"/>
    <w:multiLevelType w:val="hybridMultilevel"/>
    <w:tmpl w:val="940AC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4A412F"/>
    <w:multiLevelType w:val="multilevel"/>
    <w:tmpl w:val="ED36F9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227498"/>
    <w:multiLevelType w:val="hybridMultilevel"/>
    <w:tmpl w:val="5C7A2C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B1A102B"/>
    <w:multiLevelType w:val="multilevel"/>
    <w:tmpl w:val="0CB6E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BA60E1"/>
    <w:multiLevelType w:val="hybridMultilevel"/>
    <w:tmpl w:val="A338401C"/>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852DEF"/>
    <w:multiLevelType w:val="hybridMultilevel"/>
    <w:tmpl w:val="A5C4FB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F2B52D5"/>
    <w:multiLevelType w:val="hybridMultilevel"/>
    <w:tmpl w:val="9AB0BA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2FC84ABF"/>
    <w:multiLevelType w:val="hybridMultilevel"/>
    <w:tmpl w:val="940AC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101247C"/>
    <w:multiLevelType w:val="hybridMultilevel"/>
    <w:tmpl w:val="BB621E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857DAF"/>
    <w:multiLevelType w:val="hybridMultilevel"/>
    <w:tmpl w:val="EC62F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86C5F"/>
    <w:multiLevelType w:val="hybridMultilevel"/>
    <w:tmpl w:val="B198A6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3486277"/>
    <w:multiLevelType w:val="hybridMultilevel"/>
    <w:tmpl w:val="8D6AA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C4640A"/>
    <w:multiLevelType w:val="hybridMultilevel"/>
    <w:tmpl w:val="36AE0536"/>
    <w:lvl w:ilvl="0" w:tplc="20E07EE4">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A4D2B40"/>
    <w:multiLevelType w:val="hybridMultilevel"/>
    <w:tmpl w:val="0E4A87C2"/>
    <w:lvl w:ilvl="0" w:tplc="08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6152AEC"/>
    <w:multiLevelType w:val="hybridMultilevel"/>
    <w:tmpl w:val="2548854A"/>
    <w:lvl w:ilvl="0" w:tplc="60622DB6">
      <w:start w:val="5"/>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B1328BC"/>
    <w:multiLevelType w:val="hybridMultilevel"/>
    <w:tmpl w:val="D4F2C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80521D"/>
    <w:multiLevelType w:val="hybridMultilevel"/>
    <w:tmpl w:val="D862A1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BB230C"/>
    <w:multiLevelType w:val="multilevel"/>
    <w:tmpl w:val="5DB091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E55C71"/>
    <w:multiLevelType w:val="hybridMultilevel"/>
    <w:tmpl w:val="43BCE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4522D9"/>
    <w:multiLevelType w:val="hybridMultilevel"/>
    <w:tmpl w:val="41829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5F00100"/>
    <w:multiLevelType w:val="multilevel"/>
    <w:tmpl w:val="1D7A1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7B55E95"/>
    <w:multiLevelType w:val="hybridMultilevel"/>
    <w:tmpl w:val="966E7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46604E"/>
    <w:multiLevelType w:val="hybridMultilevel"/>
    <w:tmpl w:val="BC4E8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B0163E7"/>
    <w:multiLevelType w:val="multilevel"/>
    <w:tmpl w:val="C7047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DBA3B14"/>
    <w:multiLevelType w:val="hybridMultilevel"/>
    <w:tmpl w:val="E4FEA3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15:restartNumberingAfterBreak="0">
    <w:nsid w:val="736C50A3"/>
    <w:multiLevelType w:val="multilevel"/>
    <w:tmpl w:val="9830064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5AD42B6"/>
    <w:multiLevelType w:val="hybridMultilevel"/>
    <w:tmpl w:val="4406027C"/>
    <w:lvl w:ilvl="0" w:tplc="C21A1B7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9E565E"/>
    <w:multiLevelType w:val="hybridMultilevel"/>
    <w:tmpl w:val="1BFA9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7C830C95"/>
    <w:multiLevelType w:val="hybridMultilevel"/>
    <w:tmpl w:val="D04436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3"/>
  </w:num>
  <w:num w:numId="4">
    <w:abstractNumId w:val="8"/>
  </w:num>
  <w:num w:numId="5">
    <w:abstractNumId w:val="17"/>
  </w:num>
  <w:num w:numId="6">
    <w:abstractNumId w:val="13"/>
  </w:num>
  <w:num w:numId="7">
    <w:abstractNumId w:val="21"/>
  </w:num>
  <w:num w:numId="8">
    <w:abstractNumId w:val="23"/>
  </w:num>
  <w:num w:numId="9">
    <w:abstractNumId w:val="20"/>
  </w:num>
  <w:num w:numId="10">
    <w:abstractNumId w:val="2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9"/>
  </w:num>
  <w:num w:numId="14">
    <w:abstractNumId w:val="42"/>
  </w:num>
  <w:num w:numId="15">
    <w:abstractNumId w:val="18"/>
  </w:num>
  <w:num w:numId="16">
    <w:abstractNumId w:val="16"/>
  </w:num>
  <w:num w:numId="17">
    <w:abstractNumId w:val="22"/>
  </w:num>
  <w:num w:numId="18">
    <w:abstractNumId w:val="0"/>
  </w:num>
  <w:num w:numId="19">
    <w:abstractNumId w:val="28"/>
  </w:num>
  <w:num w:numId="20">
    <w:abstractNumId w:val="35"/>
  </w:num>
  <w:num w:numId="21">
    <w:abstractNumId w:val="27"/>
  </w:num>
  <w:num w:numId="22">
    <w:abstractNumId w:val="33"/>
  </w:num>
  <w:num w:numId="23">
    <w:abstractNumId w:val="31"/>
  </w:num>
  <w:num w:numId="24">
    <w:abstractNumId w:val="25"/>
  </w:num>
  <w:num w:numId="25">
    <w:abstractNumId w:val="14"/>
  </w:num>
  <w:num w:numId="26">
    <w:abstractNumId w:val="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1"/>
  </w:num>
  <w:num w:numId="30">
    <w:abstractNumId w:val="11"/>
  </w:num>
  <w:num w:numId="31">
    <w:abstractNumId w:val="10"/>
  </w:num>
  <w:num w:numId="32">
    <w:abstractNumId w:val="6"/>
  </w:num>
  <w:num w:numId="33">
    <w:abstractNumId w:val="36"/>
  </w:num>
  <w:num w:numId="34">
    <w:abstractNumId w:val="30"/>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
  </w:num>
  <w:num w:numId="38">
    <w:abstractNumId w:val="2"/>
  </w:num>
  <w:num w:numId="39">
    <w:abstractNumId w:val="32"/>
  </w:num>
  <w:num w:numId="40">
    <w:abstractNumId w:val="40"/>
  </w:num>
  <w:num w:numId="41">
    <w:abstractNumId w:val="26"/>
  </w:num>
  <w:num w:numId="42">
    <w:abstractNumId w:val="9"/>
  </w:num>
  <w:num w:numId="43">
    <w:abstractNumId w:val="1"/>
  </w:num>
  <w:num w:numId="44">
    <w:abstractNumId w:val="19"/>
  </w:num>
  <w:num w:numId="4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2991"/>
    <w:rsid w:val="00003D94"/>
    <w:rsid w:val="000045A6"/>
    <w:rsid w:val="00006636"/>
    <w:rsid w:val="00007F3F"/>
    <w:rsid w:val="000204DC"/>
    <w:rsid w:val="00031456"/>
    <w:rsid w:val="0003316E"/>
    <w:rsid w:val="000362D0"/>
    <w:rsid w:val="0004161E"/>
    <w:rsid w:val="00041844"/>
    <w:rsid w:val="00042509"/>
    <w:rsid w:val="000437DC"/>
    <w:rsid w:val="00043CDA"/>
    <w:rsid w:val="000539BD"/>
    <w:rsid w:val="00053BC6"/>
    <w:rsid w:val="000558EC"/>
    <w:rsid w:val="00060685"/>
    <w:rsid w:val="00060723"/>
    <w:rsid w:val="00063884"/>
    <w:rsid w:val="000716E3"/>
    <w:rsid w:val="00076681"/>
    <w:rsid w:val="00080393"/>
    <w:rsid w:val="00081ABD"/>
    <w:rsid w:val="000821F8"/>
    <w:rsid w:val="00087796"/>
    <w:rsid w:val="00094584"/>
    <w:rsid w:val="00096AE4"/>
    <w:rsid w:val="000A0A70"/>
    <w:rsid w:val="000A2D13"/>
    <w:rsid w:val="000B2239"/>
    <w:rsid w:val="000B70D0"/>
    <w:rsid w:val="000C1FDB"/>
    <w:rsid w:val="000D43AB"/>
    <w:rsid w:val="000D4873"/>
    <w:rsid w:val="000D49DD"/>
    <w:rsid w:val="000E2D83"/>
    <w:rsid w:val="000F5268"/>
    <w:rsid w:val="000F74C0"/>
    <w:rsid w:val="00107769"/>
    <w:rsid w:val="00110D4D"/>
    <w:rsid w:val="001140A5"/>
    <w:rsid w:val="0013015C"/>
    <w:rsid w:val="001334D1"/>
    <w:rsid w:val="0014339D"/>
    <w:rsid w:val="00147F38"/>
    <w:rsid w:val="00153932"/>
    <w:rsid w:val="00155A01"/>
    <w:rsid w:val="00156035"/>
    <w:rsid w:val="0015730E"/>
    <w:rsid w:val="001609BD"/>
    <w:rsid w:val="00166789"/>
    <w:rsid w:val="0018355D"/>
    <w:rsid w:val="00183736"/>
    <w:rsid w:val="00191491"/>
    <w:rsid w:val="00195CF5"/>
    <w:rsid w:val="001A0F43"/>
    <w:rsid w:val="001A2B03"/>
    <w:rsid w:val="001A3275"/>
    <w:rsid w:val="001A3A3E"/>
    <w:rsid w:val="001B6F42"/>
    <w:rsid w:val="001C137C"/>
    <w:rsid w:val="001C7AC2"/>
    <w:rsid w:val="001E2583"/>
    <w:rsid w:val="001E3C40"/>
    <w:rsid w:val="001E59AF"/>
    <w:rsid w:val="001E7C66"/>
    <w:rsid w:val="001F22AA"/>
    <w:rsid w:val="001F3934"/>
    <w:rsid w:val="001F5C0B"/>
    <w:rsid w:val="00202D93"/>
    <w:rsid w:val="00203961"/>
    <w:rsid w:val="0020547F"/>
    <w:rsid w:val="00207046"/>
    <w:rsid w:val="00213634"/>
    <w:rsid w:val="00213CBF"/>
    <w:rsid w:val="00222A22"/>
    <w:rsid w:val="00223665"/>
    <w:rsid w:val="00230BC7"/>
    <w:rsid w:val="002324D1"/>
    <w:rsid w:val="002353CB"/>
    <w:rsid w:val="002415DE"/>
    <w:rsid w:val="00243A71"/>
    <w:rsid w:val="002470F9"/>
    <w:rsid w:val="00250655"/>
    <w:rsid w:val="0025077A"/>
    <w:rsid w:val="00251B33"/>
    <w:rsid w:val="00254457"/>
    <w:rsid w:val="00254F36"/>
    <w:rsid w:val="00263263"/>
    <w:rsid w:val="00264675"/>
    <w:rsid w:val="00267FB5"/>
    <w:rsid w:val="002705C2"/>
    <w:rsid w:val="00271E47"/>
    <w:rsid w:val="00275938"/>
    <w:rsid w:val="00283AD8"/>
    <w:rsid w:val="00293277"/>
    <w:rsid w:val="00293C56"/>
    <w:rsid w:val="00297A5A"/>
    <w:rsid w:val="002A0B3A"/>
    <w:rsid w:val="002A3F0C"/>
    <w:rsid w:val="002A40A0"/>
    <w:rsid w:val="002B51F2"/>
    <w:rsid w:val="002C19D9"/>
    <w:rsid w:val="002C3558"/>
    <w:rsid w:val="002D117D"/>
    <w:rsid w:val="002F1D02"/>
    <w:rsid w:val="002F4410"/>
    <w:rsid w:val="002F6AF8"/>
    <w:rsid w:val="002F7D8F"/>
    <w:rsid w:val="00301078"/>
    <w:rsid w:val="0030377D"/>
    <w:rsid w:val="00306FB6"/>
    <w:rsid w:val="00313596"/>
    <w:rsid w:val="003145F9"/>
    <w:rsid w:val="0032289C"/>
    <w:rsid w:val="00331F46"/>
    <w:rsid w:val="0033782D"/>
    <w:rsid w:val="00344846"/>
    <w:rsid w:val="00345375"/>
    <w:rsid w:val="00345BB5"/>
    <w:rsid w:val="00347876"/>
    <w:rsid w:val="003514D6"/>
    <w:rsid w:val="00351EB4"/>
    <w:rsid w:val="003556D5"/>
    <w:rsid w:val="0036051C"/>
    <w:rsid w:val="00363DED"/>
    <w:rsid w:val="00365137"/>
    <w:rsid w:val="003727BC"/>
    <w:rsid w:val="00382B56"/>
    <w:rsid w:val="003837EE"/>
    <w:rsid w:val="00387E7C"/>
    <w:rsid w:val="003905B1"/>
    <w:rsid w:val="00390BA0"/>
    <w:rsid w:val="00394286"/>
    <w:rsid w:val="00394344"/>
    <w:rsid w:val="00397810"/>
    <w:rsid w:val="003A123A"/>
    <w:rsid w:val="003B04E1"/>
    <w:rsid w:val="003B3103"/>
    <w:rsid w:val="003B3DC8"/>
    <w:rsid w:val="003B5857"/>
    <w:rsid w:val="003B73AC"/>
    <w:rsid w:val="003C74A7"/>
    <w:rsid w:val="003E55F1"/>
    <w:rsid w:val="003E5ADD"/>
    <w:rsid w:val="003E6429"/>
    <w:rsid w:val="003E678B"/>
    <w:rsid w:val="003F5EB5"/>
    <w:rsid w:val="003F63DA"/>
    <w:rsid w:val="00411430"/>
    <w:rsid w:val="00415F0B"/>
    <w:rsid w:val="0043029B"/>
    <w:rsid w:val="004327D0"/>
    <w:rsid w:val="00444157"/>
    <w:rsid w:val="004500E2"/>
    <w:rsid w:val="004552D8"/>
    <w:rsid w:val="00455DCB"/>
    <w:rsid w:val="00456B51"/>
    <w:rsid w:val="00460FFC"/>
    <w:rsid w:val="004610AE"/>
    <w:rsid w:val="0046538F"/>
    <w:rsid w:val="004714D3"/>
    <w:rsid w:val="004724CB"/>
    <w:rsid w:val="00486A83"/>
    <w:rsid w:val="004908D0"/>
    <w:rsid w:val="0049737D"/>
    <w:rsid w:val="004A5AD5"/>
    <w:rsid w:val="004B4B36"/>
    <w:rsid w:val="004B52B2"/>
    <w:rsid w:val="004B7332"/>
    <w:rsid w:val="004E0A7C"/>
    <w:rsid w:val="004E1020"/>
    <w:rsid w:val="004E5AB1"/>
    <w:rsid w:val="004F74F5"/>
    <w:rsid w:val="005032B4"/>
    <w:rsid w:val="00505C1F"/>
    <w:rsid w:val="0050623A"/>
    <w:rsid w:val="005225BB"/>
    <w:rsid w:val="00530E22"/>
    <w:rsid w:val="00537251"/>
    <w:rsid w:val="005400EE"/>
    <w:rsid w:val="00540E22"/>
    <w:rsid w:val="00561B10"/>
    <w:rsid w:val="005620CE"/>
    <w:rsid w:val="005634C6"/>
    <w:rsid w:val="0057282C"/>
    <w:rsid w:val="0057399D"/>
    <w:rsid w:val="00574C02"/>
    <w:rsid w:val="0057545A"/>
    <w:rsid w:val="005811D2"/>
    <w:rsid w:val="00581D38"/>
    <w:rsid w:val="0058439E"/>
    <w:rsid w:val="00587799"/>
    <w:rsid w:val="005902EF"/>
    <w:rsid w:val="005913D6"/>
    <w:rsid w:val="00596D1D"/>
    <w:rsid w:val="00597282"/>
    <w:rsid w:val="005A538C"/>
    <w:rsid w:val="005A6BEC"/>
    <w:rsid w:val="005A7DC1"/>
    <w:rsid w:val="005B6363"/>
    <w:rsid w:val="005B7160"/>
    <w:rsid w:val="005C2558"/>
    <w:rsid w:val="005C459D"/>
    <w:rsid w:val="005C53C7"/>
    <w:rsid w:val="005C6124"/>
    <w:rsid w:val="005C6199"/>
    <w:rsid w:val="005D04FC"/>
    <w:rsid w:val="005D2E38"/>
    <w:rsid w:val="005D3D54"/>
    <w:rsid w:val="005E53AE"/>
    <w:rsid w:val="005E6D9C"/>
    <w:rsid w:val="005F66FA"/>
    <w:rsid w:val="00606D94"/>
    <w:rsid w:val="006115F4"/>
    <w:rsid w:val="00614F87"/>
    <w:rsid w:val="00623947"/>
    <w:rsid w:val="006343FA"/>
    <w:rsid w:val="006400F1"/>
    <w:rsid w:val="0064639F"/>
    <w:rsid w:val="006513E1"/>
    <w:rsid w:val="00653139"/>
    <w:rsid w:val="00655864"/>
    <w:rsid w:val="00661EFD"/>
    <w:rsid w:val="00662953"/>
    <w:rsid w:val="00663B7A"/>
    <w:rsid w:val="006651F1"/>
    <w:rsid w:val="00667107"/>
    <w:rsid w:val="00672292"/>
    <w:rsid w:val="006725DC"/>
    <w:rsid w:val="00673579"/>
    <w:rsid w:val="006760A0"/>
    <w:rsid w:val="006778B9"/>
    <w:rsid w:val="0068386C"/>
    <w:rsid w:val="00687D24"/>
    <w:rsid w:val="00690F8B"/>
    <w:rsid w:val="006945D2"/>
    <w:rsid w:val="006A0867"/>
    <w:rsid w:val="006A12A6"/>
    <w:rsid w:val="006B1CAC"/>
    <w:rsid w:val="006B6340"/>
    <w:rsid w:val="006C3439"/>
    <w:rsid w:val="006D6FB5"/>
    <w:rsid w:val="006E0EEB"/>
    <w:rsid w:val="006E26AA"/>
    <w:rsid w:val="006E50E1"/>
    <w:rsid w:val="006E5BE2"/>
    <w:rsid w:val="006E6293"/>
    <w:rsid w:val="006F3A6C"/>
    <w:rsid w:val="006F52E8"/>
    <w:rsid w:val="006F61A6"/>
    <w:rsid w:val="00711A43"/>
    <w:rsid w:val="007146FE"/>
    <w:rsid w:val="007309C0"/>
    <w:rsid w:val="00734447"/>
    <w:rsid w:val="007366CA"/>
    <w:rsid w:val="0073758B"/>
    <w:rsid w:val="00737CF6"/>
    <w:rsid w:val="00742988"/>
    <w:rsid w:val="00742C37"/>
    <w:rsid w:val="007475D7"/>
    <w:rsid w:val="00760E91"/>
    <w:rsid w:val="00761C2B"/>
    <w:rsid w:val="00763706"/>
    <w:rsid w:val="0076543C"/>
    <w:rsid w:val="00767EFB"/>
    <w:rsid w:val="007719F0"/>
    <w:rsid w:val="00771B61"/>
    <w:rsid w:val="00780EC7"/>
    <w:rsid w:val="00784C5C"/>
    <w:rsid w:val="007850C7"/>
    <w:rsid w:val="007911D8"/>
    <w:rsid w:val="00793460"/>
    <w:rsid w:val="00795C9D"/>
    <w:rsid w:val="007A0FD6"/>
    <w:rsid w:val="007B5D0A"/>
    <w:rsid w:val="007B68D1"/>
    <w:rsid w:val="007C11CD"/>
    <w:rsid w:val="007C35E6"/>
    <w:rsid w:val="007C5098"/>
    <w:rsid w:val="007D1412"/>
    <w:rsid w:val="007D4C0D"/>
    <w:rsid w:val="007E364C"/>
    <w:rsid w:val="007F08B3"/>
    <w:rsid w:val="007F179C"/>
    <w:rsid w:val="007F271C"/>
    <w:rsid w:val="007F30B4"/>
    <w:rsid w:val="007F313E"/>
    <w:rsid w:val="007F316D"/>
    <w:rsid w:val="00810125"/>
    <w:rsid w:val="00811A30"/>
    <w:rsid w:val="00812FC7"/>
    <w:rsid w:val="00814335"/>
    <w:rsid w:val="00826E2F"/>
    <w:rsid w:val="00827355"/>
    <w:rsid w:val="00837B92"/>
    <w:rsid w:val="00842679"/>
    <w:rsid w:val="00852BB1"/>
    <w:rsid w:val="0085311A"/>
    <w:rsid w:val="00854F21"/>
    <w:rsid w:val="00871B37"/>
    <w:rsid w:val="00871B5E"/>
    <w:rsid w:val="00876B0D"/>
    <w:rsid w:val="0088315D"/>
    <w:rsid w:val="0088326C"/>
    <w:rsid w:val="00885D3F"/>
    <w:rsid w:val="0089217F"/>
    <w:rsid w:val="0089704B"/>
    <w:rsid w:val="008A119D"/>
    <w:rsid w:val="008A310A"/>
    <w:rsid w:val="008B092D"/>
    <w:rsid w:val="008B2C31"/>
    <w:rsid w:val="008B6D57"/>
    <w:rsid w:val="008C169C"/>
    <w:rsid w:val="008C3E58"/>
    <w:rsid w:val="008D1B96"/>
    <w:rsid w:val="008E279B"/>
    <w:rsid w:val="008E777E"/>
    <w:rsid w:val="008F42E3"/>
    <w:rsid w:val="008F72BB"/>
    <w:rsid w:val="00903685"/>
    <w:rsid w:val="0090575C"/>
    <w:rsid w:val="00906BD3"/>
    <w:rsid w:val="00914B0A"/>
    <w:rsid w:val="00920C0F"/>
    <w:rsid w:val="00937303"/>
    <w:rsid w:val="00940303"/>
    <w:rsid w:val="00950B98"/>
    <w:rsid w:val="009522EC"/>
    <w:rsid w:val="0095305F"/>
    <w:rsid w:val="00963FF5"/>
    <w:rsid w:val="0097330C"/>
    <w:rsid w:val="00974A6B"/>
    <w:rsid w:val="00984103"/>
    <w:rsid w:val="00986D27"/>
    <w:rsid w:val="009923AC"/>
    <w:rsid w:val="00992875"/>
    <w:rsid w:val="00992B43"/>
    <w:rsid w:val="00993137"/>
    <w:rsid w:val="00994337"/>
    <w:rsid w:val="009966A3"/>
    <w:rsid w:val="00997B21"/>
    <w:rsid w:val="009A3161"/>
    <w:rsid w:val="009A3569"/>
    <w:rsid w:val="009A627C"/>
    <w:rsid w:val="009B365B"/>
    <w:rsid w:val="009B51EF"/>
    <w:rsid w:val="009B6275"/>
    <w:rsid w:val="009C0D40"/>
    <w:rsid w:val="009C0DF7"/>
    <w:rsid w:val="009C1C46"/>
    <w:rsid w:val="009C3492"/>
    <w:rsid w:val="009C7586"/>
    <w:rsid w:val="009F13CF"/>
    <w:rsid w:val="009F4EA5"/>
    <w:rsid w:val="00A00D8D"/>
    <w:rsid w:val="00A1763C"/>
    <w:rsid w:val="00A215E3"/>
    <w:rsid w:val="00A234A1"/>
    <w:rsid w:val="00A305C7"/>
    <w:rsid w:val="00A322C2"/>
    <w:rsid w:val="00A338BB"/>
    <w:rsid w:val="00A370A3"/>
    <w:rsid w:val="00A4013F"/>
    <w:rsid w:val="00A447FF"/>
    <w:rsid w:val="00A5086A"/>
    <w:rsid w:val="00A555FF"/>
    <w:rsid w:val="00A63EA5"/>
    <w:rsid w:val="00A72795"/>
    <w:rsid w:val="00A87DB7"/>
    <w:rsid w:val="00A9056D"/>
    <w:rsid w:val="00A9339B"/>
    <w:rsid w:val="00A94AFB"/>
    <w:rsid w:val="00A94CDA"/>
    <w:rsid w:val="00AA08E2"/>
    <w:rsid w:val="00AA2962"/>
    <w:rsid w:val="00AA53B5"/>
    <w:rsid w:val="00AA7588"/>
    <w:rsid w:val="00AB2611"/>
    <w:rsid w:val="00AC0DB0"/>
    <w:rsid w:val="00AC29A0"/>
    <w:rsid w:val="00AD3CF8"/>
    <w:rsid w:val="00AD6680"/>
    <w:rsid w:val="00AE1849"/>
    <w:rsid w:val="00AE1F48"/>
    <w:rsid w:val="00AE2855"/>
    <w:rsid w:val="00AE490F"/>
    <w:rsid w:val="00AE6AB4"/>
    <w:rsid w:val="00AF0C82"/>
    <w:rsid w:val="00AF7145"/>
    <w:rsid w:val="00B000C5"/>
    <w:rsid w:val="00B022F4"/>
    <w:rsid w:val="00B06616"/>
    <w:rsid w:val="00B12570"/>
    <w:rsid w:val="00B135B9"/>
    <w:rsid w:val="00B17F6D"/>
    <w:rsid w:val="00B26046"/>
    <w:rsid w:val="00B26B9A"/>
    <w:rsid w:val="00B34338"/>
    <w:rsid w:val="00B417C3"/>
    <w:rsid w:val="00B456E9"/>
    <w:rsid w:val="00B47828"/>
    <w:rsid w:val="00B557DF"/>
    <w:rsid w:val="00B60C67"/>
    <w:rsid w:val="00B60D25"/>
    <w:rsid w:val="00B6148C"/>
    <w:rsid w:val="00B65D21"/>
    <w:rsid w:val="00B67328"/>
    <w:rsid w:val="00B7094E"/>
    <w:rsid w:val="00B71113"/>
    <w:rsid w:val="00B732D1"/>
    <w:rsid w:val="00B7798E"/>
    <w:rsid w:val="00B77DBE"/>
    <w:rsid w:val="00B83462"/>
    <w:rsid w:val="00B83636"/>
    <w:rsid w:val="00B841F8"/>
    <w:rsid w:val="00B86C3D"/>
    <w:rsid w:val="00BA7F47"/>
    <w:rsid w:val="00BB36D2"/>
    <w:rsid w:val="00BB54A2"/>
    <w:rsid w:val="00BC0925"/>
    <w:rsid w:val="00BC29F2"/>
    <w:rsid w:val="00BC7FA2"/>
    <w:rsid w:val="00BD7749"/>
    <w:rsid w:val="00BD7EC5"/>
    <w:rsid w:val="00BE3A60"/>
    <w:rsid w:val="00BE4762"/>
    <w:rsid w:val="00BF53E4"/>
    <w:rsid w:val="00BF56D7"/>
    <w:rsid w:val="00BF77B7"/>
    <w:rsid w:val="00C0397C"/>
    <w:rsid w:val="00C14171"/>
    <w:rsid w:val="00C14C5B"/>
    <w:rsid w:val="00C17EBF"/>
    <w:rsid w:val="00C2129B"/>
    <w:rsid w:val="00C213A5"/>
    <w:rsid w:val="00C337E5"/>
    <w:rsid w:val="00C53CDF"/>
    <w:rsid w:val="00C54015"/>
    <w:rsid w:val="00C57B5B"/>
    <w:rsid w:val="00C66273"/>
    <w:rsid w:val="00C764ED"/>
    <w:rsid w:val="00C821DD"/>
    <w:rsid w:val="00C8279F"/>
    <w:rsid w:val="00C8608C"/>
    <w:rsid w:val="00C92204"/>
    <w:rsid w:val="00C977DC"/>
    <w:rsid w:val="00CA0F13"/>
    <w:rsid w:val="00CA13E3"/>
    <w:rsid w:val="00CB0D27"/>
    <w:rsid w:val="00CB16D3"/>
    <w:rsid w:val="00CB2FA4"/>
    <w:rsid w:val="00CB45F7"/>
    <w:rsid w:val="00CC450F"/>
    <w:rsid w:val="00CD1E3A"/>
    <w:rsid w:val="00CD369E"/>
    <w:rsid w:val="00CE67CA"/>
    <w:rsid w:val="00CE7148"/>
    <w:rsid w:val="00CF039D"/>
    <w:rsid w:val="00CF4407"/>
    <w:rsid w:val="00D00979"/>
    <w:rsid w:val="00D0244F"/>
    <w:rsid w:val="00D03F17"/>
    <w:rsid w:val="00D07290"/>
    <w:rsid w:val="00D10B74"/>
    <w:rsid w:val="00D3439C"/>
    <w:rsid w:val="00D34D61"/>
    <w:rsid w:val="00D42759"/>
    <w:rsid w:val="00D46D56"/>
    <w:rsid w:val="00D520F7"/>
    <w:rsid w:val="00D526D5"/>
    <w:rsid w:val="00D57224"/>
    <w:rsid w:val="00D60E83"/>
    <w:rsid w:val="00D74C1C"/>
    <w:rsid w:val="00D77576"/>
    <w:rsid w:val="00D84809"/>
    <w:rsid w:val="00D9398F"/>
    <w:rsid w:val="00D93EAF"/>
    <w:rsid w:val="00D95C1D"/>
    <w:rsid w:val="00D96AF9"/>
    <w:rsid w:val="00DA412B"/>
    <w:rsid w:val="00DA66BF"/>
    <w:rsid w:val="00DB3DC5"/>
    <w:rsid w:val="00DC3EDC"/>
    <w:rsid w:val="00DC42DF"/>
    <w:rsid w:val="00DD2397"/>
    <w:rsid w:val="00DD2E0C"/>
    <w:rsid w:val="00DD6EB5"/>
    <w:rsid w:val="00DF083F"/>
    <w:rsid w:val="00DF096A"/>
    <w:rsid w:val="00DF0D24"/>
    <w:rsid w:val="00DF1B85"/>
    <w:rsid w:val="00DF4490"/>
    <w:rsid w:val="00DF5EAA"/>
    <w:rsid w:val="00E00696"/>
    <w:rsid w:val="00E063FC"/>
    <w:rsid w:val="00E118B0"/>
    <w:rsid w:val="00E128CD"/>
    <w:rsid w:val="00E306BC"/>
    <w:rsid w:val="00E4006A"/>
    <w:rsid w:val="00E406AF"/>
    <w:rsid w:val="00E40ED9"/>
    <w:rsid w:val="00E46F5C"/>
    <w:rsid w:val="00E4792C"/>
    <w:rsid w:val="00E5000A"/>
    <w:rsid w:val="00E50298"/>
    <w:rsid w:val="00E50564"/>
    <w:rsid w:val="00E519AF"/>
    <w:rsid w:val="00E558A0"/>
    <w:rsid w:val="00E73B06"/>
    <w:rsid w:val="00E75F0E"/>
    <w:rsid w:val="00E808E0"/>
    <w:rsid w:val="00E9083F"/>
    <w:rsid w:val="00E91037"/>
    <w:rsid w:val="00EA2599"/>
    <w:rsid w:val="00EA276A"/>
    <w:rsid w:val="00EA3D68"/>
    <w:rsid w:val="00EA6588"/>
    <w:rsid w:val="00EB4479"/>
    <w:rsid w:val="00EB5363"/>
    <w:rsid w:val="00EC7BE9"/>
    <w:rsid w:val="00ED5E22"/>
    <w:rsid w:val="00EE0DB6"/>
    <w:rsid w:val="00EF404F"/>
    <w:rsid w:val="00EF5567"/>
    <w:rsid w:val="00F0066B"/>
    <w:rsid w:val="00F063F0"/>
    <w:rsid w:val="00F11FC0"/>
    <w:rsid w:val="00F166CF"/>
    <w:rsid w:val="00F263CA"/>
    <w:rsid w:val="00F26F2D"/>
    <w:rsid w:val="00F3234B"/>
    <w:rsid w:val="00F42A0F"/>
    <w:rsid w:val="00F444A2"/>
    <w:rsid w:val="00F467D3"/>
    <w:rsid w:val="00F46D07"/>
    <w:rsid w:val="00F532E9"/>
    <w:rsid w:val="00F6023B"/>
    <w:rsid w:val="00F61205"/>
    <w:rsid w:val="00F653FF"/>
    <w:rsid w:val="00F75544"/>
    <w:rsid w:val="00F760F9"/>
    <w:rsid w:val="00F8681C"/>
    <w:rsid w:val="00F87269"/>
    <w:rsid w:val="00F87FF3"/>
    <w:rsid w:val="00F92554"/>
    <w:rsid w:val="00F938F7"/>
    <w:rsid w:val="00FA48AE"/>
    <w:rsid w:val="00FB3AE3"/>
    <w:rsid w:val="00FB6AB3"/>
    <w:rsid w:val="00FB750B"/>
    <w:rsid w:val="00FC1625"/>
    <w:rsid w:val="00FC3D54"/>
    <w:rsid w:val="00FD19DD"/>
    <w:rsid w:val="00FE2A49"/>
    <w:rsid w:val="00FF6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C5"/>
    <w:pPr>
      <w:jc w:val="both"/>
    </w:pPr>
    <w:rPr>
      <w:rFonts w:ascii="Palatino Linotype" w:hAnsi="Palatino Linotype"/>
      <w:color w:val="000000" w:themeColor="text1"/>
      <w:kern w:val="0"/>
      <w14:ligatures w14:val="none"/>
    </w:rPr>
  </w:style>
  <w:style w:type="paragraph" w:styleId="Ttulo1">
    <w:name w:val="heading 1"/>
    <w:basedOn w:val="Normal"/>
    <w:next w:val="Normal"/>
    <w:link w:val="Ttulo1Car"/>
    <w:uiPriority w:val="9"/>
    <w:qFormat/>
    <w:rsid w:val="000766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766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5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aliases w:val="Hipervínculo1,Hipervínculo11,Hipervínculo12,Hipervínculo13,Hipervínculo14,Hipervínculo15"/>
    <w:basedOn w:val="Fuentedeprrafopredeter"/>
    <w:uiPriority w:val="99"/>
    <w:unhideWhenUsed/>
    <w:qFormat/>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styleId="Hipervnculovisitado">
    <w:name w:val="FollowedHyperlink"/>
    <w:basedOn w:val="Fuentedeprrafopredeter"/>
    <w:uiPriority w:val="99"/>
    <w:semiHidden/>
    <w:unhideWhenUsed/>
    <w:rsid w:val="00254F36"/>
    <w:rPr>
      <w:color w:val="954F72" w:themeColor="followedHyperlink"/>
      <w:u w:val="single"/>
    </w:rPr>
  </w:style>
  <w:style w:type="table" w:customStyle="1" w:styleId="Tablaconcuadrcula3">
    <w:name w:val="Tabla con cuadrícula3"/>
    <w:basedOn w:val="Tablanormal"/>
    <w:next w:val="Tablaconcuadrcula"/>
    <w:uiPriority w:val="59"/>
    <w:rsid w:val="00837B92"/>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76681"/>
    <w:rPr>
      <w:rFonts w:asciiTheme="majorHAnsi" w:eastAsiaTheme="majorEastAsia" w:hAnsiTheme="majorHAnsi" w:cstheme="majorBidi"/>
      <w:color w:val="2F5496" w:themeColor="accent1" w:themeShade="BF"/>
      <w:kern w:val="0"/>
      <w:sz w:val="32"/>
      <w:szCs w:val="32"/>
      <w14:ligatures w14:val="none"/>
    </w:rPr>
  </w:style>
  <w:style w:type="paragraph" w:styleId="TtulodeTDC">
    <w:name w:val="TOC Heading"/>
    <w:basedOn w:val="Ttulo1"/>
    <w:next w:val="Normal"/>
    <w:uiPriority w:val="39"/>
    <w:unhideWhenUsed/>
    <w:qFormat/>
    <w:rsid w:val="00076681"/>
    <w:pPr>
      <w:jc w:val="left"/>
      <w:outlineLvl w:val="9"/>
    </w:pPr>
    <w:rPr>
      <w:lang w:eastAsia="es-MX"/>
    </w:rPr>
  </w:style>
  <w:style w:type="paragraph" w:styleId="TDC1">
    <w:name w:val="toc 1"/>
    <w:basedOn w:val="Normal"/>
    <w:next w:val="Normal"/>
    <w:autoRedefine/>
    <w:uiPriority w:val="39"/>
    <w:unhideWhenUsed/>
    <w:rsid w:val="00076681"/>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076681"/>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076681"/>
    <w:rPr>
      <w:rFonts w:asciiTheme="majorHAnsi" w:eastAsiaTheme="majorEastAsia" w:hAnsiTheme="majorHAnsi" w:cstheme="majorBidi"/>
      <w:color w:val="2F5496" w:themeColor="accent1" w:themeShade="BF"/>
      <w:kern w:val="0"/>
      <w:sz w:val="26"/>
      <w:szCs w:val="26"/>
      <w14:ligatures w14:val="none"/>
    </w:rPr>
  </w:style>
  <w:style w:type="character" w:customStyle="1" w:styleId="Mencinsinresolver2">
    <w:name w:val="Mención sin resolver2"/>
    <w:basedOn w:val="Fuentedeprrafopredeter"/>
    <w:uiPriority w:val="99"/>
    <w:semiHidden/>
    <w:unhideWhenUsed/>
    <w:rsid w:val="00B417C3"/>
    <w:rPr>
      <w:color w:val="605E5C"/>
      <w:shd w:val="clear" w:color="auto" w:fill="E1DFDD"/>
    </w:rPr>
  </w:style>
  <w:style w:type="character" w:customStyle="1" w:styleId="Mencinsinresolver3">
    <w:name w:val="Mención sin resolver3"/>
    <w:basedOn w:val="Fuentedeprrafopredeter"/>
    <w:uiPriority w:val="99"/>
    <w:semiHidden/>
    <w:unhideWhenUsed/>
    <w:rsid w:val="009A627C"/>
    <w:rPr>
      <w:color w:val="605E5C"/>
      <w:shd w:val="clear" w:color="auto" w:fill="E1DFDD"/>
    </w:rPr>
  </w:style>
  <w:style w:type="character" w:customStyle="1" w:styleId="Mencinsinresolver4">
    <w:name w:val="Mención sin resolver4"/>
    <w:basedOn w:val="Fuentedeprrafopredeter"/>
    <w:uiPriority w:val="99"/>
    <w:semiHidden/>
    <w:unhideWhenUsed/>
    <w:rsid w:val="00655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895">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42833462">
      <w:bodyDiv w:val="1"/>
      <w:marLeft w:val="0"/>
      <w:marRight w:val="0"/>
      <w:marTop w:val="0"/>
      <w:marBottom w:val="0"/>
      <w:divBdr>
        <w:top w:val="none" w:sz="0" w:space="0" w:color="auto"/>
        <w:left w:val="none" w:sz="0" w:space="0" w:color="auto"/>
        <w:bottom w:val="none" w:sz="0" w:space="0" w:color="auto"/>
        <w:right w:val="none" w:sz="0" w:space="0" w:color="auto"/>
      </w:divBdr>
    </w:div>
    <w:div w:id="411198982">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649480188">
      <w:bodyDiv w:val="1"/>
      <w:marLeft w:val="0"/>
      <w:marRight w:val="0"/>
      <w:marTop w:val="0"/>
      <w:marBottom w:val="0"/>
      <w:divBdr>
        <w:top w:val="none" w:sz="0" w:space="0" w:color="auto"/>
        <w:left w:val="none" w:sz="0" w:space="0" w:color="auto"/>
        <w:bottom w:val="none" w:sz="0" w:space="0" w:color="auto"/>
        <w:right w:val="none" w:sz="0" w:space="0" w:color="auto"/>
      </w:divBdr>
    </w:div>
    <w:div w:id="660277452">
      <w:bodyDiv w:val="1"/>
      <w:marLeft w:val="0"/>
      <w:marRight w:val="0"/>
      <w:marTop w:val="0"/>
      <w:marBottom w:val="0"/>
      <w:divBdr>
        <w:top w:val="none" w:sz="0" w:space="0" w:color="auto"/>
        <w:left w:val="none" w:sz="0" w:space="0" w:color="auto"/>
        <w:bottom w:val="none" w:sz="0" w:space="0" w:color="auto"/>
        <w:right w:val="none" w:sz="0" w:space="0" w:color="auto"/>
      </w:divBdr>
    </w:div>
    <w:div w:id="673267521">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932544005">
      <w:bodyDiv w:val="1"/>
      <w:marLeft w:val="0"/>
      <w:marRight w:val="0"/>
      <w:marTop w:val="0"/>
      <w:marBottom w:val="0"/>
      <w:divBdr>
        <w:top w:val="none" w:sz="0" w:space="0" w:color="auto"/>
        <w:left w:val="none" w:sz="0" w:space="0" w:color="auto"/>
        <w:bottom w:val="none" w:sz="0" w:space="0" w:color="auto"/>
        <w:right w:val="none" w:sz="0" w:space="0" w:color="auto"/>
      </w:divBdr>
    </w:div>
    <w:div w:id="960845015">
      <w:bodyDiv w:val="1"/>
      <w:marLeft w:val="0"/>
      <w:marRight w:val="0"/>
      <w:marTop w:val="0"/>
      <w:marBottom w:val="0"/>
      <w:divBdr>
        <w:top w:val="none" w:sz="0" w:space="0" w:color="auto"/>
        <w:left w:val="none" w:sz="0" w:space="0" w:color="auto"/>
        <w:bottom w:val="none" w:sz="0" w:space="0" w:color="auto"/>
        <w:right w:val="none" w:sz="0" w:space="0" w:color="auto"/>
      </w:divBdr>
    </w:div>
    <w:div w:id="1011447462">
      <w:bodyDiv w:val="1"/>
      <w:marLeft w:val="0"/>
      <w:marRight w:val="0"/>
      <w:marTop w:val="0"/>
      <w:marBottom w:val="0"/>
      <w:divBdr>
        <w:top w:val="none" w:sz="0" w:space="0" w:color="auto"/>
        <w:left w:val="none" w:sz="0" w:space="0" w:color="auto"/>
        <w:bottom w:val="none" w:sz="0" w:space="0" w:color="auto"/>
        <w:right w:val="none" w:sz="0" w:space="0" w:color="auto"/>
      </w:divBdr>
    </w:div>
    <w:div w:id="1025329334">
      <w:bodyDiv w:val="1"/>
      <w:marLeft w:val="0"/>
      <w:marRight w:val="0"/>
      <w:marTop w:val="0"/>
      <w:marBottom w:val="0"/>
      <w:divBdr>
        <w:top w:val="none" w:sz="0" w:space="0" w:color="auto"/>
        <w:left w:val="none" w:sz="0" w:space="0" w:color="auto"/>
        <w:bottom w:val="none" w:sz="0" w:space="0" w:color="auto"/>
        <w:right w:val="none" w:sz="0" w:space="0" w:color="auto"/>
      </w:divBdr>
    </w:div>
    <w:div w:id="1069495065">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294630852">
      <w:bodyDiv w:val="1"/>
      <w:marLeft w:val="0"/>
      <w:marRight w:val="0"/>
      <w:marTop w:val="0"/>
      <w:marBottom w:val="0"/>
      <w:divBdr>
        <w:top w:val="none" w:sz="0" w:space="0" w:color="auto"/>
        <w:left w:val="none" w:sz="0" w:space="0" w:color="auto"/>
        <w:bottom w:val="none" w:sz="0" w:space="0" w:color="auto"/>
        <w:right w:val="none" w:sz="0" w:space="0" w:color="auto"/>
      </w:divBdr>
    </w:div>
    <w:div w:id="1333408181">
      <w:bodyDiv w:val="1"/>
      <w:marLeft w:val="0"/>
      <w:marRight w:val="0"/>
      <w:marTop w:val="0"/>
      <w:marBottom w:val="0"/>
      <w:divBdr>
        <w:top w:val="none" w:sz="0" w:space="0" w:color="auto"/>
        <w:left w:val="none" w:sz="0" w:space="0" w:color="auto"/>
        <w:bottom w:val="none" w:sz="0" w:space="0" w:color="auto"/>
        <w:right w:val="none" w:sz="0" w:space="0" w:color="auto"/>
      </w:divBdr>
    </w:div>
    <w:div w:id="1355113802">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512142446">
      <w:bodyDiv w:val="1"/>
      <w:marLeft w:val="0"/>
      <w:marRight w:val="0"/>
      <w:marTop w:val="0"/>
      <w:marBottom w:val="0"/>
      <w:divBdr>
        <w:top w:val="none" w:sz="0" w:space="0" w:color="auto"/>
        <w:left w:val="none" w:sz="0" w:space="0" w:color="auto"/>
        <w:bottom w:val="none" w:sz="0" w:space="0" w:color="auto"/>
        <w:right w:val="none" w:sz="0" w:space="0" w:color="auto"/>
      </w:divBdr>
    </w:div>
    <w:div w:id="1541823930">
      <w:bodyDiv w:val="1"/>
      <w:marLeft w:val="0"/>
      <w:marRight w:val="0"/>
      <w:marTop w:val="0"/>
      <w:marBottom w:val="0"/>
      <w:divBdr>
        <w:top w:val="none" w:sz="0" w:space="0" w:color="auto"/>
        <w:left w:val="none" w:sz="0" w:space="0" w:color="auto"/>
        <w:bottom w:val="none" w:sz="0" w:space="0" w:color="auto"/>
        <w:right w:val="none" w:sz="0" w:space="0" w:color="auto"/>
      </w:divBdr>
    </w:div>
    <w:div w:id="1573545276">
      <w:bodyDiv w:val="1"/>
      <w:marLeft w:val="0"/>
      <w:marRight w:val="0"/>
      <w:marTop w:val="0"/>
      <w:marBottom w:val="0"/>
      <w:divBdr>
        <w:top w:val="none" w:sz="0" w:space="0" w:color="auto"/>
        <w:left w:val="none" w:sz="0" w:space="0" w:color="auto"/>
        <w:bottom w:val="none" w:sz="0" w:space="0" w:color="auto"/>
        <w:right w:val="none" w:sz="0" w:space="0" w:color="auto"/>
      </w:divBdr>
    </w:div>
    <w:div w:id="1592470095">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846281618">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uaemex.mx/usuario/infPub.php?nomDir=03.catPueTabSal&amp;cveParent=5" TargetMode="External"/><Relationship Id="rId13" Type="http://schemas.openxmlformats.org/officeDocument/2006/relationships/image" Target="media/image3.png"/><Relationship Id="rId18" Type="http://schemas.openxmlformats.org/officeDocument/2006/relationships/hyperlink" Target="http://dof.gob.mx/nota_detalle.php?codigo=5492254&amp;fecha=28/07/2017"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gob.mx/segob/renapo/acciones-y-programas/clave-unica-de-registro-de-poblacion-curp-14222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onsultas.curp.gob.mx/CurpSP/html/informacionecurpPS.html"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parencia.uaemex.mx/usuario/infPub.php?nomDir=03.catPueTabSal&amp;cveParent=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portalanterior.ine.mx/archivos2/tutoriales/sistemas/ApoyoInstitucional/SIF/docs/candidatos/folioFiscalFactura.pdf" TargetMode="External"/><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88313-D96B-43F6-8D18-D0709FD0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8230</Words>
  <Characters>45269</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2025-04-25T17:28:00Z</cp:lastPrinted>
  <dcterms:created xsi:type="dcterms:W3CDTF">2025-04-25T17:28:00Z</dcterms:created>
  <dcterms:modified xsi:type="dcterms:W3CDTF">2025-04-25T17:29:00Z</dcterms:modified>
</cp:coreProperties>
</file>