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06C4" w:rsidRPr="00B00D30" w:rsidRDefault="00947F67">
      <w:pPr>
        <w:spacing w:after="0" w:line="360" w:lineRule="auto"/>
        <w:ind w:right="49"/>
        <w:jc w:val="both"/>
        <w:rPr>
          <w:rFonts w:ascii="Palatino Linotype" w:eastAsia="Palatino Linotype" w:hAnsi="Palatino Linotype" w:cs="Palatino Linotype"/>
        </w:rPr>
      </w:pPr>
      <w:r w:rsidRPr="00B00D30">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doce de noviembre de dos mil veinticinco.</w:t>
      </w:r>
    </w:p>
    <w:p w:rsidR="004C06C4" w:rsidRPr="00B00D30" w:rsidRDefault="004C06C4">
      <w:pPr>
        <w:spacing w:after="0" w:line="360" w:lineRule="auto"/>
        <w:ind w:right="49"/>
        <w:jc w:val="both"/>
        <w:rPr>
          <w:rFonts w:ascii="Palatino Linotype" w:eastAsia="Palatino Linotype" w:hAnsi="Palatino Linotype" w:cs="Palatino Linotype"/>
        </w:rPr>
      </w:pPr>
    </w:p>
    <w:p w:rsidR="004C06C4" w:rsidRPr="00B00D30" w:rsidRDefault="00947F67">
      <w:pPr>
        <w:spacing w:after="0" w:line="360" w:lineRule="auto"/>
        <w:ind w:right="49"/>
        <w:jc w:val="both"/>
        <w:rPr>
          <w:rFonts w:ascii="Palatino Linotype" w:eastAsia="Palatino Linotype" w:hAnsi="Palatino Linotype" w:cs="Palatino Linotype"/>
        </w:rPr>
      </w:pPr>
      <w:r w:rsidRPr="00B00D30">
        <w:rPr>
          <w:rFonts w:ascii="Palatino Linotype" w:eastAsia="Palatino Linotype" w:hAnsi="Palatino Linotype" w:cs="Palatino Linotype"/>
        </w:rPr>
        <w:t xml:space="preserve">Visto el expediente relativo al recurso de revisión </w:t>
      </w:r>
      <w:r w:rsidRPr="00B00D30">
        <w:rPr>
          <w:rFonts w:ascii="Palatino Linotype" w:eastAsia="Palatino Linotype" w:hAnsi="Palatino Linotype" w:cs="Palatino Linotype"/>
          <w:b/>
        </w:rPr>
        <w:t>10814/INFOEM/IP/RR/2025</w:t>
      </w:r>
      <w:r w:rsidRPr="00B00D30">
        <w:rPr>
          <w:rFonts w:ascii="Palatino Linotype" w:eastAsia="Palatino Linotype" w:hAnsi="Palatino Linotype" w:cs="Palatino Linotype"/>
        </w:rPr>
        <w:t xml:space="preserve">, interpuesto por </w:t>
      </w:r>
      <w:r w:rsidRPr="00B00D30">
        <w:rPr>
          <w:rFonts w:ascii="Palatino Linotype" w:eastAsia="Palatino Linotype" w:hAnsi="Palatino Linotype" w:cs="Palatino Linotype"/>
          <w:b/>
        </w:rPr>
        <w:t>una persona usuaria del Sistema de Acceso a la Información Mexiquense</w:t>
      </w:r>
      <w:r w:rsidRPr="00B00D30">
        <w:rPr>
          <w:rFonts w:ascii="Palatino Linotype" w:eastAsia="Palatino Linotype" w:hAnsi="Palatino Linotype" w:cs="Palatino Linotype"/>
        </w:rPr>
        <w:t xml:space="preserve">, al cual en lo sucesivo se le denominará el </w:t>
      </w:r>
      <w:r w:rsidRPr="00B00D30">
        <w:rPr>
          <w:rFonts w:ascii="Palatino Linotype" w:eastAsia="Palatino Linotype" w:hAnsi="Palatino Linotype" w:cs="Palatino Linotype"/>
          <w:b/>
        </w:rPr>
        <w:t>RECURRENTE</w:t>
      </w:r>
      <w:r w:rsidRPr="00B00D30">
        <w:rPr>
          <w:rFonts w:ascii="Palatino Linotype" w:eastAsia="Palatino Linotype" w:hAnsi="Palatino Linotype" w:cs="Palatino Linotype"/>
        </w:rPr>
        <w:t xml:space="preserve">, en contra la respuesta a su solicitud de información identificada con número de folio </w:t>
      </w:r>
      <w:r w:rsidRPr="00B00D30">
        <w:rPr>
          <w:rFonts w:ascii="Palatino Linotype" w:eastAsia="Palatino Linotype" w:hAnsi="Palatino Linotype" w:cs="Palatino Linotype"/>
          <w:b/>
        </w:rPr>
        <w:t>00550/PLEGISLA/IP/2025</w:t>
      </w:r>
      <w:r w:rsidRPr="00B00D30">
        <w:rPr>
          <w:rFonts w:ascii="Palatino Linotype" w:eastAsia="Palatino Linotype" w:hAnsi="Palatino Linotype" w:cs="Palatino Linotype"/>
        </w:rPr>
        <w:t xml:space="preserve"> proporcionada por parte del Poder Legislativo, en lo sucesivo el </w:t>
      </w:r>
      <w:r w:rsidRPr="00B00D30">
        <w:rPr>
          <w:rFonts w:ascii="Palatino Linotype" w:eastAsia="Palatino Linotype" w:hAnsi="Palatino Linotype" w:cs="Palatino Linotype"/>
          <w:b/>
        </w:rPr>
        <w:t>SUJETO OBLIGADO</w:t>
      </w:r>
      <w:r w:rsidRPr="00B00D30">
        <w:rPr>
          <w:rFonts w:ascii="Palatino Linotype" w:eastAsia="Palatino Linotype" w:hAnsi="Palatino Linotype" w:cs="Palatino Linotype"/>
        </w:rPr>
        <w:t>; se procede a dictar la presente resolución, con base en los siguientes:</w:t>
      </w:r>
    </w:p>
    <w:p w:rsidR="004C06C4" w:rsidRPr="00B00D30" w:rsidRDefault="004C06C4">
      <w:pPr>
        <w:spacing w:after="0" w:line="360" w:lineRule="auto"/>
        <w:ind w:right="49"/>
        <w:jc w:val="both"/>
        <w:rPr>
          <w:rFonts w:ascii="Palatino Linotype" w:eastAsia="Palatino Linotype" w:hAnsi="Palatino Linotype" w:cs="Palatino Linotype"/>
        </w:rPr>
      </w:pPr>
    </w:p>
    <w:p w:rsidR="004C06C4" w:rsidRPr="00B00D30" w:rsidRDefault="00947F67">
      <w:pPr>
        <w:spacing w:after="0" w:line="360" w:lineRule="auto"/>
        <w:ind w:right="49"/>
        <w:jc w:val="center"/>
        <w:rPr>
          <w:rFonts w:ascii="Palatino Linotype" w:eastAsia="Palatino Linotype" w:hAnsi="Palatino Linotype" w:cs="Palatino Linotype"/>
          <w:b/>
        </w:rPr>
      </w:pPr>
      <w:r w:rsidRPr="00B00D30">
        <w:rPr>
          <w:rFonts w:ascii="Palatino Linotype" w:eastAsia="Palatino Linotype" w:hAnsi="Palatino Linotype" w:cs="Palatino Linotype"/>
          <w:b/>
        </w:rPr>
        <w:t>I.</w:t>
      </w:r>
      <w:r w:rsidRPr="00B00D30">
        <w:rPr>
          <w:rFonts w:ascii="Palatino Linotype" w:eastAsia="Palatino Linotype" w:hAnsi="Palatino Linotype" w:cs="Palatino Linotype"/>
          <w:b/>
        </w:rPr>
        <w:tab/>
        <w:t>A N T E C E D E N T E S</w:t>
      </w:r>
    </w:p>
    <w:p w:rsidR="004C06C4" w:rsidRPr="00B00D30" w:rsidRDefault="004C06C4">
      <w:pPr>
        <w:spacing w:after="0" w:line="360" w:lineRule="auto"/>
        <w:ind w:right="49"/>
        <w:jc w:val="both"/>
        <w:rPr>
          <w:rFonts w:ascii="Palatino Linotype" w:eastAsia="Palatino Linotype" w:hAnsi="Palatino Linotype" w:cs="Palatino Linotype"/>
        </w:rPr>
      </w:pPr>
    </w:p>
    <w:p w:rsidR="004C06C4" w:rsidRPr="00B00D30" w:rsidRDefault="00947F67">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B00D30">
        <w:rPr>
          <w:rFonts w:ascii="Palatino Linotype" w:eastAsia="Palatino Linotype" w:hAnsi="Palatino Linotype" w:cs="Palatino Linotype"/>
          <w:b/>
        </w:rPr>
        <w:t>Solicitud de acceso a la información.</w:t>
      </w:r>
      <w:r w:rsidRPr="00B00D30">
        <w:rPr>
          <w:rFonts w:ascii="Palatino Linotype" w:eastAsia="Palatino Linotype" w:hAnsi="Palatino Linotype" w:cs="Palatino Linotype"/>
        </w:rPr>
        <w:t xml:space="preserve"> Con fecha </w:t>
      </w:r>
      <w:r w:rsidRPr="00B00D30">
        <w:rPr>
          <w:rFonts w:ascii="Palatino Linotype" w:eastAsia="Palatino Linotype" w:hAnsi="Palatino Linotype" w:cs="Palatino Linotype"/>
          <w:b/>
        </w:rPr>
        <w:t>once de agosto de dos mil veinticinco</w:t>
      </w:r>
      <w:r w:rsidRPr="00B00D30">
        <w:rPr>
          <w:rFonts w:ascii="Palatino Linotype" w:eastAsia="Palatino Linotype" w:hAnsi="Palatino Linotype" w:cs="Palatino Linotype"/>
        </w:rPr>
        <w:t xml:space="preserve">, la parte </w:t>
      </w:r>
      <w:r w:rsidRPr="00B00D30">
        <w:rPr>
          <w:rFonts w:ascii="Palatino Linotype" w:eastAsia="Palatino Linotype" w:hAnsi="Palatino Linotype" w:cs="Palatino Linotype"/>
          <w:b/>
        </w:rPr>
        <w:t>RECURRENTE</w:t>
      </w:r>
      <w:r w:rsidRPr="00B00D30">
        <w:rPr>
          <w:rFonts w:ascii="Palatino Linotype" w:eastAsia="Palatino Linotype" w:hAnsi="Palatino Linotype" w:cs="Palatino Linotype"/>
        </w:rPr>
        <w:t xml:space="preserve"> formuló solicitud de acceso a información pública al</w:t>
      </w:r>
      <w:r w:rsidRPr="00B00D30">
        <w:rPr>
          <w:rFonts w:ascii="Palatino Linotype" w:eastAsia="Palatino Linotype" w:hAnsi="Palatino Linotype" w:cs="Palatino Linotype"/>
          <w:b/>
        </w:rPr>
        <w:t xml:space="preserve"> SUJETO OBLIGADO</w:t>
      </w:r>
      <w:r w:rsidRPr="00B00D30">
        <w:rPr>
          <w:rFonts w:ascii="Palatino Linotype" w:eastAsia="Palatino Linotype" w:hAnsi="Palatino Linotype" w:cs="Palatino Linotype"/>
        </w:rPr>
        <w:t xml:space="preserve"> a través del Sistema de Acceso a la Información Mexiquense, en adelante SAIMEX, en la que requirió lo siguiente: </w:t>
      </w:r>
    </w:p>
    <w:p w:rsidR="004C06C4" w:rsidRPr="00B00D30" w:rsidRDefault="004C06C4">
      <w:pPr>
        <w:spacing w:after="0" w:line="360" w:lineRule="auto"/>
        <w:ind w:right="49"/>
        <w:jc w:val="both"/>
        <w:rPr>
          <w:rFonts w:ascii="Palatino Linotype" w:eastAsia="Palatino Linotype" w:hAnsi="Palatino Linotype" w:cs="Palatino Linotype"/>
        </w:rPr>
      </w:pPr>
    </w:p>
    <w:p w:rsidR="004C06C4" w:rsidRPr="00B00D30" w:rsidRDefault="00947F67">
      <w:pPr>
        <w:spacing w:after="0"/>
        <w:ind w:left="567" w:right="560"/>
        <w:jc w:val="both"/>
        <w:rPr>
          <w:rFonts w:ascii="Palatino Linotype" w:eastAsia="Palatino Linotype" w:hAnsi="Palatino Linotype" w:cs="Palatino Linotype"/>
          <w:i/>
        </w:rPr>
      </w:pPr>
      <w:bookmarkStart w:id="0" w:name="_heading=h.30j0zll" w:colFirst="0" w:colLast="0"/>
      <w:bookmarkEnd w:id="0"/>
      <w:r w:rsidRPr="00B00D30">
        <w:rPr>
          <w:rFonts w:ascii="Palatino Linotype" w:eastAsia="Palatino Linotype" w:hAnsi="Palatino Linotype" w:cs="Palatino Linotype"/>
          <w:i/>
        </w:rPr>
        <w:t xml:space="preserve">“Por medio del presente y con fundamento en el articulo 5, 6 apartado A, 8, 9 de la Constitución Política de los Estados Unidos Mexicanos y 4 de la Ley de Transparencia y Acceso a la Información Pública del Estado de México y sus Municipios, 3071 DEL código civil federal fracción I, 372, párrafo 1; 443 fracción e; 445 inciso a; y 446 párrafo 1 inciso b; de la Ley General de Instituciones y Procedimientos Electorales. Solicito información respecto la entrega de diversos materiales de construcción, alimento, animales de crianza, electrodomésticos y demás que fueron entregados a ciudadanos. ¿Es usted DIPUTADE PAOLA JIMENEZ quien paga todo lo referido anteriormente? de no ser USTED, a la anterior pregunta y es CUALQUIER A.C. SOLICITO ACTA CONSTITUTIVA DEL </w:t>
      </w:r>
      <w:r w:rsidRPr="00B00D30">
        <w:rPr>
          <w:rFonts w:ascii="Palatino Linotype" w:eastAsia="Palatino Linotype" w:hAnsi="Palatino Linotype" w:cs="Palatino Linotype"/>
          <w:i/>
        </w:rPr>
        <w:lastRenderedPageBreak/>
        <w:t>DONATARIO AUTORIZADO. Así como la documentación que acredite el pago de todo lo que ha entregado.</w:t>
      </w:r>
    </w:p>
    <w:p w:rsidR="004C06C4" w:rsidRPr="00B00D30" w:rsidRDefault="004C06C4">
      <w:pPr>
        <w:spacing w:after="0"/>
        <w:ind w:left="567" w:right="560"/>
        <w:jc w:val="both"/>
        <w:rPr>
          <w:rFonts w:ascii="Palatino Linotype" w:eastAsia="Palatino Linotype" w:hAnsi="Palatino Linotype" w:cs="Palatino Linotype"/>
          <w:i/>
        </w:rPr>
      </w:pPr>
    </w:p>
    <w:p w:rsidR="004C06C4" w:rsidRPr="00B00D30" w:rsidRDefault="00947F67">
      <w:pPr>
        <w:spacing w:after="0" w:line="360" w:lineRule="auto"/>
        <w:ind w:right="49"/>
        <w:jc w:val="both"/>
        <w:rPr>
          <w:rFonts w:ascii="Palatino Linotype" w:eastAsia="Palatino Linotype" w:hAnsi="Palatino Linotype" w:cs="Palatino Linotype"/>
        </w:rPr>
      </w:pPr>
      <w:r w:rsidRPr="00B00D30">
        <w:rPr>
          <w:rFonts w:ascii="Palatino Linotype" w:eastAsia="Palatino Linotype" w:hAnsi="Palatino Linotype" w:cs="Palatino Linotype"/>
          <w:b/>
        </w:rPr>
        <w:t>Modalidad elegida para la entrega de la información:</w:t>
      </w:r>
      <w:r w:rsidRPr="00B00D30">
        <w:rPr>
          <w:rFonts w:ascii="Palatino Linotype" w:eastAsia="Palatino Linotype" w:hAnsi="Palatino Linotype" w:cs="Palatino Linotype"/>
        </w:rPr>
        <w:t xml:space="preserve"> a través del Sistema de Acceso a la Información Mexiquense (SAIMEX). </w:t>
      </w:r>
    </w:p>
    <w:p w:rsidR="004C06C4" w:rsidRPr="00B00D30" w:rsidRDefault="004C06C4">
      <w:pPr>
        <w:spacing w:after="0" w:line="360" w:lineRule="auto"/>
        <w:ind w:right="49"/>
        <w:jc w:val="both"/>
        <w:rPr>
          <w:rFonts w:ascii="Palatino Linotype" w:eastAsia="Palatino Linotype" w:hAnsi="Palatino Linotype" w:cs="Palatino Linotype"/>
        </w:rPr>
      </w:pPr>
    </w:p>
    <w:p w:rsidR="004C06C4" w:rsidRPr="00B00D30" w:rsidRDefault="00947F67">
      <w:pPr>
        <w:spacing w:after="0" w:line="360" w:lineRule="auto"/>
        <w:ind w:right="49"/>
        <w:jc w:val="both"/>
        <w:rPr>
          <w:rFonts w:ascii="Palatino Linotype" w:eastAsia="Palatino Linotype" w:hAnsi="Palatino Linotype" w:cs="Palatino Linotype"/>
        </w:rPr>
      </w:pPr>
      <w:r w:rsidRPr="00B00D30">
        <w:rPr>
          <w:rFonts w:ascii="Palatino Linotype" w:eastAsia="Palatino Linotype" w:hAnsi="Palatino Linotype" w:cs="Palatino Linotype"/>
        </w:rPr>
        <w:t>Asimismo, adjuntó un documento en el que obran diversas capturas de pantalla relativas a la entrega de materiales para construcción.</w:t>
      </w:r>
    </w:p>
    <w:p w:rsidR="004C06C4" w:rsidRPr="00B00D30" w:rsidRDefault="004C06C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4C06C4" w:rsidRPr="00B00D30" w:rsidRDefault="00947F67">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B00D30">
        <w:rPr>
          <w:rFonts w:ascii="Palatino Linotype" w:eastAsia="Palatino Linotype" w:hAnsi="Palatino Linotype" w:cs="Palatino Linotype"/>
          <w:b/>
        </w:rPr>
        <w:t>Respuesta.</w:t>
      </w:r>
      <w:r w:rsidRPr="00B00D30">
        <w:rPr>
          <w:rFonts w:ascii="Palatino Linotype" w:eastAsia="Palatino Linotype" w:hAnsi="Palatino Linotype" w:cs="Palatino Linotype"/>
        </w:rPr>
        <w:t xml:space="preserve"> En fecha </w:t>
      </w:r>
      <w:r w:rsidRPr="00B00D30">
        <w:rPr>
          <w:rFonts w:ascii="Palatino Linotype" w:eastAsia="Palatino Linotype" w:hAnsi="Palatino Linotype" w:cs="Palatino Linotype"/>
          <w:b/>
        </w:rPr>
        <w:t>uno de septiembre de dos mil veinticinco</w:t>
      </w:r>
      <w:r w:rsidRPr="00B00D30">
        <w:rPr>
          <w:rFonts w:ascii="Palatino Linotype" w:eastAsia="Palatino Linotype" w:hAnsi="Palatino Linotype" w:cs="Palatino Linotype"/>
        </w:rPr>
        <w:t>, el Sujeto Obligado remitió respuesta a la solicitud de información, la cual fue del conocimiento de las partes.</w:t>
      </w:r>
    </w:p>
    <w:p w:rsidR="004C06C4" w:rsidRPr="00B00D30" w:rsidRDefault="004C06C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4C06C4" w:rsidRPr="00B00D30" w:rsidRDefault="00947F67">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B00D30">
        <w:rPr>
          <w:rFonts w:ascii="Palatino Linotype" w:eastAsia="Palatino Linotype" w:hAnsi="Palatino Linotype" w:cs="Palatino Linotype"/>
          <w:b/>
        </w:rPr>
        <w:t>Recurso de revisión.</w:t>
      </w:r>
      <w:r w:rsidRPr="00B00D30">
        <w:rPr>
          <w:rFonts w:ascii="Palatino Linotype" w:eastAsia="Palatino Linotype" w:hAnsi="Palatino Linotype" w:cs="Palatino Linotype"/>
        </w:rPr>
        <w:t xml:space="preserve"> El Particular, derivado de la respuesta del </w:t>
      </w:r>
      <w:r w:rsidRPr="00B00D30">
        <w:rPr>
          <w:rFonts w:ascii="Palatino Linotype" w:eastAsia="Palatino Linotype" w:hAnsi="Palatino Linotype" w:cs="Palatino Linotype"/>
          <w:b/>
        </w:rPr>
        <w:t>SUJETO OBLIGADO</w:t>
      </w:r>
      <w:r w:rsidRPr="00B00D30">
        <w:rPr>
          <w:rFonts w:ascii="Palatino Linotype" w:eastAsia="Palatino Linotype" w:hAnsi="Palatino Linotype" w:cs="Palatino Linotype"/>
        </w:rPr>
        <w:t xml:space="preserve"> interpuso Recurso de Revisión a través del </w:t>
      </w:r>
      <w:r w:rsidRPr="00B00D30">
        <w:rPr>
          <w:rFonts w:ascii="Palatino Linotype" w:eastAsia="Palatino Linotype" w:hAnsi="Palatino Linotype" w:cs="Palatino Linotype"/>
          <w:b/>
        </w:rPr>
        <w:t>SAIMEX</w:t>
      </w:r>
      <w:r w:rsidRPr="00B00D30">
        <w:rPr>
          <w:rFonts w:ascii="Palatino Linotype" w:eastAsia="Palatino Linotype" w:hAnsi="Palatino Linotype" w:cs="Palatino Linotype"/>
        </w:rPr>
        <w:t xml:space="preserve"> en fecha </w:t>
      </w:r>
      <w:r w:rsidRPr="00B00D30">
        <w:rPr>
          <w:rFonts w:ascii="Palatino Linotype" w:eastAsia="Palatino Linotype" w:hAnsi="Palatino Linotype" w:cs="Palatino Linotype"/>
          <w:b/>
        </w:rPr>
        <w:t>quince de septiembre de dos mil veinticinco</w:t>
      </w:r>
      <w:r w:rsidRPr="00B00D30">
        <w:rPr>
          <w:rFonts w:ascii="Palatino Linotype" w:eastAsia="Palatino Linotype" w:hAnsi="Palatino Linotype" w:cs="Palatino Linotype"/>
        </w:rPr>
        <w:t>, a través del cual expresó lo siguiente:</w:t>
      </w:r>
    </w:p>
    <w:p w:rsidR="004C06C4" w:rsidRPr="00B00D30" w:rsidRDefault="004C06C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4C06C4" w:rsidRPr="00B00D30" w:rsidRDefault="00947F67">
      <w:pPr>
        <w:pBdr>
          <w:top w:val="nil"/>
          <w:left w:val="nil"/>
          <w:bottom w:val="nil"/>
          <w:right w:val="nil"/>
          <w:between w:val="nil"/>
        </w:pBdr>
        <w:tabs>
          <w:tab w:val="left" w:pos="851"/>
        </w:tabs>
        <w:spacing w:after="0" w:line="276" w:lineRule="auto"/>
        <w:ind w:left="567" w:right="701"/>
        <w:jc w:val="both"/>
        <w:rPr>
          <w:rFonts w:ascii="Palatino Linotype" w:eastAsia="Palatino Linotype" w:hAnsi="Palatino Linotype" w:cs="Palatino Linotype"/>
          <w:i/>
        </w:rPr>
      </w:pPr>
      <w:r w:rsidRPr="00B00D30">
        <w:rPr>
          <w:rFonts w:ascii="Palatino Linotype" w:eastAsia="Palatino Linotype" w:hAnsi="Palatino Linotype" w:cs="Palatino Linotype"/>
          <w:b/>
        </w:rPr>
        <w:t xml:space="preserve">Acto impugnado. </w:t>
      </w:r>
      <w:r w:rsidRPr="00B00D30">
        <w:rPr>
          <w:rFonts w:ascii="Palatino Linotype" w:eastAsia="Palatino Linotype" w:hAnsi="Palatino Linotype" w:cs="Palatino Linotype"/>
          <w:i/>
        </w:rPr>
        <w:t>“SE SOLICITA EL ACTA CONSTITUTIVA DE LA A.C. LA JEFA ASI, COMO EL ACTA DEL DONATARIO AUTORIZADO”.</w:t>
      </w:r>
    </w:p>
    <w:p w:rsidR="004C06C4" w:rsidRPr="00B00D30" w:rsidRDefault="004C06C4">
      <w:pPr>
        <w:pBdr>
          <w:top w:val="nil"/>
          <w:left w:val="nil"/>
          <w:bottom w:val="nil"/>
          <w:right w:val="nil"/>
          <w:between w:val="nil"/>
        </w:pBdr>
        <w:tabs>
          <w:tab w:val="left" w:pos="993"/>
        </w:tabs>
        <w:spacing w:after="0" w:line="276" w:lineRule="auto"/>
        <w:ind w:left="567" w:right="701"/>
        <w:jc w:val="both"/>
        <w:rPr>
          <w:rFonts w:ascii="Palatino Linotype" w:eastAsia="Palatino Linotype" w:hAnsi="Palatino Linotype" w:cs="Palatino Linotype"/>
          <w:b/>
        </w:rPr>
      </w:pPr>
    </w:p>
    <w:p w:rsidR="004C06C4" w:rsidRPr="00B00D30" w:rsidRDefault="00947F67">
      <w:pPr>
        <w:pBdr>
          <w:top w:val="nil"/>
          <w:left w:val="nil"/>
          <w:bottom w:val="nil"/>
          <w:right w:val="nil"/>
          <w:between w:val="nil"/>
        </w:pBdr>
        <w:tabs>
          <w:tab w:val="left" w:pos="709"/>
          <w:tab w:val="left" w:pos="851"/>
        </w:tabs>
        <w:spacing w:after="0" w:line="276" w:lineRule="auto"/>
        <w:ind w:left="567" w:right="701"/>
        <w:jc w:val="both"/>
        <w:rPr>
          <w:rFonts w:ascii="Palatino Linotype" w:eastAsia="Palatino Linotype" w:hAnsi="Palatino Linotype" w:cs="Palatino Linotype"/>
          <w:i/>
        </w:rPr>
      </w:pPr>
      <w:r w:rsidRPr="00B00D30">
        <w:rPr>
          <w:rFonts w:ascii="Palatino Linotype" w:eastAsia="Palatino Linotype" w:hAnsi="Palatino Linotype" w:cs="Palatino Linotype"/>
          <w:b/>
        </w:rPr>
        <w:t xml:space="preserve">Razones o motivos de la inconformidad: </w:t>
      </w:r>
      <w:r w:rsidRPr="00B00D30">
        <w:rPr>
          <w:rFonts w:ascii="Palatino Linotype" w:eastAsia="Palatino Linotype" w:hAnsi="Palatino Linotype" w:cs="Palatino Linotype"/>
          <w:i/>
        </w:rPr>
        <w:t xml:space="preserve">“LA DIPUTADE, PAOLA JIMENEZ. ES UNA VIOLENTADORA, NO RESPETA DERECHOS BASICOS, ¿Cómo es que es legisladora?”. </w:t>
      </w:r>
    </w:p>
    <w:p w:rsidR="004C06C4" w:rsidRPr="00B00D30" w:rsidRDefault="004C06C4">
      <w:pPr>
        <w:spacing w:after="0" w:line="360" w:lineRule="auto"/>
        <w:ind w:right="49"/>
        <w:jc w:val="both"/>
        <w:rPr>
          <w:rFonts w:ascii="Palatino Linotype" w:eastAsia="Palatino Linotype" w:hAnsi="Palatino Linotype" w:cs="Palatino Linotype"/>
        </w:rPr>
      </w:pPr>
    </w:p>
    <w:p w:rsidR="004C06C4" w:rsidRPr="00B00D30" w:rsidRDefault="00947F67">
      <w:pPr>
        <w:spacing w:after="0" w:line="360" w:lineRule="auto"/>
        <w:ind w:right="49"/>
        <w:jc w:val="both"/>
        <w:rPr>
          <w:rFonts w:ascii="Palatino Linotype" w:eastAsia="Palatino Linotype" w:hAnsi="Palatino Linotype" w:cs="Palatino Linotype"/>
        </w:rPr>
      </w:pPr>
      <w:r w:rsidRPr="00B00D30">
        <w:rPr>
          <w:rFonts w:ascii="Palatino Linotype" w:eastAsia="Palatino Linotype" w:hAnsi="Palatino Linotype" w:cs="Palatino Linotype"/>
        </w:rPr>
        <w:t xml:space="preserve">Asimismo, adjuntó un documento en el que obran diversas capturas de pantalla relativas a la entrega de materiales para construcción enviado en su solicitud de información. </w:t>
      </w:r>
    </w:p>
    <w:p w:rsidR="004C06C4" w:rsidRPr="00B00D30" w:rsidRDefault="004C06C4">
      <w:pPr>
        <w:spacing w:after="0" w:line="360" w:lineRule="auto"/>
        <w:ind w:right="49"/>
        <w:jc w:val="both"/>
        <w:rPr>
          <w:rFonts w:ascii="Palatino Linotype" w:eastAsia="Palatino Linotype" w:hAnsi="Palatino Linotype" w:cs="Palatino Linotype"/>
        </w:rPr>
      </w:pPr>
    </w:p>
    <w:p w:rsidR="004C06C4" w:rsidRPr="00B00D30" w:rsidRDefault="00947F67">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B00D30">
        <w:rPr>
          <w:rFonts w:ascii="Palatino Linotype" w:eastAsia="Palatino Linotype" w:hAnsi="Palatino Linotype" w:cs="Palatino Linotype"/>
          <w:b/>
        </w:rPr>
        <w:t>Turno.</w:t>
      </w:r>
      <w:r w:rsidRPr="00B00D30">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sidRPr="00B00D30">
        <w:rPr>
          <w:rFonts w:ascii="Palatino Linotype" w:eastAsia="Palatino Linotype" w:hAnsi="Palatino Linotype" w:cs="Palatino Linotype"/>
          <w:b/>
        </w:rPr>
        <w:t>10814/INFOEM/IP/RR/2025</w:t>
      </w:r>
      <w:r w:rsidRPr="00B00D30">
        <w:rPr>
          <w:rFonts w:ascii="Palatino Linotype" w:eastAsia="Palatino Linotype" w:hAnsi="Palatino Linotype" w:cs="Palatino Linotype"/>
        </w:rPr>
        <w:t xml:space="preserve">, se turnó por el sistema electrónico del Instituto de </w:t>
      </w:r>
      <w:r w:rsidRPr="00B00D30">
        <w:rPr>
          <w:rFonts w:ascii="Palatino Linotype" w:eastAsia="Palatino Linotype" w:hAnsi="Palatino Linotype" w:cs="Palatino Linotype"/>
        </w:rPr>
        <w:lastRenderedPageBreak/>
        <w:t>Transparencia, Acceso a la Información Pública y Protección de Datos Personales del Estado de México y Municipios, a la Comisionada Guadalupe Ramírez Peña para su análisis, estudio, elaboración del proyecto y presentación ante el Pleno de este Instituto.</w:t>
      </w:r>
    </w:p>
    <w:p w:rsidR="004C06C4" w:rsidRPr="00B00D30" w:rsidRDefault="004C06C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4C06C4" w:rsidRPr="00B00D30" w:rsidRDefault="00947F67">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B00D30">
        <w:rPr>
          <w:rFonts w:ascii="Palatino Linotype" w:eastAsia="Palatino Linotype" w:hAnsi="Palatino Linotype" w:cs="Palatino Linotype"/>
          <w:b/>
        </w:rPr>
        <w:t>Admisión del recurso de revisión</w:t>
      </w:r>
      <w:r w:rsidRPr="00B00D30">
        <w:rPr>
          <w:rFonts w:ascii="Palatino Linotype" w:eastAsia="Palatino Linotype" w:hAnsi="Palatino Linotype" w:cs="Palatino Linotype"/>
        </w:rPr>
        <w:t xml:space="preserve">: En fecha </w:t>
      </w:r>
      <w:r w:rsidRPr="00B00D30">
        <w:rPr>
          <w:rFonts w:ascii="Palatino Linotype" w:eastAsia="Palatino Linotype" w:hAnsi="Palatino Linotype" w:cs="Palatino Linotype"/>
          <w:b/>
        </w:rPr>
        <w:t>diecinueve de septiembre de dos mil veinticinco</w:t>
      </w:r>
      <w:r w:rsidRPr="00B00D30">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4C06C4" w:rsidRPr="00B00D30" w:rsidRDefault="004C06C4">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p>
    <w:p w:rsidR="004C06C4" w:rsidRPr="00B00D30" w:rsidRDefault="00947F67">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B00D30">
        <w:rPr>
          <w:rFonts w:ascii="Palatino Linotype" w:eastAsia="Palatino Linotype" w:hAnsi="Palatino Linotype" w:cs="Palatino Linotype"/>
          <w:b/>
        </w:rPr>
        <w:t xml:space="preserve">Manifestaciones. </w:t>
      </w:r>
      <w:r w:rsidRPr="00B00D30">
        <w:rPr>
          <w:rFonts w:ascii="Palatino Linotype" w:eastAsia="Palatino Linotype" w:hAnsi="Palatino Linotype" w:cs="Palatino Linotype"/>
        </w:rPr>
        <w:t xml:space="preserve">El </w:t>
      </w:r>
      <w:r w:rsidRPr="00B00D30">
        <w:rPr>
          <w:rFonts w:ascii="Palatino Linotype" w:eastAsia="Palatino Linotype" w:hAnsi="Palatino Linotype" w:cs="Palatino Linotype"/>
          <w:b/>
        </w:rPr>
        <w:t xml:space="preserve">treinta de septiembre de dos mil veinticinco, </w:t>
      </w:r>
      <w:r w:rsidRPr="00B00D30">
        <w:rPr>
          <w:rFonts w:ascii="Palatino Linotype" w:eastAsia="Palatino Linotype" w:hAnsi="Palatino Linotype" w:cs="Palatino Linotype"/>
        </w:rPr>
        <w:t xml:space="preserve">el </w:t>
      </w:r>
      <w:r w:rsidRPr="00B00D30">
        <w:rPr>
          <w:rFonts w:ascii="Palatino Linotype" w:eastAsia="Palatino Linotype" w:hAnsi="Palatino Linotype" w:cs="Palatino Linotype"/>
          <w:b/>
        </w:rPr>
        <w:t xml:space="preserve">SUJETO OBLIGADO </w:t>
      </w:r>
      <w:r w:rsidRPr="00B00D30">
        <w:rPr>
          <w:rFonts w:ascii="Palatino Linotype" w:eastAsia="Palatino Linotype" w:hAnsi="Palatino Linotype" w:cs="Palatino Linotype"/>
        </w:rPr>
        <w:t xml:space="preserve">rindió su informe justificado, mediante el cual ratificó su respuesta inicial. </w:t>
      </w:r>
    </w:p>
    <w:p w:rsidR="004C06C4" w:rsidRPr="00B00D30" w:rsidRDefault="004C06C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4C06C4" w:rsidRPr="00B00D30" w:rsidRDefault="00947F67">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B00D30">
        <w:rPr>
          <w:rFonts w:ascii="Palatino Linotype" w:eastAsia="Palatino Linotype" w:hAnsi="Palatino Linotype" w:cs="Palatino Linotype"/>
        </w:rPr>
        <w:t xml:space="preserve">Los documentos se hicieron del conocimiento de la parte Recurrente el </w:t>
      </w:r>
      <w:r w:rsidRPr="00B00D30">
        <w:rPr>
          <w:rFonts w:ascii="Palatino Linotype" w:eastAsia="Palatino Linotype" w:hAnsi="Palatino Linotype" w:cs="Palatino Linotype"/>
          <w:b/>
        </w:rPr>
        <w:t xml:space="preserve">seis de noviembre de dos mil veinticinco. </w:t>
      </w:r>
    </w:p>
    <w:p w:rsidR="004C06C4" w:rsidRPr="00B00D30" w:rsidRDefault="004C06C4">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p>
    <w:p w:rsidR="004C06C4" w:rsidRPr="00B00D30" w:rsidRDefault="00947F67">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B00D30">
        <w:rPr>
          <w:rFonts w:ascii="Palatino Linotype" w:eastAsia="Palatino Linotype" w:hAnsi="Palatino Linotype" w:cs="Palatino Linotype"/>
        </w:rPr>
        <w:t xml:space="preserve">La parte Recurrente fue omisa en rendir manifestaciones. </w:t>
      </w:r>
    </w:p>
    <w:p w:rsidR="004C06C4" w:rsidRPr="00B00D30" w:rsidRDefault="004C06C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4C06C4" w:rsidRPr="00B00D30" w:rsidRDefault="00947F67">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B00D30">
        <w:rPr>
          <w:rFonts w:ascii="Palatino Linotype" w:eastAsia="Palatino Linotype" w:hAnsi="Palatino Linotype" w:cs="Palatino Linotype"/>
          <w:b/>
        </w:rPr>
        <w:t xml:space="preserve">Ampliación de plazo. </w:t>
      </w:r>
      <w:r w:rsidRPr="00B00D30">
        <w:rPr>
          <w:rFonts w:ascii="Palatino Linotype" w:eastAsia="Palatino Linotype" w:hAnsi="Palatino Linotype" w:cs="Palatino Linotype"/>
        </w:rPr>
        <w:t xml:space="preserve">El </w:t>
      </w:r>
      <w:r w:rsidRPr="00B00D30">
        <w:rPr>
          <w:rFonts w:ascii="Palatino Linotype" w:eastAsia="Palatino Linotype" w:hAnsi="Palatino Linotype" w:cs="Palatino Linotype"/>
          <w:b/>
        </w:rPr>
        <w:t>seis de noviembre dos mil veinticinco</w:t>
      </w:r>
      <w:r w:rsidRPr="00B00D30">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4C06C4" w:rsidRPr="00B00D30" w:rsidRDefault="004C06C4">
      <w:pPr>
        <w:spacing w:after="0" w:line="360" w:lineRule="auto"/>
        <w:ind w:right="49"/>
        <w:jc w:val="both"/>
        <w:rPr>
          <w:rFonts w:ascii="Palatino Linotype" w:eastAsia="Palatino Linotype" w:hAnsi="Palatino Linotype" w:cs="Palatino Linotype"/>
          <w:sz w:val="18"/>
          <w:szCs w:val="18"/>
        </w:rPr>
      </w:pPr>
    </w:p>
    <w:p w:rsidR="004C06C4" w:rsidRPr="00B00D30" w:rsidRDefault="00947F67">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B00D30">
        <w:rPr>
          <w:rFonts w:ascii="Palatino Linotype" w:eastAsia="Palatino Linotype" w:hAnsi="Palatino Linotype" w:cs="Palatino Linotype"/>
          <w:b/>
        </w:rPr>
        <w:t>Cierre de instrucción</w:t>
      </w:r>
      <w:r w:rsidRPr="00B00D30">
        <w:rPr>
          <w:rFonts w:ascii="Palatino Linotype" w:eastAsia="Palatino Linotype" w:hAnsi="Palatino Linotype" w:cs="Palatino Linotype"/>
        </w:rPr>
        <w:t xml:space="preserve">. En fecha </w:t>
      </w:r>
      <w:r w:rsidRPr="00B00D30">
        <w:rPr>
          <w:rFonts w:ascii="Palatino Linotype" w:eastAsia="Palatino Linotype" w:hAnsi="Palatino Linotype" w:cs="Palatino Linotype"/>
          <w:b/>
        </w:rPr>
        <w:t>doce de noviembre de dos mil veinticinco</w:t>
      </w:r>
      <w:r w:rsidRPr="00B00D30">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4C06C4" w:rsidRPr="00B00D30" w:rsidRDefault="00947F67">
      <w:pPr>
        <w:spacing w:after="0" w:line="360" w:lineRule="auto"/>
        <w:ind w:right="49"/>
        <w:jc w:val="both"/>
        <w:rPr>
          <w:rFonts w:ascii="Palatino Linotype" w:eastAsia="Palatino Linotype" w:hAnsi="Palatino Linotype" w:cs="Palatino Linotype"/>
        </w:rPr>
      </w:pPr>
      <w:r w:rsidRPr="00B00D30">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rsidR="004C06C4" w:rsidRPr="00B00D30" w:rsidRDefault="00947F67">
      <w:pPr>
        <w:spacing w:after="0" w:line="360" w:lineRule="auto"/>
        <w:ind w:right="49"/>
        <w:jc w:val="center"/>
        <w:rPr>
          <w:rFonts w:ascii="Palatino Linotype" w:eastAsia="Palatino Linotype" w:hAnsi="Palatino Linotype" w:cs="Palatino Linotype"/>
          <w:b/>
        </w:rPr>
      </w:pPr>
      <w:r w:rsidRPr="00B00D30">
        <w:rPr>
          <w:rFonts w:ascii="Palatino Linotype" w:eastAsia="Palatino Linotype" w:hAnsi="Palatino Linotype" w:cs="Palatino Linotype"/>
          <w:b/>
        </w:rPr>
        <w:t>II.</w:t>
      </w:r>
      <w:r w:rsidRPr="00B00D30">
        <w:rPr>
          <w:rFonts w:ascii="Palatino Linotype" w:eastAsia="Palatino Linotype" w:hAnsi="Palatino Linotype" w:cs="Palatino Linotype"/>
          <w:b/>
        </w:rPr>
        <w:tab/>
        <w:t>C O N S I D E R A N D O:</w:t>
      </w:r>
    </w:p>
    <w:p w:rsidR="004C06C4" w:rsidRPr="00B00D30" w:rsidRDefault="004C06C4">
      <w:pPr>
        <w:spacing w:after="0" w:line="360" w:lineRule="auto"/>
        <w:ind w:right="49"/>
        <w:jc w:val="both"/>
        <w:rPr>
          <w:rFonts w:ascii="Palatino Linotype" w:eastAsia="Palatino Linotype" w:hAnsi="Palatino Linotype" w:cs="Palatino Linotype"/>
        </w:rPr>
      </w:pPr>
    </w:p>
    <w:p w:rsidR="004C06C4" w:rsidRPr="00B00D30" w:rsidRDefault="00947F67">
      <w:pPr>
        <w:spacing w:line="360" w:lineRule="auto"/>
        <w:jc w:val="both"/>
        <w:rPr>
          <w:rFonts w:ascii="Palatino Linotype" w:eastAsia="Palatino Linotype" w:hAnsi="Palatino Linotype" w:cs="Palatino Linotype"/>
        </w:rPr>
      </w:pPr>
      <w:r w:rsidRPr="00B00D30">
        <w:rPr>
          <w:rFonts w:ascii="Palatino Linotype" w:eastAsia="Palatino Linotype" w:hAnsi="Palatino Linotype" w:cs="Palatino Linotype"/>
          <w:b/>
        </w:rPr>
        <w:t>Primero. Competencia.</w:t>
      </w:r>
      <w:r w:rsidRPr="00B00D30">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w:t>
      </w:r>
      <w:r w:rsidRPr="00B00D30">
        <w:t xml:space="preserve"> </w:t>
      </w:r>
      <w:r w:rsidRPr="00B00D30">
        <w:rPr>
          <w:rFonts w:ascii="Palatino Linotype" w:eastAsia="Palatino Linotype" w:hAnsi="Palatino Linotype" w:cs="Palatino Linotype"/>
        </w:rPr>
        <w:t>5 párrafos cuadragésimo cuarto, cuadragésimo quinto y cuadragésimo sexto, fracciones IV y V de la Constitución Política del Estado Libre y Soberano de México; transitorio Cuarto del Decreto número 198 de la “LXII” Legislatura del Estado de México;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4C06C4" w:rsidRPr="00B00D30" w:rsidRDefault="004C06C4">
      <w:pPr>
        <w:spacing w:after="0" w:line="360" w:lineRule="auto"/>
        <w:jc w:val="both"/>
        <w:rPr>
          <w:rFonts w:ascii="Palatino Linotype" w:eastAsia="Palatino Linotype" w:hAnsi="Palatino Linotype" w:cs="Palatino Linotype"/>
        </w:rPr>
      </w:pPr>
    </w:p>
    <w:p w:rsidR="004C06C4" w:rsidRPr="00B00D30" w:rsidRDefault="00947F67">
      <w:pPr>
        <w:spacing w:after="0" w:line="360" w:lineRule="auto"/>
        <w:jc w:val="both"/>
        <w:rPr>
          <w:rFonts w:ascii="Palatino Linotype" w:eastAsia="Palatino Linotype" w:hAnsi="Palatino Linotype" w:cs="Palatino Linotype"/>
        </w:rPr>
      </w:pPr>
      <w:r w:rsidRPr="00B00D30">
        <w:rPr>
          <w:rFonts w:ascii="Palatino Linotype" w:eastAsia="Palatino Linotype" w:hAnsi="Palatino Linotype" w:cs="Palatino Linotype"/>
          <w:b/>
        </w:rPr>
        <w:t>Segundo. Oportunidad y Procedibilidad del Recurso de Revisión</w:t>
      </w:r>
      <w:r w:rsidRPr="00B00D30">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4C06C4" w:rsidRPr="00B00D30" w:rsidRDefault="004C06C4">
      <w:pPr>
        <w:spacing w:after="0" w:line="360" w:lineRule="auto"/>
        <w:jc w:val="both"/>
        <w:rPr>
          <w:rFonts w:ascii="Palatino Linotype" w:eastAsia="Palatino Linotype" w:hAnsi="Palatino Linotype" w:cs="Palatino Linotype"/>
        </w:rPr>
      </w:pPr>
    </w:p>
    <w:p w:rsidR="004C06C4" w:rsidRPr="00B00D30" w:rsidRDefault="00947F67">
      <w:pPr>
        <w:spacing w:after="0" w:line="360" w:lineRule="auto"/>
        <w:jc w:val="both"/>
        <w:rPr>
          <w:rFonts w:ascii="Palatino Linotype" w:eastAsia="Palatino Linotype" w:hAnsi="Palatino Linotype" w:cs="Palatino Linotype"/>
        </w:rPr>
      </w:pPr>
      <w:r w:rsidRPr="00B00D30">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B00D30">
        <w:rPr>
          <w:rFonts w:ascii="Palatino Linotype" w:eastAsia="Palatino Linotype" w:hAnsi="Palatino Linotype" w:cs="Palatino Linotype"/>
          <w:b/>
        </w:rPr>
        <w:t>uno de septiembre de dos mil veinticinco</w:t>
      </w:r>
      <w:r w:rsidRPr="00B00D30">
        <w:rPr>
          <w:rFonts w:ascii="Palatino Linotype" w:eastAsia="Palatino Linotype" w:hAnsi="Palatino Linotype" w:cs="Palatino Linotype"/>
        </w:rPr>
        <w:t>,</w:t>
      </w:r>
      <w:r w:rsidRPr="00B00D30">
        <w:rPr>
          <w:rFonts w:ascii="Palatino Linotype" w:eastAsia="Palatino Linotype" w:hAnsi="Palatino Linotype" w:cs="Palatino Linotype"/>
          <w:b/>
        </w:rPr>
        <w:t xml:space="preserve"> </w:t>
      </w:r>
      <w:r w:rsidRPr="00B00D30">
        <w:rPr>
          <w:rFonts w:ascii="Palatino Linotype" w:eastAsia="Palatino Linotype" w:hAnsi="Palatino Linotype" w:cs="Palatino Linotype"/>
        </w:rPr>
        <w:t xml:space="preserve">mientras que el recurso de revisión interpuesto por </w:t>
      </w:r>
      <w:r w:rsidRPr="00B00D30">
        <w:rPr>
          <w:rFonts w:ascii="Palatino Linotype" w:eastAsia="Palatino Linotype" w:hAnsi="Palatino Linotype" w:cs="Palatino Linotype"/>
          <w:b/>
        </w:rPr>
        <w:t>la parte</w:t>
      </w:r>
      <w:r w:rsidRPr="00B00D30">
        <w:rPr>
          <w:rFonts w:ascii="Palatino Linotype" w:eastAsia="Palatino Linotype" w:hAnsi="Palatino Linotype" w:cs="Palatino Linotype"/>
        </w:rPr>
        <w:t xml:space="preserve"> </w:t>
      </w:r>
      <w:r w:rsidRPr="00B00D30">
        <w:rPr>
          <w:rFonts w:ascii="Palatino Linotype" w:eastAsia="Palatino Linotype" w:hAnsi="Palatino Linotype" w:cs="Palatino Linotype"/>
          <w:b/>
        </w:rPr>
        <w:t>RECURRENTE</w:t>
      </w:r>
      <w:r w:rsidRPr="00B00D30">
        <w:rPr>
          <w:rFonts w:ascii="Palatino Linotype" w:eastAsia="Palatino Linotype" w:hAnsi="Palatino Linotype" w:cs="Palatino Linotype"/>
        </w:rPr>
        <w:t xml:space="preserve"> se tuvo por presentado el </w:t>
      </w:r>
      <w:r w:rsidRPr="00B00D30">
        <w:rPr>
          <w:rFonts w:ascii="Palatino Linotype" w:eastAsia="Palatino Linotype" w:hAnsi="Palatino Linotype" w:cs="Palatino Linotype"/>
          <w:b/>
        </w:rPr>
        <w:t>quince de septiembre de dos mil veinticinco</w:t>
      </w:r>
      <w:r w:rsidRPr="00B00D30">
        <w:rPr>
          <w:rFonts w:ascii="Palatino Linotype" w:eastAsia="Palatino Linotype" w:hAnsi="Palatino Linotype" w:cs="Palatino Linotype"/>
        </w:rPr>
        <w:t xml:space="preserve">, esto es al décimo día en que se tuvo conocimiento de la respuesta. </w:t>
      </w:r>
    </w:p>
    <w:p w:rsidR="004C06C4" w:rsidRPr="00B00D30" w:rsidRDefault="004C06C4">
      <w:pPr>
        <w:spacing w:after="0" w:line="360" w:lineRule="auto"/>
        <w:jc w:val="both"/>
        <w:rPr>
          <w:rFonts w:ascii="Palatino Linotype" w:eastAsia="Palatino Linotype" w:hAnsi="Palatino Linotype" w:cs="Palatino Linotype"/>
        </w:rPr>
      </w:pPr>
    </w:p>
    <w:p w:rsidR="004C06C4" w:rsidRPr="00B00D30" w:rsidRDefault="00947F67">
      <w:pPr>
        <w:spacing w:after="0" w:line="360" w:lineRule="auto"/>
        <w:jc w:val="both"/>
        <w:rPr>
          <w:rFonts w:ascii="Palatino Linotype" w:eastAsia="Palatino Linotype" w:hAnsi="Palatino Linotype" w:cs="Palatino Linotype"/>
        </w:rPr>
      </w:pPr>
      <w:r w:rsidRPr="00B00D30">
        <w:rPr>
          <w:rFonts w:ascii="Palatino Linotype" w:eastAsia="Palatino Linotype" w:hAnsi="Palatino Linotype" w:cs="Palatino Linotype"/>
        </w:rPr>
        <w:t>Es de suma importancia mencionar que, si bien, la parte no proporcionó nombre o seudónimo para ser identificado como se advierte en el detalle de seguimiento del Sistema de Acceso a la Información Mexiquense,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4C06C4" w:rsidRPr="00B00D30" w:rsidRDefault="004C06C4">
      <w:pPr>
        <w:spacing w:after="0" w:line="360" w:lineRule="auto"/>
        <w:jc w:val="both"/>
        <w:rPr>
          <w:rFonts w:ascii="Palatino Linotype" w:eastAsia="Palatino Linotype" w:hAnsi="Palatino Linotype" w:cs="Palatino Linotype"/>
        </w:rPr>
      </w:pPr>
    </w:p>
    <w:p w:rsidR="004C06C4" w:rsidRPr="00B00D30" w:rsidRDefault="00947F67">
      <w:pPr>
        <w:spacing w:after="0" w:line="276" w:lineRule="auto"/>
        <w:ind w:left="567" w:right="560"/>
        <w:jc w:val="both"/>
        <w:rPr>
          <w:rFonts w:ascii="Palatino Linotype" w:eastAsia="Palatino Linotype" w:hAnsi="Palatino Linotype" w:cs="Palatino Linotype"/>
          <w:i/>
        </w:rPr>
      </w:pPr>
      <w:r w:rsidRPr="00B00D30">
        <w:rPr>
          <w:rFonts w:ascii="Palatino Linotype" w:eastAsia="Palatino Linotype" w:hAnsi="Palatino Linotype" w:cs="Palatino Linotype"/>
          <w:i/>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p>
    <w:p w:rsidR="004C06C4" w:rsidRPr="00B00D30" w:rsidRDefault="004C06C4">
      <w:pPr>
        <w:spacing w:after="0" w:line="360" w:lineRule="auto"/>
        <w:jc w:val="both"/>
        <w:rPr>
          <w:rFonts w:ascii="Palatino Linotype" w:eastAsia="Palatino Linotype" w:hAnsi="Palatino Linotype" w:cs="Palatino Linotype"/>
        </w:rPr>
      </w:pPr>
    </w:p>
    <w:p w:rsidR="004C06C4" w:rsidRPr="00B00D30" w:rsidRDefault="00947F67">
      <w:pPr>
        <w:spacing w:after="0" w:line="360" w:lineRule="auto"/>
        <w:jc w:val="both"/>
        <w:rPr>
          <w:rFonts w:ascii="Palatino Linotype" w:eastAsia="Palatino Linotype" w:hAnsi="Palatino Linotype" w:cs="Palatino Linotype"/>
          <w:b/>
        </w:rPr>
      </w:pPr>
      <w:r w:rsidRPr="00B00D30">
        <w:rPr>
          <w:rFonts w:ascii="Palatino Linotype" w:eastAsia="Palatino Linotype" w:hAnsi="Palatino Linotype" w:cs="Palatino Linotype"/>
        </w:rPr>
        <w:t xml:space="preserve">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RPr="00B00D30">
        <w:rPr>
          <w:rFonts w:ascii="Palatino Linotype" w:eastAsia="Palatino Linotype" w:hAnsi="Palatino Linotype" w:cs="Palatino Linotype"/>
          <w:b/>
        </w:rPr>
        <w:t>SAIMEX.</w:t>
      </w:r>
    </w:p>
    <w:p w:rsidR="004C06C4" w:rsidRPr="00B00D30" w:rsidRDefault="004C06C4">
      <w:pPr>
        <w:spacing w:after="0" w:line="360" w:lineRule="auto"/>
        <w:jc w:val="both"/>
        <w:rPr>
          <w:rFonts w:ascii="Palatino Linotype" w:eastAsia="Palatino Linotype" w:hAnsi="Palatino Linotype" w:cs="Palatino Linotype"/>
        </w:rPr>
      </w:pPr>
    </w:p>
    <w:p w:rsidR="004C06C4" w:rsidRPr="00B00D30" w:rsidRDefault="00947F67">
      <w:pPr>
        <w:spacing w:after="0" w:line="360" w:lineRule="auto"/>
        <w:ind w:right="49"/>
        <w:jc w:val="both"/>
        <w:rPr>
          <w:rFonts w:ascii="Palatino Linotype" w:eastAsia="Palatino Linotype" w:hAnsi="Palatino Linotype" w:cs="Palatino Linotype"/>
          <w:i/>
        </w:rPr>
      </w:pPr>
      <w:r w:rsidRPr="00B00D30">
        <w:rPr>
          <w:rFonts w:ascii="Palatino Linotype" w:eastAsia="Palatino Linotype" w:hAnsi="Palatino Linotype" w:cs="Palatino Linotype"/>
        </w:rPr>
        <w:t xml:space="preserve">Finalmente, es de destacar que, no fue posible encuadrar los motivos de inconformidad en algunos de los supuestos que contempla el artículo 179 de la Ley de Transparencia y Acceso a la Información Pública del Estado de México y Municipios. </w:t>
      </w:r>
    </w:p>
    <w:p w:rsidR="004C06C4" w:rsidRPr="00B00D30" w:rsidRDefault="004C06C4">
      <w:pPr>
        <w:spacing w:after="0" w:line="360" w:lineRule="auto"/>
        <w:ind w:right="49"/>
        <w:jc w:val="both"/>
        <w:rPr>
          <w:rFonts w:ascii="Palatino Linotype" w:eastAsia="Palatino Linotype" w:hAnsi="Palatino Linotype" w:cs="Palatino Linotype"/>
        </w:rPr>
      </w:pPr>
    </w:p>
    <w:p w:rsidR="004C06C4" w:rsidRPr="00B00D30" w:rsidRDefault="00947F67">
      <w:pPr>
        <w:spacing w:after="0" w:line="360" w:lineRule="auto"/>
        <w:jc w:val="both"/>
        <w:rPr>
          <w:rFonts w:ascii="Palatino Linotype" w:eastAsia="Palatino Linotype" w:hAnsi="Palatino Linotype" w:cs="Palatino Linotype"/>
        </w:rPr>
      </w:pPr>
      <w:r w:rsidRPr="00B00D30">
        <w:rPr>
          <w:rFonts w:ascii="Palatino Linotype" w:eastAsia="Palatino Linotype" w:hAnsi="Palatino Linotype" w:cs="Palatino Linotype"/>
          <w:b/>
        </w:rPr>
        <w:t>Tercero. Análisis de las causales de improcedencia y sobreseimiento del recurso de revisión.</w:t>
      </w:r>
      <w:r w:rsidRPr="00B00D30">
        <w:t xml:space="preserve"> </w:t>
      </w:r>
      <w:r w:rsidRPr="00B00D30">
        <w:rPr>
          <w:rFonts w:ascii="Palatino Linotype" w:eastAsia="Palatino Linotype" w:hAnsi="Palatino Linotype" w:cs="Palatino Linotype"/>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4C06C4" w:rsidRPr="00B00D30" w:rsidRDefault="004C06C4">
      <w:pPr>
        <w:spacing w:after="0" w:line="360" w:lineRule="auto"/>
        <w:jc w:val="both"/>
      </w:pPr>
    </w:p>
    <w:p w:rsidR="004C06C4" w:rsidRPr="00B00D30" w:rsidRDefault="00947F67">
      <w:pPr>
        <w:spacing w:after="0" w:line="360" w:lineRule="auto"/>
        <w:jc w:val="both"/>
        <w:rPr>
          <w:rFonts w:ascii="Palatino Linotype" w:eastAsia="Palatino Linotype" w:hAnsi="Palatino Linotype" w:cs="Palatino Linotype"/>
        </w:rPr>
      </w:pPr>
      <w:r w:rsidRPr="00B00D30">
        <w:rPr>
          <w:rFonts w:ascii="Palatino Linotype" w:eastAsia="Palatino Linotype" w:hAnsi="Palatino Linotype" w:cs="Palatino Linotype"/>
        </w:rP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rsidR="004C06C4" w:rsidRPr="00B00D30" w:rsidRDefault="004C06C4">
      <w:pPr>
        <w:spacing w:after="0" w:line="360" w:lineRule="auto"/>
        <w:jc w:val="both"/>
      </w:pPr>
    </w:p>
    <w:p w:rsidR="004C06C4" w:rsidRPr="00B00D30" w:rsidRDefault="00947F67">
      <w:pPr>
        <w:spacing w:after="0" w:line="360" w:lineRule="auto"/>
        <w:ind w:right="51"/>
        <w:jc w:val="both"/>
        <w:rPr>
          <w:rFonts w:ascii="Palatino Linotype" w:eastAsia="Palatino Linotype" w:hAnsi="Palatino Linotype" w:cs="Palatino Linotype"/>
        </w:rPr>
      </w:pPr>
      <w:r w:rsidRPr="00B00D30">
        <w:rPr>
          <w:rFonts w:ascii="Palatino Linotype" w:eastAsia="Palatino Linotype" w:hAnsi="Palatino Linotype" w:cs="Palatino Linotype"/>
        </w:rPr>
        <w:t>De manera preliminar en el caso concreto conviene analizar si se actualiza alguna de las causales de sobreseimiento del recurso de revisión.</w:t>
      </w:r>
    </w:p>
    <w:p w:rsidR="004C06C4" w:rsidRPr="00B00D30" w:rsidRDefault="004C06C4">
      <w:pPr>
        <w:spacing w:after="0" w:line="360" w:lineRule="auto"/>
        <w:ind w:right="51"/>
        <w:jc w:val="both"/>
        <w:rPr>
          <w:rFonts w:ascii="Palatino Linotype" w:eastAsia="Palatino Linotype" w:hAnsi="Palatino Linotype" w:cs="Palatino Linotype"/>
        </w:rPr>
      </w:pPr>
    </w:p>
    <w:p w:rsidR="004C06C4" w:rsidRPr="00B00D30" w:rsidRDefault="00947F67">
      <w:pPr>
        <w:spacing w:after="0" w:line="360" w:lineRule="auto"/>
        <w:ind w:right="51"/>
        <w:jc w:val="both"/>
        <w:rPr>
          <w:rFonts w:ascii="Palatino Linotype" w:eastAsia="Palatino Linotype" w:hAnsi="Palatino Linotype" w:cs="Palatino Linotype"/>
        </w:rPr>
      </w:pPr>
      <w:r w:rsidRPr="00B00D30">
        <w:rPr>
          <w:rFonts w:ascii="Palatino Linotype" w:eastAsia="Palatino Linotype" w:hAnsi="Palatino Linotype" w:cs="Palatino Linotype"/>
        </w:rPr>
        <w:t>Así, del análisis de la solicitud de información motivo del Recurso de Revisión que ahora se resuelve, se advierte que la parte Solicitante requirió al Sujeto Obligado le proporcione información consistente en lo siguiente:</w:t>
      </w:r>
    </w:p>
    <w:p w:rsidR="004C06C4" w:rsidRPr="00B00D30" w:rsidRDefault="004C06C4">
      <w:pPr>
        <w:spacing w:after="0" w:line="360" w:lineRule="auto"/>
        <w:ind w:right="51"/>
        <w:jc w:val="both"/>
        <w:rPr>
          <w:rFonts w:ascii="Palatino Linotype" w:eastAsia="Palatino Linotype" w:hAnsi="Palatino Linotype" w:cs="Palatino Linotype"/>
        </w:rPr>
      </w:pPr>
    </w:p>
    <w:p w:rsidR="004C06C4" w:rsidRPr="00B00D30" w:rsidRDefault="00947F67">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B00D30">
        <w:rPr>
          <w:rFonts w:ascii="Palatino Linotype" w:eastAsia="Palatino Linotype" w:hAnsi="Palatino Linotype" w:cs="Palatino Linotype"/>
        </w:rPr>
        <w:t>Respecto a la entrega de diversos materiales de construcción, alimento, animales de crianza, electrodomésticos y demás que fueron entregados a ciudadanos. ¿Es usted DIPUTADA PAOLA JIMÉNEZ quien paga todo lo referido anteriormente? de no ser usted a la anterior pregunta; se solicita el Acta Constitutiva del Donatario Autorizado, así como la documentación que acredite el pago de todo lo que ha entregado.</w:t>
      </w:r>
    </w:p>
    <w:p w:rsidR="004C06C4" w:rsidRPr="00B00D30" w:rsidRDefault="00947F67">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B00D30">
        <w:rPr>
          <w:rFonts w:ascii="Palatino Linotype" w:eastAsia="Palatino Linotype" w:hAnsi="Palatino Linotype" w:cs="Palatino Linotype"/>
        </w:rPr>
        <w:t xml:space="preserve">En respuesta, el Sujeto Obligado, remitió la siguiente información: </w:t>
      </w:r>
    </w:p>
    <w:p w:rsidR="004C06C4" w:rsidRPr="00B00D30" w:rsidRDefault="004C06C4">
      <w:pPr>
        <w:spacing w:after="0" w:line="360" w:lineRule="auto"/>
        <w:ind w:right="49"/>
        <w:jc w:val="both"/>
        <w:rPr>
          <w:rFonts w:ascii="Palatino Linotype" w:eastAsia="Palatino Linotype" w:hAnsi="Palatino Linotype" w:cs="Palatino Linotype"/>
        </w:rPr>
      </w:pPr>
    </w:p>
    <w:p w:rsidR="004C06C4" w:rsidRPr="00B00D30" w:rsidRDefault="00947F67">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B00D30">
        <w:rPr>
          <w:rFonts w:ascii="Palatino Linotype" w:eastAsia="Palatino Linotype" w:hAnsi="Palatino Linotype" w:cs="Palatino Linotype"/>
        </w:rPr>
        <w:t>Oficio de fecha veintisiete de agosto de dos mil veinticinco, signado por el servidor público habilitado de la Secretaría de Asuntos Parlamentarios, mediante el cual informa que, se turnó la solicitud de información al personal que labora con la Diputada.</w:t>
      </w:r>
    </w:p>
    <w:p w:rsidR="004C06C4" w:rsidRPr="00B00D30" w:rsidRDefault="00947F67">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B00D30">
        <w:rPr>
          <w:rFonts w:ascii="Palatino Linotype" w:eastAsia="Palatino Linotype" w:hAnsi="Palatino Linotype" w:cs="Palatino Linotype"/>
        </w:rPr>
        <w:t xml:space="preserve">Oficio de fecha trece de agosto de dos mil veinticinco, signado por el Coordinador Administrativo, mediante el cual informa que, después de una búsqueda exhaustiva y razonable realizada en los archivos que obran en la oficina, se permite comunicar que no se encontró información relacionada con la solicitud de referencia. </w:t>
      </w:r>
    </w:p>
    <w:p w:rsidR="004C06C4" w:rsidRPr="00B00D30" w:rsidRDefault="00947F67">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B00D30">
        <w:rPr>
          <w:rFonts w:ascii="Palatino Linotype" w:eastAsia="Palatino Linotype" w:hAnsi="Palatino Linotype" w:cs="Palatino Linotype"/>
        </w:rPr>
        <w:t xml:space="preserve">Oficio de fecha uno de septiembre de dos mil veinticinco, signado por el Titular de la Unidad de Transparencia mediante el cual informa que, se entrega la información solicitada. </w:t>
      </w:r>
    </w:p>
    <w:p w:rsidR="004C06C4" w:rsidRPr="00B00D30" w:rsidRDefault="004C06C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4C06C4" w:rsidRPr="00B00D30" w:rsidRDefault="00947F67">
      <w:pPr>
        <w:spacing w:after="0" w:line="360" w:lineRule="auto"/>
        <w:ind w:right="49"/>
        <w:jc w:val="both"/>
        <w:rPr>
          <w:rFonts w:ascii="Palatino Linotype" w:eastAsia="Palatino Linotype" w:hAnsi="Palatino Linotype" w:cs="Palatino Linotype"/>
        </w:rPr>
      </w:pPr>
      <w:r w:rsidRPr="00B00D30">
        <w:rPr>
          <w:rFonts w:ascii="Palatino Linotype" w:eastAsia="Palatino Linotype" w:hAnsi="Palatino Linotype" w:cs="Palatino Linotype"/>
        </w:rPr>
        <w:t xml:space="preserve">Derivado de ello, la parte Recurrente se inconformó textualmente por lo siguiente: </w:t>
      </w:r>
      <w:r w:rsidRPr="00B00D30">
        <w:rPr>
          <w:rFonts w:ascii="Palatino Linotype" w:eastAsia="Palatino Linotype" w:hAnsi="Palatino Linotype" w:cs="Palatino Linotype"/>
          <w:b/>
        </w:rPr>
        <w:t>“</w:t>
      </w:r>
      <w:r w:rsidRPr="00B00D30">
        <w:rPr>
          <w:rFonts w:ascii="Palatino Linotype" w:eastAsia="Palatino Linotype" w:hAnsi="Palatino Linotype" w:cs="Palatino Linotype"/>
          <w:b/>
          <w:i/>
          <w:u w:val="single"/>
        </w:rPr>
        <w:t>LA DIPUTADE, PAOLA JIMENEZ. ES UNA VIOLENTADORA, NO RESPETA DERECHOS BASICOS, ¿Cómo es que es legisladora?</w:t>
      </w:r>
      <w:r w:rsidRPr="00B00D30">
        <w:rPr>
          <w:rFonts w:ascii="Palatino Linotype" w:eastAsia="Palatino Linotype" w:hAnsi="Palatino Linotype" w:cs="Palatino Linotype"/>
          <w:i/>
        </w:rPr>
        <w:t>”</w:t>
      </w:r>
    </w:p>
    <w:p w:rsidR="004C06C4" w:rsidRPr="00B00D30" w:rsidRDefault="004C06C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4C06C4" w:rsidRPr="00B00D30" w:rsidRDefault="00947F67">
      <w:pPr>
        <w:spacing w:after="0" w:line="360" w:lineRule="auto"/>
        <w:jc w:val="both"/>
        <w:rPr>
          <w:rFonts w:ascii="Palatino Linotype" w:eastAsia="Palatino Linotype" w:hAnsi="Palatino Linotype" w:cs="Palatino Linotype"/>
        </w:rPr>
      </w:pPr>
      <w:r w:rsidRPr="00B00D30">
        <w:rPr>
          <w:rFonts w:ascii="Palatino Linotype" w:eastAsia="Palatino Linotype" w:hAnsi="Palatino Linotype" w:cs="Palatino Linotype"/>
        </w:rPr>
        <w:t xml:space="preserve">Es así que, mediante informe justificado, el Sujeto Obligado ratificó su respuesta inicial. </w:t>
      </w:r>
    </w:p>
    <w:p w:rsidR="004C06C4" w:rsidRPr="00B00D30" w:rsidRDefault="004C06C4">
      <w:pPr>
        <w:spacing w:after="0" w:line="360" w:lineRule="auto"/>
        <w:jc w:val="both"/>
        <w:rPr>
          <w:rFonts w:ascii="Palatino Linotype" w:eastAsia="Palatino Linotype" w:hAnsi="Palatino Linotype" w:cs="Palatino Linotype"/>
        </w:rPr>
      </w:pPr>
    </w:p>
    <w:p w:rsidR="004C06C4" w:rsidRPr="00B00D30" w:rsidRDefault="00947F67">
      <w:pPr>
        <w:spacing w:after="0" w:line="360" w:lineRule="auto"/>
        <w:ind w:right="96"/>
        <w:jc w:val="both"/>
        <w:rPr>
          <w:rFonts w:ascii="Palatino Linotype" w:eastAsia="Palatino Linotype" w:hAnsi="Palatino Linotype" w:cs="Palatino Linotype"/>
        </w:rPr>
      </w:pPr>
      <w:r w:rsidRPr="00B00D30">
        <w:rPr>
          <w:rFonts w:ascii="Palatino Linotype" w:eastAsia="Palatino Linotype" w:hAnsi="Palatino Linotype" w:cs="Palatino Linotype"/>
        </w:rPr>
        <w:t xml:space="preserve">Del análisis a los motivos hechos valer en el Recurso de Revisión, se advierte que, estos se tratan de apreciaciones y manifestaciones subjetivas de la parte Recurrente, situación que no puede ser analizada a través del Derecho de Acceso a la Información Pública. </w:t>
      </w:r>
    </w:p>
    <w:p w:rsidR="004C06C4" w:rsidRPr="00B00D30" w:rsidRDefault="004C06C4">
      <w:pPr>
        <w:spacing w:after="0" w:line="360" w:lineRule="auto"/>
        <w:ind w:right="96"/>
        <w:jc w:val="both"/>
        <w:rPr>
          <w:rFonts w:ascii="Palatino Linotype" w:eastAsia="Palatino Linotype" w:hAnsi="Palatino Linotype" w:cs="Palatino Linotype"/>
        </w:rPr>
      </w:pPr>
    </w:p>
    <w:p w:rsidR="004C06C4" w:rsidRPr="00B00D30" w:rsidRDefault="00947F67">
      <w:pPr>
        <w:spacing w:after="0" w:line="360" w:lineRule="auto"/>
        <w:ind w:right="96"/>
        <w:jc w:val="both"/>
        <w:rPr>
          <w:rFonts w:ascii="Palatino Linotype" w:eastAsia="Palatino Linotype" w:hAnsi="Palatino Linotype" w:cs="Palatino Linotype"/>
        </w:rPr>
      </w:pPr>
      <w:r w:rsidRPr="00B00D30">
        <w:rPr>
          <w:rFonts w:ascii="Palatino Linotype" w:eastAsia="Palatino Linotype" w:hAnsi="Palatino Linotype" w:cs="Palatino Linotype"/>
        </w:rPr>
        <w:t xml:space="preserve">Asimismo, es de mencionar que, el artículo 179 de la Ley de Transparencia y Acceso a la Información Pública del Estado de México y Municipios precisa que: </w:t>
      </w:r>
    </w:p>
    <w:p w:rsidR="004C06C4" w:rsidRPr="00B00D30" w:rsidRDefault="00947F67">
      <w:pPr>
        <w:spacing w:after="0" w:line="276" w:lineRule="auto"/>
        <w:ind w:left="567" w:right="843"/>
        <w:jc w:val="both"/>
        <w:rPr>
          <w:rFonts w:ascii="Palatino Linotype" w:eastAsia="Palatino Linotype" w:hAnsi="Palatino Linotype" w:cs="Palatino Linotype"/>
          <w:i/>
        </w:rPr>
      </w:pPr>
      <w:r w:rsidRPr="00B00D30">
        <w:rPr>
          <w:rFonts w:ascii="Palatino Linotype" w:eastAsia="Palatino Linotype" w:hAnsi="Palatino Linotype" w:cs="Palatino Linotype"/>
          <w:b/>
          <w:i/>
        </w:rPr>
        <w:t>Artículo 179.</w:t>
      </w:r>
      <w:r w:rsidRPr="00B00D30">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 </w:t>
      </w:r>
    </w:p>
    <w:p w:rsidR="004C06C4" w:rsidRPr="00B00D30" w:rsidRDefault="00947F67">
      <w:pPr>
        <w:spacing w:after="0" w:line="276" w:lineRule="auto"/>
        <w:ind w:left="567" w:right="843"/>
        <w:jc w:val="both"/>
        <w:rPr>
          <w:rFonts w:ascii="Palatino Linotype" w:eastAsia="Palatino Linotype" w:hAnsi="Palatino Linotype" w:cs="Palatino Linotype"/>
          <w:i/>
        </w:rPr>
      </w:pPr>
      <w:r w:rsidRPr="00B00D30">
        <w:rPr>
          <w:rFonts w:ascii="Palatino Linotype" w:eastAsia="Palatino Linotype" w:hAnsi="Palatino Linotype" w:cs="Palatino Linotype"/>
          <w:i/>
        </w:rPr>
        <w:t xml:space="preserve">I. La negativa a la información solicitada; </w:t>
      </w:r>
    </w:p>
    <w:p w:rsidR="004C06C4" w:rsidRPr="00B00D30" w:rsidRDefault="00947F67">
      <w:pPr>
        <w:spacing w:after="0" w:line="276" w:lineRule="auto"/>
        <w:ind w:left="567" w:right="843"/>
        <w:jc w:val="both"/>
        <w:rPr>
          <w:rFonts w:ascii="Palatino Linotype" w:eastAsia="Palatino Linotype" w:hAnsi="Palatino Linotype" w:cs="Palatino Linotype"/>
          <w:i/>
        </w:rPr>
      </w:pPr>
      <w:r w:rsidRPr="00B00D30">
        <w:rPr>
          <w:rFonts w:ascii="Palatino Linotype" w:eastAsia="Palatino Linotype" w:hAnsi="Palatino Linotype" w:cs="Palatino Linotype"/>
          <w:i/>
        </w:rPr>
        <w:t xml:space="preserve">II. La clasificación de la información; </w:t>
      </w:r>
    </w:p>
    <w:p w:rsidR="004C06C4" w:rsidRPr="00B00D30" w:rsidRDefault="00947F67">
      <w:pPr>
        <w:spacing w:after="0" w:line="276" w:lineRule="auto"/>
        <w:ind w:left="567" w:right="843"/>
        <w:jc w:val="both"/>
        <w:rPr>
          <w:rFonts w:ascii="Palatino Linotype" w:eastAsia="Palatino Linotype" w:hAnsi="Palatino Linotype" w:cs="Palatino Linotype"/>
          <w:i/>
        </w:rPr>
      </w:pPr>
      <w:r w:rsidRPr="00B00D30">
        <w:rPr>
          <w:rFonts w:ascii="Palatino Linotype" w:eastAsia="Palatino Linotype" w:hAnsi="Palatino Linotype" w:cs="Palatino Linotype"/>
          <w:i/>
        </w:rPr>
        <w:t xml:space="preserve">III. La declaración de inexistencia de la información; </w:t>
      </w:r>
    </w:p>
    <w:p w:rsidR="004C06C4" w:rsidRPr="00B00D30" w:rsidRDefault="00947F67">
      <w:pPr>
        <w:spacing w:after="0" w:line="276" w:lineRule="auto"/>
        <w:ind w:left="567" w:right="843"/>
        <w:jc w:val="both"/>
        <w:rPr>
          <w:rFonts w:ascii="Palatino Linotype" w:eastAsia="Palatino Linotype" w:hAnsi="Palatino Linotype" w:cs="Palatino Linotype"/>
          <w:i/>
        </w:rPr>
      </w:pPr>
      <w:r w:rsidRPr="00B00D30">
        <w:rPr>
          <w:rFonts w:ascii="Palatino Linotype" w:eastAsia="Palatino Linotype" w:hAnsi="Palatino Linotype" w:cs="Palatino Linotype"/>
          <w:i/>
        </w:rPr>
        <w:t xml:space="preserve">IV. La declaración de incompetencia por el sujeto obligado; </w:t>
      </w:r>
    </w:p>
    <w:p w:rsidR="004C06C4" w:rsidRPr="00B00D30" w:rsidRDefault="00947F67">
      <w:pPr>
        <w:spacing w:after="0" w:line="276" w:lineRule="auto"/>
        <w:ind w:left="567" w:right="843"/>
        <w:jc w:val="both"/>
        <w:rPr>
          <w:rFonts w:ascii="Palatino Linotype" w:eastAsia="Palatino Linotype" w:hAnsi="Palatino Linotype" w:cs="Palatino Linotype"/>
          <w:i/>
        </w:rPr>
      </w:pPr>
      <w:r w:rsidRPr="00B00D30">
        <w:rPr>
          <w:rFonts w:ascii="Palatino Linotype" w:eastAsia="Palatino Linotype" w:hAnsi="Palatino Linotype" w:cs="Palatino Linotype"/>
          <w:i/>
        </w:rPr>
        <w:t xml:space="preserve">V. La entrega de información incompleta; </w:t>
      </w:r>
    </w:p>
    <w:p w:rsidR="004C06C4" w:rsidRPr="00B00D30" w:rsidRDefault="00947F67">
      <w:pPr>
        <w:spacing w:after="0" w:line="276" w:lineRule="auto"/>
        <w:ind w:left="567" w:right="843"/>
        <w:jc w:val="both"/>
        <w:rPr>
          <w:rFonts w:ascii="Palatino Linotype" w:eastAsia="Palatino Linotype" w:hAnsi="Palatino Linotype" w:cs="Palatino Linotype"/>
          <w:i/>
        </w:rPr>
      </w:pPr>
      <w:r w:rsidRPr="00B00D30">
        <w:rPr>
          <w:rFonts w:ascii="Palatino Linotype" w:eastAsia="Palatino Linotype" w:hAnsi="Palatino Linotype" w:cs="Palatino Linotype"/>
          <w:i/>
        </w:rPr>
        <w:t xml:space="preserve">VI. La entrega de información que no corresponda con lo solicitado; </w:t>
      </w:r>
    </w:p>
    <w:p w:rsidR="004C06C4" w:rsidRPr="00B00D30" w:rsidRDefault="00947F67">
      <w:pPr>
        <w:spacing w:after="0" w:line="276" w:lineRule="auto"/>
        <w:ind w:left="567" w:right="843"/>
        <w:jc w:val="both"/>
        <w:rPr>
          <w:rFonts w:ascii="Palatino Linotype" w:eastAsia="Palatino Linotype" w:hAnsi="Palatino Linotype" w:cs="Palatino Linotype"/>
          <w:i/>
        </w:rPr>
      </w:pPr>
      <w:r w:rsidRPr="00B00D30">
        <w:rPr>
          <w:rFonts w:ascii="Palatino Linotype" w:eastAsia="Palatino Linotype" w:hAnsi="Palatino Linotype" w:cs="Palatino Linotype"/>
          <w:i/>
        </w:rPr>
        <w:t xml:space="preserve">VII. La falta de respuesta a una solicitud de acceso a la información; </w:t>
      </w:r>
    </w:p>
    <w:p w:rsidR="004C06C4" w:rsidRPr="00B00D30" w:rsidRDefault="00947F67">
      <w:pPr>
        <w:spacing w:after="0" w:line="276" w:lineRule="auto"/>
        <w:ind w:left="567" w:right="843"/>
        <w:jc w:val="both"/>
        <w:rPr>
          <w:rFonts w:ascii="Palatino Linotype" w:eastAsia="Palatino Linotype" w:hAnsi="Palatino Linotype" w:cs="Palatino Linotype"/>
          <w:i/>
        </w:rPr>
      </w:pPr>
      <w:r w:rsidRPr="00B00D30">
        <w:rPr>
          <w:rFonts w:ascii="Palatino Linotype" w:eastAsia="Palatino Linotype" w:hAnsi="Palatino Linotype" w:cs="Palatino Linotype"/>
          <w:i/>
        </w:rPr>
        <w:t xml:space="preserve">VIII. La notificación, entrega o puesta a disposición de información en una modalidad o formato distinto al solicitado; </w:t>
      </w:r>
    </w:p>
    <w:p w:rsidR="004C06C4" w:rsidRPr="00B00D30" w:rsidRDefault="00947F67">
      <w:pPr>
        <w:spacing w:after="0" w:line="276" w:lineRule="auto"/>
        <w:ind w:left="567" w:right="843"/>
        <w:jc w:val="both"/>
        <w:rPr>
          <w:rFonts w:ascii="Palatino Linotype" w:eastAsia="Palatino Linotype" w:hAnsi="Palatino Linotype" w:cs="Palatino Linotype"/>
          <w:i/>
        </w:rPr>
      </w:pPr>
      <w:r w:rsidRPr="00B00D30">
        <w:rPr>
          <w:rFonts w:ascii="Palatino Linotype" w:eastAsia="Palatino Linotype" w:hAnsi="Palatino Linotype" w:cs="Palatino Linotype"/>
          <w:i/>
        </w:rPr>
        <w:t xml:space="preserve">IX. La entrega o puesta a disposición de información en un formato incomprensible y/o no accesible para el solicitante; </w:t>
      </w:r>
    </w:p>
    <w:p w:rsidR="004C06C4" w:rsidRPr="00B00D30" w:rsidRDefault="00947F67">
      <w:pPr>
        <w:spacing w:after="0" w:line="276" w:lineRule="auto"/>
        <w:ind w:left="567" w:right="843"/>
        <w:jc w:val="both"/>
        <w:rPr>
          <w:rFonts w:ascii="Palatino Linotype" w:eastAsia="Palatino Linotype" w:hAnsi="Palatino Linotype" w:cs="Palatino Linotype"/>
          <w:i/>
        </w:rPr>
      </w:pPr>
      <w:r w:rsidRPr="00B00D30">
        <w:rPr>
          <w:rFonts w:ascii="Palatino Linotype" w:eastAsia="Palatino Linotype" w:hAnsi="Palatino Linotype" w:cs="Palatino Linotype"/>
          <w:i/>
        </w:rPr>
        <w:t xml:space="preserve">X. Los costos o tiempos de entrega de la información; </w:t>
      </w:r>
    </w:p>
    <w:p w:rsidR="004C06C4" w:rsidRPr="00B00D30" w:rsidRDefault="00947F67">
      <w:pPr>
        <w:spacing w:after="0" w:line="276" w:lineRule="auto"/>
        <w:ind w:left="567" w:right="843"/>
        <w:jc w:val="both"/>
        <w:rPr>
          <w:rFonts w:ascii="Palatino Linotype" w:eastAsia="Palatino Linotype" w:hAnsi="Palatino Linotype" w:cs="Palatino Linotype"/>
          <w:i/>
        </w:rPr>
      </w:pPr>
      <w:r w:rsidRPr="00B00D30">
        <w:rPr>
          <w:rFonts w:ascii="Palatino Linotype" w:eastAsia="Palatino Linotype" w:hAnsi="Palatino Linotype" w:cs="Palatino Linotype"/>
          <w:i/>
        </w:rPr>
        <w:t xml:space="preserve">XI. La falta de trámite a una solicitud; </w:t>
      </w:r>
    </w:p>
    <w:p w:rsidR="004C06C4" w:rsidRPr="00B00D30" w:rsidRDefault="00947F67">
      <w:pPr>
        <w:spacing w:after="0" w:line="276" w:lineRule="auto"/>
        <w:ind w:left="567" w:right="843"/>
        <w:jc w:val="both"/>
        <w:rPr>
          <w:rFonts w:ascii="Palatino Linotype" w:eastAsia="Palatino Linotype" w:hAnsi="Palatino Linotype" w:cs="Palatino Linotype"/>
          <w:i/>
        </w:rPr>
      </w:pPr>
      <w:r w:rsidRPr="00B00D30">
        <w:rPr>
          <w:rFonts w:ascii="Palatino Linotype" w:eastAsia="Palatino Linotype" w:hAnsi="Palatino Linotype" w:cs="Palatino Linotype"/>
          <w:i/>
        </w:rPr>
        <w:t xml:space="preserve">XII. La negativa a permitir la consulta directa de la información; </w:t>
      </w:r>
    </w:p>
    <w:p w:rsidR="004C06C4" w:rsidRPr="00B00D30" w:rsidRDefault="00947F67">
      <w:pPr>
        <w:spacing w:after="0" w:line="276" w:lineRule="auto"/>
        <w:ind w:left="567" w:right="843"/>
        <w:jc w:val="both"/>
        <w:rPr>
          <w:rFonts w:ascii="Palatino Linotype" w:eastAsia="Palatino Linotype" w:hAnsi="Palatino Linotype" w:cs="Palatino Linotype"/>
          <w:i/>
        </w:rPr>
      </w:pPr>
      <w:r w:rsidRPr="00B00D30">
        <w:rPr>
          <w:rFonts w:ascii="Palatino Linotype" w:eastAsia="Palatino Linotype" w:hAnsi="Palatino Linotype" w:cs="Palatino Linotype"/>
          <w:i/>
        </w:rPr>
        <w:t xml:space="preserve">XIII. La falta, deficiencia o insuficiencia de la fundamentación y/o motivación en la respuesta; y </w:t>
      </w:r>
    </w:p>
    <w:p w:rsidR="004C06C4" w:rsidRPr="00B00D30" w:rsidRDefault="00947F67">
      <w:pPr>
        <w:spacing w:after="0" w:line="276" w:lineRule="auto"/>
        <w:ind w:left="567" w:right="843"/>
        <w:jc w:val="both"/>
        <w:rPr>
          <w:rFonts w:ascii="Palatino Linotype" w:eastAsia="Palatino Linotype" w:hAnsi="Palatino Linotype" w:cs="Palatino Linotype"/>
          <w:i/>
        </w:rPr>
      </w:pPr>
      <w:r w:rsidRPr="00B00D30">
        <w:rPr>
          <w:rFonts w:ascii="Palatino Linotype" w:eastAsia="Palatino Linotype" w:hAnsi="Palatino Linotype" w:cs="Palatino Linotype"/>
          <w:i/>
        </w:rPr>
        <w:t>XIV. La orientación a un trámite específico.</w:t>
      </w:r>
    </w:p>
    <w:p w:rsidR="004C06C4" w:rsidRPr="00B00D30" w:rsidRDefault="004C06C4">
      <w:pPr>
        <w:spacing w:after="0" w:line="360" w:lineRule="auto"/>
        <w:ind w:right="96"/>
        <w:jc w:val="both"/>
        <w:rPr>
          <w:rFonts w:ascii="Palatino Linotype" w:eastAsia="Palatino Linotype" w:hAnsi="Palatino Linotype" w:cs="Palatino Linotype"/>
        </w:rPr>
      </w:pPr>
    </w:p>
    <w:p w:rsidR="004C06C4" w:rsidRPr="00B00D30" w:rsidRDefault="00947F67">
      <w:pPr>
        <w:spacing w:after="0" w:line="360" w:lineRule="auto"/>
        <w:ind w:right="49"/>
        <w:jc w:val="both"/>
        <w:rPr>
          <w:rFonts w:ascii="Palatino Linotype" w:eastAsia="Palatino Linotype" w:hAnsi="Palatino Linotype" w:cs="Palatino Linotype"/>
          <w:b/>
        </w:rPr>
      </w:pPr>
      <w:r w:rsidRPr="00B00D30">
        <w:rPr>
          <w:rFonts w:ascii="Palatino Linotype" w:eastAsia="Palatino Linotype" w:hAnsi="Palatino Linotype" w:cs="Palatino Linotype"/>
        </w:rPr>
        <w:t xml:space="preserve">Por lo que, de conformidad con los motivos de inconformidad aducidos por la parte Recurrente, relacionados con </w:t>
      </w:r>
      <w:r w:rsidRPr="00B00D30">
        <w:rPr>
          <w:rFonts w:ascii="Palatino Linotype" w:eastAsia="Palatino Linotype" w:hAnsi="Palatino Linotype" w:cs="Palatino Linotype"/>
          <w:b/>
        </w:rPr>
        <w:t>“</w:t>
      </w:r>
      <w:r w:rsidRPr="00B00D30">
        <w:rPr>
          <w:rFonts w:ascii="Palatino Linotype" w:eastAsia="Palatino Linotype" w:hAnsi="Palatino Linotype" w:cs="Palatino Linotype"/>
          <w:b/>
          <w:i/>
          <w:u w:val="single"/>
        </w:rPr>
        <w:t>LA DIPUTADE, PAOLA JIMENEZ. ES UNA VIOLENTADORA, NO RESPETA DERECHOS BASICOS, ¿Cómo es que es legisladora?</w:t>
      </w:r>
      <w:r w:rsidRPr="00B00D30">
        <w:rPr>
          <w:rFonts w:ascii="Palatino Linotype" w:eastAsia="Palatino Linotype" w:hAnsi="Palatino Linotype" w:cs="Palatino Linotype"/>
          <w:i/>
        </w:rPr>
        <w:t xml:space="preserve">” </w:t>
      </w:r>
      <w:r w:rsidRPr="00B00D30">
        <w:rPr>
          <w:rFonts w:ascii="Palatino Linotype" w:eastAsia="Palatino Linotype" w:hAnsi="Palatino Linotype" w:cs="Palatino Linotype"/>
        </w:rPr>
        <w:t xml:space="preserve">se advirtió que, estos no encuadran en algunos de los supuestos establecidos en el artículo que antecede, puesto que, la parte Recurrente, no se inconformó por la clasificación o inexistencia de la información, la entrega de información incompleta, el cambio de modalidad o algún otro supuesto establecido en el artículo 179 de la Ley en la materia. </w:t>
      </w:r>
    </w:p>
    <w:p w:rsidR="004C06C4" w:rsidRPr="00B00D30" w:rsidRDefault="004C06C4">
      <w:pPr>
        <w:spacing w:after="0" w:line="360" w:lineRule="auto"/>
        <w:ind w:right="96"/>
        <w:jc w:val="both"/>
        <w:rPr>
          <w:rFonts w:ascii="Palatino Linotype" w:eastAsia="Palatino Linotype" w:hAnsi="Palatino Linotype" w:cs="Palatino Linotype"/>
        </w:rPr>
      </w:pPr>
    </w:p>
    <w:p w:rsidR="004C06C4" w:rsidRPr="00B00D30" w:rsidRDefault="00947F67">
      <w:pPr>
        <w:spacing w:after="0" w:line="360" w:lineRule="auto"/>
        <w:ind w:right="96"/>
        <w:jc w:val="both"/>
        <w:rPr>
          <w:rFonts w:ascii="Palatino Linotype" w:eastAsia="Palatino Linotype" w:hAnsi="Palatino Linotype" w:cs="Palatino Linotype"/>
        </w:rPr>
      </w:pPr>
      <w:r w:rsidRPr="00B00D30">
        <w:rPr>
          <w:rFonts w:ascii="Palatino Linotype" w:eastAsia="Palatino Linotype" w:hAnsi="Palatino Linotype" w:cs="Palatino Linotype"/>
        </w:rPr>
        <w:t xml:space="preserve">De tal manera que, al no actualizarse alguna de las causales establecidas en el multicitado artículo, por el contrario, al tratarse de manifestaciones y apreciaciones personales de la parte Recurrente, se determina </w:t>
      </w:r>
      <w:r w:rsidRPr="00B00D30">
        <w:rPr>
          <w:rFonts w:ascii="Palatino Linotype" w:eastAsia="Palatino Linotype" w:hAnsi="Palatino Linotype" w:cs="Palatino Linotype"/>
          <w:b/>
        </w:rPr>
        <w:t>SOBRESEER</w:t>
      </w:r>
      <w:r w:rsidRPr="00B00D30">
        <w:rPr>
          <w:rFonts w:ascii="Palatino Linotype" w:eastAsia="Palatino Linotype" w:hAnsi="Palatino Linotype" w:cs="Palatino Linotype"/>
        </w:rPr>
        <w:t xml:space="preserve"> el presente recurso de revisión por actualizarse la causal de sobreseimiento prevista en la fracción IV del artículo 192 de la Ley de Transparencia y Acceso a la Información Pública del Estado de México y Municipios en su correlación con la causal de improcedencia contemplada en la fracción III del artículo 191 del ordenamiento legal en cita, los que se transcriben a continuación, para un mejor entendimiento:</w:t>
      </w:r>
    </w:p>
    <w:p w:rsidR="004C06C4" w:rsidRPr="00B00D30" w:rsidRDefault="004C06C4">
      <w:pPr>
        <w:spacing w:after="0" w:line="360" w:lineRule="auto"/>
        <w:ind w:right="96"/>
        <w:jc w:val="both"/>
        <w:rPr>
          <w:rFonts w:ascii="Palatino Linotype" w:eastAsia="Palatino Linotype" w:hAnsi="Palatino Linotype" w:cs="Palatino Linotype"/>
        </w:rPr>
      </w:pPr>
    </w:p>
    <w:p w:rsidR="004C06C4" w:rsidRPr="00B00D30" w:rsidRDefault="00947F67">
      <w:pPr>
        <w:tabs>
          <w:tab w:val="left" w:pos="7938"/>
        </w:tabs>
        <w:spacing w:after="0" w:line="276" w:lineRule="auto"/>
        <w:ind w:left="567" w:right="902"/>
        <w:jc w:val="both"/>
        <w:rPr>
          <w:rFonts w:ascii="Palatino Linotype" w:eastAsia="Palatino Linotype" w:hAnsi="Palatino Linotype" w:cs="Palatino Linotype"/>
          <w:i/>
        </w:rPr>
      </w:pPr>
      <w:r w:rsidRPr="00B00D30">
        <w:rPr>
          <w:rFonts w:ascii="Palatino Linotype" w:eastAsia="Palatino Linotype" w:hAnsi="Palatino Linotype" w:cs="Palatino Linotype"/>
          <w:i/>
        </w:rPr>
        <w:t>“</w:t>
      </w:r>
      <w:r w:rsidRPr="00B00D30">
        <w:rPr>
          <w:rFonts w:ascii="Palatino Linotype" w:eastAsia="Palatino Linotype" w:hAnsi="Palatino Linotype" w:cs="Palatino Linotype"/>
          <w:b/>
          <w:i/>
        </w:rPr>
        <w:t>Artículo 191</w:t>
      </w:r>
      <w:r w:rsidRPr="00B00D30">
        <w:rPr>
          <w:rFonts w:ascii="Palatino Linotype" w:eastAsia="Palatino Linotype" w:hAnsi="Palatino Linotype" w:cs="Palatino Linotype"/>
          <w:i/>
        </w:rPr>
        <w:t xml:space="preserve">. </w:t>
      </w:r>
      <w:r w:rsidRPr="00B00D30">
        <w:rPr>
          <w:rFonts w:ascii="Palatino Linotype" w:eastAsia="Palatino Linotype" w:hAnsi="Palatino Linotype" w:cs="Palatino Linotype"/>
          <w:b/>
          <w:i/>
        </w:rPr>
        <w:t>El recurso</w:t>
      </w:r>
      <w:r w:rsidRPr="00B00D30">
        <w:rPr>
          <w:rFonts w:ascii="Palatino Linotype" w:eastAsia="Palatino Linotype" w:hAnsi="Palatino Linotype" w:cs="Palatino Linotype"/>
          <w:i/>
        </w:rPr>
        <w:t xml:space="preserve"> </w:t>
      </w:r>
      <w:r w:rsidRPr="00B00D30">
        <w:rPr>
          <w:rFonts w:ascii="Palatino Linotype" w:eastAsia="Palatino Linotype" w:hAnsi="Palatino Linotype" w:cs="Palatino Linotype"/>
          <w:b/>
          <w:i/>
        </w:rPr>
        <w:t xml:space="preserve">será </w:t>
      </w:r>
      <w:r w:rsidRPr="00B00D30">
        <w:rPr>
          <w:rFonts w:ascii="Palatino Linotype" w:eastAsia="Palatino Linotype" w:hAnsi="Palatino Linotype" w:cs="Palatino Linotype"/>
          <w:i/>
        </w:rPr>
        <w:t xml:space="preserve">desechado por </w:t>
      </w:r>
      <w:r w:rsidRPr="00B00D30">
        <w:rPr>
          <w:rFonts w:ascii="Palatino Linotype" w:eastAsia="Palatino Linotype" w:hAnsi="Palatino Linotype" w:cs="Palatino Linotype"/>
          <w:b/>
          <w:i/>
        </w:rPr>
        <w:t>improcedente cuando</w:t>
      </w:r>
      <w:r w:rsidRPr="00B00D30">
        <w:rPr>
          <w:rFonts w:ascii="Palatino Linotype" w:eastAsia="Palatino Linotype" w:hAnsi="Palatino Linotype" w:cs="Palatino Linotype"/>
          <w:i/>
        </w:rPr>
        <w:t>:</w:t>
      </w:r>
    </w:p>
    <w:p w:rsidR="004C06C4" w:rsidRPr="00B00D30" w:rsidRDefault="00947F67">
      <w:pPr>
        <w:tabs>
          <w:tab w:val="left" w:pos="7938"/>
        </w:tabs>
        <w:spacing w:after="0" w:line="276" w:lineRule="auto"/>
        <w:ind w:left="567" w:right="902"/>
        <w:jc w:val="both"/>
        <w:rPr>
          <w:rFonts w:ascii="Palatino Linotype" w:eastAsia="Palatino Linotype" w:hAnsi="Palatino Linotype" w:cs="Palatino Linotype"/>
          <w:i/>
        </w:rPr>
      </w:pPr>
      <w:r w:rsidRPr="00B00D30">
        <w:rPr>
          <w:rFonts w:ascii="Palatino Linotype" w:eastAsia="Palatino Linotype" w:hAnsi="Palatino Linotype" w:cs="Palatino Linotype"/>
          <w:i/>
        </w:rPr>
        <w:t>…</w:t>
      </w:r>
    </w:p>
    <w:p w:rsidR="004C06C4" w:rsidRPr="00B00D30" w:rsidRDefault="00947F67">
      <w:pPr>
        <w:tabs>
          <w:tab w:val="left" w:pos="7938"/>
        </w:tabs>
        <w:spacing w:after="0" w:line="276" w:lineRule="auto"/>
        <w:ind w:left="567" w:right="902"/>
        <w:jc w:val="both"/>
        <w:rPr>
          <w:rFonts w:ascii="Palatino Linotype" w:eastAsia="Palatino Linotype" w:hAnsi="Palatino Linotype" w:cs="Palatino Linotype"/>
          <w:i/>
        </w:rPr>
      </w:pPr>
      <w:r w:rsidRPr="00B00D30">
        <w:rPr>
          <w:rFonts w:ascii="Palatino Linotype" w:eastAsia="Palatino Linotype" w:hAnsi="Palatino Linotype" w:cs="Palatino Linotype"/>
          <w:b/>
          <w:i/>
        </w:rPr>
        <w:t>III. No actualice alguno de los supuestos previstos en la presente Ley;</w:t>
      </w:r>
      <w:r w:rsidRPr="00B00D30">
        <w:rPr>
          <w:rFonts w:ascii="Palatino Linotype" w:eastAsia="Palatino Linotype" w:hAnsi="Palatino Linotype" w:cs="Palatino Linotype"/>
          <w:b/>
          <w:i/>
        </w:rPr>
        <w:br/>
      </w:r>
      <w:r w:rsidRPr="00B00D30">
        <w:rPr>
          <w:rFonts w:ascii="Palatino Linotype" w:eastAsia="Palatino Linotype" w:hAnsi="Palatino Linotype" w:cs="Palatino Linotype"/>
          <w:i/>
        </w:rPr>
        <w:t>…</w:t>
      </w:r>
    </w:p>
    <w:p w:rsidR="004C06C4" w:rsidRPr="00B00D30" w:rsidRDefault="00947F67">
      <w:pPr>
        <w:tabs>
          <w:tab w:val="left" w:pos="7938"/>
        </w:tabs>
        <w:spacing w:after="0" w:line="276" w:lineRule="auto"/>
        <w:ind w:left="567" w:right="902"/>
        <w:jc w:val="both"/>
        <w:rPr>
          <w:rFonts w:ascii="Palatino Linotype" w:eastAsia="Palatino Linotype" w:hAnsi="Palatino Linotype" w:cs="Palatino Linotype"/>
          <w:i/>
        </w:rPr>
      </w:pPr>
      <w:r w:rsidRPr="00B00D30">
        <w:rPr>
          <w:rFonts w:ascii="Palatino Linotype" w:eastAsia="Palatino Linotype" w:hAnsi="Palatino Linotype" w:cs="Palatino Linotype"/>
          <w:b/>
          <w:i/>
        </w:rPr>
        <w:t>Artículo 192.</w:t>
      </w:r>
      <w:r w:rsidRPr="00B00D30">
        <w:rPr>
          <w:rFonts w:ascii="Palatino Linotype" w:eastAsia="Palatino Linotype" w:hAnsi="Palatino Linotype" w:cs="Palatino Linotype"/>
          <w:i/>
        </w:rPr>
        <w:t xml:space="preserve"> El recurso será sobreseído, en todo o en parte, cuando una vez admitido, se actualicen alguno de los siguientes supuestos:</w:t>
      </w:r>
    </w:p>
    <w:p w:rsidR="004C06C4" w:rsidRPr="00B00D30" w:rsidRDefault="00947F67">
      <w:pPr>
        <w:tabs>
          <w:tab w:val="left" w:pos="7938"/>
        </w:tabs>
        <w:spacing w:after="0" w:line="276" w:lineRule="auto"/>
        <w:ind w:left="567" w:right="902"/>
        <w:jc w:val="both"/>
        <w:rPr>
          <w:rFonts w:ascii="Palatino Linotype" w:eastAsia="Palatino Linotype" w:hAnsi="Palatino Linotype" w:cs="Palatino Linotype"/>
          <w:i/>
        </w:rPr>
      </w:pPr>
      <w:r w:rsidRPr="00B00D30">
        <w:rPr>
          <w:rFonts w:ascii="Palatino Linotype" w:eastAsia="Palatino Linotype" w:hAnsi="Palatino Linotype" w:cs="Palatino Linotype"/>
          <w:i/>
        </w:rPr>
        <w:t>…</w:t>
      </w:r>
    </w:p>
    <w:p w:rsidR="004C06C4" w:rsidRPr="00B00D30" w:rsidRDefault="00947F67">
      <w:pPr>
        <w:tabs>
          <w:tab w:val="left" w:pos="7938"/>
        </w:tabs>
        <w:spacing w:after="0" w:line="276" w:lineRule="auto"/>
        <w:ind w:left="567" w:right="902"/>
        <w:jc w:val="both"/>
        <w:rPr>
          <w:rFonts w:ascii="Palatino Linotype" w:eastAsia="Palatino Linotype" w:hAnsi="Palatino Linotype" w:cs="Palatino Linotype"/>
          <w:i/>
        </w:rPr>
      </w:pPr>
      <w:r w:rsidRPr="00B00D30">
        <w:rPr>
          <w:rFonts w:ascii="Palatino Linotype" w:eastAsia="Palatino Linotype" w:hAnsi="Palatino Linotype" w:cs="Palatino Linotype"/>
          <w:b/>
          <w:i/>
        </w:rPr>
        <w:t>IV</w:t>
      </w:r>
      <w:r w:rsidRPr="00B00D30">
        <w:rPr>
          <w:rFonts w:ascii="Palatino Linotype" w:eastAsia="Palatino Linotype" w:hAnsi="Palatino Linotype" w:cs="Palatino Linotype"/>
          <w:i/>
        </w:rPr>
        <w:t xml:space="preserve">. Admitido el recurso de revisión, </w:t>
      </w:r>
      <w:r w:rsidRPr="00B00D30">
        <w:rPr>
          <w:rFonts w:ascii="Palatino Linotype" w:eastAsia="Palatino Linotype" w:hAnsi="Palatino Linotype" w:cs="Palatino Linotype"/>
          <w:b/>
          <w:i/>
        </w:rPr>
        <w:t>aparezca alguna causal de improcedencia</w:t>
      </w:r>
      <w:r w:rsidRPr="00B00D30">
        <w:rPr>
          <w:rFonts w:ascii="Palatino Linotype" w:eastAsia="Palatino Linotype" w:hAnsi="Palatino Linotype" w:cs="Palatino Linotype"/>
          <w:i/>
        </w:rPr>
        <w:t xml:space="preserve"> en los términos de la presente Ley. “</w:t>
      </w:r>
    </w:p>
    <w:p w:rsidR="004C06C4" w:rsidRPr="00B00D30" w:rsidRDefault="004C06C4">
      <w:pPr>
        <w:tabs>
          <w:tab w:val="left" w:pos="7938"/>
        </w:tabs>
        <w:spacing w:after="0" w:line="360" w:lineRule="auto"/>
        <w:ind w:left="567" w:right="902"/>
        <w:jc w:val="both"/>
        <w:rPr>
          <w:rFonts w:ascii="Palatino Linotype" w:eastAsia="Palatino Linotype" w:hAnsi="Palatino Linotype" w:cs="Palatino Linotype"/>
          <w:i/>
        </w:rPr>
      </w:pPr>
    </w:p>
    <w:p w:rsidR="004C06C4" w:rsidRPr="00B00D30" w:rsidRDefault="00947F67">
      <w:pPr>
        <w:spacing w:after="0" w:line="360" w:lineRule="auto"/>
        <w:jc w:val="both"/>
        <w:rPr>
          <w:rFonts w:ascii="Palatino Linotype" w:eastAsia="Palatino Linotype" w:hAnsi="Palatino Linotype" w:cs="Palatino Linotype"/>
        </w:rPr>
      </w:pPr>
      <w:r w:rsidRPr="00B00D30">
        <w:rPr>
          <w:rFonts w:ascii="Palatino Linotype" w:eastAsia="Palatino Linotype" w:hAnsi="Palatino Linotype" w:cs="Palatino Linotype"/>
        </w:rPr>
        <w:t xml:space="preserve">Siendo el </w:t>
      </w:r>
      <w:r w:rsidRPr="00B00D30">
        <w:rPr>
          <w:rFonts w:ascii="Palatino Linotype" w:eastAsia="Palatino Linotype" w:hAnsi="Palatino Linotype" w:cs="Palatino Linotype"/>
          <w:b/>
          <w:i/>
        </w:rPr>
        <w:t>sobreseimiento</w:t>
      </w:r>
      <w:r w:rsidRPr="00B00D30">
        <w:rPr>
          <w:rFonts w:ascii="Palatino Linotype" w:eastAsia="Palatino Linotype" w:hAnsi="Palatino Linotype" w:cs="Palatino Linotype"/>
          <w:b/>
        </w:rPr>
        <w:t xml:space="preserve"> </w:t>
      </w:r>
      <w:r w:rsidRPr="00B00D30">
        <w:rPr>
          <w:rFonts w:ascii="Palatino Linotype" w:eastAsia="Palatino Linotype" w:hAnsi="Palatino Linotype" w:cs="Palatino Linotype"/>
        </w:rPr>
        <w:t>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p>
    <w:p w:rsidR="004C06C4" w:rsidRPr="00B00D30" w:rsidRDefault="004C06C4">
      <w:pPr>
        <w:spacing w:after="0" w:line="360" w:lineRule="auto"/>
        <w:jc w:val="both"/>
        <w:rPr>
          <w:rFonts w:ascii="Palatino Linotype" w:eastAsia="Palatino Linotype" w:hAnsi="Palatino Linotype" w:cs="Palatino Linotype"/>
        </w:rPr>
      </w:pPr>
    </w:p>
    <w:p w:rsidR="004C06C4" w:rsidRPr="00B00D30" w:rsidRDefault="00947F67">
      <w:pPr>
        <w:spacing w:after="0" w:line="276" w:lineRule="auto"/>
        <w:ind w:left="567" w:right="902"/>
        <w:jc w:val="both"/>
        <w:rPr>
          <w:rFonts w:ascii="Palatino Linotype" w:eastAsia="Palatino Linotype" w:hAnsi="Palatino Linotype" w:cs="Palatino Linotype"/>
          <w:b/>
          <w:i/>
        </w:rPr>
      </w:pPr>
      <w:r w:rsidRPr="00B00D30">
        <w:rPr>
          <w:rFonts w:ascii="Palatino Linotype" w:eastAsia="Palatino Linotype" w:hAnsi="Palatino Linotype" w:cs="Palatino Linotype"/>
          <w:i/>
        </w:rPr>
        <w:t>“</w:t>
      </w:r>
      <w:r w:rsidRPr="00B00D30">
        <w:rPr>
          <w:rFonts w:ascii="Palatino Linotype" w:eastAsia="Palatino Linotype" w:hAnsi="Palatino Linotype" w:cs="Palatino Linotype"/>
          <w:b/>
          <w:i/>
        </w:rPr>
        <w:t xml:space="preserve">SOBRESEIMIENTO, NO PERMITE ENTRAR AL ESTUDIO DE LAS CUESTIONES DE FONDO. </w:t>
      </w:r>
      <w:r w:rsidRPr="00B00D30">
        <w:rPr>
          <w:rFonts w:ascii="Palatino Linotype" w:eastAsia="Palatino Linotype" w:hAnsi="Palatino Linotype" w:cs="Palatino Linotype"/>
          <w:i/>
        </w:rPr>
        <w:t xml:space="preserve">No causa agravio la sentencia que no se ocupa de los razonamientos tendientes a demostrar la inconstitucionalidad de los actos reclamados de las autoridades responsables, que constituyen el problema de fondo, si se decreta el sobreseimiento del juicio.” </w:t>
      </w:r>
    </w:p>
    <w:p w:rsidR="004C06C4" w:rsidRPr="00B00D30" w:rsidRDefault="004C06C4">
      <w:pPr>
        <w:spacing w:after="0" w:line="360" w:lineRule="auto"/>
        <w:ind w:left="567" w:right="902"/>
        <w:jc w:val="both"/>
        <w:rPr>
          <w:rFonts w:ascii="Palatino Linotype" w:eastAsia="Palatino Linotype" w:hAnsi="Palatino Linotype" w:cs="Palatino Linotype"/>
          <w:i/>
        </w:rPr>
      </w:pPr>
    </w:p>
    <w:p w:rsidR="004C06C4" w:rsidRPr="00B00D30" w:rsidRDefault="00947F67">
      <w:pPr>
        <w:spacing w:after="0" w:line="360" w:lineRule="auto"/>
        <w:jc w:val="both"/>
        <w:rPr>
          <w:rFonts w:ascii="Palatino Linotype" w:eastAsia="Palatino Linotype" w:hAnsi="Palatino Linotype" w:cs="Palatino Linotype"/>
        </w:rPr>
      </w:pPr>
      <w:r w:rsidRPr="00B00D30">
        <w:rPr>
          <w:rFonts w:ascii="Palatino Linotype" w:eastAsia="Palatino Linotype" w:hAnsi="Palatino Linotype" w:cs="Palatino Linotype"/>
        </w:rPr>
        <w:t>Cabe destacar que la decisión de este Organismo Colegiado de sobreseer el recurso de revisión no implica una limitación o negación a la justicia, según lo ha establecido el Poder Judicial Federal, en el criterio que es aplicable por analogía, con rubro:</w:t>
      </w:r>
    </w:p>
    <w:p w:rsidR="004C06C4" w:rsidRPr="00B00D30" w:rsidRDefault="004C06C4">
      <w:pPr>
        <w:spacing w:after="0" w:line="360" w:lineRule="auto"/>
        <w:jc w:val="both"/>
        <w:rPr>
          <w:rFonts w:ascii="Palatino Linotype" w:eastAsia="Palatino Linotype" w:hAnsi="Palatino Linotype" w:cs="Palatino Linotype"/>
        </w:rPr>
      </w:pPr>
    </w:p>
    <w:p w:rsidR="004C06C4" w:rsidRPr="00B00D30" w:rsidRDefault="00947F67">
      <w:pPr>
        <w:spacing w:after="0" w:line="276" w:lineRule="auto"/>
        <w:ind w:left="567" w:right="567"/>
        <w:jc w:val="both"/>
        <w:rPr>
          <w:rFonts w:ascii="Palatino Linotype" w:eastAsia="Palatino Linotype" w:hAnsi="Palatino Linotype" w:cs="Palatino Linotype"/>
          <w:b/>
          <w:i/>
        </w:rPr>
      </w:pPr>
      <w:r w:rsidRPr="00B00D30">
        <w:rPr>
          <w:rFonts w:ascii="Palatino Linotype" w:eastAsia="Palatino Linotype" w:hAnsi="Palatino Linotype" w:cs="Palatino Linotype"/>
          <w:b/>
          <w:i/>
        </w:rPr>
        <w:t xml:space="preserve">“DESECHAMIENTO O SOBRESEIMIENTO EN EL JUICIO DE AMPARO. NO IMPLICA DENEGACIÓN DE JUSTICIA NI GENERA INSEGURIDAD JURÍDICA” </w:t>
      </w:r>
      <w:r w:rsidRPr="00B00D30">
        <w:rPr>
          <w:rFonts w:ascii="Palatino Linotype" w:eastAsia="Palatino Linotype" w:hAnsi="Palatino Linotype" w:cs="Palatino Linotype"/>
          <w:i/>
        </w:rPr>
        <w:t xml:space="preserve">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w:t>
      </w:r>
    </w:p>
    <w:p w:rsidR="004C06C4" w:rsidRPr="00B00D30" w:rsidRDefault="004C06C4">
      <w:pPr>
        <w:spacing w:after="0" w:line="360" w:lineRule="auto"/>
        <w:ind w:right="49"/>
        <w:jc w:val="both"/>
        <w:rPr>
          <w:rFonts w:ascii="Palatino Linotype" w:eastAsia="Palatino Linotype" w:hAnsi="Palatino Linotype" w:cs="Palatino Linotype"/>
          <w:b/>
        </w:rPr>
      </w:pPr>
    </w:p>
    <w:p w:rsidR="004C06C4" w:rsidRPr="00B00D30" w:rsidRDefault="00947F67">
      <w:pPr>
        <w:spacing w:line="360" w:lineRule="auto"/>
        <w:ind w:right="49"/>
        <w:jc w:val="both"/>
        <w:rPr>
          <w:rFonts w:ascii="Palatino Linotype" w:eastAsia="Palatino Linotype" w:hAnsi="Palatino Linotype" w:cs="Palatino Linotype"/>
        </w:rPr>
      </w:pPr>
      <w:r w:rsidRPr="00B00D30">
        <w:rPr>
          <w:rFonts w:ascii="Palatino Linotype" w:eastAsia="Palatino Linotype" w:hAnsi="Palatino Linotype" w:cs="Palatino Linotype"/>
        </w:rPr>
        <w:t>Así, con fundamento en lo prescrito en los artículos 5 párrafos trigésimo noveno, cuadragésimo y cuadragésimo primero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de Transparencia y Acceso a la Información Pública del Estado de México y Municipios, este Pleno:</w:t>
      </w:r>
    </w:p>
    <w:p w:rsidR="00BE4043" w:rsidRPr="00B00D30" w:rsidRDefault="00BE4043">
      <w:pPr>
        <w:spacing w:line="360" w:lineRule="auto"/>
        <w:ind w:right="49"/>
        <w:jc w:val="both"/>
        <w:rPr>
          <w:rFonts w:ascii="Palatino Linotype" w:eastAsia="Palatino Linotype" w:hAnsi="Palatino Linotype" w:cs="Palatino Linotype"/>
        </w:rPr>
      </w:pPr>
    </w:p>
    <w:p w:rsidR="00BE4043" w:rsidRPr="00B00D30" w:rsidRDefault="00BE4043">
      <w:pPr>
        <w:spacing w:line="360" w:lineRule="auto"/>
        <w:ind w:right="49"/>
        <w:jc w:val="both"/>
        <w:rPr>
          <w:rFonts w:ascii="Palatino Linotype" w:eastAsia="Palatino Linotype" w:hAnsi="Palatino Linotype" w:cs="Palatino Linotype"/>
          <w:b/>
        </w:rPr>
      </w:pPr>
    </w:p>
    <w:p w:rsidR="004C06C4" w:rsidRPr="00B00D30" w:rsidRDefault="00947F67">
      <w:pPr>
        <w:spacing w:after="0" w:line="360" w:lineRule="auto"/>
        <w:jc w:val="center"/>
        <w:rPr>
          <w:rFonts w:ascii="Palatino Linotype" w:eastAsia="Palatino Linotype" w:hAnsi="Palatino Linotype" w:cs="Palatino Linotype"/>
          <w:b/>
        </w:rPr>
      </w:pPr>
      <w:r w:rsidRPr="00B00D30">
        <w:rPr>
          <w:rFonts w:ascii="Palatino Linotype" w:eastAsia="Palatino Linotype" w:hAnsi="Palatino Linotype" w:cs="Palatino Linotype"/>
          <w:b/>
        </w:rPr>
        <w:t>III. R E S U E L V E:</w:t>
      </w:r>
    </w:p>
    <w:p w:rsidR="004C06C4" w:rsidRPr="00B00D30" w:rsidRDefault="004C06C4">
      <w:pPr>
        <w:spacing w:after="0" w:line="360" w:lineRule="auto"/>
        <w:ind w:left="360"/>
        <w:jc w:val="center"/>
        <w:rPr>
          <w:rFonts w:ascii="Palatino Linotype" w:eastAsia="Palatino Linotype" w:hAnsi="Palatino Linotype" w:cs="Palatino Linotype"/>
          <w:b/>
        </w:rPr>
      </w:pPr>
    </w:p>
    <w:p w:rsidR="004C06C4" w:rsidRPr="00B00D30" w:rsidRDefault="00947F67">
      <w:pPr>
        <w:spacing w:after="0" w:line="360" w:lineRule="auto"/>
        <w:jc w:val="both"/>
        <w:rPr>
          <w:rFonts w:ascii="Palatino Linotype" w:eastAsia="Palatino Linotype" w:hAnsi="Palatino Linotype" w:cs="Palatino Linotype"/>
        </w:rPr>
      </w:pPr>
      <w:r w:rsidRPr="00B00D30">
        <w:rPr>
          <w:rFonts w:ascii="Palatino Linotype" w:eastAsia="Palatino Linotype" w:hAnsi="Palatino Linotype" w:cs="Palatino Linotype"/>
          <w:b/>
        </w:rPr>
        <w:t>Primero.</w:t>
      </w:r>
      <w:r w:rsidRPr="00B00D30">
        <w:rPr>
          <w:rFonts w:ascii="Palatino Linotype" w:eastAsia="Palatino Linotype" w:hAnsi="Palatino Linotype" w:cs="Palatino Linotype"/>
        </w:rPr>
        <w:t xml:space="preserve"> Se </w:t>
      </w:r>
      <w:r w:rsidRPr="00B00D30">
        <w:rPr>
          <w:rFonts w:ascii="Palatino Linotype" w:eastAsia="Palatino Linotype" w:hAnsi="Palatino Linotype" w:cs="Palatino Linotype"/>
          <w:b/>
        </w:rPr>
        <w:t>SOBRESEE</w:t>
      </w:r>
      <w:r w:rsidRPr="00B00D30">
        <w:rPr>
          <w:rFonts w:ascii="Palatino Linotype" w:eastAsia="Palatino Linotype" w:hAnsi="Palatino Linotype" w:cs="Palatino Linotype"/>
        </w:rPr>
        <w:t xml:space="preserve"> el Recurso de Revisión número </w:t>
      </w:r>
      <w:r w:rsidRPr="00B00D30">
        <w:rPr>
          <w:rFonts w:ascii="Palatino Linotype" w:eastAsia="Palatino Linotype" w:hAnsi="Palatino Linotype" w:cs="Palatino Linotype"/>
          <w:b/>
        </w:rPr>
        <w:t>10814/INFOEM/IP/RR/2025</w:t>
      </w:r>
      <w:r w:rsidRPr="00B00D30">
        <w:rPr>
          <w:rFonts w:ascii="Palatino Linotype" w:eastAsia="Palatino Linotype" w:hAnsi="Palatino Linotype" w:cs="Palatino Linotype"/>
        </w:rPr>
        <w:t xml:space="preserve">, por actualizarse la causal de improcedencia prevista en la fracción IV del artículo 192, en relación con la fracción III del artículo 191, ambos de la Ley de Transparencia y Acceso a la Información Pública del Estado de México y Municipio, en términos del Considerando </w:t>
      </w:r>
      <w:r w:rsidRPr="00B00D30">
        <w:rPr>
          <w:rFonts w:ascii="Palatino Linotype" w:eastAsia="Palatino Linotype" w:hAnsi="Palatino Linotype" w:cs="Palatino Linotype"/>
          <w:b/>
        </w:rPr>
        <w:t>TERCERO</w:t>
      </w:r>
      <w:r w:rsidRPr="00B00D30">
        <w:rPr>
          <w:rFonts w:ascii="Palatino Linotype" w:eastAsia="Palatino Linotype" w:hAnsi="Palatino Linotype" w:cs="Palatino Linotype"/>
        </w:rPr>
        <w:t xml:space="preserve"> de la presente resolución.</w:t>
      </w:r>
    </w:p>
    <w:p w:rsidR="004C06C4" w:rsidRPr="00B00D30" w:rsidRDefault="004C06C4">
      <w:pPr>
        <w:spacing w:after="0" w:line="360" w:lineRule="auto"/>
        <w:jc w:val="both"/>
        <w:rPr>
          <w:rFonts w:ascii="Palatino Linotype" w:eastAsia="Palatino Linotype" w:hAnsi="Palatino Linotype" w:cs="Palatino Linotype"/>
        </w:rPr>
      </w:pPr>
    </w:p>
    <w:p w:rsidR="004C06C4" w:rsidRPr="00B00D30" w:rsidRDefault="00947F67">
      <w:pPr>
        <w:spacing w:after="0" w:line="360" w:lineRule="auto"/>
        <w:jc w:val="both"/>
        <w:rPr>
          <w:rFonts w:ascii="Palatino Linotype" w:eastAsia="Palatino Linotype" w:hAnsi="Palatino Linotype" w:cs="Palatino Linotype"/>
          <w:b/>
        </w:rPr>
      </w:pPr>
      <w:r w:rsidRPr="00B00D30">
        <w:rPr>
          <w:rFonts w:ascii="Palatino Linotype" w:eastAsia="Palatino Linotype" w:hAnsi="Palatino Linotype" w:cs="Palatino Linotype"/>
          <w:b/>
        </w:rPr>
        <w:t>Segundo. Notifíquese vía SAIMEX</w:t>
      </w:r>
      <w:r w:rsidRPr="00B00D30">
        <w:rPr>
          <w:rFonts w:ascii="Palatino Linotype" w:eastAsia="Palatino Linotype" w:hAnsi="Palatino Linotype" w:cs="Palatino Linotype"/>
        </w:rPr>
        <w:t>,</w:t>
      </w:r>
      <w:r w:rsidRPr="00B00D30">
        <w:rPr>
          <w:rFonts w:ascii="Palatino Linotype" w:eastAsia="Palatino Linotype" w:hAnsi="Palatino Linotype" w:cs="Palatino Linotype"/>
          <w:b/>
        </w:rPr>
        <w:t xml:space="preserve"> </w:t>
      </w:r>
      <w:r w:rsidRPr="00B00D30">
        <w:rPr>
          <w:rFonts w:ascii="Palatino Linotype" w:eastAsia="Palatino Linotype" w:hAnsi="Palatino Linotype" w:cs="Palatino Linotype"/>
        </w:rPr>
        <w:t>al Responsable de la Unidad de Transparencia del</w:t>
      </w:r>
      <w:r w:rsidRPr="00B00D30">
        <w:rPr>
          <w:rFonts w:ascii="Palatino Linotype" w:eastAsia="Palatino Linotype" w:hAnsi="Palatino Linotype" w:cs="Palatino Linotype"/>
          <w:b/>
        </w:rPr>
        <w:t xml:space="preserve"> SUJETO OBLIGADO </w:t>
      </w:r>
      <w:r w:rsidRPr="00B00D30">
        <w:rPr>
          <w:rFonts w:ascii="Palatino Linotype" w:eastAsia="Palatino Linotype" w:hAnsi="Palatino Linotype" w:cs="Palatino Linotype"/>
        </w:rPr>
        <w:t>la presente resolución, para su conocimiento, lo anterior en términos del artículo 189 de la Ley de Transparencia y Acceso a la Información Pública del Estado de México y Municipios.</w:t>
      </w:r>
    </w:p>
    <w:p w:rsidR="004C06C4" w:rsidRPr="00B00D30" w:rsidRDefault="004C06C4">
      <w:pPr>
        <w:spacing w:after="0" w:line="360" w:lineRule="auto"/>
        <w:jc w:val="both"/>
        <w:rPr>
          <w:rFonts w:ascii="Palatino Linotype" w:eastAsia="Palatino Linotype" w:hAnsi="Palatino Linotype" w:cs="Palatino Linotype"/>
        </w:rPr>
      </w:pPr>
    </w:p>
    <w:p w:rsidR="004C06C4" w:rsidRPr="00B00D30" w:rsidRDefault="00947F67">
      <w:pPr>
        <w:spacing w:after="0" w:line="360" w:lineRule="auto"/>
        <w:jc w:val="both"/>
        <w:rPr>
          <w:rFonts w:ascii="Palatino Linotype" w:eastAsia="Palatino Linotype" w:hAnsi="Palatino Linotype" w:cs="Palatino Linotype"/>
        </w:rPr>
      </w:pPr>
      <w:r w:rsidRPr="00B00D30">
        <w:rPr>
          <w:rFonts w:ascii="Palatino Linotype" w:eastAsia="Palatino Linotype" w:hAnsi="Palatino Linotype" w:cs="Palatino Linotype"/>
          <w:b/>
        </w:rPr>
        <w:t xml:space="preserve">Tercero.  Notifíquese vía SAIMEX, </w:t>
      </w:r>
      <w:r w:rsidRPr="00B00D30">
        <w:rPr>
          <w:rFonts w:ascii="Palatino Linotype" w:eastAsia="Palatino Linotype" w:hAnsi="Palatino Linotype" w:cs="Palatino Linotype"/>
        </w:rPr>
        <w:t xml:space="preserve">la presente resolución al </w:t>
      </w:r>
      <w:r w:rsidRPr="00B00D30">
        <w:rPr>
          <w:rFonts w:ascii="Palatino Linotype" w:eastAsia="Palatino Linotype" w:hAnsi="Palatino Linotype" w:cs="Palatino Linotype"/>
          <w:b/>
        </w:rPr>
        <w:t>RECURRENTE</w:t>
      </w:r>
      <w:r w:rsidRPr="00B00D30">
        <w:rPr>
          <w:rFonts w:ascii="Palatino Linotype" w:eastAsia="Palatino Linotype" w:hAnsi="Palatino Linotype" w:cs="Palatino Linotype"/>
        </w:rPr>
        <w:t>, y hágase del conocimiento que en caso de que considere que la presente resolución le causa algún perjuicio, podrá promover el Juicio de Amparo en los términos de las leyes aplicables, de acuerdo con lo estipulado por el artículo 196 de la Ley de Transparencia y Acceso a la Información Pública del Estado de México y Municipios.</w:t>
      </w:r>
    </w:p>
    <w:p w:rsidR="004C06C4" w:rsidRPr="00B00D30" w:rsidRDefault="004C06C4">
      <w:pPr>
        <w:spacing w:after="0" w:line="360" w:lineRule="auto"/>
        <w:ind w:right="-93"/>
        <w:jc w:val="both"/>
        <w:rPr>
          <w:rFonts w:ascii="Palatino Linotype" w:eastAsia="Palatino Linotype" w:hAnsi="Palatino Linotype" w:cs="Palatino Linotype"/>
        </w:rPr>
      </w:pPr>
    </w:p>
    <w:p w:rsidR="004C06C4" w:rsidRPr="00BE4043" w:rsidRDefault="00947F67">
      <w:pPr>
        <w:spacing w:after="0" w:line="360" w:lineRule="auto"/>
        <w:ind w:right="-93"/>
        <w:jc w:val="both"/>
        <w:rPr>
          <w:rFonts w:ascii="Palatino Linotype" w:eastAsia="Palatino Linotype" w:hAnsi="Palatino Linotype" w:cs="Palatino Linotype"/>
        </w:rPr>
      </w:pPr>
      <w:r w:rsidRPr="00B00D30">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SESIÓN ORDINARIA CELEBRADA EL DOCE DE NOVIEMBRE DE DOS MIL VEINTICINCO, ANTE EL SECRETARIO TÉCNICO DEL PLENO ALEXIS TAPIA RAMÍREZ</w:t>
      </w:r>
    </w:p>
    <w:p w:rsidR="004C06C4" w:rsidRPr="00BE4043" w:rsidRDefault="004C06C4">
      <w:pPr>
        <w:spacing w:after="0" w:line="360" w:lineRule="auto"/>
        <w:ind w:right="-93"/>
        <w:jc w:val="both"/>
        <w:rPr>
          <w:rFonts w:ascii="Palatino Linotype" w:eastAsia="Palatino Linotype" w:hAnsi="Palatino Linotype" w:cs="Palatino Linotype"/>
        </w:rPr>
      </w:pPr>
    </w:p>
    <w:p w:rsidR="004C06C4" w:rsidRPr="00BE4043" w:rsidRDefault="004C06C4">
      <w:pPr>
        <w:spacing w:after="0" w:line="360" w:lineRule="auto"/>
        <w:ind w:right="-93"/>
        <w:jc w:val="both"/>
        <w:rPr>
          <w:rFonts w:ascii="Palatino Linotype" w:eastAsia="Palatino Linotype" w:hAnsi="Palatino Linotype" w:cs="Palatino Linotype"/>
        </w:rPr>
      </w:pPr>
    </w:p>
    <w:p w:rsidR="004C06C4" w:rsidRPr="00BE4043" w:rsidRDefault="004C06C4">
      <w:pPr>
        <w:spacing w:after="0" w:line="360" w:lineRule="auto"/>
        <w:ind w:right="-93"/>
        <w:jc w:val="both"/>
        <w:rPr>
          <w:rFonts w:ascii="Palatino Linotype" w:eastAsia="Palatino Linotype" w:hAnsi="Palatino Linotype" w:cs="Palatino Linotype"/>
        </w:rPr>
      </w:pPr>
    </w:p>
    <w:p w:rsidR="004C06C4" w:rsidRPr="00BE4043" w:rsidRDefault="004C06C4">
      <w:pPr>
        <w:spacing w:after="0" w:line="360" w:lineRule="auto"/>
        <w:ind w:right="-93"/>
        <w:jc w:val="both"/>
        <w:rPr>
          <w:rFonts w:ascii="Palatino Linotype" w:eastAsia="Palatino Linotype" w:hAnsi="Palatino Linotype" w:cs="Palatino Linotype"/>
        </w:rPr>
      </w:pPr>
    </w:p>
    <w:p w:rsidR="004C06C4" w:rsidRPr="00BE4043" w:rsidRDefault="004C06C4">
      <w:pPr>
        <w:spacing w:after="0" w:line="360" w:lineRule="auto"/>
        <w:ind w:right="-93"/>
        <w:jc w:val="both"/>
        <w:rPr>
          <w:rFonts w:ascii="Palatino Linotype" w:eastAsia="Palatino Linotype" w:hAnsi="Palatino Linotype" w:cs="Palatino Linotype"/>
        </w:rPr>
      </w:pPr>
    </w:p>
    <w:p w:rsidR="00BE4043" w:rsidRPr="00BE4043" w:rsidRDefault="00BE4043">
      <w:pPr>
        <w:spacing w:after="0" w:line="360" w:lineRule="auto"/>
        <w:ind w:right="-93"/>
        <w:jc w:val="both"/>
        <w:rPr>
          <w:rFonts w:ascii="Palatino Linotype" w:eastAsia="Palatino Linotype" w:hAnsi="Palatino Linotype" w:cs="Palatino Linotype"/>
        </w:rPr>
      </w:pPr>
    </w:p>
    <w:p w:rsidR="00BE4043" w:rsidRPr="00BE4043" w:rsidRDefault="00BE4043">
      <w:pPr>
        <w:spacing w:after="0" w:line="360" w:lineRule="auto"/>
        <w:ind w:right="-93"/>
        <w:jc w:val="both"/>
        <w:rPr>
          <w:rFonts w:ascii="Palatino Linotype" w:eastAsia="Palatino Linotype" w:hAnsi="Palatino Linotype" w:cs="Palatino Linotype"/>
        </w:rPr>
      </w:pPr>
    </w:p>
    <w:p w:rsidR="00BE4043" w:rsidRPr="00BE4043" w:rsidRDefault="00BE4043">
      <w:pPr>
        <w:spacing w:after="0" w:line="360" w:lineRule="auto"/>
        <w:ind w:right="-93"/>
        <w:jc w:val="both"/>
        <w:rPr>
          <w:rFonts w:ascii="Palatino Linotype" w:eastAsia="Palatino Linotype" w:hAnsi="Palatino Linotype" w:cs="Palatino Linotype"/>
        </w:rPr>
      </w:pPr>
    </w:p>
    <w:p w:rsidR="00BE4043" w:rsidRPr="00BE4043" w:rsidRDefault="00BE4043">
      <w:pPr>
        <w:spacing w:after="0" w:line="360" w:lineRule="auto"/>
        <w:ind w:right="-93"/>
        <w:jc w:val="both"/>
        <w:rPr>
          <w:rFonts w:ascii="Palatino Linotype" w:eastAsia="Palatino Linotype" w:hAnsi="Palatino Linotype" w:cs="Palatino Linotype"/>
        </w:rPr>
      </w:pPr>
    </w:p>
    <w:p w:rsidR="00BE4043" w:rsidRPr="00BE4043" w:rsidRDefault="00BE4043">
      <w:pPr>
        <w:spacing w:after="0" w:line="360" w:lineRule="auto"/>
        <w:ind w:right="-93"/>
        <w:jc w:val="both"/>
        <w:rPr>
          <w:rFonts w:ascii="Palatino Linotype" w:eastAsia="Palatino Linotype" w:hAnsi="Palatino Linotype" w:cs="Palatino Linotype"/>
        </w:rPr>
      </w:pPr>
    </w:p>
    <w:p w:rsidR="00BE4043" w:rsidRPr="00BE4043" w:rsidRDefault="00BE4043">
      <w:pPr>
        <w:spacing w:after="0" w:line="360" w:lineRule="auto"/>
        <w:ind w:right="-93"/>
        <w:jc w:val="both"/>
        <w:rPr>
          <w:rFonts w:ascii="Palatino Linotype" w:eastAsia="Palatino Linotype" w:hAnsi="Palatino Linotype" w:cs="Palatino Linotype"/>
        </w:rPr>
      </w:pPr>
    </w:p>
    <w:p w:rsidR="00BE4043" w:rsidRPr="00BE4043" w:rsidRDefault="00BE4043">
      <w:pPr>
        <w:spacing w:after="0" w:line="360" w:lineRule="auto"/>
        <w:ind w:right="-93"/>
        <w:jc w:val="both"/>
        <w:rPr>
          <w:rFonts w:ascii="Palatino Linotype" w:eastAsia="Palatino Linotype" w:hAnsi="Palatino Linotype" w:cs="Palatino Linotype"/>
        </w:rPr>
      </w:pPr>
    </w:p>
    <w:p w:rsidR="00BE4043" w:rsidRPr="00BE4043" w:rsidRDefault="00BE4043">
      <w:pPr>
        <w:spacing w:after="0" w:line="360" w:lineRule="auto"/>
        <w:ind w:right="-93"/>
        <w:jc w:val="both"/>
        <w:rPr>
          <w:rFonts w:ascii="Palatino Linotype" w:eastAsia="Palatino Linotype" w:hAnsi="Palatino Linotype" w:cs="Palatino Linotype"/>
        </w:rPr>
      </w:pPr>
    </w:p>
    <w:p w:rsidR="00BE4043" w:rsidRPr="00BE4043" w:rsidRDefault="00BE4043">
      <w:pPr>
        <w:spacing w:after="0" w:line="360" w:lineRule="auto"/>
        <w:ind w:right="-93"/>
        <w:jc w:val="both"/>
        <w:rPr>
          <w:rFonts w:ascii="Palatino Linotype" w:eastAsia="Palatino Linotype" w:hAnsi="Palatino Linotype" w:cs="Palatino Linotype"/>
        </w:rPr>
      </w:pPr>
    </w:p>
    <w:p w:rsidR="00BE4043" w:rsidRPr="00BE4043" w:rsidRDefault="00BE4043">
      <w:pPr>
        <w:spacing w:after="0" w:line="360" w:lineRule="auto"/>
        <w:ind w:right="-93"/>
        <w:jc w:val="both"/>
        <w:rPr>
          <w:rFonts w:ascii="Palatino Linotype" w:eastAsia="Palatino Linotype" w:hAnsi="Palatino Linotype" w:cs="Palatino Linotype"/>
        </w:rPr>
      </w:pPr>
    </w:p>
    <w:p w:rsidR="00BE4043" w:rsidRPr="00BE4043" w:rsidRDefault="00BE4043">
      <w:pPr>
        <w:spacing w:after="0" w:line="360" w:lineRule="auto"/>
        <w:ind w:right="-93"/>
        <w:jc w:val="both"/>
        <w:rPr>
          <w:rFonts w:ascii="Palatino Linotype" w:eastAsia="Palatino Linotype" w:hAnsi="Palatino Linotype" w:cs="Palatino Linotype"/>
        </w:rPr>
      </w:pPr>
    </w:p>
    <w:p w:rsidR="00BE4043" w:rsidRPr="00BE4043" w:rsidRDefault="00BE4043">
      <w:pPr>
        <w:spacing w:after="0" w:line="360" w:lineRule="auto"/>
        <w:ind w:right="-93"/>
        <w:jc w:val="both"/>
        <w:rPr>
          <w:rFonts w:ascii="Palatino Linotype" w:eastAsia="Palatino Linotype" w:hAnsi="Palatino Linotype" w:cs="Palatino Linotype"/>
        </w:rPr>
      </w:pPr>
      <w:bookmarkStart w:id="1" w:name="_GoBack"/>
      <w:bookmarkEnd w:id="1"/>
    </w:p>
    <w:p w:rsidR="00BE4043" w:rsidRPr="00BE4043" w:rsidRDefault="00BE4043">
      <w:pPr>
        <w:spacing w:after="0" w:line="360" w:lineRule="auto"/>
        <w:ind w:right="-93"/>
        <w:jc w:val="both"/>
        <w:rPr>
          <w:rFonts w:ascii="Palatino Linotype" w:eastAsia="Palatino Linotype" w:hAnsi="Palatino Linotype" w:cs="Palatino Linotype"/>
        </w:rPr>
      </w:pPr>
    </w:p>
    <w:p w:rsidR="00BE4043" w:rsidRPr="00BE4043" w:rsidRDefault="00BE4043">
      <w:pPr>
        <w:spacing w:after="0" w:line="360" w:lineRule="auto"/>
        <w:ind w:right="-93"/>
        <w:jc w:val="both"/>
        <w:rPr>
          <w:rFonts w:ascii="Palatino Linotype" w:eastAsia="Palatino Linotype" w:hAnsi="Palatino Linotype" w:cs="Palatino Linotype"/>
        </w:rPr>
      </w:pPr>
    </w:p>
    <w:p w:rsidR="00BE4043" w:rsidRPr="00BE4043" w:rsidRDefault="00BE4043">
      <w:pPr>
        <w:spacing w:after="0" w:line="360" w:lineRule="auto"/>
        <w:ind w:right="-93"/>
        <w:jc w:val="both"/>
        <w:rPr>
          <w:rFonts w:ascii="Palatino Linotype" w:eastAsia="Palatino Linotype" w:hAnsi="Palatino Linotype" w:cs="Palatino Linotype"/>
        </w:rPr>
      </w:pPr>
    </w:p>
    <w:p w:rsidR="00BE4043" w:rsidRPr="00BE4043" w:rsidRDefault="00BE4043">
      <w:pPr>
        <w:spacing w:after="0" w:line="360" w:lineRule="auto"/>
        <w:ind w:right="-93"/>
        <w:jc w:val="both"/>
        <w:rPr>
          <w:rFonts w:ascii="Palatino Linotype" w:eastAsia="Palatino Linotype" w:hAnsi="Palatino Linotype" w:cs="Palatino Linotype"/>
        </w:rPr>
      </w:pPr>
    </w:p>
    <w:p w:rsidR="00BE4043" w:rsidRPr="00BE4043" w:rsidRDefault="00BE4043">
      <w:pPr>
        <w:spacing w:after="0" w:line="360" w:lineRule="auto"/>
        <w:ind w:right="-93"/>
        <w:jc w:val="both"/>
        <w:rPr>
          <w:rFonts w:ascii="Palatino Linotype" w:eastAsia="Palatino Linotype" w:hAnsi="Palatino Linotype" w:cs="Palatino Linotype"/>
        </w:rPr>
      </w:pPr>
    </w:p>
    <w:p w:rsidR="00BE4043" w:rsidRPr="00BE4043" w:rsidRDefault="00BE4043">
      <w:pPr>
        <w:spacing w:after="0" w:line="360" w:lineRule="auto"/>
        <w:ind w:right="-93"/>
        <w:jc w:val="both"/>
        <w:rPr>
          <w:rFonts w:ascii="Palatino Linotype" w:eastAsia="Palatino Linotype" w:hAnsi="Palatino Linotype" w:cs="Palatino Linotype"/>
        </w:rPr>
      </w:pPr>
    </w:p>
    <w:p w:rsidR="00BE4043" w:rsidRPr="00BE4043" w:rsidRDefault="00BE4043">
      <w:pPr>
        <w:spacing w:after="0" w:line="360" w:lineRule="auto"/>
        <w:ind w:right="-93"/>
        <w:jc w:val="both"/>
        <w:rPr>
          <w:rFonts w:ascii="Palatino Linotype" w:eastAsia="Palatino Linotype" w:hAnsi="Palatino Linotype" w:cs="Palatino Linotype"/>
        </w:rPr>
      </w:pPr>
    </w:p>
    <w:p w:rsidR="00BE4043" w:rsidRPr="00BE4043" w:rsidRDefault="00BE4043">
      <w:pPr>
        <w:spacing w:after="0" w:line="360" w:lineRule="auto"/>
        <w:ind w:right="-93"/>
        <w:jc w:val="both"/>
        <w:rPr>
          <w:rFonts w:ascii="Palatino Linotype" w:eastAsia="Palatino Linotype" w:hAnsi="Palatino Linotype" w:cs="Palatino Linotype"/>
        </w:rPr>
      </w:pPr>
    </w:p>
    <w:p w:rsidR="00BE4043" w:rsidRPr="00BE4043" w:rsidRDefault="00BE4043">
      <w:pPr>
        <w:spacing w:after="0" w:line="360" w:lineRule="auto"/>
        <w:ind w:right="-93"/>
        <w:jc w:val="both"/>
        <w:rPr>
          <w:rFonts w:ascii="Palatino Linotype" w:eastAsia="Palatino Linotype" w:hAnsi="Palatino Linotype" w:cs="Palatino Linotype"/>
        </w:rPr>
      </w:pPr>
    </w:p>
    <w:p w:rsidR="00BE4043" w:rsidRPr="00BE4043" w:rsidRDefault="00BE4043">
      <w:pPr>
        <w:spacing w:after="0" w:line="360" w:lineRule="auto"/>
        <w:ind w:right="-93"/>
        <w:jc w:val="both"/>
        <w:rPr>
          <w:rFonts w:ascii="Palatino Linotype" w:eastAsia="Palatino Linotype" w:hAnsi="Palatino Linotype" w:cs="Palatino Linotype"/>
        </w:rPr>
      </w:pPr>
    </w:p>
    <w:p w:rsidR="00BE4043" w:rsidRPr="00BE4043" w:rsidRDefault="00BE4043">
      <w:pPr>
        <w:spacing w:after="0" w:line="360" w:lineRule="auto"/>
        <w:ind w:right="-93"/>
        <w:jc w:val="both"/>
        <w:rPr>
          <w:rFonts w:ascii="Palatino Linotype" w:eastAsia="Palatino Linotype" w:hAnsi="Palatino Linotype" w:cs="Palatino Linotype"/>
        </w:rPr>
      </w:pPr>
    </w:p>
    <w:p w:rsidR="00BE4043" w:rsidRPr="00BE4043" w:rsidRDefault="00BE4043">
      <w:pPr>
        <w:spacing w:after="0" w:line="360" w:lineRule="auto"/>
        <w:ind w:right="-93"/>
        <w:jc w:val="both"/>
        <w:rPr>
          <w:rFonts w:ascii="Palatino Linotype" w:eastAsia="Palatino Linotype" w:hAnsi="Palatino Linotype" w:cs="Palatino Linotype"/>
        </w:rPr>
      </w:pPr>
    </w:p>
    <w:p w:rsidR="00BE4043" w:rsidRPr="00BE4043" w:rsidRDefault="00BE4043">
      <w:pPr>
        <w:spacing w:after="0" w:line="360" w:lineRule="auto"/>
        <w:ind w:right="-93"/>
        <w:jc w:val="both"/>
        <w:rPr>
          <w:rFonts w:ascii="Palatino Linotype" w:eastAsia="Palatino Linotype" w:hAnsi="Palatino Linotype" w:cs="Palatino Linotype"/>
        </w:rPr>
      </w:pPr>
    </w:p>
    <w:p w:rsidR="00BE4043" w:rsidRPr="00BE4043" w:rsidRDefault="00BE4043">
      <w:pPr>
        <w:spacing w:after="0" w:line="360" w:lineRule="auto"/>
        <w:ind w:right="-93"/>
        <w:jc w:val="both"/>
        <w:rPr>
          <w:rFonts w:ascii="Palatino Linotype" w:eastAsia="Palatino Linotype" w:hAnsi="Palatino Linotype" w:cs="Palatino Linotype"/>
        </w:rPr>
      </w:pPr>
    </w:p>
    <w:p w:rsidR="00BE4043" w:rsidRPr="00BE4043" w:rsidRDefault="00BE4043">
      <w:pPr>
        <w:spacing w:after="0" w:line="360" w:lineRule="auto"/>
        <w:ind w:right="-93"/>
        <w:jc w:val="both"/>
        <w:rPr>
          <w:rFonts w:ascii="Palatino Linotype" w:eastAsia="Palatino Linotype" w:hAnsi="Palatino Linotype" w:cs="Palatino Linotype"/>
        </w:rPr>
      </w:pPr>
    </w:p>
    <w:p w:rsidR="00BE4043" w:rsidRPr="00BE4043" w:rsidRDefault="00BE4043">
      <w:pPr>
        <w:spacing w:after="0" w:line="360" w:lineRule="auto"/>
        <w:ind w:right="-93"/>
        <w:jc w:val="both"/>
        <w:rPr>
          <w:rFonts w:ascii="Palatino Linotype" w:eastAsia="Palatino Linotype" w:hAnsi="Palatino Linotype" w:cs="Palatino Linotype"/>
        </w:rPr>
      </w:pPr>
    </w:p>
    <w:sectPr w:rsidR="00BE4043" w:rsidRPr="00BE4043">
      <w:headerReference w:type="default" r:id="rId8"/>
      <w:footerReference w:type="default" r:id="rId9"/>
      <w:headerReference w:type="first" r:id="rId10"/>
      <w:footerReference w:type="first" r:id="rId11"/>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63DB" w:rsidRDefault="00B463DB">
      <w:pPr>
        <w:spacing w:after="0" w:line="240" w:lineRule="auto"/>
      </w:pPr>
      <w:r>
        <w:separator/>
      </w:r>
    </w:p>
  </w:endnote>
  <w:endnote w:type="continuationSeparator" w:id="0">
    <w:p w:rsidR="00B463DB" w:rsidRDefault="00B46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3CAD03EB-AB9A-48B3-9000-DC28F74EAD3B}"/>
    <w:embedBold r:id="rId2" w:fontKey="{28EB64AA-4B48-4C95-9DF4-D79EDB3D7C2B}"/>
    <w:embedItalic r:id="rId3" w:fontKey="{0C9F680C-A0D0-4363-B32A-AA6795A91281}"/>
    <w:embedBoldItalic r:id="rId4" w:fontKey="{CCF20B0E-567F-453C-BA26-064FCB163A5B}"/>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7570DC06-262B-4896-B4C9-9D3754086541}"/>
  </w:font>
  <w:font w:name="Calibri">
    <w:panose1 w:val="020F0502020204030204"/>
    <w:charset w:val="00"/>
    <w:family w:val="swiss"/>
    <w:pitch w:val="variable"/>
    <w:sig w:usb0="E4002EFF" w:usb1="C200247B" w:usb2="00000009" w:usb3="00000000" w:csb0="000001FF" w:csb1="00000000"/>
    <w:embedRegular r:id="rId6" w:fontKey="{6EBD7E9C-FCC9-4692-B94B-F40EB788F659}"/>
    <w:embedBold r:id="rId7" w:fontKey="{7C846007-EF12-45DA-90BF-7F6247DDF09C}"/>
  </w:font>
  <w:font w:name="Georgia">
    <w:panose1 w:val="02040502050405020303"/>
    <w:charset w:val="00"/>
    <w:family w:val="roman"/>
    <w:pitch w:val="variable"/>
    <w:sig w:usb0="00000287" w:usb1="00000000" w:usb2="00000000" w:usb3="00000000" w:csb0="0000009F" w:csb1="00000000"/>
    <w:embedRegular r:id="rId8" w:fontKey="{F3401EDF-54ED-4F9A-AF72-08914A569510}"/>
    <w:embedItalic r:id="rId9" w:fontKey="{1B69CA9C-F2BF-4427-BCE1-6F6CC63C60C2}"/>
  </w:font>
  <w:font w:name="Calibri Light">
    <w:panose1 w:val="020F0302020204030204"/>
    <w:charset w:val="00"/>
    <w:family w:val="swiss"/>
    <w:pitch w:val="variable"/>
    <w:sig w:usb0="E4002EFF" w:usb1="C200247B" w:usb2="00000009" w:usb3="00000000" w:csb0="000001FF" w:csb1="00000000"/>
    <w:embedRegular r:id="rId10" w:fontKey="{1061BCA6-845B-456C-85BB-3DA48778E71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6C4" w:rsidRDefault="00947F6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782C51">
      <w:rPr>
        <w:b/>
        <w:noProof/>
        <w:color w:val="000000"/>
        <w:sz w:val="24"/>
        <w:szCs w:val="24"/>
      </w:rPr>
      <w:t>12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782C51">
      <w:rPr>
        <w:b/>
        <w:noProof/>
        <w:color w:val="000000"/>
        <w:sz w:val="24"/>
        <w:szCs w:val="24"/>
      </w:rPr>
      <w:t>13</w:t>
    </w:r>
    <w:r>
      <w:rPr>
        <w:b/>
        <w:color w:val="000000"/>
        <w:sz w:val="24"/>
        <w:szCs w:val="24"/>
      </w:rPr>
      <w:fldChar w:fldCharType="end"/>
    </w:r>
  </w:p>
  <w:p w:rsidR="004C06C4" w:rsidRDefault="004C06C4">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6C4" w:rsidRDefault="00947F6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782C51">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782C51">
      <w:rPr>
        <w:b/>
        <w:noProof/>
        <w:color w:val="000000"/>
        <w:sz w:val="24"/>
        <w:szCs w:val="24"/>
      </w:rPr>
      <w:t>13</w:t>
    </w:r>
    <w:r>
      <w:rPr>
        <w:b/>
        <w:color w:val="000000"/>
        <w:sz w:val="24"/>
        <w:szCs w:val="24"/>
      </w:rPr>
      <w:fldChar w:fldCharType="end"/>
    </w:r>
  </w:p>
  <w:p w:rsidR="004C06C4" w:rsidRDefault="004C06C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63DB" w:rsidRDefault="00B463DB">
      <w:pPr>
        <w:spacing w:after="0" w:line="240" w:lineRule="auto"/>
      </w:pPr>
      <w:r>
        <w:separator/>
      </w:r>
    </w:p>
  </w:footnote>
  <w:footnote w:type="continuationSeparator" w:id="0">
    <w:p w:rsidR="00B463DB" w:rsidRDefault="00B463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6C4" w:rsidRDefault="00947F67">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simplePos x="0" y="0"/>
          <wp:positionH relativeFrom="column">
            <wp:posOffset>-727001</wp:posOffset>
          </wp:positionH>
          <wp:positionV relativeFrom="paragraph">
            <wp:posOffset>-459606</wp:posOffset>
          </wp:positionV>
          <wp:extent cx="7809876" cy="10165823"/>
          <wp:effectExtent l="0" t="0" r="0" b="0"/>
          <wp:wrapNone/>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7"/>
      <w:tblW w:w="5603" w:type="dxa"/>
      <w:tblInd w:w="3611" w:type="dxa"/>
      <w:tblLayout w:type="fixed"/>
      <w:tblLook w:val="0400" w:firstRow="0" w:lastRow="0" w:firstColumn="0" w:lastColumn="0" w:noHBand="0" w:noVBand="1"/>
    </w:tblPr>
    <w:tblGrid>
      <w:gridCol w:w="2551"/>
      <w:gridCol w:w="3052"/>
    </w:tblGrid>
    <w:tr w:rsidR="004C06C4">
      <w:tc>
        <w:tcPr>
          <w:tcW w:w="2551" w:type="dxa"/>
          <w:vAlign w:val="center"/>
        </w:tcPr>
        <w:p w:rsidR="004C06C4" w:rsidRDefault="00947F6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rsidR="004C06C4" w:rsidRDefault="00947F6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10814/INFOEM/IP/RR/2025</w:t>
          </w:r>
        </w:p>
      </w:tc>
    </w:tr>
    <w:tr w:rsidR="004C06C4">
      <w:trPr>
        <w:trHeight w:val="228"/>
      </w:trPr>
      <w:tc>
        <w:tcPr>
          <w:tcW w:w="2551" w:type="dxa"/>
          <w:vAlign w:val="center"/>
        </w:tcPr>
        <w:p w:rsidR="004C06C4" w:rsidRDefault="00947F6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rsidR="004C06C4" w:rsidRDefault="00947F67">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Poder Legislativo</w:t>
          </w:r>
        </w:p>
      </w:tc>
    </w:tr>
    <w:tr w:rsidR="004C06C4">
      <w:tc>
        <w:tcPr>
          <w:tcW w:w="2551" w:type="dxa"/>
          <w:vAlign w:val="center"/>
        </w:tcPr>
        <w:p w:rsidR="004C06C4" w:rsidRDefault="00947F6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rsidR="004C06C4" w:rsidRDefault="00947F6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rsidR="004C06C4" w:rsidRDefault="004C06C4">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6C4" w:rsidRDefault="00947F67">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simplePos x="0" y="0"/>
          <wp:positionH relativeFrom="column">
            <wp:posOffset>-713031</wp:posOffset>
          </wp:positionH>
          <wp:positionV relativeFrom="paragraph">
            <wp:posOffset>-287653</wp:posOffset>
          </wp:positionV>
          <wp:extent cx="7809876" cy="10165823"/>
          <wp:effectExtent l="0" t="0" r="0" b="0"/>
          <wp:wrapNone/>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8"/>
      <w:tblW w:w="5603" w:type="dxa"/>
      <w:tblInd w:w="3611" w:type="dxa"/>
      <w:tblLayout w:type="fixed"/>
      <w:tblLook w:val="0400" w:firstRow="0" w:lastRow="0" w:firstColumn="0" w:lastColumn="0" w:noHBand="0" w:noVBand="1"/>
    </w:tblPr>
    <w:tblGrid>
      <w:gridCol w:w="2551"/>
      <w:gridCol w:w="3052"/>
    </w:tblGrid>
    <w:tr w:rsidR="004C06C4">
      <w:tc>
        <w:tcPr>
          <w:tcW w:w="2551" w:type="dxa"/>
          <w:vAlign w:val="center"/>
        </w:tcPr>
        <w:p w:rsidR="004C06C4" w:rsidRDefault="00947F6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rsidR="004C06C4" w:rsidRDefault="00947F6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10814/INFOEM/IP/RR/2025</w:t>
          </w:r>
        </w:p>
      </w:tc>
    </w:tr>
    <w:tr w:rsidR="004C06C4">
      <w:tc>
        <w:tcPr>
          <w:tcW w:w="2551" w:type="dxa"/>
          <w:vAlign w:val="center"/>
        </w:tcPr>
        <w:p w:rsidR="004C06C4" w:rsidRDefault="00947F6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rsidR="004C06C4" w:rsidRDefault="004C06C4">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b/>
              <w:color w:val="000000"/>
            </w:rPr>
          </w:pPr>
        </w:p>
      </w:tc>
    </w:tr>
    <w:tr w:rsidR="004C06C4">
      <w:trPr>
        <w:trHeight w:val="228"/>
      </w:trPr>
      <w:tc>
        <w:tcPr>
          <w:tcW w:w="2551" w:type="dxa"/>
          <w:vAlign w:val="center"/>
        </w:tcPr>
        <w:p w:rsidR="004C06C4" w:rsidRDefault="00947F6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rsidR="004C06C4" w:rsidRDefault="00947F67">
          <w:pPr>
            <w:pBdr>
              <w:top w:val="nil"/>
              <w:left w:val="nil"/>
              <w:bottom w:val="nil"/>
              <w:right w:val="nil"/>
              <w:between w:val="nil"/>
            </w:pBdr>
            <w:tabs>
              <w:tab w:val="center" w:pos="4419"/>
              <w:tab w:val="right" w:pos="8838"/>
            </w:tabs>
            <w:spacing w:after="0" w:line="240" w:lineRule="auto"/>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Poder Legislativo</w:t>
          </w:r>
        </w:p>
      </w:tc>
    </w:tr>
    <w:tr w:rsidR="004C06C4">
      <w:tc>
        <w:tcPr>
          <w:tcW w:w="2551" w:type="dxa"/>
          <w:vAlign w:val="center"/>
        </w:tcPr>
        <w:p w:rsidR="004C06C4" w:rsidRDefault="00947F6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rsidR="004C06C4" w:rsidRDefault="00947F6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rsidR="004C06C4" w:rsidRDefault="00947F67">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D56FA6"/>
    <w:multiLevelType w:val="multilevel"/>
    <w:tmpl w:val="04CA0F9C"/>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89768DF"/>
    <w:multiLevelType w:val="multilevel"/>
    <w:tmpl w:val="0130EBC4"/>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6C4"/>
    <w:rsid w:val="004C06C4"/>
    <w:rsid w:val="00782C51"/>
    <w:rsid w:val="00947F67"/>
    <w:rsid w:val="00B00D30"/>
    <w:rsid w:val="00B463DB"/>
    <w:rsid w:val="00BE40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DE834E-C91C-4A55-8783-C4BED04C7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a">
    <w:basedOn w:val="TableNormal2"/>
    <w:tblPr>
      <w:tblStyleRowBandSize w:val="1"/>
      <w:tblStyleColBandSize w:val="1"/>
      <w:tblCellMar>
        <w:top w:w="15" w:type="dxa"/>
        <w:left w:w="15" w:type="dxa"/>
        <w:bottom w:w="15" w:type="dxa"/>
        <w:right w:w="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top w:w="15" w:type="dxa"/>
        <w:left w:w="115" w:type="dxa"/>
        <w:bottom w:w="15" w:type="dxa"/>
        <w:right w:w="115" w:type="dxa"/>
      </w:tblCellMar>
    </w:tblPr>
  </w:style>
  <w:style w:type="table" w:customStyle="1" w:styleId="a4">
    <w:basedOn w:val="TableNormal2"/>
    <w:tblPr>
      <w:tblStyleRowBandSize w:val="1"/>
      <w:tblStyleColBandSize w:val="1"/>
      <w:tblCellMar>
        <w:top w:w="15" w:type="dxa"/>
        <w:left w:w="115" w:type="dxa"/>
        <w:bottom w:w="15" w:type="dxa"/>
        <w:right w:w="115" w:type="dxa"/>
      </w:tblCellMar>
    </w:tblPr>
  </w:style>
  <w:style w:type="table" w:customStyle="1" w:styleId="a5">
    <w:basedOn w:val="TableNormal1"/>
    <w:tblPr>
      <w:tblStyleRowBandSize w:val="1"/>
      <w:tblStyleColBandSize w:val="1"/>
      <w:tblCellMar>
        <w:top w:w="15" w:type="dxa"/>
        <w:left w:w="115" w:type="dxa"/>
        <w:bottom w:w="15" w:type="dxa"/>
        <w:right w:w="115" w:type="dxa"/>
      </w:tblCellMar>
    </w:tblPr>
  </w:style>
  <w:style w:type="table" w:customStyle="1" w:styleId="a6">
    <w:basedOn w:val="TableNormal1"/>
    <w:tblPr>
      <w:tblStyleRowBandSize w:val="1"/>
      <w:tblStyleColBandSize w:val="1"/>
      <w:tblCellMar>
        <w:top w:w="15" w:type="dxa"/>
        <w:left w:w="115" w:type="dxa"/>
        <w:bottom w:w="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7">
    <w:basedOn w:val="TableNormal0"/>
    <w:tblPr>
      <w:tblStyleRowBandSize w:val="1"/>
      <w:tblStyleColBandSize w:val="1"/>
      <w:tblCellMar>
        <w:top w:w="15" w:type="dxa"/>
        <w:left w:w="115" w:type="dxa"/>
        <w:bottom w:w="15" w:type="dxa"/>
        <w:right w:w="115" w:type="dxa"/>
      </w:tblCellMar>
    </w:tblPr>
  </w:style>
  <w:style w:type="table" w:customStyle="1" w:styleId="a8">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Da18YoyFGQJoQAvGG11q/MuDqw==">CgMxLjAyCWguMzBqMHpsbDgAciExa2JKQnI2OHhMYTFMVnJwc1RXOWk4Ymt1ejZCc2VxMk4=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2954</Words>
  <Characters>16250</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19166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2025-11-14T19:14:00Z</cp:lastPrinted>
  <dcterms:created xsi:type="dcterms:W3CDTF">2025-12-13T00:54:00Z</dcterms:created>
  <dcterms:modified xsi:type="dcterms:W3CDTF">2025-12-13T00:54:00Z</dcterms:modified>
</cp:coreProperties>
</file>