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223C646E" w:rsidR="00EB0F49" w:rsidRPr="005F5D0B" w:rsidRDefault="001D3081" w:rsidP="000872AB">
      <w:pPr>
        <w:tabs>
          <w:tab w:val="left" w:pos="0"/>
        </w:tabs>
        <w:spacing w:line="360" w:lineRule="auto"/>
        <w:jc w:val="both"/>
        <w:rPr>
          <w:rFonts w:ascii="Palatino Linotype" w:eastAsia="Palatino Linotype" w:hAnsi="Palatino Linotype" w:cs="Palatino Linotype"/>
          <w:color w:val="000000" w:themeColor="text1"/>
        </w:rPr>
      </w:pPr>
      <w:bookmarkStart w:id="0" w:name="_heading=h.sre9h05q4v0b" w:colFirst="0" w:colLast="0"/>
      <w:bookmarkEnd w:id="0"/>
      <w:r w:rsidRPr="005F5D0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7C6197" w:rsidRPr="005F5D0B">
        <w:rPr>
          <w:rFonts w:ascii="Palatino Linotype" w:eastAsia="Palatino Linotype" w:hAnsi="Palatino Linotype" w:cs="Palatino Linotype"/>
          <w:b/>
          <w:color w:val="000000" w:themeColor="text1"/>
        </w:rPr>
        <w:t>de fecha veintiocho</w:t>
      </w:r>
      <w:r w:rsidRPr="005F5D0B">
        <w:rPr>
          <w:rFonts w:ascii="Palatino Linotype" w:eastAsia="Palatino Linotype" w:hAnsi="Palatino Linotype" w:cs="Palatino Linotype"/>
          <w:b/>
          <w:color w:val="000000" w:themeColor="text1"/>
        </w:rPr>
        <w:t xml:space="preserve"> de mayo de dos mil veinticinco</w:t>
      </w:r>
      <w:r w:rsidRPr="005F5D0B">
        <w:rPr>
          <w:rFonts w:ascii="Palatino Linotype" w:eastAsia="Palatino Linotype" w:hAnsi="Palatino Linotype" w:cs="Palatino Linotype"/>
          <w:color w:val="000000" w:themeColor="text1"/>
        </w:rPr>
        <w:t>.</w:t>
      </w:r>
    </w:p>
    <w:p w14:paraId="6CCD2286" w14:textId="77777777" w:rsidR="00EB0F49" w:rsidRPr="005F5D0B" w:rsidRDefault="00EB0F49" w:rsidP="000872AB">
      <w:pPr>
        <w:tabs>
          <w:tab w:val="left" w:pos="0"/>
          <w:tab w:val="left" w:pos="567"/>
        </w:tabs>
        <w:spacing w:line="360" w:lineRule="auto"/>
        <w:jc w:val="both"/>
        <w:rPr>
          <w:rFonts w:ascii="Palatino Linotype" w:eastAsia="Palatino Linotype" w:hAnsi="Palatino Linotype" w:cs="Palatino Linotype"/>
          <w:color w:val="000000" w:themeColor="text1"/>
        </w:rPr>
      </w:pPr>
    </w:p>
    <w:p w14:paraId="14B25137" w14:textId="7F184F51" w:rsidR="00EB0F49" w:rsidRPr="005F5D0B" w:rsidRDefault="001D3081" w:rsidP="000872AB">
      <w:pPr>
        <w:tabs>
          <w:tab w:val="left" w:pos="0"/>
        </w:tabs>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5F5D0B">
        <w:rPr>
          <w:rFonts w:ascii="Palatino Linotype" w:eastAsia="Palatino Linotype" w:hAnsi="Palatino Linotype" w:cs="Palatino Linotype"/>
          <w:b/>
          <w:color w:val="000000" w:themeColor="text1"/>
        </w:rPr>
        <w:t>VISTO</w:t>
      </w:r>
      <w:r w:rsidRPr="005F5D0B">
        <w:rPr>
          <w:rFonts w:ascii="Palatino Linotype" w:eastAsia="Palatino Linotype" w:hAnsi="Palatino Linotype" w:cs="Palatino Linotype"/>
          <w:color w:val="000000" w:themeColor="text1"/>
        </w:rPr>
        <w:t xml:space="preserve"> el expediente electrónico formado con motivo del recurso de revisión </w:t>
      </w:r>
      <w:r w:rsidR="00597F01" w:rsidRPr="005F5D0B">
        <w:rPr>
          <w:rFonts w:ascii="Palatino Linotype" w:eastAsia="Palatino Linotype" w:hAnsi="Palatino Linotype" w:cs="Palatino Linotype"/>
          <w:b/>
          <w:color w:val="000000" w:themeColor="text1"/>
        </w:rPr>
        <w:t>00863</w:t>
      </w:r>
      <w:r w:rsidRPr="005F5D0B">
        <w:rPr>
          <w:rFonts w:ascii="Palatino Linotype" w:eastAsia="Palatino Linotype" w:hAnsi="Palatino Linotype" w:cs="Palatino Linotype"/>
          <w:b/>
          <w:color w:val="000000" w:themeColor="text1"/>
        </w:rPr>
        <w:t>/INFOEM/IP/RR/2025</w:t>
      </w:r>
      <w:r w:rsidRPr="005F5D0B">
        <w:rPr>
          <w:rFonts w:ascii="Palatino Linotype" w:eastAsia="Palatino Linotype" w:hAnsi="Palatino Linotype" w:cs="Palatino Linotype"/>
          <w:color w:val="000000" w:themeColor="text1"/>
        </w:rPr>
        <w:t>,</w:t>
      </w:r>
      <w:r w:rsidRPr="005F5D0B">
        <w:rPr>
          <w:rFonts w:ascii="Palatino Linotype" w:eastAsia="Palatino Linotype" w:hAnsi="Palatino Linotype" w:cs="Palatino Linotype"/>
          <w:b/>
          <w:color w:val="000000" w:themeColor="text1"/>
        </w:rPr>
        <w:t xml:space="preserve"> </w:t>
      </w:r>
      <w:r w:rsidRPr="005F5D0B">
        <w:rPr>
          <w:rFonts w:ascii="Palatino Linotype" w:eastAsia="Palatino Linotype" w:hAnsi="Palatino Linotype" w:cs="Palatino Linotype"/>
          <w:color w:val="000000" w:themeColor="text1"/>
        </w:rPr>
        <w:t xml:space="preserve">promovido por </w:t>
      </w:r>
      <w:r w:rsidRPr="005F5D0B">
        <w:rPr>
          <w:rFonts w:ascii="Palatino Linotype" w:eastAsia="Palatino Linotype" w:hAnsi="Palatino Linotype" w:cs="Palatino Linotype"/>
          <w:b/>
          <w:color w:val="000000" w:themeColor="text1"/>
        </w:rPr>
        <w:t>un</w:t>
      </w:r>
      <w:r w:rsidR="000872AB" w:rsidRPr="005F5D0B">
        <w:rPr>
          <w:rFonts w:ascii="Palatino Linotype" w:eastAsia="Palatino Linotype" w:hAnsi="Palatino Linotype" w:cs="Palatino Linotype"/>
          <w:b/>
          <w:color w:val="000000" w:themeColor="text1"/>
        </w:rPr>
        <w:t>a persona que no proporcionó datos de identificación</w:t>
      </w:r>
      <w:r w:rsidR="000872AB" w:rsidRPr="005F5D0B">
        <w:rPr>
          <w:rFonts w:ascii="Palatino Linotype" w:eastAsia="Palatino Linotype" w:hAnsi="Palatino Linotype" w:cs="Palatino Linotype"/>
          <w:color w:val="000000" w:themeColor="text1"/>
        </w:rPr>
        <w:t xml:space="preserve">, y a quien en lo sucesivo se le identificará como </w:t>
      </w:r>
      <w:r w:rsidR="000872AB" w:rsidRPr="005F5D0B">
        <w:rPr>
          <w:rFonts w:ascii="Palatino Linotype" w:eastAsia="Palatino Linotype" w:hAnsi="Palatino Linotype" w:cs="Palatino Linotype"/>
          <w:b/>
          <w:color w:val="000000" w:themeColor="text1"/>
        </w:rPr>
        <w:t>EL</w:t>
      </w:r>
      <w:r w:rsidRPr="005F5D0B">
        <w:rPr>
          <w:rFonts w:ascii="Palatino Linotype" w:eastAsia="Palatino Linotype" w:hAnsi="Palatino Linotype" w:cs="Palatino Linotype"/>
          <w:color w:val="000000" w:themeColor="text1"/>
        </w:rPr>
        <w:t xml:space="preserve"> </w:t>
      </w:r>
      <w:r w:rsidR="00597F01" w:rsidRPr="005F5D0B">
        <w:rPr>
          <w:rFonts w:ascii="Palatino Linotype" w:eastAsia="Palatino Linotype" w:hAnsi="Palatino Linotype" w:cs="Palatino Linotype"/>
          <w:b/>
          <w:color w:val="000000" w:themeColor="text1"/>
        </w:rPr>
        <w:t>RECURRENTE</w:t>
      </w:r>
      <w:r w:rsidRPr="005F5D0B">
        <w:rPr>
          <w:rFonts w:ascii="Palatino Linotype" w:eastAsia="Palatino Linotype" w:hAnsi="Palatino Linotype" w:cs="Palatino Linotype"/>
          <w:color w:val="000000" w:themeColor="text1"/>
        </w:rPr>
        <w:t xml:space="preserve">, en contra de la respuesta del </w:t>
      </w:r>
      <w:r w:rsidRPr="005F5D0B">
        <w:rPr>
          <w:rFonts w:ascii="Palatino Linotype" w:eastAsia="Palatino Linotype" w:hAnsi="Palatino Linotype" w:cs="Palatino Linotype"/>
          <w:b/>
          <w:color w:val="000000" w:themeColor="text1"/>
        </w:rPr>
        <w:t xml:space="preserve">Ayuntamiento de </w:t>
      </w:r>
      <w:r w:rsidR="007C6197" w:rsidRPr="005F5D0B">
        <w:rPr>
          <w:rFonts w:ascii="Palatino Linotype" w:eastAsia="Palatino Linotype" w:hAnsi="Palatino Linotype" w:cs="Palatino Linotype"/>
          <w:b/>
          <w:color w:val="000000" w:themeColor="text1"/>
        </w:rPr>
        <w:t>T</w:t>
      </w:r>
      <w:r w:rsidR="00597F01" w:rsidRPr="005F5D0B">
        <w:rPr>
          <w:rFonts w:ascii="Palatino Linotype" w:eastAsia="Palatino Linotype" w:hAnsi="Palatino Linotype" w:cs="Palatino Linotype"/>
          <w:b/>
          <w:color w:val="000000" w:themeColor="text1"/>
        </w:rPr>
        <w:t>oluca</w:t>
      </w:r>
      <w:r w:rsidRPr="005F5D0B">
        <w:rPr>
          <w:rFonts w:ascii="Palatino Linotype" w:eastAsia="Palatino Linotype" w:hAnsi="Palatino Linotype" w:cs="Palatino Linotype"/>
          <w:b/>
          <w:color w:val="000000" w:themeColor="text1"/>
        </w:rPr>
        <w:t xml:space="preserve">, </w:t>
      </w:r>
      <w:r w:rsidRPr="005F5D0B">
        <w:rPr>
          <w:rFonts w:ascii="Palatino Linotype" w:eastAsia="Palatino Linotype" w:hAnsi="Palatino Linotype" w:cs="Palatino Linotype"/>
          <w:color w:val="000000" w:themeColor="text1"/>
        </w:rPr>
        <w:t>en adelante el</w:t>
      </w:r>
      <w:r w:rsidRPr="005F5D0B">
        <w:rPr>
          <w:rFonts w:ascii="Palatino Linotype" w:eastAsia="Palatino Linotype" w:hAnsi="Palatino Linotype" w:cs="Palatino Linotype"/>
          <w:b/>
          <w:color w:val="000000" w:themeColor="text1"/>
        </w:rPr>
        <w:t xml:space="preserve"> SUJETO OBLIGADO</w:t>
      </w:r>
      <w:r w:rsidRPr="005F5D0B">
        <w:rPr>
          <w:rFonts w:ascii="Palatino Linotype" w:eastAsia="Palatino Linotype" w:hAnsi="Palatino Linotype" w:cs="Palatino Linotype"/>
          <w:color w:val="000000" w:themeColor="text1"/>
        </w:rPr>
        <w:t>, se procede a dictar la presente resolución, con base en los siguientes:</w:t>
      </w:r>
    </w:p>
    <w:p w14:paraId="17E25910" w14:textId="77777777" w:rsidR="00EB0F49" w:rsidRPr="005F5D0B" w:rsidRDefault="00EB0F49" w:rsidP="000872AB">
      <w:pPr>
        <w:tabs>
          <w:tab w:val="left" w:pos="0"/>
        </w:tabs>
        <w:spacing w:line="360" w:lineRule="auto"/>
        <w:jc w:val="both"/>
        <w:rPr>
          <w:rFonts w:ascii="Palatino Linotype" w:eastAsia="Palatino Linotype" w:hAnsi="Palatino Linotype" w:cs="Palatino Linotype"/>
          <w:color w:val="000000" w:themeColor="text1"/>
        </w:rPr>
      </w:pPr>
    </w:p>
    <w:p w14:paraId="617F897C" w14:textId="77777777" w:rsidR="00EB0F49" w:rsidRPr="005F5D0B" w:rsidRDefault="001D3081" w:rsidP="000872AB">
      <w:pPr>
        <w:pStyle w:val="Ttulo1"/>
        <w:tabs>
          <w:tab w:val="left" w:pos="0"/>
          <w:tab w:val="left" w:pos="567"/>
        </w:tabs>
        <w:spacing w:before="0" w:line="360" w:lineRule="auto"/>
        <w:jc w:val="center"/>
        <w:rPr>
          <w:b w:val="0"/>
          <w:szCs w:val="24"/>
        </w:rPr>
      </w:pPr>
      <w:bookmarkStart w:id="2" w:name="_heading=h.30j0zll" w:colFirst="0" w:colLast="0"/>
      <w:bookmarkEnd w:id="2"/>
      <w:r w:rsidRPr="005F5D0B">
        <w:rPr>
          <w:szCs w:val="24"/>
        </w:rPr>
        <w:t>A N T E C E D E N T E S</w:t>
      </w:r>
    </w:p>
    <w:p w14:paraId="74CA4F9B" w14:textId="77777777" w:rsidR="00EB0F49" w:rsidRPr="005F5D0B" w:rsidRDefault="00EB0F49" w:rsidP="000872AB">
      <w:pPr>
        <w:pStyle w:val="Ttulo1"/>
        <w:tabs>
          <w:tab w:val="left" w:pos="0"/>
          <w:tab w:val="left" w:pos="567"/>
        </w:tabs>
        <w:spacing w:before="0" w:line="360" w:lineRule="auto"/>
        <w:jc w:val="center"/>
        <w:rPr>
          <w:szCs w:val="24"/>
        </w:rPr>
      </w:pPr>
    </w:p>
    <w:p w14:paraId="105CED4A" w14:textId="7DDAB240" w:rsidR="00EB0F49" w:rsidRPr="005F5D0B" w:rsidRDefault="001D3081" w:rsidP="000872A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5F5D0B">
        <w:rPr>
          <w:rFonts w:ascii="Palatino Linotype" w:eastAsia="Palatino Linotype" w:hAnsi="Palatino Linotype" w:cs="Palatino Linotype"/>
          <w:color w:val="000000" w:themeColor="text1"/>
        </w:rPr>
        <w:t xml:space="preserve">El </w:t>
      </w:r>
      <w:r w:rsidR="00597F01" w:rsidRPr="005F5D0B">
        <w:rPr>
          <w:rFonts w:ascii="Palatino Linotype" w:eastAsia="Palatino Linotype" w:hAnsi="Palatino Linotype" w:cs="Palatino Linotype"/>
          <w:b/>
          <w:color w:val="000000" w:themeColor="text1"/>
        </w:rPr>
        <w:t>cuatro de diciembre de dos mil veinticuatro</w:t>
      </w:r>
      <w:r w:rsidRPr="005F5D0B">
        <w:rPr>
          <w:rFonts w:ascii="Palatino Linotype" w:eastAsia="Palatino Linotype" w:hAnsi="Palatino Linotype" w:cs="Palatino Linotype"/>
          <w:b/>
          <w:color w:val="000000" w:themeColor="text1"/>
        </w:rPr>
        <w:t xml:space="preserve">, </w:t>
      </w:r>
      <w:r w:rsidRPr="005F5D0B">
        <w:rPr>
          <w:rFonts w:ascii="Palatino Linotype" w:eastAsia="Palatino Linotype" w:hAnsi="Palatino Linotype" w:cs="Palatino Linotype"/>
          <w:color w:val="000000" w:themeColor="text1"/>
        </w:rPr>
        <w:t xml:space="preserve">se presentó ante el </w:t>
      </w:r>
      <w:r w:rsidRPr="005F5D0B">
        <w:rPr>
          <w:rFonts w:ascii="Palatino Linotype" w:eastAsia="Palatino Linotype" w:hAnsi="Palatino Linotype" w:cs="Palatino Linotype"/>
          <w:b/>
          <w:color w:val="000000" w:themeColor="text1"/>
        </w:rPr>
        <w:t>SUJETO OBLIGADO</w:t>
      </w:r>
      <w:r w:rsidRPr="005F5D0B">
        <w:rPr>
          <w:rFonts w:ascii="Palatino Linotype" w:eastAsia="Palatino Linotype" w:hAnsi="Palatino Linotype" w:cs="Palatino Linotype"/>
          <w:color w:val="000000" w:themeColor="text1"/>
        </w:rPr>
        <w:t xml:space="preserve"> vía SAIMEX, la solicitud de información pública registrada con el número</w:t>
      </w:r>
      <w:r w:rsidR="00597F01" w:rsidRPr="005F5D0B">
        <w:rPr>
          <w:rFonts w:ascii="Palatino Linotype" w:eastAsia="Palatino Linotype" w:hAnsi="Palatino Linotype" w:cs="Palatino Linotype"/>
          <w:b/>
          <w:color w:val="000000" w:themeColor="text1"/>
        </w:rPr>
        <w:t xml:space="preserve"> 03173</w:t>
      </w:r>
      <w:r w:rsidRPr="005F5D0B">
        <w:rPr>
          <w:rFonts w:ascii="Palatino Linotype" w:eastAsia="Palatino Linotype" w:hAnsi="Palatino Linotype" w:cs="Palatino Linotype"/>
          <w:b/>
          <w:color w:val="000000" w:themeColor="text1"/>
        </w:rPr>
        <w:t>/</w:t>
      </w:r>
      <w:r w:rsidR="007C6197" w:rsidRPr="005F5D0B">
        <w:rPr>
          <w:rFonts w:ascii="Palatino Linotype" w:eastAsia="Palatino Linotype" w:hAnsi="Palatino Linotype" w:cs="Palatino Linotype"/>
          <w:b/>
          <w:color w:val="000000" w:themeColor="text1"/>
        </w:rPr>
        <w:t>T</w:t>
      </w:r>
      <w:r w:rsidR="00597F01" w:rsidRPr="005F5D0B">
        <w:rPr>
          <w:rFonts w:ascii="Palatino Linotype" w:eastAsia="Palatino Linotype" w:hAnsi="Palatino Linotype" w:cs="Palatino Linotype"/>
          <w:b/>
          <w:color w:val="000000" w:themeColor="text1"/>
        </w:rPr>
        <w:t>OLUCA</w:t>
      </w:r>
      <w:r w:rsidRPr="005F5D0B">
        <w:rPr>
          <w:rFonts w:ascii="Palatino Linotype" w:eastAsia="Palatino Linotype" w:hAnsi="Palatino Linotype" w:cs="Palatino Linotype"/>
          <w:b/>
          <w:color w:val="000000" w:themeColor="text1"/>
        </w:rPr>
        <w:t>/IP/202</w:t>
      </w:r>
      <w:r w:rsidR="00426752" w:rsidRPr="005F5D0B">
        <w:rPr>
          <w:rFonts w:ascii="Palatino Linotype" w:eastAsia="Palatino Linotype" w:hAnsi="Palatino Linotype" w:cs="Palatino Linotype"/>
          <w:b/>
          <w:color w:val="000000" w:themeColor="text1"/>
        </w:rPr>
        <w:t>4</w:t>
      </w:r>
      <w:r w:rsidRPr="005F5D0B">
        <w:rPr>
          <w:rFonts w:ascii="Palatino Linotype" w:eastAsia="Palatino Linotype" w:hAnsi="Palatino Linotype" w:cs="Palatino Linotype"/>
          <w:b/>
          <w:color w:val="000000" w:themeColor="text1"/>
        </w:rPr>
        <w:t xml:space="preserve">; </w:t>
      </w:r>
      <w:r w:rsidRPr="005F5D0B">
        <w:rPr>
          <w:rFonts w:ascii="Palatino Linotype" w:eastAsia="Palatino Linotype" w:hAnsi="Palatino Linotype" w:cs="Palatino Linotype"/>
          <w:color w:val="000000" w:themeColor="text1"/>
        </w:rPr>
        <w:t>mediante la cual se solicitó la siguiente información:</w:t>
      </w:r>
    </w:p>
    <w:p w14:paraId="5807ECA6" w14:textId="77777777" w:rsidR="00EB0F49" w:rsidRPr="005F5D0B" w:rsidRDefault="00EB0F4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430E820F" w14:textId="76A5BBFA" w:rsidR="001D3081" w:rsidRPr="005F5D0B" w:rsidRDefault="001D3081" w:rsidP="000872AB">
      <w:pPr>
        <w:pBdr>
          <w:top w:val="nil"/>
          <w:left w:val="nil"/>
          <w:bottom w:val="nil"/>
          <w:right w:val="nil"/>
          <w:between w:val="nil"/>
        </w:pBdr>
        <w:tabs>
          <w:tab w:val="left" w:pos="0"/>
        </w:tabs>
        <w:ind w:left="426"/>
        <w:jc w:val="both"/>
        <w:rPr>
          <w:rFonts w:ascii="Palatino Linotype" w:eastAsia="Palatino Linotype" w:hAnsi="Palatino Linotype" w:cs="Palatino Linotype"/>
          <w:i/>
          <w:color w:val="000000" w:themeColor="text1"/>
        </w:rPr>
      </w:pPr>
      <w:r w:rsidRPr="005F5D0B">
        <w:rPr>
          <w:rFonts w:ascii="Palatino Linotype" w:eastAsia="Palatino Linotype" w:hAnsi="Palatino Linotype" w:cs="Palatino Linotype"/>
          <w:i/>
          <w:color w:val="000000" w:themeColor="text1"/>
        </w:rPr>
        <w:t>“</w:t>
      </w:r>
      <w:r w:rsidR="00597F01" w:rsidRPr="005F5D0B">
        <w:rPr>
          <w:rFonts w:ascii="Palatino Linotype" w:hAnsi="Palatino Linotype"/>
          <w:i/>
          <w:color w:val="000000" w:themeColor="text1"/>
        </w:rPr>
        <w:t>Cunatas calles se pavimentaron o rencarpetaron en el municipio de estan con un mapa señalar, el costo de la obra y el contrato con que empresa lo realizo o es parte de la garntia de las pavimentadas en 2023</w:t>
      </w:r>
      <w:r w:rsidRPr="005F5D0B">
        <w:rPr>
          <w:rFonts w:ascii="Palatino Linotype" w:hAnsi="Palatino Linotype"/>
          <w:i/>
          <w:color w:val="000000" w:themeColor="text1"/>
        </w:rPr>
        <w:t>”</w:t>
      </w:r>
      <w:r w:rsidRPr="005F5D0B">
        <w:rPr>
          <w:rFonts w:ascii="Palatino Linotype" w:eastAsia="Palatino Linotype" w:hAnsi="Palatino Linotype" w:cs="Palatino Linotype"/>
          <w:i/>
          <w:color w:val="000000" w:themeColor="text1"/>
        </w:rPr>
        <w:t xml:space="preserve"> (Sic)</w:t>
      </w:r>
    </w:p>
    <w:p w14:paraId="1EA0468E" w14:textId="77777777" w:rsidR="001D3081" w:rsidRPr="005F5D0B" w:rsidRDefault="001D3081" w:rsidP="000872AB">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05BF658B" w14:textId="77777777" w:rsidR="001D3081" w:rsidRPr="005F5D0B" w:rsidRDefault="001D3081" w:rsidP="000872A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5F5D0B">
        <w:rPr>
          <w:rFonts w:ascii="Palatino Linotype" w:eastAsia="Palatino Linotype" w:hAnsi="Palatino Linotype" w:cs="Palatino Linotype"/>
          <w:color w:val="000000" w:themeColor="text1"/>
        </w:rPr>
        <w:t xml:space="preserve">Se eligió como modalidad de entrega de la información: A través del </w:t>
      </w:r>
      <w:r w:rsidRPr="005F5D0B">
        <w:rPr>
          <w:rFonts w:ascii="Palatino Linotype" w:eastAsia="Palatino Linotype" w:hAnsi="Palatino Linotype" w:cs="Palatino Linotype"/>
          <w:b/>
          <w:color w:val="000000" w:themeColor="text1"/>
        </w:rPr>
        <w:t>SAIMEX.</w:t>
      </w:r>
    </w:p>
    <w:p w14:paraId="1AA74291" w14:textId="77777777" w:rsidR="001D3081" w:rsidRPr="005F5D0B" w:rsidRDefault="001D3081" w:rsidP="000872AB">
      <w:pPr>
        <w:pBdr>
          <w:top w:val="nil"/>
          <w:left w:val="nil"/>
          <w:bottom w:val="nil"/>
          <w:right w:val="nil"/>
          <w:between w:val="nil"/>
        </w:pBdr>
        <w:tabs>
          <w:tab w:val="left" w:pos="0"/>
        </w:tabs>
        <w:jc w:val="both"/>
        <w:rPr>
          <w:rFonts w:ascii="Palatino Linotype" w:hAnsi="Palatino Linotype"/>
          <w:color w:val="000000" w:themeColor="text1"/>
        </w:rPr>
      </w:pPr>
    </w:p>
    <w:p w14:paraId="1DB16994" w14:textId="58B702BA" w:rsidR="00EB0F49" w:rsidRPr="005F5D0B" w:rsidRDefault="001D3081" w:rsidP="000872A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5F5D0B">
        <w:rPr>
          <w:rFonts w:ascii="Palatino Linotype" w:eastAsia="Palatino Linotype" w:hAnsi="Palatino Linotype" w:cs="Palatino Linotype"/>
          <w:color w:val="000000" w:themeColor="text1"/>
        </w:rPr>
        <w:t xml:space="preserve">El </w:t>
      </w:r>
      <w:r w:rsidR="00597F01" w:rsidRPr="005F5D0B">
        <w:rPr>
          <w:rFonts w:ascii="Palatino Linotype" w:eastAsia="Palatino Linotype" w:hAnsi="Palatino Linotype" w:cs="Palatino Linotype"/>
          <w:b/>
          <w:color w:val="000000" w:themeColor="text1"/>
        </w:rPr>
        <w:t>dieciséis de ener</w:t>
      </w:r>
      <w:r w:rsidR="007C6197" w:rsidRPr="005F5D0B">
        <w:rPr>
          <w:rFonts w:ascii="Palatino Linotype" w:eastAsia="Palatino Linotype" w:hAnsi="Palatino Linotype" w:cs="Palatino Linotype"/>
          <w:b/>
          <w:color w:val="000000" w:themeColor="text1"/>
        </w:rPr>
        <w:t>o</w:t>
      </w:r>
      <w:r w:rsidRPr="005F5D0B">
        <w:rPr>
          <w:rFonts w:ascii="Palatino Linotype" w:eastAsia="Palatino Linotype" w:hAnsi="Palatino Linotype" w:cs="Palatino Linotype"/>
          <w:b/>
          <w:color w:val="000000" w:themeColor="text1"/>
        </w:rPr>
        <w:t xml:space="preserve"> de dos mil veinticinco</w:t>
      </w:r>
      <w:r w:rsidRPr="005F5D0B">
        <w:rPr>
          <w:rFonts w:ascii="Palatino Linotype" w:eastAsia="Palatino Linotype" w:hAnsi="Palatino Linotype" w:cs="Palatino Linotype"/>
          <w:color w:val="000000" w:themeColor="text1"/>
        </w:rPr>
        <w:t xml:space="preserve">, el </w:t>
      </w:r>
      <w:r w:rsidRPr="005F5D0B">
        <w:rPr>
          <w:rFonts w:ascii="Palatino Linotype" w:eastAsia="Palatino Linotype" w:hAnsi="Palatino Linotype" w:cs="Palatino Linotype"/>
          <w:b/>
          <w:color w:val="000000" w:themeColor="text1"/>
        </w:rPr>
        <w:t>SUJETO OBLIGADO,</w:t>
      </w:r>
      <w:r w:rsidRPr="005F5D0B">
        <w:rPr>
          <w:rFonts w:ascii="Palatino Linotype" w:eastAsia="Palatino Linotype" w:hAnsi="Palatino Linotype" w:cs="Palatino Linotype"/>
          <w:color w:val="000000" w:themeColor="text1"/>
        </w:rPr>
        <w:t xml:space="preserve"> dio respuesta a la solicitud de información en el tenor siguiente:</w:t>
      </w:r>
    </w:p>
    <w:p w14:paraId="3A2C0F62" w14:textId="77777777" w:rsidR="001D3081" w:rsidRPr="005F5D0B" w:rsidRDefault="001D3081" w:rsidP="000872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4756FA6B" w14:textId="515810E4" w:rsidR="001D3081" w:rsidRPr="005F5D0B" w:rsidRDefault="007C6197" w:rsidP="000872AB">
      <w:pPr>
        <w:pBdr>
          <w:top w:val="nil"/>
          <w:left w:val="nil"/>
          <w:bottom w:val="nil"/>
          <w:right w:val="nil"/>
          <w:between w:val="nil"/>
        </w:pBdr>
        <w:tabs>
          <w:tab w:val="left" w:pos="0"/>
        </w:tabs>
        <w:ind w:left="567"/>
        <w:jc w:val="both"/>
        <w:rPr>
          <w:rFonts w:ascii="Palatino Linotype" w:hAnsi="Palatino Linotype"/>
          <w:i/>
          <w:color w:val="000000" w:themeColor="text1"/>
        </w:rPr>
      </w:pPr>
      <w:r w:rsidRPr="005F5D0B">
        <w:rPr>
          <w:rFonts w:ascii="Palatino Linotype" w:hAnsi="Palatino Linotype"/>
          <w:i/>
          <w:color w:val="000000" w:themeColor="text1"/>
        </w:rPr>
        <w:lastRenderedPageBreak/>
        <w:t>“</w:t>
      </w:r>
      <w:r w:rsidR="00597F01" w:rsidRPr="005F5D0B">
        <w:rPr>
          <w:rFonts w:ascii="Palatino Linotype" w:hAnsi="Palatino Linotype"/>
          <w:i/>
          <w:color w:val="000000" w:themeColor="text1"/>
        </w:rPr>
        <w:t>En atención a la solicitud con folio 03173/TOLUCA/IP/2024, me permito adjuntar al presente la respuesta correspondiente. Sin más por el momento, reciba un saludo.</w:t>
      </w:r>
      <w:r w:rsidR="001D3081" w:rsidRPr="005F5D0B">
        <w:rPr>
          <w:rFonts w:ascii="Palatino Linotype" w:hAnsi="Palatino Linotype"/>
          <w:i/>
          <w:color w:val="000000" w:themeColor="text1"/>
        </w:rPr>
        <w:t>” (Sic)</w:t>
      </w:r>
    </w:p>
    <w:p w14:paraId="6ED1B036" w14:textId="77777777" w:rsidR="001D3081" w:rsidRPr="005F5D0B" w:rsidRDefault="001D3081" w:rsidP="000872A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7D62038C" w14:textId="4D29BA28" w:rsidR="00EB0F49" w:rsidRPr="005F5D0B" w:rsidRDefault="00597F01" w:rsidP="000872AB">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t>Archivos electrónicos adjuntos:</w:t>
      </w:r>
    </w:p>
    <w:p w14:paraId="54D77FE0" w14:textId="77777777" w:rsidR="00597F01" w:rsidRPr="005F5D0B" w:rsidRDefault="00597F01" w:rsidP="000872AB">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p>
    <w:p w14:paraId="389C8A57" w14:textId="502732B5" w:rsidR="00597F01" w:rsidRPr="005F5D0B" w:rsidRDefault="00D23687" w:rsidP="000872AB">
      <w:pPr>
        <w:pBdr>
          <w:top w:val="nil"/>
          <w:left w:val="nil"/>
          <w:bottom w:val="nil"/>
          <w:right w:val="nil"/>
          <w:between w:val="nil"/>
        </w:pBdr>
        <w:tabs>
          <w:tab w:val="left" w:pos="0"/>
        </w:tabs>
        <w:ind w:left="567"/>
        <w:jc w:val="both"/>
        <w:rPr>
          <w:rFonts w:ascii="Palatino Linotype" w:hAnsi="Palatino Linotype"/>
          <w:color w:val="000000" w:themeColor="text1"/>
        </w:rPr>
      </w:pPr>
      <w:hyperlink r:id="rId8" w:tgtFrame="_blank" w:history="1">
        <w:r w:rsidR="00597F01" w:rsidRPr="005F5D0B">
          <w:rPr>
            <w:rStyle w:val="Hipervnculo"/>
            <w:rFonts w:ascii="Palatino Linotype" w:hAnsi="Palatino Linotype" w:cs="Arial"/>
            <w:b/>
            <w:bCs/>
            <w:color w:val="000000" w:themeColor="text1"/>
            <w:u w:val="none"/>
          </w:rPr>
          <w:t>RESPUESTA 03173. 2024 .pdf</w:t>
        </w:r>
      </w:hyperlink>
      <w:r w:rsidR="00597F01" w:rsidRPr="005F5D0B">
        <w:rPr>
          <w:rFonts w:ascii="Palatino Linotype" w:hAnsi="Palatino Linotype"/>
          <w:color w:val="000000" w:themeColor="text1"/>
        </w:rPr>
        <w:t xml:space="preserve">: Oficio signado por el Titular de la Unidad de Transparencia, por medio del cual, </w:t>
      </w:r>
      <w:r w:rsidR="005F4162" w:rsidRPr="005F5D0B">
        <w:rPr>
          <w:rFonts w:ascii="Palatino Linotype" w:hAnsi="Palatino Linotype"/>
          <w:color w:val="000000" w:themeColor="text1"/>
        </w:rPr>
        <w:t>refirió</w:t>
      </w:r>
      <w:r w:rsidR="00597F01" w:rsidRPr="005F5D0B">
        <w:rPr>
          <w:rFonts w:ascii="Palatino Linotype" w:hAnsi="Palatino Linotype"/>
          <w:color w:val="000000" w:themeColor="text1"/>
        </w:rPr>
        <w:t xml:space="preserve"> que la Dirección General de Desar</w:t>
      </w:r>
      <w:r w:rsidR="005F4162" w:rsidRPr="005F5D0B">
        <w:rPr>
          <w:rFonts w:ascii="Palatino Linotype" w:hAnsi="Palatino Linotype"/>
          <w:color w:val="000000" w:themeColor="text1"/>
        </w:rPr>
        <w:t>rollo Urbano, Ordenamiento Territorial y Obras Publicas y Servidor Público Habilitado, informó que después de realizar una búsqueda exhaustiva y razonable de la información solicitada en los archivos físicos y digitales que obran en la Dirección a su cargo, se localizó un documento que contiene la información de su competencia, consistente en: Obra, Localidad, Empresa (con la que se contrató cada una de las obras públicas enlistadas) y Monto contratado</w:t>
      </w:r>
      <w:r w:rsidR="002D49BE" w:rsidRPr="005F5D0B">
        <w:rPr>
          <w:rFonts w:ascii="Palatino Linotype" w:hAnsi="Palatino Linotype"/>
          <w:color w:val="000000" w:themeColor="text1"/>
        </w:rPr>
        <w:t xml:space="preserve">; al respecto precisó que es el documento con el que se cuenta y en el estado en el que se encuentra en los archivos. Ahora bien, relativo a la “señalización en un mapa” y la “garantía de las pavimentaciones en 2023”, refirió que, previa búsqueda, no se localizó documento que dé cuenta al no haberlo generado, poseído, ni administrado; por lo cual, no es factible proporcionarlo. </w:t>
      </w:r>
    </w:p>
    <w:p w14:paraId="37142288" w14:textId="77777777" w:rsidR="00597F01" w:rsidRPr="005F5D0B" w:rsidRDefault="00597F01" w:rsidP="000872AB">
      <w:pPr>
        <w:pBdr>
          <w:top w:val="nil"/>
          <w:left w:val="nil"/>
          <w:bottom w:val="nil"/>
          <w:right w:val="nil"/>
          <w:between w:val="nil"/>
        </w:pBdr>
        <w:tabs>
          <w:tab w:val="left" w:pos="0"/>
        </w:tabs>
        <w:ind w:left="567"/>
        <w:jc w:val="both"/>
        <w:rPr>
          <w:rFonts w:ascii="Palatino Linotype" w:hAnsi="Palatino Linotype"/>
          <w:color w:val="000000" w:themeColor="text1"/>
        </w:rPr>
      </w:pPr>
    </w:p>
    <w:p w14:paraId="6A518B11" w14:textId="7C5924A3" w:rsidR="00597F01" w:rsidRPr="005F5D0B" w:rsidRDefault="00D23687" w:rsidP="000872A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hyperlink r:id="rId9" w:tgtFrame="_blank" w:history="1">
        <w:r w:rsidR="00597F01" w:rsidRPr="005F5D0B">
          <w:rPr>
            <w:rStyle w:val="Hipervnculo"/>
            <w:rFonts w:ascii="Palatino Linotype" w:hAnsi="Palatino Linotype" w:cs="Arial"/>
            <w:b/>
            <w:bCs/>
            <w:color w:val="000000" w:themeColor="text1"/>
            <w:u w:val="none"/>
          </w:rPr>
          <w:t>ANEXO 3173.pdf</w:t>
        </w:r>
      </w:hyperlink>
      <w:r w:rsidR="00597F01" w:rsidRPr="005F5D0B">
        <w:rPr>
          <w:rFonts w:ascii="Palatino Linotype" w:hAnsi="Palatino Linotype"/>
          <w:color w:val="000000" w:themeColor="text1"/>
        </w:rPr>
        <w:t>:</w:t>
      </w:r>
      <w:r w:rsidR="002D49BE" w:rsidRPr="005F5D0B">
        <w:rPr>
          <w:rFonts w:ascii="Palatino Linotype" w:hAnsi="Palatino Linotype"/>
          <w:color w:val="000000" w:themeColor="text1"/>
        </w:rPr>
        <w:t xml:space="preserve"> Registro de pavimentaciones de 2023 (bajo los rubros: #, OBRA, LOCALIDAD, EMPRESA y CONTRATO), de la Dirección General de Desarrollo Urbano, Ordenamiento Territorial y Obras Públicas.</w:t>
      </w:r>
    </w:p>
    <w:p w14:paraId="342EFC7C" w14:textId="77777777" w:rsidR="00EB0F49" w:rsidRPr="005F5D0B" w:rsidRDefault="00EB0F49" w:rsidP="000872AB">
      <w:pPr>
        <w:tabs>
          <w:tab w:val="left" w:pos="0"/>
        </w:tabs>
        <w:rPr>
          <w:rFonts w:ascii="Palatino Linotype" w:hAnsi="Palatino Linotype"/>
          <w:color w:val="000000" w:themeColor="text1"/>
        </w:rPr>
      </w:pPr>
    </w:p>
    <w:p w14:paraId="0998E6CF" w14:textId="57D4677D" w:rsidR="00EB0F49" w:rsidRPr="005F5D0B" w:rsidRDefault="00294244" w:rsidP="000872A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5F5D0B">
        <w:rPr>
          <w:rFonts w:ascii="Palatino Linotype" w:eastAsia="Palatino Linotype" w:hAnsi="Palatino Linotype" w:cs="Palatino Linotype"/>
          <w:color w:val="000000" w:themeColor="text1"/>
        </w:rPr>
        <w:t xml:space="preserve">El </w:t>
      </w:r>
      <w:r w:rsidR="002D49BE" w:rsidRPr="005F5D0B">
        <w:rPr>
          <w:rFonts w:ascii="Palatino Linotype" w:eastAsia="Palatino Linotype" w:hAnsi="Palatino Linotype" w:cs="Palatino Linotype"/>
          <w:b/>
          <w:color w:val="000000" w:themeColor="text1"/>
        </w:rPr>
        <w:t>siete</w:t>
      </w:r>
      <w:r w:rsidR="00B05B5E" w:rsidRPr="005F5D0B">
        <w:rPr>
          <w:rFonts w:ascii="Palatino Linotype" w:eastAsia="Palatino Linotype" w:hAnsi="Palatino Linotype" w:cs="Palatino Linotype"/>
          <w:b/>
          <w:color w:val="000000" w:themeColor="text1"/>
        </w:rPr>
        <w:t xml:space="preserve"> de febrero </w:t>
      </w:r>
      <w:r w:rsidRPr="005F5D0B">
        <w:rPr>
          <w:rFonts w:ascii="Palatino Linotype" w:eastAsia="Palatino Linotype" w:hAnsi="Palatino Linotype" w:cs="Palatino Linotype"/>
          <w:b/>
          <w:color w:val="000000" w:themeColor="text1"/>
        </w:rPr>
        <w:t>de dos mil veinticinco</w:t>
      </w:r>
      <w:r w:rsidR="001D3081" w:rsidRPr="005F5D0B">
        <w:rPr>
          <w:rFonts w:ascii="Palatino Linotype" w:eastAsia="Palatino Linotype" w:hAnsi="Palatino Linotype" w:cs="Palatino Linotype"/>
          <w:color w:val="000000" w:themeColor="text1"/>
        </w:rPr>
        <w:t xml:space="preserve">, el </w:t>
      </w:r>
      <w:r w:rsidRPr="005F5D0B">
        <w:rPr>
          <w:rFonts w:ascii="Palatino Linotype" w:eastAsia="Palatino Linotype" w:hAnsi="Palatino Linotype" w:cs="Palatino Linotype"/>
          <w:b/>
          <w:color w:val="000000" w:themeColor="text1"/>
        </w:rPr>
        <w:t>RECURRENTE</w:t>
      </w:r>
      <w:r w:rsidR="001D3081" w:rsidRPr="005F5D0B">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49DB4ACC" w14:textId="77777777" w:rsidR="00294244" w:rsidRPr="005F5D0B" w:rsidRDefault="00294244" w:rsidP="000872AB">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7CD14567" w14:textId="6897C4F6" w:rsidR="00EB0F49" w:rsidRPr="005F5D0B" w:rsidRDefault="001D3081" w:rsidP="000872A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bookmarkStart w:id="3" w:name="_heading=h.1fob9te" w:colFirst="0" w:colLast="0"/>
      <w:bookmarkEnd w:id="3"/>
      <w:r w:rsidRPr="005F5D0B">
        <w:rPr>
          <w:rFonts w:ascii="Palatino Linotype" w:eastAsia="Palatino Linotype" w:hAnsi="Palatino Linotype" w:cs="Palatino Linotype"/>
          <w:b/>
          <w:color w:val="000000" w:themeColor="text1"/>
        </w:rPr>
        <w:t>Acto impugnado</w:t>
      </w:r>
      <w:r w:rsidRPr="005F5D0B">
        <w:rPr>
          <w:rFonts w:ascii="Palatino Linotype" w:eastAsia="Palatino Linotype" w:hAnsi="Palatino Linotype" w:cs="Palatino Linotype"/>
          <w:color w:val="000000" w:themeColor="text1"/>
        </w:rPr>
        <w:t xml:space="preserve">: </w:t>
      </w:r>
      <w:r w:rsidRPr="005F5D0B">
        <w:rPr>
          <w:rFonts w:ascii="Palatino Linotype" w:eastAsia="Palatino Linotype" w:hAnsi="Palatino Linotype" w:cs="Palatino Linotype"/>
          <w:i/>
          <w:color w:val="000000" w:themeColor="text1"/>
        </w:rPr>
        <w:t>“</w:t>
      </w:r>
      <w:r w:rsidR="002D49BE" w:rsidRPr="005F5D0B">
        <w:rPr>
          <w:rFonts w:ascii="Palatino Linotype" w:eastAsia="Palatino Linotype" w:hAnsi="Palatino Linotype" w:cs="Palatino Linotype"/>
          <w:i/>
          <w:color w:val="000000" w:themeColor="text1"/>
        </w:rPr>
        <w:t>F</w:t>
      </w:r>
      <w:r w:rsidR="002D49BE" w:rsidRPr="005F5D0B">
        <w:rPr>
          <w:rFonts w:ascii="Palatino Linotype" w:hAnsi="Palatino Linotype"/>
          <w:i/>
          <w:color w:val="000000" w:themeColor="text1"/>
        </w:rPr>
        <w:t>ALTAN LOS CONTRATOS SOLICITADOS</w:t>
      </w:r>
      <w:r w:rsidRPr="005F5D0B">
        <w:rPr>
          <w:rFonts w:ascii="Palatino Linotype" w:eastAsia="Palatino Linotype" w:hAnsi="Palatino Linotype" w:cs="Palatino Linotype"/>
          <w:i/>
          <w:color w:val="000000" w:themeColor="text1"/>
        </w:rPr>
        <w:t>” (Sic.)</w:t>
      </w:r>
    </w:p>
    <w:p w14:paraId="036083B2" w14:textId="77777777" w:rsidR="00294244" w:rsidRPr="005F5D0B" w:rsidRDefault="00294244" w:rsidP="000872AB">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14:paraId="28A90022" w14:textId="4DD51845" w:rsidR="00EB0F49" w:rsidRPr="005F5D0B" w:rsidRDefault="001D3081" w:rsidP="000872AB">
      <w:pPr>
        <w:tabs>
          <w:tab w:val="left" w:pos="0"/>
        </w:tabs>
        <w:ind w:left="567"/>
        <w:jc w:val="both"/>
        <w:rPr>
          <w:rFonts w:ascii="Palatino Linotype" w:eastAsia="Times New Roman" w:hAnsi="Palatino Linotype" w:cs="Times New Roman"/>
          <w:color w:val="000000" w:themeColor="text1"/>
          <w:lang w:val="es-MX"/>
        </w:rPr>
      </w:pPr>
      <w:bookmarkStart w:id="4" w:name="_heading=h.3znysh7" w:colFirst="0" w:colLast="0"/>
      <w:bookmarkEnd w:id="4"/>
      <w:r w:rsidRPr="005F5D0B">
        <w:rPr>
          <w:rFonts w:ascii="Palatino Linotype" w:eastAsia="Palatino Linotype" w:hAnsi="Palatino Linotype" w:cs="Palatino Linotype"/>
          <w:b/>
          <w:color w:val="000000" w:themeColor="text1"/>
        </w:rPr>
        <w:t xml:space="preserve">Razones o Motivos de inconformidad: </w:t>
      </w:r>
      <w:r w:rsidRPr="005F5D0B">
        <w:rPr>
          <w:rFonts w:ascii="Palatino Linotype" w:eastAsia="Palatino Linotype" w:hAnsi="Palatino Linotype" w:cs="Palatino Linotype"/>
          <w:i/>
          <w:color w:val="000000" w:themeColor="text1"/>
        </w:rPr>
        <w:t>“</w:t>
      </w:r>
      <w:r w:rsidR="002D49BE" w:rsidRPr="005F5D0B">
        <w:rPr>
          <w:rFonts w:ascii="Palatino Linotype" w:hAnsi="Palatino Linotype"/>
          <w:i/>
          <w:color w:val="000000" w:themeColor="text1"/>
        </w:rPr>
        <w:t>N</w:t>
      </w:r>
      <w:r w:rsidR="002D49BE" w:rsidRPr="005F5D0B">
        <w:rPr>
          <w:rFonts w:ascii="Palatino Linotype" w:eastAsia="Times New Roman" w:hAnsi="Palatino Linotype" w:cs="Times New Roman"/>
          <w:i/>
          <w:color w:val="000000" w:themeColor="text1"/>
          <w:lang w:val="es-MX"/>
        </w:rPr>
        <w:t>O HACEN ENTREGA POR ESTA VIA DE LOS CONTRATOS LA RESPUESTA ESTA INCOMPLETA</w:t>
      </w:r>
      <w:r w:rsidRPr="005F5D0B">
        <w:rPr>
          <w:rFonts w:ascii="Palatino Linotype" w:eastAsia="Palatino Linotype" w:hAnsi="Palatino Linotype" w:cs="Palatino Linotype"/>
          <w:i/>
          <w:color w:val="000000" w:themeColor="text1"/>
        </w:rPr>
        <w:t>” (Sic.)</w:t>
      </w:r>
    </w:p>
    <w:p w14:paraId="7676E23A" w14:textId="77777777" w:rsidR="00EB0F49" w:rsidRPr="005F5D0B" w:rsidRDefault="00EB0F49" w:rsidP="000872AB">
      <w:pPr>
        <w:tabs>
          <w:tab w:val="left" w:pos="0"/>
        </w:tabs>
        <w:spacing w:line="360" w:lineRule="auto"/>
        <w:rPr>
          <w:rFonts w:ascii="Palatino Linotype" w:eastAsia="Palatino Linotype" w:hAnsi="Palatino Linotype" w:cs="Palatino Linotype"/>
          <w:i/>
          <w:color w:val="000000" w:themeColor="text1"/>
        </w:rPr>
      </w:pPr>
    </w:p>
    <w:p w14:paraId="49D1CF05" w14:textId="6CB16333" w:rsidR="00EB0F49" w:rsidRPr="005F5D0B" w:rsidRDefault="001D3081" w:rsidP="000872A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5F5D0B">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w:t>
      </w:r>
      <w:r w:rsidR="00294244" w:rsidRPr="005F5D0B">
        <w:rPr>
          <w:rFonts w:ascii="Palatino Linotype" w:eastAsia="Palatino Linotype" w:hAnsi="Palatino Linotype" w:cs="Palatino Linotype"/>
          <w:color w:val="000000" w:themeColor="text1"/>
        </w:rPr>
        <w:t>del</w:t>
      </w:r>
      <w:r w:rsidRPr="005F5D0B">
        <w:rPr>
          <w:rFonts w:ascii="Palatino Linotype" w:eastAsia="Palatino Linotype" w:hAnsi="Palatino Linotype" w:cs="Palatino Linotype"/>
          <w:color w:val="000000" w:themeColor="text1"/>
        </w:rPr>
        <w:t xml:space="preserve"> </w:t>
      </w:r>
      <w:r w:rsidR="00B05B5E" w:rsidRPr="005F5D0B">
        <w:rPr>
          <w:rFonts w:ascii="Palatino Linotype" w:eastAsia="Palatino Linotype" w:hAnsi="Palatino Linotype" w:cs="Palatino Linotype"/>
          <w:b/>
          <w:color w:val="000000" w:themeColor="text1"/>
        </w:rPr>
        <w:t>doce de febrero</w:t>
      </w:r>
      <w:r w:rsidRPr="005F5D0B">
        <w:rPr>
          <w:rFonts w:ascii="Palatino Linotype" w:eastAsia="Palatino Linotype" w:hAnsi="Palatino Linotype" w:cs="Palatino Linotype"/>
          <w:b/>
          <w:color w:val="000000" w:themeColor="text1"/>
        </w:rPr>
        <w:t xml:space="preserve"> de dos mil veinticinco</w:t>
      </w:r>
      <w:r w:rsidRPr="005F5D0B">
        <w:rPr>
          <w:rFonts w:ascii="Palatino Linotype" w:eastAsia="Palatino Linotype" w:hAnsi="Palatino Linotype" w:cs="Palatino Linotype"/>
          <w:color w:val="000000" w:themeColor="text1"/>
        </w:rPr>
        <w:t xml:space="preserve">, puso a disposición de las partes el expediente electrónico vía </w:t>
      </w:r>
      <w:r w:rsidRPr="005F5D0B">
        <w:rPr>
          <w:rFonts w:ascii="Palatino Linotype" w:eastAsia="Palatino Linotype" w:hAnsi="Palatino Linotype" w:cs="Palatino Linotype"/>
          <w:b/>
          <w:color w:val="000000" w:themeColor="text1"/>
        </w:rPr>
        <w:t xml:space="preserve">SAIMEX </w:t>
      </w:r>
      <w:r w:rsidRPr="005F5D0B">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5F5D0B">
        <w:rPr>
          <w:rFonts w:ascii="Palatino Linotype" w:eastAsia="Palatino Linotype" w:hAnsi="Palatino Linotype" w:cs="Palatino Linotype"/>
          <w:b/>
          <w:color w:val="000000" w:themeColor="text1"/>
        </w:rPr>
        <w:t>SUJETO OBLIGADO</w:t>
      </w:r>
      <w:r w:rsidRPr="005F5D0B">
        <w:rPr>
          <w:rFonts w:ascii="Palatino Linotype" w:eastAsia="Palatino Linotype" w:hAnsi="Palatino Linotype" w:cs="Palatino Linotype"/>
          <w:color w:val="000000" w:themeColor="text1"/>
        </w:rPr>
        <w:t xml:space="preserve"> presentará el Informe Justificado procedente.</w:t>
      </w:r>
    </w:p>
    <w:p w14:paraId="10FFC7B7" w14:textId="77777777" w:rsidR="00EB0F49" w:rsidRPr="005F5D0B" w:rsidRDefault="00EB0F49" w:rsidP="000872AB">
      <w:pPr>
        <w:tabs>
          <w:tab w:val="left" w:pos="0"/>
        </w:tabs>
        <w:rPr>
          <w:rFonts w:ascii="Palatino Linotype" w:hAnsi="Palatino Linotype"/>
          <w:color w:val="000000" w:themeColor="text1"/>
        </w:rPr>
      </w:pPr>
    </w:p>
    <w:p w14:paraId="6C378F4A" w14:textId="0B543C0C" w:rsidR="00B05B5E" w:rsidRPr="005F5D0B" w:rsidRDefault="00D632F4" w:rsidP="000872AB">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bookmarkStart w:id="5" w:name="_heading=h.2et92p0" w:colFirst="0" w:colLast="0"/>
      <w:bookmarkEnd w:id="5"/>
      <w:r w:rsidRPr="005F5D0B">
        <w:rPr>
          <w:rFonts w:ascii="Palatino Linotype" w:eastAsia="Palatino Linotype" w:hAnsi="Palatino Linotype" w:cs="Palatino Linotype"/>
          <w:color w:val="000000" w:themeColor="text1"/>
        </w:rPr>
        <w:t>E</w:t>
      </w:r>
      <w:r w:rsidR="001D3081" w:rsidRPr="005F5D0B">
        <w:rPr>
          <w:rFonts w:ascii="Palatino Linotype" w:eastAsia="Palatino Linotype" w:hAnsi="Palatino Linotype" w:cs="Palatino Linotype"/>
          <w:color w:val="000000" w:themeColor="text1"/>
        </w:rPr>
        <w:t>l</w:t>
      </w:r>
      <w:r w:rsidR="00B05B5E" w:rsidRPr="005F5D0B">
        <w:rPr>
          <w:rFonts w:ascii="Palatino Linotype" w:eastAsia="Palatino Linotype" w:hAnsi="Palatino Linotype" w:cs="Palatino Linotype"/>
          <w:color w:val="000000" w:themeColor="text1"/>
        </w:rPr>
        <w:t xml:space="preserve"> veintiuno de febrero de dos mil veinticinco, el</w:t>
      </w:r>
      <w:r w:rsidR="001D3081" w:rsidRPr="005F5D0B">
        <w:rPr>
          <w:rFonts w:ascii="Palatino Linotype" w:eastAsia="Palatino Linotype" w:hAnsi="Palatino Linotype" w:cs="Palatino Linotype"/>
          <w:color w:val="000000" w:themeColor="text1"/>
        </w:rPr>
        <w:t xml:space="preserve"> </w:t>
      </w:r>
      <w:r w:rsidR="001D3081" w:rsidRPr="005F5D0B">
        <w:rPr>
          <w:rFonts w:ascii="Palatino Linotype" w:eastAsia="Palatino Linotype" w:hAnsi="Palatino Linotype" w:cs="Palatino Linotype"/>
          <w:b/>
          <w:color w:val="000000" w:themeColor="text1"/>
        </w:rPr>
        <w:t>SUJ</w:t>
      </w:r>
      <w:r w:rsidR="00294244" w:rsidRPr="005F5D0B">
        <w:rPr>
          <w:rFonts w:ascii="Palatino Linotype" w:eastAsia="Palatino Linotype" w:hAnsi="Palatino Linotype" w:cs="Palatino Linotype"/>
          <w:b/>
          <w:color w:val="000000" w:themeColor="text1"/>
        </w:rPr>
        <w:t xml:space="preserve">ETO OBLIGADO </w:t>
      </w:r>
      <w:r w:rsidR="00B05B5E" w:rsidRPr="005F5D0B">
        <w:rPr>
          <w:rFonts w:ascii="Palatino Linotype" w:eastAsia="Palatino Linotype" w:hAnsi="Palatino Linotype" w:cs="Palatino Linotype"/>
          <w:color w:val="000000" w:themeColor="text1"/>
        </w:rPr>
        <w:t>rindió</w:t>
      </w:r>
      <w:r w:rsidR="00294244" w:rsidRPr="005F5D0B">
        <w:rPr>
          <w:rFonts w:ascii="Palatino Linotype" w:eastAsia="Palatino Linotype" w:hAnsi="Palatino Linotype" w:cs="Palatino Linotype"/>
          <w:color w:val="000000" w:themeColor="text1"/>
        </w:rPr>
        <w:t xml:space="preserve"> el info</w:t>
      </w:r>
      <w:r w:rsidRPr="005F5D0B">
        <w:rPr>
          <w:rFonts w:ascii="Palatino Linotype" w:eastAsia="Palatino Linotype" w:hAnsi="Palatino Linotype" w:cs="Palatino Linotype"/>
          <w:color w:val="000000" w:themeColor="text1"/>
        </w:rPr>
        <w:t>r</w:t>
      </w:r>
      <w:r w:rsidR="00B05B5E" w:rsidRPr="005F5D0B">
        <w:rPr>
          <w:rFonts w:ascii="Palatino Linotype" w:eastAsia="Palatino Linotype" w:hAnsi="Palatino Linotype" w:cs="Palatino Linotype"/>
          <w:color w:val="000000" w:themeColor="text1"/>
        </w:rPr>
        <w:t>me justificad</w:t>
      </w:r>
      <w:r w:rsidR="00CB260F" w:rsidRPr="005F5D0B">
        <w:rPr>
          <w:rFonts w:ascii="Palatino Linotype" w:eastAsia="Palatino Linotype" w:hAnsi="Palatino Linotype" w:cs="Palatino Linotype"/>
          <w:color w:val="000000" w:themeColor="text1"/>
        </w:rPr>
        <w:t>o correspondiente por medio de los siguientes archivos electrónicos:</w:t>
      </w:r>
    </w:p>
    <w:p w14:paraId="3990574D" w14:textId="77777777" w:rsidR="00CB260F" w:rsidRPr="005F5D0B" w:rsidRDefault="00CB260F" w:rsidP="000872AB">
      <w:pPr>
        <w:tabs>
          <w:tab w:val="left" w:pos="0"/>
        </w:tabs>
        <w:spacing w:line="360" w:lineRule="auto"/>
        <w:jc w:val="both"/>
        <w:rPr>
          <w:rFonts w:ascii="Palatino Linotype" w:eastAsia="Palatino Linotype" w:hAnsi="Palatino Linotype" w:cs="Palatino Linotype"/>
          <w:b/>
          <w:color w:val="000000" w:themeColor="text1"/>
        </w:rPr>
      </w:pPr>
    </w:p>
    <w:p w14:paraId="067051DD" w14:textId="66937745" w:rsidR="001F226A" w:rsidRPr="005F5D0B" w:rsidRDefault="00CB260F" w:rsidP="000872AB">
      <w:pPr>
        <w:tabs>
          <w:tab w:val="left" w:pos="0"/>
        </w:tabs>
        <w:ind w:left="567"/>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t>8) CONTRATO FAISMUN IR 026 GEFLO okok.pdf:</w:t>
      </w:r>
      <w:r w:rsidR="001F226A" w:rsidRPr="005F5D0B">
        <w:rPr>
          <w:rFonts w:ascii="Palatino Linotype" w:eastAsia="Palatino Linotype" w:hAnsi="Palatino Linotype" w:cs="Palatino Linotype"/>
          <w:b/>
          <w:color w:val="000000" w:themeColor="text1"/>
        </w:rPr>
        <w:t xml:space="preserve"> </w:t>
      </w:r>
      <w:r w:rsidR="001F226A" w:rsidRPr="005F5D0B">
        <w:rPr>
          <w:rFonts w:ascii="Palatino Linotype" w:eastAsia="Palatino Linotype" w:hAnsi="Palatino Linotype" w:cs="Palatino Linotype"/>
          <w:color w:val="000000" w:themeColor="text1"/>
        </w:rPr>
        <w:t>Contrato de obra pública a precios unitarios y tiempo determinado No. MT/DGDUOTyOP/FAISMUN-23/IR-026/2023.</w:t>
      </w:r>
    </w:p>
    <w:p w14:paraId="21E368FE" w14:textId="77777777" w:rsidR="009621D1" w:rsidRPr="005F5D0B" w:rsidRDefault="009621D1" w:rsidP="000872AB">
      <w:pPr>
        <w:tabs>
          <w:tab w:val="left" w:pos="0"/>
        </w:tabs>
        <w:ind w:left="567"/>
        <w:jc w:val="both"/>
        <w:rPr>
          <w:rFonts w:ascii="Palatino Linotype" w:eastAsia="Palatino Linotype" w:hAnsi="Palatino Linotype" w:cs="Palatino Linotype"/>
          <w:color w:val="000000" w:themeColor="text1"/>
        </w:rPr>
      </w:pPr>
    </w:p>
    <w:p w14:paraId="5B13B3F7" w14:textId="425374BF" w:rsidR="001F226A" w:rsidRPr="005F5D0B" w:rsidRDefault="00CB260F" w:rsidP="000872AB">
      <w:pPr>
        <w:tabs>
          <w:tab w:val="left" w:pos="0"/>
        </w:tabs>
        <w:ind w:left="567"/>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t>4) CONTRATO FAISMUN IR 010 CATSA ok.pdf:</w:t>
      </w:r>
      <w:r w:rsidR="001F226A" w:rsidRPr="005F5D0B">
        <w:rPr>
          <w:rFonts w:ascii="Palatino Linotype" w:eastAsia="Palatino Linotype" w:hAnsi="Palatino Linotype" w:cs="Palatino Linotype"/>
          <w:b/>
          <w:color w:val="000000" w:themeColor="text1"/>
        </w:rPr>
        <w:t xml:space="preserve"> </w:t>
      </w:r>
      <w:r w:rsidR="001F226A" w:rsidRPr="005F5D0B">
        <w:rPr>
          <w:rFonts w:ascii="Palatino Linotype" w:eastAsia="Palatino Linotype" w:hAnsi="Palatino Linotype" w:cs="Palatino Linotype"/>
          <w:color w:val="000000" w:themeColor="text1"/>
        </w:rPr>
        <w:t>Contrato de obra pública a precios unitarios y tiempo determinado No. MT/DGDUOTyOP/FAISMUN-23/IR-010/2023.</w:t>
      </w:r>
    </w:p>
    <w:p w14:paraId="2C3F8C33" w14:textId="77777777" w:rsidR="009621D1" w:rsidRPr="005F5D0B" w:rsidRDefault="009621D1" w:rsidP="000872AB">
      <w:pPr>
        <w:tabs>
          <w:tab w:val="left" w:pos="0"/>
        </w:tabs>
        <w:ind w:left="567"/>
        <w:jc w:val="both"/>
        <w:rPr>
          <w:rFonts w:ascii="Palatino Linotype" w:eastAsia="Palatino Linotype" w:hAnsi="Palatino Linotype" w:cs="Palatino Linotype"/>
          <w:b/>
          <w:color w:val="000000" w:themeColor="text1"/>
        </w:rPr>
      </w:pPr>
    </w:p>
    <w:p w14:paraId="7607BA84" w14:textId="16B2A5B2" w:rsidR="001F226A" w:rsidRPr="005F5D0B" w:rsidRDefault="00CB260F" w:rsidP="000872AB">
      <w:pPr>
        <w:tabs>
          <w:tab w:val="left" w:pos="0"/>
        </w:tabs>
        <w:ind w:left="567"/>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t>10) CONTRATO FAISMUN IR 023 DELATORREROG okact.pdf</w:t>
      </w:r>
      <w:r w:rsidR="00F715C2" w:rsidRPr="005F5D0B">
        <w:rPr>
          <w:rFonts w:ascii="Palatino Linotype" w:eastAsia="Palatino Linotype" w:hAnsi="Palatino Linotype" w:cs="Palatino Linotype"/>
          <w:b/>
          <w:color w:val="000000" w:themeColor="text1"/>
        </w:rPr>
        <w:t>:</w:t>
      </w:r>
      <w:r w:rsidR="001F226A" w:rsidRPr="005F5D0B">
        <w:rPr>
          <w:rFonts w:ascii="Palatino Linotype" w:eastAsia="Palatino Linotype" w:hAnsi="Palatino Linotype" w:cs="Palatino Linotype"/>
          <w:b/>
          <w:color w:val="000000" w:themeColor="text1"/>
        </w:rPr>
        <w:t xml:space="preserve"> </w:t>
      </w:r>
      <w:r w:rsidR="001F226A" w:rsidRPr="005F5D0B">
        <w:rPr>
          <w:rFonts w:ascii="Palatino Linotype" w:eastAsia="Palatino Linotype" w:hAnsi="Palatino Linotype" w:cs="Palatino Linotype"/>
          <w:color w:val="000000" w:themeColor="text1"/>
        </w:rPr>
        <w:t>Contrato de obra pública a precios unitarios y tiempo determinado No. MT/DGDUOTyOP/FAISMUN-23/IR-023/2023.</w:t>
      </w:r>
    </w:p>
    <w:p w14:paraId="1CD02EED" w14:textId="77777777" w:rsidR="009621D1" w:rsidRPr="005F5D0B" w:rsidRDefault="009621D1" w:rsidP="000872AB">
      <w:pPr>
        <w:tabs>
          <w:tab w:val="left" w:pos="0"/>
        </w:tabs>
        <w:ind w:left="567"/>
        <w:jc w:val="both"/>
        <w:rPr>
          <w:rFonts w:ascii="Palatino Linotype" w:eastAsia="Palatino Linotype" w:hAnsi="Palatino Linotype" w:cs="Palatino Linotype"/>
          <w:b/>
          <w:color w:val="000000" w:themeColor="text1"/>
        </w:rPr>
      </w:pPr>
    </w:p>
    <w:p w14:paraId="339B442E" w14:textId="536E6CF6" w:rsidR="001F226A" w:rsidRPr="005F5D0B" w:rsidRDefault="00CB260F" w:rsidP="000872AB">
      <w:pPr>
        <w:tabs>
          <w:tab w:val="left" w:pos="0"/>
        </w:tabs>
        <w:ind w:left="567"/>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t>13) CONTRATO FAISMUN ADE 005 UCM FC.pdf</w:t>
      </w:r>
      <w:r w:rsidR="00F715C2" w:rsidRPr="005F5D0B">
        <w:rPr>
          <w:rFonts w:ascii="Palatino Linotype" w:eastAsia="Palatino Linotype" w:hAnsi="Palatino Linotype" w:cs="Palatino Linotype"/>
          <w:b/>
          <w:color w:val="000000" w:themeColor="text1"/>
        </w:rPr>
        <w:t>:</w:t>
      </w:r>
      <w:r w:rsidR="004C255F" w:rsidRPr="005F5D0B">
        <w:rPr>
          <w:rFonts w:ascii="Palatino Linotype" w:eastAsia="Palatino Linotype" w:hAnsi="Palatino Linotype" w:cs="Palatino Linotype"/>
          <w:b/>
          <w:color w:val="000000" w:themeColor="text1"/>
        </w:rPr>
        <w:t xml:space="preserve"> </w:t>
      </w:r>
      <w:r w:rsidR="004C255F" w:rsidRPr="005F5D0B">
        <w:rPr>
          <w:rFonts w:ascii="Palatino Linotype" w:eastAsia="Palatino Linotype" w:hAnsi="Palatino Linotype" w:cs="Palatino Linotype"/>
          <w:color w:val="000000" w:themeColor="text1"/>
        </w:rPr>
        <w:t>Contrato de obra pública a precios unitarios y tiempo determinado No. MT/DGDUOTyOP/FAISMUN-23/ADE-005/2023.</w:t>
      </w:r>
    </w:p>
    <w:p w14:paraId="79A4F1C4" w14:textId="77777777" w:rsidR="009621D1" w:rsidRPr="005F5D0B" w:rsidRDefault="009621D1" w:rsidP="000872AB">
      <w:pPr>
        <w:tabs>
          <w:tab w:val="left" w:pos="0"/>
        </w:tabs>
        <w:ind w:left="567"/>
        <w:jc w:val="both"/>
        <w:rPr>
          <w:rFonts w:ascii="Palatino Linotype" w:eastAsia="Palatino Linotype" w:hAnsi="Palatino Linotype" w:cs="Palatino Linotype"/>
          <w:b/>
          <w:color w:val="000000" w:themeColor="text1"/>
        </w:rPr>
      </w:pPr>
    </w:p>
    <w:p w14:paraId="37D86AF4" w14:textId="75AA00B0" w:rsidR="004C255F" w:rsidRPr="005F5D0B" w:rsidRDefault="00CB260F" w:rsidP="000872AB">
      <w:pPr>
        <w:tabs>
          <w:tab w:val="left" w:pos="0"/>
        </w:tabs>
        <w:ind w:left="567"/>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t>6) CONTRATO FAISMUN IR 028 VAIZA ok.pdf</w:t>
      </w:r>
      <w:r w:rsidR="00F715C2" w:rsidRPr="005F5D0B">
        <w:rPr>
          <w:rFonts w:ascii="Palatino Linotype" w:eastAsia="Palatino Linotype" w:hAnsi="Palatino Linotype" w:cs="Palatino Linotype"/>
          <w:b/>
          <w:color w:val="000000" w:themeColor="text1"/>
        </w:rPr>
        <w:t>:</w:t>
      </w:r>
      <w:r w:rsidR="004C255F" w:rsidRPr="005F5D0B">
        <w:rPr>
          <w:rFonts w:ascii="Palatino Linotype" w:eastAsia="Palatino Linotype" w:hAnsi="Palatino Linotype" w:cs="Palatino Linotype"/>
          <w:b/>
          <w:color w:val="000000" w:themeColor="text1"/>
        </w:rPr>
        <w:t xml:space="preserve"> </w:t>
      </w:r>
      <w:r w:rsidR="004C255F" w:rsidRPr="005F5D0B">
        <w:rPr>
          <w:rFonts w:ascii="Palatino Linotype" w:eastAsia="Palatino Linotype" w:hAnsi="Palatino Linotype" w:cs="Palatino Linotype"/>
          <w:color w:val="000000" w:themeColor="text1"/>
        </w:rPr>
        <w:t>Contrato de obra pública a precios unitarios y tiempo determinado No. MT/DGDUOTyOP/FAISMUN-23/IR-028/2023.</w:t>
      </w:r>
    </w:p>
    <w:p w14:paraId="47DBEAD5" w14:textId="77777777" w:rsidR="009621D1" w:rsidRPr="005F5D0B" w:rsidRDefault="009621D1" w:rsidP="000872AB">
      <w:pPr>
        <w:tabs>
          <w:tab w:val="left" w:pos="0"/>
        </w:tabs>
        <w:ind w:left="567"/>
        <w:jc w:val="both"/>
        <w:rPr>
          <w:rFonts w:ascii="Palatino Linotype" w:eastAsia="Palatino Linotype" w:hAnsi="Palatino Linotype" w:cs="Palatino Linotype"/>
          <w:b/>
          <w:color w:val="000000" w:themeColor="text1"/>
        </w:rPr>
      </w:pPr>
    </w:p>
    <w:p w14:paraId="285691D7" w14:textId="36717DA1" w:rsidR="004C255F" w:rsidRPr="005F5D0B" w:rsidRDefault="00CB260F" w:rsidP="000872AB">
      <w:pPr>
        <w:tabs>
          <w:tab w:val="left" w:pos="0"/>
        </w:tabs>
        <w:ind w:left="567"/>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lastRenderedPageBreak/>
        <w:t>7) CONTRATO FAISMUN IR 024 CATSA ok.pdf</w:t>
      </w:r>
      <w:r w:rsidR="00F715C2" w:rsidRPr="005F5D0B">
        <w:rPr>
          <w:rFonts w:ascii="Palatino Linotype" w:eastAsia="Palatino Linotype" w:hAnsi="Palatino Linotype" w:cs="Palatino Linotype"/>
          <w:b/>
          <w:color w:val="000000" w:themeColor="text1"/>
        </w:rPr>
        <w:t>:</w:t>
      </w:r>
      <w:r w:rsidR="004C255F" w:rsidRPr="005F5D0B">
        <w:rPr>
          <w:rFonts w:ascii="Palatino Linotype" w:eastAsia="Palatino Linotype" w:hAnsi="Palatino Linotype" w:cs="Palatino Linotype"/>
          <w:b/>
          <w:color w:val="000000" w:themeColor="text1"/>
        </w:rPr>
        <w:t xml:space="preserve"> </w:t>
      </w:r>
      <w:r w:rsidR="004C255F" w:rsidRPr="005F5D0B">
        <w:rPr>
          <w:rFonts w:ascii="Palatino Linotype" w:eastAsia="Palatino Linotype" w:hAnsi="Palatino Linotype" w:cs="Palatino Linotype"/>
          <w:color w:val="000000" w:themeColor="text1"/>
        </w:rPr>
        <w:t>Contrato de obra pública a precios unitarios y tiempo determinado No. MT/DGDUOTyOP/FAISMUN-23/IR-024/2023.</w:t>
      </w:r>
    </w:p>
    <w:p w14:paraId="5F2C5927" w14:textId="77777777" w:rsidR="009621D1" w:rsidRPr="005F5D0B" w:rsidRDefault="009621D1" w:rsidP="000872AB">
      <w:pPr>
        <w:tabs>
          <w:tab w:val="left" w:pos="0"/>
        </w:tabs>
        <w:ind w:left="567"/>
        <w:jc w:val="both"/>
        <w:rPr>
          <w:rFonts w:ascii="Palatino Linotype" w:eastAsia="Palatino Linotype" w:hAnsi="Palatino Linotype" w:cs="Palatino Linotype"/>
          <w:b/>
          <w:color w:val="000000" w:themeColor="text1"/>
        </w:rPr>
      </w:pPr>
    </w:p>
    <w:p w14:paraId="1E883EFC" w14:textId="52DEFD7D" w:rsidR="004C255F" w:rsidRPr="005F5D0B" w:rsidRDefault="00CB260F" w:rsidP="000872AB">
      <w:pPr>
        <w:tabs>
          <w:tab w:val="left" w:pos="0"/>
        </w:tabs>
        <w:ind w:left="567"/>
        <w:jc w:val="both"/>
        <w:rPr>
          <w:rFonts w:ascii="Palatino Linotype" w:eastAsia="Palatino Linotype" w:hAnsi="Palatino Linotype" w:cs="Palatino Linotype"/>
          <w:b/>
          <w:color w:val="000000" w:themeColor="text1"/>
        </w:rPr>
      </w:pPr>
      <w:r w:rsidRPr="005F5D0B">
        <w:rPr>
          <w:rFonts w:ascii="Palatino Linotype" w:eastAsia="Palatino Linotype" w:hAnsi="Palatino Linotype" w:cs="Palatino Linotype"/>
          <w:b/>
          <w:color w:val="000000" w:themeColor="text1"/>
        </w:rPr>
        <w:t>12) CONTRATO FAISMUN IR 047 JUAN MANUEL REYES DE LA ROSA fc.pdf</w:t>
      </w:r>
      <w:r w:rsidR="00F715C2" w:rsidRPr="005F5D0B">
        <w:rPr>
          <w:rFonts w:ascii="Palatino Linotype" w:eastAsia="Palatino Linotype" w:hAnsi="Palatino Linotype" w:cs="Palatino Linotype"/>
          <w:b/>
          <w:color w:val="000000" w:themeColor="text1"/>
        </w:rPr>
        <w:t>:</w:t>
      </w:r>
      <w:r w:rsidR="004C255F" w:rsidRPr="005F5D0B">
        <w:rPr>
          <w:rFonts w:ascii="Palatino Linotype" w:eastAsia="Palatino Linotype" w:hAnsi="Palatino Linotype" w:cs="Palatino Linotype"/>
          <w:b/>
          <w:color w:val="000000" w:themeColor="text1"/>
        </w:rPr>
        <w:t xml:space="preserve"> </w:t>
      </w:r>
      <w:r w:rsidR="004C255F" w:rsidRPr="005F5D0B">
        <w:rPr>
          <w:rFonts w:ascii="Palatino Linotype" w:eastAsia="Palatino Linotype" w:hAnsi="Palatino Linotype" w:cs="Palatino Linotype"/>
          <w:color w:val="000000" w:themeColor="text1"/>
        </w:rPr>
        <w:t>Contrato de obra pública a precios unitarios y tiempo determinado No. MT/DGDUOTyOP/FAISMUN-23/IR-047/2023.</w:t>
      </w:r>
    </w:p>
    <w:p w14:paraId="73FF2701" w14:textId="77777777" w:rsidR="004C255F" w:rsidRPr="005F5D0B" w:rsidRDefault="004C255F" w:rsidP="000872AB">
      <w:pPr>
        <w:tabs>
          <w:tab w:val="left" w:pos="0"/>
        </w:tabs>
        <w:jc w:val="both"/>
        <w:rPr>
          <w:rFonts w:ascii="Palatino Linotype" w:eastAsia="Palatino Linotype" w:hAnsi="Palatino Linotype" w:cs="Palatino Linotype"/>
          <w:b/>
          <w:color w:val="000000" w:themeColor="text1"/>
        </w:rPr>
      </w:pPr>
    </w:p>
    <w:p w14:paraId="361B8118" w14:textId="1FE7D770" w:rsidR="00CB260F" w:rsidRPr="005F5D0B" w:rsidRDefault="000D62F1" w:rsidP="000872AB">
      <w:pPr>
        <w:tabs>
          <w:tab w:val="left" w:pos="0"/>
        </w:tabs>
        <w:ind w:left="567"/>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t>Informe-</w:t>
      </w:r>
      <w:r w:rsidR="00CB260F" w:rsidRPr="005F5D0B">
        <w:rPr>
          <w:rFonts w:ascii="Palatino Linotype" w:eastAsia="Palatino Linotype" w:hAnsi="Palatino Linotype" w:cs="Palatino Linotype"/>
          <w:b/>
          <w:color w:val="000000" w:themeColor="text1"/>
        </w:rPr>
        <w:t xml:space="preserve"> Justificado 863.pdf:</w:t>
      </w:r>
      <w:r w:rsidR="009621D1" w:rsidRPr="005F5D0B">
        <w:rPr>
          <w:rFonts w:ascii="Palatino Linotype" w:eastAsia="Palatino Linotype" w:hAnsi="Palatino Linotype" w:cs="Palatino Linotype"/>
          <w:b/>
          <w:color w:val="000000" w:themeColor="text1"/>
        </w:rPr>
        <w:t xml:space="preserve"> </w:t>
      </w:r>
      <w:r w:rsidR="009621D1" w:rsidRPr="005F5D0B">
        <w:rPr>
          <w:rFonts w:ascii="Palatino Linotype" w:eastAsia="Palatino Linotype" w:hAnsi="Palatino Linotype" w:cs="Palatino Linotype"/>
          <w:color w:val="000000" w:themeColor="text1"/>
        </w:rPr>
        <w:t xml:space="preserve">Oficio suscrito por el Titular de la Unidad de Transparencia, por medio del cual, señaló que la Dirección General de Obras Públicas manifestó modificar la respuesta inicial, </w:t>
      </w:r>
      <w:r w:rsidR="00A25373" w:rsidRPr="005F5D0B">
        <w:rPr>
          <w:rFonts w:ascii="Palatino Linotype" w:eastAsia="Palatino Linotype" w:hAnsi="Palatino Linotype" w:cs="Palatino Linotype"/>
          <w:color w:val="000000" w:themeColor="text1"/>
        </w:rPr>
        <w:t>al localizar</w:t>
      </w:r>
      <w:r w:rsidR="009621D1" w:rsidRPr="005F5D0B">
        <w:rPr>
          <w:rFonts w:ascii="Palatino Linotype" w:eastAsia="Palatino Linotype" w:hAnsi="Palatino Linotype" w:cs="Palatino Linotype"/>
          <w:color w:val="000000" w:themeColor="text1"/>
        </w:rPr>
        <w:t xml:space="preserve"> 14 contratos solicitados, los cuales, refirió adjuntar en versión pública autorizada en el Acta de la Centésima Trigésima Novena Sesión Extraordinaria del Comité de Transparencia.</w:t>
      </w:r>
    </w:p>
    <w:p w14:paraId="73AE72A0" w14:textId="77777777" w:rsidR="001F226A" w:rsidRPr="005F5D0B" w:rsidRDefault="001F226A" w:rsidP="000872AB">
      <w:pPr>
        <w:tabs>
          <w:tab w:val="left" w:pos="0"/>
        </w:tabs>
        <w:ind w:left="567"/>
        <w:jc w:val="both"/>
        <w:rPr>
          <w:rFonts w:ascii="Palatino Linotype" w:eastAsia="Palatino Linotype" w:hAnsi="Palatino Linotype" w:cs="Palatino Linotype"/>
          <w:color w:val="000000" w:themeColor="text1"/>
        </w:rPr>
      </w:pPr>
    </w:p>
    <w:p w14:paraId="4BB4B97B" w14:textId="23CBA501" w:rsidR="00CB260F" w:rsidRPr="005F5D0B" w:rsidRDefault="00CB260F" w:rsidP="000872AB">
      <w:pPr>
        <w:tabs>
          <w:tab w:val="left" w:pos="0"/>
        </w:tabs>
        <w:ind w:left="567"/>
        <w:jc w:val="both"/>
        <w:rPr>
          <w:rFonts w:ascii="Palatino Linotype" w:eastAsia="Palatino Linotype" w:hAnsi="Palatino Linotype" w:cs="Palatino Linotype"/>
          <w:b/>
          <w:color w:val="000000" w:themeColor="text1"/>
        </w:rPr>
      </w:pPr>
      <w:r w:rsidRPr="005F5D0B">
        <w:rPr>
          <w:rFonts w:ascii="Palatino Linotype" w:eastAsia="Palatino Linotype" w:hAnsi="Palatino Linotype" w:cs="Palatino Linotype"/>
          <w:b/>
          <w:color w:val="000000" w:themeColor="text1"/>
        </w:rPr>
        <w:t>1) CONTRATO FISE IR 001 2023 GEFLO.pdf:</w:t>
      </w:r>
      <w:r w:rsidR="004C255F" w:rsidRPr="005F5D0B">
        <w:rPr>
          <w:rFonts w:ascii="Palatino Linotype" w:eastAsia="Palatino Linotype" w:hAnsi="Palatino Linotype" w:cs="Palatino Linotype"/>
          <w:b/>
          <w:color w:val="000000" w:themeColor="text1"/>
        </w:rPr>
        <w:t xml:space="preserve"> </w:t>
      </w:r>
      <w:r w:rsidR="004C255F" w:rsidRPr="005F5D0B">
        <w:rPr>
          <w:rFonts w:ascii="Palatino Linotype" w:eastAsia="Palatino Linotype" w:hAnsi="Palatino Linotype" w:cs="Palatino Linotype"/>
          <w:color w:val="000000" w:themeColor="text1"/>
        </w:rPr>
        <w:t>Contrato de obra pública a precios unitarios y tiempo determinado No. MT/DGDUOTyOP/F</w:t>
      </w:r>
      <w:r w:rsidR="002622BF" w:rsidRPr="005F5D0B">
        <w:rPr>
          <w:rFonts w:ascii="Palatino Linotype" w:eastAsia="Palatino Linotype" w:hAnsi="Palatino Linotype" w:cs="Palatino Linotype"/>
          <w:color w:val="000000" w:themeColor="text1"/>
        </w:rPr>
        <w:t>ISE</w:t>
      </w:r>
      <w:r w:rsidR="004C255F" w:rsidRPr="005F5D0B">
        <w:rPr>
          <w:rFonts w:ascii="Palatino Linotype" w:eastAsia="Palatino Linotype" w:hAnsi="Palatino Linotype" w:cs="Palatino Linotype"/>
          <w:color w:val="000000" w:themeColor="text1"/>
        </w:rPr>
        <w:t>-23/IR-001/2023.</w:t>
      </w:r>
    </w:p>
    <w:p w14:paraId="23808F0F" w14:textId="77777777" w:rsidR="001F226A" w:rsidRPr="005F5D0B" w:rsidRDefault="001F226A" w:rsidP="000872AB">
      <w:pPr>
        <w:tabs>
          <w:tab w:val="left" w:pos="0"/>
        </w:tabs>
        <w:ind w:left="567"/>
        <w:jc w:val="both"/>
        <w:rPr>
          <w:rFonts w:ascii="Palatino Linotype" w:eastAsia="Palatino Linotype" w:hAnsi="Palatino Linotype" w:cs="Palatino Linotype"/>
          <w:b/>
          <w:color w:val="000000" w:themeColor="text1"/>
        </w:rPr>
      </w:pPr>
    </w:p>
    <w:p w14:paraId="2ED7B4EB" w14:textId="61DB67B8" w:rsidR="00CB260F" w:rsidRPr="005F5D0B" w:rsidRDefault="00CB260F" w:rsidP="000872AB">
      <w:pPr>
        <w:tabs>
          <w:tab w:val="left" w:pos="0"/>
        </w:tabs>
        <w:ind w:left="567"/>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t>3) CONTRATO FAISMUN IR 004 GEFLO ok.pdf:</w:t>
      </w:r>
      <w:r w:rsidR="004C255F" w:rsidRPr="005F5D0B">
        <w:rPr>
          <w:rFonts w:ascii="Palatino Linotype" w:eastAsia="Palatino Linotype" w:hAnsi="Palatino Linotype" w:cs="Palatino Linotype"/>
          <w:b/>
          <w:color w:val="000000" w:themeColor="text1"/>
        </w:rPr>
        <w:t xml:space="preserve"> </w:t>
      </w:r>
      <w:r w:rsidR="004C255F" w:rsidRPr="005F5D0B">
        <w:rPr>
          <w:rFonts w:ascii="Palatino Linotype" w:eastAsia="Palatino Linotype" w:hAnsi="Palatino Linotype" w:cs="Palatino Linotype"/>
          <w:color w:val="000000" w:themeColor="text1"/>
        </w:rPr>
        <w:t>Contrato de obra pública a precios unitarios y tiempo determinado No. MT/DGDUOTyOP/FAISMUN-23/IR-004/2023.</w:t>
      </w:r>
    </w:p>
    <w:p w14:paraId="1BBB76E1" w14:textId="77777777" w:rsidR="004C255F" w:rsidRPr="005F5D0B" w:rsidRDefault="004C255F" w:rsidP="000872AB">
      <w:pPr>
        <w:tabs>
          <w:tab w:val="left" w:pos="0"/>
        </w:tabs>
        <w:ind w:left="567"/>
        <w:jc w:val="both"/>
        <w:rPr>
          <w:rFonts w:ascii="Palatino Linotype" w:eastAsia="Palatino Linotype" w:hAnsi="Palatino Linotype" w:cs="Palatino Linotype"/>
          <w:b/>
          <w:color w:val="000000" w:themeColor="text1"/>
        </w:rPr>
      </w:pPr>
    </w:p>
    <w:p w14:paraId="259087CD" w14:textId="2700C30B" w:rsidR="00CB260F" w:rsidRPr="005F5D0B" w:rsidRDefault="00CB260F" w:rsidP="000872AB">
      <w:pPr>
        <w:tabs>
          <w:tab w:val="left" w:pos="0"/>
        </w:tabs>
        <w:ind w:left="567"/>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t>2) CONTRATO FISE IR 004 2023 GEFLO.pdf</w:t>
      </w:r>
      <w:r w:rsidR="002622BF" w:rsidRPr="005F5D0B">
        <w:rPr>
          <w:rFonts w:ascii="Palatino Linotype" w:eastAsia="Palatino Linotype" w:hAnsi="Palatino Linotype" w:cs="Palatino Linotype"/>
          <w:b/>
          <w:color w:val="000000" w:themeColor="text1"/>
        </w:rPr>
        <w:t xml:space="preserve">: </w:t>
      </w:r>
      <w:r w:rsidR="002622BF" w:rsidRPr="005F5D0B">
        <w:rPr>
          <w:rFonts w:ascii="Palatino Linotype" w:eastAsia="Palatino Linotype" w:hAnsi="Palatino Linotype" w:cs="Palatino Linotype"/>
          <w:color w:val="000000" w:themeColor="text1"/>
        </w:rPr>
        <w:t>Contrato de obra pública a precios unitarios y tiempo determinado No. MT/DGDUOTyOP/FISE-23/IR-004/2023.</w:t>
      </w:r>
    </w:p>
    <w:p w14:paraId="35DE067E" w14:textId="77777777" w:rsidR="002622BF" w:rsidRPr="005F5D0B" w:rsidRDefault="002622BF" w:rsidP="000872AB">
      <w:pPr>
        <w:tabs>
          <w:tab w:val="left" w:pos="0"/>
        </w:tabs>
        <w:ind w:left="567"/>
        <w:jc w:val="both"/>
        <w:rPr>
          <w:rFonts w:ascii="Palatino Linotype" w:eastAsia="Palatino Linotype" w:hAnsi="Palatino Linotype" w:cs="Palatino Linotype"/>
          <w:b/>
          <w:color w:val="000000" w:themeColor="text1"/>
        </w:rPr>
      </w:pPr>
    </w:p>
    <w:p w14:paraId="18BF6C94" w14:textId="53B86BFE" w:rsidR="000D62F1" w:rsidRPr="005F5D0B" w:rsidRDefault="00CB260F" w:rsidP="000872AB">
      <w:pPr>
        <w:tabs>
          <w:tab w:val="left" w:pos="0"/>
        </w:tabs>
        <w:ind w:left="567"/>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t>9) CONTRATO FAISMUN IR 027 VAIZA ok.pdf:</w:t>
      </w:r>
      <w:r w:rsidR="002622BF" w:rsidRPr="005F5D0B">
        <w:rPr>
          <w:rFonts w:ascii="Palatino Linotype" w:eastAsia="Palatino Linotype" w:hAnsi="Palatino Linotype" w:cs="Palatino Linotype"/>
          <w:b/>
          <w:color w:val="000000" w:themeColor="text1"/>
        </w:rPr>
        <w:t xml:space="preserve"> </w:t>
      </w:r>
      <w:r w:rsidR="000D62F1" w:rsidRPr="005F5D0B">
        <w:rPr>
          <w:rFonts w:ascii="Palatino Linotype" w:eastAsia="Palatino Linotype" w:hAnsi="Palatino Linotype" w:cs="Palatino Linotype"/>
          <w:color w:val="000000" w:themeColor="text1"/>
        </w:rPr>
        <w:t>Contrato de obra pública a precios unitarios y tiempo determinado No. MT/DGDUOTyOP/FAISMUN-23/IR-027/2023.</w:t>
      </w:r>
    </w:p>
    <w:p w14:paraId="7A9D5E5A" w14:textId="74C73169" w:rsidR="002622BF" w:rsidRPr="005F5D0B" w:rsidRDefault="002622BF" w:rsidP="000872AB">
      <w:pPr>
        <w:tabs>
          <w:tab w:val="left" w:pos="0"/>
        </w:tabs>
        <w:ind w:left="567"/>
        <w:jc w:val="both"/>
        <w:rPr>
          <w:rFonts w:ascii="Palatino Linotype" w:eastAsia="Palatino Linotype" w:hAnsi="Palatino Linotype" w:cs="Palatino Linotype"/>
          <w:b/>
          <w:color w:val="000000" w:themeColor="text1"/>
        </w:rPr>
      </w:pPr>
    </w:p>
    <w:p w14:paraId="5910A8A6" w14:textId="552033DE" w:rsidR="000D62F1" w:rsidRPr="005F5D0B" w:rsidRDefault="00CB260F" w:rsidP="000872AB">
      <w:pPr>
        <w:tabs>
          <w:tab w:val="left" w:pos="0"/>
        </w:tabs>
        <w:ind w:left="567"/>
        <w:jc w:val="both"/>
        <w:rPr>
          <w:rFonts w:ascii="Palatino Linotype" w:eastAsia="Palatino Linotype" w:hAnsi="Palatino Linotype" w:cs="Palatino Linotype"/>
          <w:b/>
          <w:color w:val="000000" w:themeColor="text1"/>
        </w:rPr>
      </w:pPr>
      <w:r w:rsidRPr="005F5D0B">
        <w:rPr>
          <w:rFonts w:ascii="Palatino Linotype" w:eastAsia="Palatino Linotype" w:hAnsi="Palatino Linotype" w:cs="Palatino Linotype"/>
          <w:b/>
          <w:color w:val="000000" w:themeColor="text1"/>
        </w:rPr>
        <w:t>5) CONTRATO FAISMUN IR 012 TAYCAR ok.pdf</w:t>
      </w:r>
      <w:r w:rsidR="00F715C2" w:rsidRPr="005F5D0B">
        <w:rPr>
          <w:rFonts w:ascii="Palatino Linotype" w:eastAsia="Palatino Linotype" w:hAnsi="Palatino Linotype" w:cs="Palatino Linotype"/>
          <w:b/>
          <w:color w:val="000000" w:themeColor="text1"/>
        </w:rPr>
        <w:t>:</w:t>
      </w:r>
      <w:r w:rsidR="000D62F1" w:rsidRPr="005F5D0B">
        <w:rPr>
          <w:rFonts w:ascii="Palatino Linotype" w:eastAsia="Palatino Linotype" w:hAnsi="Palatino Linotype" w:cs="Palatino Linotype"/>
          <w:b/>
          <w:color w:val="000000" w:themeColor="text1"/>
        </w:rPr>
        <w:t xml:space="preserve"> </w:t>
      </w:r>
      <w:r w:rsidR="000D62F1" w:rsidRPr="005F5D0B">
        <w:rPr>
          <w:rFonts w:ascii="Palatino Linotype" w:eastAsia="Palatino Linotype" w:hAnsi="Palatino Linotype" w:cs="Palatino Linotype"/>
          <w:color w:val="000000" w:themeColor="text1"/>
        </w:rPr>
        <w:t>Contrato de obra pública a precios unitarios y tiempo determinado No. MT/DGDUOTyOP/FAISMUN-23/IR-012/2023.</w:t>
      </w:r>
    </w:p>
    <w:p w14:paraId="53ED7E3C" w14:textId="77777777" w:rsidR="000D62F1" w:rsidRPr="005F5D0B" w:rsidRDefault="000D62F1" w:rsidP="000872AB">
      <w:pPr>
        <w:tabs>
          <w:tab w:val="left" w:pos="0"/>
        </w:tabs>
        <w:ind w:left="567"/>
        <w:jc w:val="both"/>
        <w:rPr>
          <w:rFonts w:ascii="Palatino Linotype" w:eastAsia="Palatino Linotype" w:hAnsi="Palatino Linotype" w:cs="Palatino Linotype"/>
          <w:b/>
          <w:color w:val="000000" w:themeColor="text1"/>
        </w:rPr>
      </w:pPr>
    </w:p>
    <w:p w14:paraId="714DD67E" w14:textId="2EEE5266" w:rsidR="000D62F1" w:rsidRPr="005F5D0B" w:rsidRDefault="00CB260F" w:rsidP="000872AB">
      <w:pPr>
        <w:tabs>
          <w:tab w:val="left" w:pos="0"/>
        </w:tabs>
        <w:ind w:left="567"/>
        <w:jc w:val="both"/>
        <w:rPr>
          <w:rFonts w:ascii="Palatino Linotype" w:eastAsia="Palatino Linotype" w:hAnsi="Palatino Linotype" w:cs="Palatino Linotype"/>
          <w:b/>
          <w:color w:val="000000" w:themeColor="text1"/>
        </w:rPr>
      </w:pPr>
      <w:r w:rsidRPr="005F5D0B">
        <w:rPr>
          <w:rFonts w:ascii="Palatino Linotype" w:eastAsia="Palatino Linotype" w:hAnsi="Palatino Linotype" w:cs="Palatino Linotype"/>
          <w:b/>
          <w:color w:val="000000" w:themeColor="text1"/>
        </w:rPr>
        <w:lastRenderedPageBreak/>
        <w:t xml:space="preserve">11) CONTRATO FAISMUN </w:t>
      </w:r>
      <w:r w:rsidR="00A56D5B" w:rsidRPr="005F5D0B">
        <w:rPr>
          <w:rFonts w:ascii="Palatino Linotype" w:eastAsia="Palatino Linotype" w:hAnsi="Palatino Linotype" w:cs="Palatino Linotype"/>
          <w:b/>
          <w:color w:val="000000" w:themeColor="text1"/>
        </w:rPr>
        <w:t>ADE 003 POTOSINAS.pdf</w:t>
      </w:r>
      <w:r w:rsidR="00F715C2" w:rsidRPr="005F5D0B">
        <w:rPr>
          <w:rFonts w:ascii="Palatino Linotype" w:eastAsia="Palatino Linotype" w:hAnsi="Palatino Linotype" w:cs="Palatino Linotype"/>
          <w:b/>
          <w:color w:val="000000" w:themeColor="text1"/>
        </w:rPr>
        <w:t>:</w:t>
      </w:r>
      <w:r w:rsidR="000D62F1" w:rsidRPr="005F5D0B">
        <w:rPr>
          <w:rFonts w:ascii="Palatino Linotype" w:eastAsia="Palatino Linotype" w:hAnsi="Palatino Linotype" w:cs="Palatino Linotype"/>
          <w:b/>
          <w:color w:val="000000" w:themeColor="text1"/>
        </w:rPr>
        <w:t xml:space="preserve"> </w:t>
      </w:r>
      <w:r w:rsidR="000D62F1" w:rsidRPr="005F5D0B">
        <w:rPr>
          <w:rFonts w:ascii="Palatino Linotype" w:eastAsia="Palatino Linotype" w:hAnsi="Palatino Linotype" w:cs="Palatino Linotype"/>
          <w:color w:val="000000" w:themeColor="text1"/>
        </w:rPr>
        <w:t>Contrato de obra pública a precios unitarios y tiempo determinado No. MT/DGDUOTyOP/FAISMUN-23/AD-003/2023.</w:t>
      </w:r>
    </w:p>
    <w:p w14:paraId="4A59C7AB" w14:textId="77777777" w:rsidR="000D62F1" w:rsidRPr="005F5D0B" w:rsidRDefault="000D62F1" w:rsidP="000872AB">
      <w:pPr>
        <w:tabs>
          <w:tab w:val="left" w:pos="0"/>
        </w:tabs>
        <w:jc w:val="both"/>
        <w:rPr>
          <w:rFonts w:ascii="Palatino Linotype" w:eastAsia="Palatino Linotype" w:hAnsi="Palatino Linotype" w:cs="Palatino Linotype"/>
          <w:b/>
          <w:color w:val="000000" w:themeColor="text1"/>
        </w:rPr>
      </w:pPr>
    </w:p>
    <w:p w14:paraId="668BCC71" w14:textId="3F89F77E" w:rsidR="000D62F1" w:rsidRPr="005F5D0B" w:rsidRDefault="00CB260F" w:rsidP="000872AB">
      <w:pPr>
        <w:tabs>
          <w:tab w:val="left" w:pos="0"/>
        </w:tabs>
        <w:ind w:left="567"/>
        <w:jc w:val="both"/>
        <w:rPr>
          <w:rFonts w:ascii="Palatino Linotype" w:eastAsia="Palatino Linotype" w:hAnsi="Palatino Linotype" w:cs="Palatino Linotype"/>
          <w:b/>
          <w:color w:val="000000" w:themeColor="text1"/>
        </w:rPr>
      </w:pPr>
      <w:r w:rsidRPr="005F5D0B">
        <w:rPr>
          <w:rFonts w:ascii="Palatino Linotype" w:eastAsia="Palatino Linotype" w:hAnsi="Palatino Linotype" w:cs="Palatino Linotype"/>
          <w:b/>
          <w:color w:val="000000" w:themeColor="text1"/>
        </w:rPr>
        <w:t>14) CONTRATO FAISMUN</w:t>
      </w:r>
      <w:r w:rsidR="000F378A" w:rsidRPr="005F5D0B">
        <w:rPr>
          <w:rFonts w:ascii="Palatino Linotype" w:eastAsia="Palatino Linotype" w:hAnsi="Palatino Linotype" w:cs="Palatino Linotype"/>
          <w:b/>
          <w:color w:val="000000" w:themeColor="text1"/>
        </w:rPr>
        <w:t xml:space="preserve"> IP 048 PROYECTA fc.pdf:</w:t>
      </w:r>
      <w:r w:rsidR="000D62F1" w:rsidRPr="005F5D0B">
        <w:rPr>
          <w:rFonts w:ascii="Palatino Linotype" w:eastAsia="Palatino Linotype" w:hAnsi="Palatino Linotype" w:cs="Palatino Linotype"/>
          <w:b/>
          <w:color w:val="000000" w:themeColor="text1"/>
        </w:rPr>
        <w:t xml:space="preserve"> </w:t>
      </w:r>
      <w:r w:rsidR="000D62F1" w:rsidRPr="005F5D0B">
        <w:rPr>
          <w:rFonts w:ascii="Palatino Linotype" w:eastAsia="Palatino Linotype" w:hAnsi="Palatino Linotype" w:cs="Palatino Linotype"/>
          <w:color w:val="000000" w:themeColor="text1"/>
        </w:rPr>
        <w:t>Contrato de obra pública a precios unitarios y tiempo determinado No. MT/DGDUOTyOP/FAISMUN-23/IR-048/2023.</w:t>
      </w:r>
    </w:p>
    <w:p w14:paraId="3780E2DB" w14:textId="77777777" w:rsidR="000D62F1" w:rsidRPr="005F5D0B" w:rsidRDefault="000D62F1" w:rsidP="000872AB">
      <w:pPr>
        <w:tabs>
          <w:tab w:val="left" w:pos="0"/>
        </w:tabs>
        <w:jc w:val="both"/>
        <w:rPr>
          <w:rFonts w:ascii="Palatino Linotype" w:eastAsia="Palatino Linotype" w:hAnsi="Palatino Linotype" w:cs="Palatino Linotype"/>
          <w:b/>
          <w:color w:val="000000" w:themeColor="text1"/>
        </w:rPr>
      </w:pPr>
    </w:p>
    <w:p w14:paraId="315617CB" w14:textId="06C2C725" w:rsidR="00B05B5E" w:rsidRPr="005F5D0B" w:rsidRDefault="00CB260F" w:rsidP="000872AB">
      <w:pPr>
        <w:tabs>
          <w:tab w:val="left" w:pos="0"/>
        </w:tabs>
        <w:ind w:left="567"/>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t>Informe Justificado 863.pdf</w:t>
      </w:r>
      <w:r w:rsidR="00A25373" w:rsidRPr="005F5D0B">
        <w:rPr>
          <w:rFonts w:ascii="Palatino Linotype" w:eastAsia="Palatino Linotype" w:hAnsi="Palatino Linotype" w:cs="Palatino Linotype"/>
          <w:b/>
          <w:color w:val="000000" w:themeColor="text1"/>
        </w:rPr>
        <w:t xml:space="preserve">: </w:t>
      </w:r>
      <w:r w:rsidR="00A25373" w:rsidRPr="005F5D0B">
        <w:rPr>
          <w:rFonts w:ascii="Palatino Linotype" w:eastAsia="Palatino Linotype" w:hAnsi="Palatino Linotype" w:cs="Palatino Linotype"/>
          <w:color w:val="000000" w:themeColor="text1"/>
        </w:rPr>
        <w:t>Oficio suscrito por el Titular de la Unidad de Transparencia, por medio del cual, señaló que la Dirección General de Obras Públicas manifestó modificar la respuesta inicial, al localizar 14 contratos solicitados, los cuales, refirió adjuntar en versión pública autorizada en el Acta de la Centésima Trigésima Novena Sesión Extraordinaria del Comité de Transparencia.</w:t>
      </w:r>
    </w:p>
    <w:p w14:paraId="330FDAA3" w14:textId="77777777" w:rsidR="00AF16F7" w:rsidRPr="005F5D0B" w:rsidRDefault="00AF16F7" w:rsidP="000872AB">
      <w:pPr>
        <w:tabs>
          <w:tab w:val="left" w:pos="0"/>
        </w:tabs>
        <w:ind w:left="567"/>
        <w:jc w:val="both"/>
        <w:rPr>
          <w:rFonts w:ascii="Palatino Linotype" w:eastAsia="Palatino Linotype" w:hAnsi="Palatino Linotype" w:cs="Palatino Linotype"/>
          <w:b/>
          <w:color w:val="000000" w:themeColor="text1"/>
        </w:rPr>
      </w:pPr>
    </w:p>
    <w:p w14:paraId="11093A44" w14:textId="5B89C234" w:rsidR="00EB0F49" w:rsidRPr="005F5D0B" w:rsidRDefault="00B05B5E" w:rsidP="000872AB">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5F5D0B">
        <w:rPr>
          <w:rFonts w:ascii="Palatino Linotype" w:eastAsia="Palatino Linotype" w:hAnsi="Palatino Linotype" w:cs="Palatino Linotype"/>
          <w:color w:val="000000" w:themeColor="text1"/>
        </w:rPr>
        <w:t>P</w:t>
      </w:r>
      <w:r w:rsidR="00294244" w:rsidRPr="005F5D0B">
        <w:rPr>
          <w:rFonts w:ascii="Palatino Linotype" w:eastAsia="Palatino Linotype" w:hAnsi="Palatino Linotype" w:cs="Palatino Linotype"/>
          <w:color w:val="000000" w:themeColor="text1"/>
        </w:rPr>
        <w:t xml:space="preserve">or su parte, </w:t>
      </w:r>
      <w:r w:rsidR="001D3081" w:rsidRPr="005F5D0B">
        <w:rPr>
          <w:rFonts w:ascii="Palatino Linotype" w:eastAsia="Palatino Linotype" w:hAnsi="Palatino Linotype" w:cs="Palatino Linotype"/>
          <w:color w:val="000000" w:themeColor="text1"/>
        </w:rPr>
        <w:t>el</w:t>
      </w:r>
      <w:r w:rsidR="001D3081" w:rsidRPr="005F5D0B">
        <w:rPr>
          <w:rFonts w:ascii="Palatino Linotype" w:eastAsia="Palatino Linotype" w:hAnsi="Palatino Linotype" w:cs="Palatino Linotype"/>
          <w:b/>
          <w:color w:val="000000" w:themeColor="text1"/>
        </w:rPr>
        <w:t xml:space="preserve"> RECURRENTE </w:t>
      </w:r>
      <w:r w:rsidR="00294244" w:rsidRPr="005F5D0B">
        <w:rPr>
          <w:rFonts w:ascii="Palatino Linotype" w:eastAsia="Palatino Linotype" w:hAnsi="Palatino Linotype" w:cs="Palatino Linotype"/>
          <w:color w:val="000000" w:themeColor="text1"/>
        </w:rPr>
        <w:t xml:space="preserve">dejó </w:t>
      </w:r>
      <w:r w:rsidR="001D3081" w:rsidRPr="005F5D0B">
        <w:rPr>
          <w:rFonts w:ascii="Palatino Linotype" w:eastAsia="Palatino Linotype" w:hAnsi="Palatino Linotype" w:cs="Palatino Linotype"/>
          <w:color w:val="000000" w:themeColor="text1"/>
        </w:rPr>
        <w:t xml:space="preserve">de realizar manifestaciones que a su derecho conviniera y asistiera. </w:t>
      </w:r>
    </w:p>
    <w:p w14:paraId="2A0CFB6D" w14:textId="77777777" w:rsidR="00EB0F49" w:rsidRPr="005F5D0B" w:rsidRDefault="00EB0F49" w:rsidP="000872AB">
      <w:pPr>
        <w:pBdr>
          <w:top w:val="nil"/>
          <w:left w:val="nil"/>
          <w:bottom w:val="nil"/>
          <w:right w:val="nil"/>
          <w:between w:val="nil"/>
        </w:pBdr>
        <w:tabs>
          <w:tab w:val="left" w:pos="0"/>
        </w:tabs>
        <w:rPr>
          <w:rFonts w:ascii="Palatino Linotype" w:eastAsia="Palatino Linotype" w:hAnsi="Palatino Linotype" w:cs="Palatino Linotype"/>
          <w:i/>
          <w:color w:val="000000" w:themeColor="text1"/>
        </w:rPr>
      </w:pPr>
    </w:p>
    <w:p w14:paraId="4F164B54" w14:textId="52D28FD4" w:rsidR="00EB0F49" w:rsidRPr="005F5D0B" w:rsidRDefault="001D3081" w:rsidP="000872AB">
      <w:pPr>
        <w:numPr>
          <w:ilvl w:val="0"/>
          <w:numId w:val="11"/>
        </w:numPr>
        <w:tabs>
          <w:tab w:val="left" w:pos="0"/>
        </w:tabs>
        <w:spacing w:line="360" w:lineRule="auto"/>
        <w:jc w:val="both"/>
        <w:rPr>
          <w:rFonts w:ascii="Palatino Linotype" w:hAnsi="Palatino Linotype"/>
          <w:color w:val="000000" w:themeColor="text1"/>
        </w:rPr>
      </w:pPr>
      <w:r w:rsidRPr="005F5D0B">
        <w:rPr>
          <w:rFonts w:ascii="Palatino Linotype" w:eastAsia="Palatino Linotype" w:hAnsi="Palatino Linotype" w:cs="Palatino Linotype"/>
          <w:color w:val="000000" w:themeColor="text1"/>
        </w:rPr>
        <w:t xml:space="preserve">El </w:t>
      </w:r>
      <w:r w:rsidR="00A25373" w:rsidRPr="005F5D0B">
        <w:rPr>
          <w:rFonts w:ascii="Palatino Linotype" w:eastAsia="Palatino Linotype" w:hAnsi="Palatino Linotype" w:cs="Palatino Linotype"/>
          <w:b/>
          <w:color w:val="000000" w:themeColor="text1"/>
        </w:rPr>
        <w:t xml:space="preserve">veintidós </w:t>
      </w:r>
      <w:r w:rsidR="00294244" w:rsidRPr="005F5D0B">
        <w:rPr>
          <w:rFonts w:ascii="Palatino Linotype" w:eastAsia="Palatino Linotype" w:hAnsi="Palatino Linotype" w:cs="Palatino Linotype"/>
          <w:b/>
          <w:color w:val="000000" w:themeColor="text1"/>
        </w:rPr>
        <w:t>de mayo</w:t>
      </w:r>
      <w:r w:rsidRPr="005F5D0B">
        <w:rPr>
          <w:rFonts w:ascii="Palatino Linotype" w:eastAsia="Palatino Linotype" w:hAnsi="Palatino Linotype" w:cs="Palatino Linotype"/>
          <w:b/>
          <w:color w:val="000000" w:themeColor="text1"/>
        </w:rPr>
        <w:t xml:space="preserve"> de dos mil veinticinco</w:t>
      </w:r>
      <w:r w:rsidRPr="005F5D0B">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14:paraId="2554C157" w14:textId="77777777" w:rsidR="00EB0F49" w:rsidRPr="005F5D0B" w:rsidRDefault="00EB0F49" w:rsidP="000872AB">
      <w:pPr>
        <w:tabs>
          <w:tab w:val="left" w:pos="0"/>
        </w:tabs>
        <w:spacing w:line="360" w:lineRule="auto"/>
        <w:jc w:val="both"/>
        <w:rPr>
          <w:rFonts w:ascii="Palatino Linotype" w:eastAsia="Palatino Linotype" w:hAnsi="Palatino Linotype" w:cs="Palatino Linotype"/>
          <w:color w:val="000000" w:themeColor="text1"/>
        </w:rPr>
      </w:pPr>
    </w:p>
    <w:p w14:paraId="3F89E8B1" w14:textId="47F6B964" w:rsidR="00EB0F49" w:rsidRPr="005F5D0B" w:rsidRDefault="001D3081"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5F5D0B">
        <w:rPr>
          <w:rFonts w:ascii="Palatino Linotype" w:eastAsia="Palatino Linotype" w:hAnsi="Palatino Linotype" w:cs="Palatino Linotype"/>
          <w:color w:val="000000" w:themeColor="text1"/>
        </w:rPr>
        <w:t>Final</w:t>
      </w:r>
      <w:r w:rsidR="00294244" w:rsidRPr="005F5D0B">
        <w:rPr>
          <w:rFonts w:ascii="Palatino Linotype" w:eastAsia="Palatino Linotype" w:hAnsi="Palatino Linotype" w:cs="Palatino Linotype"/>
          <w:color w:val="000000" w:themeColor="text1"/>
        </w:rPr>
        <w:t xml:space="preserve">mente, mediante acuerdo del </w:t>
      </w:r>
      <w:r w:rsidR="00A25373" w:rsidRPr="005F5D0B">
        <w:rPr>
          <w:rFonts w:ascii="Palatino Linotype" w:eastAsia="Palatino Linotype" w:hAnsi="Palatino Linotype" w:cs="Palatino Linotype"/>
          <w:b/>
          <w:color w:val="000000" w:themeColor="text1"/>
        </w:rPr>
        <w:t>veintiocho</w:t>
      </w:r>
      <w:r w:rsidR="00294244" w:rsidRPr="005F5D0B">
        <w:rPr>
          <w:rFonts w:ascii="Palatino Linotype" w:eastAsia="Palatino Linotype" w:hAnsi="Palatino Linotype" w:cs="Palatino Linotype"/>
          <w:b/>
          <w:color w:val="000000" w:themeColor="text1"/>
        </w:rPr>
        <w:t xml:space="preserve"> de mayo</w:t>
      </w:r>
      <w:r w:rsidR="00294244" w:rsidRPr="005F5D0B">
        <w:rPr>
          <w:rFonts w:ascii="Palatino Linotype" w:eastAsia="Palatino Linotype" w:hAnsi="Palatino Linotype" w:cs="Palatino Linotype"/>
          <w:color w:val="000000" w:themeColor="text1"/>
        </w:rPr>
        <w:t xml:space="preserve"> </w:t>
      </w:r>
      <w:r w:rsidRPr="005F5D0B">
        <w:rPr>
          <w:rFonts w:ascii="Palatino Linotype" w:eastAsia="Palatino Linotype" w:hAnsi="Palatino Linotype" w:cs="Palatino Linotype"/>
          <w:b/>
          <w:color w:val="000000" w:themeColor="text1"/>
        </w:rPr>
        <w:t>de dos mil veinticinco</w:t>
      </w:r>
      <w:r w:rsidRPr="005F5D0B">
        <w:rPr>
          <w:rFonts w:ascii="Palatino Linotype" w:eastAsia="Palatino Linotype" w:hAnsi="Palatino Linotype" w:cs="Palatino Linotype"/>
          <w:color w:val="000000" w:themeColor="text1"/>
        </w:rPr>
        <w:t>, se decretó el cierre de instrucción, por lo que no habiendo más qu</w:t>
      </w:r>
      <w:r w:rsidR="00294244" w:rsidRPr="005F5D0B">
        <w:rPr>
          <w:rFonts w:ascii="Palatino Linotype" w:eastAsia="Palatino Linotype" w:hAnsi="Palatino Linotype" w:cs="Palatino Linotype"/>
          <w:color w:val="000000" w:themeColor="text1"/>
        </w:rPr>
        <w:t xml:space="preserve">e hacer </w:t>
      </w:r>
      <w:r w:rsidR="00AF16F7" w:rsidRPr="005F5D0B">
        <w:rPr>
          <w:rFonts w:ascii="Palatino Linotype" w:eastAsia="Palatino Linotype" w:hAnsi="Palatino Linotype" w:cs="Palatino Linotype"/>
          <w:color w:val="000000" w:themeColor="text1"/>
        </w:rPr>
        <w:t>constar, y</w:t>
      </w:r>
    </w:p>
    <w:p w14:paraId="28B0B015" w14:textId="77777777" w:rsidR="00EB0F49" w:rsidRPr="005F5D0B" w:rsidRDefault="00EB0F4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1D5FF10B" w14:textId="77777777" w:rsidR="00EB0F49" w:rsidRPr="005F5D0B" w:rsidRDefault="001D3081" w:rsidP="000872AB">
      <w:pPr>
        <w:pStyle w:val="Ttulo1"/>
        <w:tabs>
          <w:tab w:val="left" w:pos="0"/>
          <w:tab w:val="left" w:pos="567"/>
        </w:tabs>
        <w:spacing w:before="0" w:line="360" w:lineRule="auto"/>
        <w:jc w:val="center"/>
        <w:rPr>
          <w:szCs w:val="24"/>
        </w:rPr>
      </w:pPr>
      <w:bookmarkStart w:id="6" w:name="_heading=h.tyjcwt" w:colFirst="0" w:colLast="0"/>
      <w:bookmarkEnd w:id="6"/>
      <w:r w:rsidRPr="005F5D0B">
        <w:rPr>
          <w:szCs w:val="24"/>
        </w:rPr>
        <w:t>C O N S I D E R A N D O</w:t>
      </w:r>
    </w:p>
    <w:p w14:paraId="04AEFD8E" w14:textId="77777777" w:rsidR="00EB0F49" w:rsidRPr="005F5D0B" w:rsidRDefault="00EB0F49" w:rsidP="000872AB">
      <w:pPr>
        <w:tabs>
          <w:tab w:val="left" w:pos="0"/>
        </w:tabs>
        <w:spacing w:line="360" w:lineRule="auto"/>
        <w:rPr>
          <w:rFonts w:ascii="Palatino Linotype" w:eastAsia="Palatino Linotype" w:hAnsi="Palatino Linotype" w:cs="Palatino Linotype"/>
          <w:color w:val="000000" w:themeColor="text1"/>
        </w:rPr>
      </w:pPr>
    </w:p>
    <w:p w14:paraId="4841D9CC" w14:textId="77777777" w:rsidR="00EB0F49" w:rsidRPr="005F5D0B" w:rsidRDefault="001D3081" w:rsidP="000872AB">
      <w:pPr>
        <w:pStyle w:val="Ttulo1"/>
        <w:tabs>
          <w:tab w:val="left" w:pos="0"/>
          <w:tab w:val="left" w:pos="567"/>
        </w:tabs>
        <w:spacing w:before="0" w:line="360" w:lineRule="auto"/>
        <w:rPr>
          <w:b w:val="0"/>
          <w:szCs w:val="24"/>
        </w:rPr>
      </w:pPr>
      <w:bookmarkStart w:id="7" w:name="_heading=h.3dy6vkm" w:colFirst="0" w:colLast="0"/>
      <w:bookmarkEnd w:id="7"/>
      <w:r w:rsidRPr="005F5D0B">
        <w:rPr>
          <w:szCs w:val="24"/>
        </w:rPr>
        <w:t>PRIMERO. De la competencia</w:t>
      </w:r>
    </w:p>
    <w:p w14:paraId="214D3D34" w14:textId="77777777" w:rsidR="00EB0F49" w:rsidRPr="005F5D0B" w:rsidRDefault="001D3081" w:rsidP="000872AB">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w:t>
      </w:r>
      <w:r w:rsidRPr="005F5D0B">
        <w:rPr>
          <w:rFonts w:ascii="Palatino Linotype" w:eastAsia="Palatino Linotype" w:hAnsi="Palatino Linotype" w:cs="Palatino Linotype"/>
          <w:color w:val="000000" w:themeColor="text1"/>
        </w:rPr>
        <w:lastRenderedPageBreak/>
        <w:t>resolver del presente recurso de conformidad con el artículo: 6, apartado A, fracción IV de la </w:t>
      </w:r>
      <w:r w:rsidRPr="005F5D0B">
        <w:rPr>
          <w:rFonts w:ascii="Palatino Linotype" w:eastAsia="Palatino Linotype" w:hAnsi="Palatino Linotype" w:cs="Palatino Linotype"/>
          <w:b/>
          <w:color w:val="000000" w:themeColor="text1"/>
        </w:rPr>
        <w:t>Constitución Política de los Estados Unidos Mexicanos</w:t>
      </w:r>
      <w:r w:rsidRPr="005F5D0B">
        <w:rPr>
          <w:rFonts w:ascii="Palatino Linotype" w:eastAsia="Palatino Linotype" w:hAnsi="Palatino Linotype" w:cs="Palatino Linotype"/>
          <w:color w:val="000000" w:themeColor="text1"/>
        </w:rPr>
        <w:t>; 5, párrafos trigésimo segundo, trigésimo tercero y trigésimo cuarto fracciones IV y V de la </w:t>
      </w:r>
      <w:r w:rsidRPr="005F5D0B">
        <w:rPr>
          <w:rFonts w:ascii="Palatino Linotype" w:eastAsia="Palatino Linotype" w:hAnsi="Palatino Linotype" w:cs="Palatino Linotype"/>
          <w:b/>
          <w:color w:val="000000" w:themeColor="text1"/>
        </w:rPr>
        <w:t>Constitución Política del Estado Libre y Soberano de México</w:t>
      </w:r>
      <w:r w:rsidRPr="005F5D0B">
        <w:rPr>
          <w:rFonts w:ascii="Palatino Linotype" w:eastAsia="Palatino Linotype" w:hAnsi="Palatino Linotype" w:cs="Palatino Linotype"/>
          <w:color w:val="000000" w:themeColor="text1"/>
        </w:rPr>
        <w:t>; artículos 1, 2 fracción II, 13, 29, 36 fracciones I y II, 176, 178, 179, 181 párrafo tercero y 185 de la </w:t>
      </w:r>
      <w:r w:rsidRPr="005F5D0B">
        <w:rPr>
          <w:rFonts w:ascii="Palatino Linotype" w:eastAsia="Palatino Linotype" w:hAnsi="Palatino Linotype" w:cs="Palatino Linotype"/>
          <w:b/>
          <w:color w:val="000000" w:themeColor="text1"/>
        </w:rPr>
        <w:t>Ley de Transparencia y Acceso a la Información Pública del Estado de México y Municipios</w:t>
      </w:r>
      <w:r w:rsidRPr="005F5D0B">
        <w:rPr>
          <w:rFonts w:ascii="Palatino Linotype" w:eastAsia="Palatino Linotype" w:hAnsi="Palatino Linotype" w:cs="Palatino Linotype"/>
          <w:color w:val="000000" w:themeColor="text1"/>
        </w:rPr>
        <w:t>; y 7, 9 fracciones I y XXIII, y 11 del </w:t>
      </w:r>
      <w:r w:rsidRPr="005F5D0B">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5F5D0B">
        <w:rPr>
          <w:rFonts w:ascii="Palatino Linotype" w:eastAsia="Palatino Linotype" w:hAnsi="Palatino Linotype" w:cs="Palatino Linotype"/>
          <w:color w:val="000000" w:themeColor="text1"/>
        </w:rPr>
        <w:t>.</w:t>
      </w:r>
    </w:p>
    <w:p w14:paraId="2B31C26B" w14:textId="77777777" w:rsidR="00EB0F49" w:rsidRPr="005F5D0B" w:rsidRDefault="00EB0F49" w:rsidP="000872AB">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2EFC4423" w14:textId="77777777" w:rsidR="00EB0F49" w:rsidRPr="005F5D0B" w:rsidRDefault="001D3081" w:rsidP="000872AB">
      <w:pPr>
        <w:pStyle w:val="Ttulo2"/>
        <w:tabs>
          <w:tab w:val="left" w:pos="0"/>
        </w:tabs>
        <w:spacing w:before="0" w:line="360" w:lineRule="auto"/>
        <w:rPr>
          <w:szCs w:val="24"/>
        </w:rPr>
      </w:pPr>
      <w:bookmarkStart w:id="8" w:name="_heading=h.1t3h5sf" w:colFirst="0" w:colLast="0"/>
      <w:bookmarkEnd w:id="8"/>
      <w:r w:rsidRPr="005F5D0B">
        <w:rPr>
          <w:szCs w:val="24"/>
        </w:rPr>
        <w:t>SEGUNDO. De la oportunidad y procedencia.</w:t>
      </w:r>
    </w:p>
    <w:p w14:paraId="1ECEAE36" w14:textId="77777777" w:rsidR="00EB0F49" w:rsidRPr="005F5D0B" w:rsidRDefault="00EB0F49" w:rsidP="000872AB">
      <w:pPr>
        <w:tabs>
          <w:tab w:val="left" w:pos="0"/>
        </w:tabs>
        <w:rPr>
          <w:rFonts w:ascii="Palatino Linotype" w:hAnsi="Palatino Linotype"/>
          <w:color w:val="000000" w:themeColor="text1"/>
        </w:rPr>
      </w:pPr>
    </w:p>
    <w:p w14:paraId="79FE09A2" w14:textId="4A698BCE" w:rsidR="00EB0F49" w:rsidRPr="005F5D0B" w:rsidRDefault="001D3081"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t xml:space="preserve"> El medio de impugnación fue presentado a través del </w:t>
      </w:r>
      <w:r w:rsidRPr="005F5D0B">
        <w:rPr>
          <w:rFonts w:ascii="Palatino Linotype" w:eastAsia="Palatino Linotype" w:hAnsi="Palatino Linotype" w:cs="Palatino Linotype"/>
          <w:b/>
          <w:color w:val="000000" w:themeColor="text1"/>
        </w:rPr>
        <w:t>SAIMEX,</w:t>
      </w:r>
      <w:r w:rsidRPr="005F5D0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5F5D0B">
        <w:rPr>
          <w:rFonts w:ascii="Palatino Linotype" w:eastAsia="Palatino Linotype" w:hAnsi="Palatino Linotype" w:cs="Palatino Linotype"/>
          <w:b/>
          <w:color w:val="000000" w:themeColor="text1"/>
        </w:rPr>
        <w:t>SUJETO OBLIGADO</w:t>
      </w:r>
      <w:r w:rsidRPr="005F5D0B">
        <w:rPr>
          <w:rFonts w:ascii="Palatino Linotype" w:eastAsia="Palatino Linotype" w:hAnsi="Palatino Linotype" w:cs="Palatino Linotype"/>
          <w:color w:val="000000" w:themeColor="text1"/>
        </w:rPr>
        <w:t xml:space="preserve"> entregó su respuesta el </w:t>
      </w:r>
      <w:r w:rsidR="00A25373" w:rsidRPr="005F5D0B">
        <w:rPr>
          <w:rFonts w:ascii="Palatino Linotype" w:eastAsia="Palatino Linotype" w:hAnsi="Palatino Linotype" w:cs="Palatino Linotype"/>
          <w:b/>
          <w:color w:val="000000" w:themeColor="text1"/>
        </w:rPr>
        <w:t>dieciséis de enero</w:t>
      </w:r>
      <w:r w:rsidRPr="005F5D0B">
        <w:rPr>
          <w:rFonts w:ascii="Palatino Linotype" w:eastAsia="Palatino Linotype" w:hAnsi="Palatino Linotype" w:cs="Palatino Linotype"/>
          <w:b/>
          <w:color w:val="000000" w:themeColor="text1"/>
        </w:rPr>
        <w:t xml:space="preserve"> de dos mil veinticinco</w:t>
      </w:r>
      <w:r w:rsidRPr="005F5D0B">
        <w:rPr>
          <w:rFonts w:ascii="Palatino Linotype" w:eastAsia="Palatino Linotype" w:hAnsi="Palatino Linotype" w:cs="Palatino Linotype"/>
          <w:color w:val="000000" w:themeColor="text1"/>
        </w:rPr>
        <w:t xml:space="preserve">, de tal forma que el plazo para interponer el recurso de revisión transcurrió del </w:t>
      </w:r>
      <w:r w:rsidR="00A25373" w:rsidRPr="005F5D0B">
        <w:rPr>
          <w:rFonts w:ascii="Palatino Linotype" w:eastAsia="Palatino Linotype" w:hAnsi="Palatino Linotype" w:cs="Palatino Linotype"/>
          <w:b/>
          <w:color w:val="000000" w:themeColor="text1"/>
        </w:rPr>
        <w:t xml:space="preserve">diecisiete de enero </w:t>
      </w:r>
      <w:r w:rsidRPr="005F5D0B">
        <w:rPr>
          <w:rFonts w:ascii="Palatino Linotype" w:eastAsia="Palatino Linotype" w:hAnsi="Palatino Linotype" w:cs="Palatino Linotype"/>
          <w:b/>
          <w:color w:val="000000" w:themeColor="text1"/>
        </w:rPr>
        <w:t xml:space="preserve">al </w:t>
      </w:r>
      <w:r w:rsidR="00A25373" w:rsidRPr="005F5D0B">
        <w:rPr>
          <w:rFonts w:ascii="Palatino Linotype" w:eastAsia="Palatino Linotype" w:hAnsi="Palatino Linotype" w:cs="Palatino Linotype"/>
          <w:b/>
          <w:color w:val="000000" w:themeColor="text1"/>
        </w:rPr>
        <w:t>siete</w:t>
      </w:r>
      <w:r w:rsidRPr="005F5D0B">
        <w:rPr>
          <w:rFonts w:ascii="Palatino Linotype" w:eastAsia="Palatino Linotype" w:hAnsi="Palatino Linotype" w:cs="Palatino Linotype"/>
          <w:b/>
          <w:color w:val="000000" w:themeColor="text1"/>
        </w:rPr>
        <w:t xml:space="preserve"> de febrero de dos mil veinticinco</w:t>
      </w:r>
      <w:r w:rsidRPr="005F5D0B">
        <w:rPr>
          <w:rFonts w:ascii="Palatino Linotype" w:eastAsia="Palatino Linotype" w:hAnsi="Palatino Linotype" w:cs="Palatino Linotype"/>
          <w:color w:val="000000" w:themeColor="text1"/>
        </w:rPr>
        <w:t xml:space="preserve">; en consecuencia, el ahora </w:t>
      </w:r>
      <w:r w:rsidRPr="005F5D0B">
        <w:rPr>
          <w:rFonts w:ascii="Palatino Linotype" w:eastAsia="Palatino Linotype" w:hAnsi="Palatino Linotype" w:cs="Palatino Linotype"/>
          <w:b/>
          <w:color w:val="000000" w:themeColor="text1"/>
        </w:rPr>
        <w:t>RECURRENTE</w:t>
      </w:r>
      <w:r w:rsidRPr="005F5D0B">
        <w:rPr>
          <w:rFonts w:ascii="Palatino Linotype" w:eastAsia="Palatino Linotype" w:hAnsi="Palatino Linotype" w:cs="Palatino Linotype"/>
          <w:color w:val="000000" w:themeColor="text1"/>
        </w:rPr>
        <w:t xml:space="preserve"> presentó su inconformidad el </w:t>
      </w:r>
      <w:r w:rsidR="00A25373" w:rsidRPr="005F5D0B">
        <w:rPr>
          <w:rFonts w:ascii="Palatino Linotype" w:eastAsia="Palatino Linotype" w:hAnsi="Palatino Linotype" w:cs="Palatino Linotype"/>
          <w:b/>
          <w:color w:val="000000" w:themeColor="text1"/>
        </w:rPr>
        <w:t>siete</w:t>
      </w:r>
      <w:r w:rsidRPr="005F5D0B">
        <w:rPr>
          <w:rFonts w:ascii="Palatino Linotype" w:eastAsia="Palatino Linotype" w:hAnsi="Palatino Linotype" w:cs="Palatino Linotype"/>
          <w:b/>
          <w:color w:val="000000" w:themeColor="text1"/>
        </w:rPr>
        <w:t xml:space="preserve"> de febrero de dos mil veinticinco</w:t>
      </w:r>
      <w:r w:rsidRPr="005F5D0B">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3DB9EB55" w14:textId="77777777" w:rsidR="00EB0F49" w:rsidRPr="005F5D0B" w:rsidRDefault="00EB0F49" w:rsidP="000872AB">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2085FC2A" w14:textId="77777777" w:rsidR="00EB0F49" w:rsidRPr="005F5D0B" w:rsidRDefault="001D3081" w:rsidP="000872AB">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5F5D0B">
        <w:rPr>
          <w:rFonts w:ascii="Palatino Linotype" w:eastAsia="Palatino Linotype" w:hAnsi="Palatino Linotype" w:cs="Palatino Linotype"/>
          <w:color w:val="000000" w:themeColor="text1"/>
        </w:rPr>
        <w:t xml:space="preserve">Consecuentemente, el escrito contiene las formalidades previstas por el artículo 180 último párrafo de la Ley de la materia actual, por lo que es procedente que este </w:t>
      </w:r>
      <w:r w:rsidRPr="005F5D0B">
        <w:rPr>
          <w:rFonts w:ascii="Palatino Linotype" w:eastAsia="Palatino Linotype" w:hAnsi="Palatino Linotype" w:cs="Palatino Linotype"/>
          <w:color w:val="000000" w:themeColor="text1"/>
        </w:rPr>
        <w:lastRenderedPageBreak/>
        <w:t>Instituto de Transparencia, Acceso a la Información Pública y Protección de Datos Personales del Estado de México y Municipios, conozca y resuelva el presente recurso.</w:t>
      </w:r>
    </w:p>
    <w:p w14:paraId="4F279A65" w14:textId="77777777" w:rsidR="00EB0F49" w:rsidRPr="005F5D0B" w:rsidRDefault="00EB0F49" w:rsidP="000872AB">
      <w:pPr>
        <w:tabs>
          <w:tab w:val="left" w:pos="0"/>
        </w:tabs>
        <w:spacing w:line="360" w:lineRule="auto"/>
        <w:rPr>
          <w:rFonts w:ascii="Palatino Linotype" w:eastAsia="Palatino Linotype" w:hAnsi="Palatino Linotype" w:cs="Palatino Linotype"/>
          <w:color w:val="000000" w:themeColor="text1"/>
        </w:rPr>
      </w:pPr>
    </w:p>
    <w:p w14:paraId="3D5AE4F1" w14:textId="77777777" w:rsidR="00EB0F49" w:rsidRPr="005F5D0B" w:rsidRDefault="001D3081" w:rsidP="000872AB">
      <w:pPr>
        <w:pStyle w:val="Ttulo1"/>
        <w:tabs>
          <w:tab w:val="left" w:pos="0"/>
        </w:tabs>
        <w:spacing w:before="0" w:line="360" w:lineRule="auto"/>
        <w:rPr>
          <w:szCs w:val="24"/>
        </w:rPr>
      </w:pPr>
      <w:r w:rsidRPr="005F5D0B">
        <w:rPr>
          <w:szCs w:val="24"/>
        </w:rPr>
        <w:t xml:space="preserve">TERCERO. Del planteamiento de la </w:t>
      </w:r>
      <w:r w:rsidRPr="005F5D0B">
        <w:rPr>
          <w:i/>
          <w:szCs w:val="24"/>
        </w:rPr>
        <w:t>Litis</w:t>
      </w:r>
      <w:r w:rsidRPr="005F5D0B">
        <w:rPr>
          <w:szCs w:val="24"/>
        </w:rPr>
        <w:t>.</w:t>
      </w:r>
    </w:p>
    <w:p w14:paraId="630DB9A1" w14:textId="77777777" w:rsidR="00676985" w:rsidRPr="005F5D0B" w:rsidRDefault="00676985" w:rsidP="000872AB">
      <w:pPr>
        <w:tabs>
          <w:tab w:val="left" w:pos="0"/>
        </w:tabs>
        <w:rPr>
          <w:rFonts w:ascii="Palatino Linotype" w:hAnsi="Palatino Linotype"/>
          <w:color w:val="000000" w:themeColor="text1"/>
          <w:lang w:val="es-MX" w:eastAsia="en-US"/>
        </w:rPr>
      </w:pPr>
    </w:p>
    <w:p w14:paraId="3FD4D050" w14:textId="30DE6770" w:rsidR="00A8408E" w:rsidRPr="005F5D0B" w:rsidRDefault="00485C31"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5F5D0B">
        <w:rPr>
          <w:rFonts w:ascii="Palatino Linotype" w:eastAsia="Palatino Linotype" w:hAnsi="Palatino Linotype" w:cs="Palatino Linotype"/>
          <w:color w:val="000000" w:themeColor="text1"/>
        </w:rPr>
        <w:t xml:space="preserve">El </w:t>
      </w:r>
      <w:r w:rsidR="00676985" w:rsidRPr="005F5D0B">
        <w:rPr>
          <w:rFonts w:ascii="Palatino Linotype" w:eastAsia="Palatino Linotype" w:hAnsi="Palatino Linotype" w:cs="Palatino Linotype"/>
          <w:color w:val="000000" w:themeColor="text1"/>
        </w:rPr>
        <w:t>P</w:t>
      </w:r>
      <w:r w:rsidRPr="005F5D0B">
        <w:rPr>
          <w:rFonts w:ascii="Palatino Linotype" w:eastAsia="Palatino Linotype" w:hAnsi="Palatino Linotype" w:cs="Palatino Linotype"/>
          <w:color w:val="000000" w:themeColor="text1"/>
        </w:rPr>
        <w:t xml:space="preserve">articular solicitó al Ayuntamiento de </w:t>
      </w:r>
      <w:r w:rsidR="00B14589" w:rsidRPr="005F5D0B">
        <w:rPr>
          <w:rFonts w:ascii="Palatino Linotype" w:eastAsia="Palatino Linotype" w:hAnsi="Palatino Linotype" w:cs="Palatino Linotype"/>
          <w:color w:val="000000" w:themeColor="text1"/>
        </w:rPr>
        <w:t>Toluca</w:t>
      </w:r>
      <w:r w:rsidR="00A8408E" w:rsidRPr="005F5D0B">
        <w:rPr>
          <w:rFonts w:ascii="Palatino Linotype" w:eastAsia="Palatino Linotype" w:hAnsi="Palatino Linotype" w:cs="Palatino Linotype"/>
          <w:color w:val="000000" w:themeColor="text1"/>
        </w:rPr>
        <w:t>, lo siguiente:</w:t>
      </w:r>
      <w:r w:rsidR="00A8408E" w:rsidRPr="005F5D0B">
        <w:rPr>
          <w:rFonts w:ascii="Palatino Linotype" w:eastAsia="Palatino Linotype" w:hAnsi="Palatino Linotype" w:cs="Palatino Linotype"/>
          <w:i/>
          <w:color w:val="000000" w:themeColor="text1"/>
        </w:rPr>
        <w:t xml:space="preserve"> “</w:t>
      </w:r>
      <w:r w:rsidR="00A8408E" w:rsidRPr="005F5D0B">
        <w:rPr>
          <w:rFonts w:ascii="Palatino Linotype" w:hAnsi="Palatino Linotype"/>
          <w:i/>
          <w:color w:val="000000" w:themeColor="text1"/>
        </w:rPr>
        <w:t>Cunatas calles se pavimentaron o rencarpetaron en el municipio de estan con un mapa señalar, el costo de la obra y el contrato con que empresa lo realizo o es parte de la garntia de las pavimentadas en 2023”</w:t>
      </w:r>
      <w:r w:rsidR="00A8408E" w:rsidRPr="005F5D0B">
        <w:rPr>
          <w:rFonts w:ascii="Palatino Linotype" w:eastAsia="Palatino Linotype" w:hAnsi="Palatino Linotype" w:cs="Palatino Linotype"/>
          <w:i/>
          <w:color w:val="000000" w:themeColor="text1"/>
        </w:rPr>
        <w:t xml:space="preserve"> (Sic)</w:t>
      </w:r>
    </w:p>
    <w:p w14:paraId="673E0A4D" w14:textId="77777777" w:rsidR="00473A26" w:rsidRPr="005F5D0B" w:rsidRDefault="00473A26"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124B2628" w14:textId="7E3D4780" w:rsidR="00A8408E" w:rsidRPr="005F5D0B" w:rsidRDefault="001D3081"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5F5D0B">
        <w:rPr>
          <w:rFonts w:ascii="Palatino Linotype" w:eastAsia="Palatino Linotype" w:hAnsi="Palatino Linotype" w:cs="Palatino Linotype"/>
          <w:color w:val="000000" w:themeColor="text1"/>
        </w:rPr>
        <w:t xml:space="preserve">En respuesta el </w:t>
      </w:r>
      <w:r w:rsidRPr="005F5D0B">
        <w:rPr>
          <w:rFonts w:ascii="Palatino Linotype" w:eastAsia="Palatino Linotype" w:hAnsi="Palatino Linotype" w:cs="Palatino Linotype"/>
          <w:b/>
          <w:color w:val="000000" w:themeColor="text1"/>
        </w:rPr>
        <w:t>SUJETO OBLIGADO,</w:t>
      </w:r>
      <w:r w:rsidRPr="005F5D0B">
        <w:rPr>
          <w:rFonts w:ascii="Palatino Linotype" w:eastAsia="Palatino Linotype" w:hAnsi="Palatino Linotype" w:cs="Palatino Linotype"/>
          <w:color w:val="000000" w:themeColor="text1"/>
        </w:rPr>
        <w:t xml:space="preserve"> </w:t>
      </w:r>
      <w:r w:rsidR="00A8408E" w:rsidRPr="005F5D0B">
        <w:rPr>
          <w:rFonts w:ascii="Palatino Linotype" w:eastAsia="Palatino Linotype" w:hAnsi="Palatino Linotype" w:cs="Palatino Linotype"/>
          <w:color w:val="000000" w:themeColor="text1"/>
        </w:rPr>
        <w:t>por medio de la</w:t>
      </w:r>
      <w:r w:rsidR="00A8408E" w:rsidRPr="005F5D0B">
        <w:rPr>
          <w:rFonts w:ascii="Palatino Linotype" w:hAnsi="Palatino Linotype"/>
          <w:color w:val="000000" w:themeColor="text1"/>
        </w:rPr>
        <w:t xml:space="preserve"> Dirección General de Desarrollo Urbano, Ordenamiento Territorial y Obras Publicas y Servidor Público Habilitado, previa búsqueda exhaustiva y razonable, remitió un documento que contiene la información de su competencia, consistente en: Obra, Localidad, Empresa (con la que se contrató cada una de las obras públicas enlistadas) y Monto contratado; asimismo precisó que es el documento con el que se cuenta y en el estado en el que se encuentra en sus archivos. Relativo a la “señalización en un mapa” y la “garantía de las pavimentaciones en 2023”, refirió que no se localizó documento que dé cuenta, al no haberlo generado, poseído, ni administrado; por lo cual, no es factible proporcionarlo. </w:t>
      </w:r>
    </w:p>
    <w:p w14:paraId="670534E2" w14:textId="77777777" w:rsidR="00473A26" w:rsidRPr="005F5D0B" w:rsidRDefault="00473A26"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372FC91D" w14:textId="77777777" w:rsidR="00A8408E" w:rsidRPr="005F5D0B" w:rsidRDefault="00473A26"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5F5D0B">
        <w:rPr>
          <w:rFonts w:ascii="Palatino Linotype" w:eastAsia="Palatino Linotype" w:hAnsi="Palatino Linotype" w:cs="Palatino Linotype"/>
          <w:color w:val="000000" w:themeColor="text1"/>
        </w:rPr>
        <w:t>Posteriormente</w:t>
      </w:r>
      <w:r w:rsidR="001D3081" w:rsidRPr="005F5D0B">
        <w:rPr>
          <w:rFonts w:ascii="Palatino Linotype" w:eastAsia="Palatino Linotype" w:hAnsi="Palatino Linotype" w:cs="Palatino Linotype"/>
          <w:color w:val="000000" w:themeColor="text1"/>
        </w:rPr>
        <w:t xml:space="preserve">, el </w:t>
      </w:r>
      <w:r w:rsidR="001D3081" w:rsidRPr="005F5D0B">
        <w:rPr>
          <w:rFonts w:ascii="Palatino Linotype" w:eastAsia="Palatino Linotype" w:hAnsi="Palatino Linotype" w:cs="Palatino Linotype"/>
          <w:b/>
          <w:color w:val="000000" w:themeColor="text1"/>
        </w:rPr>
        <w:t xml:space="preserve">RECURRENTE </w:t>
      </w:r>
      <w:r w:rsidR="001D3081" w:rsidRPr="005F5D0B">
        <w:rPr>
          <w:rFonts w:ascii="Palatino Linotype" w:eastAsia="Palatino Linotype" w:hAnsi="Palatino Linotype" w:cs="Palatino Linotype"/>
          <w:color w:val="000000" w:themeColor="text1"/>
        </w:rPr>
        <w:t xml:space="preserve">interpuso recurso de revisión </w:t>
      </w:r>
      <w:r w:rsidR="00A8408E" w:rsidRPr="005F5D0B">
        <w:rPr>
          <w:rFonts w:ascii="Palatino Linotype" w:eastAsia="Palatino Linotype" w:hAnsi="Palatino Linotype" w:cs="Palatino Linotype"/>
          <w:color w:val="000000" w:themeColor="text1"/>
        </w:rPr>
        <w:t>en el que se inconformó porque no le fueron entregados los contratos solicitados.</w:t>
      </w:r>
    </w:p>
    <w:p w14:paraId="105FB32C" w14:textId="77777777" w:rsidR="00A8408E" w:rsidRPr="005F5D0B" w:rsidRDefault="00A8408E" w:rsidP="000872AB">
      <w:pPr>
        <w:tabs>
          <w:tab w:val="left" w:pos="0"/>
        </w:tabs>
        <w:rPr>
          <w:rFonts w:ascii="Palatino Linotype" w:eastAsia="Palatino Linotype" w:hAnsi="Palatino Linotype" w:cs="Palatino Linotype"/>
          <w:color w:val="000000" w:themeColor="text1"/>
        </w:rPr>
      </w:pPr>
    </w:p>
    <w:p w14:paraId="2117504F" w14:textId="065C0F59" w:rsidR="00EB0F49" w:rsidRPr="005F5D0B" w:rsidRDefault="001D3081"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5F5D0B">
        <w:rPr>
          <w:rFonts w:ascii="Palatino Linotype" w:eastAsia="Palatino Linotype" w:hAnsi="Palatino Linotype" w:cs="Palatino Linotype"/>
          <w:color w:val="000000" w:themeColor="text1"/>
        </w:rPr>
        <w:t xml:space="preserve">En dichas condiciones, la </w:t>
      </w:r>
      <w:r w:rsidRPr="005F5D0B">
        <w:rPr>
          <w:rFonts w:ascii="Palatino Linotype" w:eastAsia="Palatino Linotype" w:hAnsi="Palatino Linotype" w:cs="Palatino Linotype"/>
          <w:i/>
          <w:color w:val="000000" w:themeColor="text1"/>
        </w:rPr>
        <w:t>Litis</w:t>
      </w:r>
      <w:r w:rsidRPr="005F5D0B">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5F5D0B">
        <w:rPr>
          <w:rFonts w:ascii="Palatino Linotype" w:eastAsia="Palatino Linotype" w:hAnsi="Palatino Linotype" w:cs="Palatino Linotype"/>
          <w:b/>
          <w:color w:val="000000" w:themeColor="text1"/>
        </w:rPr>
        <w:lastRenderedPageBreak/>
        <w:t xml:space="preserve">fracción </w:t>
      </w:r>
      <w:r w:rsidR="00A8408E" w:rsidRPr="005F5D0B">
        <w:rPr>
          <w:rFonts w:ascii="Palatino Linotype" w:eastAsia="Palatino Linotype" w:hAnsi="Palatino Linotype" w:cs="Palatino Linotype"/>
          <w:b/>
          <w:color w:val="000000" w:themeColor="text1"/>
        </w:rPr>
        <w:t xml:space="preserve">V </w:t>
      </w:r>
      <w:r w:rsidRPr="005F5D0B">
        <w:rPr>
          <w:rFonts w:ascii="Palatino Linotype" w:eastAsia="Palatino Linotype" w:hAnsi="Palatino Linotype" w:cs="Palatino Linotype"/>
          <w:color w:val="000000" w:themeColor="text1"/>
        </w:rPr>
        <w:t>de la Ley</w:t>
      </w:r>
      <w:r w:rsidRPr="005F5D0B">
        <w:rPr>
          <w:rFonts w:ascii="Palatino Linotype" w:eastAsia="Palatino Linotype" w:hAnsi="Palatino Linotype" w:cs="Palatino Linotype"/>
          <w:b/>
          <w:color w:val="000000" w:themeColor="text1"/>
        </w:rPr>
        <w:t xml:space="preserve"> de Transparencia y Acceso a la Información Pública del Estado de </w:t>
      </w:r>
      <w:r w:rsidRPr="005F5D0B">
        <w:rPr>
          <w:rFonts w:ascii="Palatino Linotype" w:eastAsia="Palatino Linotype" w:hAnsi="Palatino Linotype" w:cs="Palatino Linotype"/>
          <w:color w:val="000000" w:themeColor="text1"/>
        </w:rPr>
        <w:t>México</w:t>
      </w:r>
      <w:r w:rsidRPr="005F5D0B">
        <w:rPr>
          <w:rFonts w:ascii="Palatino Linotype" w:eastAsia="Palatino Linotype" w:hAnsi="Palatino Linotype" w:cs="Palatino Linotype"/>
          <w:b/>
          <w:color w:val="000000" w:themeColor="text1"/>
        </w:rPr>
        <w:t xml:space="preserve"> y Municipios</w:t>
      </w:r>
      <w:r w:rsidRPr="005F5D0B">
        <w:rPr>
          <w:rFonts w:ascii="Palatino Linotype" w:eastAsia="Palatino Linotype" w:hAnsi="Palatino Linotype" w:cs="Palatino Linotype"/>
          <w:color w:val="000000" w:themeColor="text1"/>
        </w:rPr>
        <w:t>; fracción que determina la h</w:t>
      </w:r>
      <w:r w:rsidR="00473A26" w:rsidRPr="005F5D0B">
        <w:rPr>
          <w:rFonts w:ascii="Palatino Linotype" w:eastAsia="Palatino Linotype" w:hAnsi="Palatino Linotype" w:cs="Palatino Linotype"/>
          <w:color w:val="000000" w:themeColor="text1"/>
        </w:rPr>
        <w:t xml:space="preserve">ipótesis jurídica relativa a </w:t>
      </w:r>
      <w:r w:rsidR="00473A26" w:rsidRPr="005F5D0B">
        <w:rPr>
          <w:rFonts w:ascii="Palatino Linotype" w:eastAsia="Palatino Linotype" w:hAnsi="Palatino Linotype" w:cs="Palatino Linotype"/>
          <w:b/>
          <w:color w:val="000000" w:themeColor="text1"/>
        </w:rPr>
        <w:t>la negativa de la información solicitada.</w:t>
      </w:r>
    </w:p>
    <w:p w14:paraId="167097C8" w14:textId="77777777" w:rsidR="00EB0F49" w:rsidRPr="005F5D0B" w:rsidRDefault="00EB0F49" w:rsidP="000872AB">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b/>
          <w:color w:val="000000" w:themeColor="text1"/>
        </w:rPr>
      </w:pPr>
    </w:p>
    <w:p w14:paraId="787B8628" w14:textId="77777777" w:rsidR="00473A26" w:rsidRPr="005F5D0B" w:rsidRDefault="001D3081" w:rsidP="000872AB">
      <w:pPr>
        <w:pStyle w:val="Ttulo1"/>
        <w:tabs>
          <w:tab w:val="left" w:pos="0"/>
        </w:tabs>
        <w:spacing w:before="0" w:line="360" w:lineRule="auto"/>
        <w:rPr>
          <w:szCs w:val="24"/>
        </w:rPr>
      </w:pPr>
      <w:r w:rsidRPr="005F5D0B">
        <w:rPr>
          <w:szCs w:val="24"/>
        </w:rPr>
        <w:t>CUARTO. Del estudio y resolución del asunto.</w:t>
      </w:r>
    </w:p>
    <w:p w14:paraId="35D696B5" w14:textId="77777777" w:rsidR="00473A26" w:rsidRPr="005F5D0B" w:rsidRDefault="00473A26" w:rsidP="000872AB">
      <w:pPr>
        <w:tabs>
          <w:tab w:val="left" w:pos="0"/>
        </w:tabs>
        <w:rPr>
          <w:rFonts w:ascii="Palatino Linotype" w:hAnsi="Palatino Linotype"/>
          <w:color w:val="000000" w:themeColor="text1"/>
          <w:lang w:val="es-MX" w:eastAsia="en-US"/>
        </w:rPr>
      </w:pPr>
    </w:p>
    <w:p w14:paraId="04606012" w14:textId="77777777" w:rsidR="00EB0F49" w:rsidRPr="005F5D0B" w:rsidRDefault="001D3081"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t xml:space="preserve">Acotada la </w:t>
      </w:r>
      <w:r w:rsidRPr="005F5D0B">
        <w:rPr>
          <w:rFonts w:ascii="Palatino Linotype" w:eastAsia="Palatino Linotype" w:hAnsi="Palatino Linotype" w:cs="Palatino Linotype"/>
          <w:i/>
          <w:color w:val="000000" w:themeColor="text1"/>
        </w:rPr>
        <w:t>Litis</w:t>
      </w:r>
      <w:r w:rsidRPr="005F5D0B">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00523C81" w14:textId="77777777" w:rsidR="00EB0F49" w:rsidRPr="005F5D0B" w:rsidRDefault="00EB0F49" w:rsidP="000872AB">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6DE7C98C" w14:textId="77777777" w:rsidR="00EB0F49" w:rsidRPr="005F5D0B" w:rsidRDefault="001D3081"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2BF1E6" w14:textId="77777777" w:rsidR="00EB0F49" w:rsidRPr="005F5D0B" w:rsidRDefault="00EB0F49" w:rsidP="000872AB">
      <w:pPr>
        <w:tabs>
          <w:tab w:val="left" w:pos="0"/>
        </w:tabs>
        <w:spacing w:line="360" w:lineRule="auto"/>
        <w:jc w:val="both"/>
        <w:rPr>
          <w:rFonts w:ascii="Palatino Linotype" w:eastAsia="Palatino Linotype" w:hAnsi="Palatino Linotype" w:cs="Palatino Linotype"/>
          <w:color w:val="000000" w:themeColor="text1"/>
        </w:rPr>
      </w:pPr>
    </w:p>
    <w:p w14:paraId="60EBFE50" w14:textId="77777777" w:rsidR="00EB0F49" w:rsidRPr="005F5D0B" w:rsidRDefault="001D3081"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8882358" w14:textId="77777777" w:rsidR="00EB0F49" w:rsidRPr="005F5D0B" w:rsidRDefault="00EB0F49" w:rsidP="000872AB">
      <w:pPr>
        <w:pBdr>
          <w:top w:val="nil"/>
          <w:left w:val="nil"/>
          <w:bottom w:val="nil"/>
          <w:right w:val="nil"/>
          <w:between w:val="nil"/>
        </w:pBdr>
        <w:tabs>
          <w:tab w:val="left" w:pos="0"/>
        </w:tabs>
        <w:spacing w:line="360" w:lineRule="auto"/>
        <w:ind w:left="708"/>
        <w:rPr>
          <w:rFonts w:ascii="Palatino Linotype" w:eastAsia="Palatino Linotype" w:hAnsi="Palatino Linotype" w:cs="Palatino Linotype"/>
          <w:color w:val="000000" w:themeColor="text1"/>
        </w:rPr>
      </w:pPr>
    </w:p>
    <w:p w14:paraId="79C0D077" w14:textId="77777777" w:rsidR="00EB0F49" w:rsidRPr="005F5D0B" w:rsidRDefault="001D3081"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50A5BD7" w14:textId="77777777" w:rsidR="00EB0F49" w:rsidRPr="005F5D0B" w:rsidRDefault="00EB0F4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0A4A4AFD" w14:textId="2CDF5B79" w:rsidR="00993E1F" w:rsidRPr="005F5D0B" w:rsidRDefault="001D3081"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t>Acotada la Litis del presente asunto, es de</w:t>
      </w:r>
      <w:r w:rsidR="00475E8A" w:rsidRPr="005F5D0B">
        <w:rPr>
          <w:rFonts w:ascii="Palatino Linotype" w:eastAsia="Palatino Linotype" w:hAnsi="Palatino Linotype" w:cs="Palatino Linotype"/>
          <w:color w:val="000000" w:themeColor="text1"/>
        </w:rPr>
        <w:t xml:space="preserve"> </w:t>
      </w:r>
      <w:r w:rsidR="00993E1F" w:rsidRPr="005F5D0B">
        <w:rPr>
          <w:rFonts w:ascii="Palatino Linotype" w:eastAsia="Palatino Linotype" w:hAnsi="Palatino Linotype" w:cs="Palatino Linotype"/>
          <w:color w:val="000000" w:themeColor="text1"/>
        </w:rPr>
        <w:t xml:space="preserve">reiterar </w:t>
      </w:r>
      <w:r w:rsidR="00475E8A" w:rsidRPr="005F5D0B">
        <w:rPr>
          <w:rFonts w:ascii="Palatino Linotype" w:eastAsia="Palatino Linotype" w:hAnsi="Palatino Linotype" w:cs="Palatino Linotype"/>
          <w:color w:val="000000" w:themeColor="text1"/>
        </w:rPr>
        <w:t xml:space="preserve">que el Particular </w:t>
      </w:r>
      <w:r w:rsidR="00993E1F" w:rsidRPr="005F5D0B">
        <w:rPr>
          <w:rFonts w:ascii="Palatino Linotype" w:eastAsia="Palatino Linotype" w:hAnsi="Palatino Linotype" w:cs="Palatino Linotype"/>
          <w:color w:val="000000" w:themeColor="text1"/>
        </w:rPr>
        <w:t xml:space="preserve">solicitó: </w:t>
      </w:r>
      <w:r w:rsidR="00993E1F" w:rsidRPr="005F5D0B">
        <w:rPr>
          <w:rFonts w:ascii="Palatino Linotype" w:eastAsia="Palatino Linotype" w:hAnsi="Palatino Linotype" w:cs="Palatino Linotype"/>
          <w:b/>
          <w:color w:val="000000" w:themeColor="text1"/>
        </w:rPr>
        <w:t xml:space="preserve">el número de </w:t>
      </w:r>
      <w:r w:rsidR="00993E1F" w:rsidRPr="005F5D0B">
        <w:rPr>
          <w:rFonts w:ascii="Palatino Linotype" w:hAnsi="Palatino Linotype"/>
          <w:b/>
          <w:color w:val="000000" w:themeColor="text1"/>
        </w:rPr>
        <w:t>calles que se pavimentaron o reencarpetaron en el Municipio de Toluca en 2023 y señalarlas en un mapa, asimismo, el costo de la obra y el contrato con la empresa que la realizó o la garantía.</w:t>
      </w:r>
    </w:p>
    <w:p w14:paraId="1D8011F8" w14:textId="77777777" w:rsidR="00475E8A" w:rsidRPr="005F5D0B" w:rsidRDefault="00475E8A"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074272D" w14:textId="38E82196" w:rsidR="00993E1F" w:rsidRPr="005F5D0B" w:rsidRDefault="00993E1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t xml:space="preserve">En respuesta, el </w:t>
      </w:r>
      <w:r w:rsidRPr="005F5D0B">
        <w:rPr>
          <w:rFonts w:ascii="Palatino Linotype" w:eastAsia="Palatino Linotype" w:hAnsi="Palatino Linotype" w:cs="Palatino Linotype"/>
          <w:b/>
          <w:color w:val="000000" w:themeColor="text1"/>
        </w:rPr>
        <w:t>SUJETO OBLIGADO,</w:t>
      </w:r>
      <w:r w:rsidRPr="005F5D0B">
        <w:rPr>
          <w:rFonts w:ascii="Palatino Linotype" w:eastAsia="Palatino Linotype" w:hAnsi="Palatino Linotype" w:cs="Palatino Linotype"/>
          <w:color w:val="000000" w:themeColor="text1"/>
        </w:rPr>
        <w:t xml:space="preserve"> por medio de la</w:t>
      </w:r>
      <w:r w:rsidRPr="005F5D0B">
        <w:rPr>
          <w:rFonts w:ascii="Palatino Linotype" w:hAnsi="Palatino Linotype"/>
          <w:color w:val="000000" w:themeColor="text1"/>
        </w:rPr>
        <w:t xml:space="preserve"> Dirección General de Desarrollo Urbano, Ordenamiento Territorial y Obras Publicas y Servidor Público Habilitado, previa búsqueda exhaustiva y razonable, remitió un documento que contiene la información de su competencia, consistente en: Obra, Localidad, Empresa (con la que se contrató cada una de las obras públicas enlistadas) y Monto contratado; asimismo </w:t>
      </w:r>
      <w:r w:rsidRPr="005F5D0B">
        <w:rPr>
          <w:rFonts w:ascii="Palatino Linotype" w:hAnsi="Palatino Linotype"/>
          <w:color w:val="000000" w:themeColor="text1"/>
        </w:rPr>
        <w:lastRenderedPageBreak/>
        <w:t xml:space="preserve">precisó que es el documento con el que se cuenta y en el estado en el que se encuentra en sus archivos. Relativo a la “señalización en un mapa” y la “garantía de las pavimentaciones en 2023”, refirió que no se localizó documento que dé cuenta, al no haberlo generado, poseído, ni administrado; por lo cual, no es factible proporcionarlo. </w:t>
      </w:r>
    </w:p>
    <w:p w14:paraId="131CBE3A" w14:textId="77777777" w:rsidR="00993E1F" w:rsidRPr="005F5D0B" w:rsidRDefault="00993E1F" w:rsidP="000872AB">
      <w:pPr>
        <w:tabs>
          <w:tab w:val="left" w:pos="0"/>
        </w:tabs>
        <w:rPr>
          <w:rFonts w:ascii="Palatino Linotype" w:eastAsia="Palatino Linotype" w:hAnsi="Palatino Linotype" w:cs="Palatino Linotype"/>
          <w:color w:val="000000" w:themeColor="text1"/>
        </w:rPr>
      </w:pPr>
    </w:p>
    <w:p w14:paraId="0B86B0C8" w14:textId="77777777" w:rsidR="00131F79" w:rsidRPr="005F5D0B" w:rsidRDefault="00993E1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t xml:space="preserve">Posteriormente, el </w:t>
      </w:r>
      <w:r w:rsidRPr="005F5D0B">
        <w:rPr>
          <w:rFonts w:ascii="Palatino Linotype" w:eastAsia="Palatino Linotype" w:hAnsi="Palatino Linotype" w:cs="Palatino Linotype"/>
          <w:b/>
          <w:color w:val="000000" w:themeColor="text1"/>
        </w:rPr>
        <w:t xml:space="preserve">RECURRENTE </w:t>
      </w:r>
      <w:r w:rsidRPr="005F5D0B">
        <w:rPr>
          <w:rFonts w:ascii="Palatino Linotype" w:eastAsia="Palatino Linotype" w:hAnsi="Palatino Linotype" w:cs="Palatino Linotype"/>
          <w:color w:val="000000" w:themeColor="text1"/>
        </w:rPr>
        <w:t>interpuso recurso de revisión en el que se inconformó porque no le fueron entregados los contratos solicitados.</w:t>
      </w:r>
    </w:p>
    <w:p w14:paraId="7E85645F" w14:textId="77777777" w:rsidR="00131F79" w:rsidRPr="005F5D0B" w:rsidRDefault="00131F7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19B3060" w14:textId="77777777" w:rsidR="00131F79" w:rsidRPr="005F5D0B" w:rsidRDefault="00131F79"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hAnsi="Palatino Linotype"/>
          <w:color w:val="000000" w:themeColor="text1"/>
        </w:rPr>
        <w:t xml:space="preserve">En </w:t>
      </w:r>
      <w:r w:rsidRPr="005F5D0B">
        <w:rPr>
          <w:rFonts w:ascii="Palatino Linotype" w:eastAsia="Palatino Linotype" w:hAnsi="Palatino Linotype" w:cs="Palatino Linotype"/>
          <w:color w:val="000000" w:themeColor="text1"/>
        </w:rPr>
        <w:t xml:space="preserve">este sentido, </w:t>
      </w:r>
      <w:r w:rsidRPr="005F5D0B">
        <w:rPr>
          <w:rFonts w:ascii="Palatino Linotype" w:eastAsia="MS Mincho" w:hAnsi="Palatino Linotype" w:cs="Arial"/>
          <w:bCs/>
          <w:color w:val="000000" w:themeColor="text1"/>
        </w:rPr>
        <w:t xml:space="preserve">resulta necesario señalar que, </w:t>
      </w:r>
      <w:r w:rsidRPr="005F5D0B">
        <w:rPr>
          <w:rFonts w:ascii="Palatino Linotype" w:eastAsia="MS Gothic" w:hAnsi="Palatino Linotype" w:cstheme="majorBidi"/>
          <w:color w:val="000000" w:themeColor="text1"/>
        </w:rPr>
        <w:t xml:space="preserve">el </w:t>
      </w:r>
      <w:r w:rsidRPr="005F5D0B">
        <w:rPr>
          <w:rFonts w:ascii="Palatino Linotype" w:eastAsia="MS Gothic" w:hAnsi="Palatino Linotype" w:cstheme="majorBidi"/>
          <w:b/>
          <w:bCs/>
          <w:color w:val="000000" w:themeColor="text1"/>
        </w:rPr>
        <w:t>RECURRENTE</w:t>
      </w:r>
      <w:r w:rsidRPr="005F5D0B">
        <w:rPr>
          <w:rFonts w:ascii="Palatino Linotype" w:eastAsia="MS Gothic" w:hAnsi="Palatino Linotype" w:cstheme="majorBidi"/>
          <w:b/>
          <w:color w:val="000000" w:themeColor="text1"/>
        </w:rPr>
        <w:t xml:space="preserve"> </w:t>
      </w:r>
      <w:r w:rsidRPr="005F5D0B">
        <w:rPr>
          <w:rFonts w:ascii="Palatino Linotype" w:eastAsia="MS Gothic" w:hAnsi="Palatino Linotype" w:cstheme="majorBidi"/>
          <w:color w:val="000000" w:themeColor="text1"/>
        </w:rPr>
        <w:t xml:space="preserve">no se inconformó por la totalidad de la respuesta. Bajo ese tenor, se tiene que la parte de la respuesta que no fue impugnada debe declararse como consentida, toda vez que, </w:t>
      </w:r>
      <w:r w:rsidRPr="005F5D0B">
        <w:rPr>
          <w:rFonts w:ascii="Palatino Linotype" w:eastAsia="Palatino Linotype" w:hAnsi="Palatino Linotype" w:cs="Palatino Linotype"/>
          <w:color w:val="000000" w:themeColor="text1"/>
        </w:rPr>
        <w:t xml:space="preserve">al no haber realizado manifestaciones de inconformidad al respecto, se infiere que la información proporcionada por el </w:t>
      </w:r>
      <w:r w:rsidRPr="005F5D0B">
        <w:rPr>
          <w:rFonts w:ascii="Palatino Linotype" w:eastAsia="Palatino Linotype" w:hAnsi="Palatino Linotype" w:cs="Palatino Linotype"/>
          <w:b/>
          <w:color w:val="000000" w:themeColor="text1"/>
        </w:rPr>
        <w:t>SUJETO OBLIGADO</w:t>
      </w:r>
      <w:r w:rsidRPr="005F5D0B">
        <w:rPr>
          <w:rFonts w:ascii="Palatino Linotype" w:eastAsia="Palatino Linotype" w:hAnsi="Palatino Linotype" w:cs="Palatino Linotype"/>
          <w:color w:val="000000" w:themeColor="text1"/>
        </w:rPr>
        <w:t xml:space="preserve"> satisface este punto de la solicitud presentada. </w:t>
      </w:r>
    </w:p>
    <w:p w14:paraId="328323CE" w14:textId="77777777" w:rsidR="00131F79" w:rsidRPr="005F5D0B" w:rsidRDefault="00131F7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B0EC880" w14:textId="77777777" w:rsidR="00131F79" w:rsidRPr="005F5D0B" w:rsidRDefault="00131F79"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Calibri" w:hAnsi="Palatino Linotype" w:cs="Arial"/>
          <w:color w:val="000000" w:themeColor="text1"/>
          <w:lang w:val="es-ES"/>
        </w:rPr>
        <w:t xml:space="preserve">Lo </w:t>
      </w:r>
      <w:r w:rsidRPr="005F5D0B">
        <w:rPr>
          <w:rFonts w:ascii="Palatino Linotype" w:eastAsia="Palatino Linotype" w:hAnsi="Palatino Linotype" w:cs="Palatino Linotype"/>
          <w:color w:val="000000" w:themeColor="text1"/>
        </w:rPr>
        <w:t xml:space="preserve">anterior es así, debido a que cuando un Recurrente impugna la respuesta del </w:t>
      </w:r>
      <w:r w:rsidRPr="005F5D0B">
        <w:rPr>
          <w:rFonts w:ascii="Palatino Linotype" w:eastAsia="Palatino Linotype" w:hAnsi="Palatino Linotype" w:cs="Palatino Linotype"/>
          <w:b/>
          <w:color w:val="000000" w:themeColor="text1"/>
        </w:rPr>
        <w:t>SUJETO OBLIGADO</w:t>
      </w:r>
      <w:r w:rsidRPr="005F5D0B">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09D66F0" w14:textId="77777777" w:rsidR="00131F79" w:rsidRPr="005F5D0B" w:rsidRDefault="00131F79" w:rsidP="000872AB">
      <w:pPr>
        <w:pBdr>
          <w:top w:val="nil"/>
          <w:left w:val="nil"/>
          <w:bottom w:val="nil"/>
          <w:right w:val="nil"/>
          <w:between w:val="nil"/>
        </w:pBdr>
        <w:tabs>
          <w:tab w:val="left" w:pos="0"/>
        </w:tabs>
        <w:spacing w:line="360" w:lineRule="auto"/>
        <w:jc w:val="both"/>
        <w:rPr>
          <w:rFonts w:ascii="Palatino Linotype" w:eastAsia="Calibri" w:hAnsi="Palatino Linotype" w:cs="Arial"/>
          <w:color w:val="000000" w:themeColor="text1"/>
          <w:lang w:val="es-ES"/>
        </w:rPr>
      </w:pPr>
    </w:p>
    <w:p w14:paraId="44676267" w14:textId="2C354CEC" w:rsidR="00131F79" w:rsidRPr="005F5D0B" w:rsidRDefault="00131F79" w:rsidP="000872AB">
      <w:pPr>
        <w:pStyle w:val="Prrafodelista"/>
        <w:tabs>
          <w:tab w:val="left" w:pos="0"/>
        </w:tabs>
        <w:ind w:left="567"/>
        <w:jc w:val="both"/>
        <w:rPr>
          <w:rFonts w:ascii="Palatino Linotype" w:eastAsia="Palatino Linotype" w:hAnsi="Palatino Linotype" w:cs="Palatino Linotype"/>
          <w:i/>
          <w:color w:val="000000" w:themeColor="text1"/>
        </w:rPr>
      </w:pPr>
      <w:r w:rsidRPr="005F5D0B">
        <w:rPr>
          <w:rFonts w:ascii="Palatino Linotype" w:eastAsia="Palatino Linotype" w:hAnsi="Palatino Linotype" w:cs="Palatino Linotype"/>
          <w:b/>
          <w:i/>
          <w:color w:val="000000" w:themeColor="text1"/>
        </w:rPr>
        <w:lastRenderedPageBreak/>
        <w:t xml:space="preserve">“REVISIÓN EN AMPARO. LOS RESOLUTIVOS NO COMBATIDOS DEBEN DECLARARSE FIRMES. </w:t>
      </w:r>
      <w:r w:rsidRPr="005F5D0B">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D36F17E" w14:textId="77777777" w:rsidR="00131F79" w:rsidRPr="005F5D0B" w:rsidRDefault="00131F7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D523E3A" w14:textId="77777777" w:rsidR="00131F79" w:rsidRPr="005F5D0B" w:rsidRDefault="00131F79"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Calibri" w:hAnsi="Palatino Linotype" w:cs="Arial"/>
          <w:color w:val="000000" w:themeColor="text1"/>
          <w:lang w:val="es-ES"/>
        </w:rPr>
        <w:t xml:space="preserve">Consecuentemente, </w:t>
      </w:r>
      <w:r w:rsidRPr="005F5D0B">
        <w:rPr>
          <w:rFonts w:ascii="Palatino Linotype" w:eastAsia="Palatino Linotype" w:hAnsi="Palatino Linotype" w:cs="Palatino Linotype"/>
          <w:color w:val="000000" w:themeColor="text1"/>
        </w:rPr>
        <w:t xml:space="preserve">se reitera que la parte de la solicitud que no fue impugnada debe declararse consentida por el </w:t>
      </w:r>
      <w:r w:rsidRPr="005F5D0B">
        <w:rPr>
          <w:rFonts w:ascii="Palatino Linotype" w:eastAsia="Palatino Linotype" w:hAnsi="Palatino Linotype" w:cs="Palatino Linotype"/>
          <w:b/>
          <w:bCs/>
          <w:color w:val="000000" w:themeColor="text1"/>
        </w:rPr>
        <w:t>RECURRENTE</w:t>
      </w:r>
      <w:r w:rsidRPr="005F5D0B">
        <w:rPr>
          <w:rFonts w:ascii="Palatino Linotype" w:eastAsia="Palatino Linotype" w:hAnsi="Palatino Linotype" w:cs="Palatino Linotype"/>
          <w:color w:val="000000" w:themeColor="text1"/>
        </w:rPr>
        <w:t>, debido a que no se realizaron manifestaciones de inconformidad, por</w:t>
      </w:r>
      <w:r w:rsidRPr="005F5D0B">
        <w:rPr>
          <w:rFonts w:ascii="Palatino Linotype" w:eastAsia="Palatino Linotype" w:hAnsi="Palatino Linotype" w:cs="Palatino Linotype"/>
          <w:bCs/>
          <w:color w:val="000000" w:themeColor="text1"/>
        </w:rPr>
        <w:t xml:space="preserve"> lo que no pueden producirse efectos jurídicos tendentes a revocar, confirmar o modificar el acto reclamado ya que se infiere un consentimiento del Recurrente</w:t>
      </w:r>
      <w:r w:rsidRPr="005F5D0B">
        <w:rPr>
          <w:rFonts w:ascii="Palatino Linotype" w:eastAsia="Palatino Linotype" w:hAnsi="Palatino Linotype" w:cs="Palatino Linotype"/>
          <w:b/>
          <w:color w:val="000000" w:themeColor="text1"/>
        </w:rPr>
        <w:t xml:space="preserve"> </w:t>
      </w:r>
      <w:r w:rsidRPr="005F5D0B">
        <w:rPr>
          <w:rFonts w:ascii="Palatino Linotype" w:eastAsia="Palatino Linotype" w:hAnsi="Palatino Linotype" w:cs="Palatino Linotype"/>
          <w:color w:val="000000" w:themeColor="text1"/>
        </w:rPr>
        <w:t>ante la falta de impugnación eficaz.</w:t>
      </w:r>
    </w:p>
    <w:p w14:paraId="09694C40" w14:textId="77777777" w:rsidR="00131F79" w:rsidRPr="005F5D0B" w:rsidRDefault="00131F7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6FB5041" w14:textId="77777777" w:rsidR="00131F79" w:rsidRPr="005F5D0B" w:rsidRDefault="00131F79"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Calibri" w:hAnsi="Palatino Linotype" w:cs="Arial"/>
          <w:color w:val="000000" w:themeColor="text1"/>
          <w:lang w:val="es-ES"/>
        </w:rPr>
        <w:t xml:space="preserve">Sirve </w:t>
      </w:r>
      <w:r w:rsidRPr="005F5D0B">
        <w:rPr>
          <w:rFonts w:ascii="Palatino Linotype" w:eastAsia="Palatino Linotype" w:hAnsi="Palatino Linotype" w:cs="Palatino Linotype"/>
          <w:color w:val="000000" w:themeColor="text1"/>
        </w:rPr>
        <w:t>de sustento a lo anterior por analogía la tesis jurisprudencial número VI.3o.C. J/60, publicada en el Semanario Judicial de la Federación y su Gaceta bajo el número de registro 176,608 que a la letra dice:</w:t>
      </w:r>
    </w:p>
    <w:p w14:paraId="3D34AC13" w14:textId="77777777" w:rsidR="00131F79" w:rsidRPr="005F5D0B" w:rsidRDefault="00131F79" w:rsidP="000872AB">
      <w:pPr>
        <w:pBdr>
          <w:top w:val="nil"/>
          <w:left w:val="nil"/>
          <w:bottom w:val="nil"/>
          <w:right w:val="nil"/>
          <w:between w:val="nil"/>
        </w:pBdr>
        <w:tabs>
          <w:tab w:val="left" w:pos="0"/>
        </w:tabs>
        <w:spacing w:line="360" w:lineRule="auto"/>
        <w:jc w:val="both"/>
        <w:rPr>
          <w:rFonts w:ascii="Palatino Linotype" w:eastAsia="Calibri" w:hAnsi="Palatino Linotype" w:cs="Arial"/>
          <w:color w:val="000000" w:themeColor="text1"/>
          <w:lang w:val="es-ES"/>
        </w:rPr>
      </w:pPr>
    </w:p>
    <w:p w14:paraId="47A33338" w14:textId="2CFD3F2B" w:rsidR="00131F79" w:rsidRPr="005F5D0B" w:rsidRDefault="00131F79" w:rsidP="000872AB">
      <w:pPr>
        <w:pStyle w:val="Prrafodelista"/>
        <w:tabs>
          <w:tab w:val="left" w:pos="0"/>
        </w:tabs>
        <w:ind w:left="567"/>
        <w:jc w:val="both"/>
        <w:rPr>
          <w:rFonts w:ascii="Palatino Linotype" w:eastAsia="Palatino Linotype" w:hAnsi="Palatino Linotype" w:cs="Palatino Linotype"/>
          <w:i/>
          <w:color w:val="000000" w:themeColor="text1"/>
        </w:rPr>
      </w:pPr>
      <w:r w:rsidRPr="005F5D0B">
        <w:rPr>
          <w:rFonts w:ascii="Palatino Linotype" w:eastAsia="Palatino Linotype" w:hAnsi="Palatino Linotype" w:cs="Palatino Linotype"/>
          <w:b/>
          <w:i/>
          <w:smallCaps/>
          <w:color w:val="000000" w:themeColor="text1"/>
        </w:rPr>
        <w:t xml:space="preserve">ACTOS CONSENTIDOS. SON LOS QUE NO SE IMPUGNAN MEDIANTE EL RECURSO IDÓNEO. </w:t>
      </w:r>
      <w:r w:rsidRPr="005F5D0B">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AF0C2DC" w14:textId="77777777" w:rsidR="00131F79" w:rsidRPr="005F5D0B" w:rsidRDefault="00131F7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24000ED" w14:textId="77777777" w:rsidR="00131F79" w:rsidRPr="005F5D0B" w:rsidRDefault="00131F79"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Calibri" w:hAnsi="Palatino Linotype" w:cs="Arial"/>
          <w:color w:val="000000" w:themeColor="text1"/>
          <w:lang w:val="es-ES"/>
        </w:rPr>
        <w:lastRenderedPageBreak/>
        <w:t xml:space="preserve">Para </w:t>
      </w:r>
      <w:r w:rsidRPr="005F5D0B">
        <w:rPr>
          <w:rFonts w:ascii="Palatino Linotype" w:eastAsia="Palatino Linotype" w:hAnsi="Palatino Linotype" w:cs="Palatino Linotype"/>
          <w:color w:val="000000" w:themeColor="text1"/>
        </w:rPr>
        <w:t>mayor abundamiento, también resulta aplicable el criterio 01/20 emitido por el Instituto Nacional de Transparencia, Acceso a la Información Pública y Protección de Datos Personales, que a la letra estipula lo siguiente:</w:t>
      </w:r>
    </w:p>
    <w:p w14:paraId="4A6C78EA" w14:textId="77777777" w:rsidR="00131F79" w:rsidRPr="005F5D0B" w:rsidRDefault="00131F7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E679355" w14:textId="46DC3E72" w:rsidR="00131F79" w:rsidRPr="005F5D0B" w:rsidRDefault="00131F79" w:rsidP="000872AB">
      <w:pPr>
        <w:pStyle w:val="Prrafodelista"/>
        <w:tabs>
          <w:tab w:val="left" w:pos="0"/>
          <w:tab w:val="left" w:pos="8789"/>
        </w:tabs>
        <w:ind w:left="567"/>
        <w:jc w:val="both"/>
        <w:rPr>
          <w:rFonts w:ascii="Palatino Linotype" w:eastAsia="Palatino Linotype" w:hAnsi="Palatino Linotype" w:cs="Palatino Linotype"/>
          <w:i/>
          <w:color w:val="000000" w:themeColor="text1"/>
        </w:rPr>
      </w:pPr>
      <w:r w:rsidRPr="005F5D0B">
        <w:rPr>
          <w:rFonts w:ascii="Palatino Linotype" w:eastAsia="Palatino Linotype" w:hAnsi="Palatino Linotype" w:cs="Palatino Linotype"/>
          <w:b/>
          <w:i/>
          <w:color w:val="000000" w:themeColor="text1"/>
        </w:rPr>
        <w:t>Actos consentidos tácitamente. Improcedencia de su análisis.</w:t>
      </w:r>
      <w:r w:rsidRPr="005F5D0B">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68BF40E" w14:textId="77777777" w:rsidR="00131F79" w:rsidRPr="005F5D0B" w:rsidRDefault="00131F7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C86D7DA" w14:textId="39C982AB" w:rsidR="00131F79" w:rsidRPr="005F5D0B" w:rsidRDefault="00131F79"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5F5D0B">
        <w:rPr>
          <w:rFonts w:ascii="Palatino Linotype" w:eastAsia="Calibri" w:hAnsi="Palatino Linotype" w:cs="Arial"/>
          <w:color w:val="000000" w:themeColor="text1"/>
          <w:lang w:val="es-ES"/>
        </w:rPr>
        <w:t xml:space="preserve">De </w:t>
      </w:r>
      <w:r w:rsidRPr="005F5D0B">
        <w:rPr>
          <w:rFonts w:ascii="Palatino Linotype" w:eastAsia="Palatino Linotype" w:hAnsi="Palatino Linotype" w:cs="Palatino Linotype"/>
          <w:color w:val="000000" w:themeColor="text1"/>
        </w:rPr>
        <w:t xml:space="preserve">lo referido, y a efecto de garantizar el efectivo ejercicio del derecho de acceso a la información pública que asiste al </w:t>
      </w:r>
      <w:r w:rsidRPr="005F5D0B">
        <w:rPr>
          <w:rFonts w:ascii="Palatino Linotype" w:eastAsia="Palatino Linotype" w:hAnsi="Palatino Linotype" w:cs="Palatino Linotype"/>
          <w:b/>
          <w:color w:val="000000" w:themeColor="text1"/>
        </w:rPr>
        <w:t>RECURRENTE</w:t>
      </w:r>
      <w:r w:rsidRPr="005F5D0B">
        <w:rPr>
          <w:rFonts w:ascii="Palatino Linotype" w:eastAsia="Palatino Linotype" w:hAnsi="Palatino Linotype" w:cs="Palatino Linotype"/>
          <w:color w:val="000000" w:themeColor="text1"/>
        </w:rPr>
        <w:t>, resulta conveniente precisar que el presente análisis versará únicamente sobre</w:t>
      </w:r>
      <w:r w:rsidRPr="005F5D0B">
        <w:rPr>
          <w:rFonts w:ascii="Palatino Linotype" w:eastAsia="Palatino Linotype" w:hAnsi="Palatino Linotype" w:cs="Palatino Linotype"/>
          <w:bCs/>
          <w:color w:val="000000" w:themeColor="text1"/>
        </w:rPr>
        <w:t xml:space="preserve"> lo relativo a los </w:t>
      </w:r>
      <w:r w:rsidRPr="005F5D0B">
        <w:rPr>
          <w:rFonts w:ascii="Palatino Linotype" w:eastAsia="Palatino Linotype" w:hAnsi="Palatino Linotype" w:cs="Palatino Linotype"/>
          <w:b/>
          <w:bCs/>
          <w:color w:val="000000" w:themeColor="text1"/>
        </w:rPr>
        <w:t>contratos solicitados.</w:t>
      </w:r>
    </w:p>
    <w:p w14:paraId="03FB7878" w14:textId="77777777" w:rsidR="00131F79" w:rsidRPr="005F5D0B" w:rsidRDefault="00131F7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7A8B185" w14:textId="77777777" w:rsidR="00131F79" w:rsidRPr="005F5D0B" w:rsidRDefault="00131F79"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t xml:space="preserve">Precisado lo anterior, cabe destacar que mediante un acto jurídico posterior como lo es el informe justificado, el </w:t>
      </w:r>
      <w:r w:rsidRPr="005F5D0B">
        <w:rPr>
          <w:rFonts w:ascii="Palatino Linotype" w:eastAsia="Palatino Linotype" w:hAnsi="Palatino Linotype" w:cs="Palatino Linotype"/>
          <w:b/>
          <w:color w:val="000000" w:themeColor="text1"/>
        </w:rPr>
        <w:t xml:space="preserve">SUJETO OBLIGADO </w:t>
      </w:r>
      <w:r w:rsidRPr="005F5D0B">
        <w:rPr>
          <w:rFonts w:ascii="Palatino Linotype" w:eastAsia="Palatino Linotype" w:hAnsi="Palatino Linotype" w:cs="Palatino Linotype"/>
          <w:color w:val="000000" w:themeColor="text1"/>
        </w:rPr>
        <w:t>por medio de la Dirección General de Obras Públicas manifestó modificar la respuesta inicial, al localizar 14 contratos solicitados, los cuales, adjuntó en versión pública autorizada en el Acta de la Centésima Trigésima Novena Sesión Extraordinaria del Comité de Transparencia.</w:t>
      </w:r>
    </w:p>
    <w:p w14:paraId="3A1E3A36" w14:textId="77777777" w:rsidR="00131F79" w:rsidRPr="005F5D0B" w:rsidRDefault="00131F7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2926AF4" w14:textId="7A98B655" w:rsidR="00131F79" w:rsidRPr="005F5D0B" w:rsidRDefault="00AB673E"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t>Así</w:t>
      </w:r>
      <w:r w:rsidR="00131F79" w:rsidRPr="005F5D0B">
        <w:rPr>
          <w:rFonts w:ascii="Palatino Linotype" w:eastAsia="Palatino Linotype" w:hAnsi="Palatino Linotype" w:cs="Palatino Linotype"/>
          <w:color w:val="000000" w:themeColor="text1"/>
        </w:rPr>
        <w:t xml:space="preserve">, es necesario señalar que </w:t>
      </w:r>
      <w:r w:rsidR="00131F79" w:rsidRPr="005F5D0B">
        <w:rPr>
          <w:rFonts w:ascii="Palatino Linotype" w:hAnsi="Palatino Linotype"/>
          <w:color w:val="000000" w:themeColor="text1"/>
        </w:rPr>
        <w:t xml:space="preserve">se obvia el análisis de la competencia por parte del </w:t>
      </w:r>
      <w:r w:rsidR="00131F79" w:rsidRPr="005F5D0B">
        <w:rPr>
          <w:rFonts w:ascii="Palatino Linotype" w:hAnsi="Palatino Linotype"/>
          <w:b/>
          <w:bCs/>
          <w:color w:val="000000" w:themeColor="text1"/>
        </w:rPr>
        <w:t>SUJETO OBLIGADO</w:t>
      </w:r>
      <w:r w:rsidR="00131F79" w:rsidRPr="005F5D0B">
        <w:rPr>
          <w:rFonts w:ascii="Palatino Linotype" w:hAnsi="Palatino Linotype"/>
          <w:color w:val="000000" w:themeColor="text1"/>
        </w:rPr>
        <w:t>, para generar, administrar o poseer la información solicitada, dado que éste ha asumido la misma, tan es así que hizo entrega de los contratos solicitados.</w:t>
      </w:r>
    </w:p>
    <w:p w14:paraId="7DFC5F3D" w14:textId="77777777" w:rsidR="00131F79" w:rsidRPr="005F5D0B" w:rsidRDefault="00131F7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B6F79F7" w14:textId="4F97E6D8" w:rsidR="00131F79" w:rsidRPr="005F5D0B" w:rsidRDefault="00131F79"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lastRenderedPageBreak/>
        <w:t xml:space="preserve">En </w:t>
      </w:r>
      <w:r w:rsidRPr="005F5D0B">
        <w:rPr>
          <w:rFonts w:ascii="Palatino Linotype" w:hAnsi="Palatino Linotype" w:cs="Arial"/>
          <w:color w:val="000000" w:themeColor="text1"/>
        </w:rPr>
        <w:t xml:space="preserve">este sentido, </w:t>
      </w:r>
      <w:r w:rsidRPr="005F5D0B">
        <w:rPr>
          <w:rFonts w:ascii="Palatino Linotype" w:hAnsi="Palatino Linotype"/>
          <w:color w:val="000000" w:themeColor="text1"/>
        </w:rPr>
        <w:t>el hecho de que el</w:t>
      </w:r>
      <w:r w:rsidRPr="005F5D0B">
        <w:rPr>
          <w:rFonts w:ascii="Palatino Linotype" w:hAnsi="Palatino Linotype"/>
          <w:b/>
          <w:bCs/>
          <w:color w:val="000000" w:themeColor="text1"/>
        </w:rPr>
        <w:t xml:space="preserve"> SUJETO OBLIGADO</w:t>
      </w:r>
      <w:r w:rsidRPr="005F5D0B">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1EA6BBB8" w14:textId="77777777" w:rsidR="00131F79" w:rsidRPr="005F5D0B" w:rsidRDefault="00131F79" w:rsidP="000872AB">
      <w:pPr>
        <w:tabs>
          <w:tab w:val="left" w:pos="0"/>
        </w:tabs>
        <w:jc w:val="both"/>
        <w:rPr>
          <w:rFonts w:ascii="Palatino Linotype" w:hAnsi="Palatino Linotype"/>
          <w:color w:val="000000" w:themeColor="text1"/>
        </w:rPr>
      </w:pPr>
    </w:p>
    <w:p w14:paraId="7D7C4427" w14:textId="77777777" w:rsidR="00131F79" w:rsidRPr="005F5D0B" w:rsidRDefault="00131F79" w:rsidP="000872AB">
      <w:pPr>
        <w:shd w:val="clear" w:color="auto" w:fill="FFFFFF"/>
        <w:tabs>
          <w:tab w:val="left" w:pos="0"/>
        </w:tabs>
        <w:ind w:left="567"/>
        <w:jc w:val="both"/>
        <w:rPr>
          <w:rFonts w:ascii="Palatino Linotype" w:hAnsi="Palatino Linotype"/>
          <w:i/>
          <w:iCs/>
          <w:color w:val="000000" w:themeColor="text1"/>
        </w:rPr>
      </w:pPr>
      <w:r w:rsidRPr="005F5D0B">
        <w:rPr>
          <w:rFonts w:ascii="Palatino Linotype" w:hAnsi="Palatino Linotype"/>
          <w:i/>
          <w:iCs/>
          <w:color w:val="000000" w:themeColor="text1"/>
        </w:rPr>
        <w:t>“</w:t>
      </w:r>
      <w:r w:rsidRPr="005F5D0B">
        <w:rPr>
          <w:rFonts w:ascii="Palatino Linotype" w:hAnsi="Palatino Linotype"/>
          <w:b/>
          <w:bCs/>
          <w:i/>
          <w:iCs/>
          <w:color w:val="000000" w:themeColor="text1"/>
        </w:rPr>
        <w:t>Artículo 12.</w:t>
      </w:r>
      <w:r w:rsidRPr="005F5D0B">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234F82DB" w14:textId="77777777" w:rsidR="00131F79" w:rsidRPr="005F5D0B" w:rsidRDefault="00131F79" w:rsidP="000872AB">
      <w:pPr>
        <w:shd w:val="clear" w:color="auto" w:fill="FFFFFF"/>
        <w:tabs>
          <w:tab w:val="left" w:pos="0"/>
        </w:tabs>
        <w:ind w:left="567"/>
        <w:jc w:val="both"/>
        <w:rPr>
          <w:rFonts w:ascii="Palatino Linotype" w:hAnsi="Palatino Linotype"/>
          <w:color w:val="000000" w:themeColor="text1"/>
        </w:rPr>
      </w:pPr>
    </w:p>
    <w:p w14:paraId="3C5BDA9C" w14:textId="77777777" w:rsidR="00131F79" w:rsidRPr="005F5D0B" w:rsidRDefault="00131F79" w:rsidP="000872AB">
      <w:pPr>
        <w:shd w:val="clear" w:color="auto" w:fill="FFFFFF"/>
        <w:tabs>
          <w:tab w:val="left" w:pos="0"/>
        </w:tabs>
        <w:ind w:left="567"/>
        <w:jc w:val="both"/>
        <w:rPr>
          <w:rFonts w:ascii="Palatino Linotype" w:hAnsi="Palatino Linotype"/>
          <w:i/>
          <w:iCs/>
          <w:color w:val="000000" w:themeColor="text1"/>
        </w:rPr>
      </w:pPr>
      <w:r w:rsidRPr="005F5D0B">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D3D6A1" w14:textId="77777777" w:rsidR="00131F79" w:rsidRPr="005F5D0B" w:rsidRDefault="00131F7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7FB3C3F" w14:textId="7324BE90" w:rsidR="006768FF" w:rsidRPr="005F5D0B" w:rsidRDefault="00131F79"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hAnsi="Palatino Linotype"/>
          <w:color w:val="000000" w:themeColor="text1"/>
        </w:rPr>
        <w:t>No obstante, del análisis realizado a las documentales proporcionadas, se advierte que se realizó una versión publica excesiva en los contratos proporcionados, toda vez que se testó lo relativo al “Registro ante el Instituto Mexicano del Seguro Social” de la</w:t>
      </w:r>
      <w:r w:rsidR="00AB673E" w:rsidRPr="005F5D0B">
        <w:rPr>
          <w:rFonts w:ascii="Palatino Linotype" w:hAnsi="Palatino Linotype"/>
          <w:color w:val="000000" w:themeColor="text1"/>
        </w:rPr>
        <w:t>s</w:t>
      </w:r>
      <w:r w:rsidRPr="005F5D0B">
        <w:rPr>
          <w:rFonts w:ascii="Palatino Linotype" w:hAnsi="Palatino Linotype"/>
          <w:color w:val="000000" w:themeColor="text1"/>
        </w:rPr>
        <w:t xml:space="preserve"> persona</w:t>
      </w:r>
      <w:r w:rsidR="00AB673E" w:rsidRPr="005F5D0B">
        <w:rPr>
          <w:rFonts w:ascii="Palatino Linotype" w:hAnsi="Palatino Linotype"/>
          <w:color w:val="000000" w:themeColor="text1"/>
        </w:rPr>
        <w:t>s</w:t>
      </w:r>
      <w:r w:rsidRPr="005F5D0B">
        <w:rPr>
          <w:rFonts w:ascii="Palatino Linotype" w:hAnsi="Palatino Linotype"/>
          <w:color w:val="000000" w:themeColor="text1"/>
        </w:rPr>
        <w:t xml:space="preserve"> jurídico colectiva</w:t>
      </w:r>
      <w:r w:rsidR="00AB673E" w:rsidRPr="005F5D0B">
        <w:rPr>
          <w:rFonts w:ascii="Palatino Linotype" w:hAnsi="Palatino Linotype"/>
          <w:color w:val="000000" w:themeColor="text1"/>
        </w:rPr>
        <w:t>s</w:t>
      </w:r>
      <w:r w:rsidRPr="005F5D0B">
        <w:rPr>
          <w:rFonts w:ascii="Palatino Linotype" w:hAnsi="Palatino Linotype"/>
          <w:color w:val="000000" w:themeColor="text1"/>
        </w:rPr>
        <w:t xml:space="preserve"> (empresa</w:t>
      </w:r>
      <w:r w:rsidR="00AB673E" w:rsidRPr="005F5D0B">
        <w:rPr>
          <w:rFonts w:ascii="Palatino Linotype" w:hAnsi="Palatino Linotype"/>
          <w:color w:val="000000" w:themeColor="text1"/>
        </w:rPr>
        <w:t>s</w:t>
      </w:r>
      <w:r w:rsidRPr="005F5D0B">
        <w:rPr>
          <w:rFonts w:ascii="Palatino Linotype" w:hAnsi="Palatino Linotype"/>
          <w:color w:val="000000" w:themeColor="text1"/>
        </w:rPr>
        <w:t>), considerado un dato personal de carácter público</w:t>
      </w:r>
      <w:r w:rsidR="006768FF" w:rsidRPr="005F5D0B">
        <w:rPr>
          <w:rFonts w:ascii="Palatino Linotype" w:hAnsi="Palatino Linotype"/>
          <w:color w:val="000000" w:themeColor="text1"/>
        </w:rPr>
        <w:t xml:space="preserve">, toda vez que </w:t>
      </w:r>
      <w:r w:rsidR="006768FF" w:rsidRPr="005F5D0B">
        <w:rPr>
          <w:rFonts w:ascii="Palatino Linotype" w:eastAsia="Palatino Linotype" w:hAnsi="Palatino Linotype" w:cs="Palatino Linotype"/>
          <w:color w:val="000000" w:themeColor="text1"/>
        </w:rPr>
        <w:t>no hacen identificable a una persona física.</w:t>
      </w:r>
    </w:p>
    <w:p w14:paraId="1D4C2430" w14:textId="77777777" w:rsidR="006768FF" w:rsidRPr="005F5D0B" w:rsidRDefault="006768FF"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C7F1909" w14:textId="77777777" w:rsidR="006768FF" w:rsidRPr="005F5D0B" w:rsidRDefault="006768FF" w:rsidP="000872AB">
      <w:pPr>
        <w:pStyle w:val="Prrafodelista"/>
        <w:numPr>
          <w:ilvl w:val="0"/>
          <w:numId w:val="11"/>
        </w:numPr>
        <w:tabs>
          <w:tab w:val="left" w:pos="0"/>
        </w:tabs>
        <w:spacing w:line="360" w:lineRule="auto"/>
        <w:jc w:val="both"/>
        <w:rPr>
          <w:rFonts w:ascii="Palatino Linotype" w:eastAsia="Calibri" w:hAnsi="Palatino Linotype" w:cs="Tahoma"/>
          <w:bCs/>
          <w:color w:val="000000" w:themeColor="text1"/>
        </w:rPr>
      </w:pPr>
      <w:r w:rsidRPr="005F5D0B">
        <w:rPr>
          <w:rFonts w:ascii="Palatino Linotype" w:eastAsia="Calibri" w:hAnsi="Palatino Linotype" w:cs="Tahoma"/>
          <w:bCs/>
          <w:color w:val="000000" w:themeColor="text1"/>
        </w:rPr>
        <w:t xml:space="preserve">Al respecto debe mencionarse que el artículo 15 fracción I de la Ley del Seguro Social establece que los patrones están obligados a registrarse ante el Instituto Mexicano del Seguro Social (IMSS) mediante un trámite con el cual el instituto les proporcionará un número de registro que será único e intransferible, es de resaltar que cuando ya se tiene el registro ante el IMSS, los patrones podrán y deberán cumplir con las obligaciones </w:t>
      </w:r>
      <w:r w:rsidRPr="005F5D0B">
        <w:rPr>
          <w:rFonts w:ascii="Palatino Linotype" w:eastAsia="Calibri" w:hAnsi="Palatino Linotype" w:cs="Tahoma"/>
          <w:bCs/>
          <w:color w:val="000000" w:themeColor="text1"/>
        </w:rPr>
        <w:lastRenderedPageBreak/>
        <w:t>establecidas en esta materia, en donde una de las principales es la determinación del entero de las cuotas obrero-patronales al IMSS, con la finalidad de que dicho instituto logre, entre otras cosas, garantizar el derecho a la salud y a la asistencia médica de los trabajadores contratados, aportar a su fondo de retiro y en un futuro tener puntos para solicitar un préstamo ante el Infonavit.</w:t>
      </w:r>
    </w:p>
    <w:p w14:paraId="7AD44133" w14:textId="77777777" w:rsidR="006768FF" w:rsidRPr="005F5D0B" w:rsidRDefault="006768FF" w:rsidP="000872AB">
      <w:pPr>
        <w:pStyle w:val="Prrafodelista"/>
        <w:tabs>
          <w:tab w:val="left" w:pos="0"/>
        </w:tabs>
        <w:spacing w:line="360" w:lineRule="auto"/>
        <w:ind w:left="0"/>
        <w:jc w:val="both"/>
        <w:rPr>
          <w:rFonts w:ascii="Palatino Linotype" w:eastAsia="Calibri" w:hAnsi="Palatino Linotype" w:cs="Tahoma"/>
          <w:bCs/>
          <w:color w:val="000000" w:themeColor="text1"/>
        </w:rPr>
      </w:pPr>
    </w:p>
    <w:p w14:paraId="4D849A19" w14:textId="32F6CC15" w:rsidR="00131F79"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Calibri" w:hAnsi="Palatino Linotype" w:cs="Tahoma"/>
          <w:bCs/>
          <w:color w:val="000000" w:themeColor="text1"/>
        </w:rPr>
        <w:t xml:space="preserve">Aunado a lo anterior, debe mencionarse que del análisis realizado a las constancias que integran el recurso de revisión materia de la presente resolución, no se aprecia que el </w:t>
      </w:r>
      <w:r w:rsidRPr="005F5D0B">
        <w:rPr>
          <w:rFonts w:ascii="Palatino Linotype" w:eastAsia="Calibri" w:hAnsi="Palatino Linotype" w:cs="Tahoma"/>
          <w:b/>
          <w:bCs/>
          <w:color w:val="000000" w:themeColor="text1"/>
        </w:rPr>
        <w:t>SUJETO OBLIGADO</w:t>
      </w:r>
      <w:r w:rsidRPr="005F5D0B">
        <w:rPr>
          <w:rFonts w:ascii="Palatino Linotype" w:eastAsia="Calibri" w:hAnsi="Palatino Linotype" w:cs="Tahoma"/>
          <w:bCs/>
          <w:color w:val="000000" w:themeColor="text1"/>
        </w:rPr>
        <w:t xml:space="preserve"> hubiese adjuntado el acuerdo del Comité de Transparencia, </w:t>
      </w:r>
      <w:r w:rsidRPr="005F5D0B">
        <w:rPr>
          <w:rFonts w:ascii="Palatino Linotype" w:eastAsia="MS Mincho" w:hAnsi="Palatino Linotype" w:cs="Arial"/>
          <w:bCs/>
          <w:color w:val="000000" w:themeColor="text1"/>
          <w:lang w:eastAsia="es-ES"/>
        </w:rPr>
        <w:t>por medio del cual, se propuso y aprobó la clasificación de diversos datos como información confidencial.</w:t>
      </w:r>
    </w:p>
    <w:p w14:paraId="5F33161B" w14:textId="77777777" w:rsidR="00AF16F7" w:rsidRPr="005F5D0B" w:rsidRDefault="00AF16F7" w:rsidP="00AF16F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58E6AB1" w14:textId="77777777" w:rsidR="006768FF"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rPr>
        <w:t xml:space="preserve">En este sentido, </w:t>
      </w:r>
      <w:r w:rsidRPr="005F5D0B">
        <w:rPr>
          <w:rFonts w:ascii="Palatino Linotype" w:eastAsia="MS Gothic" w:hAnsi="Palatino Linotype"/>
          <w:color w:val="000000" w:themeColor="text1"/>
        </w:rPr>
        <w:t>es importante señalar que la clasificación total o parcial de la información requerida mediante solicitud de acceso a la información pública, constituye una restricción al derecho humano de acceso a la información.</w:t>
      </w:r>
    </w:p>
    <w:p w14:paraId="5DF188EB" w14:textId="77777777" w:rsidR="006768FF" w:rsidRPr="005F5D0B" w:rsidRDefault="006768FF"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F7C055B" w14:textId="77777777"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MS Gothic" w:hAnsi="Palatino Linotype"/>
          <w:color w:val="000000" w:themeColor="text1"/>
        </w:rPr>
        <w:t>En este caso, es un supuesto que</w:t>
      </w:r>
      <w:r w:rsidR="00AB673E" w:rsidRPr="005F5D0B">
        <w:rPr>
          <w:rFonts w:ascii="Palatino Linotype" w:eastAsia="MS Gothic" w:hAnsi="Palatino Linotype"/>
          <w:color w:val="000000" w:themeColor="text1"/>
        </w:rPr>
        <w:t xml:space="preserve"> </w:t>
      </w:r>
      <w:r w:rsidRPr="005F5D0B">
        <w:rPr>
          <w:rFonts w:ascii="Palatino Linotype" w:eastAsia="MS Gothic" w:hAnsi="Palatino Linotype"/>
          <w:color w:val="000000" w:themeColor="text1"/>
        </w:rPr>
        <w:t xml:space="preserve">la Ley de Transparencia y Acceso a la Información Pública del Estado de </w:t>
      </w:r>
      <w:r w:rsidR="00AB673E" w:rsidRPr="005F5D0B">
        <w:rPr>
          <w:rFonts w:ascii="Palatino Linotype" w:eastAsia="MS Gothic" w:hAnsi="Palatino Linotype"/>
          <w:color w:val="000000" w:themeColor="text1"/>
        </w:rPr>
        <w:t xml:space="preserve">México y Municipios, establece </w:t>
      </w:r>
      <w:r w:rsidRPr="005F5D0B">
        <w:rPr>
          <w:rFonts w:ascii="Palatino Linotype" w:eastAsia="MS Gothic" w:hAnsi="Palatino Linotype"/>
          <w:color w:val="000000" w:themeColor="text1"/>
        </w:rPr>
        <w:t>el procedimiento legalmente establecido, para ello.</w:t>
      </w:r>
    </w:p>
    <w:p w14:paraId="073E4B99" w14:textId="77777777" w:rsidR="00AB673E" w:rsidRPr="005F5D0B" w:rsidRDefault="00AB673E" w:rsidP="000872AB">
      <w:pPr>
        <w:pStyle w:val="Prrafodelista"/>
        <w:tabs>
          <w:tab w:val="left" w:pos="0"/>
        </w:tabs>
        <w:rPr>
          <w:rFonts w:ascii="Palatino Linotype" w:eastAsia="MS Gothic" w:hAnsi="Palatino Linotype"/>
          <w:color w:val="000000" w:themeColor="text1"/>
        </w:rPr>
      </w:pPr>
    </w:p>
    <w:p w14:paraId="7760BC03" w14:textId="77777777"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MS Gothic" w:hAnsi="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14:paraId="6B14DFCF" w14:textId="77777777" w:rsidR="00AB673E" w:rsidRPr="005F5D0B" w:rsidRDefault="00AB673E" w:rsidP="000872AB">
      <w:pPr>
        <w:pBdr>
          <w:top w:val="nil"/>
          <w:left w:val="nil"/>
          <w:bottom w:val="nil"/>
          <w:right w:val="nil"/>
          <w:between w:val="nil"/>
        </w:pBdr>
        <w:tabs>
          <w:tab w:val="left" w:pos="0"/>
        </w:tabs>
        <w:spacing w:line="360" w:lineRule="auto"/>
        <w:jc w:val="both"/>
        <w:rPr>
          <w:rFonts w:ascii="Palatino Linotype" w:eastAsia="MS Gothic" w:hAnsi="Palatino Linotype"/>
          <w:color w:val="000000" w:themeColor="text1"/>
        </w:rPr>
      </w:pPr>
    </w:p>
    <w:p w14:paraId="16E458F2" w14:textId="77777777" w:rsidR="00AB673E" w:rsidRPr="005F5D0B" w:rsidRDefault="00AB673E" w:rsidP="000872AB">
      <w:pPr>
        <w:pStyle w:val="Prrafodelista"/>
        <w:tabs>
          <w:tab w:val="left" w:pos="0"/>
          <w:tab w:val="left" w:pos="142"/>
          <w:tab w:val="left" w:pos="284"/>
        </w:tabs>
        <w:ind w:left="567"/>
        <w:jc w:val="both"/>
        <w:rPr>
          <w:rFonts w:ascii="Palatino Linotype" w:hAnsi="Palatino Linotype" w:cs="Arial"/>
          <w:i/>
          <w:color w:val="000000" w:themeColor="text1"/>
        </w:rPr>
      </w:pPr>
      <w:r w:rsidRPr="005F5D0B">
        <w:rPr>
          <w:rFonts w:ascii="Palatino Linotype" w:hAnsi="Palatino Linotype" w:cs="Arial"/>
          <w:i/>
          <w:color w:val="000000" w:themeColor="text1"/>
        </w:rPr>
        <w:lastRenderedPageBreak/>
        <w:t>“</w:t>
      </w:r>
      <w:r w:rsidRPr="005F5D0B">
        <w:rPr>
          <w:rFonts w:ascii="Palatino Linotype" w:hAnsi="Palatino Linotype" w:cs="Arial"/>
          <w:b/>
          <w:i/>
          <w:color w:val="000000" w:themeColor="text1"/>
        </w:rPr>
        <w:t>Quincuagésimo.</w:t>
      </w:r>
      <w:r w:rsidRPr="005F5D0B">
        <w:rPr>
          <w:rFonts w:ascii="Palatino Linotype" w:hAnsi="Palatino Linotype" w:cs="Arial"/>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134F05D" w14:textId="77777777" w:rsidR="00AB673E" w:rsidRPr="005F5D0B" w:rsidRDefault="00AB673E" w:rsidP="000872AB">
      <w:pPr>
        <w:pStyle w:val="Prrafodelista"/>
        <w:tabs>
          <w:tab w:val="left" w:pos="0"/>
          <w:tab w:val="left" w:pos="142"/>
          <w:tab w:val="left" w:pos="284"/>
        </w:tabs>
        <w:ind w:left="567"/>
        <w:jc w:val="both"/>
        <w:rPr>
          <w:rFonts w:ascii="Palatino Linotype" w:hAnsi="Palatino Linotype" w:cs="Arial"/>
          <w:i/>
          <w:color w:val="000000" w:themeColor="text1"/>
        </w:rPr>
      </w:pPr>
    </w:p>
    <w:p w14:paraId="76F5FF51" w14:textId="77777777" w:rsidR="00AB673E" w:rsidRPr="005F5D0B" w:rsidRDefault="00AB673E" w:rsidP="000872AB">
      <w:pPr>
        <w:pStyle w:val="Prrafodelista"/>
        <w:tabs>
          <w:tab w:val="left" w:pos="0"/>
          <w:tab w:val="left" w:pos="142"/>
          <w:tab w:val="left" w:pos="284"/>
        </w:tabs>
        <w:ind w:left="567"/>
        <w:jc w:val="both"/>
        <w:rPr>
          <w:rFonts w:ascii="Palatino Linotype" w:hAnsi="Palatino Linotype" w:cs="Arial"/>
          <w:i/>
          <w:color w:val="000000" w:themeColor="text1"/>
        </w:rPr>
      </w:pPr>
      <w:r w:rsidRPr="005F5D0B">
        <w:rPr>
          <w:rFonts w:ascii="Palatino Linotype" w:hAnsi="Palatino Linotype" w:cs="Arial"/>
          <w:b/>
          <w:i/>
          <w:color w:val="000000" w:themeColor="text1"/>
        </w:rPr>
        <w:t>Quincuagésimo primero.</w:t>
      </w:r>
      <w:r w:rsidRPr="005F5D0B">
        <w:rPr>
          <w:rFonts w:ascii="Palatino Linotype" w:hAnsi="Palatino Linotype" w:cs="Arial"/>
          <w:i/>
          <w:color w:val="000000" w:themeColor="text1"/>
        </w:rPr>
        <w:t xml:space="preserve"> La leyenda en los documentos clasificados indicará:</w:t>
      </w:r>
    </w:p>
    <w:p w14:paraId="5650B6F8" w14:textId="77777777" w:rsidR="00AB673E" w:rsidRPr="005F5D0B" w:rsidRDefault="00AB673E" w:rsidP="000872AB">
      <w:pPr>
        <w:pStyle w:val="Prrafodelista"/>
        <w:tabs>
          <w:tab w:val="left" w:pos="0"/>
          <w:tab w:val="left" w:pos="142"/>
          <w:tab w:val="left" w:pos="284"/>
        </w:tabs>
        <w:ind w:left="567"/>
        <w:jc w:val="both"/>
        <w:rPr>
          <w:rFonts w:ascii="Palatino Linotype" w:hAnsi="Palatino Linotype" w:cs="Arial"/>
          <w:i/>
          <w:color w:val="000000" w:themeColor="text1"/>
        </w:rPr>
      </w:pPr>
      <w:r w:rsidRPr="005F5D0B">
        <w:rPr>
          <w:rFonts w:ascii="Palatino Linotype" w:hAnsi="Palatino Linotype" w:cs="Arial"/>
          <w:i/>
          <w:color w:val="000000" w:themeColor="text1"/>
        </w:rPr>
        <w:t>I. La fecha de sesión del Comité de Transparencia en donde se confirmó la clasificación, en su caso;</w:t>
      </w:r>
    </w:p>
    <w:p w14:paraId="71881B56" w14:textId="77777777" w:rsidR="00AB673E" w:rsidRPr="005F5D0B" w:rsidRDefault="00AB673E" w:rsidP="000872AB">
      <w:pPr>
        <w:pStyle w:val="Prrafodelista"/>
        <w:tabs>
          <w:tab w:val="left" w:pos="0"/>
          <w:tab w:val="left" w:pos="142"/>
          <w:tab w:val="left" w:pos="284"/>
        </w:tabs>
        <w:ind w:left="567"/>
        <w:jc w:val="both"/>
        <w:rPr>
          <w:rFonts w:ascii="Palatino Linotype" w:hAnsi="Palatino Linotype" w:cs="Arial"/>
          <w:i/>
          <w:color w:val="000000" w:themeColor="text1"/>
        </w:rPr>
      </w:pPr>
      <w:r w:rsidRPr="005F5D0B">
        <w:rPr>
          <w:rFonts w:ascii="Palatino Linotype" w:hAnsi="Palatino Linotype" w:cs="Arial"/>
          <w:i/>
          <w:color w:val="000000" w:themeColor="text1"/>
        </w:rPr>
        <w:t>II. El nombre del área;</w:t>
      </w:r>
    </w:p>
    <w:p w14:paraId="0D8DAAE1" w14:textId="77777777" w:rsidR="00AB673E" w:rsidRPr="005F5D0B" w:rsidRDefault="00AB673E" w:rsidP="000872AB">
      <w:pPr>
        <w:pStyle w:val="Prrafodelista"/>
        <w:tabs>
          <w:tab w:val="left" w:pos="0"/>
          <w:tab w:val="left" w:pos="142"/>
          <w:tab w:val="left" w:pos="284"/>
        </w:tabs>
        <w:ind w:left="567"/>
        <w:jc w:val="both"/>
        <w:rPr>
          <w:rFonts w:ascii="Palatino Linotype" w:hAnsi="Palatino Linotype" w:cs="Arial"/>
          <w:i/>
          <w:color w:val="000000" w:themeColor="text1"/>
        </w:rPr>
      </w:pPr>
      <w:r w:rsidRPr="005F5D0B">
        <w:rPr>
          <w:rFonts w:ascii="Palatino Linotype" w:hAnsi="Palatino Linotype" w:cs="Arial"/>
          <w:i/>
          <w:color w:val="000000" w:themeColor="text1"/>
        </w:rPr>
        <w:t>III. La palabra reservado o confidencial;</w:t>
      </w:r>
    </w:p>
    <w:p w14:paraId="0EE13E4D" w14:textId="77777777" w:rsidR="00AB673E" w:rsidRPr="005F5D0B" w:rsidRDefault="00AB673E" w:rsidP="000872AB">
      <w:pPr>
        <w:pStyle w:val="Prrafodelista"/>
        <w:tabs>
          <w:tab w:val="left" w:pos="0"/>
          <w:tab w:val="left" w:pos="142"/>
          <w:tab w:val="left" w:pos="284"/>
        </w:tabs>
        <w:ind w:left="567"/>
        <w:jc w:val="both"/>
        <w:rPr>
          <w:rFonts w:ascii="Palatino Linotype" w:hAnsi="Palatino Linotype" w:cs="Arial"/>
          <w:i/>
          <w:color w:val="000000" w:themeColor="text1"/>
        </w:rPr>
      </w:pPr>
      <w:r w:rsidRPr="005F5D0B">
        <w:rPr>
          <w:rFonts w:ascii="Palatino Linotype" w:hAnsi="Palatino Linotype" w:cs="Arial"/>
          <w:i/>
          <w:color w:val="000000" w:themeColor="text1"/>
        </w:rPr>
        <w:t>IV. Las partes o secciones reservadas o confidenciales, en su caso;</w:t>
      </w:r>
    </w:p>
    <w:p w14:paraId="721FCB2A" w14:textId="77777777" w:rsidR="00AB673E" w:rsidRPr="005F5D0B" w:rsidRDefault="00AB673E" w:rsidP="000872AB">
      <w:pPr>
        <w:pStyle w:val="Prrafodelista"/>
        <w:tabs>
          <w:tab w:val="left" w:pos="0"/>
          <w:tab w:val="left" w:pos="142"/>
          <w:tab w:val="left" w:pos="284"/>
        </w:tabs>
        <w:ind w:left="567"/>
        <w:jc w:val="both"/>
        <w:rPr>
          <w:rFonts w:ascii="Palatino Linotype" w:hAnsi="Palatino Linotype" w:cs="Arial"/>
          <w:i/>
          <w:color w:val="000000" w:themeColor="text1"/>
        </w:rPr>
      </w:pPr>
      <w:r w:rsidRPr="005F5D0B">
        <w:rPr>
          <w:rFonts w:ascii="Palatino Linotype" w:hAnsi="Palatino Linotype" w:cs="Arial"/>
          <w:i/>
          <w:color w:val="000000" w:themeColor="text1"/>
        </w:rPr>
        <w:t>V. El fundamento legal;</w:t>
      </w:r>
    </w:p>
    <w:p w14:paraId="48C1F721" w14:textId="77777777" w:rsidR="00AB673E" w:rsidRPr="005F5D0B" w:rsidRDefault="00AB673E" w:rsidP="000872AB">
      <w:pPr>
        <w:pStyle w:val="Prrafodelista"/>
        <w:tabs>
          <w:tab w:val="left" w:pos="0"/>
          <w:tab w:val="left" w:pos="142"/>
          <w:tab w:val="left" w:pos="284"/>
        </w:tabs>
        <w:ind w:left="567"/>
        <w:jc w:val="both"/>
        <w:rPr>
          <w:rFonts w:ascii="Palatino Linotype" w:hAnsi="Palatino Linotype" w:cs="Arial"/>
          <w:i/>
          <w:color w:val="000000" w:themeColor="text1"/>
        </w:rPr>
      </w:pPr>
      <w:r w:rsidRPr="005F5D0B">
        <w:rPr>
          <w:rFonts w:ascii="Palatino Linotype" w:hAnsi="Palatino Linotype" w:cs="Arial"/>
          <w:i/>
          <w:color w:val="000000" w:themeColor="text1"/>
        </w:rPr>
        <w:t>VI. El periodo de reserva, y</w:t>
      </w:r>
    </w:p>
    <w:p w14:paraId="034350D7" w14:textId="1CC3357C" w:rsidR="00AB673E" w:rsidRPr="005F5D0B" w:rsidRDefault="00AB673E" w:rsidP="000872AB">
      <w:pPr>
        <w:pStyle w:val="Prrafodelista"/>
        <w:tabs>
          <w:tab w:val="left" w:pos="0"/>
          <w:tab w:val="left" w:pos="142"/>
          <w:tab w:val="left" w:pos="284"/>
        </w:tabs>
        <w:ind w:left="567"/>
        <w:jc w:val="both"/>
        <w:rPr>
          <w:rFonts w:ascii="Palatino Linotype" w:hAnsi="Palatino Linotype" w:cs="Arial"/>
          <w:i/>
          <w:color w:val="000000" w:themeColor="text1"/>
        </w:rPr>
      </w:pPr>
      <w:r w:rsidRPr="005F5D0B">
        <w:rPr>
          <w:rFonts w:ascii="Palatino Linotype" w:hAnsi="Palatino Linotype" w:cs="Arial"/>
          <w:i/>
          <w:color w:val="000000" w:themeColor="text1"/>
        </w:rPr>
        <w:t>VII. La rúbrica del titular del área.”</w:t>
      </w:r>
    </w:p>
    <w:p w14:paraId="4880F92F" w14:textId="77777777" w:rsidR="00AB673E" w:rsidRPr="005F5D0B" w:rsidRDefault="00AB673E"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0E139F0" w14:textId="77777777"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MS Gothic" w:hAnsi="Palatino Linotype"/>
          <w:color w:val="000000" w:themeColor="text1"/>
        </w:rPr>
        <w:t xml:space="preserve">Así, una vez hecho lo anterior, </w:t>
      </w:r>
      <w:r w:rsidRPr="005F5D0B">
        <w:rPr>
          <w:rFonts w:ascii="Palatino Linotype" w:eastAsia="MS Gothic" w:hAnsi="Palatino Linotype"/>
          <w:b/>
          <w:color w:val="000000" w:themeColor="text1"/>
        </w:rPr>
        <w:t>se remite la información al Titular de la Unidad de Transparencia, con el acuerdo de clasificación correspondiente, para que sea sometido al conocimiento del Comité de Transparencia.</w:t>
      </w:r>
    </w:p>
    <w:p w14:paraId="6633F4D2" w14:textId="77777777" w:rsidR="00AB673E" w:rsidRPr="005F5D0B" w:rsidRDefault="00AB673E"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6BE61B4" w14:textId="77777777" w:rsidR="00AB673E" w:rsidRPr="005F5D0B" w:rsidRDefault="00AB673E" w:rsidP="000872AB">
      <w:pPr>
        <w:pStyle w:val="Prrafodelista"/>
        <w:tabs>
          <w:tab w:val="left" w:pos="0"/>
          <w:tab w:val="left" w:pos="142"/>
          <w:tab w:val="left" w:pos="284"/>
          <w:tab w:val="left" w:pos="426"/>
        </w:tabs>
        <w:spacing w:line="360" w:lineRule="auto"/>
        <w:ind w:left="567"/>
        <w:jc w:val="both"/>
        <w:outlineLvl w:val="2"/>
        <w:rPr>
          <w:rFonts w:ascii="Palatino Linotype" w:hAnsi="Palatino Linotype" w:cs="Arial"/>
          <w:b/>
          <w:color w:val="000000" w:themeColor="text1"/>
        </w:rPr>
      </w:pPr>
      <w:bookmarkStart w:id="9" w:name="_Toc51863317"/>
      <w:bookmarkStart w:id="10" w:name="_Toc52444651"/>
      <w:bookmarkStart w:id="11" w:name="_Toc57154370"/>
      <w:bookmarkStart w:id="12" w:name="_Toc65170176"/>
      <w:r w:rsidRPr="005F5D0B">
        <w:rPr>
          <w:rFonts w:ascii="Palatino Linotype" w:hAnsi="Palatino Linotype" w:cs="Arial"/>
          <w:b/>
          <w:color w:val="000000" w:themeColor="text1"/>
        </w:rPr>
        <w:t>La intervención del Comité de Transparencia.</w:t>
      </w:r>
      <w:bookmarkEnd w:id="9"/>
      <w:bookmarkEnd w:id="10"/>
      <w:bookmarkEnd w:id="11"/>
      <w:bookmarkEnd w:id="12"/>
    </w:p>
    <w:p w14:paraId="724411B3" w14:textId="7AB16396" w:rsidR="00AB673E" w:rsidRPr="005F5D0B" w:rsidRDefault="00AB673E" w:rsidP="000872AB">
      <w:pPr>
        <w:pStyle w:val="Prrafodelista"/>
        <w:numPr>
          <w:ilvl w:val="0"/>
          <w:numId w:val="21"/>
        </w:numPr>
        <w:tabs>
          <w:tab w:val="left" w:pos="0"/>
          <w:tab w:val="left" w:pos="142"/>
          <w:tab w:val="left" w:pos="284"/>
          <w:tab w:val="left" w:pos="426"/>
        </w:tabs>
        <w:spacing w:line="360" w:lineRule="auto"/>
        <w:jc w:val="both"/>
        <w:rPr>
          <w:rFonts w:ascii="Palatino Linotype" w:hAnsi="Palatino Linotype" w:cs="Arial"/>
          <w:b/>
          <w:color w:val="000000" w:themeColor="text1"/>
        </w:rPr>
      </w:pPr>
      <w:r w:rsidRPr="005F5D0B">
        <w:rPr>
          <w:rFonts w:ascii="Palatino Linotype" w:hAnsi="Palatino Linotype" w:cs="Arial"/>
          <w:b/>
          <w:color w:val="000000" w:themeColor="text1"/>
        </w:rPr>
        <w:t>Formalidades para emitir el Acuerdo de Clasificación.</w:t>
      </w:r>
    </w:p>
    <w:p w14:paraId="3867F212" w14:textId="77777777" w:rsidR="00AB673E" w:rsidRPr="005F5D0B" w:rsidRDefault="00AB673E"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0789F10" w14:textId="77777777"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MS Gothic" w:hAnsi="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F5D0B">
        <w:rPr>
          <w:rFonts w:ascii="Palatino Linotype" w:eastAsia="MS Gothic" w:hAnsi="Palatino Linotype"/>
          <w:b/>
          <w:color w:val="000000" w:themeColor="text1"/>
          <w:u w:val="single"/>
        </w:rPr>
        <w:t>confirmar, modificar o revocar</w:t>
      </w:r>
      <w:r w:rsidRPr="005F5D0B">
        <w:rPr>
          <w:rFonts w:ascii="Palatino Linotype" w:eastAsia="MS Gothic" w:hAnsi="Palatino Linotype"/>
          <w:color w:val="000000" w:themeColor="text1"/>
        </w:rPr>
        <w:t xml:space="preserve"> la clasificación de la información que ha hecho el titular del área que administra la información. Por lo </w:t>
      </w:r>
      <w:r w:rsidRPr="005F5D0B">
        <w:rPr>
          <w:rFonts w:ascii="Palatino Linotype" w:eastAsia="MS Gothic" w:hAnsi="Palatino Linotype"/>
          <w:color w:val="000000" w:themeColor="text1"/>
        </w:rPr>
        <w:lastRenderedPageBreak/>
        <w:t xml:space="preserve">tanto, el Comité </w:t>
      </w:r>
      <w:r w:rsidRPr="005F5D0B">
        <w:rPr>
          <w:rFonts w:ascii="Palatino Linotype" w:eastAsia="MS Gothic" w:hAnsi="Palatino Linotype"/>
          <w:b/>
          <w:color w:val="000000" w:themeColor="text1"/>
          <w:u w:val="single"/>
        </w:rPr>
        <w:t>no aprueba</w:t>
      </w:r>
      <w:r w:rsidRPr="005F5D0B">
        <w:rPr>
          <w:rFonts w:ascii="Palatino Linotype" w:eastAsia="MS Gothic" w:hAnsi="Palatino Linotype"/>
          <w:color w:val="000000" w:themeColor="text1"/>
        </w:rPr>
        <w:t xml:space="preserve"> la clasificación, sino que revisa lo que ha hecho el titular del área y confirma, modifica o revoca la decisión a través de un acuerdo.</w:t>
      </w:r>
    </w:p>
    <w:p w14:paraId="3A64B46D" w14:textId="77777777" w:rsidR="00AB673E" w:rsidRPr="005F5D0B" w:rsidRDefault="00AB673E"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0059AE4" w14:textId="77777777"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MS Gothic" w:hAnsi="Palatino Linotype"/>
          <w:color w:val="000000" w:themeColor="text1"/>
        </w:rPr>
        <w:t xml:space="preserve">Evidentemente, esta decisión implica una restricción a un derecho humano, por lo tanto, puede generar un agravio al Particular y, en consecuencia, es necesario que </w:t>
      </w:r>
      <w:r w:rsidRPr="005F5D0B">
        <w:rPr>
          <w:rFonts w:ascii="Palatino Linotype" w:eastAsia="MS Gothic" w:hAnsi="Palatino Linotype"/>
          <w:b/>
          <w:color w:val="000000" w:themeColor="text1"/>
          <w:u w:val="single"/>
        </w:rPr>
        <w:t>el acto reúna con los requisitos elementales</w:t>
      </w:r>
      <w:r w:rsidRPr="005F5D0B">
        <w:rPr>
          <w:rFonts w:ascii="Palatino Linotype" w:eastAsia="MS Gothic" w:hAnsi="Palatino Linotype"/>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EBD7FE8" w14:textId="77777777" w:rsidR="00AB673E" w:rsidRPr="005F5D0B" w:rsidRDefault="00AB673E" w:rsidP="000872AB">
      <w:pPr>
        <w:tabs>
          <w:tab w:val="left" w:pos="0"/>
        </w:tabs>
        <w:rPr>
          <w:rFonts w:ascii="Palatino Linotype" w:eastAsia="MS Gothic" w:hAnsi="Palatino Linotype"/>
          <w:color w:val="000000" w:themeColor="text1"/>
        </w:rPr>
      </w:pPr>
    </w:p>
    <w:p w14:paraId="2C74D68B" w14:textId="77777777"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MS Gothic"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497B9FC" w14:textId="77777777" w:rsidR="00AB673E" w:rsidRPr="005F5D0B" w:rsidRDefault="00AB673E" w:rsidP="000872AB">
      <w:pPr>
        <w:pStyle w:val="Prrafodelista"/>
        <w:tabs>
          <w:tab w:val="left" w:pos="0"/>
        </w:tabs>
        <w:spacing w:before="240" w:after="240" w:line="360" w:lineRule="auto"/>
        <w:ind w:left="0"/>
        <w:jc w:val="both"/>
        <w:rPr>
          <w:rFonts w:ascii="Palatino Linotype" w:eastAsia="MS Mincho" w:hAnsi="Palatino Linotype" w:cs="Arial"/>
          <w:b/>
          <w:bCs/>
          <w:color w:val="000000" w:themeColor="text1"/>
          <w:lang w:eastAsia="es-ES"/>
        </w:rPr>
      </w:pPr>
    </w:p>
    <w:p w14:paraId="45E3EF69" w14:textId="77777777" w:rsidR="00AF16F7" w:rsidRPr="005F5D0B" w:rsidRDefault="00AF16F7" w:rsidP="000872AB">
      <w:pPr>
        <w:pStyle w:val="Prrafodelista"/>
        <w:tabs>
          <w:tab w:val="left" w:pos="0"/>
        </w:tabs>
        <w:spacing w:before="240" w:after="240" w:line="360" w:lineRule="auto"/>
        <w:ind w:left="0"/>
        <w:jc w:val="both"/>
        <w:rPr>
          <w:rFonts w:ascii="Palatino Linotype" w:eastAsia="MS Mincho" w:hAnsi="Palatino Linotype" w:cs="Arial"/>
          <w:b/>
          <w:bCs/>
          <w:color w:val="000000" w:themeColor="text1"/>
          <w:lang w:eastAsia="es-ES"/>
        </w:rPr>
      </w:pPr>
    </w:p>
    <w:p w14:paraId="546474AC" w14:textId="77777777" w:rsidR="00AF16F7" w:rsidRPr="005F5D0B" w:rsidRDefault="00AF16F7" w:rsidP="000872AB">
      <w:pPr>
        <w:pStyle w:val="Prrafodelista"/>
        <w:tabs>
          <w:tab w:val="left" w:pos="0"/>
        </w:tabs>
        <w:spacing w:before="240" w:after="240" w:line="360" w:lineRule="auto"/>
        <w:ind w:left="0"/>
        <w:jc w:val="both"/>
        <w:rPr>
          <w:rFonts w:ascii="Palatino Linotype" w:eastAsia="MS Mincho" w:hAnsi="Palatino Linotype" w:cs="Arial"/>
          <w:b/>
          <w:bCs/>
          <w:color w:val="000000" w:themeColor="text1"/>
          <w:lang w:eastAsia="es-ES"/>
        </w:rPr>
      </w:pPr>
    </w:p>
    <w:p w14:paraId="2CDCC90C" w14:textId="77777777" w:rsidR="00AF16F7" w:rsidRPr="005F5D0B" w:rsidRDefault="00AF16F7" w:rsidP="000872AB">
      <w:pPr>
        <w:pStyle w:val="Prrafodelista"/>
        <w:tabs>
          <w:tab w:val="left" w:pos="0"/>
        </w:tabs>
        <w:spacing w:before="240" w:after="240" w:line="360" w:lineRule="auto"/>
        <w:ind w:left="0"/>
        <w:jc w:val="both"/>
        <w:rPr>
          <w:rFonts w:ascii="Palatino Linotype" w:eastAsia="MS Mincho" w:hAnsi="Palatino Linotype" w:cs="Arial"/>
          <w:b/>
          <w:bCs/>
          <w:color w:val="000000" w:themeColor="text1"/>
          <w:lang w:eastAsia="es-ES"/>
        </w:rPr>
      </w:pPr>
    </w:p>
    <w:p w14:paraId="1F4B6212" w14:textId="53F39E2E" w:rsidR="00AB673E" w:rsidRPr="005F5D0B" w:rsidRDefault="00AB673E" w:rsidP="000872AB">
      <w:pPr>
        <w:pStyle w:val="Prrafodelista"/>
        <w:tabs>
          <w:tab w:val="left" w:pos="0"/>
          <w:tab w:val="left" w:pos="142"/>
          <w:tab w:val="left" w:pos="284"/>
          <w:tab w:val="left" w:pos="426"/>
        </w:tabs>
        <w:spacing w:line="360" w:lineRule="auto"/>
        <w:ind w:left="567"/>
        <w:jc w:val="both"/>
        <w:rPr>
          <w:rFonts w:ascii="Palatino Linotype" w:hAnsi="Palatino Linotype" w:cs="Arial"/>
          <w:b/>
          <w:color w:val="000000" w:themeColor="text1"/>
        </w:rPr>
      </w:pPr>
      <w:r w:rsidRPr="005F5D0B">
        <w:rPr>
          <w:rFonts w:ascii="Palatino Linotype" w:hAnsi="Palatino Linotype" w:cs="Arial"/>
          <w:b/>
          <w:color w:val="000000" w:themeColor="text1"/>
        </w:rPr>
        <w:t>b) Requisitos de fondo del Acuerdo de Clasificación.</w:t>
      </w:r>
    </w:p>
    <w:p w14:paraId="29FE1C7D" w14:textId="77777777" w:rsidR="00AB673E" w:rsidRPr="005F5D0B" w:rsidRDefault="00AB673E"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EDC947D" w14:textId="77777777"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MS Gothic" w:hAnsi="Palatino Linotype"/>
          <w:color w:val="000000" w:themeColor="text1"/>
        </w:rPr>
        <w:t xml:space="preserve">Como se ha señalado antes, al hacer el juicio de subsunción o encaje entre el supuesto de hecho y la hipótesis jurídica, se debe acreditar la estricta correspondencia entre un elemento y otro. </w:t>
      </w:r>
    </w:p>
    <w:p w14:paraId="09D09395" w14:textId="77777777" w:rsidR="00AB673E" w:rsidRPr="005F5D0B" w:rsidRDefault="00AB673E"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8E3EC33" w14:textId="77777777"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MS Gothic" w:hAnsi="Palatino Linotype"/>
          <w:color w:val="000000" w:themeColor="text1"/>
        </w:rPr>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w:t>
      </w:r>
      <w:r w:rsidR="00AB673E" w:rsidRPr="005F5D0B">
        <w:rPr>
          <w:rFonts w:ascii="Palatino Linotype" w:eastAsia="MS Gothic" w:hAnsi="Palatino Linotype"/>
          <w:color w:val="000000" w:themeColor="text1"/>
        </w:rPr>
        <w:t xml:space="preserve"> la clasificación.</w:t>
      </w:r>
    </w:p>
    <w:p w14:paraId="202EDCCC" w14:textId="77777777" w:rsidR="00AB673E" w:rsidRPr="005F5D0B" w:rsidRDefault="00AB673E" w:rsidP="000872AB">
      <w:pPr>
        <w:tabs>
          <w:tab w:val="left" w:pos="0"/>
        </w:tabs>
        <w:rPr>
          <w:rFonts w:ascii="Palatino Linotype" w:eastAsia="MS Gothic" w:hAnsi="Palatino Linotype"/>
          <w:color w:val="000000" w:themeColor="text1"/>
        </w:rPr>
      </w:pPr>
    </w:p>
    <w:p w14:paraId="68242596" w14:textId="77777777"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MS Gothic" w:hAnsi="Palatino Linotype"/>
          <w:color w:val="000000" w:themeColor="text1"/>
        </w:rPr>
        <w:t xml:space="preserve">De lo anterior, se desprende que, </w:t>
      </w:r>
      <w:r w:rsidRPr="005F5D0B">
        <w:rPr>
          <w:rFonts w:ascii="Palatino Linotype" w:eastAsia="MS Gothic" w:hAnsi="Palatino Linotype"/>
          <w:b/>
          <w:color w:val="000000" w:themeColor="text1"/>
          <w:u w:val="single"/>
        </w:rPr>
        <w:t>para una correcta clasificación total o parcial, esto es determinar los datos que se suprimen en las versiones públicas</w:t>
      </w:r>
      <w:r w:rsidRPr="005F5D0B">
        <w:rPr>
          <w:rFonts w:ascii="Palatino Linotype" w:eastAsia="MS Gothic" w:hAnsi="Palatino Linotype"/>
          <w:color w:val="000000" w:themeColor="text1"/>
        </w:rPr>
        <w:t xml:space="preserve">, </w:t>
      </w:r>
      <w:r w:rsidRPr="005F5D0B">
        <w:rPr>
          <w:rFonts w:ascii="Palatino Linotype" w:eastAsia="MS Gothic" w:hAnsi="Palatino Linotype"/>
          <w:b/>
          <w:color w:val="000000" w:themeColor="text1"/>
          <w:u w:val="single"/>
        </w:rPr>
        <w:t>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C51543" w14:textId="77777777" w:rsidR="00AB673E" w:rsidRPr="005F5D0B" w:rsidRDefault="00AB673E" w:rsidP="000872AB">
      <w:pPr>
        <w:tabs>
          <w:tab w:val="left" w:pos="0"/>
        </w:tabs>
        <w:rPr>
          <w:rFonts w:ascii="Palatino Linotype" w:hAnsi="Palatino Linotype" w:cs="Arial"/>
          <w:color w:val="000000" w:themeColor="text1"/>
        </w:rPr>
      </w:pPr>
    </w:p>
    <w:p w14:paraId="765FA87B" w14:textId="77777777"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73B8630C" w14:textId="77777777" w:rsidR="00AB673E" w:rsidRPr="005F5D0B" w:rsidRDefault="00AB673E" w:rsidP="000872AB">
      <w:pPr>
        <w:pBdr>
          <w:top w:val="nil"/>
          <w:left w:val="nil"/>
          <w:bottom w:val="nil"/>
          <w:right w:val="nil"/>
          <w:between w:val="nil"/>
        </w:pBdr>
        <w:tabs>
          <w:tab w:val="left" w:pos="0"/>
        </w:tabs>
        <w:spacing w:line="360" w:lineRule="auto"/>
        <w:jc w:val="both"/>
        <w:rPr>
          <w:rFonts w:ascii="Palatino Linotype" w:eastAsia="MS Gothic" w:hAnsi="Palatino Linotype"/>
          <w:color w:val="000000" w:themeColor="text1"/>
        </w:rPr>
      </w:pPr>
    </w:p>
    <w:p w14:paraId="471E4A6C" w14:textId="77777777" w:rsidR="00AB673E" w:rsidRPr="005F5D0B" w:rsidRDefault="00AB673E" w:rsidP="000872AB">
      <w:pPr>
        <w:pStyle w:val="Prrafodelista"/>
        <w:tabs>
          <w:tab w:val="left" w:pos="0"/>
        </w:tabs>
        <w:spacing w:before="240" w:after="240"/>
        <w:ind w:left="567"/>
        <w:jc w:val="both"/>
        <w:rPr>
          <w:rFonts w:ascii="Palatino Linotype" w:eastAsia="MS Mincho" w:hAnsi="Palatino Linotype" w:cs="Arial"/>
          <w:b/>
          <w:bCs/>
          <w:color w:val="000000" w:themeColor="text1"/>
          <w:u w:val="single"/>
          <w:lang w:eastAsia="es-ES"/>
        </w:rPr>
      </w:pPr>
      <w:r w:rsidRPr="005F5D0B">
        <w:rPr>
          <w:rFonts w:ascii="Palatino Linotype" w:hAnsi="Palatino Linotype" w:cs="Arial"/>
          <w:b/>
          <w:i/>
          <w:color w:val="000000" w:themeColor="text1"/>
        </w:rPr>
        <w:t>FUNDAMENTACIÓN Y MOTIVACIÓN.</w:t>
      </w:r>
      <w:r w:rsidRPr="005F5D0B">
        <w:rPr>
          <w:rFonts w:ascii="Palatino Linotype" w:hAnsi="Palatino Linotype" w:cs="Arial"/>
          <w:i/>
          <w:color w:val="000000" w:themeColor="text1"/>
        </w:rPr>
        <w:t xml:space="preserve"> “La </w:t>
      </w:r>
      <w:r w:rsidRPr="005F5D0B">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F5D0B">
        <w:rPr>
          <w:rFonts w:ascii="Palatino Linotype" w:hAnsi="Palatino Linotype" w:cs="Arial"/>
          <w:i/>
          <w:color w:val="000000" w:themeColor="text1"/>
        </w:rPr>
        <w:t>.”</w:t>
      </w:r>
    </w:p>
    <w:p w14:paraId="7019DB56" w14:textId="77777777" w:rsidR="00AB673E" w:rsidRPr="005F5D0B" w:rsidRDefault="00AB673E" w:rsidP="000872AB">
      <w:pPr>
        <w:tabs>
          <w:tab w:val="left" w:pos="0"/>
        </w:tabs>
        <w:ind w:left="567"/>
        <w:contextualSpacing/>
        <w:jc w:val="both"/>
        <w:rPr>
          <w:rFonts w:ascii="Palatino Linotype" w:hAnsi="Palatino Linotype" w:cs="Arial"/>
          <w:i/>
          <w:color w:val="000000" w:themeColor="text1"/>
        </w:rPr>
      </w:pPr>
    </w:p>
    <w:p w14:paraId="2B0064BC" w14:textId="77777777" w:rsidR="00AB673E" w:rsidRPr="005F5D0B" w:rsidRDefault="00AB673E" w:rsidP="000872AB">
      <w:pPr>
        <w:tabs>
          <w:tab w:val="left" w:pos="0"/>
        </w:tabs>
        <w:ind w:left="567"/>
        <w:contextualSpacing/>
        <w:jc w:val="both"/>
        <w:rPr>
          <w:rFonts w:ascii="Palatino Linotype" w:hAnsi="Palatino Linotype" w:cs="Arial"/>
          <w:i/>
          <w:color w:val="000000" w:themeColor="text1"/>
        </w:rPr>
      </w:pPr>
      <w:r w:rsidRPr="005F5D0B">
        <w:rPr>
          <w:rFonts w:ascii="Palatino Linotype" w:hAnsi="Palatino Linotype" w:cs="Arial"/>
          <w:i/>
          <w:color w:val="000000" w:themeColor="text1"/>
        </w:rPr>
        <w:t>SEGUNDO TRIBUNAL COLEGIADO DEL SEXTO CIRCUITO.</w:t>
      </w:r>
    </w:p>
    <w:p w14:paraId="492548C1" w14:textId="77777777" w:rsidR="00AB673E" w:rsidRPr="005F5D0B" w:rsidRDefault="00AB673E" w:rsidP="000872AB">
      <w:pPr>
        <w:tabs>
          <w:tab w:val="left" w:pos="0"/>
        </w:tabs>
        <w:ind w:left="567"/>
        <w:contextualSpacing/>
        <w:jc w:val="both"/>
        <w:rPr>
          <w:rFonts w:ascii="Palatino Linotype" w:hAnsi="Palatino Linotype" w:cs="Arial"/>
          <w:i/>
          <w:color w:val="000000" w:themeColor="text1"/>
        </w:rPr>
      </w:pPr>
      <w:r w:rsidRPr="005F5D0B">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3664E064" w14:textId="77777777" w:rsidR="00AB673E" w:rsidRPr="005F5D0B" w:rsidRDefault="00AB673E" w:rsidP="000872AB">
      <w:pPr>
        <w:tabs>
          <w:tab w:val="left" w:pos="0"/>
        </w:tabs>
        <w:ind w:left="567"/>
        <w:contextualSpacing/>
        <w:jc w:val="both"/>
        <w:rPr>
          <w:rFonts w:ascii="Palatino Linotype" w:hAnsi="Palatino Linotype" w:cs="Arial"/>
          <w:i/>
          <w:color w:val="000000" w:themeColor="text1"/>
        </w:rPr>
      </w:pPr>
      <w:r w:rsidRPr="005F5D0B">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570132B8" w14:textId="77777777" w:rsidR="00AB673E" w:rsidRPr="005F5D0B" w:rsidRDefault="00AB673E" w:rsidP="000872AB">
      <w:pPr>
        <w:tabs>
          <w:tab w:val="left" w:pos="0"/>
        </w:tabs>
        <w:ind w:left="567"/>
        <w:contextualSpacing/>
        <w:jc w:val="both"/>
        <w:rPr>
          <w:rFonts w:ascii="Palatino Linotype" w:hAnsi="Palatino Linotype" w:cs="Arial"/>
          <w:i/>
          <w:color w:val="000000" w:themeColor="text1"/>
        </w:rPr>
      </w:pPr>
      <w:r w:rsidRPr="005F5D0B">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6403A73D" w14:textId="77777777" w:rsidR="00AB673E" w:rsidRPr="005F5D0B" w:rsidRDefault="00AB673E" w:rsidP="000872AB">
      <w:pPr>
        <w:tabs>
          <w:tab w:val="left" w:pos="0"/>
        </w:tabs>
        <w:ind w:left="567"/>
        <w:contextualSpacing/>
        <w:jc w:val="both"/>
        <w:rPr>
          <w:rFonts w:ascii="Palatino Linotype" w:hAnsi="Palatino Linotype" w:cs="Arial"/>
          <w:i/>
          <w:color w:val="000000" w:themeColor="text1"/>
        </w:rPr>
      </w:pPr>
      <w:r w:rsidRPr="005F5D0B">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5D6C42C4" w14:textId="072268DD" w:rsidR="00AB673E" w:rsidRPr="005F5D0B" w:rsidRDefault="00AB673E" w:rsidP="000872AB">
      <w:pPr>
        <w:tabs>
          <w:tab w:val="left" w:pos="0"/>
        </w:tabs>
        <w:ind w:left="567"/>
        <w:contextualSpacing/>
        <w:jc w:val="both"/>
        <w:rPr>
          <w:rFonts w:ascii="Palatino Linotype" w:hAnsi="Palatino Linotype" w:cs="Arial"/>
          <w:i/>
          <w:color w:val="000000" w:themeColor="text1"/>
        </w:rPr>
      </w:pPr>
      <w:r w:rsidRPr="005F5D0B">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14:paraId="1D4A5151" w14:textId="77777777" w:rsidR="00AB673E" w:rsidRPr="005F5D0B" w:rsidRDefault="00AB673E"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A71E65B" w14:textId="77777777"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MS Gothic" w:hAnsi="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A888C6" w14:textId="77777777" w:rsidR="00AB673E" w:rsidRPr="005F5D0B" w:rsidRDefault="00AB673E"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ABC1D62" w14:textId="77777777"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MS Gothic" w:hAnsi="Palatino Linotype"/>
          <w:color w:val="000000" w:themeColor="text1"/>
        </w:rPr>
        <w:lastRenderedPageBreak/>
        <w:t xml:space="preserve">En consecuencia, la fundamentación y motivación implica que, en el acto de autoridad, además de contenerse los supuestos jurídicos aplicables se expliquen claramente por qué a través de la utilización de la norma se emitió el acto. </w:t>
      </w:r>
    </w:p>
    <w:p w14:paraId="05FBD683" w14:textId="77777777" w:rsidR="00AB673E" w:rsidRPr="005F5D0B" w:rsidRDefault="00AB673E" w:rsidP="000872AB">
      <w:pPr>
        <w:tabs>
          <w:tab w:val="left" w:pos="0"/>
        </w:tabs>
        <w:rPr>
          <w:rFonts w:ascii="Palatino Linotype" w:eastAsia="MS Gothic" w:hAnsi="Palatino Linotype"/>
          <w:color w:val="000000" w:themeColor="text1"/>
        </w:rPr>
      </w:pPr>
    </w:p>
    <w:p w14:paraId="09DBA946" w14:textId="77777777"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MS Gothic" w:hAnsi="Palatino Linotype"/>
          <w:color w:val="000000" w:themeColor="text1"/>
        </w:rPr>
        <w:t>De este modo, la persona que se sienta afectada pueda impugnar la decisión, permitiéndole una real y auténtica defensa.</w:t>
      </w:r>
      <w:r w:rsidRPr="005F5D0B">
        <w:rPr>
          <w:rFonts w:ascii="Palatino Linotype" w:hAnsi="Palatino Linotype" w:cs="Arial"/>
          <w:color w:val="000000" w:themeColor="text1"/>
          <w:lang w:val="es-US"/>
        </w:rPr>
        <w:t xml:space="preserve"> </w:t>
      </w:r>
      <w:r w:rsidRPr="005F5D0B">
        <w:rPr>
          <w:rFonts w:ascii="Palatino Linotype" w:eastAsia="MS Gothic" w:hAnsi="Palatino Linotype"/>
          <w:color w:val="000000" w:themeColor="text1"/>
        </w:rPr>
        <w:t>En ese mismo sentido, el numeral trigésimo tercero fracción V de los Lineamientos Generales, precisa que para motivar la clasificación se deben acreditar las circunstancias de tiempo, modo y lugar.</w:t>
      </w:r>
    </w:p>
    <w:p w14:paraId="63325FE0" w14:textId="77777777" w:rsidR="00AB673E" w:rsidRPr="005F5D0B" w:rsidRDefault="00AB673E" w:rsidP="000872AB">
      <w:pPr>
        <w:tabs>
          <w:tab w:val="left" w:pos="0"/>
        </w:tabs>
        <w:rPr>
          <w:rFonts w:ascii="Palatino Linotype" w:hAnsi="Palatino Linotype" w:cs="Arial"/>
          <w:noProof/>
          <w:color w:val="000000" w:themeColor="text1"/>
        </w:rPr>
      </w:pPr>
    </w:p>
    <w:p w14:paraId="13774458" w14:textId="330AF450" w:rsidR="00AB673E"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hAnsi="Palatino Linotype" w:cs="Arial"/>
          <w:noProof/>
          <w:color w:val="000000" w:themeColor="text1"/>
        </w:rPr>
        <w:t>En ese caso, se precisa que, si bien se entregaron los contratos solicitados, no se proporcionó el Acuerdo emitido por el Comité de Transparencia que sustente la versión pública, aunado a que, del análisis realizado, resulta</w:t>
      </w:r>
      <w:r w:rsidRPr="005F5D0B">
        <w:rPr>
          <w:rFonts w:ascii="Palatino Linotype" w:hAnsi="Palatino Linotype" w:cs="Arial"/>
          <w:b/>
          <w:bCs/>
          <w:noProof/>
          <w:color w:val="000000" w:themeColor="text1"/>
        </w:rPr>
        <w:t xml:space="preserve"> incorrecta.</w:t>
      </w:r>
    </w:p>
    <w:p w14:paraId="5D2C80CB" w14:textId="77777777" w:rsidR="00AB673E" w:rsidRPr="005F5D0B" w:rsidRDefault="00AB673E" w:rsidP="000872AB">
      <w:pPr>
        <w:tabs>
          <w:tab w:val="left" w:pos="0"/>
        </w:tabs>
        <w:rPr>
          <w:rFonts w:ascii="Palatino Linotype" w:hAnsi="Palatino Linotype"/>
          <w:color w:val="000000" w:themeColor="text1"/>
        </w:rPr>
      </w:pPr>
    </w:p>
    <w:p w14:paraId="295C8063" w14:textId="33ED9272" w:rsidR="006768FF" w:rsidRPr="005F5D0B" w:rsidRDefault="006768FF"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hAnsi="Palatino Linotype"/>
          <w:color w:val="000000" w:themeColor="text1"/>
        </w:rPr>
        <w:t xml:space="preserve">Motivo por el cual, analizadas las constancias que forman el expediente electrónico, </w:t>
      </w:r>
      <w:r w:rsidRPr="005F5D0B">
        <w:rPr>
          <w:rFonts w:ascii="Palatino Linotype" w:eastAsia="MS Mincho" w:hAnsi="Palatino Linotype" w:cstheme="majorBidi"/>
          <w:b/>
          <w:color w:val="000000" w:themeColor="text1"/>
          <w:lang w:val="es-ES"/>
        </w:rPr>
        <w:t>resultan fundadas</w:t>
      </w:r>
      <w:r w:rsidRPr="005F5D0B">
        <w:rPr>
          <w:rFonts w:ascii="Palatino Linotype" w:eastAsia="MS Mincho" w:hAnsi="Palatino Linotype" w:cstheme="majorBidi"/>
          <w:color w:val="000000" w:themeColor="text1"/>
          <w:lang w:val="es-ES"/>
        </w:rPr>
        <w:t xml:space="preserve"> las razones o motivos de inconformidad hechos valer por el </w:t>
      </w:r>
      <w:r w:rsidRPr="005F5D0B">
        <w:rPr>
          <w:rFonts w:ascii="Palatino Linotype" w:eastAsia="MS Mincho" w:hAnsi="Palatino Linotype" w:cstheme="majorBidi"/>
          <w:b/>
          <w:color w:val="000000" w:themeColor="text1"/>
          <w:lang w:val="es-ES"/>
        </w:rPr>
        <w:t>RECURRENTE</w:t>
      </w:r>
      <w:r w:rsidRPr="005F5D0B">
        <w:rPr>
          <w:rFonts w:ascii="Palatino Linotype" w:eastAsia="MS Mincho" w:hAnsi="Palatino Linotype" w:cstheme="majorBidi"/>
          <w:color w:val="000000" w:themeColor="text1"/>
          <w:lang w:val="es-ES"/>
        </w:rPr>
        <w:t xml:space="preserve"> dentro del recurso de revisión </w:t>
      </w:r>
      <w:r w:rsidR="00AB673E" w:rsidRPr="005F5D0B">
        <w:rPr>
          <w:rFonts w:ascii="Palatino Linotype" w:eastAsia="MS Mincho" w:hAnsi="Palatino Linotype" w:cstheme="majorBidi"/>
          <w:b/>
          <w:bCs/>
          <w:color w:val="000000" w:themeColor="text1"/>
          <w:lang w:val="es-ES"/>
        </w:rPr>
        <w:t>00863/INFOEM/IP/RR/2025</w:t>
      </w:r>
      <w:r w:rsidRPr="005F5D0B">
        <w:rPr>
          <w:rFonts w:ascii="Palatino Linotype" w:eastAsia="MS Mincho" w:hAnsi="Palatino Linotype" w:cstheme="majorBidi"/>
          <w:b/>
          <w:bCs/>
          <w:color w:val="000000" w:themeColor="text1"/>
          <w:lang w:val="es-ES"/>
        </w:rPr>
        <w:t>,</w:t>
      </w:r>
      <w:r w:rsidRPr="005F5D0B">
        <w:rPr>
          <w:rFonts w:ascii="Palatino Linotype" w:eastAsia="MS Mincho" w:hAnsi="Palatino Linotype" w:cstheme="majorBidi"/>
          <w:bCs/>
          <w:color w:val="000000" w:themeColor="text1"/>
          <w:lang w:val="es-ES"/>
        </w:rPr>
        <w:t xml:space="preserve"> </w:t>
      </w:r>
      <w:r w:rsidRPr="005F5D0B">
        <w:rPr>
          <w:rFonts w:ascii="Palatino Linotype" w:eastAsia="MS Mincho" w:hAnsi="Palatino Linotype" w:cstheme="majorBidi"/>
          <w:color w:val="000000" w:themeColor="text1"/>
          <w:lang w:val="es-ES"/>
        </w:rPr>
        <w:t xml:space="preserve">por ello, y con fundamento en la fracción III del numeral 186 de la Ley de Transparencia y Acceso a la Información Pública del Estado de México y Municipios, se </w:t>
      </w:r>
      <w:r w:rsidRPr="005F5D0B">
        <w:rPr>
          <w:rFonts w:ascii="Palatino Linotype" w:eastAsia="MS Mincho" w:hAnsi="Palatino Linotype" w:cstheme="majorBidi"/>
          <w:b/>
          <w:color w:val="000000" w:themeColor="text1"/>
          <w:lang w:val="es-ES"/>
        </w:rPr>
        <w:t>MODIFICA</w:t>
      </w:r>
      <w:r w:rsidRPr="005F5D0B">
        <w:rPr>
          <w:rFonts w:ascii="Palatino Linotype" w:eastAsia="MS Mincho" w:hAnsi="Palatino Linotype" w:cstheme="majorBidi"/>
          <w:color w:val="000000" w:themeColor="text1"/>
          <w:lang w:val="es-ES"/>
        </w:rPr>
        <w:t xml:space="preserve"> la respuesta del </w:t>
      </w:r>
      <w:r w:rsidRPr="005F5D0B">
        <w:rPr>
          <w:rFonts w:ascii="Palatino Linotype" w:eastAsia="MS Mincho" w:hAnsi="Palatino Linotype" w:cstheme="majorBidi"/>
          <w:b/>
          <w:color w:val="000000" w:themeColor="text1"/>
          <w:lang w:val="es-ES"/>
        </w:rPr>
        <w:t>SUJETO OBLIGADO</w:t>
      </w:r>
      <w:r w:rsidRPr="005F5D0B">
        <w:rPr>
          <w:rFonts w:ascii="Palatino Linotype" w:eastAsia="MS Mincho" w:hAnsi="Palatino Linotype" w:cstheme="majorBidi"/>
          <w:color w:val="000000" w:themeColor="text1"/>
          <w:lang w:val="es-ES"/>
        </w:rPr>
        <w:t xml:space="preserve"> y se ordena la entrega, </w:t>
      </w:r>
      <w:r w:rsidRPr="005F5D0B">
        <w:rPr>
          <w:rFonts w:ascii="Palatino Linotype" w:eastAsia="MS Mincho" w:hAnsi="Palatino Linotype" w:cstheme="majorBidi"/>
          <w:b/>
          <w:color w:val="000000" w:themeColor="text1"/>
          <w:lang w:val="es-ES"/>
        </w:rPr>
        <w:t>en correcta versión pública, los contratos remitidos mediante informe justificado</w:t>
      </w:r>
      <w:r w:rsidRPr="005F5D0B">
        <w:rPr>
          <w:rFonts w:ascii="Palatino Linotype" w:hAnsi="Palatino Linotype"/>
          <w:b/>
          <w:color w:val="000000" w:themeColor="text1"/>
        </w:rPr>
        <w:t>, con el respectivo Acuerdo de Clasificación,</w:t>
      </w:r>
      <w:r w:rsidRPr="005F5D0B">
        <w:rPr>
          <w:rFonts w:ascii="Palatino Linotype" w:hAnsi="Palatino Linotype"/>
          <w:color w:val="000000" w:themeColor="text1"/>
        </w:rPr>
        <w:t xml:space="preserve"> de Conformidad con lo establecido en el </w:t>
      </w:r>
      <w:r w:rsidRPr="005F5D0B">
        <w:rPr>
          <w:rFonts w:ascii="Palatino Linotype" w:hAnsi="Palatino Linotype"/>
          <w:b/>
          <w:color w:val="000000" w:themeColor="text1"/>
        </w:rPr>
        <w:t>Considerando QUINTO</w:t>
      </w:r>
      <w:r w:rsidRPr="005F5D0B">
        <w:rPr>
          <w:rFonts w:ascii="Palatino Linotype" w:hAnsi="Palatino Linotype"/>
          <w:color w:val="000000" w:themeColor="text1"/>
        </w:rPr>
        <w:t xml:space="preserve"> de la presente Resolución.</w:t>
      </w:r>
    </w:p>
    <w:p w14:paraId="767B1999" w14:textId="77777777" w:rsidR="006768FF" w:rsidRPr="005F5D0B" w:rsidRDefault="006768FF"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D198DAE" w14:textId="77777777" w:rsidR="00AF16F7" w:rsidRPr="005F5D0B" w:rsidRDefault="00AF16F7"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748DB64" w14:textId="4D5BAE56" w:rsidR="006768FF" w:rsidRPr="005F5D0B" w:rsidRDefault="00AB673E" w:rsidP="000872AB">
      <w:pPr>
        <w:pStyle w:val="Prrafodelista"/>
        <w:tabs>
          <w:tab w:val="left" w:pos="0"/>
        </w:tabs>
        <w:spacing w:before="240" w:after="240" w:line="360" w:lineRule="auto"/>
        <w:ind w:left="0"/>
        <w:jc w:val="both"/>
        <w:rPr>
          <w:rFonts w:ascii="Palatino Linotype" w:eastAsia="Calibri" w:hAnsi="Palatino Linotype"/>
          <w:b/>
          <w:color w:val="000000" w:themeColor="text1"/>
          <w:lang w:eastAsia="en-US"/>
        </w:rPr>
      </w:pPr>
      <w:r w:rsidRPr="005F5D0B">
        <w:rPr>
          <w:rFonts w:ascii="Palatino Linotype" w:eastAsia="MS Mincho" w:hAnsi="Palatino Linotype" w:cs="Arial"/>
          <w:b/>
          <w:bCs/>
          <w:color w:val="000000" w:themeColor="text1"/>
          <w:lang w:eastAsia="es-ES"/>
        </w:rPr>
        <w:lastRenderedPageBreak/>
        <w:t xml:space="preserve">QUINTO. </w:t>
      </w:r>
      <w:r w:rsidRPr="005F5D0B">
        <w:rPr>
          <w:rFonts w:ascii="Palatino Linotype" w:eastAsia="Calibri" w:hAnsi="Palatino Linotype"/>
          <w:b/>
          <w:color w:val="000000" w:themeColor="text1"/>
          <w:lang w:eastAsia="en-US"/>
        </w:rPr>
        <w:t>VERSIÓN PÚBLICA.</w:t>
      </w:r>
    </w:p>
    <w:p w14:paraId="4F32CD3C" w14:textId="07C1F1A1" w:rsidR="00AB673E" w:rsidRPr="005F5D0B" w:rsidRDefault="00AB673E" w:rsidP="000872AB">
      <w:pPr>
        <w:keepNext/>
        <w:keepLines/>
        <w:numPr>
          <w:ilvl w:val="0"/>
          <w:numId w:val="22"/>
        </w:numPr>
        <w:tabs>
          <w:tab w:val="left" w:pos="0"/>
          <w:tab w:val="num" w:pos="360"/>
        </w:tabs>
        <w:spacing w:line="360" w:lineRule="auto"/>
        <w:ind w:left="284" w:firstLine="0"/>
        <w:outlineLvl w:val="0"/>
        <w:rPr>
          <w:rFonts w:ascii="Palatino Linotype" w:eastAsia="MS Gothic" w:hAnsi="Palatino Linotype"/>
          <w:b/>
          <w:color w:val="000000" w:themeColor="text1"/>
          <w:lang w:eastAsia="en-US"/>
        </w:rPr>
      </w:pPr>
      <w:bookmarkStart w:id="13" w:name="_Toc48135362"/>
      <w:bookmarkStart w:id="14" w:name="_Toc82017070"/>
      <w:bookmarkStart w:id="15" w:name="_Toc82537188"/>
      <w:bookmarkStart w:id="16" w:name="_Toc83830735"/>
      <w:bookmarkStart w:id="17" w:name="_Toc85112355"/>
      <w:r w:rsidRPr="005F5D0B">
        <w:rPr>
          <w:rFonts w:ascii="Palatino Linotype" w:eastAsia="MS Gothic" w:hAnsi="Palatino Linotype"/>
          <w:b/>
          <w:color w:val="000000" w:themeColor="text1"/>
          <w:lang w:eastAsia="es-ES_tradnl"/>
        </w:rPr>
        <w:t>Nociones generales.</w:t>
      </w:r>
      <w:bookmarkEnd w:id="13"/>
      <w:bookmarkEnd w:id="14"/>
      <w:bookmarkEnd w:id="15"/>
      <w:bookmarkEnd w:id="16"/>
      <w:bookmarkEnd w:id="17"/>
      <w:r w:rsidRPr="005F5D0B">
        <w:rPr>
          <w:rFonts w:ascii="Palatino Linotype" w:eastAsia="MS Gothic" w:hAnsi="Palatino Linotype"/>
          <w:b/>
          <w:color w:val="000000" w:themeColor="text1"/>
          <w:lang w:eastAsia="es-ES_tradnl"/>
        </w:rPr>
        <w:t xml:space="preserve"> </w:t>
      </w:r>
    </w:p>
    <w:p w14:paraId="0A729806" w14:textId="77777777" w:rsidR="00AB673E" w:rsidRPr="005F5D0B" w:rsidRDefault="00AB673E"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hAnsi="Palatino Linotype"/>
          <w:color w:val="000000" w:themeColor="text1"/>
        </w:rPr>
        <w:t xml:space="preserve">Debe </w:t>
      </w:r>
      <w:r w:rsidRPr="005F5D0B">
        <w:rPr>
          <w:rFonts w:ascii="Palatino Linotype" w:eastAsia="MS Mincho" w:hAnsi="Palatino Linotype" w:cs="Arial"/>
          <w:color w:val="000000" w:themeColor="text1"/>
        </w:rPr>
        <w:t>destacarse que, debido a la naturaleza de la información solicitada</w:t>
      </w:r>
      <w:r w:rsidRPr="005F5D0B">
        <w:rPr>
          <w:rFonts w:ascii="Palatino Linotype" w:eastAsia="MS Mincho" w:hAnsi="Palatino Linotype" w:cs="Arial"/>
          <w:b/>
          <w:color w:val="000000" w:themeColor="text1"/>
        </w:rPr>
        <w:t xml:space="preserve">, </w:t>
      </w:r>
      <w:r w:rsidRPr="005F5D0B">
        <w:rPr>
          <w:rFonts w:ascii="Palatino Linotype" w:eastAsia="MS Mincho" w:hAnsi="Palatino Linotype" w:cs="Arial"/>
          <w:color w:val="000000" w:themeColor="text1"/>
        </w:rPr>
        <w:t xml:space="preserve">eventualmente pudiera obrar datos personales susceptibles de protegerse, el </w:t>
      </w:r>
      <w:r w:rsidRPr="005F5D0B">
        <w:rPr>
          <w:rFonts w:ascii="Palatino Linotype" w:eastAsia="MS Mincho" w:hAnsi="Palatino Linotype" w:cs="Arial"/>
          <w:b/>
          <w:bCs/>
          <w:color w:val="000000" w:themeColor="text1"/>
        </w:rPr>
        <w:t xml:space="preserve">Sujeto Obligado </w:t>
      </w:r>
      <w:r w:rsidRPr="005F5D0B">
        <w:rPr>
          <w:rFonts w:ascii="Palatino Linotype" w:eastAsia="MS Mincho" w:hAnsi="Palatino Linotype" w:cs="Arial"/>
          <w:color w:val="000000" w:themeColor="text1"/>
        </w:rPr>
        <w:t xml:space="preserve">deberá de hacer la adecuada versión pública, protegiendo los datos que no son susceptibles de ser proporcionados. </w:t>
      </w:r>
    </w:p>
    <w:p w14:paraId="2CF4C990" w14:textId="77777777" w:rsidR="00AB673E" w:rsidRPr="005F5D0B" w:rsidRDefault="00AB673E"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9060184" w14:textId="693EE56F" w:rsidR="00AB673E" w:rsidRPr="005F5D0B" w:rsidRDefault="00AB673E"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MS Mincho" w:hAnsi="Palatino Linotype" w:cs="Arial"/>
          <w:color w:val="000000" w:themeColor="text1"/>
        </w:rPr>
        <w:t xml:space="preserve">No pasa desapercibido para este Órgano Garante que los </w:t>
      </w:r>
      <w:r w:rsidRPr="005F5D0B">
        <w:rPr>
          <w:rFonts w:ascii="Palatino Linotype" w:eastAsia="MS Mincho" w:hAnsi="Palatino Linotype" w:cs="Arial"/>
          <w:bCs/>
          <w:color w:val="000000" w:themeColor="text1"/>
        </w:rPr>
        <w:t>Sujetos Obligados</w:t>
      </w:r>
      <w:r w:rsidRPr="005F5D0B">
        <w:rPr>
          <w:rFonts w:ascii="Palatino Linotype" w:eastAsia="MS Mincho" w:hAnsi="Palatino Linotype" w:cs="Arial"/>
          <w:b/>
          <w:bCs/>
          <w:color w:val="000000" w:themeColor="text1"/>
        </w:rPr>
        <w:t xml:space="preserve"> </w:t>
      </w:r>
      <w:r w:rsidRPr="005F5D0B">
        <w:rPr>
          <w:rFonts w:ascii="Palatino Linotype" w:eastAsia="MS Mincho" w:hAnsi="Palatino Linotype" w:cs="Arial"/>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674DA88" w14:textId="77777777" w:rsidR="00AB673E" w:rsidRPr="005F5D0B" w:rsidRDefault="00AB673E" w:rsidP="000872AB">
      <w:pPr>
        <w:tabs>
          <w:tab w:val="left" w:pos="0"/>
        </w:tabs>
        <w:spacing w:line="360" w:lineRule="auto"/>
        <w:contextualSpacing/>
        <w:jc w:val="both"/>
        <w:rPr>
          <w:rFonts w:ascii="Palatino Linotype" w:eastAsia="MS Mincho" w:hAnsi="Palatino Linotype" w:cs="Arial"/>
          <w:color w:val="000000" w:themeColor="text1"/>
        </w:rPr>
      </w:pPr>
    </w:p>
    <w:tbl>
      <w:tblPr>
        <w:tblStyle w:val="Tablanormal13"/>
        <w:tblW w:w="0" w:type="auto"/>
        <w:tblLook w:val="04A0" w:firstRow="1" w:lastRow="0" w:firstColumn="1" w:lastColumn="0" w:noHBand="0" w:noVBand="1"/>
      </w:tblPr>
      <w:tblGrid>
        <w:gridCol w:w="1838"/>
        <w:gridCol w:w="6990"/>
      </w:tblGrid>
      <w:tr w:rsidR="000872AB" w:rsidRPr="005F5D0B" w14:paraId="5C836F2F" w14:textId="77777777" w:rsidTr="00F50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F04204" w14:textId="77777777" w:rsidR="00AB673E" w:rsidRPr="005F5D0B" w:rsidRDefault="00AB673E" w:rsidP="000872AB">
            <w:pPr>
              <w:tabs>
                <w:tab w:val="left" w:pos="0"/>
              </w:tabs>
              <w:rPr>
                <w:rFonts w:ascii="Palatino Linotype" w:eastAsia="Cambria" w:hAnsi="Palatino Linotype"/>
                <w:bCs w:val="0"/>
                <w:color w:val="000000" w:themeColor="text1"/>
                <w:sz w:val="24"/>
                <w:szCs w:val="24"/>
              </w:rPr>
            </w:pPr>
            <w:r w:rsidRPr="005F5D0B">
              <w:rPr>
                <w:rFonts w:ascii="Palatino Linotype" w:eastAsia="Cambria" w:hAnsi="Palatino Linotype"/>
                <w:bCs w:val="0"/>
                <w:color w:val="000000" w:themeColor="text1"/>
                <w:sz w:val="24"/>
                <w:szCs w:val="24"/>
              </w:rPr>
              <w:t>a) Requisitos previos.</w:t>
            </w:r>
          </w:p>
        </w:tc>
        <w:tc>
          <w:tcPr>
            <w:tcW w:w="6990" w:type="dxa"/>
            <w:hideMark/>
          </w:tcPr>
          <w:p w14:paraId="6B21462D" w14:textId="77777777" w:rsidR="00AB673E" w:rsidRPr="005F5D0B" w:rsidRDefault="00AB673E" w:rsidP="000872AB">
            <w:pPr>
              <w:tabs>
                <w:tab w:val="left" w:pos="0"/>
              </w:tabs>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themeColor="text1"/>
                <w:sz w:val="24"/>
                <w:szCs w:val="24"/>
              </w:rPr>
            </w:pPr>
            <w:r w:rsidRPr="005F5D0B">
              <w:rPr>
                <w:rFonts w:ascii="Palatino Linotype" w:eastAsia="Cambria" w:hAnsi="Palatino Linotype" w:cs="Arial"/>
                <w:b w:val="0"/>
                <w:bCs w:val="0"/>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68E2B6C" w14:textId="77777777" w:rsidR="00AB673E" w:rsidRPr="005F5D0B" w:rsidRDefault="00AB673E" w:rsidP="000872AB">
            <w:pPr>
              <w:tabs>
                <w:tab w:val="left" w:pos="0"/>
              </w:tabs>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themeColor="text1"/>
                <w:sz w:val="24"/>
                <w:szCs w:val="24"/>
              </w:rPr>
            </w:pPr>
            <w:r w:rsidRPr="005F5D0B">
              <w:rPr>
                <w:rFonts w:ascii="Palatino Linotype" w:eastAsia="Cambria" w:hAnsi="Palatino Linotype" w:cs="Arial"/>
                <w:b w:val="0"/>
                <w:bCs w:val="0"/>
                <w:color w:val="000000" w:themeColor="text1"/>
                <w:sz w:val="24"/>
                <w:szCs w:val="24"/>
              </w:rPr>
              <w:t>Al hacerlo tienen que precisar de qué información se trata, señalando el supuesto de clasificación (confidencialidad o reserva).</w:t>
            </w:r>
          </w:p>
          <w:p w14:paraId="4724D0D6" w14:textId="77777777" w:rsidR="00AB673E" w:rsidRPr="005F5D0B" w:rsidRDefault="00AB673E" w:rsidP="000872AB">
            <w:pPr>
              <w:tabs>
                <w:tab w:val="left" w:pos="0"/>
              </w:tabs>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themeColor="text1"/>
                <w:sz w:val="24"/>
                <w:szCs w:val="24"/>
              </w:rPr>
            </w:pPr>
            <w:r w:rsidRPr="005F5D0B">
              <w:rPr>
                <w:rFonts w:ascii="Palatino Linotype" w:eastAsia="Cambria" w:hAnsi="Palatino Linotype" w:cs="Arial"/>
                <w:b w:val="0"/>
                <w:bCs w:val="0"/>
                <w:color w:val="000000" w:themeColor="text1"/>
                <w:sz w:val="24"/>
                <w:szCs w:val="24"/>
              </w:rPr>
              <w:t>Además, se debe señalar el procedimiento, de los tres que establecen los artículos 132 y 106 de la Ley Estatal y General, respectivamente.</w:t>
            </w:r>
          </w:p>
          <w:p w14:paraId="6A6C6C4B" w14:textId="77777777" w:rsidR="00AB673E" w:rsidRPr="005F5D0B" w:rsidRDefault="00AB673E" w:rsidP="000872AB">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olor w:val="000000" w:themeColor="text1"/>
                <w:sz w:val="24"/>
                <w:szCs w:val="24"/>
              </w:rPr>
            </w:pPr>
            <w:r w:rsidRPr="005F5D0B">
              <w:rPr>
                <w:rFonts w:ascii="Palatino Linotype" w:eastAsia="Cambria" w:hAnsi="Palatino Linotype" w:cs="Arial"/>
                <w:b w:val="0"/>
                <w:bCs w:val="0"/>
                <w:color w:val="000000" w:themeColor="text1"/>
                <w:sz w:val="24"/>
                <w:szCs w:val="24"/>
              </w:rPr>
              <w:t xml:space="preserve">El último de estos requisitos previos consiste en que no se pueden emitir acuerdos de carácter general ni particular, esto es, </w:t>
            </w:r>
            <w:r w:rsidRPr="005F5D0B">
              <w:rPr>
                <w:rFonts w:ascii="Palatino Linotype" w:eastAsia="Cambria" w:hAnsi="Palatino Linotype" w:cs="Arial"/>
                <w:b w:val="0"/>
                <w:bCs w:val="0"/>
                <w:color w:val="000000" w:themeColor="text1"/>
                <w:sz w:val="24"/>
                <w:szCs w:val="24"/>
                <w:u w:val="single"/>
              </w:rPr>
              <w:t xml:space="preserve">no se puede hacer un acuerdo para clasificar de manera general </w:t>
            </w:r>
            <w:r w:rsidRPr="005F5D0B">
              <w:rPr>
                <w:rFonts w:ascii="Palatino Linotype" w:eastAsia="Cambria" w:hAnsi="Palatino Linotype" w:cs="Arial"/>
                <w:b w:val="0"/>
                <w:bCs w:val="0"/>
                <w:color w:val="000000" w:themeColor="text1"/>
                <w:sz w:val="24"/>
                <w:szCs w:val="24"/>
                <w:u w:val="single"/>
              </w:rPr>
              <w:lastRenderedPageBreak/>
              <w:t>todos los documentos de un expediente o área, sin</w:t>
            </w:r>
            <w:r w:rsidRPr="005F5D0B">
              <w:rPr>
                <w:rFonts w:ascii="Palatino Linotype" w:eastAsia="Cambria" w:hAnsi="Palatino Linotype" w:cs="Arial"/>
                <w:b w:val="0"/>
                <w:bCs w:val="0"/>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0872AB" w:rsidRPr="005F5D0B" w14:paraId="10B40A4A" w14:textId="77777777" w:rsidTr="00F50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4D342B" w14:textId="77777777" w:rsidR="00AB673E" w:rsidRPr="005F5D0B" w:rsidRDefault="00AB673E" w:rsidP="000872AB">
            <w:pPr>
              <w:tabs>
                <w:tab w:val="left" w:pos="0"/>
              </w:tabs>
              <w:rPr>
                <w:rFonts w:ascii="Palatino Linotype" w:eastAsia="Cambria" w:hAnsi="Palatino Linotype"/>
                <w:bCs w:val="0"/>
                <w:color w:val="000000" w:themeColor="text1"/>
                <w:sz w:val="24"/>
                <w:szCs w:val="24"/>
              </w:rPr>
            </w:pPr>
            <w:r w:rsidRPr="005F5D0B">
              <w:rPr>
                <w:rFonts w:ascii="Palatino Linotype" w:eastAsia="Cambria" w:hAnsi="Palatino Linotype"/>
                <w:bCs w:val="0"/>
                <w:color w:val="000000" w:themeColor="text1"/>
                <w:sz w:val="24"/>
                <w:szCs w:val="24"/>
              </w:rPr>
              <w:lastRenderedPageBreak/>
              <w:t>b) Supuestos de clasificación.</w:t>
            </w:r>
          </w:p>
        </w:tc>
        <w:tc>
          <w:tcPr>
            <w:tcW w:w="6990" w:type="dxa"/>
            <w:hideMark/>
          </w:tcPr>
          <w:p w14:paraId="61D72425" w14:textId="77777777" w:rsidR="00AB673E" w:rsidRPr="005F5D0B" w:rsidRDefault="00AB673E" w:rsidP="000872AB">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5F5D0B">
              <w:rPr>
                <w:rFonts w:ascii="Palatino Linotype" w:eastAsia="Cambria"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15928712" w14:textId="77777777" w:rsidR="00AB673E" w:rsidRPr="005F5D0B" w:rsidRDefault="00AB673E" w:rsidP="000872AB">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5F5D0B">
              <w:rPr>
                <w:rFonts w:ascii="Palatino Linotype" w:eastAsia="Cambria" w:hAnsi="Palatino Linotype" w:cs="Arial"/>
                <w:color w:val="000000" w:themeColor="text1"/>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1547909" w14:textId="77777777" w:rsidR="00AB673E" w:rsidRPr="005F5D0B" w:rsidRDefault="00AB673E" w:rsidP="000872AB">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olor w:val="000000" w:themeColor="text1"/>
                <w:sz w:val="24"/>
                <w:szCs w:val="24"/>
              </w:rPr>
            </w:pPr>
            <w:r w:rsidRPr="005F5D0B">
              <w:rPr>
                <w:rFonts w:ascii="Palatino Linotype" w:eastAsia="Cambria" w:hAnsi="Palatino Linotype" w:cs="Arial"/>
                <w:color w:val="000000" w:themeColor="text1"/>
                <w:sz w:val="24"/>
                <w:szCs w:val="24"/>
              </w:rPr>
              <w:t xml:space="preserve">El </w:t>
            </w:r>
            <w:r w:rsidRPr="005F5D0B">
              <w:rPr>
                <w:rFonts w:ascii="Palatino Linotype" w:eastAsia="Cambria" w:hAnsi="Palatino Linotype" w:cs="Arial"/>
                <w:b/>
                <w:color w:val="000000" w:themeColor="text1"/>
                <w:sz w:val="24"/>
                <w:szCs w:val="24"/>
              </w:rPr>
              <w:t>Sujeto Obligado</w:t>
            </w:r>
            <w:r w:rsidRPr="005F5D0B">
              <w:rPr>
                <w:rFonts w:ascii="Palatino Linotype" w:eastAsia="Cambria" w:hAnsi="Palatino Linotype" w:cs="Arial"/>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872AB" w:rsidRPr="005F5D0B" w14:paraId="71AB61E7" w14:textId="77777777" w:rsidTr="00F50AD9">
        <w:tc>
          <w:tcPr>
            <w:cnfStyle w:val="001000000000" w:firstRow="0" w:lastRow="0" w:firstColumn="1" w:lastColumn="0" w:oddVBand="0" w:evenVBand="0" w:oddHBand="0" w:evenHBand="0" w:firstRowFirstColumn="0" w:firstRowLastColumn="0" w:lastRowFirstColumn="0" w:lastRowLastColumn="0"/>
            <w:tcW w:w="1838" w:type="dxa"/>
            <w:hideMark/>
          </w:tcPr>
          <w:p w14:paraId="65FB7F50" w14:textId="77777777" w:rsidR="00AB673E" w:rsidRPr="005F5D0B" w:rsidRDefault="00AB673E" w:rsidP="000872AB">
            <w:pPr>
              <w:tabs>
                <w:tab w:val="left" w:pos="0"/>
              </w:tabs>
              <w:rPr>
                <w:rFonts w:ascii="Palatino Linotype" w:eastAsia="Cambria" w:hAnsi="Palatino Linotype"/>
                <w:bCs w:val="0"/>
                <w:color w:val="000000" w:themeColor="text1"/>
                <w:sz w:val="24"/>
                <w:szCs w:val="24"/>
              </w:rPr>
            </w:pPr>
            <w:r w:rsidRPr="005F5D0B">
              <w:rPr>
                <w:rFonts w:ascii="Palatino Linotype" w:eastAsia="Cambria" w:hAnsi="Palatino Linotype"/>
                <w:bCs w:val="0"/>
                <w:color w:val="000000" w:themeColor="text1"/>
                <w:sz w:val="24"/>
                <w:szCs w:val="24"/>
              </w:rPr>
              <w:t>c) Formalidades para emitir el acuerdo de clasificación.</w:t>
            </w:r>
          </w:p>
        </w:tc>
        <w:tc>
          <w:tcPr>
            <w:tcW w:w="6990" w:type="dxa"/>
            <w:hideMark/>
          </w:tcPr>
          <w:p w14:paraId="7C50165F" w14:textId="77777777" w:rsidR="00AB673E" w:rsidRPr="005F5D0B" w:rsidRDefault="00AB673E" w:rsidP="000872AB">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5F5D0B">
              <w:rPr>
                <w:rFonts w:ascii="Palatino Linotype" w:eastAsia="Cambria" w:hAnsi="Palatino Linotype" w:cs="Arial"/>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2663CB28" w14:textId="77777777" w:rsidR="00AF16F7" w:rsidRPr="005F5D0B" w:rsidRDefault="00AF16F7" w:rsidP="000872AB">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p>
          <w:p w14:paraId="27773373" w14:textId="77777777" w:rsidR="00AB673E" w:rsidRPr="005F5D0B" w:rsidRDefault="00AB673E" w:rsidP="000872AB">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5F5D0B">
              <w:rPr>
                <w:rFonts w:ascii="Palatino Linotype" w:eastAsia="Cambria" w:hAnsi="Palatino Linotype" w:cs="Arial"/>
                <w:color w:val="000000" w:themeColor="text1"/>
                <w:sz w:val="24"/>
                <w:szCs w:val="24"/>
              </w:rPr>
              <w:t xml:space="preserve">Es necesario que </w:t>
            </w:r>
            <w:r w:rsidRPr="005F5D0B">
              <w:rPr>
                <w:rFonts w:ascii="Palatino Linotype" w:eastAsia="Cambria" w:hAnsi="Palatino Linotype" w:cs="Arial"/>
                <w:b/>
                <w:color w:val="000000" w:themeColor="text1"/>
                <w:sz w:val="24"/>
                <w:szCs w:val="24"/>
                <w:u w:val="single"/>
              </w:rPr>
              <w:t>el acto reúna con los requisitos elementales</w:t>
            </w:r>
            <w:r w:rsidRPr="005F5D0B">
              <w:rPr>
                <w:rFonts w:ascii="Palatino Linotype" w:eastAsia="Cambria" w:hAnsi="Palatino Linotype" w:cs="Arial"/>
                <w:color w:val="000000" w:themeColor="text1"/>
                <w:sz w:val="24"/>
                <w:szCs w:val="24"/>
              </w:rPr>
              <w:t>, entre ellos, que la autoridad que va a emitir el acto de autoridad sea la legalmente facultada para ello.</w:t>
            </w:r>
          </w:p>
          <w:p w14:paraId="5D758144" w14:textId="77777777" w:rsidR="00AF16F7" w:rsidRPr="005F5D0B" w:rsidRDefault="00AF16F7" w:rsidP="000872AB">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p>
          <w:p w14:paraId="22FD7CD9" w14:textId="77777777" w:rsidR="00AB673E" w:rsidRPr="005F5D0B" w:rsidRDefault="00AB673E" w:rsidP="000872AB">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olor w:val="000000" w:themeColor="text1"/>
                <w:sz w:val="24"/>
                <w:szCs w:val="24"/>
              </w:rPr>
            </w:pPr>
            <w:r w:rsidRPr="005F5D0B">
              <w:rPr>
                <w:rFonts w:ascii="Palatino Linotype" w:eastAsia="Cambria" w:hAnsi="Palatino Linotype" w:cs="Arial"/>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w:t>
            </w:r>
            <w:r w:rsidRPr="005F5D0B">
              <w:rPr>
                <w:rFonts w:ascii="Palatino Linotype" w:eastAsia="Cambria" w:hAnsi="Palatino Linotype" w:cs="Arial"/>
                <w:color w:val="000000" w:themeColor="text1"/>
                <w:sz w:val="24"/>
                <w:szCs w:val="24"/>
              </w:rPr>
              <w:lastRenderedPageBreak/>
              <w:t>agenda de los asuntos a tratar en las sesiones, se insiste, a partir de las decisiones adoptadas previamente por los titulares de áreas y que son sujetas a control, en primera instancia, por el Comité de Transparencia.</w:t>
            </w:r>
          </w:p>
        </w:tc>
      </w:tr>
      <w:tr w:rsidR="000872AB" w:rsidRPr="005F5D0B" w14:paraId="5292049B" w14:textId="77777777" w:rsidTr="00F50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6D7C949" w14:textId="77777777" w:rsidR="00AB673E" w:rsidRPr="005F5D0B" w:rsidRDefault="00AB673E" w:rsidP="000872AB">
            <w:pPr>
              <w:tabs>
                <w:tab w:val="left" w:pos="0"/>
              </w:tabs>
              <w:rPr>
                <w:rFonts w:ascii="Palatino Linotype" w:eastAsia="Cambria" w:hAnsi="Palatino Linotype"/>
                <w:b w:val="0"/>
                <w:color w:val="000000" w:themeColor="text1"/>
                <w:sz w:val="24"/>
                <w:szCs w:val="24"/>
              </w:rPr>
            </w:pPr>
          </w:p>
          <w:p w14:paraId="2F51E4CA" w14:textId="77777777" w:rsidR="00AB673E" w:rsidRPr="005F5D0B" w:rsidRDefault="00AB673E" w:rsidP="000872AB">
            <w:pPr>
              <w:tabs>
                <w:tab w:val="left" w:pos="0"/>
              </w:tabs>
              <w:jc w:val="both"/>
              <w:rPr>
                <w:rFonts w:ascii="Palatino Linotype" w:eastAsia="Cambria" w:hAnsi="Palatino Linotype"/>
                <w:bCs w:val="0"/>
                <w:color w:val="000000" w:themeColor="text1"/>
                <w:sz w:val="24"/>
                <w:szCs w:val="24"/>
              </w:rPr>
            </w:pPr>
            <w:r w:rsidRPr="005F5D0B">
              <w:rPr>
                <w:rFonts w:ascii="Palatino Linotype" w:eastAsia="Cambria" w:hAnsi="Palatino Linotype" w:cs="Arial"/>
                <w:bCs w:val="0"/>
                <w:color w:val="000000" w:themeColor="text1"/>
                <w:sz w:val="24"/>
                <w:szCs w:val="24"/>
              </w:rPr>
              <w:t xml:space="preserve">d) Requisitos de fondo del acuerdo de clasificación. </w:t>
            </w:r>
          </w:p>
        </w:tc>
        <w:tc>
          <w:tcPr>
            <w:tcW w:w="6990" w:type="dxa"/>
            <w:hideMark/>
          </w:tcPr>
          <w:p w14:paraId="73C2E91B" w14:textId="77777777" w:rsidR="00AB673E" w:rsidRPr="005F5D0B" w:rsidRDefault="00AB673E" w:rsidP="000872AB">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5F5D0B">
              <w:rPr>
                <w:rFonts w:ascii="Palatino Linotype" w:eastAsia="Cambria"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F5D0B">
              <w:rPr>
                <w:rFonts w:ascii="Palatino Linotype" w:eastAsia="Cambria" w:hAnsi="Palatino Linotype" w:cs="Arial"/>
                <w:b/>
                <w:color w:val="000000" w:themeColor="text1"/>
                <w:sz w:val="24"/>
                <w:szCs w:val="24"/>
              </w:rPr>
              <w:t>Sujetos Obligados</w:t>
            </w:r>
            <w:r w:rsidRPr="005F5D0B">
              <w:rPr>
                <w:rFonts w:ascii="Palatino Linotype" w:eastAsia="Cambria" w:hAnsi="Palatino Linotype" w:cs="Arial"/>
                <w:color w:val="000000" w:themeColor="text1"/>
                <w:sz w:val="24"/>
                <w:szCs w:val="24"/>
              </w:rPr>
              <w:t xml:space="preserve">, por lo que deberán fundar y motivar debidamente la clasificación. </w:t>
            </w:r>
          </w:p>
          <w:p w14:paraId="373FD1E3" w14:textId="77777777" w:rsidR="00AF16F7" w:rsidRPr="005F5D0B" w:rsidRDefault="00AF16F7" w:rsidP="000872AB">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p>
          <w:p w14:paraId="177594D7" w14:textId="77777777" w:rsidR="00AB673E" w:rsidRPr="005F5D0B" w:rsidRDefault="00AB673E" w:rsidP="000872AB">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5F5D0B">
              <w:rPr>
                <w:rFonts w:ascii="Palatino Linotype" w:eastAsia="Cambria" w:hAnsi="Palatino Linotype" w:cs="Arial"/>
                <w:color w:val="000000" w:themeColor="text1"/>
                <w:sz w:val="24"/>
                <w:szCs w:val="24"/>
              </w:rPr>
              <w:t xml:space="preserve">De lo anterior, se desprende que para una correcta </w:t>
            </w:r>
            <w:r w:rsidRPr="005F5D0B">
              <w:rPr>
                <w:rFonts w:ascii="Palatino Linotype" w:eastAsia="Cambria" w:hAnsi="Palatino Linotype" w:cs="Arial"/>
                <w:b/>
                <w:color w:val="000000" w:themeColor="text1"/>
                <w:sz w:val="24"/>
                <w:szCs w:val="24"/>
              </w:rPr>
              <w:t>clasificación total o parcial</w:t>
            </w:r>
            <w:r w:rsidRPr="005F5D0B">
              <w:rPr>
                <w:rFonts w:ascii="Palatino Linotype" w:eastAsia="Cambria" w:hAnsi="Palatino Linotype" w:cs="Arial"/>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FECEF55" w14:textId="77777777" w:rsidR="00AF16F7" w:rsidRPr="005F5D0B" w:rsidRDefault="00AF16F7" w:rsidP="000872AB">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p>
          <w:p w14:paraId="14DBC277" w14:textId="77777777" w:rsidR="00AB673E" w:rsidRPr="005F5D0B" w:rsidRDefault="00AB673E" w:rsidP="000872AB">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5F5D0B">
              <w:rPr>
                <w:rFonts w:ascii="Palatino Linotype" w:eastAsia="Cambria" w:hAnsi="Palatino Linotype" w:cs="Arial"/>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DC01836" w14:textId="77777777" w:rsidR="00AB673E" w:rsidRPr="005F5D0B" w:rsidRDefault="00AB673E" w:rsidP="000872AB">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5F5D0B">
              <w:rPr>
                <w:rFonts w:ascii="Palatino Linotype" w:eastAsia="Cambria" w:hAnsi="Palatino Linotype" w:cs="Arial"/>
                <w:color w:val="000000" w:themeColor="text1"/>
                <w:sz w:val="24"/>
                <w:szCs w:val="24"/>
              </w:rPr>
              <w:t>En ese mismo sentido, el numeral trigésimo tercero fracción V de los Lineamientos Generales, precisa que para motivar la clasificación se deben acreditar las circunstancias de tiempo, modo y lugar.</w:t>
            </w:r>
          </w:p>
          <w:p w14:paraId="15FD735F" w14:textId="77777777" w:rsidR="00AF16F7" w:rsidRPr="005F5D0B" w:rsidRDefault="00AF16F7" w:rsidP="000872AB">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p>
          <w:p w14:paraId="5D6DA64F" w14:textId="77777777" w:rsidR="00AB673E" w:rsidRPr="005F5D0B" w:rsidRDefault="00AB673E" w:rsidP="000872AB">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5F5D0B">
              <w:rPr>
                <w:rFonts w:ascii="Palatino Linotype" w:eastAsia="Cambria" w:hAnsi="Palatino Linotype" w:cs="Arial"/>
                <w:color w:val="000000" w:themeColor="text1"/>
                <w:sz w:val="24"/>
                <w:szCs w:val="24"/>
              </w:rPr>
              <w:t xml:space="preserve">Ahora bien, </w:t>
            </w:r>
            <w:r w:rsidRPr="005F5D0B">
              <w:rPr>
                <w:rFonts w:ascii="Palatino Linotype" w:eastAsia="Cambria" w:hAnsi="Palatino Linotype" w:cs="Arial"/>
                <w:b/>
                <w:color w:val="000000" w:themeColor="text1"/>
                <w:sz w:val="24"/>
                <w:szCs w:val="24"/>
                <w:u w:val="single"/>
              </w:rPr>
              <w:t>para cada caso además de fundar y motivar</w:t>
            </w:r>
            <w:r w:rsidRPr="005F5D0B">
              <w:rPr>
                <w:rFonts w:ascii="Palatino Linotype" w:eastAsia="Cambria" w:hAnsi="Palatino Linotype" w:cs="Arial"/>
                <w:color w:val="000000" w:themeColor="text1"/>
                <w:sz w:val="24"/>
                <w:szCs w:val="24"/>
              </w:rPr>
              <w:t xml:space="preserve">, se debe identificar con claridad que datos contenidos en las </w:t>
            </w:r>
            <w:r w:rsidRPr="005F5D0B">
              <w:rPr>
                <w:rFonts w:ascii="Palatino Linotype" w:eastAsia="Cambria" w:hAnsi="Palatino Linotype" w:cs="Arial"/>
                <w:color w:val="000000" w:themeColor="text1"/>
                <w:sz w:val="24"/>
                <w:szCs w:val="24"/>
              </w:rPr>
              <w:lastRenderedPageBreak/>
              <w:t xml:space="preserve">documentales que son susceptibles de suprimirse, por ejemplo; </w:t>
            </w:r>
            <w:r w:rsidRPr="005F5D0B">
              <w:rPr>
                <w:rFonts w:ascii="Palatino Linotype" w:eastAsia="Cambria" w:hAnsi="Palatino Linotype" w:cs="Arial"/>
                <w:color w:val="000000" w:themeColor="text1"/>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872AB" w:rsidRPr="005F5D0B" w14:paraId="799BFE0D" w14:textId="77777777" w:rsidTr="00F50AD9">
        <w:tc>
          <w:tcPr>
            <w:cnfStyle w:val="001000000000" w:firstRow="0" w:lastRow="0" w:firstColumn="1" w:lastColumn="0" w:oddVBand="0" w:evenVBand="0" w:oddHBand="0" w:evenHBand="0" w:firstRowFirstColumn="0" w:firstRowLastColumn="0" w:lastRowFirstColumn="0" w:lastRowLastColumn="0"/>
            <w:tcW w:w="1838" w:type="dxa"/>
          </w:tcPr>
          <w:p w14:paraId="46C79B54" w14:textId="77777777" w:rsidR="00AB673E" w:rsidRPr="005F5D0B" w:rsidRDefault="00AB673E" w:rsidP="000872AB">
            <w:pPr>
              <w:tabs>
                <w:tab w:val="left" w:pos="0"/>
              </w:tabs>
              <w:jc w:val="both"/>
              <w:rPr>
                <w:rFonts w:ascii="Palatino Linotype" w:eastAsia="Cambria" w:hAnsi="Palatino Linotype" w:cs="Arial"/>
                <w:bCs w:val="0"/>
                <w:color w:val="000000" w:themeColor="text1"/>
                <w:sz w:val="24"/>
                <w:szCs w:val="24"/>
              </w:rPr>
            </w:pPr>
            <w:r w:rsidRPr="005F5D0B">
              <w:rPr>
                <w:rFonts w:ascii="Palatino Linotype" w:eastAsia="MS Gothic" w:hAnsi="Palatino Linotype"/>
                <w:b w:val="0"/>
                <w:color w:val="000000" w:themeColor="text1"/>
                <w:sz w:val="24"/>
                <w:szCs w:val="24"/>
              </w:rPr>
              <w:lastRenderedPageBreak/>
              <w:t>e</w:t>
            </w:r>
            <w:r w:rsidRPr="005F5D0B">
              <w:rPr>
                <w:rFonts w:ascii="Palatino Linotype" w:eastAsia="MS Gothic" w:hAnsi="Palatino Linotype"/>
                <w:bCs w:val="0"/>
                <w:color w:val="000000" w:themeColor="text1"/>
                <w:sz w:val="24"/>
                <w:szCs w:val="24"/>
              </w:rPr>
              <w:t xml:space="preserve">) Condiciones especiales de la clasificación de la información como confidencial. </w:t>
            </w:r>
          </w:p>
        </w:tc>
        <w:tc>
          <w:tcPr>
            <w:tcW w:w="6990" w:type="dxa"/>
            <w:hideMark/>
          </w:tcPr>
          <w:p w14:paraId="729ECA5E" w14:textId="77777777" w:rsidR="00AB673E" w:rsidRPr="005F5D0B" w:rsidRDefault="00AB673E" w:rsidP="000872AB">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5F5D0B">
              <w:rPr>
                <w:rFonts w:ascii="Palatino Linotype" w:eastAsia="Cambria" w:hAnsi="Palatino Linotype" w:cs="Arial"/>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14:paraId="5A1FEE15" w14:textId="77777777" w:rsidR="00AF16F7" w:rsidRPr="005F5D0B" w:rsidRDefault="00AF16F7" w:rsidP="000872AB">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p>
          <w:p w14:paraId="50C664B8" w14:textId="77777777" w:rsidR="00AB673E" w:rsidRPr="005F5D0B" w:rsidRDefault="00AB673E" w:rsidP="000872AB">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5F5D0B">
              <w:rPr>
                <w:rFonts w:ascii="Palatino Linotype" w:eastAsia="Cambria" w:hAnsi="Palatino Linotype" w:cs="Arial"/>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A683B8" w14:textId="77777777" w:rsidR="00AF16F7" w:rsidRPr="005F5D0B" w:rsidRDefault="00AF16F7" w:rsidP="000872AB">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p>
          <w:p w14:paraId="6612C853" w14:textId="77777777" w:rsidR="00AB673E" w:rsidRPr="005F5D0B" w:rsidRDefault="00AB673E" w:rsidP="000872AB">
            <w:pPr>
              <w:tabs>
                <w:tab w:val="left" w:pos="0"/>
              </w:tabs>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olor w:val="000000" w:themeColor="text1"/>
                <w:sz w:val="24"/>
                <w:szCs w:val="24"/>
              </w:rPr>
            </w:pPr>
            <w:r w:rsidRPr="005F5D0B">
              <w:rPr>
                <w:rFonts w:ascii="Palatino Linotype" w:eastAsia="Cambria" w:hAnsi="Palatino Linotype" w:cs="Arial"/>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B267AD7" w14:textId="77777777" w:rsidR="00AB673E" w:rsidRPr="005F5D0B" w:rsidRDefault="00AB673E"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0B3F869" w14:textId="77777777" w:rsidR="00AB673E" w:rsidRPr="005F5D0B" w:rsidRDefault="00AB673E" w:rsidP="000872A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hAnsi="Palatino Linotype" w:cs="Arial"/>
          <w:color w:val="000000" w:themeColor="text1"/>
        </w:rPr>
        <w:t xml:space="preserve">Si </w:t>
      </w:r>
      <w:r w:rsidRPr="005F5D0B">
        <w:rPr>
          <w:rFonts w:ascii="Palatino Linotype" w:eastAsia="MS Mincho" w:hAnsi="Palatino Linotype" w:cs="Arial"/>
          <w:color w:val="000000" w:themeColor="text1"/>
          <w:lang w:eastAsia="en-US"/>
        </w:rPr>
        <w:t>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0BD4E30" w14:textId="77777777" w:rsidR="00AB673E" w:rsidRPr="005F5D0B" w:rsidRDefault="00AB673E"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720C299" w14:textId="334C1FE5" w:rsidR="00AB673E" w:rsidRPr="005F5D0B" w:rsidRDefault="00AB673E" w:rsidP="000872AB">
      <w:pPr>
        <w:pStyle w:val="Prrafodelista"/>
        <w:numPr>
          <w:ilvl w:val="0"/>
          <w:numId w:val="11"/>
        </w:numPr>
        <w:tabs>
          <w:tab w:val="left" w:pos="0"/>
        </w:tabs>
        <w:spacing w:line="360" w:lineRule="auto"/>
        <w:jc w:val="both"/>
        <w:rPr>
          <w:rFonts w:ascii="Palatino Linotype" w:hAnsi="Palatino Linotype" w:cs="Arial"/>
          <w:color w:val="000000" w:themeColor="text1"/>
        </w:rPr>
      </w:pPr>
      <w:r w:rsidRPr="005F5D0B">
        <w:rPr>
          <w:rFonts w:ascii="Palatino Linotype" w:hAnsi="Palatino Linotype"/>
          <w:color w:val="000000" w:themeColor="text1"/>
          <w:lang w:val="es-ES"/>
        </w:rPr>
        <w:t xml:space="preserve">Por lo anteriormente expuesto y fundado, este </w:t>
      </w:r>
      <w:r w:rsidRPr="005F5D0B">
        <w:rPr>
          <w:rFonts w:ascii="Palatino Linotype" w:hAnsi="Palatino Linotype"/>
          <w:b/>
          <w:bCs/>
          <w:color w:val="000000" w:themeColor="text1"/>
          <w:lang w:val="es-ES"/>
        </w:rPr>
        <w:t>ÓRGANO GARANTE</w:t>
      </w:r>
      <w:r w:rsidRPr="005F5D0B">
        <w:rPr>
          <w:rFonts w:ascii="Palatino Linotype" w:hAnsi="Palatino Linotype"/>
          <w:color w:val="000000" w:themeColor="text1"/>
          <w:lang w:val="es-ES"/>
        </w:rPr>
        <w:t xml:space="preserve"> emite los siguientes:</w:t>
      </w:r>
    </w:p>
    <w:p w14:paraId="68A7EF36" w14:textId="77777777" w:rsidR="00EB0F49" w:rsidRPr="005F5D0B" w:rsidRDefault="00EB0F4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D90C848" w14:textId="77777777" w:rsidR="00EB0F49" w:rsidRPr="005F5D0B" w:rsidRDefault="001D3081" w:rsidP="000872AB">
      <w:pPr>
        <w:pStyle w:val="Ttulo1"/>
        <w:tabs>
          <w:tab w:val="left" w:pos="0"/>
        </w:tabs>
        <w:spacing w:before="0" w:line="360" w:lineRule="auto"/>
        <w:jc w:val="center"/>
        <w:rPr>
          <w:b w:val="0"/>
          <w:szCs w:val="24"/>
        </w:rPr>
      </w:pPr>
      <w:r w:rsidRPr="005F5D0B">
        <w:rPr>
          <w:szCs w:val="24"/>
        </w:rPr>
        <w:lastRenderedPageBreak/>
        <w:t>R E S O L U T I V O S</w:t>
      </w:r>
    </w:p>
    <w:p w14:paraId="31DB462A" w14:textId="6B864018" w:rsidR="00EB0F49" w:rsidRPr="005F5D0B" w:rsidRDefault="001D3081" w:rsidP="000872AB">
      <w:pP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t>PRIMERO</w:t>
      </w:r>
      <w:r w:rsidRPr="005F5D0B">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00AB673E" w:rsidRPr="005F5D0B">
        <w:rPr>
          <w:rFonts w:ascii="Palatino Linotype" w:eastAsia="Palatino Linotype" w:hAnsi="Palatino Linotype" w:cs="Palatino Linotype"/>
          <w:b/>
          <w:color w:val="000000" w:themeColor="text1"/>
        </w:rPr>
        <w:t>00863</w:t>
      </w:r>
      <w:r w:rsidRPr="005F5D0B">
        <w:rPr>
          <w:rFonts w:ascii="Palatino Linotype" w:eastAsia="Palatino Linotype" w:hAnsi="Palatino Linotype" w:cs="Palatino Linotype"/>
          <w:b/>
          <w:color w:val="000000" w:themeColor="text1"/>
        </w:rPr>
        <w:t xml:space="preserve">/INFOEM/IP/RR/2025 </w:t>
      </w:r>
      <w:r w:rsidRPr="005F5D0B">
        <w:rPr>
          <w:rFonts w:ascii="Palatino Linotype" w:eastAsia="Palatino Linotype" w:hAnsi="Palatino Linotype" w:cs="Palatino Linotype"/>
          <w:color w:val="000000" w:themeColor="text1"/>
        </w:rPr>
        <w:t xml:space="preserve">en términos del Considerando </w:t>
      </w:r>
      <w:r w:rsidR="00473A26" w:rsidRPr="005F5D0B">
        <w:rPr>
          <w:rFonts w:ascii="Palatino Linotype" w:eastAsia="Palatino Linotype" w:hAnsi="Palatino Linotype" w:cs="Palatino Linotype"/>
          <w:b/>
          <w:color w:val="000000" w:themeColor="text1"/>
        </w:rPr>
        <w:t>CUARTO</w:t>
      </w:r>
      <w:r w:rsidRPr="005F5D0B">
        <w:rPr>
          <w:rFonts w:ascii="Palatino Linotype" w:eastAsia="Palatino Linotype" w:hAnsi="Palatino Linotype" w:cs="Palatino Linotype"/>
          <w:b/>
          <w:color w:val="000000" w:themeColor="text1"/>
        </w:rPr>
        <w:t xml:space="preserve"> y </w:t>
      </w:r>
      <w:r w:rsidR="00473A26" w:rsidRPr="005F5D0B">
        <w:rPr>
          <w:rFonts w:ascii="Palatino Linotype" w:eastAsia="Palatino Linotype" w:hAnsi="Palatino Linotype" w:cs="Palatino Linotype"/>
          <w:b/>
          <w:color w:val="000000" w:themeColor="text1"/>
        </w:rPr>
        <w:t>QUINTO</w:t>
      </w:r>
      <w:r w:rsidRPr="005F5D0B">
        <w:rPr>
          <w:rFonts w:ascii="Palatino Linotype" w:eastAsia="Palatino Linotype" w:hAnsi="Palatino Linotype" w:cs="Palatino Linotype"/>
          <w:b/>
          <w:color w:val="000000" w:themeColor="text1"/>
        </w:rPr>
        <w:t xml:space="preserve"> </w:t>
      </w:r>
      <w:r w:rsidRPr="005F5D0B">
        <w:rPr>
          <w:rFonts w:ascii="Palatino Linotype" w:eastAsia="Palatino Linotype" w:hAnsi="Palatino Linotype" w:cs="Palatino Linotype"/>
          <w:color w:val="000000" w:themeColor="text1"/>
        </w:rPr>
        <w:t xml:space="preserve">de la presente resolución. </w:t>
      </w:r>
    </w:p>
    <w:p w14:paraId="441F743A" w14:textId="77777777" w:rsidR="00EB0F49" w:rsidRPr="005F5D0B" w:rsidRDefault="00EB0F49" w:rsidP="000872AB">
      <w:pPr>
        <w:tabs>
          <w:tab w:val="left" w:pos="0"/>
        </w:tabs>
        <w:spacing w:line="360" w:lineRule="auto"/>
        <w:jc w:val="both"/>
        <w:rPr>
          <w:rFonts w:ascii="Palatino Linotype" w:eastAsia="Palatino Linotype" w:hAnsi="Palatino Linotype" w:cs="Palatino Linotype"/>
          <w:color w:val="000000" w:themeColor="text1"/>
        </w:rPr>
      </w:pPr>
    </w:p>
    <w:p w14:paraId="0BB0019C" w14:textId="1D49AE26" w:rsidR="00AB673E" w:rsidRPr="005F5D0B" w:rsidRDefault="001D3081" w:rsidP="000872AB">
      <w:pPr>
        <w:tabs>
          <w:tab w:val="left" w:pos="0"/>
        </w:tabs>
        <w:spacing w:line="360" w:lineRule="auto"/>
        <w:jc w:val="both"/>
        <w:rPr>
          <w:rFonts w:ascii="Palatino Linotype" w:eastAsia="Palatino Linotype" w:hAnsi="Palatino Linotype" w:cs="Palatino Linotype"/>
          <w:b/>
          <w:color w:val="000000" w:themeColor="text1"/>
        </w:rPr>
      </w:pPr>
      <w:bookmarkStart w:id="18" w:name="_heading=h.26in1rg" w:colFirst="0" w:colLast="0"/>
      <w:bookmarkEnd w:id="18"/>
      <w:r w:rsidRPr="005F5D0B">
        <w:rPr>
          <w:rFonts w:ascii="Palatino Linotype" w:eastAsia="Palatino Linotype" w:hAnsi="Palatino Linotype" w:cs="Palatino Linotype"/>
          <w:b/>
          <w:color w:val="000000" w:themeColor="text1"/>
        </w:rPr>
        <w:t xml:space="preserve">SEGUNDO. </w:t>
      </w:r>
      <w:r w:rsidRPr="005F5D0B">
        <w:rPr>
          <w:rFonts w:ascii="Palatino Linotype" w:eastAsia="Palatino Linotype" w:hAnsi="Palatino Linotype" w:cs="Palatino Linotype"/>
          <w:color w:val="000000" w:themeColor="text1"/>
        </w:rPr>
        <w:t xml:space="preserve">Se </w:t>
      </w:r>
      <w:r w:rsidR="00AB673E" w:rsidRPr="005F5D0B">
        <w:rPr>
          <w:rFonts w:ascii="Palatino Linotype" w:eastAsia="Palatino Linotype" w:hAnsi="Palatino Linotype" w:cs="Palatino Linotype"/>
          <w:b/>
          <w:color w:val="000000" w:themeColor="text1"/>
        </w:rPr>
        <w:t>MODIFICA</w:t>
      </w:r>
      <w:r w:rsidRPr="005F5D0B">
        <w:rPr>
          <w:rFonts w:ascii="Palatino Linotype" w:eastAsia="Palatino Linotype" w:hAnsi="Palatino Linotype" w:cs="Palatino Linotype"/>
          <w:b/>
          <w:color w:val="000000" w:themeColor="text1"/>
        </w:rPr>
        <w:t xml:space="preserve"> </w:t>
      </w:r>
      <w:r w:rsidRPr="005F5D0B">
        <w:rPr>
          <w:rFonts w:ascii="Palatino Linotype" w:eastAsia="Palatino Linotype" w:hAnsi="Palatino Linotype" w:cs="Palatino Linotype"/>
          <w:color w:val="000000" w:themeColor="text1"/>
        </w:rPr>
        <w:t xml:space="preserve">la respuesta emitida por el </w:t>
      </w:r>
      <w:r w:rsidRPr="005F5D0B">
        <w:rPr>
          <w:rFonts w:ascii="Palatino Linotype" w:eastAsia="Palatino Linotype" w:hAnsi="Palatino Linotype" w:cs="Palatino Linotype"/>
          <w:b/>
          <w:color w:val="000000" w:themeColor="text1"/>
        </w:rPr>
        <w:t xml:space="preserve">Ayuntamiento de </w:t>
      </w:r>
      <w:r w:rsidR="00AB673E" w:rsidRPr="005F5D0B">
        <w:rPr>
          <w:rFonts w:ascii="Palatino Linotype" w:eastAsia="Palatino Linotype" w:hAnsi="Palatino Linotype" w:cs="Palatino Linotype"/>
          <w:b/>
          <w:color w:val="000000" w:themeColor="text1"/>
        </w:rPr>
        <w:t>Toluca</w:t>
      </w:r>
      <w:r w:rsidRPr="005F5D0B">
        <w:rPr>
          <w:rFonts w:ascii="Palatino Linotype" w:eastAsia="Palatino Linotype" w:hAnsi="Palatino Linotype" w:cs="Palatino Linotype"/>
          <w:b/>
          <w:color w:val="000000" w:themeColor="text1"/>
        </w:rPr>
        <w:t>,</w:t>
      </w:r>
      <w:r w:rsidRPr="005F5D0B">
        <w:rPr>
          <w:rFonts w:ascii="Palatino Linotype" w:eastAsia="Palatino Linotype" w:hAnsi="Palatino Linotype" w:cs="Palatino Linotype"/>
          <w:color w:val="000000" w:themeColor="text1"/>
        </w:rPr>
        <w:t xml:space="preserve"> a la solicitud de información pública registrada con el número</w:t>
      </w:r>
      <w:r w:rsidR="00473A26" w:rsidRPr="005F5D0B">
        <w:rPr>
          <w:rFonts w:ascii="Palatino Linotype" w:eastAsia="Palatino Linotype" w:hAnsi="Palatino Linotype" w:cs="Palatino Linotype"/>
          <w:b/>
          <w:color w:val="000000" w:themeColor="text1"/>
        </w:rPr>
        <w:t xml:space="preserve"> </w:t>
      </w:r>
      <w:r w:rsidR="00AB673E" w:rsidRPr="005F5D0B">
        <w:rPr>
          <w:rFonts w:ascii="Palatino Linotype" w:eastAsia="Palatino Linotype" w:hAnsi="Palatino Linotype" w:cs="Palatino Linotype"/>
          <w:b/>
          <w:color w:val="000000" w:themeColor="text1"/>
        </w:rPr>
        <w:t>03173/TOLUCA/IP/202</w:t>
      </w:r>
      <w:r w:rsidR="00AF16F7" w:rsidRPr="005F5D0B">
        <w:rPr>
          <w:rFonts w:ascii="Palatino Linotype" w:eastAsia="Palatino Linotype" w:hAnsi="Palatino Linotype" w:cs="Palatino Linotype"/>
          <w:b/>
          <w:color w:val="000000" w:themeColor="text1"/>
        </w:rPr>
        <w:t>4</w:t>
      </w:r>
      <w:r w:rsidR="00AB673E" w:rsidRPr="005F5D0B">
        <w:rPr>
          <w:rFonts w:ascii="Palatino Linotype" w:eastAsia="Palatino Linotype" w:hAnsi="Palatino Linotype" w:cs="Palatino Linotype"/>
          <w:b/>
          <w:color w:val="000000" w:themeColor="text1"/>
        </w:rPr>
        <w:t xml:space="preserve"> </w:t>
      </w:r>
      <w:r w:rsidRPr="005F5D0B">
        <w:rPr>
          <w:rFonts w:ascii="Palatino Linotype" w:eastAsia="Palatino Linotype" w:hAnsi="Palatino Linotype" w:cs="Palatino Linotype"/>
          <w:color w:val="000000" w:themeColor="text1"/>
        </w:rPr>
        <w:t xml:space="preserve">y se </w:t>
      </w:r>
      <w:r w:rsidRPr="005F5D0B">
        <w:rPr>
          <w:rFonts w:ascii="Palatino Linotype" w:eastAsia="Palatino Linotype" w:hAnsi="Palatino Linotype" w:cs="Palatino Linotype"/>
          <w:b/>
          <w:color w:val="000000" w:themeColor="text1"/>
        </w:rPr>
        <w:t>ORDENA</w:t>
      </w:r>
      <w:r w:rsidRPr="005F5D0B">
        <w:rPr>
          <w:rFonts w:ascii="Palatino Linotype" w:eastAsia="Palatino Linotype" w:hAnsi="Palatino Linotype" w:cs="Palatino Linotype"/>
          <w:color w:val="000000" w:themeColor="text1"/>
        </w:rPr>
        <w:t xml:space="preserve"> entregar vía Sistema de Acceso a la Información Mexiquense </w:t>
      </w:r>
      <w:r w:rsidRPr="005F5D0B">
        <w:rPr>
          <w:rFonts w:ascii="Palatino Linotype" w:eastAsia="Palatino Linotype" w:hAnsi="Palatino Linotype" w:cs="Palatino Linotype"/>
          <w:b/>
          <w:color w:val="000000" w:themeColor="text1"/>
        </w:rPr>
        <w:t>(SAIMEX)</w:t>
      </w:r>
      <w:r w:rsidR="00473A26" w:rsidRPr="005F5D0B">
        <w:rPr>
          <w:rFonts w:ascii="Palatino Linotype" w:eastAsia="Palatino Linotype" w:hAnsi="Palatino Linotype" w:cs="Palatino Linotype"/>
          <w:b/>
          <w:color w:val="000000" w:themeColor="text1"/>
        </w:rPr>
        <w:t>, en versión pública</w:t>
      </w:r>
      <w:r w:rsidR="00AB673E" w:rsidRPr="005F5D0B">
        <w:rPr>
          <w:rFonts w:ascii="Palatino Linotype" w:eastAsia="Palatino Linotype" w:hAnsi="Palatino Linotype" w:cs="Palatino Linotype"/>
          <w:b/>
          <w:color w:val="000000" w:themeColor="text1"/>
        </w:rPr>
        <w:t xml:space="preserve"> correcta, los </w:t>
      </w:r>
      <w:r w:rsidR="00AB673E" w:rsidRPr="005F5D0B">
        <w:rPr>
          <w:rFonts w:ascii="Palatino Linotype" w:hAnsi="Palatino Linotype"/>
          <w:b/>
          <w:color w:val="000000" w:themeColor="text1"/>
        </w:rPr>
        <w:t>contratos remitidos mediante informe justificado.</w:t>
      </w:r>
    </w:p>
    <w:p w14:paraId="0F0FD916" w14:textId="77777777" w:rsidR="00EB0F49" w:rsidRPr="005F5D0B" w:rsidRDefault="00EB0F4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6E07D1C5" w14:textId="77777777" w:rsidR="00EB0F49" w:rsidRPr="005F5D0B" w:rsidRDefault="001D3081" w:rsidP="000872AB">
      <w:pPr>
        <w:tabs>
          <w:tab w:val="left" w:pos="0"/>
        </w:tabs>
        <w:spacing w:line="360" w:lineRule="auto"/>
        <w:jc w:val="both"/>
        <w:rPr>
          <w:rFonts w:ascii="Palatino Linotype" w:eastAsia="Palatino Linotype" w:hAnsi="Palatino Linotype" w:cs="Palatino Linotype"/>
          <w:b/>
          <w:color w:val="000000" w:themeColor="text1"/>
        </w:rPr>
      </w:pPr>
      <w:r w:rsidRPr="005F5D0B">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5F5D0B">
        <w:rPr>
          <w:rFonts w:ascii="Palatino Linotype" w:eastAsia="Palatino Linotype" w:hAnsi="Palatino Linotype" w:cs="Palatino Linotype"/>
          <w:b/>
          <w:color w:val="000000" w:themeColor="text1"/>
        </w:rPr>
        <w:t>RECURRENTE.</w:t>
      </w:r>
    </w:p>
    <w:p w14:paraId="3D0755EC" w14:textId="77777777" w:rsidR="00EB0F49" w:rsidRPr="005F5D0B" w:rsidRDefault="00EB0F49" w:rsidP="000872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bookmarkStart w:id="19" w:name="_heading=h.4d34og8" w:colFirst="0" w:colLast="0"/>
      <w:bookmarkEnd w:id="19"/>
    </w:p>
    <w:p w14:paraId="5D78132D" w14:textId="77777777" w:rsidR="00EB0F49" w:rsidRPr="005F5D0B" w:rsidRDefault="001D3081" w:rsidP="000872AB">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20" w:name="_heading=h.lnxbz9" w:colFirst="0" w:colLast="0"/>
      <w:bookmarkEnd w:id="20"/>
      <w:r w:rsidRPr="005F5D0B">
        <w:rPr>
          <w:rFonts w:ascii="Palatino Linotype" w:eastAsia="Palatino Linotype" w:hAnsi="Palatino Linotype" w:cs="Palatino Linotype"/>
          <w:b/>
          <w:color w:val="000000" w:themeColor="text1"/>
        </w:rPr>
        <w:t xml:space="preserve">TERCERO. NOTIFÍQUESE </w:t>
      </w:r>
      <w:r w:rsidRPr="005F5D0B">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F5D0B">
        <w:rPr>
          <w:rFonts w:ascii="Palatino Linotype" w:eastAsia="Palatino Linotype" w:hAnsi="Palatino Linotype" w:cs="Palatino Linotype"/>
          <w:b/>
          <w:color w:val="000000" w:themeColor="text1"/>
        </w:rPr>
        <w:t>dé cumplimiento a lo ordenado dentro del plazo de diez días hábiles,</w:t>
      </w:r>
      <w:r w:rsidRPr="005F5D0B">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w:t>
      </w:r>
      <w:r w:rsidRPr="005F5D0B">
        <w:rPr>
          <w:rFonts w:ascii="Palatino Linotype" w:eastAsia="Palatino Linotype" w:hAnsi="Palatino Linotype" w:cs="Palatino Linotype"/>
          <w:color w:val="000000" w:themeColor="text1"/>
        </w:rPr>
        <w:lastRenderedPageBreak/>
        <w:t>medida de apremio de conformidad con lo previsto en los artículos 198, 200, fracción III; 214, 215 y 216 de la Ley  de Transparencia y Acceso a la Información Pública del Estado de México y Municipios</w:t>
      </w:r>
    </w:p>
    <w:p w14:paraId="62849A62" w14:textId="77777777" w:rsidR="00EB0F49" w:rsidRPr="005F5D0B" w:rsidRDefault="00EB0F49" w:rsidP="000872AB">
      <w:pPr>
        <w:tabs>
          <w:tab w:val="left" w:pos="0"/>
          <w:tab w:val="left" w:pos="8080"/>
        </w:tabs>
        <w:spacing w:line="360" w:lineRule="auto"/>
        <w:jc w:val="both"/>
        <w:rPr>
          <w:rFonts w:ascii="Palatino Linotype" w:eastAsia="Palatino Linotype" w:hAnsi="Palatino Linotype" w:cs="Palatino Linotype"/>
          <w:color w:val="000000" w:themeColor="text1"/>
          <w:sz w:val="16"/>
        </w:rPr>
      </w:pPr>
    </w:p>
    <w:p w14:paraId="1423972B" w14:textId="77777777" w:rsidR="00EB0F49" w:rsidRPr="005F5D0B" w:rsidRDefault="001D3081" w:rsidP="000872AB">
      <w:pPr>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t xml:space="preserve">CUARTO. </w:t>
      </w:r>
      <w:r w:rsidRPr="005F5D0B">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5F5D0B">
        <w:rPr>
          <w:rFonts w:ascii="Palatino Linotype" w:eastAsia="Palatino Linotype" w:hAnsi="Palatino Linotype" w:cs="Palatino Linotype"/>
          <w:b/>
          <w:color w:val="000000" w:themeColor="text1"/>
        </w:rPr>
        <w:t>SUJETO OBLIGADO</w:t>
      </w:r>
      <w:r w:rsidRPr="005F5D0B">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346AFFE0" w14:textId="77777777" w:rsidR="00EB0F49" w:rsidRPr="005F5D0B" w:rsidRDefault="00EB0F49" w:rsidP="000872AB">
      <w:pPr>
        <w:tabs>
          <w:tab w:val="left" w:pos="0"/>
        </w:tabs>
        <w:spacing w:line="360" w:lineRule="auto"/>
        <w:jc w:val="both"/>
        <w:rPr>
          <w:rFonts w:ascii="Palatino Linotype" w:eastAsia="Palatino Linotype" w:hAnsi="Palatino Linotype" w:cs="Palatino Linotype"/>
          <w:color w:val="000000" w:themeColor="text1"/>
        </w:rPr>
      </w:pPr>
    </w:p>
    <w:p w14:paraId="07E6F125" w14:textId="77777777" w:rsidR="00EB0F49" w:rsidRPr="005F5D0B" w:rsidRDefault="001D3081" w:rsidP="000872AB">
      <w:pPr>
        <w:tabs>
          <w:tab w:val="left" w:pos="0"/>
          <w:tab w:val="left" w:pos="8080"/>
        </w:tabs>
        <w:spacing w:line="360" w:lineRule="auto"/>
        <w:jc w:val="both"/>
        <w:rPr>
          <w:rFonts w:ascii="Palatino Linotype" w:eastAsia="Palatino Linotype" w:hAnsi="Palatino Linotype" w:cs="Palatino Linotype"/>
          <w:color w:val="000000" w:themeColor="text1"/>
        </w:rPr>
      </w:pPr>
      <w:bookmarkStart w:id="21" w:name="_heading=h.35nkun2" w:colFirst="0" w:colLast="0"/>
      <w:bookmarkEnd w:id="21"/>
      <w:r w:rsidRPr="005F5D0B">
        <w:rPr>
          <w:rFonts w:ascii="Palatino Linotype" w:eastAsia="Palatino Linotype" w:hAnsi="Palatino Linotype" w:cs="Palatino Linotype"/>
          <w:b/>
          <w:color w:val="000000" w:themeColor="text1"/>
        </w:rPr>
        <w:t xml:space="preserve">QUINTO. </w:t>
      </w:r>
      <w:r w:rsidRPr="005F5D0B">
        <w:rPr>
          <w:rFonts w:ascii="Palatino Linotype" w:eastAsia="Palatino Linotype" w:hAnsi="Palatino Linotype" w:cs="Palatino Linotype"/>
          <w:color w:val="000000" w:themeColor="text1"/>
        </w:rPr>
        <w:t xml:space="preserve">Notifíquese a </w:t>
      </w:r>
      <w:r w:rsidRPr="005F5D0B">
        <w:rPr>
          <w:rFonts w:ascii="Palatino Linotype" w:eastAsia="Palatino Linotype" w:hAnsi="Palatino Linotype" w:cs="Palatino Linotype"/>
          <w:b/>
          <w:color w:val="000000" w:themeColor="text1"/>
        </w:rPr>
        <w:t>EL RECURRENTE</w:t>
      </w:r>
      <w:r w:rsidRPr="005F5D0B">
        <w:rPr>
          <w:rFonts w:ascii="Palatino Linotype" w:eastAsia="Palatino Linotype" w:hAnsi="Palatino Linotype" w:cs="Palatino Linotype"/>
          <w:color w:val="000000" w:themeColor="text1"/>
        </w:rPr>
        <w:t xml:space="preserve"> la presente resolución, vía </w:t>
      </w:r>
      <w:r w:rsidRPr="005F5D0B">
        <w:rPr>
          <w:rFonts w:ascii="Palatino Linotype" w:eastAsia="Palatino Linotype" w:hAnsi="Palatino Linotype" w:cs="Palatino Linotype"/>
          <w:b/>
          <w:color w:val="000000" w:themeColor="text1"/>
        </w:rPr>
        <w:t>SAIMEX.</w:t>
      </w:r>
    </w:p>
    <w:p w14:paraId="41BDD7D5" w14:textId="77777777" w:rsidR="00EB0F49" w:rsidRPr="005F5D0B" w:rsidRDefault="00EB0F49" w:rsidP="000872AB">
      <w:pPr>
        <w:tabs>
          <w:tab w:val="left" w:pos="0"/>
          <w:tab w:val="left" w:pos="8080"/>
        </w:tabs>
        <w:spacing w:line="360" w:lineRule="auto"/>
        <w:jc w:val="both"/>
        <w:rPr>
          <w:rFonts w:ascii="Palatino Linotype" w:eastAsia="Palatino Linotype" w:hAnsi="Palatino Linotype" w:cs="Palatino Linotype"/>
          <w:color w:val="000000" w:themeColor="text1"/>
        </w:rPr>
      </w:pPr>
    </w:p>
    <w:p w14:paraId="2EAA967D" w14:textId="118B4D2E" w:rsidR="00AF16F7" w:rsidRPr="005F5D0B" w:rsidRDefault="001D3081" w:rsidP="000872AB">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b/>
          <w:color w:val="000000" w:themeColor="text1"/>
        </w:rPr>
        <w:t>SEXTO.</w:t>
      </w:r>
      <w:r w:rsidRPr="005F5D0B">
        <w:rPr>
          <w:rFonts w:ascii="Palatino Linotype" w:eastAsia="Palatino Linotype" w:hAnsi="Palatino Linotype" w:cs="Palatino Linotype"/>
          <w:color w:val="000000" w:themeColor="text1"/>
        </w:rPr>
        <w:t xml:space="preserve"> Se hace del conocimiento de </w:t>
      </w:r>
      <w:r w:rsidRPr="005F5D0B">
        <w:rPr>
          <w:rFonts w:ascii="Palatino Linotype" w:eastAsia="Palatino Linotype" w:hAnsi="Palatino Linotype" w:cs="Palatino Linotype"/>
          <w:b/>
          <w:color w:val="000000" w:themeColor="text1"/>
        </w:rPr>
        <w:t>EL RECURRENTE</w:t>
      </w:r>
      <w:r w:rsidRPr="005F5D0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37328B7D" w14:textId="03B35332" w:rsidR="00AF16F7" w:rsidRDefault="005F5D0B" w:rsidP="000872AB">
      <w:pPr>
        <w:tabs>
          <w:tab w:val="left" w:pos="0"/>
        </w:tabs>
        <w:spacing w:before="240" w:after="240" w:line="360" w:lineRule="auto"/>
        <w:ind w:firstLine="1"/>
        <w:jc w:val="both"/>
        <w:rPr>
          <w:rFonts w:ascii="Palatino Linotype" w:eastAsia="Palatino Linotype" w:hAnsi="Palatino Linotype" w:cs="Palatino Linotype"/>
          <w:color w:val="000000" w:themeColor="text1"/>
        </w:rPr>
      </w:pPr>
      <w:r w:rsidRPr="005F5D0B">
        <w:rPr>
          <w:rFonts w:ascii="Palatino Linotype" w:eastAsia="Palatino Linotype" w:hAnsi="Palatino Linotype" w:cs="Palatino Linotype"/>
          <w:color w:val="000000" w:themeColor="text1"/>
          <w:lang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5F5D0B">
        <w:rPr>
          <w:rFonts w:ascii="Palatino Linotype" w:eastAsia="Palatino Linotype" w:hAnsi="Palatino Linotype" w:cs="Palatino Linotype"/>
          <w:color w:val="000000" w:themeColor="text1"/>
        </w:rPr>
        <w:t xml:space="preserve">(AUSENCIA JUSTIFICADA) </w:t>
      </w:r>
      <w:r w:rsidRPr="005F5D0B">
        <w:rPr>
          <w:rFonts w:ascii="Palatino Linotype" w:eastAsia="Palatino Linotype" w:hAnsi="Palatino Linotype" w:cs="Palatino Linotype"/>
          <w:color w:val="000000" w:themeColor="text1"/>
          <w:lang w:eastAsia="es-ES"/>
        </w:rPr>
        <w:t>Y GUADALUPE RAMÍREZ PEÑA; EN LA DÉCIMA NOVENA SESIÓN ORDINARIA, CELEBRADA EL VEINTIOCHO (28) DE MAYO DE DOS MIL VEINTICINCO, ANTE EL SECRETARIO TÉCNICO DEL PLENO ALEXIS TAPIA RAMÍREZ.</w:t>
      </w:r>
      <w:bookmarkStart w:id="22" w:name="_GoBack"/>
      <w:bookmarkEnd w:id="22"/>
    </w:p>
    <w:p w14:paraId="291E04D1" w14:textId="77777777" w:rsidR="00AF16F7" w:rsidRPr="000872AB" w:rsidRDefault="00AF16F7" w:rsidP="000872A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80FDFB0" w14:textId="77777777" w:rsidR="00EB0F49" w:rsidRPr="000872AB" w:rsidRDefault="00EB0F49" w:rsidP="000872A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74053AC0" w14:textId="77777777" w:rsidR="00EB0F49" w:rsidRPr="000872AB" w:rsidRDefault="00EB0F49" w:rsidP="000872A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07ABD376" w14:textId="77777777" w:rsidR="00EB0F49" w:rsidRPr="000872AB" w:rsidRDefault="00EB0F49" w:rsidP="000872A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65DC0525" w14:textId="77777777" w:rsidR="00EB0F49" w:rsidRPr="000872AB" w:rsidRDefault="00EB0F49" w:rsidP="000872A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44BE4DE2" w14:textId="77777777" w:rsidR="00EB0F49" w:rsidRPr="000872AB" w:rsidRDefault="00EB0F49" w:rsidP="000872A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3BEB117" w14:textId="77777777" w:rsidR="00EB0F49" w:rsidRPr="000872AB" w:rsidRDefault="00EB0F49" w:rsidP="000872A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59C9EF7" w14:textId="77777777" w:rsidR="00EB0F49" w:rsidRPr="000872AB" w:rsidRDefault="00EB0F49" w:rsidP="000872A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748B3AE0" w14:textId="77777777" w:rsidR="00EB0F49" w:rsidRPr="000872AB" w:rsidRDefault="00EB0F49" w:rsidP="000872AB">
      <w:pPr>
        <w:tabs>
          <w:tab w:val="left" w:pos="0"/>
        </w:tabs>
        <w:spacing w:line="360" w:lineRule="auto"/>
        <w:jc w:val="both"/>
        <w:rPr>
          <w:rFonts w:ascii="Palatino Linotype" w:eastAsia="Palatino Linotype" w:hAnsi="Palatino Linotype" w:cs="Palatino Linotype"/>
          <w:color w:val="000000" w:themeColor="text1"/>
        </w:rPr>
      </w:pPr>
    </w:p>
    <w:p w14:paraId="1C5E98B7" w14:textId="77777777" w:rsidR="00EB0F49" w:rsidRDefault="00EB0F49" w:rsidP="000872AB">
      <w:pPr>
        <w:pStyle w:val="Ttulo2"/>
        <w:tabs>
          <w:tab w:val="left" w:pos="0"/>
        </w:tabs>
        <w:spacing w:before="0" w:line="360" w:lineRule="auto"/>
        <w:rPr>
          <w:szCs w:val="24"/>
        </w:rPr>
      </w:pPr>
    </w:p>
    <w:p w14:paraId="755522CC" w14:textId="77777777" w:rsidR="009C0FD4" w:rsidRDefault="009C0FD4" w:rsidP="009C0FD4">
      <w:pPr>
        <w:rPr>
          <w:lang w:val="es-MX" w:eastAsia="en-US"/>
        </w:rPr>
      </w:pPr>
    </w:p>
    <w:p w14:paraId="5E24F287" w14:textId="77777777" w:rsidR="009C0FD4" w:rsidRDefault="009C0FD4" w:rsidP="009C0FD4">
      <w:pPr>
        <w:rPr>
          <w:lang w:val="es-MX" w:eastAsia="en-US"/>
        </w:rPr>
      </w:pPr>
    </w:p>
    <w:p w14:paraId="4A792026" w14:textId="77777777" w:rsidR="009C0FD4" w:rsidRDefault="009C0FD4" w:rsidP="009C0FD4">
      <w:pPr>
        <w:rPr>
          <w:lang w:val="es-MX" w:eastAsia="en-US"/>
        </w:rPr>
      </w:pPr>
    </w:p>
    <w:p w14:paraId="23D33C5B" w14:textId="77777777" w:rsidR="009C0FD4" w:rsidRDefault="009C0FD4" w:rsidP="009C0FD4">
      <w:pPr>
        <w:rPr>
          <w:lang w:val="es-MX" w:eastAsia="en-US"/>
        </w:rPr>
      </w:pPr>
    </w:p>
    <w:p w14:paraId="79BF2DC5" w14:textId="77777777" w:rsidR="009C0FD4" w:rsidRDefault="009C0FD4" w:rsidP="009C0FD4">
      <w:pPr>
        <w:rPr>
          <w:lang w:val="es-MX" w:eastAsia="en-US"/>
        </w:rPr>
      </w:pPr>
    </w:p>
    <w:p w14:paraId="364BE00B" w14:textId="77777777" w:rsidR="009C0FD4" w:rsidRDefault="009C0FD4" w:rsidP="009C0FD4">
      <w:pPr>
        <w:rPr>
          <w:lang w:val="es-MX" w:eastAsia="en-US"/>
        </w:rPr>
      </w:pPr>
    </w:p>
    <w:p w14:paraId="17DEDB0B" w14:textId="77777777" w:rsidR="009C0FD4" w:rsidRPr="009C0FD4" w:rsidRDefault="009C0FD4" w:rsidP="009C0FD4">
      <w:pPr>
        <w:rPr>
          <w:lang w:val="es-MX" w:eastAsia="en-US"/>
        </w:rPr>
      </w:pPr>
    </w:p>
    <w:sectPr w:rsidR="009C0FD4" w:rsidRPr="009C0FD4" w:rsidSect="000872AB">
      <w:headerReference w:type="default" r:id="rId10"/>
      <w:footerReference w:type="default" r:id="rId11"/>
      <w:headerReference w:type="first" r:id="rId12"/>
      <w:footerReference w:type="first" r:id="rId13"/>
      <w:pgSz w:w="12240" w:h="15840"/>
      <w:pgMar w:top="1691" w:right="1183"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4626F" w14:textId="77777777" w:rsidR="00D23687" w:rsidRDefault="00D23687">
      <w:r>
        <w:separator/>
      </w:r>
    </w:p>
  </w:endnote>
  <w:endnote w:type="continuationSeparator" w:id="0">
    <w:p w14:paraId="2AA385CC" w14:textId="77777777" w:rsidR="00D23687" w:rsidRDefault="00D2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panose1 w:val="00000000000000000000"/>
    <w:charset w:val="00"/>
    <w:family w:val="swiss"/>
    <w:notTrueType/>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6768FF" w:rsidRDefault="006768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5F5D0B">
      <w:rPr>
        <w:rFonts w:ascii="Palatino Linotype" w:eastAsia="Palatino Linotype" w:hAnsi="Palatino Linotype" w:cs="Palatino Linotype"/>
        <w:b/>
        <w:noProof/>
        <w:color w:val="000000"/>
        <w:sz w:val="22"/>
        <w:szCs w:val="22"/>
      </w:rPr>
      <w:t>24</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5F5D0B">
      <w:rPr>
        <w:rFonts w:ascii="Palatino Linotype" w:eastAsia="Palatino Linotype" w:hAnsi="Palatino Linotype" w:cs="Palatino Linotype"/>
        <w:b/>
        <w:noProof/>
        <w:color w:val="000000"/>
        <w:sz w:val="22"/>
        <w:szCs w:val="22"/>
      </w:rPr>
      <w:t>26</w:t>
    </w:r>
    <w:r>
      <w:rPr>
        <w:rFonts w:ascii="Palatino Linotype" w:eastAsia="Palatino Linotype" w:hAnsi="Palatino Linotype" w:cs="Palatino Linotype"/>
        <w:b/>
        <w:color w:val="000000"/>
        <w:sz w:val="22"/>
        <w:szCs w:val="22"/>
      </w:rPr>
      <w:fldChar w:fldCharType="end"/>
    </w:r>
  </w:p>
  <w:p w14:paraId="0C01532C" w14:textId="77777777" w:rsidR="006768FF" w:rsidRDefault="006768F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6768FF" w:rsidRDefault="006768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6768FF" w:rsidRDefault="006768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F5D0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F5D0B">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p w14:paraId="4644BAAA" w14:textId="77777777" w:rsidR="006768FF" w:rsidRDefault="006768F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6768FF" w:rsidRDefault="006768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705D5" w14:textId="77777777" w:rsidR="00D23687" w:rsidRDefault="00D23687">
      <w:r>
        <w:separator/>
      </w:r>
    </w:p>
  </w:footnote>
  <w:footnote w:type="continuationSeparator" w:id="0">
    <w:p w14:paraId="23DF0AED" w14:textId="77777777" w:rsidR="00D23687" w:rsidRDefault="00D23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6B2C" w14:textId="77777777" w:rsidR="006768FF" w:rsidRDefault="006768FF">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751D15C" wp14:editId="58D97F7A">
          <wp:simplePos x="0" y="0"/>
          <wp:positionH relativeFrom="column">
            <wp:posOffset>-876826</wp:posOffset>
          </wp:positionH>
          <wp:positionV relativeFrom="paragraph">
            <wp:posOffset>-421001</wp:posOffset>
          </wp:positionV>
          <wp:extent cx="7809876" cy="10165823"/>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6649"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734"/>
      <w:gridCol w:w="3915"/>
    </w:tblGrid>
    <w:tr w:rsidR="006768FF" w:rsidRPr="000872AB" w14:paraId="1D7C34A9" w14:textId="77777777" w:rsidTr="000872AB">
      <w:trPr>
        <w:trHeight w:val="138"/>
      </w:trPr>
      <w:tc>
        <w:tcPr>
          <w:tcW w:w="2734" w:type="dxa"/>
          <w:vAlign w:val="center"/>
        </w:tcPr>
        <w:p w14:paraId="22563E3E" w14:textId="77777777" w:rsidR="006768FF" w:rsidRPr="000872AB" w:rsidRDefault="006768FF" w:rsidP="000872AB">
          <w:pPr>
            <w:jc w:val="right"/>
            <w:rPr>
              <w:rFonts w:ascii="Palatino Linotype" w:eastAsia="Palatino Linotype" w:hAnsi="Palatino Linotype" w:cs="Palatino Linotype"/>
              <w:b/>
              <w:sz w:val="24"/>
              <w:szCs w:val="24"/>
            </w:rPr>
          </w:pPr>
          <w:r w:rsidRPr="000872AB">
            <w:rPr>
              <w:rFonts w:ascii="Palatino Linotype" w:eastAsia="Palatino Linotype" w:hAnsi="Palatino Linotype" w:cs="Palatino Linotype"/>
              <w:b/>
              <w:sz w:val="24"/>
              <w:szCs w:val="24"/>
            </w:rPr>
            <w:t>Recurso de Revisión:</w:t>
          </w:r>
        </w:p>
      </w:tc>
      <w:tc>
        <w:tcPr>
          <w:tcW w:w="3915" w:type="dxa"/>
          <w:vAlign w:val="center"/>
        </w:tcPr>
        <w:p w14:paraId="619EA065" w14:textId="67D4D688" w:rsidR="006768FF" w:rsidRPr="000872AB" w:rsidRDefault="006768F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0872AB">
            <w:rPr>
              <w:rFonts w:ascii="Palatino Linotype" w:eastAsia="Palatino Linotype" w:hAnsi="Palatino Linotype" w:cs="Palatino Linotype"/>
              <w:color w:val="000000"/>
              <w:sz w:val="24"/>
              <w:szCs w:val="24"/>
            </w:rPr>
            <w:t>00863/INFOEM/IP/RR/2025</w:t>
          </w:r>
        </w:p>
      </w:tc>
    </w:tr>
    <w:tr w:rsidR="006768FF" w:rsidRPr="000872AB" w14:paraId="69F8EB8C" w14:textId="77777777" w:rsidTr="000872AB">
      <w:trPr>
        <w:trHeight w:val="321"/>
      </w:trPr>
      <w:tc>
        <w:tcPr>
          <w:tcW w:w="2734" w:type="dxa"/>
          <w:vAlign w:val="center"/>
        </w:tcPr>
        <w:p w14:paraId="40FCF56F" w14:textId="77777777" w:rsidR="006768FF" w:rsidRPr="000872AB" w:rsidRDefault="006768FF" w:rsidP="000872AB">
          <w:pPr>
            <w:jc w:val="right"/>
            <w:rPr>
              <w:rFonts w:ascii="Palatino Linotype" w:eastAsia="Palatino Linotype" w:hAnsi="Palatino Linotype" w:cs="Palatino Linotype"/>
              <w:b/>
              <w:sz w:val="24"/>
              <w:szCs w:val="24"/>
            </w:rPr>
          </w:pPr>
          <w:r w:rsidRPr="000872AB">
            <w:rPr>
              <w:rFonts w:ascii="Palatino Linotype" w:eastAsia="Palatino Linotype" w:hAnsi="Palatino Linotype" w:cs="Palatino Linotype"/>
              <w:b/>
              <w:sz w:val="24"/>
              <w:szCs w:val="24"/>
            </w:rPr>
            <w:t>Sujeto Obligado:</w:t>
          </w:r>
        </w:p>
      </w:tc>
      <w:tc>
        <w:tcPr>
          <w:tcW w:w="3915" w:type="dxa"/>
          <w:vAlign w:val="center"/>
        </w:tcPr>
        <w:p w14:paraId="43608C73" w14:textId="16A125B8" w:rsidR="006768FF" w:rsidRPr="000872AB" w:rsidRDefault="006768FF" w:rsidP="00597F01">
          <w:pPr>
            <w:rPr>
              <w:rFonts w:ascii="Palatino Linotype" w:eastAsia="Palatino Linotype" w:hAnsi="Palatino Linotype" w:cs="Palatino Linotype"/>
              <w:sz w:val="24"/>
              <w:szCs w:val="24"/>
            </w:rPr>
          </w:pPr>
          <w:r w:rsidRPr="000872AB">
            <w:rPr>
              <w:rFonts w:ascii="Palatino Linotype" w:eastAsia="Palatino Linotype" w:hAnsi="Palatino Linotype" w:cs="Palatino Linotype"/>
              <w:sz w:val="24"/>
              <w:szCs w:val="24"/>
            </w:rPr>
            <w:t>Ayuntamiento de Toluca</w:t>
          </w:r>
        </w:p>
      </w:tc>
    </w:tr>
    <w:tr w:rsidR="006768FF" w:rsidRPr="000872AB" w14:paraId="66E20343" w14:textId="77777777" w:rsidTr="000872AB">
      <w:trPr>
        <w:trHeight w:val="321"/>
      </w:trPr>
      <w:tc>
        <w:tcPr>
          <w:tcW w:w="2734" w:type="dxa"/>
          <w:vAlign w:val="center"/>
        </w:tcPr>
        <w:p w14:paraId="0D71368D" w14:textId="77777777" w:rsidR="006768FF" w:rsidRPr="000872AB" w:rsidRDefault="006768FF" w:rsidP="000872AB">
          <w:pPr>
            <w:jc w:val="right"/>
            <w:rPr>
              <w:rFonts w:ascii="Palatino Linotype" w:eastAsia="Palatino Linotype" w:hAnsi="Palatino Linotype" w:cs="Palatino Linotype"/>
              <w:b/>
              <w:sz w:val="24"/>
              <w:szCs w:val="24"/>
            </w:rPr>
          </w:pPr>
          <w:r w:rsidRPr="000872AB">
            <w:rPr>
              <w:rFonts w:ascii="Palatino Linotype" w:eastAsia="Palatino Linotype" w:hAnsi="Palatino Linotype" w:cs="Palatino Linotype"/>
              <w:b/>
              <w:sz w:val="24"/>
              <w:szCs w:val="24"/>
            </w:rPr>
            <w:t>Comisionada Ponente:</w:t>
          </w:r>
        </w:p>
      </w:tc>
      <w:tc>
        <w:tcPr>
          <w:tcW w:w="3915" w:type="dxa"/>
          <w:vAlign w:val="center"/>
        </w:tcPr>
        <w:p w14:paraId="4B4666C9" w14:textId="77777777" w:rsidR="006768FF" w:rsidRPr="000872AB" w:rsidRDefault="006768F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0872AB">
            <w:rPr>
              <w:rFonts w:ascii="Palatino Linotype" w:eastAsia="Palatino Linotype" w:hAnsi="Palatino Linotype" w:cs="Palatino Linotype"/>
              <w:color w:val="000000"/>
              <w:sz w:val="24"/>
              <w:szCs w:val="24"/>
            </w:rPr>
            <w:t>María del Rosario Mejía Ayala</w:t>
          </w:r>
        </w:p>
      </w:tc>
    </w:tr>
  </w:tbl>
  <w:p w14:paraId="07A3FDCE" w14:textId="77777777" w:rsidR="006768FF" w:rsidRDefault="006768FF">
    <w:pPr>
      <w:pBdr>
        <w:top w:val="nil"/>
        <w:left w:val="nil"/>
        <w:bottom w:val="nil"/>
        <w:right w:val="nil"/>
        <w:between w:val="nil"/>
      </w:pBdr>
      <w:tabs>
        <w:tab w:val="center" w:pos="4252"/>
        <w:tab w:val="right" w:pos="8504"/>
      </w:tabs>
      <w:rPr>
        <w:color w:val="000000"/>
      </w:rPr>
    </w:pPr>
  </w:p>
  <w:p w14:paraId="394C80DB" w14:textId="77777777" w:rsidR="006768FF" w:rsidRDefault="006768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B9E7D" w14:textId="77777777" w:rsidR="006768FF" w:rsidRDefault="006768FF">
    <w:pPr>
      <w:rPr>
        <w:color w:val="000000"/>
      </w:rPr>
    </w:pPr>
    <w:r>
      <w:rPr>
        <w:color w:val="000000"/>
      </w:rPr>
      <w:tab/>
    </w:r>
    <w:r>
      <w:rPr>
        <w:color w:val="000000"/>
      </w:rPr>
      <w:tab/>
    </w:r>
    <w:r>
      <w:rPr>
        <w:noProof/>
        <w:lang w:val="es-MX"/>
      </w:rPr>
      <w:drawing>
        <wp:anchor distT="0" distB="0" distL="0" distR="0" simplePos="0" relativeHeight="251659264" behindDoc="1" locked="0" layoutInCell="1" hidden="0" allowOverlap="1" wp14:anchorId="2AFC48FB" wp14:editId="2B88A0F9">
          <wp:simplePos x="0" y="0"/>
          <wp:positionH relativeFrom="column">
            <wp:posOffset>-873651</wp:posOffset>
          </wp:positionH>
          <wp:positionV relativeFrom="paragraph">
            <wp:posOffset>-375916</wp:posOffset>
          </wp:positionV>
          <wp:extent cx="7809876" cy="10165823"/>
          <wp:effectExtent l="0" t="0" r="0" b="0"/>
          <wp:wrapNone/>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6775"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050"/>
    </w:tblGrid>
    <w:tr w:rsidR="000872AB" w:rsidRPr="000872AB" w14:paraId="3266891B" w14:textId="77777777" w:rsidTr="000872AB">
      <w:trPr>
        <w:trHeight w:val="138"/>
      </w:trPr>
      <w:tc>
        <w:tcPr>
          <w:tcW w:w="2725" w:type="dxa"/>
          <w:vAlign w:val="center"/>
        </w:tcPr>
        <w:p w14:paraId="51CBF747" w14:textId="77777777" w:rsidR="000872AB" w:rsidRPr="000872AB" w:rsidRDefault="000872AB" w:rsidP="000872AB">
          <w:pPr>
            <w:jc w:val="right"/>
            <w:rPr>
              <w:rFonts w:ascii="Palatino Linotype" w:eastAsia="Palatino Linotype" w:hAnsi="Palatino Linotype" w:cs="Palatino Linotype"/>
              <w:b/>
              <w:sz w:val="24"/>
              <w:szCs w:val="24"/>
            </w:rPr>
          </w:pPr>
          <w:r w:rsidRPr="000872AB">
            <w:rPr>
              <w:rFonts w:ascii="Palatino Linotype" w:eastAsia="Palatino Linotype" w:hAnsi="Palatino Linotype" w:cs="Palatino Linotype"/>
              <w:b/>
              <w:sz w:val="24"/>
              <w:szCs w:val="24"/>
            </w:rPr>
            <w:t>Recurso de Revisión:</w:t>
          </w:r>
        </w:p>
      </w:tc>
      <w:tc>
        <w:tcPr>
          <w:tcW w:w="4050" w:type="dxa"/>
          <w:vAlign w:val="center"/>
        </w:tcPr>
        <w:p w14:paraId="07A725EC" w14:textId="22FE8967" w:rsidR="000872AB" w:rsidRPr="000872AB" w:rsidRDefault="000872A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0872AB">
            <w:rPr>
              <w:rFonts w:ascii="Palatino Linotype" w:eastAsia="Palatino Linotype" w:hAnsi="Palatino Linotype" w:cs="Palatino Linotype"/>
              <w:color w:val="000000"/>
              <w:sz w:val="24"/>
              <w:szCs w:val="24"/>
            </w:rPr>
            <w:t>00863/INFOEM/IP/RR/2025</w:t>
          </w:r>
        </w:p>
      </w:tc>
    </w:tr>
    <w:tr w:rsidR="000872AB" w:rsidRPr="000872AB" w14:paraId="57F5BCBB" w14:textId="77777777" w:rsidTr="000872AB">
      <w:trPr>
        <w:trHeight w:val="227"/>
      </w:trPr>
      <w:tc>
        <w:tcPr>
          <w:tcW w:w="2725" w:type="dxa"/>
          <w:vAlign w:val="center"/>
        </w:tcPr>
        <w:p w14:paraId="22A69765" w14:textId="77777777" w:rsidR="000872AB" w:rsidRPr="000872AB" w:rsidRDefault="000872AB" w:rsidP="000872AB">
          <w:pPr>
            <w:jc w:val="right"/>
            <w:rPr>
              <w:rFonts w:ascii="Palatino Linotype" w:eastAsia="Palatino Linotype" w:hAnsi="Palatino Linotype" w:cs="Palatino Linotype"/>
              <w:b/>
              <w:sz w:val="24"/>
              <w:szCs w:val="24"/>
            </w:rPr>
          </w:pPr>
          <w:r w:rsidRPr="000872AB">
            <w:rPr>
              <w:rFonts w:ascii="Palatino Linotype" w:eastAsia="Palatino Linotype" w:hAnsi="Palatino Linotype" w:cs="Palatino Linotype"/>
              <w:b/>
              <w:sz w:val="24"/>
              <w:szCs w:val="24"/>
            </w:rPr>
            <w:t>Recurrente:</w:t>
          </w:r>
        </w:p>
      </w:tc>
      <w:tc>
        <w:tcPr>
          <w:tcW w:w="4050" w:type="dxa"/>
          <w:vAlign w:val="center"/>
        </w:tcPr>
        <w:p w14:paraId="71D6C94E" w14:textId="1902FD2F" w:rsidR="000872AB" w:rsidRPr="000872AB" w:rsidRDefault="000872A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p>
      </w:tc>
    </w:tr>
    <w:tr w:rsidR="000872AB" w:rsidRPr="000872AB" w14:paraId="31D51DFD" w14:textId="77777777" w:rsidTr="000872AB">
      <w:trPr>
        <w:trHeight w:val="232"/>
      </w:trPr>
      <w:tc>
        <w:tcPr>
          <w:tcW w:w="2725" w:type="dxa"/>
          <w:vAlign w:val="center"/>
        </w:tcPr>
        <w:p w14:paraId="09563478" w14:textId="77777777" w:rsidR="000872AB" w:rsidRPr="000872AB" w:rsidRDefault="000872AB" w:rsidP="000872AB">
          <w:pPr>
            <w:jc w:val="right"/>
            <w:rPr>
              <w:rFonts w:ascii="Palatino Linotype" w:eastAsia="Palatino Linotype" w:hAnsi="Palatino Linotype" w:cs="Palatino Linotype"/>
              <w:b/>
              <w:sz w:val="24"/>
              <w:szCs w:val="24"/>
            </w:rPr>
          </w:pPr>
          <w:r w:rsidRPr="000872AB">
            <w:rPr>
              <w:rFonts w:ascii="Palatino Linotype" w:eastAsia="Palatino Linotype" w:hAnsi="Palatino Linotype" w:cs="Palatino Linotype"/>
              <w:b/>
              <w:sz w:val="24"/>
              <w:szCs w:val="24"/>
            </w:rPr>
            <w:t>Sujeto Obligado:</w:t>
          </w:r>
        </w:p>
      </w:tc>
      <w:tc>
        <w:tcPr>
          <w:tcW w:w="4050" w:type="dxa"/>
          <w:vAlign w:val="center"/>
        </w:tcPr>
        <w:p w14:paraId="477014A7" w14:textId="588FA03C" w:rsidR="000872AB" w:rsidRPr="000872AB" w:rsidRDefault="000872AB" w:rsidP="00597F01">
          <w:pPr>
            <w:ind w:right="-73"/>
            <w:rPr>
              <w:sz w:val="24"/>
              <w:szCs w:val="24"/>
            </w:rPr>
          </w:pPr>
          <w:r w:rsidRPr="000872AB">
            <w:rPr>
              <w:rFonts w:ascii="Palatino Linotype" w:eastAsia="Palatino Linotype" w:hAnsi="Palatino Linotype" w:cs="Palatino Linotype"/>
              <w:sz w:val="24"/>
              <w:szCs w:val="24"/>
            </w:rPr>
            <w:t>Ayuntamiento de Toluca</w:t>
          </w:r>
        </w:p>
      </w:tc>
    </w:tr>
    <w:tr w:rsidR="000872AB" w:rsidRPr="000872AB" w14:paraId="519E39BA" w14:textId="77777777" w:rsidTr="000872AB">
      <w:trPr>
        <w:trHeight w:val="320"/>
      </w:trPr>
      <w:tc>
        <w:tcPr>
          <w:tcW w:w="2725" w:type="dxa"/>
          <w:vAlign w:val="center"/>
        </w:tcPr>
        <w:p w14:paraId="57EC4C26" w14:textId="77777777" w:rsidR="000872AB" w:rsidRPr="000872AB" w:rsidRDefault="000872AB" w:rsidP="000872AB">
          <w:pPr>
            <w:jc w:val="right"/>
            <w:rPr>
              <w:rFonts w:ascii="Palatino Linotype" w:eastAsia="Palatino Linotype" w:hAnsi="Palatino Linotype" w:cs="Palatino Linotype"/>
              <w:b/>
              <w:sz w:val="24"/>
              <w:szCs w:val="24"/>
            </w:rPr>
          </w:pPr>
          <w:r w:rsidRPr="000872AB">
            <w:rPr>
              <w:rFonts w:ascii="Palatino Linotype" w:eastAsia="Palatino Linotype" w:hAnsi="Palatino Linotype" w:cs="Palatino Linotype"/>
              <w:b/>
              <w:sz w:val="24"/>
              <w:szCs w:val="24"/>
            </w:rPr>
            <w:t>Comisionada Ponente:</w:t>
          </w:r>
        </w:p>
      </w:tc>
      <w:tc>
        <w:tcPr>
          <w:tcW w:w="4050" w:type="dxa"/>
          <w:vAlign w:val="center"/>
        </w:tcPr>
        <w:p w14:paraId="6413407F" w14:textId="77777777" w:rsidR="000872AB" w:rsidRPr="000872AB" w:rsidRDefault="000872A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0872AB">
            <w:rPr>
              <w:rFonts w:ascii="Palatino Linotype" w:eastAsia="Palatino Linotype" w:hAnsi="Palatino Linotype" w:cs="Palatino Linotype"/>
              <w:color w:val="000000"/>
              <w:sz w:val="24"/>
              <w:szCs w:val="24"/>
            </w:rPr>
            <w:t>María del Rosario Mejía Ayala</w:t>
          </w:r>
        </w:p>
      </w:tc>
    </w:tr>
  </w:tbl>
  <w:p w14:paraId="3E197C7F" w14:textId="77777777" w:rsidR="006768FF" w:rsidRDefault="006768FF">
    <w:pPr>
      <w:pBdr>
        <w:top w:val="nil"/>
        <w:left w:val="nil"/>
        <w:bottom w:val="nil"/>
        <w:right w:val="nil"/>
        <w:between w:val="nil"/>
      </w:pBdr>
      <w:tabs>
        <w:tab w:val="center" w:pos="4252"/>
        <w:tab w:val="right" w:pos="8504"/>
      </w:tabs>
      <w:rPr>
        <w:color w:val="000000"/>
      </w:rPr>
    </w:pPr>
  </w:p>
  <w:p w14:paraId="72C9EB80" w14:textId="77777777" w:rsidR="006768FF" w:rsidRDefault="006768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4">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3"/>
  </w:num>
  <w:num w:numId="2">
    <w:abstractNumId w:val="17"/>
  </w:num>
  <w:num w:numId="3">
    <w:abstractNumId w:val="11"/>
  </w:num>
  <w:num w:numId="4">
    <w:abstractNumId w:val="12"/>
  </w:num>
  <w:num w:numId="5">
    <w:abstractNumId w:val="20"/>
  </w:num>
  <w:num w:numId="6">
    <w:abstractNumId w:val="16"/>
  </w:num>
  <w:num w:numId="7">
    <w:abstractNumId w:val="21"/>
  </w:num>
  <w:num w:numId="8">
    <w:abstractNumId w:val="6"/>
  </w:num>
  <w:num w:numId="9">
    <w:abstractNumId w:val="15"/>
  </w:num>
  <w:num w:numId="10">
    <w:abstractNumId w:val="14"/>
  </w:num>
  <w:num w:numId="11">
    <w:abstractNumId w:val="8"/>
  </w:num>
  <w:num w:numId="12">
    <w:abstractNumId w:val="0"/>
  </w:num>
  <w:num w:numId="13">
    <w:abstractNumId w:val="5"/>
  </w:num>
  <w:num w:numId="14">
    <w:abstractNumId w:val="9"/>
  </w:num>
  <w:num w:numId="15">
    <w:abstractNumId w:val="7"/>
  </w:num>
  <w:num w:numId="16">
    <w:abstractNumId w:val="10"/>
  </w:num>
  <w:num w:numId="17">
    <w:abstractNumId w:val="1"/>
  </w:num>
  <w:num w:numId="18">
    <w:abstractNumId w:val="3"/>
  </w:num>
  <w:num w:numId="19">
    <w:abstractNumId w:val="19"/>
  </w:num>
  <w:num w:numId="20">
    <w:abstractNumId w:val="18"/>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872AB"/>
    <w:rsid w:val="000D62F1"/>
    <w:rsid w:val="000F378A"/>
    <w:rsid w:val="00112721"/>
    <w:rsid w:val="00131F79"/>
    <w:rsid w:val="001D3081"/>
    <w:rsid w:val="001F226A"/>
    <w:rsid w:val="00206314"/>
    <w:rsid w:val="002622BF"/>
    <w:rsid w:val="00294244"/>
    <w:rsid w:val="002D49BE"/>
    <w:rsid w:val="00301A5F"/>
    <w:rsid w:val="003A5F60"/>
    <w:rsid w:val="00402AAA"/>
    <w:rsid w:val="00426752"/>
    <w:rsid w:val="00436E6A"/>
    <w:rsid w:val="00473A26"/>
    <w:rsid w:val="00475E8A"/>
    <w:rsid w:val="00485C31"/>
    <w:rsid w:val="004C255F"/>
    <w:rsid w:val="0054028B"/>
    <w:rsid w:val="00597F01"/>
    <w:rsid w:val="005B0D5E"/>
    <w:rsid w:val="005F4162"/>
    <w:rsid w:val="005F5D0B"/>
    <w:rsid w:val="006768FF"/>
    <w:rsid w:val="00676985"/>
    <w:rsid w:val="00682A69"/>
    <w:rsid w:val="00720A2E"/>
    <w:rsid w:val="00793C1D"/>
    <w:rsid w:val="007C6197"/>
    <w:rsid w:val="00811FF8"/>
    <w:rsid w:val="00852CFD"/>
    <w:rsid w:val="0089180E"/>
    <w:rsid w:val="008A5208"/>
    <w:rsid w:val="008B6D76"/>
    <w:rsid w:val="00924917"/>
    <w:rsid w:val="009621D1"/>
    <w:rsid w:val="00993E1F"/>
    <w:rsid w:val="009C0FD4"/>
    <w:rsid w:val="00A25373"/>
    <w:rsid w:val="00A56D5B"/>
    <w:rsid w:val="00A76971"/>
    <w:rsid w:val="00A8408E"/>
    <w:rsid w:val="00AB673E"/>
    <w:rsid w:val="00AF16F7"/>
    <w:rsid w:val="00B05B5E"/>
    <w:rsid w:val="00B14589"/>
    <w:rsid w:val="00BA252B"/>
    <w:rsid w:val="00CB260F"/>
    <w:rsid w:val="00CC0DE2"/>
    <w:rsid w:val="00D062B1"/>
    <w:rsid w:val="00D11CE4"/>
    <w:rsid w:val="00D23687"/>
    <w:rsid w:val="00D4101D"/>
    <w:rsid w:val="00D44B91"/>
    <w:rsid w:val="00D632F4"/>
    <w:rsid w:val="00DC126E"/>
    <w:rsid w:val="00E54BB2"/>
    <w:rsid w:val="00EB0F49"/>
    <w:rsid w:val="00EE350F"/>
    <w:rsid w:val="00F26E16"/>
    <w:rsid w:val="00F715C2"/>
    <w:rsid w:val="00FD00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top w:w="0" w:type="dxa"/>
        <w:left w:w="115" w:type="dxa"/>
        <w:bottom w:w="0" w:type="dxa"/>
        <w:right w:w="115" w:type="dxa"/>
      </w:tblCellMar>
    </w:tblPr>
  </w:style>
  <w:style w:type="table" w:customStyle="1" w:styleId="2">
    <w:name w:val="2"/>
    <w:basedOn w:val="TableNormal1"/>
    <w:rPr>
      <w:sz w:val="22"/>
      <w:szCs w:val="22"/>
    </w:rPr>
    <w:tblPr>
      <w:tblStyleRowBandSize w:val="1"/>
      <w:tblStyleColBandSize w:val="1"/>
      <w:tblCellMar>
        <w:top w:w="0" w:type="dxa"/>
        <w:left w:w="108" w:type="dxa"/>
        <w:bottom w:w="0" w:type="dxa"/>
        <w:right w:w="108" w:type="dxa"/>
      </w:tblCellMar>
    </w:tblPr>
  </w:style>
  <w:style w:type="table" w:customStyle="1" w:styleId="1">
    <w:name w:val="1"/>
    <w:basedOn w:val="TableNormal1"/>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0" w:type="dxa"/>
        <w:bottom w:w="0" w:type="dxa"/>
        <w:right w:w="0"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rPr>
      <w:sz w:val="22"/>
      <w:szCs w:val="22"/>
    </w:rPr>
    <w:tblPr>
      <w:tblStyleRowBandSize w:val="1"/>
      <w:tblStyleColBandSize w:val="1"/>
      <w:tblCellMar>
        <w:top w:w="0" w:type="dxa"/>
        <w:left w:w="108" w:type="dxa"/>
        <w:bottom w:w="0" w:type="dxa"/>
        <w:right w:w="108" w:type="dxa"/>
      </w:tblCellMar>
    </w:tblPr>
  </w:style>
  <w:style w:type="table" w:customStyle="1" w:styleId="a3">
    <w:basedOn w:val="TableNormal1"/>
    <w:rPr>
      <w:sz w:val="22"/>
      <w:szCs w:val="22"/>
    </w:rPr>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7">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5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2366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23665.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6050</Words>
  <Characters>33278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INFOEM416</cp:lastModifiedBy>
  <cp:revision>8</cp:revision>
  <cp:lastPrinted>2025-05-30T16:30:00Z</cp:lastPrinted>
  <dcterms:created xsi:type="dcterms:W3CDTF">2025-05-22T19:15:00Z</dcterms:created>
  <dcterms:modified xsi:type="dcterms:W3CDTF">2025-05-30T16:30:00Z</dcterms:modified>
</cp:coreProperties>
</file>