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9E342" w14:textId="77777777" w:rsidR="00CF0BED" w:rsidRPr="00EC61CE" w:rsidRDefault="00222BC5">
      <w:pPr>
        <w:spacing w:after="0" w:line="360" w:lineRule="auto"/>
        <w:ind w:right="49"/>
        <w:jc w:val="both"/>
        <w:rPr>
          <w:rFonts w:ascii="Palatino Linotype" w:eastAsia="Palatino Linotype" w:hAnsi="Palatino Linotype" w:cs="Palatino Linotype"/>
        </w:rPr>
      </w:pPr>
      <w:bookmarkStart w:id="0" w:name="_GoBack"/>
      <w:bookmarkEnd w:id="0"/>
      <w:r w:rsidRPr="00EC61C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14:paraId="62D04A9E" w14:textId="77777777" w:rsidR="00CF0BED" w:rsidRPr="00EC61CE" w:rsidRDefault="00CF0BED">
      <w:pPr>
        <w:spacing w:after="0" w:line="360" w:lineRule="auto"/>
        <w:ind w:right="49"/>
        <w:jc w:val="center"/>
        <w:rPr>
          <w:rFonts w:ascii="Palatino Linotype" w:eastAsia="Palatino Linotype" w:hAnsi="Palatino Linotype" w:cs="Palatino Linotype"/>
        </w:rPr>
      </w:pPr>
    </w:p>
    <w:p w14:paraId="6BCB81F6" w14:textId="77777777" w:rsidR="00CF0BED" w:rsidRPr="00EC61CE" w:rsidRDefault="00222BC5">
      <w:pPr>
        <w:spacing w:after="0" w:line="360" w:lineRule="auto"/>
        <w:ind w:right="49"/>
        <w:jc w:val="both"/>
        <w:rPr>
          <w:rFonts w:ascii="Palatino Linotype" w:eastAsia="Palatino Linotype" w:hAnsi="Palatino Linotype" w:cs="Palatino Linotype"/>
          <w:b/>
        </w:rPr>
      </w:pPr>
      <w:r w:rsidRPr="00EC61CE">
        <w:rPr>
          <w:rFonts w:ascii="Palatino Linotype" w:eastAsia="Palatino Linotype" w:hAnsi="Palatino Linotype" w:cs="Palatino Linotype"/>
        </w:rPr>
        <w:t xml:space="preserve">Visto el expediente relativo al recurso de revisión </w:t>
      </w:r>
      <w:r w:rsidRPr="00EC61CE">
        <w:rPr>
          <w:rFonts w:ascii="Palatino Linotype" w:eastAsia="Palatino Linotype" w:hAnsi="Palatino Linotype" w:cs="Palatino Linotype"/>
          <w:b/>
        </w:rPr>
        <w:t>07949/INFOEM/IP/RR/2025</w:t>
      </w:r>
      <w:r w:rsidRPr="00EC61CE">
        <w:rPr>
          <w:rFonts w:ascii="Palatino Linotype" w:eastAsia="Palatino Linotype" w:hAnsi="Palatino Linotype" w:cs="Palatino Linotype"/>
        </w:rPr>
        <w:t xml:space="preserve">, interpuesto por </w:t>
      </w:r>
      <w:r w:rsidRPr="00EC61CE">
        <w:rPr>
          <w:rFonts w:ascii="Palatino Linotype" w:eastAsia="Palatino Linotype" w:hAnsi="Palatino Linotype" w:cs="Palatino Linotype"/>
          <w:b/>
        </w:rPr>
        <w:t>un particular que no proporcionó nombre o seudónimo</w:t>
      </w:r>
      <w:r w:rsidRPr="00EC61CE">
        <w:rPr>
          <w:rFonts w:ascii="Palatino Linotype" w:eastAsia="Palatino Linotype" w:hAnsi="Palatino Linotype" w:cs="Palatino Linotype"/>
        </w:rPr>
        <w:t xml:space="preserve">, al cual en lo sucesivo se le denominará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en contra de la respuesta a su solicitud de información identificada con número de folio </w:t>
      </w:r>
      <w:r w:rsidRPr="00EC61CE">
        <w:rPr>
          <w:rFonts w:ascii="Palatino Linotype" w:eastAsia="Palatino Linotype" w:hAnsi="Palatino Linotype" w:cs="Palatino Linotype"/>
          <w:b/>
        </w:rPr>
        <w:t xml:space="preserve">00358/ATLACOM/IP/2025 </w:t>
      </w:r>
      <w:r w:rsidRPr="00EC61CE">
        <w:rPr>
          <w:rFonts w:ascii="Palatino Linotype" w:eastAsia="Palatino Linotype" w:hAnsi="Palatino Linotype" w:cs="Palatino Linotype"/>
        </w:rPr>
        <w:t xml:space="preserve">proporcionada por parte del </w:t>
      </w:r>
      <w:r w:rsidRPr="00EC61CE">
        <w:rPr>
          <w:rFonts w:ascii="Palatino Linotype" w:eastAsia="Palatino Linotype" w:hAnsi="Palatino Linotype" w:cs="Palatino Linotype"/>
          <w:b/>
        </w:rPr>
        <w:t>Ayuntamiento de Atlacomulco</w:t>
      </w:r>
      <w:r w:rsidRPr="00EC61CE">
        <w:rPr>
          <w:rFonts w:ascii="Palatino Linotype" w:eastAsia="Palatino Linotype" w:hAnsi="Palatino Linotype" w:cs="Palatino Linotype"/>
        </w:rPr>
        <w:t xml:space="preserve">, en lo sucesivo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se procede a dictar la presente resolución, con base en los siguientes:</w:t>
      </w:r>
    </w:p>
    <w:p w14:paraId="7945B027" w14:textId="77777777" w:rsidR="00CF0BED" w:rsidRPr="00EC61CE" w:rsidRDefault="00CF0BED">
      <w:pPr>
        <w:spacing w:after="0" w:line="360" w:lineRule="auto"/>
        <w:ind w:right="49"/>
        <w:jc w:val="both"/>
        <w:rPr>
          <w:rFonts w:ascii="Palatino Linotype" w:eastAsia="Palatino Linotype" w:hAnsi="Palatino Linotype" w:cs="Palatino Linotype"/>
        </w:rPr>
      </w:pPr>
    </w:p>
    <w:p w14:paraId="0183B6B1" w14:textId="77777777" w:rsidR="00CF0BED" w:rsidRPr="00EC61CE" w:rsidRDefault="00222BC5">
      <w:pPr>
        <w:spacing w:after="0" w:line="360" w:lineRule="auto"/>
        <w:ind w:right="49"/>
        <w:jc w:val="center"/>
        <w:rPr>
          <w:rFonts w:ascii="Palatino Linotype" w:eastAsia="Palatino Linotype" w:hAnsi="Palatino Linotype" w:cs="Palatino Linotype"/>
          <w:b/>
        </w:rPr>
      </w:pPr>
      <w:r w:rsidRPr="00EC61CE">
        <w:rPr>
          <w:rFonts w:ascii="Palatino Linotype" w:eastAsia="Palatino Linotype" w:hAnsi="Palatino Linotype" w:cs="Palatino Linotype"/>
          <w:b/>
        </w:rPr>
        <w:t>I.</w:t>
      </w:r>
      <w:r w:rsidRPr="00EC61CE">
        <w:rPr>
          <w:rFonts w:ascii="Palatino Linotype" w:eastAsia="Palatino Linotype" w:hAnsi="Palatino Linotype" w:cs="Palatino Linotype"/>
          <w:b/>
        </w:rPr>
        <w:tab/>
        <w:t>A N T E C E D E N T E S</w:t>
      </w:r>
    </w:p>
    <w:p w14:paraId="350454C8"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Solicitud de acceso a la información.</w:t>
      </w:r>
      <w:r w:rsidRPr="00EC61CE">
        <w:rPr>
          <w:rFonts w:ascii="Palatino Linotype" w:eastAsia="Palatino Linotype" w:hAnsi="Palatino Linotype" w:cs="Palatino Linotype"/>
        </w:rPr>
        <w:t xml:space="preserve"> Con fecha </w:t>
      </w:r>
      <w:r w:rsidRPr="00EC61CE">
        <w:rPr>
          <w:rFonts w:ascii="Palatino Linotype" w:eastAsia="Palatino Linotype" w:hAnsi="Palatino Linotype" w:cs="Palatino Linotype"/>
          <w:b/>
        </w:rPr>
        <w:t>veintinueve de mayo de dos mil veinticinco</w:t>
      </w:r>
      <w:r w:rsidRPr="00EC61CE">
        <w:rPr>
          <w:rFonts w:ascii="Palatino Linotype" w:eastAsia="Palatino Linotype" w:hAnsi="Palatino Linotype" w:cs="Palatino Linotype"/>
        </w:rPr>
        <w:t xml:space="preserve">,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formuló solicitud de acceso a información pública al</w:t>
      </w:r>
      <w:r w:rsidRPr="00EC61CE">
        <w:rPr>
          <w:rFonts w:ascii="Palatino Linotype" w:eastAsia="Palatino Linotype" w:hAnsi="Palatino Linotype" w:cs="Palatino Linotype"/>
          <w:b/>
        </w:rPr>
        <w:t xml:space="preserve"> Sujeto Obligado</w:t>
      </w:r>
      <w:r w:rsidRPr="00EC61CE">
        <w:rPr>
          <w:rFonts w:ascii="Palatino Linotype" w:eastAsia="Palatino Linotype" w:hAnsi="Palatino Linotype" w:cs="Palatino Linotype"/>
        </w:rPr>
        <w:t xml:space="preserve"> a través del Sistema de Acceso a la Información Mexiquense, en adelante SAIMEX, en la que requirió lo siguiente: </w:t>
      </w:r>
    </w:p>
    <w:p w14:paraId="02354425" w14:textId="77777777" w:rsidR="00CF0BED" w:rsidRPr="00EC61CE" w:rsidRDefault="00CF0BED">
      <w:pPr>
        <w:spacing w:after="0"/>
        <w:ind w:left="851" w:right="843"/>
        <w:jc w:val="both"/>
        <w:rPr>
          <w:rFonts w:ascii="Palatino Linotype" w:eastAsia="Palatino Linotype" w:hAnsi="Palatino Linotype" w:cs="Palatino Linotype"/>
          <w:i/>
        </w:rPr>
      </w:pPr>
      <w:bookmarkStart w:id="1" w:name="_heading=h.30j0zll" w:colFirst="0" w:colLast="0"/>
      <w:bookmarkEnd w:id="1"/>
    </w:p>
    <w:p w14:paraId="5083E2FF"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“Bitácoras de gasolina, facturas y a quien servidores públicos y cuanto se les da”. </w:t>
      </w:r>
    </w:p>
    <w:p w14:paraId="6EA81E86" w14:textId="77777777" w:rsidR="00CF0BED" w:rsidRPr="00EC61CE" w:rsidRDefault="00CF0BED">
      <w:pPr>
        <w:spacing w:after="0" w:line="360" w:lineRule="auto"/>
        <w:ind w:right="49"/>
        <w:jc w:val="both"/>
        <w:rPr>
          <w:rFonts w:ascii="Palatino Linotype" w:eastAsia="Palatino Linotype" w:hAnsi="Palatino Linotype" w:cs="Palatino Linotype"/>
          <w:i/>
        </w:rPr>
      </w:pPr>
    </w:p>
    <w:p w14:paraId="42A7F796"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b/>
        </w:rPr>
        <w:t>Modalidad elegida para la entrega de la información:</w:t>
      </w:r>
      <w:r w:rsidRPr="00EC61CE">
        <w:rPr>
          <w:rFonts w:ascii="Palatino Linotype" w:eastAsia="Palatino Linotype" w:hAnsi="Palatino Linotype" w:cs="Palatino Linotype"/>
        </w:rPr>
        <w:t xml:space="preserve"> a través del Sistema de Acceso a la Información Mexiquense (SAIMEX). </w:t>
      </w:r>
    </w:p>
    <w:p w14:paraId="40D2078A" w14:textId="77777777" w:rsidR="00CF0BED" w:rsidRPr="00EC61CE" w:rsidRDefault="00CF0BED">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54780F00" w14:textId="77777777" w:rsidR="00CF0BED" w:rsidRPr="00EC61CE" w:rsidRDefault="00222BC5">
      <w:pPr>
        <w:numPr>
          <w:ilvl w:val="0"/>
          <w:numId w:val="1"/>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b/>
        </w:rPr>
      </w:pPr>
      <w:r w:rsidRPr="00EC61CE">
        <w:rPr>
          <w:rFonts w:ascii="Palatino Linotype" w:eastAsia="Palatino Linotype" w:hAnsi="Palatino Linotype" w:cs="Palatino Linotype"/>
          <w:b/>
        </w:rPr>
        <w:t xml:space="preserve">Prórroga. </w:t>
      </w:r>
      <w:r w:rsidRPr="00EC61CE">
        <w:rPr>
          <w:rFonts w:ascii="Palatino Linotype" w:eastAsia="Palatino Linotype" w:hAnsi="Palatino Linotype" w:cs="Palatino Linotype"/>
        </w:rPr>
        <w:t xml:space="preserve">El </w:t>
      </w:r>
      <w:r w:rsidRPr="00EC61CE">
        <w:rPr>
          <w:rFonts w:ascii="Palatino Linotype" w:eastAsia="Palatino Linotype" w:hAnsi="Palatino Linotype" w:cs="Palatino Linotype"/>
          <w:b/>
        </w:rPr>
        <w:t>diecinueve de junio de dos mil veinticinco</w:t>
      </w:r>
      <w:r w:rsidRPr="00EC61CE">
        <w:rPr>
          <w:rFonts w:ascii="Palatino Linotype" w:eastAsia="Palatino Linotype" w:hAnsi="Palatino Linotype" w:cs="Palatino Linotype"/>
        </w:rPr>
        <w:t xml:space="preserve">,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informó que aprobó la ampliación de plazo por siete días hábiles, esto con el fin de que se sigue con la búsqueda de la información, asimismo dar la respuesta correspondiente.</w:t>
      </w:r>
    </w:p>
    <w:p w14:paraId="1CE452FC"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505B2B"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Respuesta. </w:t>
      </w:r>
      <w:r w:rsidRPr="00EC61CE">
        <w:rPr>
          <w:rFonts w:ascii="Palatino Linotype" w:eastAsia="Palatino Linotype" w:hAnsi="Palatino Linotype" w:cs="Palatino Linotype"/>
        </w:rPr>
        <w:t xml:space="preserve">En fecha </w:t>
      </w:r>
      <w:r w:rsidRPr="00EC61CE">
        <w:rPr>
          <w:rFonts w:ascii="Palatino Linotype" w:eastAsia="Palatino Linotype" w:hAnsi="Palatino Linotype" w:cs="Palatino Linotype"/>
          <w:b/>
        </w:rPr>
        <w:t>treinta de junio de dos mil veinticinco</w:t>
      </w:r>
      <w:r w:rsidRPr="00EC61CE">
        <w:rPr>
          <w:rFonts w:ascii="Palatino Linotype" w:eastAsia="Palatino Linotype" w:hAnsi="Palatino Linotype" w:cs="Palatino Linotype"/>
        </w:rPr>
        <w:t xml:space="preserve">, el </w:t>
      </w:r>
      <w:r w:rsidRPr="00EC61CE">
        <w:rPr>
          <w:rFonts w:ascii="Palatino Linotype" w:eastAsia="Palatino Linotype" w:hAnsi="Palatino Linotype" w:cs="Palatino Linotype"/>
          <w:b/>
        </w:rPr>
        <w:t xml:space="preserve">Sujeto Obligado </w:t>
      </w:r>
      <w:r w:rsidRPr="00EC61CE">
        <w:rPr>
          <w:rFonts w:ascii="Palatino Linotype" w:eastAsia="Palatino Linotype" w:hAnsi="Palatino Linotype" w:cs="Palatino Linotype"/>
        </w:rPr>
        <w:t xml:space="preserve">proporcionó respuesta a la solicitud de información, al tenor de lo siguiente: </w:t>
      </w:r>
    </w:p>
    <w:p w14:paraId="6BC687B7"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A516480"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89676D"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Se remite respuesta solicitud de información</w:t>
      </w:r>
    </w:p>
    <w:p w14:paraId="3551B423"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ATENTAMENTE</w:t>
      </w:r>
    </w:p>
    <w:p w14:paraId="1A788001"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C. Claudia Monroy Amparo”</w:t>
      </w:r>
    </w:p>
    <w:p w14:paraId="1BD35F50"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FC3557" w14:textId="77777777" w:rsidR="00CF0BED" w:rsidRPr="00EC61CE" w:rsidRDefault="00222BC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bookmarkStart w:id="2" w:name="_heading=h.cf16jb3lpmfk" w:colFirst="0" w:colLast="0"/>
      <w:bookmarkEnd w:id="2"/>
      <w:r w:rsidRPr="00EC61CE">
        <w:rPr>
          <w:rFonts w:ascii="Palatino Linotype" w:eastAsia="Palatino Linotype" w:hAnsi="Palatino Linotype" w:cs="Palatino Linotype"/>
        </w:rPr>
        <w:t>Asimismo, adjuntó los documentos que se describen a continuación:</w:t>
      </w:r>
    </w:p>
    <w:p w14:paraId="649703B3"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075D39B" w14:textId="77777777" w:rsidR="00CF0BED" w:rsidRPr="00EC61CE" w:rsidRDefault="00222BC5">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358_RSOL_TM_2025_FACTURAS_BITACORAS_GASOLINA.pdf: </w:t>
      </w:r>
      <w:r w:rsidRPr="00EC61CE">
        <w:rPr>
          <w:rFonts w:ascii="Palatino Linotype" w:eastAsia="Palatino Linotype" w:hAnsi="Palatino Linotype" w:cs="Palatino Linotype"/>
        </w:rPr>
        <w:t xml:space="preserve">Contiene los siguientes documentos: </w:t>
      </w:r>
    </w:p>
    <w:p w14:paraId="1343922A" w14:textId="77777777" w:rsidR="00CF0BED" w:rsidRPr="00EC61CE" w:rsidRDefault="00222BC5">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Oficio número TMA/STE/818/06/2025 de fecha veintisiete de junio de dos mil veinticinco, signado por el Tesorero Municipal, en el que informó la entrega de las facturas y las bitácoras de gasolina que obran en los registros contables del mes de marzo de 2025, en versión pública. Asimismo, informó que la versión pública fue aprobada en la Vigésima Quinta Sesión Extraordinaria del Comité de Transparencia llevada a cabo el día 25 de junio de 2025, en el acuerdo número ACT/ATLACOMULCO/EXT/CT/25ª/ACU-DÉCIMOPRIMERO/2025.</w:t>
      </w:r>
    </w:p>
    <w:p w14:paraId="224B1938" w14:textId="77777777" w:rsidR="00CF0BED" w:rsidRPr="00EC61CE" w:rsidRDefault="00222BC5">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Adjuntando veintinueve facturas del mes de marzo de dos mil veinticinco. </w:t>
      </w:r>
    </w:p>
    <w:p w14:paraId="36134985" w14:textId="77777777" w:rsidR="00CF0BED" w:rsidRPr="00EC61CE" w:rsidRDefault="00222BC5">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Cuarenta y tres Bitácoras de Consumo de Gasolina / Diésel, del mes de febrero de dos mil veinticinco, en versión pública. </w:t>
      </w:r>
    </w:p>
    <w:p w14:paraId="1CF8346E" w14:textId="77777777" w:rsidR="00CF0BED" w:rsidRPr="00EC61CE" w:rsidRDefault="00222BC5">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lastRenderedPageBreak/>
        <w:t>Ciento catorce Bitácoras de Consumo de Gasolina / Diésel, del mes de marzo de dos mil veinticinco, en versión pública.</w:t>
      </w:r>
    </w:p>
    <w:p w14:paraId="790033E1" w14:textId="77777777" w:rsidR="00CF0BED" w:rsidRPr="00EC61CE" w:rsidRDefault="00CF0BED">
      <w:pPr>
        <w:pBdr>
          <w:top w:val="nil"/>
          <w:left w:val="nil"/>
          <w:bottom w:val="nil"/>
          <w:right w:val="nil"/>
          <w:between w:val="nil"/>
        </w:pBdr>
        <w:spacing w:after="0" w:line="360" w:lineRule="auto"/>
        <w:ind w:left="1440" w:right="49"/>
        <w:jc w:val="both"/>
        <w:rPr>
          <w:rFonts w:ascii="Palatino Linotype" w:eastAsia="Palatino Linotype" w:hAnsi="Palatino Linotype" w:cs="Palatino Linotype"/>
        </w:rPr>
      </w:pPr>
    </w:p>
    <w:p w14:paraId="17D3295D" w14:textId="77777777" w:rsidR="00CF0BED" w:rsidRPr="00EC61CE" w:rsidRDefault="00222BC5">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b/>
          <w:i/>
        </w:rPr>
        <w:t>0358_RESP_2025.pdf</w:t>
      </w:r>
      <w:r w:rsidRPr="00EC61CE">
        <w:rPr>
          <w:rFonts w:ascii="Palatino Linotype" w:eastAsia="Palatino Linotype" w:hAnsi="Palatino Linotype" w:cs="Palatino Linotype"/>
        </w:rPr>
        <w:t>: Oficio número PM/UT/358/2025 de fecha treinta de junio de dos mil veinticinco, signado por la Titular de la Unidad de Transparencia, en el que señaló la entrega del oficio del área a la que fue turnada la solicitud, asimismo informó la entrega del acta de la Vigésima Quinta Sesión Extraordinaria del Comité de Transparencia a través de la cual se confirma la Clasificación de la Información como confidencial parcial mediante acuerdo: ACT/ATLACOMULCO/EXT/CT/25/ACUDECIMO PRIMERO/2025.</w:t>
      </w:r>
    </w:p>
    <w:p w14:paraId="1AE69A8C" w14:textId="77777777" w:rsidR="00CF0BED" w:rsidRPr="00EC61CE" w:rsidRDefault="00CF0BE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BC3A475" w14:textId="77777777" w:rsidR="00CF0BED" w:rsidRPr="00EC61CE" w:rsidRDefault="00222BC5">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b/>
          <w:i/>
        </w:rPr>
        <w:t>25a_ACT_ EXT_2025.pdf</w:t>
      </w:r>
      <w:r w:rsidRPr="00EC61CE">
        <w:rPr>
          <w:rFonts w:ascii="Palatino Linotype" w:eastAsia="Palatino Linotype" w:hAnsi="Palatino Linotype" w:cs="Palatino Linotype"/>
        </w:rPr>
        <w:t>: Acta de la Vigésima Quinta Sesión Extraordinaria del Comité de Transparencia a través de la cual se confirma la Clasificación de la Información como confidencial parcial mediante acuerdo número: ACT/ATLACOMULCO/EXT/CT/25/ACUDECIMO PRIMERO/2025.</w:t>
      </w:r>
    </w:p>
    <w:p w14:paraId="3B88EDCD"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17AE63"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Recurso de Revisión. </w:t>
      </w:r>
      <w:r w:rsidRPr="00EC61CE">
        <w:rPr>
          <w:rFonts w:ascii="Palatino Linotype" w:eastAsia="Palatino Linotype" w:hAnsi="Palatino Linotype" w:cs="Palatino Linotype"/>
        </w:rPr>
        <w:t xml:space="preserve">En fecha </w:t>
      </w:r>
      <w:r w:rsidRPr="00EC61CE">
        <w:rPr>
          <w:rFonts w:ascii="Palatino Linotype" w:eastAsia="Palatino Linotype" w:hAnsi="Palatino Linotype" w:cs="Palatino Linotype"/>
          <w:b/>
        </w:rPr>
        <w:t xml:space="preserve">primero de julio de dos mil veinticinco, </w:t>
      </w:r>
      <w:r w:rsidRPr="00EC61CE">
        <w:rPr>
          <w:rFonts w:ascii="Palatino Linotype" w:eastAsia="Palatino Linotype" w:hAnsi="Palatino Linotype" w:cs="Palatino Linotype"/>
        </w:rPr>
        <w:t xml:space="preserve">la persona Solicitante interpuso Recurso de Revisión a través del </w:t>
      </w:r>
      <w:r w:rsidRPr="00EC61CE">
        <w:rPr>
          <w:rFonts w:ascii="Palatino Linotype" w:eastAsia="Palatino Linotype" w:hAnsi="Palatino Linotype" w:cs="Palatino Linotype"/>
          <w:b/>
        </w:rPr>
        <w:t>SAIMEX</w:t>
      </w:r>
      <w:r w:rsidRPr="00EC61CE">
        <w:rPr>
          <w:rFonts w:ascii="Palatino Linotype" w:eastAsia="Palatino Linotype" w:hAnsi="Palatino Linotype" w:cs="Palatino Linotype"/>
        </w:rPr>
        <w:t>, a través del cual expresó lo siguiente:</w:t>
      </w:r>
    </w:p>
    <w:p w14:paraId="1A89C86F" w14:textId="77777777" w:rsidR="00CF0BED" w:rsidRPr="00EC61CE" w:rsidRDefault="00CF0BED">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32DB1434" w14:textId="77777777" w:rsidR="00CF0BED" w:rsidRPr="00EC61CE" w:rsidRDefault="00222BC5">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EC61CE">
        <w:rPr>
          <w:rFonts w:ascii="Palatino Linotype" w:eastAsia="Palatino Linotype" w:hAnsi="Palatino Linotype" w:cs="Palatino Linotype"/>
          <w:b/>
        </w:rPr>
        <w:t>Acto impugnado</w:t>
      </w:r>
      <w:r w:rsidRPr="00EC61CE">
        <w:rPr>
          <w:rFonts w:ascii="Palatino Linotype" w:eastAsia="Palatino Linotype" w:hAnsi="Palatino Linotype" w:cs="Palatino Linotype"/>
          <w:b/>
          <w:i/>
        </w:rPr>
        <w:t xml:space="preserve">. </w:t>
      </w:r>
      <w:r w:rsidRPr="00EC61CE">
        <w:rPr>
          <w:rFonts w:ascii="Palatino Linotype" w:eastAsia="Palatino Linotype" w:hAnsi="Palatino Linotype" w:cs="Palatino Linotype"/>
          <w:i/>
        </w:rPr>
        <w:t>“Información incompleta”.</w:t>
      </w:r>
    </w:p>
    <w:p w14:paraId="19A2EC7B" w14:textId="77777777" w:rsidR="00CF0BED" w:rsidRPr="00EC61CE" w:rsidRDefault="00CF0BED">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1A56D924" w14:textId="77777777" w:rsidR="00CF0BED" w:rsidRPr="00EC61CE" w:rsidRDefault="00222BC5">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rPr>
        <w:t xml:space="preserve">Razones o motivos de la inconformidad: </w:t>
      </w:r>
      <w:r w:rsidRPr="00EC61CE">
        <w:rPr>
          <w:rFonts w:ascii="Palatino Linotype" w:eastAsia="Palatino Linotype" w:hAnsi="Palatino Linotype" w:cs="Palatino Linotype"/>
          <w:i/>
        </w:rPr>
        <w:t>“Incompleta”.</w:t>
      </w:r>
    </w:p>
    <w:p w14:paraId="10D5053C" w14:textId="77777777" w:rsidR="00CF0BED" w:rsidRPr="00EC61CE" w:rsidRDefault="00CF0BED">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7368964"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Turno.</w:t>
      </w:r>
      <w:r w:rsidRPr="00EC61C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EC61CE">
        <w:rPr>
          <w:rFonts w:ascii="Palatino Linotype" w:eastAsia="Palatino Linotype" w:hAnsi="Palatino Linotype" w:cs="Palatino Linotype"/>
          <w:b/>
        </w:rPr>
        <w:t>07949/INFOEM/IP/RR/2025</w:t>
      </w:r>
      <w:r w:rsidRPr="00EC61C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2419CD0"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29CF74"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Admisión del recurso de revisión</w:t>
      </w:r>
      <w:r w:rsidRPr="00EC61CE">
        <w:rPr>
          <w:rFonts w:ascii="Palatino Linotype" w:eastAsia="Palatino Linotype" w:hAnsi="Palatino Linotype" w:cs="Palatino Linotype"/>
        </w:rPr>
        <w:t xml:space="preserve">: En fecha </w:t>
      </w:r>
      <w:r w:rsidRPr="00EC61CE">
        <w:rPr>
          <w:rFonts w:ascii="Palatino Linotype" w:eastAsia="Palatino Linotype" w:hAnsi="Palatino Linotype" w:cs="Palatino Linotype"/>
          <w:b/>
        </w:rPr>
        <w:t>cuatro de julio de dos mil veinticinco</w:t>
      </w:r>
      <w:r w:rsidRPr="00EC61C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1083A3C" w14:textId="77777777" w:rsidR="00CF0BED" w:rsidRPr="00EC61CE" w:rsidRDefault="00CF0BED">
      <w:pPr>
        <w:pBdr>
          <w:top w:val="nil"/>
          <w:left w:val="nil"/>
          <w:bottom w:val="nil"/>
          <w:right w:val="nil"/>
          <w:between w:val="nil"/>
        </w:pBdr>
        <w:spacing w:after="0"/>
        <w:ind w:left="720"/>
        <w:rPr>
          <w:rFonts w:ascii="Palatino Linotype" w:eastAsia="Palatino Linotype" w:hAnsi="Palatino Linotype" w:cs="Palatino Linotype"/>
        </w:rPr>
      </w:pPr>
    </w:p>
    <w:p w14:paraId="33AEBFE7"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EC61CE">
        <w:rPr>
          <w:rFonts w:ascii="Palatino Linotype" w:eastAsia="Palatino Linotype" w:hAnsi="Palatino Linotype" w:cs="Palatino Linotype"/>
          <w:b/>
        </w:rPr>
        <w:t xml:space="preserve">Manifestaciones. </w:t>
      </w:r>
      <w:r w:rsidRPr="00EC61CE">
        <w:rPr>
          <w:rFonts w:ascii="Palatino Linotype" w:eastAsia="Palatino Linotype" w:hAnsi="Palatino Linotype" w:cs="Palatino Linotype"/>
        </w:rPr>
        <w:t xml:space="preserve">En fecha </w:t>
      </w:r>
      <w:r w:rsidRPr="00EC61CE">
        <w:rPr>
          <w:rFonts w:ascii="Palatino Linotype" w:eastAsia="Palatino Linotype" w:hAnsi="Palatino Linotype" w:cs="Palatino Linotype"/>
          <w:b/>
        </w:rPr>
        <w:t xml:space="preserve">quince de julio de dos mil veinticinco, </w:t>
      </w:r>
      <w:r w:rsidRPr="00EC61CE">
        <w:rPr>
          <w:rFonts w:ascii="Palatino Linotype" w:eastAsia="Palatino Linotype" w:hAnsi="Palatino Linotype" w:cs="Palatino Linotype"/>
        </w:rPr>
        <w:t xml:space="preserve">el </w:t>
      </w:r>
      <w:r w:rsidRPr="00EC61CE">
        <w:rPr>
          <w:rFonts w:ascii="Palatino Linotype" w:eastAsia="Palatino Linotype" w:hAnsi="Palatino Linotype" w:cs="Palatino Linotype"/>
          <w:b/>
        </w:rPr>
        <w:t xml:space="preserve">Sujeto Obligado </w:t>
      </w:r>
      <w:r w:rsidRPr="00EC61CE">
        <w:rPr>
          <w:rFonts w:ascii="Palatino Linotype" w:eastAsia="Palatino Linotype" w:hAnsi="Palatino Linotype" w:cs="Palatino Linotype"/>
        </w:rPr>
        <w:t xml:space="preserve">remitió, a través del SAIMEX, el archivo electrónico denominado </w:t>
      </w:r>
      <w:r w:rsidRPr="00EC61CE">
        <w:rPr>
          <w:rFonts w:ascii="Palatino Linotype" w:eastAsia="Palatino Linotype" w:hAnsi="Palatino Linotype" w:cs="Palatino Linotype"/>
          <w:b/>
          <w:i/>
        </w:rPr>
        <w:t>“</w:t>
      </w:r>
      <w:r w:rsidRPr="00EC61CE">
        <w:rPr>
          <w:rFonts w:ascii="Palatino Linotype" w:eastAsia="Palatino Linotype" w:hAnsi="Palatino Linotype" w:cs="Palatino Linotype"/>
          <w:b/>
          <w:i/>
        </w:rPr>
        <w:tab/>
        <w:t>07949_RR_IFJ_2025.pdf”</w:t>
      </w:r>
      <w:r w:rsidRPr="00EC61CE">
        <w:rPr>
          <w:rFonts w:ascii="Palatino Linotype" w:eastAsia="Palatino Linotype" w:hAnsi="Palatino Linotype" w:cs="Palatino Linotype"/>
        </w:rPr>
        <w:t xml:space="preserve">, mismo que fue hecho del conocimiento del ahora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en fecha </w:t>
      </w:r>
      <w:r w:rsidRPr="00EC61CE">
        <w:rPr>
          <w:rFonts w:ascii="Palatino Linotype" w:eastAsia="Palatino Linotype" w:hAnsi="Palatino Linotype" w:cs="Palatino Linotype"/>
          <w:b/>
        </w:rPr>
        <w:t>primero de octubre de dos mil veinticinco</w:t>
      </w:r>
      <w:r w:rsidRPr="00EC61CE">
        <w:rPr>
          <w:rFonts w:ascii="Palatino Linotype" w:eastAsia="Palatino Linotype" w:hAnsi="Palatino Linotype" w:cs="Palatino Linotype"/>
        </w:rPr>
        <w:t xml:space="preserve">, mediante el cual la Tesorería Municipal ratificó su respuesta inicial. </w:t>
      </w:r>
    </w:p>
    <w:p w14:paraId="5204CBEC"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1D0FFB42" w14:textId="77777777" w:rsidR="00CF0BED" w:rsidRPr="00EC61CE" w:rsidRDefault="00222BC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las constancias que obran en el expediente electrónico del SAIMEX se desprende que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fue omisa en presentar sus alegatos o manifestación alguna.</w:t>
      </w:r>
    </w:p>
    <w:p w14:paraId="0926DEF5"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441786"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Ampliación del plazo para emitir resolución.</w:t>
      </w:r>
      <w:r w:rsidRPr="00EC61CE">
        <w:rPr>
          <w:rFonts w:ascii="Palatino Linotype" w:eastAsia="Palatino Linotype" w:hAnsi="Palatino Linotype" w:cs="Palatino Linotype"/>
        </w:rPr>
        <w:t xml:space="preserve"> El </w:t>
      </w:r>
      <w:r w:rsidRPr="00EC61CE">
        <w:rPr>
          <w:rFonts w:ascii="Palatino Linotype" w:eastAsia="Palatino Linotype" w:hAnsi="Palatino Linotype" w:cs="Palatino Linotype"/>
          <w:b/>
        </w:rPr>
        <w:t>primero de octubre de dos mil veinticinco</w:t>
      </w:r>
      <w:r w:rsidRPr="00EC61C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6474433" w14:textId="77777777" w:rsidR="00CF0BED" w:rsidRPr="00EC61CE" w:rsidRDefault="00CF0BED">
      <w:pPr>
        <w:spacing w:after="0" w:line="360" w:lineRule="auto"/>
        <w:jc w:val="both"/>
        <w:rPr>
          <w:rFonts w:ascii="Palatino Linotype" w:eastAsia="Palatino Linotype" w:hAnsi="Palatino Linotype" w:cs="Palatino Linotype"/>
        </w:rPr>
      </w:pPr>
    </w:p>
    <w:p w14:paraId="07102E2D"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2C81911" w14:textId="77777777" w:rsidR="00CF0BED" w:rsidRPr="00EC61CE" w:rsidRDefault="00CF0BED">
      <w:pPr>
        <w:spacing w:after="0" w:line="360" w:lineRule="auto"/>
        <w:jc w:val="both"/>
        <w:rPr>
          <w:rFonts w:ascii="Palatino Linotype" w:eastAsia="Palatino Linotype" w:hAnsi="Palatino Linotype" w:cs="Palatino Linotype"/>
        </w:rPr>
      </w:pPr>
    </w:p>
    <w:p w14:paraId="217654CE"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A01C15" w14:textId="77777777" w:rsidR="00CF0BED" w:rsidRPr="00EC61CE" w:rsidRDefault="00CF0BED">
      <w:pPr>
        <w:spacing w:after="0" w:line="360" w:lineRule="auto"/>
        <w:ind w:right="49"/>
        <w:jc w:val="both"/>
        <w:rPr>
          <w:rFonts w:ascii="Palatino Linotype" w:eastAsia="Palatino Linotype" w:hAnsi="Palatino Linotype" w:cs="Palatino Linotype"/>
        </w:rPr>
      </w:pPr>
    </w:p>
    <w:p w14:paraId="406222C7"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DCFB45" w14:textId="77777777" w:rsidR="00CF0BED" w:rsidRPr="00EC61CE" w:rsidRDefault="00CF0BED">
      <w:pPr>
        <w:spacing w:after="0" w:line="360" w:lineRule="auto"/>
        <w:ind w:right="49"/>
        <w:jc w:val="both"/>
        <w:rPr>
          <w:rFonts w:ascii="Palatino Linotype" w:eastAsia="Palatino Linotype" w:hAnsi="Palatino Linotype" w:cs="Palatino Linotype"/>
        </w:rPr>
      </w:pPr>
    </w:p>
    <w:p w14:paraId="2BA04AC7"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617D6C" w14:textId="77777777" w:rsidR="00CF0BED" w:rsidRPr="00EC61CE" w:rsidRDefault="00CF0BED">
      <w:pPr>
        <w:spacing w:after="0" w:line="360" w:lineRule="auto"/>
        <w:ind w:right="49"/>
        <w:jc w:val="both"/>
        <w:rPr>
          <w:rFonts w:ascii="Palatino Linotype" w:eastAsia="Palatino Linotype" w:hAnsi="Palatino Linotype" w:cs="Palatino Linotype"/>
        </w:rPr>
      </w:pPr>
    </w:p>
    <w:p w14:paraId="1A157CDE"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6401F4" w14:textId="77777777" w:rsidR="00CF0BED" w:rsidRPr="00EC61CE" w:rsidRDefault="00CF0BED">
      <w:pPr>
        <w:tabs>
          <w:tab w:val="left" w:pos="709"/>
        </w:tabs>
        <w:spacing w:after="0" w:line="360" w:lineRule="auto"/>
        <w:ind w:left="567" w:right="560"/>
        <w:jc w:val="both"/>
        <w:rPr>
          <w:rFonts w:ascii="Palatino Linotype" w:eastAsia="Palatino Linotype" w:hAnsi="Palatino Linotype" w:cs="Palatino Linotype"/>
          <w:b/>
        </w:rPr>
      </w:pPr>
    </w:p>
    <w:p w14:paraId="28ABB50D" w14:textId="77777777" w:rsidR="00CF0BED" w:rsidRPr="00EC61CE" w:rsidRDefault="00222BC5">
      <w:pPr>
        <w:tabs>
          <w:tab w:val="left" w:pos="709"/>
        </w:tabs>
        <w:spacing w:after="0" w:line="360" w:lineRule="auto"/>
        <w:ind w:left="567" w:right="560"/>
        <w:jc w:val="both"/>
        <w:rPr>
          <w:rFonts w:ascii="Palatino Linotype" w:eastAsia="Palatino Linotype" w:hAnsi="Palatino Linotype" w:cs="Palatino Linotype"/>
        </w:rPr>
      </w:pPr>
      <w:r w:rsidRPr="00EC61CE">
        <w:rPr>
          <w:rFonts w:ascii="Palatino Linotype" w:eastAsia="Palatino Linotype" w:hAnsi="Palatino Linotype" w:cs="Palatino Linotype"/>
          <w:b/>
        </w:rPr>
        <w:t>a)    Complejidad del asunto:</w:t>
      </w:r>
      <w:r w:rsidRPr="00EC61CE">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E4D6B2B" w14:textId="77777777" w:rsidR="00CF0BED" w:rsidRPr="00EC61CE" w:rsidRDefault="00222BC5">
      <w:pPr>
        <w:tabs>
          <w:tab w:val="left" w:pos="709"/>
        </w:tabs>
        <w:spacing w:after="0" w:line="360" w:lineRule="auto"/>
        <w:ind w:left="567" w:right="560"/>
        <w:jc w:val="both"/>
        <w:rPr>
          <w:rFonts w:ascii="Palatino Linotype" w:eastAsia="Palatino Linotype" w:hAnsi="Palatino Linotype" w:cs="Palatino Linotype"/>
        </w:rPr>
      </w:pPr>
      <w:r w:rsidRPr="00EC61CE">
        <w:rPr>
          <w:rFonts w:ascii="Palatino Linotype" w:eastAsia="Palatino Linotype" w:hAnsi="Palatino Linotype" w:cs="Palatino Linotype"/>
          <w:b/>
        </w:rPr>
        <w:t>b)   Actividad Procesal del interesado</w:t>
      </w:r>
      <w:r w:rsidRPr="00EC61CE">
        <w:rPr>
          <w:rFonts w:ascii="Palatino Linotype" w:eastAsia="Palatino Linotype" w:hAnsi="Palatino Linotype" w:cs="Palatino Linotype"/>
        </w:rPr>
        <w:t>: Acciones u omisiones del interesado.</w:t>
      </w:r>
    </w:p>
    <w:p w14:paraId="5B153A58" w14:textId="77777777" w:rsidR="00CF0BED" w:rsidRPr="00EC61CE" w:rsidRDefault="00222BC5">
      <w:pPr>
        <w:tabs>
          <w:tab w:val="left" w:pos="851"/>
        </w:tabs>
        <w:spacing w:after="0" w:line="360" w:lineRule="auto"/>
        <w:ind w:left="567" w:right="560"/>
        <w:jc w:val="both"/>
        <w:rPr>
          <w:rFonts w:ascii="Palatino Linotype" w:eastAsia="Palatino Linotype" w:hAnsi="Palatino Linotype" w:cs="Palatino Linotype"/>
        </w:rPr>
      </w:pPr>
      <w:r w:rsidRPr="00EC61CE">
        <w:rPr>
          <w:rFonts w:ascii="Palatino Linotype" w:eastAsia="Palatino Linotype" w:hAnsi="Palatino Linotype" w:cs="Palatino Linotype"/>
          <w:b/>
        </w:rPr>
        <w:t>c)  Conducta de la Autoridad:</w:t>
      </w:r>
      <w:r w:rsidRPr="00EC61CE">
        <w:rPr>
          <w:rFonts w:ascii="Palatino Linotype" w:eastAsia="Palatino Linotype" w:hAnsi="Palatino Linotype" w:cs="Palatino Linotype"/>
        </w:rPr>
        <w:t xml:space="preserve"> Las Acciones u omisiones realizadas en el procedimiento. Así como si la autoridad actuó con la debida diligencia.</w:t>
      </w:r>
    </w:p>
    <w:p w14:paraId="586C271F" w14:textId="77777777" w:rsidR="00CF0BED" w:rsidRPr="00EC61CE" w:rsidRDefault="00222BC5">
      <w:pPr>
        <w:tabs>
          <w:tab w:val="left" w:pos="851"/>
        </w:tabs>
        <w:spacing w:after="0" w:line="360" w:lineRule="auto"/>
        <w:ind w:left="567" w:right="560"/>
        <w:jc w:val="both"/>
        <w:rPr>
          <w:rFonts w:ascii="Palatino Linotype" w:eastAsia="Palatino Linotype" w:hAnsi="Palatino Linotype" w:cs="Palatino Linotype"/>
        </w:rPr>
      </w:pPr>
      <w:r w:rsidRPr="00EC61CE">
        <w:rPr>
          <w:rFonts w:ascii="Palatino Linotype" w:eastAsia="Palatino Linotype" w:hAnsi="Palatino Linotype" w:cs="Palatino Linotype"/>
          <w:b/>
        </w:rPr>
        <w:t>d) La afectación generada en la situación jurídica de la persona involucrada en el proceso:</w:t>
      </w:r>
      <w:r w:rsidRPr="00EC61CE">
        <w:rPr>
          <w:rFonts w:ascii="Palatino Linotype" w:eastAsia="Palatino Linotype" w:hAnsi="Palatino Linotype" w:cs="Palatino Linotype"/>
        </w:rPr>
        <w:t xml:space="preserve"> Violación a sus derechos humanos.</w:t>
      </w:r>
    </w:p>
    <w:p w14:paraId="4825B258" w14:textId="77777777" w:rsidR="00CF0BED" w:rsidRPr="00EC61CE" w:rsidRDefault="00CF0BED">
      <w:pPr>
        <w:tabs>
          <w:tab w:val="left" w:pos="851"/>
        </w:tabs>
        <w:spacing w:after="0" w:line="360" w:lineRule="auto"/>
        <w:ind w:left="567" w:right="560"/>
        <w:jc w:val="both"/>
        <w:rPr>
          <w:rFonts w:ascii="Palatino Linotype" w:eastAsia="Palatino Linotype" w:hAnsi="Palatino Linotype" w:cs="Palatino Linotype"/>
        </w:rPr>
      </w:pPr>
    </w:p>
    <w:p w14:paraId="6937AAE4"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A3CD43"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Argumento que encuentra sustento en la jurisprudencia P./J. 32/92 emitida por el Pleno de la Suprema Corte de Justicia de la Nación de rubro “</w:t>
      </w:r>
      <w:r w:rsidRPr="00EC61CE">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EC61CE">
        <w:rPr>
          <w:rFonts w:ascii="Palatino Linotype" w:eastAsia="Palatino Linotype" w:hAnsi="Palatino Linotype" w:cs="Palatino Linotype"/>
        </w:rPr>
        <w:t>, visible en la Gaceta del Seminario Judicial de la Federación con el registro digital 205635.</w:t>
      </w:r>
    </w:p>
    <w:p w14:paraId="0206546B" w14:textId="77777777" w:rsidR="00CF0BED" w:rsidRPr="00EC61CE" w:rsidRDefault="00CF0BED">
      <w:pPr>
        <w:spacing w:after="0" w:line="360" w:lineRule="auto"/>
        <w:ind w:right="49"/>
        <w:jc w:val="both"/>
        <w:rPr>
          <w:rFonts w:ascii="Palatino Linotype" w:eastAsia="Palatino Linotype" w:hAnsi="Palatino Linotype" w:cs="Palatino Linotype"/>
        </w:rPr>
      </w:pPr>
    </w:p>
    <w:p w14:paraId="47E12E84"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C246CA" w14:textId="77777777" w:rsidR="00CF0BED" w:rsidRPr="00EC61CE" w:rsidRDefault="00CF0BED">
      <w:pPr>
        <w:spacing w:after="0" w:line="360" w:lineRule="auto"/>
        <w:ind w:right="49"/>
        <w:jc w:val="both"/>
        <w:rPr>
          <w:rFonts w:ascii="Palatino Linotype" w:eastAsia="Palatino Linotype" w:hAnsi="Palatino Linotype" w:cs="Palatino Linotype"/>
        </w:rPr>
      </w:pPr>
    </w:p>
    <w:p w14:paraId="4C226CC7"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FB3ED60" w14:textId="77777777" w:rsidR="00CF0BED" w:rsidRPr="00EC61CE" w:rsidRDefault="00CF0BED">
      <w:pPr>
        <w:spacing w:after="0" w:line="360" w:lineRule="auto"/>
        <w:ind w:right="49"/>
        <w:jc w:val="both"/>
        <w:rPr>
          <w:rFonts w:ascii="Palatino Linotype" w:eastAsia="Palatino Linotype" w:hAnsi="Palatino Linotype" w:cs="Palatino Linotype"/>
        </w:rPr>
      </w:pPr>
    </w:p>
    <w:p w14:paraId="14A668F9" w14:textId="77777777" w:rsidR="00CF0BED" w:rsidRPr="00EC61CE" w:rsidRDefault="00222BC5">
      <w:pPr>
        <w:spacing w:after="0"/>
        <w:ind w:left="851" w:right="616"/>
        <w:jc w:val="both"/>
        <w:rPr>
          <w:rFonts w:ascii="Palatino Linotype" w:eastAsia="Palatino Linotype" w:hAnsi="Palatino Linotype" w:cs="Palatino Linotype"/>
          <w:i/>
        </w:rPr>
      </w:pPr>
      <w:r w:rsidRPr="00EC61CE">
        <w:rPr>
          <w:rFonts w:ascii="Palatino Linotype" w:eastAsia="Palatino Linotype" w:hAnsi="Palatino Linotype" w:cs="Palatino Linotype"/>
          <w:b/>
          <w:i/>
        </w:rPr>
        <w:t>“PLAZO RAZONABLE PARA RESOLVER. DIMENSIÓN Y EFECTOS DE ESTE CONCEPTO CUANDO SE ADUCE EXCESIVA CARGA DE TRABAJO.”</w:t>
      </w:r>
      <w:r w:rsidRPr="00EC61CE">
        <w:rPr>
          <w:rFonts w:ascii="Palatino Linotype" w:eastAsia="Palatino Linotype" w:hAnsi="Palatino Linotype" w:cs="Palatino Linotype"/>
          <w:i/>
        </w:rPr>
        <w:t xml:space="preserve"> consultable en el Seminario Judicial de la Federación y su gaceta, con el registro digital 2002351.</w:t>
      </w:r>
    </w:p>
    <w:p w14:paraId="4F15DDEA" w14:textId="77777777" w:rsidR="00CF0BED" w:rsidRPr="00EC61CE" w:rsidRDefault="00222BC5">
      <w:pPr>
        <w:spacing w:after="0"/>
        <w:ind w:left="851" w:right="616"/>
        <w:jc w:val="both"/>
        <w:rPr>
          <w:rFonts w:ascii="Palatino Linotype" w:eastAsia="Palatino Linotype" w:hAnsi="Palatino Linotype" w:cs="Palatino Linotype"/>
        </w:rPr>
      </w:pPr>
      <w:r w:rsidRPr="00EC61CE">
        <w:rPr>
          <w:rFonts w:ascii="Palatino Linotype" w:eastAsia="Palatino Linotype" w:hAnsi="Palatino Linotype" w:cs="Palatino Linotype"/>
          <w:b/>
          <w:i/>
        </w:rPr>
        <w:t>“PLAZO RAZONABLE PARA RESOLVER. CONCEPTO Y ELEMENTOS QUE LO INTEGRAN A LA LUZ DEL DERECHO INTERNACIONAL DE LOS DERECHOS HUMANOS.”,</w:t>
      </w:r>
      <w:r w:rsidRPr="00EC61CE">
        <w:rPr>
          <w:rFonts w:ascii="Palatino Linotype" w:eastAsia="Palatino Linotype" w:hAnsi="Palatino Linotype" w:cs="Palatino Linotype"/>
          <w:i/>
        </w:rPr>
        <w:t xml:space="preserve"> visible en el Seminario Judicial de la Federación y su gaceta, con el registro digital 2002350</w:t>
      </w:r>
      <w:r w:rsidRPr="00EC61CE">
        <w:rPr>
          <w:rFonts w:ascii="Palatino Linotype" w:eastAsia="Palatino Linotype" w:hAnsi="Palatino Linotype" w:cs="Palatino Linotype"/>
        </w:rPr>
        <w:t>.</w:t>
      </w:r>
    </w:p>
    <w:p w14:paraId="14EF4276" w14:textId="77777777" w:rsidR="00CF0BED" w:rsidRPr="00EC61CE" w:rsidRDefault="00CF0BED">
      <w:pPr>
        <w:spacing w:after="0"/>
        <w:ind w:left="851" w:right="616"/>
        <w:jc w:val="both"/>
        <w:rPr>
          <w:rFonts w:ascii="Palatino Linotype" w:eastAsia="Palatino Linotype" w:hAnsi="Palatino Linotype" w:cs="Palatino Linotype"/>
        </w:rPr>
      </w:pPr>
    </w:p>
    <w:p w14:paraId="39D56449"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A751FEF" w14:textId="77777777" w:rsidR="00CF0BED" w:rsidRPr="00EC61CE" w:rsidRDefault="00CF0BED">
      <w:pPr>
        <w:spacing w:after="0" w:line="360" w:lineRule="auto"/>
        <w:jc w:val="both"/>
        <w:rPr>
          <w:rFonts w:ascii="Palatino Linotype" w:eastAsia="Palatino Linotype" w:hAnsi="Palatino Linotype" w:cs="Palatino Linotype"/>
        </w:rPr>
      </w:pPr>
    </w:p>
    <w:p w14:paraId="0A56DE62" w14:textId="77777777" w:rsidR="00CF0BED" w:rsidRPr="00EC61CE" w:rsidRDefault="00222BC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61CE">
        <w:rPr>
          <w:rFonts w:ascii="Palatino Linotype" w:eastAsia="Palatino Linotype" w:hAnsi="Palatino Linotype" w:cs="Palatino Linotype"/>
          <w:b/>
        </w:rPr>
        <w:t>Cierre de instrucción</w:t>
      </w:r>
      <w:r w:rsidRPr="00EC61CE">
        <w:rPr>
          <w:rFonts w:ascii="Palatino Linotype" w:eastAsia="Palatino Linotype" w:hAnsi="Palatino Linotype" w:cs="Palatino Linotype"/>
        </w:rPr>
        <w:t xml:space="preserve">. En fecha </w:t>
      </w:r>
      <w:r w:rsidRPr="00EC61CE">
        <w:rPr>
          <w:rFonts w:ascii="Palatino Linotype" w:eastAsia="Palatino Linotype" w:hAnsi="Palatino Linotype" w:cs="Palatino Linotype"/>
          <w:b/>
        </w:rPr>
        <w:t>siete de octubre de dos mil veinticinco</w:t>
      </w:r>
      <w:r w:rsidRPr="00EC61C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19DFED0" w14:textId="77777777" w:rsidR="00CF0BED" w:rsidRPr="00EC61CE" w:rsidRDefault="00CF0B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4547A7"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DDAC68F" w14:textId="77777777" w:rsidR="00CF0BED" w:rsidRPr="00EC61CE" w:rsidRDefault="00CF0BED">
      <w:pPr>
        <w:spacing w:after="0" w:line="360" w:lineRule="auto"/>
        <w:ind w:right="49"/>
        <w:jc w:val="both"/>
        <w:rPr>
          <w:rFonts w:ascii="Palatino Linotype" w:eastAsia="Palatino Linotype" w:hAnsi="Palatino Linotype" w:cs="Palatino Linotype"/>
        </w:rPr>
      </w:pPr>
    </w:p>
    <w:p w14:paraId="3D001D36" w14:textId="77777777" w:rsidR="00CF0BED" w:rsidRPr="00EC61CE" w:rsidRDefault="00222BC5">
      <w:pPr>
        <w:spacing w:after="0" w:line="360" w:lineRule="auto"/>
        <w:ind w:right="49"/>
        <w:jc w:val="center"/>
        <w:rPr>
          <w:rFonts w:ascii="Palatino Linotype" w:eastAsia="Palatino Linotype" w:hAnsi="Palatino Linotype" w:cs="Palatino Linotype"/>
          <w:b/>
        </w:rPr>
      </w:pPr>
      <w:r w:rsidRPr="00EC61CE">
        <w:rPr>
          <w:rFonts w:ascii="Palatino Linotype" w:eastAsia="Palatino Linotype" w:hAnsi="Palatino Linotype" w:cs="Palatino Linotype"/>
          <w:b/>
        </w:rPr>
        <w:t>II.</w:t>
      </w:r>
      <w:r w:rsidRPr="00EC61CE">
        <w:rPr>
          <w:rFonts w:ascii="Palatino Linotype" w:eastAsia="Palatino Linotype" w:hAnsi="Palatino Linotype" w:cs="Palatino Linotype"/>
          <w:b/>
        </w:rPr>
        <w:tab/>
        <w:t>C O N S I D E R A N D O:</w:t>
      </w:r>
    </w:p>
    <w:p w14:paraId="486D8279" w14:textId="77777777" w:rsidR="00CF0BED" w:rsidRPr="00EC61CE" w:rsidRDefault="00CF0BED">
      <w:pPr>
        <w:spacing w:after="0" w:line="360" w:lineRule="auto"/>
        <w:ind w:right="49"/>
        <w:jc w:val="both"/>
        <w:rPr>
          <w:rFonts w:ascii="Palatino Linotype" w:eastAsia="Palatino Linotype" w:hAnsi="Palatino Linotype" w:cs="Palatino Linotype"/>
        </w:rPr>
      </w:pPr>
    </w:p>
    <w:p w14:paraId="2C333E57"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Primero. Competencia. </w:t>
      </w:r>
      <w:r w:rsidRPr="00EC61CE">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EB560A" w14:textId="77777777" w:rsidR="00CF0BED" w:rsidRPr="00EC61CE" w:rsidRDefault="00CF0BED">
      <w:pPr>
        <w:spacing w:after="0" w:line="360" w:lineRule="auto"/>
        <w:ind w:right="49"/>
        <w:jc w:val="both"/>
        <w:rPr>
          <w:rFonts w:ascii="Palatino Linotype" w:eastAsia="Palatino Linotype" w:hAnsi="Palatino Linotype" w:cs="Palatino Linotype"/>
        </w:rPr>
      </w:pPr>
    </w:p>
    <w:p w14:paraId="13508D96"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Segundo. Oportunidad y </w:t>
      </w:r>
      <w:proofErr w:type="spellStart"/>
      <w:r w:rsidRPr="00EC61CE">
        <w:rPr>
          <w:rFonts w:ascii="Palatino Linotype" w:eastAsia="Palatino Linotype" w:hAnsi="Palatino Linotype" w:cs="Palatino Linotype"/>
          <w:b/>
        </w:rPr>
        <w:t>Procedibilidad</w:t>
      </w:r>
      <w:proofErr w:type="spellEnd"/>
      <w:r w:rsidRPr="00EC61CE">
        <w:rPr>
          <w:rFonts w:ascii="Palatino Linotype" w:eastAsia="Palatino Linotype" w:hAnsi="Palatino Linotype" w:cs="Palatino Linotype"/>
          <w:b/>
        </w:rPr>
        <w:t xml:space="preserve"> del Recurso de Revisión.</w:t>
      </w:r>
      <w:r w:rsidRPr="00EC61CE">
        <w:rPr>
          <w:rFonts w:ascii="Palatino Linotype" w:eastAsia="Palatino Linotype" w:hAnsi="Palatino Linotype" w:cs="Palatino Linotype"/>
        </w:rPr>
        <w:t xml:space="preserve"> Previo al estudio del fondo del asunto, se procede a analizar los requisitos de oportunidad y </w:t>
      </w:r>
      <w:proofErr w:type="spellStart"/>
      <w:r w:rsidRPr="00EC61CE">
        <w:rPr>
          <w:rFonts w:ascii="Palatino Linotype" w:eastAsia="Palatino Linotype" w:hAnsi="Palatino Linotype" w:cs="Palatino Linotype"/>
        </w:rPr>
        <w:t>procedibilidad</w:t>
      </w:r>
      <w:proofErr w:type="spellEnd"/>
      <w:r w:rsidRPr="00EC61CE">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w:t>
      </w:r>
    </w:p>
    <w:p w14:paraId="14545FB4" w14:textId="77777777" w:rsidR="00CF0BED" w:rsidRPr="00EC61CE" w:rsidRDefault="00CF0BED">
      <w:pPr>
        <w:spacing w:after="0" w:line="360" w:lineRule="auto"/>
        <w:ind w:right="49"/>
        <w:jc w:val="both"/>
        <w:rPr>
          <w:rFonts w:ascii="Palatino Linotype" w:eastAsia="Palatino Linotype" w:hAnsi="Palatino Linotype" w:cs="Palatino Linotype"/>
        </w:rPr>
      </w:pPr>
    </w:p>
    <w:p w14:paraId="03E83650"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remitió la respuesta a la solicitud de información el </w:t>
      </w:r>
      <w:r w:rsidRPr="00EC61CE">
        <w:rPr>
          <w:rFonts w:ascii="Palatino Linotype" w:eastAsia="Palatino Linotype" w:hAnsi="Palatino Linotype" w:cs="Palatino Linotype"/>
          <w:b/>
        </w:rPr>
        <w:t>treinta de junio de dos mil veinticinco</w:t>
      </w:r>
      <w:r w:rsidRPr="00EC61CE">
        <w:rPr>
          <w:rFonts w:ascii="Palatino Linotype" w:eastAsia="Palatino Linotype" w:hAnsi="Palatino Linotype" w:cs="Palatino Linotype"/>
        </w:rPr>
        <w:t xml:space="preserve">, mientras que el recurso de revisión interpuesto por la parte </w:t>
      </w:r>
      <w:r w:rsidRPr="00EC61CE">
        <w:rPr>
          <w:rFonts w:ascii="Palatino Linotype" w:eastAsia="Palatino Linotype" w:hAnsi="Palatino Linotype" w:cs="Palatino Linotype"/>
          <w:b/>
        </w:rPr>
        <w:t xml:space="preserve">Recurrente </w:t>
      </w:r>
      <w:r w:rsidRPr="00EC61CE">
        <w:rPr>
          <w:rFonts w:ascii="Palatino Linotype" w:eastAsia="Palatino Linotype" w:hAnsi="Palatino Linotype" w:cs="Palatino Linotype"/>
        </w:rPr>
        <w:t xml:space="preserve">se tuvo por presentado el </w:t>
      </w:r>
      <w:r w:rsidRPr="00EC61CE">
        <w:rPr>
          <w:rFonts w:ascii="Palatino Linotype" w:eastAsia="Palatino Linotype" w:hAnsi="Palatino Linotype" w:cs="Palatino Linotype"/>
          <w:b/>
        </w:rPr>
        <w:t>primero de julio de dos mil veinticinco</w:t>
      </w:r>
      <w:r w:rsidRPr="00EC61CE">
        <w:rPr>
          <w:rFonts w:ascii="Palatino Linotype" w:eastAsia="Palatino Linotype" w:hAnsi="Palatino Linotype" w:cs="Palatino Linotype"/>
        </w:rPr>
        <w:t>, esto es al primer día hábil en que se tuvo conocimiento de la respuesta.</w:t>
      </w:r>
    </w:p>
    <w:p w14:paraId="7E785E32" w14:textId="77777777" w:rsidR="00CF0BED" w:rsidRPr="00EC61CE" w:rsidRDefault="00CF0BED">
      <w:pPr>
        <w:spacing w:after="0" w:line="360" w:lineRule="auto"/>
        <w:ind w:right="49"/>
        <w:jc w:val="both"/>
        <w:rPr>
          <w:rFonts w:ascii="Palatino Linotype" w:eastAsia="Palatino Linotype" w:hAnsi="Palatino Linotype" w:cs="Palatino Linotype"/>
        </w:rPr>
      </w:pPr>
    </w:p>
    <w:p w14:paraId="6AC29AC6"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Es de suma importancia mencionar que, si bien,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no proporcionó un nombre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B88C73" w14:textId="77777777" w:rsidR="00CF0BED" w:rsidRPr="00EC61CE" w:rsidRDefault="00CF0BED">
      <w:pPr>
        <w:spacing w:after="0"/>
        <w:ind w:left="851" w:right="843"/>
        <w:jc w:val="both"/>
        <w:rPr>
          <w:rFonts w:ascii="Palatino Linotype" w:eastAsia="Palatino Linotype" w:hAnsi="Palatino Linotype" w:cs="Palatino Linotype"/>
          <w:i/>
        </w:rPr>
      </w:pPr>
    </w:p>
    <w:p w14:paraId="30F0EE8C"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5FC3160" w14:textId="77777777" w:rsidR="00CF0BED" w:rsidRPr="00EC61CE" w:rsidRDefault="00CF0BED">
      <w:pPr>
        <w:spacing w:after="0" w:line="360" w:lineRule="auto"/>
        <w:ind w:right="49"/>
        <w:jc w:val="both"/>
        <w:rPr>
          <w:rFonts w:ascii="Palatino Linotype" w:eastAsia="Palatino Linotype" w:hAnsi="Palatino Linotype" w:cs="Palatino Linotype"/>
        </w:rPr>
      </w:pPr>
    </w:p>
    <w:p w14:paraId="56FEF269"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C61CE">
        <w:rPr>
          <w:rFonts w:ascii="Palatino Linotype" w:eastAsia="Palatino Linotype" w:hAnsi="Palatino Linotype" w:cs="Palatino Linotype"/>
          <w:b/>
        </w:rPr>
        <w:t>SAIMEX</w:t>
      </w:r>
      <w:r w:rsidRPr="00EC61CE">
        <w:rPr>
          <w:rFonts w:ascii="Palatino Linotype" w:eastAsia="Palatino Linotype" w:hAnsi="Palatino Linotype" w:cs="Palatino Linotype"/>
        </w:rPr>
        <w:t xml:space="preserve">.  </w:t>
      </w:r>
    </w:p>
    <w:p w14:paraId="0DA68B60" w14:textId="77777777" w:rsidR="00CF0BED" w:rsidRPr="00EC61CE" w:rsidRDefault="00CF0BED">
      <w:pPr>
        <w:spacing w:after="0" w:line="360" w:lineRule="auto"/>
        <w:ind w:right="49"/>
        <w:jc w:val="both"/>
        <w:rPr>
          <w:rFonts w:ascii="Palatino Linotype" w:eastAsia="Palatino Linotype" w:hAnsi="Palatino Linotype" w:cs="Palatino Linotype"/>
        </w:rPr>
      </w:pPr>
    </w:p>
    <w:p w14:paraId="493DA490"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V de la Ley de la materia, que a la letra dice:</w:t>
      </w:r>
    </w:p>
    <w:p w14:paraId="5CDEF51D" w14:textId="77777777" w:rsidR="00CF0BED" w:rsidRPr="00EC61CE" w:rsidRDefault="00CF0BED">
      <w:pPr>
        <w:spacing w:after="0"/>
        <w:ind w:left="567" w:right="560"/>
        <w:jc w:val="both"/>
        <w:rPr>
          <w:rFonts w:ascii="Palatino Linotype" w:eastAsia="Palatino Linotype" w:hAnsi="Palatino Linotype" w:cs="Palatino Linotype"/>
          <w:i/>
        </w:rPr>
      </w:pPr>
    </w:p>
    <w:p w14:paraId="706E3A57"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Artículo 179.</w:t>
      </w:r>
      <w:r w:rsidRPr="00EC61C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FC10F85"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3C7D3B2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V. La entrega de información incompleta;</w:t>
      </w:r>
    </w:p>
    <w:p w14:paraId="2B533F34"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33AC8748" w14:textId="77777777" w:rsidR="00CF0BED" w:rsidRPr="00EC61CE" w:rsidRDefault="00CF0BED">
      <w:pPr>
        <w:spacing w:after="0" w:line="360" w:lineRule="auto"/>
        <w:ind w:left="567" w:right="560"/>
        <w:jc w:val="both"/>
        <w:rPr>
          <w:rFonts w:ascii="Palatino Linotype" w:eastAsia="Palatino Linotype" w:hAnsi="Palatino Linotype" w:cs="Palatino Linotype"/>
          <w:i/>
        </w:rPr>
      </w:pPr>
    </w:p>
    <w:p w14:paraId="7CCEA361"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b/>
        </w:rPr>
        <w:t>Tercero. Materia de la revisión</w:t>
      </w:r>
      <w:r w:rsidRPr="00EC61CE">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V del artículo 179 de la Ley en la materia. </w:t>
      </w:r>
    </w:p>
    <w:p w14:paraId="1E5EB25B" w14:textId="77777777" w:rsidR="00CF0BED" w:rsidRPr="00EC61CE" w:rsidRDefault="00CF0BED">
      <w:pPr>
        <w:spacing w:after="0" w:line="360" w:lineRule="auto"/>
        <w:ind w:right="49"/>
        <w:jc w:val="both"/>
        <w:rPr>
          <w:rFonts w:ascii="Palatino Linotype" w:eastAsia="Palatino Linotype" w:hAnsi="Palatino Linotype" w:cs="Palatino Linotype"/>
        </w:rPr>
      </w:pPr>
    </w:p>
    <w:p w14:paraId="31ED191D"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b/>
        </w:rPr>
        <w:t>Cuarto.</w:t>
      </w:r>
      <w:r w:rsidRPr="00EC61CE">
        <w:rPr>
          <w:rFonts w:ascii="Palatino Linotype" w:eastAsia="Palatino Linotype" w:hAnsi="Palatino Linotype" w:cs="Palatino Linotype"/>
        </w:rPr>
        <w:t xml:space="preserve"> </w:t>
      </w:r>
      <w:r w:rsidRPr="00EC61CE">
        <w:rPr>
          <w:rFonts w:ascii="Palatino Linotype" w:eastAsia="Palatino Linotype" w:hAnsi="Palatino Linotype" w:cs="Palatino Linotype"/>
          <w:b/>
        </w:rPr>
        <w:t>Estudio de fondo del asunto.</w:t>
      </w:r>
      <w:r w:rsidRPr="00EC61CE">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FE92F05" w14:textId="77777777" w:rsidR="00CF0BED" w:rsidRPr="00EC61CE" w:rsidRDefault="00CF0BED">
      <w:pPr>
        <w:spacing w:after="0"/>
        <w:ind w:left="567" w:right="560"/>
        <w:jc w:val="both"/>
        <w:rPr>
          <w:rFonts w:ascii="Palatino Linotype" w:eastAsia="Palatino Linotype" w:hAnsi="Palatino Linotype" w:cs="Palatino Linotype"/>
          <w:i/>
        </w:rPr>
      </w:pPr>
    </w:p>
    <w:p w14:paraId="5FBDC993" w14:textId="77777777" w:rsidR="00CF0BED" w:rsidRPr="00EC61CE" w:rsidRDefault="00222BC5">
      <w:pPr>
        <w:spacing w:after="0"/>
        <w:ind w:left="851" w:right="560"/>
        <w:jc w:val="both"/>
        <w:rPr>
          <w:rFonts w:ascii="Palatino Linotype" w:eastAsia="Palatino Linotype" w:hAnsi="Palatino Linotype" w:cs="Palatino Linotype"/>
          <w:i/>
        </w:rPr>
      </w:pPr>
      <w:r w:rsidRPr="00EC61CE">
        <w:rPr>
          <w:rFonts w:ascii="Palatino Linotype" w:eastAsia="Palatino Linotype" w:hAnsi="Palatino Linotype" w:cs="Palatino Linotype"/>
          <w:b/>
          <w:i/>
        </w:rPr>
        <w:t>Artículo 1o.</w:t>
      </w:r>
      <w:r w:rsidRPr="00EC61CE">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EB08DD" w14:textId="77777777" w:rsidR="00CF0BED" w:rsidRPr="00EC61CE" w:rsidRDefault="00222BC5">
      <w:pPr>
        <w:spacing w:after="0"/>
        <w:ind w:left="851" w:right="560"/>
        <w:jc w:val="both"/>
        <w:rPr>
          <w:rFonts w:ascii="Palatino Linotype" w:eastAsia="Palatino Linotype" w:hAnsi="Palatino Linotype" w:cs="Palatino Linotype"/>
          <w:i/>
        </w:rPr>
      </w:pPr>
      <w:r w:rsidRPr="00EC61C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9BFAE72" w14:textId="77777777" w:rsidR="00CF0BED" w:rsidRPr="00EC61CE" w:rsidRDefault="00222BC5">
      <w:pPr>
        <w:spacing w:after="0"/>
        <w:ind w:left="851" w:right="560"/>
        <w:jc w:val="both"/>
        <w:rPr>
          <w:rFonts w:ascii="Palatino Linotype" w:eastAsia="Palatino Linotype" w:hAnsi="Palatino Linotype" w:cs="Palatino Linotype"/>
          <w:i/>
        </w:rPr>
      </w:pPr>
      <w:r w:rsidRPr="00EC61C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9943309" w14:textId="77777777" w:rsidR="00CF0BED" w:rsidRPr="00EC61CE" w:rsidRDefault="00222BC5">
      <w:pPr>
        <w:spacing w:after="0"/>
        <w:ind w:left="851" w:right="560"/>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4576E87D" w14:textId="77777777" w:rsidR="00CF0BED" w:rsidRPr="00EC61CE" w:rsidRDefault="00222BC5">
      <w:pPr>
        <w:spacing w:after="0"/>
        <w:ind w:left="851" w:right="560"/>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“Artículo 6o.</w:t>
      </w:r>
    </w:p>
    <w:p w14:paraId="7DC1E5F0" w14:textId="77777777" w:rsidR="00CF0BED" w:rsidRPr="00EC61CE" w:rsidRDefault="00222BC5">
      <w:pPr>
        <w:spacing w:after="0"/>
        <w:ind w:left="851" w:right="560"/>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129F22EC"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rPr>
      </w:pPr>
      <w:r w:rsidRPr="00EC61CE">
        <w:rPr>
          <w:rFonts w:ascii="Palatino Linotype" w:eastAsia="Palatino Linotype" w:hAnsi="Palatino Linotype" w:cs="Palatino Linotype"/>
          <w:b/>
          <w:i/>
        </w:rPr>
        <w:t xml:space="preserve">A. Para el ejercicio del derecho de acceso a la información, la Federación y </w:t>
      </w:r>
      <w:r w:rsidRPr="00EC61CE">
        <w:rPr>
          <w:rFonts w:ascii="Palatino Linotype" w:eastAsia="Palatino Linotype" w:hAnsi="Palatino Linotype" w:cs="Palatino Linotype"/>
          <w:b/>
          <w:i/>
          <w:u w:val="single"/>
        </w:rPr>
        <w:t>las entidades federativas</w:t>
      </w:r>
      <w:r w:rsidRPr="00EC61CE">
        <w:rPr>
          <w:rFonts w:ascii="Palatino Linotype" w:eastAsia="Palatino Linotype" w:hAnsi="Palatino Linotype" w:cs="Palatino Linotype"/>
          <w:b/>
          <w:i/>
        </w:rPr>
        <w:t>,</w:t>
      </w:r>
      <w:r w:rsidRPr="00EC61CE">
        <w:rPr>
          <w:rFonts w:ascii="Palatino Linotype" w:eastAsia="Palatino Linotype" w:hAnsi="Palatino Linotype" w:cs="Palatino Linotype"/>
          <w:i/>
        </w:rPr>
        <w:t xml:space="preserve"> en el ámbito de sus respectivas competencias, se regirán por los siguientes principios y bases:</w:t>
      </w:r>
    </w:p>
    <w:p w14:paraId="7E0B7F96"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rPr>
      </w:pPr>
      <w:r w:rsidRPr="00EC61CE">
        <w:rPr>
          <w:rFonts w:ascii="Palatino Linotype" w:eastAsia="Palatino Linotype" w:hAnsi="Palatino Linotype" w:cs="Palatino Linotype"/>
          <w:i/>
        </w:rPr>
        <w:t> </w:t>
      </w:r>
      <w:r w:rsidRPr="00EC61CE">
        <w:rPr>
          <w:rFonts w:ascii="Palatino Linotype" w:eastAsia="Palatino Linotype" w:hAnsi="Palatino Linotype" w:cs="Palatino Linotype"/>
          <w:b/>
          <w:i/>
        </w:rPr>
        <w:t xml:space="preserve">I. </w:t>
      </w:r>
      <w:r w:rsidRPr="00EC61CE">
        <w:rPr>
          <w:rFonts w:ascii="Palatino Linotype" w:eastAsia="Palatino Linotype" w:hAnsi="Palatino Linotype" w:cs="Palatino Linotype"/>
          <w:b/>
          <w:i/>
          <w:u w:val="single"/>
        </w:rPr>
        <w:t>Toda la información en posesión de cualquier autoridad, entidad, órgano y organismo de los Poderes</w:t>
      </w:r>
      <w:r w:rsidRPr="00EC61CE">
        <w:rPr>
          <w:rFonts w:ascii="Palatino Linotype" w:eastAsia="Palatino Linotype" w:hAnsi="Palatino Linotype" w:cs="Palatino Linotype"/>
          <w:i/>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C61CE">
        <w:rPr>
          <w:rFonts w:ascii="Palatino Linotype" w:eastAsia="Palatino Linotype" w:hAnsi="Palatino Linotype" w:cs="Palatino Linotype"/>
          <w:b/>
          <w:i/>
        </w:rPr>
        <w:t>es pública y sólo podrá ser reservada temporalmente por razones de interés público y seguridad nacional,</w:t>
      </w:r>
      <w:r w:rsidRPr="00EC61C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2AA51D"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w:t>
      </w:r>
      <w:r w:rsidRPr="00EC61CE">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w:t>
      </w:r>
      <w:r w:rsidRPr="00EC61CE">
        <w:rPr>
          <w:rFonts w:ascii="Palatino Linotype" w:eastAsia="Palatino Linotype" w:hAnsi="Palatino Linotype" w:cs="Palatino Linotype"/>
          <w:i/>
        </w:rPr>
        <w:t>Para tal efecto, los sujetos obligados contarán con las facultades suficientes para su atención.</w:t>
      </w:r>
    </w:p>
    <w:p w14:paraId="710D1AAE"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1EC57A8D"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rPr>
      </w:pPr>
      <w:r w:rsidRPr="00EC61CE">
        <w:rPr>
          <w:rFonts w:ascii="Palatino Linotype" w:eastAsia="Palatino Linotype" w:hAnsi="Palatino Linotype" w:cs="Palatino Linotype"/>
          <w:i/>
        </w:rPr>
        <w:t> </w:t>
      </w:r>
      <w:r w:rsidRPr="00EC61CE">
        <w:rPr>
          <w:rFonts w:ascii="Palatino Linotype" w:eastAsia="Palatino Linotype" w:hAnsi="Palatino Linotype" w:cs="Palatino Linotype"/>
          <w:b/>
          <w:i/>
        </w:rPr>
        <w:t xml:space="preserve">III. </w:t>
      </w:r>
      <w:r w:rsidRPr="00EC61C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EC61CE">
        <w:rPr>
          <w:rFonts w:ascii="Palatino Linotype" w:eastAsia="Palatino Linotype" w:hAnsi="Palatino Linotype" w:cs="Palatino Linotype"/>
          <w:i/>
        </w:rPr>
        <w:t xml:space="preserve"> a sus datos personales o a la rectificación de éstos.</w:t>
      </w:r>
    </w:p>
    <w:p w14:paraId="18FB3816"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rPr>
      </w:pPr>
      <w:r w:rsidRPr="00EC61CE">
        <w:rPr>
          <w:rFonts w:ascii="Palatino Linotype" w:eastAsia="Palatino Linotype" w:hAnsi="Palatino Linotype" w:cs="Palatino Linotype"/>
          <w:i/>
        </w:rPr>
        <w:t> </w:t>
      </w:r>
      <w:r w:rsidRPr="00EC61CE">
        <w:rPr>
          <w:rFonts w:ascii="Palatino Linotype" w:eastAsia="Palatino Linotype" w:hAnsi="Palatino Linotype" w:cs="Palatino Linotype"/>
          <w:b/>
          <w:i/>
        </w:rPr>
        <w:t xml:space="preserve">IV. </w:t>
      </w:r>
      <w:r w:rsidRPr="00EC61CE">
        <w:rPr>
          <w:rFonts w:ascii="Palatino Linotype" w:eastAsia="Palatino Linotype" w:hAnsi="Palatino Linotype" w:cs="Palatino Linotype"/>
          <w:i/>
        </w:rPr>
        <w:t>Se establecerán mecanismos de acceso a la información y procedimientos de revisión expeditos que se sustanciarán ante las instancias competentes en los términos que fija esta Constitución y las leyes.</w:t>
      </w:r>
      <w:r w:rsidRPr="00EC61CE">
        <w:rPr>
          <w:rFonts w:ascii="Palatino Linotype" w:eastAsia="Palatino Linotype" w:hAnsi="Palatino Linotype" w:cs="Palatino Linotype"/>
          <w:i/>
        </w:rPr>
        <w:br/>
      </w:r>
      <w:r w:rsidRPr="00EC61CE">
        <w:rPr>
          <w:rFonts w:ascii="Palatino Linotype" w:eastAsia="Palatino Linotype" w:hAnsi="Palatino Linotype" w:cs="Palatino Linotype"/>
          <w:b/>
          <w:i/>
        </w:rPr>
        <w:t xml:space="preserve">V. </w:t>
      </w:r>
      <w:r w:rsidRPr="00EC61C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8A354B1" w14:textId="77777777" w:rsidR="00CF0BED" w:rsidRPr="00EC61CE" w:rsidRDefault="00222BC5">
      <w:pPr>
        <w:pBdr>
          <w:top w:val="nil"/>
          <w:left w:val="nil"/>
          <w:bottom w:val="nil"/>
          <w:right w:val="nil"/>
          <w:between w:val="nil"/>
        </w:pBdr>
        <w:spacing w:after="0"/>
        <w:ind w:left="851" w:right="851"/>
        <w:jc w:val="both"/>
        <w:rPr>
          <w:rFonts w:ascii="Palatino Linotype" w:eastAsia="Palatino Linotype" w:hAnsi="Palatino Linotype" w:cs="Palatino Linotype"/>
        </w:rPr>
      </w:pPr>
      <w:r w:rsidRPr="00EC61CE">
        <w:rPr>
          <w:rFonts w:ascii="Palatino Linotype" w:eastAsia="Palatino Linotype" w:hAnsi="Palatino Linotype" w:cs="Palatino Linotype"/>
          <w:i/>
        </w:rPr>
        <w:t> </w:t>
      </w:r>
      <w:r w:rsidRPr="00EC61CE">
        <w:rPr>
          <w:rFonts w:ascii="Palatino Linotype" w:eastAsia="Palatino Linotype" w:hAnsi="Palatino Linotype" w:cs="Palatino Linotype"/>
          <w:b/>
          <w:i/>
        </w:rPr>
        <w:t xml:space="preserve">VI. </w:t>
      </w:r>
      <w:r w:rsidRPr="00EC61C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CF50D0D" w14:textId="77777777" w:rsidR="00CF0BED" w:rsidRPr="00EC61CE" w:rsidRDefault="00222BC5">
      <w:pPr>
        <w:spacing w:after="0"/>
        <w:ind w:left="851" w:right="560"/>
        <w:jc w:val="both"/>
        <w:rPr>
          <w:rFonts w:ascii="Palatino Linotype" w:eastAsia="Palatino Linotype" w:hAnsi="Palatino Linotype" w:cs="Palatino Linotype"/>
          <w:i/>
        </w:rPr>
      </w:pPr>
      <w:r w:rsidRPr="00EC61CE">
        <w:rPr>
          <w:rFonts w:ascii="Palatino Linotype" w:eastAsia="Palatino Linotype" w:hAnsi="Palatino Linotype" w:cs="Palatino Linotype"/>
          <w:i/>
        </w:rPr>
        <w:t> </w:t>
      </w:r>
      <w:r w:rsidRPr="00EC61CE">
        <w:rPr>
          <w:rFonts w:ascii="Palatino Linotype" w:eastAsia="Palatino Linotype" w:hAnsi="Palatino Linotype" w:cs="Palatino Linotype"/>
          <w:b/>
          <w:i/>
        </w:rPr>
        <w:t xml:space="preserve">VII. </w:t>
      </w:r>
      <w:r w:rsidRPr="00EC61CE">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50028436" w14:textId="77777777" w:rsidR="00CF0BED" w:rsidRPr="00EC61CE" w:rsidRDefault="00CF0BED">
      <w:pPr>
        <w:spacing w:after="0"/>
        <w:ind w:left="567" w:right="560"/>
        <w:jc w:val="both"/>
        <w:rPr>
          <w:rFonts w:ascii="Palatino Linotype" w:eastAsia="Palatino Linotype" w:hAnsi="Palatino Linotype" w:cs="Palatino Linotype"/>
          <w:i/>
        </w:rPr>
      </w:pPr>
    </w:p>
    <w:p w14:paraId="0B96F951"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E748E8" w14:textId="77777777" w:rsidR="00CF0BED" w:rsidRPr="00EC61CE" w:rsidRDefault="00CF0BED">
      <w:pPr>
        <w:spacing w:after="0" w:line="360" w:lineRule="auto"/>
        <w:ind w:right="49"/>
        <w:jc w:val="both"/>
        <w:rPr>
          <w:rFonts w:ascii="Palatino Linotype" w:eastAsia="Palatino Linotype" w:hAnsi="Palatino Linotype" w:cs="Palatino Linotype"/>
        </w:rPr>
      </w:pPr>
    </w:p>
    <w:p w14:paraId="78E4B3C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Artículo 4.</w:t>
      </w:r>
      <w:r w:rsidRPr="00EC61C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8D1249E"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76A714"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04F4707A" w14:textId="77777777" w:rsidR="00CF0BED" w:rsidRPr="00EC61CE" w:rsidRDefault="00CF0BED">
      <w:pPr>
        <w:spacing w:after="0" w:line="360" w:lineRule="auto"/>
        <w:ind w:left="567" w:right="560"/>
        <w:jc w:val="both"/>
        <w:rPr>
          <w:rFonts w:ascii="Palatino Linotype" w:eastAsia="Palatino Linotype" w:hAnsi="Palatino Linotype" w:cs="Palatino Linotype"/>
          <w:i/>
        </w:rPr>
      </w:pPr>
    </w:p>
    <w:p w14:paraId="308BB35D"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A6CD5B7" w14:textId="77777777" w:rsidR="00CF0BED" w:rsidRPr="00EC61CE" w:rsidRDefault="00CF0BED">
      <w:pPr>
        <w:spacing w:after="0" w:line="360" w:lineRule="auto"/>
        <w:ind w:right="49"/>
        <w:jc w:val="both"/>
        <w:rPr>
          <w:rFonts w:ascii="Palatino Linotype" w:eastAsia="Palatino Linotype" w:hAnsi="Palatino Linotype" w:cs="Palatino Linotype"/>
        </w:rPr>
      </w:pPr>
    </w:p>
    <w:p w14:paraId="3C4FD301"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Artículo 12.</w:t>
      </w:r>
      <w:r w:rsidRPr="00EC61C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D5E9B36"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1755C42" w14:textId="77777777" w:rsidR="00CF0BED" w:rsidRPr="00EC61CE" w:rsidRDefault="00CF0BED">
      <w:pPr>
        <w:spacing w:after="0" w:line="360" w:lineRule="auto"/>
        <w:ind w:right="49"/>
        <w:jc w:val="both"/>
        <w:rPr>
          <w:rFonts w:ascii="Palatino Linotype" w:eastAsia="Palatino Linotype" w:hAnsi="Palatino Linotype" w:cs="Palatino Linotype"/>
        </w:rPr>
      </w:pPr>
    </w:p>
    <w:p w14:paraId="5E610A32"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4BD0FF2C" w14:textId="77777777" w:rsidR="00CF0BED" w:rsidRPr="00EC61CE" w:rsidRDefault="00CF0BED">
      <w:pPr>
        <w:spacing w:after="0" w:line="360" w:lineRule="auto"/>
        <w:ind w:right="49"/>
        <w:jc w:val="both"/>
        <w:rPr>
          <w:rFonts w:ascii="Palatino Linotype" w:eastAsia="Palatino Linotype" w:hAnsi="Palatino Linotype" w:cs="Palatino Linotype"/>
        </w:rPr>
      </w:pPr>
    </w:p>
    <w:p w14:paraId="2BDA211D" w14:textId="77777777" w:rsidR="00CF0BED" w:rsidRPr="00EC61CE" w:rsidRDefault="00222BC5">
      <w:pPr>
        <w:spacing w:after="0"/>
        <w:ind w:left="851" w:right="843"/>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Criterio 03/17</w:t>
      </w:r>
    </w:p>
    <w:p w14:paraId="6A351F1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 xml:space="preserve">“NO EXISTE OBLIGACIÓN DE ELABORAR DOCUMENTOS AD HOC PARA ATENDER LAS SOLICITUDES DE ACCESO A LA INFORMACIÓN. </w:t>
      </w:r>
      <w:r w:rsidRPr="00EC61C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2F7839D" w14:textId="77777777" w:rsidR="00CF0BED" w:rsidRPr="00EC61CE" w:rsidRDefault="00CF0BED">
      <w:pPr>
        <w:spacing w:after="0" w:line="360" w:lineRule="auto"/>
        <w:ind w:left="567" w:right="560"/>
        <w:jc w:val="both"/>
        <w:rPr>
          <w:rFonts w:ascii="Palatino Linotype" w:eastAsia="Palatino Linotype" w:hAnsi="Palatino Linotype" w:cs="Palatino Linotype"/>
          <w:b/>
          <w:i/>
        </w:rPr>
      </w:pPr>
    </w:p>
    <w:p w14:paraId="3C80DCFA"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AA2C7A" w14:textId="77777777" w:rsidR="00CF0BED" w:rsidRPr="00EC61CE" w:rsidRDefault="00CF0BED">
      <w:pPr>
        <w:spacing w:after="0" w:line="360" w:lineRule="auto"/>
        <w:ind w:right="49"/>
        <w:jc w:val="both"/>
        <w:rPr>
          <w:rFonts w:ascii="Palatino Linotype" w:eastAsia="Palatino Linotype" w:hAnsi="Palatino Linotype" w:cs="Palatino Linotype"/>
        </w:rPr>
      </w:pPr>
    </w:p>
    <w:p w14:paraId="39790D00"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F49A2E" w14:textId="77777777" w:rsidR="00CF0BED" w:rsidRPr="00EC61CE" w:rsidRDefault="00CF0BED">
      <w:pPr>
        <w:spacing w:after="0" w:line="360" w:lineRule="auto"/>
        <w:ind w:right="49"/>
        <w:jc w:val="both"/>
        <w:rPr>
          <w:rFonts w:ascii="Palatino Linotype" w:eastAsia="Palatino Linotype" w:hAnsi="Palatino Linotype" w:cs="Palatino Linotype"/>
        </w:rPr>
      </w:pPr>
    </w:p>
    <w:p w14:paraId="09CBC71B"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A21BF7" w14:textId="77777777" w:rsidR="00CF0BED" w:rsidRPr="00EC61CE" w:rsidRDefault="00CF0BED">
      <w:pPr>
        <w:spacing w:after="0" w:line="360" w:lineRule="auto"/>
        <w:ind w:right="49"/>
        <w:jc w:val="both"/>
        <w:rPr>
          <w:rFonts w:ascii="Palatino Linotype" w:eastAsia="Palatino Linotype" w:hAnsi="Palatino Linotype" w:cs="Palatino Linotype"/>
        </w:rPr>
      </w:pPr>
    </w:p>
    <w:p w14:paraId="0B17C5A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Artículo 3.</w:t>
      </w:r>
      <w:r w:rsidRPr="00EC61CE">
        <w:rPr>
          <w:rFonts w:ascii="Palatino Linotype" w:eastAsia="Palatino Linotype" w:hAnsi="Palatino Linotype" w:cs="Palatino Linotype"/>
          <w:i/>
        </w:rPr>
        <w:t xml:space="preserve"> Para los efectos de la presente Ley se entenderá por:</w:t>
      </w:r>
    </w:p>
    <w:p w14:paraId="2A072363"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6EE566E0"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XI. Documento:</w:t>
      </w:r>
      <w:r w:rsidRPr="00EC61C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1A89E60" w14:textId="77777777" w:rsidR="00CF0BED" w:rsidRPr="00EC61CE" w:rsidRDefault="00CF0BED">
      <w:pPr>
        <w:spacing w:after="0" w:line="360" w:lineRule="auto"/>
        <w:ind w:right="49"/>
        <w:jc w:val="both"/>
        <w:rPr>
          <w:rFonts w:ascii="Palatino Linotype" w:eastAsia="Palatino Linotype" w:hAnsi="Palatino Linotype" w:cs="Palatino Linotype"/>
        </w:rPr>
      </w:pPr>
    </w:p>
    <w:p w14:paraId="6CD0C494"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125DC6" w14:textId="77777777" w:rsidR="00CF0BED" w:rsidRPr="00EC61CE" w:rsidRDefault="00CF0BED">
      <w:pPr>
        <w:spacing w:after="0" w:line="360" w:lineRule="auto"/>
        <w:ind w:right="49"/>
        <w:jc w:val="both"/>
        <w:rPr>
          <w:rFonts w:ascii="Palatino Linotype" w:eastAsia="Palatino Linotype" w:hAnsi="Palatino Linotype" w:cs="Palatino Linotype"/>
        </w:rPr>
      </w:pPr>
    </w:p>
    <w:p w14:paraId="7BA44014" w14:textId="77777777" w:rsidR="00CF0BED" w:rsidRPr="00EC61CE" w:rsidRDefault="00222BC5">
      <w:pPr>
        <w:spacing w:after="0"/>
        <w:ind w:left="851" w:right="843"/>
        <w:jc w:val="both"/>
        <w:rPr>
          <w:rFonts w:ascii="Palatino Linotype" w:eastAsia="Palatino Linotype" w:hAnsi="Palatino Linotype" w:cs="Palatino Linotype"/>
          <w:b/>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CRITERIO 0002-11</w:t>
      </w:r>
    </w:p>
    <w:p w14:paraId="673B4696"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C61C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0FC421"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En </w:t>
      </w:r>
      <w:proofErr w:type="gramStart"/>
      <w:r w:rsidRPr="00EC61CE">
        <w:rPr>
          <w:rFonts w:ascii="Palatino Linotype" w:eastAsia="Palatino Linotype" w:hAnsi="Palatino Linotype" w:cs="Palatino Linotype"/>
          <w:i/>
        </w:rPr>
        <w:t>consecuencia</w:t>
      </w:r>
      <w:proofErr w:type="gramEnd"/>
      <w:r w:rsidRPr="00EC61CE">
        <w:rPr>
          <w:rFonts w:ascii="Palatino Linotype" w:eastAsia="Palatino Linotype" w:hAnsi="Palatino Linotype" w:cs="Palatino Linotype"/>
          <w:i/>
        </w:rPr>
        <w:t xml:space="preserve"> el acceso a la información se refiere a que se cumplan cualquiera de los siguientes tres supuestos:</w:t>
      </w:r>
    </w:p>
    <w:p w14:paraId="3FE4057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1)</w:t>
      </w:r>
      <w:r w:rsidRPr="00EC61CE">
        <w:rPr>
          <w:rFonts w:ascii="Palatino Linotype" w:eastAsia="Palatino Linotype" w:hAnsi="Palatino Linotype" w:cs="Palatino Linotype"/>
          <w:i/>
        </w:rPr>
        <w:tab/>
        <w:t xml:space="preserve">Que se trate de información registrada en cualquier soporte documental, </w:t>
      </w:r>
      <w:proofErr w:type="gramStart"/>
      <w:r w:rsidRPr="00EC61CE">
        <w:rPr>
          <w:rFonts w:ascii="Palatino Linotype" w:eastAsia="Palatino Linotype" w:hAnsi="Palatino Linotype" w:cs="Palatino Linotype"/>
          <w:i/>
        </w:rPr>
        <w:t>que</w:t>
      </w:r>
      <w:proofErr w:type="gramEnd"/>
      <w:r w:rsidRPr="00EC61CE">
        <w:rPr>
          <w:rFonts w:ascii="Palatino Linotype" w:eastAsia="Palatino Linotype" w:hAnsi="Palatino Linotype" w:cs="Palatino Linotype"/>
          <w:i/>
        </w:rPr>
        <w:t xml:space="preserve"> en ejercicio de las atribuciones conferidas, sea generada por los Sujetos Obligados;</w:t>
      </w:r>
    </w:p>
    <w:p w14:paraId="29B1CFF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2)</w:t>
      </w:r>
      <w:r w:rsidRPr="00EC61CE">
        <w:rPr>
          <w:rFonts w:ascii="Palatino Linotype" w:eastAsia="Palatino Linotype" w:hAnsi="Palatino Linotype" w:cs="Palatino Linotype"/>
          <w:i/>
        </w:rPr>
        <w:tab/>
        <w:t xml:space="preserve">Que se trate de información registrada en cualquier soporte documental, </w:t>
      </w:r>
      <w:proofErr w:type="gramStart"/>
      <w:r w:rsidRPr="00EC61CE">
        <w:rPr>
          <w:rFonts w:ascii="Palatino Linotype" w:eastAsia="Palatino Linotype" w:hAnsi="Palatino Linotype" w:cs="Palatino Linotype"/>
          <w:i/>
        </w:rPr>
        <w:t>que</w:t>
      </w:r>
      <w:proofErr w:type="gramEnd"/>
      <w:r w:rsidRPr="00EC61CE">
        <w:rPr>
          <w:rFonts w:ascii="Palatino Linotype" w:eastAsia="Palatino Linotype" w:hAnsi="Palatino Linotype" w:cs="Palatino Linotype"/>
          <w:i/>
        </w:rPr>
        <w:t xml:space="preserve"> en ejercicio de las atribuciones conferidas, sea administrada por los Sujetos Obligados, y</w:t>
      </w:r>
    </w:p>
    <w:p w14:paraId="2584F421"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3) Que se trate de información registrada en cualquier soporte documental, </w:t>
      </w:r>
      <w:proofErr w:type="gramStart"/>
      <w:r w:rsidRPr="00EC61CE">
        <w:rPr>
          <w:rFonts w:ascii="Palatino Linotype" w:eastAsia="Palatino Linotype" w:hAnsi="Palatino Linotype" w:cs="Palatino Linotype"/>
          <w:i/>
        </w:rPr>
        <w:t>que</w:t>
      </w:r>
      <w:proofErr w:type="gramEnd"/>
      <w:r w:rsidRPr="00EC61CE">
        <w:rPr>
          <w:rFonts w:ascii="Palatino Linotype" w:eastAsia="Palatino Linotype" w:hAnsi="Palatino Linotype" w:cs="Palatino Linotype"/>
          <w:i/>
        </w:rPr>
        <w:t xml:space="preserve"> en ejercicio de las atribuciones conferidas, se encuentre en posesión de los Sujetos Obligados.” </w:t>
      </w:r>
    </w:p>
    <w:p w14:paraId="789659F2" w14:textId="77777777" w:rsidR="00CF0BED" w:rsidRPr="00EC61CE" w:rsidRDefault="00CF0BED">
      <w:pPr>
        <w:spacing w:after="0" w:line="360" w:lineRule="auto"/>
        <w:ind w:right="49"/>
        <w:jc w:val="both"/>
        <w:rPr>
          <w:rFonts w:ascii="Palatino Linotype" w:eastAsia="Palatino Linotype" w:hAnsi="Palatino Linotype" w:cs="Palatino Linotype"/>
        </w:rPr>
      </w:pPr>
    </w:p>
    <w:p w14:paraId="3B058F74"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5F5D1667" w14:textId="77777777" w:rsidR="00CF0BED" w:rsidRPr="00EC61CE" w:rsidRDefault="00CF0BED">
      <w:pPr>
        <w:spacing w:after="0" w:line="360" w:lineRule="auto"/>
        <w:ind w:right="49"/>
        <w:jc w:val="both"/>
        <w:rPr>
          <w:rFonts w:ascii="Palatino Linotype" w:eastAsia="Palatino Linotype" w:hAnsi="Palatino Linotype" w:cs="Palatino Linotype"/>
        </w:rPr>
      </w:pPr>
    </w:p>
    <w:p w14:paraId="11314F47"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De las actuaciones que integran el expediente electrónico, se procede al análisis de los agravios hechos valer por la parte Recurrente, relativos a la entrega de la información incompleta, lo que actualiza la causal de procedencia prevista en la fracción I del artículo 179 de la Ley de Transparencia y Acceso a la Información Pública del Estado de México y Municipios.</w:t>
      </w:r>
    </w:p>
    <w:p w14:paraId="2BBB12D0" w14:textId="77777777" w:rsidR="00CF0BED" w:rsidRPr="00EC61CE" w:rsidRDefault="00CF0BED">
      <w:pPr>
        <w:spacing w:after="0" w:line="360" w:lineRule="auto"/>
        <w:ind w:right="49"/>
        <w:jc w:val="both"/>
        <w:rPr>
          <w:rFonts w:ascii="Palatino Linotype" w:eastAsia="Palatino Linotype" w:hAnsi="Palatino Linotype" w:cs="Palatino Linotype"/>
        </w:rPr>
      </w:pPr>
    </w:p>
    <w:p w14:paraId="42CD7BFF" w14:textId="77777777" w:rsidR="00CF0BED" w:rsidRPr="00EC61CE" w:rsidRDefault="00222BC5">
      <w:pPr>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Para ello, en principio resulta recordar que la pretensión de la parte ahora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es obtener la siguiente información: </w:t>
      </w:r>
    </w:p>
    <w:p w14:paraId="601AB595" w14:textId="77777777" w:rsidR="00CF0BED" w:rsidRPr="00EC61CE" w:rsidRDefault="00CF0BED">
      <w:pPr>
        <w:spacing w:after="0" w:line="360" w:lineRule="auto"/>
        <w:ind w:right="49"/>
        <w:jc w:val="both"/>
        <w:rPr>
          <w:rFonts w:ascii="Palatino Linotype" w:eastAsia="Palatino Linotype" w:hAnsi="Palatino Linotype" w:cs="Palatino Linotype"/>
        </w:rPr>
      </w:pPr>
    </w:p>
    <w:p w14:paraId="7BB50E0F" w14:textId="77777777" w:rsidR="00CF0BED" w:rsidRPr="00EC61CE" w:rsidRDefault="00222BC5">
      <w:pPr>
        <w:numPr>
          <w:ilvl w:val="0"/>
          <w:numId w:val="8"/>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bookmarkStart w:id="3" w:name="_heading=h.36mivwq5au1s" w:colFirst="0" w:colLast="0"/>
      <w:bookmarkEnd w:id="3"/>
      <w:r w:rsidRPr="00EC61CE">
        <w:rPr>
          <w:rFonts w:ascii="Palatino Linotype" w:eastAsia="Palatino Linotype" w:hAnsi="Palatino Linotype" w:cs="Palatino Linotype"/>
          <w:b/>
        </w:rPr>
        <w:t xml:space="preserve">Bitácoras de gasolina, facturas y a quien servidores públicos y cuanto se les da. </w:t>
      </w:r>
    </w:p>
    <w:p w14:paraId="6BE95C18" w14:textId="77777777" w:rsidR="00CF0BED" w:rsidRPr="00EC61CE" w:rsidRDefault="00CF0BED">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27EEE4A" w14:textId="77777777" w:rsidR="00CF0BED" w:rsidRPr="00EC61CE" w:rsidRDefault="00222BC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En respuesta,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a través de la Tesorería Municipal informó la entrega de las facturas y bitácoras de gasolina que obran en los registros contables del mes de marzo de 2025, en versión pública. Asimismo, hizo del conocimiento que la versión pública fue aprobada en la Vigésima Quinta Sesión Extraordinaria del Comité de Transparencia llevada a cabo el día veinticinco de junio de dos mil veinticinco, en el acuerdo número ACT/ATLACOMULCO/EXT/CT/25ª/ACU-DÉCIMOPRIMERO/2025. </w:t>
      </w:r>
    </w:p>
    <w:p w14:paraId="0A888A8B" w14:textId="77777777" w:rsidR="00CF0BED" w:rsidRPr="00EC61CE" w:rsidRDefault="00CF0BED">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33379B23" w14:textId="77777777" w:rsidR="00CF0BED" w:rsidRPr="00EC61CE" w:rsidRDefault="00222BC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Adjuntando a su respuesta veintinueve facturas del mes de marzo de dos mil veinticinco, Cuarenta y tres Bitácoras de Consumo de Gasolina / Diésel, del mes de febrero de dos mil veinticinco y ciento catorce Bitácoras de Consumo de Gasolina / Diésel, del mes de marzo de dos mil veinticinco, en versión pública.</w:t>
      </w:r>
    </w:p>
    <w:p w14:paraId="774760BB" w14:textId="77777777" w:rsidR="00CF0BED" w:rsidRPr="00EC61CE" w:rsidRDefault="00CF0BED">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0856F008" w14:textId="77777777" w:rsidR="00CF0BED" w:rsidRPr="00EC61CE" w:rsidRDefault="00222BC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Derivado de lo anterior,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se inconformó arguyendo la entrega de información incompleta. </w:t>
      </w:r>
    </w:p>
    <w:p w14:paraId="0A430D65" w14:textId="77777777" w:rsidR="00CF0BED" w:rsidRPr="00EC61CE" w:rsidRDefault="00CF0BED">
      <w:pPr>
        <w:spacing w:after="0" w:line="360" w:lineRule="auto"/>
        <w:jc w:val="both"/>
        <w:rPr>
          <w:rFonts w:ascii="Palatino Linotype" w:eastAsia="Palatino Linotype" w:hAnsi="Palatino Linotype" w:cs="Palatino Linotype"/>
        </w:rPr>
      </w:pPr>
    </w:p>
    <w:p w14:paraId="49658ECB"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Es así que, el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no realizó manifestaciones, alegatos o pruebas que a su derecho convinieran y por su parte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en Informe Justificado medularmente ratificó la respuesta del Tesorero Municipal. </w:t>
      </w:r>
    </w:p>
    <w:p w14:paraId="5823D6F0" w14:textId="77777777" w:rsidR="00CF0BED" w:rsidRPr="00EC61CE" w:rsidRDefault="00CF0BED">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1F9A32E" w14:textId="77777777" w:rsidR="00CF0BED" w:rsidRPr="00EC61CE" w:rsidRDefault="00222BC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Expuesto lo anterior, este Organismo Garante considera oportuno puntualizar que de la solicitud de información no se advierte que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precisara temporalidad de la información solicitada, sin embargo de la revisión al expediente electrónico se advierte que,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se adolece de una entrega de información incompleta; por lo que se deduce que desea conocer información de la presente administración; por lo que, la temporalidad abarcada dentro del presente asunto será del primero de enero al veintinueve de mayo de dos mil veinticinco, fecha en la que se interpuso la presente solicitud. </w:t>
      </w:r>
    </w:p>
    <w:p w14:paraId="10F60E6E" w14:textId="77777777" w:rsidR="00CF0BED" w:rsidRPr="00EC61CE" w:rsidRDefault="00CF0BED">
      <w:pPr>
        <w:spacing w:after="0" w:line="360" w:lineRule="auto"/>
        <w:jc w:val="both"/>
        <w:rPr>
          <w:rFonts w:ascii="Palatino Linotype" w:eastAsia="Palatino Linotype" w:hAnsi="Palatino Linotype" w:cs="Palatino Linotype"/>
        </w:rPr>
      </w:pPr>
    </w:p>
    <w:p w14:paraId="4A944908"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Una vez expuestas las posturas de las partes, resulta necesario iniciar el presente análisis esquematizando las constancias vertidas a lo largo de la conformación del expediente electrónico en el siguiente esquema:</w:t>
      </w:r>
    </w:p>
    <w:p w14:paraId="35C2A527" w14:textId="77777777" w:rsidR="00CF0BED" w:rsidRPr="00EC61CE" w:rsidRDefault="00CF0BED">
      <w:pPr>
        <w:spacing w:after="0" w:line="360" w:lineRule="auto"/>
        <w:jc w:val="both"/>
        <w:rPr>
          <w:rFonts w:ascii="Palatino Linotype" w:eastAsia="Palatino Linotype" w:hAnsi="Palatino Linotype" w:cs="Palatino Linotype"/>
        </w:rPr>
      </w:pPr>
    </w:p>
    <w:tbl>
      <w:tblPr>
        <w:tblStyle w:val="a5"/>
        <w:tblW w:w="8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3394"/>
        <w:gridCol w:w="1134"/>
        <w:gridCol w:w="2985"/>
      </w:tblGrid>
      <w:tr w:rsidR="00EC61CE" w:rsidRPr="00EC61CE" w14:paraId="53CCD799" w14:textId="77777777">
        <w:trPr>
          <w:trHeight w:val="1174"/>
        </w:trPr>
        <w:tc>
          <w:tcPr>
            <w:tcW w:w="1421" w:type="dxa"/>
            <w:shd w:val="clear" w:color="auto" w:fill="DEEBF6"/>
          </w:tcPr>
          <w:p w14:paraId="07469C91" w14:textId="77777777" w:rsidR="00CF0BED" w:rsidRPr="00EC61CE" w:rsidRDefault="00222BC5">
            <w:pPr>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Solicitud</w:t>
            </w:r>
          </w:p>
        </w:tc>
        <w:tc>
          <w:tcPr>
            <w:tcW w:w="3394" w:type="dxa"/>
            <w:shd w:val="clear" w:color="auto" w:fill="DEEBF6"/>
          </w:tcPr>
          <w:p w14:paraId="3AF12085" w14:textId="77777777" w:rsidR="00CF0BED" w:rsidRPr="00EC61CE" w:rsidRDefault="00222BC5">
            <w:pPr>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Respuesta</w:t>
            </w:r>
          </w:p>
        </w:tc>
        <w:tc>
          <w:tcPr>
            <w:tcW w:w="1134" w:type="dxa"/>
            <w:shd w:val="clear" w:color="auto" w:fill="DEEBF6"/>
          </w:tcPr>
          <w:p w14:paraId="4F7970D9" w14:textId="77777777" w:rsidR="00CF0BED" w:rsidRPr="00EC61CE" w:rsidRDefault="00222BC5">
            <w:pPr>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Informe Justificado</w:t>
            </w:r>
          </w:p>
        </w:tc>
        <w:tc>
          <w:tcPr>
            <w:tcW w:w="2985" w:type="dxa"/>
            <w:shd w:val="clear" w:color="auto" w:fill="DEEBF6"/>
          </w:tcPr>
          <w:p w14:paraId="00EB0935" w14:textId="77777777" w:rsidR="00CF0BED" w:rsidRPr="00EC61CE" w:rsidRDefault="00222BC5">
            <w:pPr>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¿El pronunciamiento del Sujeto Obligado satisface el requerimiento de información?</w:t>
            </w:r>
          </w:p>
        </w:tc>
      </w:tr>
      <w:tr w:rsidR="00EC61CE" w:rsidRPr="00EC61CE" w14:paraId="328EDD31" w14:textId="77777777">
        <w:trPr>
          <w:trHeight w:val="1132"/>
        </w:trPr>
        <w:tc>
          <w:tcPr>
            <w:tcW w:w="1421" w:type="dxa"/>
          </w:tcPr>
          <w:p w14:paraId="7477DBE7" w14:textId="77777777" w:rsidR="00CF0BED" w:rsidRPr="00EC61CE" w:rsidRDefault="00222BC5">
            <w:pPr>
              <w:jc w:val="both"/>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1.</w:t>
            </w:r>
            <w:r w:rsidRPr="00EC61CE">
              <w:rPr>
                <w:rFonts w:ascii="Palatino Linotype" w:eastAsia="Palatino Linotype" w:hAnsi="Palatino Linotype" w:cs="Palatino Linotype"/>
                <w:sz w:val="20"/>
                <w:szCs w:val="20"/>
              </w:rPr>
              <w:t xml:space="preserve"> </w:t>
            </w:r>
            <w:r w:rsidRPr="00EC61CE">
              <w:rPr>
                <w:rFonts w:ascii="Palatino Linotype" w:eastAsia="Palatino Linotype" w:hAnsi="Palatino Linotype" w:cs="Palatino Linotype"/>
                <w:b/>
                <w:sz w:val="20"/>
                <w:szCs w:val="20"/>
              </w:rPr>
              <w:t>Bitácoras de gasolina y cuanto se les da</w:t>
            </w:r>
          </w:p>
        </w:tc>
        <w:tc>
          <w:tcPr>
            <w:tcW w:w="3394" w:type="dxa"/>
          </w:tcPr>
          <w:p w14:paraId="353C119F" w14:textId="77777777" w:rsidR="00CF0BED" w:rsidRPr="00EC61CE" w:rsidRDefault="00222BC5">
            <w:pPr>
              <w:jc w:val="both"/>
              <w:rPr>
                <w:rFonts w:ascii="Palatino Linotype" w:eastAsia="Palatino Linotype" w:hAnsi="Palatino Linotype" w:cs="Palatino Linotype"/>
                <w:sz w:val="20"/>
                <w:szCs w:val="20"/>
              </w:rPr>
            </w:pPr>
            <w:r w:rsidRPr="00EC61CE">
              <w:rPr>
                <w:rFonts w:ascii="Palatino Linotype" w:eastAsia="Palatino Linotype" w:hAnsi="Palatino Linotype" w:cs="Palatino Linotype"/>
                <w:sz w:val="20"/>
                <w:szCs w:val="20"/>
              </w:rPr>
              <w:t>La Tesorería Municipal hace entrega</w:t>
            </w:r>
            <w:r w:rsidRPr="00EC61CE">
              <w:rPr>
                <w:rFonts w:ascii="Palatino Linotype" w:eastAsia="Palatino Linotype" w:hAnsi="Palatino Linotype" w:cs="Palatino Linotype"/>
                <w:b/>
                <w:sz w:val="20"/>
                <w:szCs w:val="20"/>
              </w:rPr>
              <w:t xml:space="preserve"> </w:t>
            </w:r>
            <w:r w:rsidRPr="00EC61CE">
              <w:rPr>
                <w:rFonts w:ascii="Palatino Linotype" w:eastAsia="Palatino Linotype" w:hAnsi="Palatino Linotype" w:cs="Palatino Linotype"/>
                <w:sz w:val="20"/>
                <w:szCs w:val="20"/>
              </w:rPr>
              <w:t xml:space="preserve">de: </w:t>
            </w:r>
          </w:p>
          <w:p w14:paraId="5C7CDF65" w14:textId="77777777" w:rsidR="00CF0BED" w:rsidRPr="00EC61CE" w:rsidRDefault="00222BC5">
            <w:pPr>
              <w:numPr>
                <w:ilvl w:val="0"/>
                <w:numId w:val="5"/>
              </w:numPr>
              <w:pBdr>
                <w:top w:val="nil"/>
                <w:left w:val="nil"/>
                <w:bottom w:val="nil"/>
                <w:right w:val="nil"/>
                <w:between w:val="nil"/>
              </w:pBdr>
              <w:spacing w:line="276" w:lineRule="auto"/>
              <w:ind w:left="33" w:firstLine="0"/>
              <w:jc w:val="both"/>
              <w:rPr>
                <w:rFonts w:ascii="Palatino Linotype" w:eastAsia="Palatino Linotype" w:hAnsi="Palatino Linotype" w:cs="Palatino Linotype"/>
                <w:sz w:val="20"/>
                <w:szCs w:val="20"/>
              </w:rPr>
            </w:pPr>
            <w:r w:rsidRPr="00EC61CE">
              <w:rPr>
                <w:rFonts w:ascii="Palatino Linotype" w:eastAsia="Palatino Linotype" w:hAnsi="Palatino Linotype" w:cs="Palatino Linotype"/>
                <w:sz w:val="20"/>
                <w:szCs w:val="20"/>
              </w:rPr>
              <w:t xml:space="preserve">Cuarenta y tres Bitácoras de Consumo de Gasolina / Diésel, del mes de febrero de dos mil veinticinco, en versión pública. </w:t>
            </w:r>
          </w:p>
          <w:p w14:paraId="3D930F57" w14:textId="77777777" w:rsidR="00CF0BED" w:rsidRPr="00EC61CE" w:rsidRDefault="00222BC5">
            <w:pPr>
              <w:numPr>
                <w:ilvl w:val="0"/>
                <w:numId w:val="5"/>
              </w:numPr>
              <w:pBdr>
                <w:top w:val="nil"/>
                <w:left w:val="nil"/>
                <w:bottom w:val="nil"/>
                <w:right w:val="nil"/>
                <w:between w:val="nil"/>
              </w:pBdr>
              <w:spacing w:after="200" w:line="276" w:lineRule="auto"/>
              <w:ind w:left="33" w:firstLine="0"/>
              <w:jc w:val="both"/>
              <w:rPr>
                <w:rFonts w:ascii="Palatino Linotype" w:eastAsia="Palatino Linotype" w:hAnsi="Palatino Linotype" w:cs="Palatino Linotype"/>
                <w:sz w:val="20"/>
                <w:szCs w:val="20"/>
              </w:rPr>
            </w:pPr>
            <w:r w:rsidRPr="00EC61CE">
              <w:rPr>
                <w:rFonts w:ascii="Palatino Linotype" w:eastAsia="Palatino Linotype" w:hAnsi="Palatino Linotype" w:cs="Palatino Linotype"/>
                <w:sz w:val="20"/>
                <w:szCs w:val="20"/>
              </w:rPr>
              <w:t>Ciento catorce Bitácoras de Consumo de Gasolina / Diésel, del mes de marzo de dos mil veinticinco, en versión pública.</w:t>
            </w:r>
          </w:p>
        </w:tc>
        <w:tc>
          <w:tcPr>
            <w:tcW w:w="1134" w:type="dxa"/>
          </w:tcPr>
          <w:p w14:paraId="4DC05ACA" w14:textId="77777777" w:rsidR="00CF0BED" w:rsidRPr="00EC61CE" w:rsidRDefault="00222BC5">
            <w:pPr>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Ratifica la respuesta inicial</w:t>
            </w:r>
          </w:p>
        </w:tc>
        <w:tc>
          <w:tcPr>
            <w:tcW w:w="2985" w:type="dxa"/>
          </w:tcPr>
          <w:p w14:paraId="6767DD95" w14:textId="77777777" w:rsidR="00CF0BED" w:rsidRPr="00EC61CE" w:rsidRDefault="00222BC5">
            <w:pPr>
              <w:spacing w:line="360" w:lineRule="auto"/>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 xml:space="preserve">Parcialmente </w:t>
            </w:r>
          </w:p>
          <w:p w14:paraId="16AC940B" w14:textId="77777777" w:rsidR="00CF0BED" w:rsidRPr="00EC61CE" w:rsidRDefault="00222BC5">
            <w:pPr>
              <w:spacing w:line="276" w:lineRule="auto"/>
              <w:jc w:val="both"/>
              <w:rPr>
                <w:rFonts w:ascii="Palatino Linotype" w:eastAsia="Palatino Linotype" w:hAnsi="Palatino Linotype" w:cs="Palatino Linotype"/>
                <w:sz w:val="20"/>
                <w:szCs w:val="20"/>
              </w:rPr>
            </w:pPr>
            <w:r w:rsidRPr="00EC61CE">
              <w:rPr>
                <w:rFonts w:ascii="Palatino Linotype" w:eastAsia="Palatino Linotype" w:hAnsi="Palatino Linotype" w:cs="Palatino Linotype"/>
                <w:sz w:val="20"/>
                <w:szCs w:val="20"/>
              </w:rPr>
              <w:t xml:space="preserve">El acuerdo que da sustento a la versión pública no se encuentra debidamente fundado y motivado, aunado a que se testa información que se considera pública. </w:t>
            </w:r>
          </w:p>
          <w:p w14:paraId="75B82796" w14:textId="77777777" w:rsidR="00CF0BED" w:rsidRPr="00EC61CE" w:rsidRDefault="00222BC5">
            <w:pPr>
              <w:spacing w:line="276" w:lineRule="auto"/>
              <w:jc w:val="both"/>
              <w:rPr>
                <w:rFonts w:ascii="Palatino Linotype" w:eastAsia="Palatino Linotype" w:hAnsi="Palatino Linotype" w:cs="Palatino Linotype"/>
                <w:sz w:val="20"/>
                <w:szCs w:val="20"/>
              </w:rPr>
            </w:pPr>
            <w:r w:rsidRPr="00EC61CE">
              <w:rPr>
                <w:rFonts w:ascii="Palatino Linotype" w:eastAsia="Palatino Linotype" w:hAnsi="Palatino Linotype" w:cs="Palatino Linotype"/>
                <w:sz w:val="20"/>
                <w:szCs w:val="20"/>
              </w:rPr>
              <w:t xml:space="preserve">Aunado a que falta un pronunciamiento de las bitácoras de combustible de los meses de enero, abril y del primero al veintinueve de mayo de dos mil veinticinco. </w:t>
            </w:r>
          </w:p>
          <w:p w14:paraId="34D38B2C" w14:textId="77777777" w:rsidR="00CF0BED" w:rsidRPr="00EC61CE" w:rsidRDefault="00222BC5">
            <w:pPr>
              <w:spacing w:line="276" w:lineRule="auto"/>
              <w:jc w:val="both"/>
              <w:rPr>
                <w:rFonts w:ascii="Palatino Linotype" w:eastAsia="Palatino Linotype" w:hAnsi="Palatino Linotype" w:cs="Palatino Linotype"/>
                <w:b/>
                <w:sz w:val="20"/>
                <w:szCs w:val="20"/>
              </w:rPr>
            </w:pPr>
            <w:r w:rsidRPr="00EC61CE">
              <w:rPr>
                <w:rFonts w:ascii="Palatino Linotype" w:eastAsia="Palatino Linotype" w:hAnsi="Palatino Linotype" w:cs="Palatino Linotype"/>
                <w:sz w:val="20"/>
                <w:szCs w:val="20"/>
              </w:rPr>
              <w:t xml:space="preserve">Respecto al dato referente a </w:t>
            </w:r>
            <w:r w:rsidRPr="00EC61CE">
              <w:rPr>
                <w:rFonts w:ascii="Palatino Linotype" w:eastAsia="Palatino Linotype" w:hAnsi="Palatino Linotype" w:cs="Palatino Linotype"/>
                <w:i/>
                <w:sz w:val="20"/>
                <w:szCs w:val="20"/>
              </w:rPr>
              <w:t>“cuanto se les da”</w:t>
            </w:r>
            <w:r w:rsidRPr="00EC61CE">
              <w:rPr>
                <w:rFonts w:ascii="Palatino Linotype" w:eastAsia="Palatino Linotype" w:hAnsi="Palatino Linotype" w:cs="Palatino Linotype"/>
                <w:sz w:val="20"/>
                <w:szCs w:val="20"/>
              </w:rPr>
              <w:t xml:space="preserve">, este dato se puede advertir de la misma bitácora. </w:t>
            </w:r>
          </w:p>
        </w:tc>
      </w:tr>
      <w:tr w:rsidR="00EC61CE" w:rsidRPr="00EC61CE" w14:paraId="0BFDBD3A" w14:textId="77777777">
        <w:trPr>
          <w:trHeight w:val="608"/>
        </w:trPr>
        <w:tc>
          <w:tcPr>
            <w:tcW w:w="1421" w:type="dxa"/>
          </w:tcPr>
          <w:p w14:paraId="2DC88236" w14:textId="77777777" w:rsidR="00CF0BED" w:rsidRPr="00EC61CE" w:rsidRDefault="00222BC5">
            <w:pPr>
              <w:jc w:val="both"/>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Facturas</w:t>
            </w:r>
          </w:p>
        </w:tc>
        <w:tc>
          <w:tcPr>
            <w:tcW w:w="3394" w:type="dxa"/>
          </w:tcPr>
          <w:p w14:paraId="00380A31" w14:textId="77777777" w:rsidR="00CF0BED" w:rsidRPr="00EC61CE" w:rsidRDefault="00222BC5">
            <w:pPr>
              <w:jc w:val="both"/>
              <w:rPr>
                <w:rFonts w:ascii="Palatino Linotype" w:eastAsia="Palatino Linotype" w:hAnsi="Palatino Linotype" w:cs="Palatino Linotype"/>
                <w:b/>
                <w:sz w:val="20"/>
                <w:szCs w:val="20"/>
              </w:rPr>
            </w:pPr>
            <w:r w:rsidRPr="00EC61CE">
              <w:rPr>
                <w:rFonts w:ascii="Palatino Linotype" w:eastAsia="Palatino Linotype" w:hAnsi="Palatino Linotype" w:cs="Palatino Linotype"/>
                <w:sz w:val="20"/>
                <w:szCs w:val="20"/>
              </w:rPr>
              <w:t>La Tesorería Municipal hace entrega</w:t>
            </w:r>
            <w:r w:rsidRPr="00EC61CE">
              <w:rPr>
                <w:rFonts w:ascii="Palatino Linotype" w:eastAsia="Palatino Linotype" w:hAnsi="Palatino Linotype" w:cs="Palatino Linotype"/>
                <w:b/>
                <w:sz w:val="20"/>
                <w:szCs w:val="20"/>
              </w:rPr>
              <w:t xml:space="preserve"> </w:t>
            </w:r>
            <w:r w:rsidRPr="00EC61CE">
              <w:rPr>
                <w:rFonts w:ascii="Palatino Linotype" w:eastAsia="Palatino Linotype" w:hAnsi="Palatino Linotype" w:cs="Palatino Linotype"/>
                <w:sz w:val="20"/>
                <w:szCs w:val="20"/>
              </w:rPr>
              <w:t xml:space="preserve">de las facturas por el pago de combustible, correspondientes al mes de febrero y marzo de dos mil veinticinco, en versión íntegra. </w:t>
            </w:r>
          </w:p>
        </w:tc>
        <w:tc>
          <w:tcPr>
            <w:tcW w:w="1134" w:type="dxa"/>
          </w:tcPr>
          <w:p w14:paraId="00EBB29A" w14:textId="77777777" w:rsidR="00CF0BED" w:rsidRPr="00EC61CE" w:rsidRDefault="00222BC5">
            <w:pPr>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Ratifica la respuesta inicial</w:t>
            </w:r>
          </w:p>
        </w:tc>
        <w:tc>
          <w:tcPr>
            <w:tcW w:w="2985" w:type="dxa"/>
          </w:tcPr>
          <w:p w14:paraId="6D2F6548" w14:textId="77777777" w:rsidR="00CF0BED" w:rsidRPr="00EC61CE" w:rsidRDefault="00222BC5">
            <w:pPr>
              <w:spacing w:line="276" w:lineRule="auto"/>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 xml:space="preserve">Parcialmente  </w:t>
            </w:r>
          </w:p>
          <w:p w14:paraId="4E4D713B" w14:textId="77777777" w:rsidR="00CF0BED" w:rsidRPr="00EC61CE" w:rsidRDefault="00222BC5">
            <w:pPr>
              <w:jc w:val="both"/>
              <w:rPr>
                <w:rFonts w:ascii="Palatino Linotype" w:eastAsia="Palatino Linotype" w:hAnsi="Palatino Linotype" w:cs="Palatino Linotype"/>
                <w:sz w:val="20"/>
                <w:szCs w:val="20"/>
              </w:rPr>
            </w:pPr>
            <w:r w:rsidRPr="00EC61CE">
              <w:rPr>
                <w:rFonts w:ascii="Palatino Linotype" w:eastAsia="Palatino Linotype" w:hAnsi="Palatino Linotype" w:cs="Palatino Linotype"/>
                <w:sz w:val="20"/>
                <w:szCs w:val="20"/>
              </w:rPr>
              <w:t>Si bien el Sujeto Obligado hace entrega de las facturas obtenidas únicamente del mes de febrero y marzo, lo cierto es que faltó pronunciamiento respecto a las facturas de los meses de enero, abril y del primero al veintinueve de mayo de dos mil veinticinco.</w:t>
            </w:r>
          </w:p>
        </w:tc>
      </w:tr>
      <w:tr w:rsidR="00EC61CE" w:rsidRPr="00EC61CE" w14:paraId="72FCDB1E" w14:textId="77777777">
        <w:trPr>
          <w:trHeight w:val="1387"/>
        </w:trPr>
        <w:tc>
          <w:tcPr>
            <w:tcW w:w="1421" w:type="dxa"/>
          </w:tcPr>
          <w:p w14:paraId="205116EA" w14:textId="77777777" w:rsidR="00CF0BED" w:rsidRPr="00EC61CE" w:rsidRDefault="00222BC5">
            <w:pPr>
              <w:jc w:val="both"/>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A quien servidores públicos se les da</w:t>
            </w:r>
          </w:p>
        </w:tc>
        <w:tc>
          <w:tcPr>
            <w:tcW w:w="3394" w:type="dxa"/>
          </w:tcPr>
          <w:p w14:paraId="61E8D55D" w14:textId="77777777" w:rsidR="00CF0BED" w:rsidRPr="00EC61CE" w:rsidRDefault="00222BC5">
            <w:pPr>
              <w:jc w:val="both"/>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 xml:space="preserve">No emitió pronunciamiento alguno. </w:t>
            </w:r>
          </w:p>
        </w:tc>
        <w:tc>
          <w:tcPr>
            <w:tcW w:w="1134" w:type="dxa"/>
          </w:tcPr>
          <w:p w14:paraId="3C4E4021" w14:textId="77777777" w:rsidR="00CF0BED" w:rsidRPr="00EC61CE" w:rsidRDefault="00CF0BED">
            <w:pPr>
              <w:jc w:val="center"/>
              <w:rPr>
                <w:rFonts w:ascii="Palatino Linotype" w:eastAsia="Palatino Linotype" w:hAnsi="Palatino Linotype" w:cs="Palatino Linotype"/>
                <w:b/>
                <w:sz w:val="20"/>
                <w:szCs w:val="20"/>
              </w:rPr>
            </w:pPr>
          </w:p>
        </w:tc>
        <w:tc>
          <w:tcPr>
            <w:tcW w:w="2985" w:type="dxa"/>
          </w:tcPr>
          <w:p w14:paraId="20FF08AF" w14:textId="77777777" w:rsidR="00CF0BED" w:rsidRPr="00EC61CE" w:rsidRDefault="00222BC5">
            <w:pPr>
              <w:spacing w:line="360" w:lineRule="auto"/>
              <w:jc w:val="center"/>
              <w:rPr>
                <w:rFonts w:ascii="Palatino Linotype" w:eastAsia="Palatino Linotype" w:hAnsi="Palatino Linotype" w:cs="Palatino Linotype"/>
                <w:b/>
                <w:sz w:val="20"/>
                <w:szCs w:val="20"/>
              </w:rPr>
            </w:pPr>
            <w:r w:rsidRPr="00EC61CE">
              <w:rPr>
                <w:rFonts w:ascii="Palatino Linotype" w:eastAsia="Palatino Linotype" w:hAnsi="Palatino Linotype" w:cs="Palatino Linotype"/>
                <w:b/>
                <w:sz w:val="20"/>
                <w:szCs w:val="20"/>
              </w:rPr>
              <w:t xml:space="preserve">No </w:t>
            </w:r>
          </w:p>
        </w:tc>
      </w:tr>
    </w:tbl>
    <w:p w14:paraId="696EFAEB" w14:textId="77777777" w:rsidR="00CF0BED" w:rsidRPr="00EC61CE" w:rsidRDefault="00CF0BED">
      <w:pPr>
        <w:spacing w:after="0" w:line="360" w:lineRule="auto"/>
        <w:jc w:val="both"/>
        <w:rPr>
          <w:rFonts w:ascii="Palatino Linotype" w:eastAsia="Palatino Linotype" w:hAnsi="Palatino Linotype" w:cs="Palatino Linotype"/>
        </w:rPr>
      </w:pPr>
    </w:p>
    <w:p w14:paraId="619CEE4C"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Del cuadro previamente insertado, se aprecia que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atendió parcialmente la solicitud de información, toda vez que proporcionó las facturas en versión íntegra emitidas por la adquisición del combustible de los meses de febrero y marzo, no obstante faltaron las correspondientes a los meses de enero, abril y mayo; del mismo modo, tocante a las bitácoras de gasolina, se aprecia que si bien estos fueron proporcionados en versión pública, como se detallará en líneas subsecuentes, el acuerdo emitido por el Comité de Transparencia carece de la debida fundamentación y motivación, aunado a que se advierte que faltan bitácoras de los meses de enero, abril y mayo; y finalmente respecto a los servidores públicos a los que se les da combustible,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omitió realizar algún pronunciamiento al respecto. </w:t>
      </w:r>
    </w:p>
    <w:p w14:paraId="5C6ECD26" w14:textId="77777777" w:rsidR="00CF0BED" w:rsidRPr="00EC61CE" w:rsidRDefault="00CF0BED">
      <w:pPr>
        <w:spacing w:after="0" w:line="360" w:lineRule="auto"/>
        <w:jc w:val="both"/>
        <w:rPr>
          <w:rFonts w:ascii="Palatino Linotype" w:eastAsia="Palatino Linotype" w:hAnsi="Palatino Linotype" w:cs="Palatino Linotype"/>
        </w:rPr>
      </w:pPr>
    </w:p>
    <w:p w14:paraId="21C10818"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Acotado lo anterior, por lo que hace a </w:t>
      </w:r>
      <w:r w:rsidRPr="00EC61CE">
        <w:rPr>
          <w:rFonts w:ascii="Palatino Linotype" w:eastAsia="Palatino Linotype" w:hAnsi="Palatino Linotype" w:cs="Palatino Linotype"/>
          <w:b/>
          <w:i/>
        </w:rPr>
        <w:t>las bitácoras de gasolina</w:t>
      </w:r>
      <w:r w:rsidRPr="00EC61CE">
        <w:rPr>
          <w:rFonts w:ascii="Palatino Linotype" w:eastAsia="Palatino Linotype" w:hAnsi="Palatino Linotype" w:cs="Palatino Linotype"/>
        </w:rPr>
        <w:t xml:space="preserve">, es de recordar que el </w:t>
      </w:r>
      <w:r w:rsidRPr="00EC61CE">
        <w:rPr>
          <w:rFonts w:ascii="Palatino Linotype" w:eastAsia="Palatino Linotype" w:hAnsi="Palatino Linotype" w:cs="Palatino Linotype"/>
          <w:b/>
        </w:rPr>
        <w:t xml:space="preserve">Sujeto Obligado </w:t>
      </w:r>
      <w:r w:rsidRPr="00EC61CE">
        <w:rPr>
          <w:rFonts w:ascii="Palatino Linotype" w:eastAsia="Palatino Linotype" w:hAnsi="Palatino Linotype" w:cs="Palatino Linotype"/>
        </w:rPr>
        <w:t>en respuesta hizo entrega de ciento cincuenta y siete bitácoras de consumo de Gasolina / Diésel, de los meses de febrero y marzo de dos mil veinticinco, en versión pública, aprobada mediante acuerdo número ACT/ATLACOMULCO/EXT/CT/25ª/ACU-DÉCIMOPRIMERO/2025 del Acta de la Vigésima Quinta Sesión Extraordinaria del Comité de Transparencia celebrada el veinticinco de junio de dos mil veinticinco, tal y como se muestra a continuación :</w:t>
      </w:r>
    </w:p>
    <w:p w14:paraId="056039AB" w14:textId="77777777" w:rsidR="00CF0BED" w:rsidRPr="00EC61CE" w:rsidRDefault="00CF0BED">
      <w:pPr>
        <w:spacing w:after="0" w:line="360" w:lineRule="auto"/>
        <w:jc w:val="both"/>
        <w:rPr>
          <w:rFonts w:ascii="Palatino Linotype" w:eastAsia="Palatino Linotype" w:hAnsi="Palatino Linotype" w:cs="Palatino Linotype"/>
        </w:rPr>
      </w:pPr>
    </w:p>
    <w:p w14:paraId="57910A65" w14:textId="77777777" w:rsidR="00CF0BED" w:rsidRPr="00EC61CE" w:rsidRDefault="00222BC5">
      <w:pPr>
        <w:spacing w:after="0" w:line="360" w:lineRule="auto"/>
        <w:jc w:val="center"/>
        <w:rPr>
          <w:rFonts w:ascii="Palatino Linotype" w:eastAsia="Palatino Linotype" w:hAnsi="Palatino Linotype" w:cs="Palatino Linotype"/>
        </w:rPr>
      </w:pPr>
      <w:r w:rsidRPr="00EC61CE">
        <w:rPr>
          <w:rFonts w:ascii="Palatino Linotype" w:eastAsia="Palatino Linotype" w:hAnsi="Palatino Linotype" w:cs="Palatino Linotype"/>
          <w:noProof/>
        </w:rPr>
        <w:drawing>
          <wp:inline distT="0" distB="0" distL="0" distR="0" wp14:anchorId="678C8A2F" wp14:editId="159E1DFE">
            <wp:extent cx="4723513" cy="1383445"/>
            <wp:effectExtent l="0" t="0" r="0" b="0"/>
            <wp:docPr id="11379242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723513" cy="1383445"/>
                    </a:xfrm>
                    <a:prstGeom prst="rect">
                      <a:avLst/>
                    </a:prstGeom>
                    <a:ln/>
                  </pic:spPr>
                </pic:pic>
              </a:graphicData>
            </a:graphic>
          </wp:inline>
        </w:drawing>
      </w:r>
    </w:p>
    <w:p w14:paraId="7248A426" w14:textId="77777777" w:rsidR="00CF0BED" w:rsidRPr="00EC61CE" w:rsidRDefault="00222BC5">
      <w:pPr>
        <w:spacing w:after="0" w:line="360" w:lineRule="auto"/>
        <w:jc w:val="center"/>
        <w:rPr>
          <w:rFonts w:ascii="Palatino Linotype" w:eastAsia="Palatino Linotype" w:hAnsi="Palatino Linotype" w:cs="Palatino Linotype"/>
        </w:rPr>
      </w:pPr>
      <w:r w:rsidRPr="00EC61CE">
        <w:rPr>
          <w:rFonts w:ascii="Palatino Linotype" w:eastAsia="Palatino Linotype" w:hAnsi="Palatino Linotype" w:cs="Palatino Linotype"/>
        </w:rPr>
        <w:t>…</w:t>
      </w:r>
    </w:p>
    <w:p w14:paraId="67CE2F60" w14:textId="77777777" w:rsidR="00CF0BED" w:rsidRPr="00EC61CE" w:rsidRDefault="00222BC5">
      <w:pPr>
        <w:spacing w:after="0" w:line="360" w:lineRule="auto"/>
        <w:jc w:val="center"/>
        <w:rPr>
          <w:rFonts w:ascii="Palatino Linotype" w:eastAsia="Palatino Linotype" w:hAnsi="Palatino Linotype" w:cs="Palatino Linotype"/>
        </w:rPr>
      </w:pPr>
      <w:r w:rsidRPr="00EC61CE">
        <w:rPr>
          <w:rFonts w:ascii="Palatino Linotype" w:eastAsia="Palatino Linotype" w:hAnsi="Palatino Linotype" w:cs="Palatino Linotype"/>
          <w:noProof/>
        </w:rPr>
        <w:drawing>
          <wp:inline distT="0" distB="0" distL="0" distR="0" wp14:anchorId="6DF168D8" wp14:editId="615022EC">
            <wp:extent cx="4727872" cy="2121153"/>
            <wp:effectExtent l="0" t="0" r="0" b="0"/>
            <wp:docPr id="11379242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727872" cy="2121153"/>
                    </a:xfrm>
                    <a:prstGeom prst="rect">
                      <a:avLst/>
                    </a:prstGeom>
                    <a:ln/>
                  </pic:spPr>
                </pic:pic>
              </a:graphicData>
            </a:graphic>
          </wp:inline>
        </w:drawing>
      </w:r>
    </w:p>
    <w:p w14:paraId="6BFC7387" w14:textId="77777777" w:rsidR="00CF0BED" w:rsidRPr="00EC61CE" w:rsidRDefault="00CF0BED">
      <w:pPr>
        <w:spacing w:after="0" w:line="360" w:lineRule="auto"/>
        <w:jc w:val="both"/>
        <w:rPr>
          <w:rFonts w:ascii="Palatino Linotype" w:eastAsia="Palatino Linotype" w:hAnsi="Palatino Linotype" w:cs="Palatino Linotype"/>
        </w:rPr>
      </w:pPr>
    </w:p>
    <w:p w14:paraId="4EE8F355"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Para tal efecto, observamos que los datos clasificados corresponden al número de unidad, placas, número de serie, marca, modelo, color de los vehículos que se encuentran comodato, y para las unidades del Departamento de Tránsito Municipal, se clasificó el número de serie y las observaciones, por lo cual, se procede al análisis de los datos clasificados para determinar si esta se realizó de manera correcta: </w:t>
      </w:r>
    </w:p>
    <w:p w14:paraId="59CBF64B" w14:textId="77777777" w:rsidR="00CF0BED" w:rsidRPr="00EC61CE" w:rsidRDefault="00CF0BED">
      <w:pPr>
        <w:spacing w:after="0" w:line="360" w:lineRule="auto"/>
        <w:jc w:val="both"/>
        <w:rPr>
          <w:rFonts w:ascii="Palatino Linotype" w:eastAsia="Palatino Linotype" w:hAnsi="Palatino Linotype" w:cs="Palatino Linotype"/>
        </w:rPr>
      </w:pPr>
    </w:p>
    <w:p w14:paraId="00B4831A"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Para ello conviene señalar que, para los datos relacionados a los bienes en comodato, resulta de vital importancia analizar en primer término, la figura jurídica del comodato, la cual se encuentra regulada en el Título Séptimo del Código Civil del Estado de México, en los términos siguientes:</w:t>
      </w:r>
    </w:p>
    <w:p w14:paraId="2816267B"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“TITULO SEPTIMO </w:t>
      </w:r>
    </w:p>
    <w:p w14:paraId="74CF12B3"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Del Comodato </w:t>
      </w:r>
    </w:p>
    <w:p w14:paraId="470D5673"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Elementos personales del comodato </w:t>
      </w:r>
    </w:p>
    <w:p w14:paraId="65BA4DEB"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i/>
        </w:rPr>
        <w:t xml:space="preserve">Artículo 7.721.- </w:t>
      </w:r>
      <w:r w:rsidRPr="00EC61CE">
        <w:rPr>
          <w:rFonts w:ascii="Palatino Linotype" w:eastAsia="Palatino Linotype" w:hAnsi="Palatino Linotype" w:cs="Palatino Linotype"/>
          <w:b/>
          <w:i/>
        </w:rPr>
        <w:t xml:space="preserve">El comodato </w:t>
      </w:r>
      <w:r w:rsidRPr="00EC61CE">
        <w:rPr>
          <w:rFonts w:ascii="Palatino Linotype" w:eastAsia="Palatino Linotype" w:hAnsi="Palatino Linotype" w:cs="Palatino Linotype"/>
          <w:b/>
          <w:i/>
          <w:u w:val="single"/>
        </w:rPr>
        <w:t>es un contrato por el cual uno de los contratantes concede gratuitamente el uso de un bien, y el otro contrae la obligación de restituirlo individualmente.</w:t>
      </w:r>
      <w:r w:rsidRPr="00EC61CE">
        <w:rPr>
          <w:rFonts w:ascii="Palatino Linotype" w:eastAsia="Palatino Linotype" w:hAnsi="Palatino Linotype" w:cs="Palatino Linotype"/>
          <w:b/>
          <w:i/>
        </w:rPr>
        <w:t xml:space="preserve"> </w:t>
      </w:r>
    </w:p>
    <w:p w14:paraId="374C2FE6"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Elemento formal del comodato </w:t>
      </w:r>
    </w:p>
    <w:p w14:paraId="00D66A3E" w14:textId="77777777" w:rsidR="00CF0BED" w:rsidRPr="00EC61CE" w:rsidRDefault="00222BC5">
      <w:pPr>
        <w:spacing w:after="0"/>
        <w:ind w:left="851" w:right="851"/>
        <w:jc w:val="both"/>
        <w:rPr>
          <w:rFonts w:ascii="Palatino Linotype" w:eastAsia="Palatino Linotype" w:hAnsi="Palatino Linotype" w:cs="Palatino Linotype"/>
          <w:b/>
          <w:i/>
          <w:u w:val="single"/>
        </w:rPr>
      </w:pPr>
      <w:r w:rsidRPr="00EC61CE">
        <w:rPr>
          <w:rFonts w:ascii="Palatino Linotype" w:eastAsia="Palatino Linotype" w:hAnsi="Palatino Linotype" w:cs="Palatino Linotype"/>
          <w:i/>
        </w:rPr>
        <w:t xml:space="preserve">Artículo 7.722.- </w:t>
      </w:r>
      <w:r w:rsidRPr="00EC61CE">
        <w:rPr>
          <w:rFonts w:ascii="Palatino Linotype" w:eastAsia="Palatino Linotype" w:hAnsi="Palatino Linotype" w:cs="Palatino Linotype"/>
          <w:b/>
          <w:i/>
          <w:u w:val="single"/>
        </w:rPr>
        <w:t xml:space="preserve">El contrato de comodato debe celebrarse por escrito. </w:t>
      </w:r>
    </w:p>
    <w:p w14:paraId="3CB67E47"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Comodato sobre bienes consumibles</w:t>
      </w:r>
    </w:p>
    <w:p w14:paraId="401734A6"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7.723.- Cuando el comodato tuviere por objeto bienes consumibles, deberán ser restituidos idénticamente. </w:t>
      </w:r>
    </w:p>
    <w:p w14:paraId="554B94DA"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Autorización para dar bienes en comodato </w:t>
      </w:r>
    </w:p>
    <w:p w14:paraId="4F9A5326"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7.724.- Los administradores de bienes ajenos, sólo podrán dar en comodato, previa autorización judicial, los bienes confiados a su guarda. </w:t>
      </w:r>
    </w:p>
    <w:p w14:paraId="6E74BE7B"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Autorización del comodante para conceder el uso a un tercero </w:t>
      </w:r>
    </w:p>
    <w:p w14:paraId="0FBC612F"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7.725.- Solo con autorización del comodante, el comodatario podrá conceder el uso del bien a un tercero. </w:t>
      </w:r>
    </w:p>
    <w:p w14:paraId="48E8FC26"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Derecho del comodatario </w:t>
      </w:r>
    </w:p>
    <w:p w14:paraId="2D1E20DD"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i/>
        </w:rPr>
        <w:t xml:space="preserve">Artículo 7.726.- </w:t>
      </w:r>
      <w:r w:rsidRPr="00EC61CE">
        <w:rPr>
          <w:rFonts w:ascii="Palatino Linotype" w:eastAsia="Palatino Linotype" w:hAnsi="Palatino Linotype" w:cs="Palatino Linotype"/>
          <w:b/>
          <w:i/>
        </w:rPr>
        <w:t xml:space="preserve">El comodatario adquiere el uso, pero no los frutos y accesiones del bien dado en comodato. </w:t>
      </w:r>
    </w:p>
    <w:p w14:paraId="77DF76B4"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Obligación del comodatario </w:t>
      </w:r>
    </w:p>
    <w:p w14:paraId="52D9CEFA"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7.727.- </w:t>
      </w:r>
      <w:r w:rsidRPr="00EC61CE">
        <w:rPr>
          <w:rFonts w:ascii="Palatino Linotype" w:eastAsia="Palatino Linotype" w:hAnsi="Palatino Linotype" w:cs="Palatino Linotype"/>
          <w:b/>
          <w:i/>
        </w:rPr>
        <w:t>El comodatario está obligado a poner toda la diligencia en la conservación del bien, y es responsable de todo deterioro que sufra por su culpa</w:t>
      </w:r>
      <w:r w:rsidRPr="00EC61CE">
        <w:rPr>
          <w:rFonts w:ascii="Palatino Linotype" w:eastAsia="Palatino Linotype" w:hAnsi="Palatino Linotype" w:cs="Palatino Linotype"/>
          <w:i/>
        </w:rPr>
        <w:t xml:space="preserve">. </w:t>
      </w:r>
    </w:p>
    <w:p w14:paraId="08E622C4"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Deterioro que impide el uso ordinario </w:t>
      </w:r>
    </w:p>
    <w:p w14:paraId="7FD079CA"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7.728.- Si es tal el deterioro del bien que no sea susceptible de emplearse en su uso ordinario, el comodante podrá exigir el valor del mismo, a ese momento. </w:t>
      </w:r>
    </w:p>
    <w:p w14:paraId="7BDD2A3F"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Uso diverso del bien o por más tiempo </w:t>
      </w:r>
    </w:p>
    <w:p w14:paraId="6EAABA6E"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7.729.- El comodatario responde de la pérdida del bien si lo emplea en uso diverso o por más tiempo del convenido, </w:t>
      </w:r>
      <w:proofErr w:type="spellStart"/>
      <w:r w:rsidRPr="00EC61CE">
        <w:rPr>
          <w:rFonts w:ascii="Palatino Linotype" w:eastAsia="Palatino Linotype" w:hAnsi="Palatino Linotype" w:cs="Palatino Linotype"/>
          <w:i/>
        </w:rPr>
        <w:t>aún</w:t>
      </w:r>
      <w:proofErr w:type="spellEnd"/>
      <w:r w:rsidRPr="00EC61CE">
        <w:rPr>
          <w:rFonts w:ascii="Palatino Linotype" w:eastAsia="Palatino Linotype" w:hAnsi="Palatino Linotype" w:cs="Palatino Linotype"/>
          <w:i/>
        </w:rPr>
        <w:t xml:space="preserve"> cuando aquélla sobrevenga por caso fortuito. </w:t>
      </w:r>
    </w:p>
    <w:p w14:paraId="26BEFE6E"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Gastos ordinarios para la conservación del bien </w:t>
      </w:r>
    </w:p>
    <w:p w14:paraId="08338E2B"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7.730.- El comodatario no tiene derecho para repetir el importe de los gastos ordinarios que efectúe para la conservación del bien prestado. </w:t>
      </w:r>
    </w:p>
    <w:p w14:paraId="3CE1B0AF"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Obligación del comodatario de entregar el bien </w:t>
      </w:r>
    </w:p>
    <w:p w14:paraId="3943F1BB"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7.731.- Tampoco tiene derecho el comodatario para retener el bien a pretexto de lo que por expensas o por cualquier otra causa le deba el dueño. </w:t>
      </w:r>
    </w:p>
    <w:p w14:paraId="7E9D69B2"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Obligaciones solidarias de los comodatarios </w:t>
      </w:r>
    </w:p>
    <w:p w14:paraId="77ECDEE7"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7.732.- Siendo dos o más los comodatarios, están sujetos solidariamente a las mismas obligaciones. </w:t>
      </w:r>
    </w:p>
    <w:p w14:paraId="55302CE4"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Falta de convenio sobre uso y plazo </w:t>
      </w:r>
    </w:p>
    <w:p w14:paraId="3437131A"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Artículo 7.733.- Si no se ha determinado el uso o el plazo del comodato, el comodante podrá exigir la devolución del bien cuando convenga a sus intereses.</w:t>
      </w:r>
    </w:p>
    <w:p w14:paraId="3FE491FB"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Derecho del comodante de exigir la devolución </w:t>
      </w:r>
    </w:p>
    <w:p w14:paraId="3EC1133D"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7.734.- El comodante podrá exigir la devolución del bien antes de que termine el plazo cuando: </w:t>
      </w:r>
    </w:p>
    <w:p w14:paraId="100BE8D3"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 Tenga necesidad de él; </w:t>
      </w:r>
    </w:p>
    <w:p w14:paraId="33EF9C14"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 Exista peligro de que el bien perezca, de continuar en poder del comodatario; </w:t>
      </w:r>
    </w:p>
    <w:p w14:paraId="0A43724D"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III. El comodatario haya autorizado a un tercero a servirse del bien sin consentimiento del comodante. </w:t>
      </w:r>
    </w:p>
    <w:p w14:paraId="5884AEF1"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Gastos necesarios para la conservación del bien </w:t>
      </w:r>
    </w:p>
    <w:p w14:paraId="75382B84"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7.735.- El comodatario tiene la obligación de pagar los gastos necesarios para la conservación del bien, salvo pacto en contrario. </w:t>
      </w:r>
    </w:p>
    <w:p w14:paraId="06EA4A3D"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Vicios del bien objeto del comodato </w:t>
      </w:r>
    </w:p>
    <w:p w14:paraId="652EAD32"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Artículo 7.736.- Cuando el bien dado en comodato tenga defectos tales que cause perjuicios al que se sirva de él, el comodante es responsable de éstos, si conocía los defectos y no dio aviso oportuno al comodatario. </w:t>
      </w:r>
    </w:p>
    <w:p w14:paraId="4AB7495B" w14:textId="77777777" w:rsidR="00CF0BED" w:rsidRPr="00EC61CE" w:rsidRDefault="00222BC5">
      <w:pPr>
        <w:spacing w:after="0"/>
        <w:ind w:left="851" w:right="851"/>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Muerte del comodatario </w:t>
      </w:r>
    </w:p>
    <w:p w14:paraId="7485FB00" w14:textId="77777777" w:rsidR="00CF0BED" w:rsidRPr="00EC61CE" w:rsidRDefault="00222BC5">
      <w:pPr>
        <w:spacing w:after="0"/>
        <w:ind w:left="851" w:right="851"/>
        <w:jc w:val="both"/>
        <w:rPr>
          <w:rFonts w:ascii="Palatino Linotype" w:eastAsia="Palatino Linotype" w:hAnsi="Palatino Linotype" w:cs="Palatino Linotype"/>
          <w:i/>
        </w:rPr>
      </w:pPr>
      <w:r w:rsidRPr="00EC61CE">
        <w:rPr>
          <w:rFonts w:ascii="Palatino Linotype" w:eastAsia="Palatino Linotype" w:hAnsi="Palatino Linotype" w:cs="Palatino Linotype"/>
          <w:i/>
        </w:rPr>
        <w:t>Artículo 7.737.- El comodato termina por la muerte del comodatario.”</w:t>
      </w:r>
    </w:p>
    <w:p w14:paraId="52FB3220" w14:textId="77777777" w:rsidR="00CF0BED" w:rsidRPr="00EC61CE" w:rsidRDefault="00222BC5">
      <w:pPr>
        <w:spacing w:after="0"/>
        <w:ind w:left="851" w:right="851"/>
        <w:jc w:val="both"/>
        <w:rPr>
          <w:rFonts w:ascii="Palatino Linotype" w:eastAsia="Palatino Linotype" w:hAnsi="Palatino Linotype" w:cs="Palatino Linotype"/>
        </w:rPr>
      </w:pPr>
      <w:r w:rsidRPr="00EC61CE">
        <w:rPr>
          <w:rFonts w:ascii="Palatino Linotype" w:eastAsia="Palatino Linotype" w:hAnsi="Palatino Linotype" w:cs="Palatino Linotype"/>
          <w:i/>
        </w:rPr>
        <w:t>(Énfasis añadido)</w:t>
      </w:r>
    </w:p>
    <w:p w14:paraId="09BECAAC" w14:textId="77777777" w:rsidR="00CF0BED" w:rsidRPr="00EC61CE" w:rsidRDefault="00CF0BED">
      <w:pPr>
        <w:spacing w:after="0"/>
        <w:ind w:left="567"/>
        <w:jc w:val="both"/>
        <w:rPr>
          <w:rFonts w:ascii="Palatino Linotype" w:eastAsia="Palatino Linotype" w:hAnsi="Palatino Linotype" w:cs="Palatino Linotype"/>
        </w:rPr>
      </w:pPr>
    </w:p>
    <w:p w14:paraId="7771E22D"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lo anteriormente citado, podemos apreciar que el comodato es el contrato por el que el comodante concede gratuitamente el uso de un bien al comodatario quien se obliga a restituirlo una vez concluida la vigencia del contrato, y que el contrato debe constar por escrito. </w:t>
      </w:r>
    </w:p>
    <w:p w14:paraId="66FED34E" w14:textId="77777777" w:rsidR="00CF0BED" w:rsidRPr="00EC61CE" w:rsidRDefault="00CF0BED">
      <w:pPr>
        <w:spacing w:after="0" w:line="360" w:lineRule="auto"/>
        <w:jc w:val="both"/>
        <w:rPr>
          <w:rFonts w:ascii="Palatino Linotype" w:eastAsia="Palatino Linotype" w:hAnsi="Palatino Linotype" w:cs="Palatino Linotype"/>
        </w:rPr>
      </w:pPr>
    </w:p>
    <w:p w14:paraId="58FD3405"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Una vez dilucidado este concepto, se procede a analizar si procede o no la clasificación de dichos datos: </w:t>
      </w:r>
    </w:p>
    <w:p w14:paraId="04C1981C" w14:textId="77777777" w:rsidR="00CF0BED" w:rsidRPr="00EC61CE" w:rsidRDefault="00CF0BED">
      <w:pPr>
        <w:spacing w:after="0" w:line="360" w:lineRule="auto"/>
        <w:jc w:val="both"/>
        <w:rPr>
          <w:rFonts w:ascii="Palatino Linotype" w:eastAsia="Palatino Linotype" w:hAnsi="Palatino Linotype" w:cs="Palatino Linotype"/>
        </w:rPr>
      </w:pPr>
    </w:p>
    <w:p w14:paraId="11F51A0E" w14:textId="77777777" w:rsidR="00CF0BED" w:rsidRPr="00EC61CE" w:rsidRDefault="00222BC5">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EC61CE">
        <w:rPr>
          <w:rFonts w:ascii="Palatino Linotype" w:eastAsia="Palatino Linotype" w:hAnsi="Palatino Linotype" w:cs="Palatino Linotype"/>
          <w:b/>
        </w:rPr>
        <w:t>Placas</w:t>
      </w:r>
      <w:r w:rsidRPr="00EC61CE">
        <w:rPr>
          <w:rFonts w:ascii="Palatino Linotype" w:eastAsia="Palatino Linotype" w:hAnsi="Palatino Linotype" w:cs="Palatino Linotype"/>
        </w:rPr>
        <w:t xml:space="preserve"> </w:t>
      </w:r>
      <w:r w:rsidRPr="00EC61CE">
        <w:rPr>
          <w:rFonts w:ascii="Palatino Linotype" w:eastAsia="Palatino Linotype" w:hAnsi="Palatino Linotype" w:cs="Palatino Linotype"/>
          <w:b/>
        </w:rPr>
        <w:t>y número de serie vehicular:</w:t>
      </w:r>
    </w:p>
    <w:p w14:paraId="02F54130" w14:textId="77777777" w:rsidR="00CF0BED" w:rsidRPr="00EC61CE" w:rsidRDefault="00222BC5">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En lo que compete a esto, se tiene que el número de placa se define como el registro alfanumérico que usan los vehículos automotores para su identificación y circulación legal en todo el territorio mexicano. </w:t>
      </w:r>
    </w:p>
    <w:p w14:paraId="15D28776" w14:textId="77777777" w:rsidR="00CF0BED" w:rsidRPr="00EC61CE" w:rsidRDefault="00CF0BED">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p>
    <w:p w14:paraId="48A3761D" w14:textId="77777777" w:rsidR="00CF0BED" w:rsidRPr="00EC61CE" w:rsidRDefault="00222BC5">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Por otra parte, el NIV es el número conformado por diecisiete caracteres alfanuméricos que identifican a los vehículos de modelos posteriores al año 1998. Se encuentra normalmente en la parte superior del tablero del vehículo o en el marco de las puertas, generalmente en el lado del conductor. En los modelos anteriores al año 1998 a este número se le conocía como serie y es más común que se encuentre localizado en la puerta izquierda del vehículo.</w:t>
      </w:r>
    </w:p>
    <w:p w14:paraId="41F70283" w14:textId="77777777" w:rsidR="00CF0BED" w:rsidRPr="00EC61CE" w:rsidRDefault="00CF0BED">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p>
    <w:p w14:paraId="3C283C79" w14:textId="77777777" w:rsidR="00CF0BED" w:rsidRPr="00EC61CE" w:rsidRDefault="00222BC5">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este modo y al tratarse de bienes que no son de dominio público, por formar parte del patrimonio del comodante, </w:t>
      </w:r>
      <w:proofErr w:type="gramStart"/>
      <w:r w:rsidRPr="00EC61CE">
        <w:rPr>
          <w:rFonts w:ascii="Palatino Linotype" w:eastAsia="Palatino Linotype" w:hAnsi="Palatino Linotype" w:cs="Palatino Linotype"/>
        </w:rPr>
        <w:t>la publicidad de dichos datos constituyen</w:t>
      </w:r>
      <w:proofErr w:type="gramEnd"/>
      <w:r w:rsidRPr="00EC61CE">
        <w:rPr>
          <w:rFonts w:ascii="Palatino Linotype" w:eastAsia="Palatino Linotype" w:hAnsi="Palatino Linotype" w:cs="Palatino Linotype"/>
        </w:rPr>
        <w:t xml:space="preserve"> un dato que debe ser protegido, ello considerando que el número de placa se vincula con el nombre de la persona titular del bien; por lo que se considera que de dejarse visible dichos datos se vulneraria su esfera privada.</w:t>
      </w:r>
    </w:p>
    <w:p w14:paraId="6EA4C279" w14:textId="77777777" w:rsidR="00CF0BED" w:rsidRPr="00EC61CE" w:rsidRDefault="00CF0BED">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p>
    <w:p w14:paraId="41C597F7" w14:textId="77777777" w:rsidR="00CF0BED" w:rsidRPr="00EC61CE" w:rsidRDefault="00222BC5">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Caso contrario para las placas y número de serie de los vehículos propiedad del Ayuntamiento, dado que la publicación de dichos datos, permite corroborar que se trata de bienes de dominio público.</w:t>
      </w:r>
    </w:p>
    <w:p w14:paraId="5463A9E2" w14:textId="77777777" w:rsidR="00CF0BED" w:rsidRPr="00EC61CE" w:rsidRDefault="00CF0BED">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p>
    <w:p w14:paraId="0E792410" w14:textId="77777777" w:rsidR="00CF0BED" w:rsidRPr="00EC61CE" w:rsidRDefault="00222BC5">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rPr>
      </w:pPr>
      <w:r w:rsidRPr="00EC61CE">
        <w:rPr>
          <w:rFonts w:ascii="Palatino Linotype" w:eastAsia="Palatino Linotype" w:hAnsi="Palatino Linotype" w:cs="Palatino Linotype"/>
        </w:rPr>
        <w:t>Así entonces, al tratarse de vehículos propiedad del Ayuntamiento, previamente inventariados, es importante remitirnos a lo dispuesto por el artículo 92, fracción XXXVIII de la Ley de Transparencia y Acceso a la Información Pública del Estado de México y Municipios que en su texto y sentido literal establece:</w:t>
      </w:r>
    </w:p>
    <w:p w14:paraId="58692EEF" w14:textId="77777777" w:rsidR="00CF0BED" w:rsidRPr="00EC61CE" w:rsidRDefault="00CF0BED">
      <w:pPr>
        <w:pBdr>
          <w:top w:val="nil"/>
          <w:left w:val="nil"/>
          <w:bottom w:val="nil"/>
          <w:right w:val="nil"/>
          <w:between w:val="nil"/>
        </w:pBdr>
        <w:tabs>
          <w:tab w:val="left" w:pos="426"/>
        </w:tabs>
        <w:spacing w:after="0"/>
        <w:ind w:left="851" w:right="843"/>
        <w:jc w:val="both"/>
        <w:rPr>
          <w:rFonts w:ascii="Palatino Linotype" w:eastAsia="Palatino Linotype" w:hAnsi="Palatino Linotype" w:cs="Palatino Linotype"/>
          <w:i/>
        </w:rPr>
      </w:pPr>
    </w:p>
    <w:p w14:paraId="563A7EB5" w14:textId="77777777" w:rsidR="00CF0BED" w:rsidRPr="00EC61CE" w:rsidRDefault="00222BC5">
      <w:pPr>
        <w:pBdr>
          <w:top w:val="nil"/>
          <w:left w:val="nil"/>
          <w:bottom w:val="nil"/>
          <w:right w:val="nil"/>
          <w:between w:val="nil"/>
        </w:pBdr>
        <w:tabs>
          <w:tab w:val="left" w:pos="426"/>
        </w:tabs>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1BD793" w14:textId="77777777" w:rsidR="00CF0BED" w:rsidRPr="00EC61CE" w:rsidRDefault="00222BC5">
      <w:pPr>
        <w:pBdr>
          <w:top w:val="nil"/>
          <w:left w:val="nil"/>
          <w:bottom w:val="nil"/>
          <w:right w:val="nil"/>
          <w:between w:val="nil"/>
        </w:pBdr>
        <w:tabs>
          <w:tab w:val="left" w:pos="426"/>
        </w:tabs>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5029D281" w14:textId="77777777" w:rsidR="00CF0BED" w:rsidRPr="00EC61CE" w:rsidRDefault="00222BC5">
      <w:pPr>
        <w:pBdr>
          <w:top w:val="nil"/>
          <w:left w:val="nil"/>
          <w:bottom w:val="nil"/>
          <w:right w:val="nil"/>
          <w:between w:val="nil"/>
        </w:pBdr>
        <w:tabs>
          <w:tab w:val="left" w:pos="426"/>
        </w:tabs>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XXXVIII. El inventario de bienes muebles e inmuebles en posesión y propiedad;</w:t>
      </w:r>
    </w:p>
    <w:p w14:paraId="6F7D903A" w14:textId="77777777" w:rsidR="00CF0BED" w:rsidRPr="00EC61CE" w:rsidRDefault="00CF0BED">
      <w:pPr>
        <w:pBdr>
          <w:top w:val="nil"/>
          <w:left w:val="nil"/>
          <w:bottom w:val="nil"/>
          <w:right w:val="nil"/>
          <w:between w:val="nil"/>
        </w:pBdr>
        <w:tabs>
          <w:tab w:val="left" w:pos="426"/>
        </w:tabs>
        <w:spacing w:after="0"/>
        <w:ind w:left="851" w:right="843"/>
        <w:jc w:val="both"/>
        <w:rPr>
          <w:rFonts w:ascii="Palatino Linotype" w:eastAsia="Palatino Linotype" w:hAnsi="Palatino Linotype" w:cs="Palatino Linotype"/>
        </w:rPr>
      </w:pPr>
    </w:p>
    <w:p w14:paraId="3F12FA74" w14:textId="77777777" w:rsidR="00CF0BED" w:rsidRPr="00EC61CE" w:rsidRDefault="00222BC5">
      <w:pPr>
        <w:pBdr>
          <w:top w:val="nil"/>
          <w:left w:val="nil"/>
          <w:bottom w:val="nil"/>
          <w:right w:val="nil"/>
          <w:between w:val="nil"/>
        </w:pBdr>
        <w:tabs>
          <w:tab w:val="left" w:pos="426"/>
        </w:tabs>
        <w:spacing w:after="0" w:line="360" w:lineRule="auto"/>
        <w:ind w:right="-7"/>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Por tanto, el número de serie y de placas es información que corresponde a información de acceso público, ya que dar a conocer esos datos abona a la transparencia y la rendición de cuentas, pues es parte del patrimonio de los Sujeto Obligados y está relacionado con el ejercicio de los recursos públicos. </w:t>
      </w:r>
    </w:p>
    <w:p w14:paraId="561F17DF" w14:textId="77777777" w:rsidR="00CF0BED" w:rsidRPr="00EC61CE" w:rsidRDefault="00CF0BED">
      <w:pPr>
        <w:pBdr>
          <w:top w:val="nil"/>
          <w:left w:val="nil"/>
          <w:bottom w:val="nil"/>
          <w:right w:val="nil"/>
          <w:between w:val="nil"/>
        </w:pBdr>
        <w:tabs>
          <w:tab w:val="left" w:pos="426"/>
        </w:tabs>
        <w:spacing w:after="0" w:line="360" w:lineRule="auto"/>
        <w:ind w:right="-7"/>
        <w:jc w:val="both"/>
        <w:rPr>
          <w:rFonts w:ascii="Palatino Linotype" w:eastAsia="Palatino Linotype" w:hAnsi="Palatino Linotype" w:cs="Palatino Linotype"/>
        </w:rPr>
      </w:pPr>
    </w:p>
    <w:p w14:paraId="01E396CA" w14:textId="77777777" w:rsidR="00CF0BED" w:rsidRPr="00EC61CE" w:rsidRDefault="00222BC5">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EC61CE">
        <w:rPr>
          <w:rFonts w:ascii="Palatino Linotype" w:eastAsia="Palatino Linotype" w:hAnsi="Palatino Linotype" w:cs="Palatino Linotype"/>
          <w:b/>
        </w:rPr>
        <w:t xml:space="preserve">Número de unidad, marca, modelo, y color. </w:t>
      </w:r>
    </w:p>
    <w:p w14:paraId="131C6F85"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La Norma Oficial Mexicana NOM-001-SSP-2008, para la determinación, asignación e instalación del número de identificación vehicular, define que al año modelo como el periodo comprendido entre el inicio de la producción de determinado tipo de vehículo y el 31 de diciembre del año calendario con que dicho fabricante designe el modelo en cuestión; por lo que este Instituto no advierte de que manera el dar a conocer la unidad, marca, modelo, y color de los vehículos puedan contener datos confidenciales de los titulares de los datos, por lo que no se actualiza la causal de clasificación establecida en el artículo 143, fracción I, de la Ley de Transparencia y Acceso a la Información Pública del Estado de México y Municipios. Aunado a que en el Acta del Comité de Transparencia en la que se aprobó la clasificación de la información -remitida en respuesta- no se </w:t>
      </w:r>
      <w:proofErr w:type="spellStart"/>
      <w:r w:rsidRPr="00EC61CE">
        <w:rPr>
          <w:rFonts w:ascii="Palatino Linotype" w:eastAsia="Palatino Linotype" w:hAnsi="Palatino Linotype" w:cs="Palatino Linotype"/>
        </w:rPr>
        <w:t>fundo</w:t>
      </w:r>
      <w:proofErr w:type="spellEnd"/>
      <w:r w:rsidRPr="00EC61CE">
        <w:rPr>
          <w:rFonts w:ascii="Palatino Linotype" w:eastAsia="Palatino Linotype" w:hAnsi="Palatino Linotype" w:cs="Palatino Linotype"/>
        </w:rPr>
        <w:t xml:space="preserve"> y motivo las razones por la que, resultaba procedente su clasificación.  </w:t>
      </w:r>
    </w:p>
    <w:p w14:paraId="44EEF445" w14:textId="77777777" w:rsidR="00CF0BED" w:rsidRPr="00EC61CE" w:rsidRDefault="00CF0BED">
      <w:pPr>
        <w:spacing w:after="0" w:line="360" w:lineRule="auto"/>
        <w:jc w:val="both"/>
        <w:rPr>
          <w:rFonts w:ascii="Palatino Linotype" w:eastAsia="Palatino Linotype" w:hAnsi="Palatino Linotype" w:cs="Palatino Linotype"/>
        </w:rPr>
      </w:pPr>
    </w:p>
    <w:p w14:paraId="1E1DD954" w14:textId="77777777" w:rsidR="00CF0BED" w:rsidRPr="00EC61CE" w:rsidRDefault="00222BC5">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EC61CE">
        <w:rPr>
          <w:rFonts w:ascii="Palatino Linotype" w:eastAsia="Palatino Linotype" w:hAnsi="Palatino Linotype" w:cs="Palatino Linotype"/>
          <w:b/>
        </w:rPr>
        <w:t xml:space="preserve">Observaciones: </w:t>
      </w:r>
    </w:p>
    <w:p w14:paraId="7A273252"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Referente a las observaciones de las bitácoras del departamento de tránsito, resulta importante referir que, de la revisión al acta remitida,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establece que en dichas observaciones se plasma información referente a los lugares, horarios, y quienes o que unidades llevan a cabo el patrullaje del territorio municipal; así como las estrategias de prevención y combate a la delincuencia.</w:t>
      </w:r>
    </w:p>
    <w:p w14:paraId="4CC26694"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Al respecto, este Organismo Garante advierte que la información </w:t>
      </w:r>
      <w:r w:rsidRPr="00EC61CE">
        <w:rPr>
          <w:rFonts w:ascii="Palatino Linotype" w:eastAsia="Palatino Linotype" w:hAnsi="Palatino Linotype" w:cs="Palatino Linotype"/>
          <w:b/>
        </w:rPr>
        <w:t>de los elementos que realizan funciones operativas, entre ellos su nombre debe ser protegido</w:t>
      </w:r>
      <w:r w:rsidRPr="00EC61CE">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8E62018" w14:textId="77777777" w:rsidR="00CF0BED" w:rsidRPr="00EC61CE" w:rsidRDefault="00CF0BED">
      <w:pPr>
        <w:spacing w:after="0" w:line="360" w:lineRule="auto"/>
        <w:jc w:val="both"/>
        <w:rPr>
          <w:rFonts w:ascii="Palatino Linotype" w:eastAsia="Palatino Linotype" w:hAnsi="Palatino Linotype" w:cs="Palatino Linotype"/>
        </w:rPr>
      </w:pPr>
    </w:p>
    <w:p w14:paraId="0F6A1AE1"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Asimismo, respecto a </w:t>
      </w:r>
      <w:r w:rsidRPr="00EC61CE">
        <w:rPr>
          <w:rFonts w:ascii="Palatino Linotype" w:eastAsia="Palatino Linotype" w:hAnsi="Palatino Linotype" w:cs="Palatino Linotype"/>
          <w:i/>
        </w:rPr>
        <w:t>los lugares y horarios</w:t>
      </w:r>
      <w:r w:rsidRPr="00EC61CE">
        <w:rPr>
          <w:rFonts w:ascii="Palatino Linotype" w:eastAsia="Palatino Linotype" w:hAnsi="Palatino Linotype" w:cs="Palatino Linotype"/>
        </w:rPr>
        <w:t>, al dar cuenta de manera puntual del horario de trabajo que determinado servidor público cumplió, durante cierto periodo de tiempo, se considera que su publicidad en el caso concreto pudiera poner en riesgo la integridad física de los elementos de seguridad pública dedicados a actividades operativas, 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funciones.</w:t>
      </w:r>
    </w:p>
    <w:p w14:paraId="7495DB43" w14:textId="77777777" w:rsidR="00CF0BED" w:rsidRPr="00EC61CE" w:rsidRDefault="00CF0BED">
      <w:pPr>
        <w:spacing w:after="0" w:line="360" w:lineRule="auto"/>
        <w:jc w:val="both"/>
        <w:rPr>
          <w:rFonts w:ascii="Palatino Linotype" w:eastAsia="Palatino Linotype" w:hAnsi="Palatino Linotype" w:cs="Palatino Linotype"/>
        </w:rPr>
      </w:pPr>
    </w:p>
    <w:p w14:paraId="34099C04" w14:textId="77777777" w:rsidR="00CF0BED" w:rsidRPr="00EC61CE" w:rsidRDefault="00222BC5">
      <w:pPr>
        <w:spacing w:after="0" w:line="360" w:lineRule="auto"/>
        <w:jc w:val="both"/>
        <w:rPr>
          <w:rFonts w:ascii="Palatino Linotype" w:eastAsia="Palatino Linotype" w:hAnsi="Palatino Linotype" w:cs="Palatino Linotype"/>
          <w:b/>
        </w:rPr>
      </w:pPr>
      <w:r w:rsidRPr="00EC61CE">
        <w:rPr>
          <w:rFonts w:ascii="Palatino Linotype" w:eastAsia="Palatino Linotype" w:hAnsi="Palatino Linotype" w:cs="Palatino Linotype"/>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y por lo tanto, acredita la causal de clasificación prevista en el artículo 140, fracción VI, de la Ley de Transparencia y Acceso a la Información Pública del Estado de México.</w:t>
      </w:r>
    </w:p>
    <w:p w14:paraId="6FB316E6" w14:textId="77777777" w:rsidR="00CF0BED" w:rsidRPr="00EC61CE" w:rsidRDefault="00CF0BED">
      <w:pPr>
        <w:spacing w:after="0" w:line="360" w:lineRule="auto"/>
        <w:jc w:val="both"/>
        <w:rPr>
          <w:rFonts w:ascii="Palatino Linotype" w:eastAsia="Palatino Linotype" w:hAnsi="Palatino Linotype" w:cs="Palatino Linotype"/>
          <w:b/>
        </w:rPr>
      </w:pPr>
    </w:p>
    <w:p w14:paraId="44826067"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lo anteriormente transcrito, se aprecia que la versión pública que remitió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resulta excesiva, pues se puede apreciar que se clasificaron datos que no actualizan alguna causal de clasificación en términos de la fracción I del artículo 143 de la Ley de Transparencia y Acceso a la Información Pública del Estado de México; por ende, resulta procedente ordenar la entrega, vía Sistema de Acceso a la Información Mexiquense, de las Bitácoras de Consumo de Gasolina / Diésel remitidos en respuesta, en correcta versión pública. </w:t>
      </w:r>
    </w:p>
    <w:p w14:paraId="58B92A28" w14:textId="77777777" w:rsidR="00CF0BED" w:rsidRPr="00EC61CE" w:rsidRDefault="00CF0BED">
      <w:pPr>
        <w:spacing w:after="0" w:line="360" w:lineRule="auto"/>
        <w:jc w:val="both"/>
        <w:rPr>
          <w:rFonts w:ascii="Palatino Linotype" w:eastAsia="Palatino Linotype" w:hAnsi="Palatino Linotype" w:cs="Palatino Linotype"/>
        </w:rPr>
      </w:pPr>
    </w:p>
    <w:p w14:paraId="52931918"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Ahora bien, respecto al nombre de los servidores públicos a los que se les otorga el consumo de gasolina, resulta procedente señalar la siguiente normatividad:</w:t>
      </w:r>
    </w:p>
    <w:p w14:paraId="7036A261" w14:textId="77777777" w:rsidR="00CF0BED" w:rsidRPr="00EC61CE" w:rsidRDefault="00CF0BED">
      <w:pPr>
        <w:spacing w:after="0" w:line="360" w:lineRule="auto"/>
        <w:jc w:val="both"/>
        <w:rPr>
          <w:rFonts w:ascii="Palatino Linotype" w:eastAsia="Palatino Linotype" w:hAnsi="Palatino Linotype" w:cs="Palatino Linotype"/>
        </w:rPr>
      </w:pPr>
    </w:p>
    <w:p w14:paraId="7B005C52" w14:textId="77777777" w:rsidR="00CF0BED" w:rsidRPr="00EC61CE" w:rsidRDefault="00222BC5">
      <w:pPr>
        <w:spacing w:after="0"/>
        <w:ind w:left="851" w:right="899"/>
        <w:jc w:val="both"/>
        <w:rPr>
          <w:rFonts w:ascii="Palatino Linotype" w:eastAsia="Palatino Linotype" w:hAnsi="Palatino Linotype" w:cs="Palatino Linotype"/>
          <w:i/>
        </w:rPr>
      </w:pPr>
      <w:r w:rsidRPr="00EC61CE">
        <w:rPr>
          <w:rFonts w:ascii="Palatino Linotype" w:eastAsia="Palatino Linotype" w:hAnsi="Palatino Linotype" w:cs="Palatino Linotype"/>
          <w:b/>
          <w:i/>
        </w:rPr>
        <w:t>“LEY ORGÁNICA MUNICIPAL DEL ESTADO DE MÉXICO</w:t>
      </w:r>
    </w:p>
    <w:p w14:paraId="57E2A402" w14:textId="77777777" w:rsidR="00CF0BED" w:rsidRPr="00EC61CE" w:rsidRDefault="00222BC5">
      <w:pPr>
        <w:spacing w:after="0"/>
        <w:ind w:left="851" w:right="899"/>
        <w:jc w:val="both"/>
        <w:rPr>
          <w:rFonts w:ascii="Palatino Linotype" w:eastAsia="Palatino Linotype" w:hAnsi="Palatino Linotype" w:cs="Palatino Linotype"/>
          <w:i/>
        </w:rPr>
      </w:pPr>
      <w:r w:rsidRPr="00EC61CE">
        <w:rPr>
          <w:rFonts w:ascii="Palatino Linotype" w:eastAsia="Palatino Linotype" w:hAnsi="Palatino Linotype" w:cs="Palatino Linotype"/>
          <w:b/>
          <w:i/>
        </w:rPr>
        <w:t>Artículo 91.-</w:t>
      </w:r>
      <w:r w:rsidRPr="00EC61CE">
        <w:rPr>
          <w:rFonts w:ascii="Palatino Linotype" w:eastAsia="Palatino Linotype" w:hAnsi="Palatino Linotype" w:cs="Palatino Linotype"/>
          <w:i/>
        </w:rPr>
        <w:t xml:space="preserve"> La Secretaría del Ayuntamiento estará a cargo de un Secretario, el que, sin ser miembro del mismo, deberá ser nombrado por el propio Ayuntamiento a propuesta del Presidente Municipal como lo marca el artículo 31 de la presente ley. </w:t>
      </w:r>
    </w:p>
    <w:p w14:paraId="2CBAC20F" w14:textId="77777777" w:rsidR="00CF0BED" w:rsidRPr="00EC61CE" w:rsidRDefault="00222BC5">
      <w:pPr>
        <w:spacing w:after="0"/>
        <w:ind w:left="851" w:right="899"/>
        <w:jc w:val="both"/>
        <w:rPr>
          <w:rFonts w:ascii="Palatino Linotype" w:eastAsia="Palatino Linotype" w:hAnsi="Palatino Linotype" w:cs="Palatino Linotype"/>
          <w:i/>
        </w:rPr>
      </w:pPr>
      <w:r w:rsidRPr="00EC61CE">
        <w:rPr>
          <w:rFonts w:ascii="Palatino Linotype" w:eastAsia="Palatino Linotype" w:hAnsi="Palatino Linotype" w:cs="Palatino Linotype"/>
          <w:i/>
        </w:rPr>
        <w:t>Sus faltas temporales serán cubiertas por quien designe el Ayuntamiento y sus atribuciones son las siguientes:</w:t>
      </w:r>
    </w:p>
    <w:p w14:paraId="13B3916B" w14:textId="77777777" w:rsidR="00CF0BED" w:rsidRPr="00EC61CE" w:rsidRDefault="00222BC5">
      <w:pPr>
        <w:spacing w:after="0"/>
        <w:ind w:left="851" w:right="899"/>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6ADE72C9" w14:textId="77777777" w:rsidR="00CF0BED" w:rsidRPr="00EC61CE" w:rsidRDefault="00222BC5">
      <w:pPr>
        <w:spacing w:after="0"/>
        <w:ind w:left="851" w:right="899"/>
        <w:jc w:val="both"/>
        <w:rPr>
          <w:rFonts w:ascii="Palatino Linotype" w:eastAsia="Palatino Linotype" w:hAnsi="Palatino Linotype" w:cs="Palatino Linotype"/>
          <w:i/>
        </w:rPr>
      </w:pPr>
      <w:r w:rsidRPr="00EC61CE">
        <w:rPr>
          <w:rFonts w:ascii="Palatino Linotype" w:eastAsia="Palatino Linotype" w:hAnsi="Palatino Linotype" w:cs="Palatino Linotype"/>
          <w:i/>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72E67CB5" w14:textId="77777777" w:rsidR="00CF0BED" w:rsidRPr="00EC61CE" w:rsidRDefault="00CF0BED">
      <w:pPr>
        <w:spacing w:after="0" w:line="360" w:lineRule="auto"/>
        <w:jc w:val="both"/>
        <w:rPr>
          <w:rFonts w:ascii="Palatino Linotype" w:eastAsia="Palatino Linotype" w:hAnsi="Palatino Linotype" w:cs="Palatino Linotype"/>
        </w:rPr>
      </w:pPr>
    </w:p>
    <w:p w14:paraId="0F4B16FB"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Con relación a lo anterior, la Secretaría del Ayuntamiento elabora con la intervención del síndico el inventario general de bienes muebles, siendo el documento que de manera enunciativa más no limitativa puede colmar la pretensión del particular, puesto que en este se advierte el nombre de los servidores públicos responsables de los bienes, como se observa a continuación:</w:t>
      </w:r>
    </w:p>
    <w:p w14:paraId="4EBD4BF6" w14:textId="77777777" w:rsidR="00CF0BED" w:rsidRPr="00EC61CE" w:rsidRDefault="00222BC5">
      <w:pPr>
        <w:spacing w:after="0"/>
        <w:ind w:right="899"/>
        <w:jc w:val="center"/>
        <w:rPr>
          <w:rFonts w:ascii="Palatino Linotype" w:eastAsia="Palatino Linotype" w:hAnsi="Palatino Linotype" w:cs="Palatino Linotype"/>
          <w:i/>
        </w:rPr>
      </w:pPr>
      <w:r w:rsidRPr="00EC61CE">
        <w:rPr>
          <w:rFonts w:ascii="Palatino Linotype" w:eastAsia="Palatino Linotype" w:hAnsi="Palatino Linotype" w:cs="Palatino Linotype"/>
          <w:i/>
          <w:noProof/>
        </w:rPr>
        <w:drawing>
          <wp:inline distT="0" distB="0" distL="0" distR="0" wp14:anchorId="5A58ACB2" wp14:editId="16E61743">
            <wp:extent cx="4414424" cy="3397621"/>
            <wp:effectExtent l="0" t="0" r="0" b="0"/>
            <wp:docPr id="1137924252"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0"/>
                    <a:srcRect/>
                    <a:stretch>
                      <a:fillRect/>
                    </a:stretch>
                  </pic:blipFill>
                  <pic:spPr>
                    <a:xfrm>
                      <a:off x="0" y="0"/>
                      <a:ext cx="4414424" cy="3397621"/>
                    </a:xfrm>
                    <a:prstGeom prst="rect">
                      <a:avLst/>
                    </a:prstGeom>
                    <a:ln/>
                  </pic:spPr>
                </pic:pic>
              </a:graphicData>
            </a:graphic>
          </wp:inline>
        </w:drawing>
      </w:r>
    </w:p>
    <w:p w14:paraId="4F17FFB9" w14:textId="77777777" w:rsidR="00CF0BED" w:rsidRPr="00EC61CE" w:rsidRDefault="00222BC5">
      <w:pPr>
        <w:spacing w:after="0"/>
        <w:ind w:right="899"/>
        <w:jc w:val="both"/>
        <w:rPr>
          <w:rFonts w:ascii="Palatino Linotype" w:eastAsia="Palatino Linotype" w:hAnsi="Palatino Linotype" w:cs="Palatino Linotype"/>
          <w:i/>
        </w:rPr>
      </w:pPr>
      <w:r w:rsidRPr="00EC61CE">
        <w:rPr>
          <w:rFonts w:ascii="Palatino Linotype" w:eastAsia="Palatino Linotype" w:hAnsi="Palatino Linotype" w:cs="Palatino Linotype"/>
          <w:i/>
          <w:noProof/>
        </w:rPr>
        <w:drawing>
          <wp:inline distT="0" distB="0" distL="0" distR="0" wp14:anchorId="14171CB7" wp14:editId="55B554DF">
            <wp:extent cx="5756275" cy="5756275"/>
            <wp:effectExtent l="0" t="0" r="0" b="0"/>
            <wp:docPr id="1137924255" name="image4.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Texto&#10;&#10;El contenido generado por IA puede ser incorrecto."/>
                    <pic:cNvPicPr preferRelativeResize="0"/>
                  </pic:nvPicPr>
                  <pic:blipFill>
                    <a:blip r:embed="rId11"/>
                    <a:srcRect/>
                    <a:stretch>
                      <a:fillRect/>
                    </a:stretch>
                  </pic:blipFill>
                  <pic:spPr>
                    <a:xfrm>
                      <a:off x="0" y="0"/>
                      <a:ext cx="5756275" cy="5756275"/>
                    </a:xfrm>
                    <a:prstGeom prst="rect">
                      <a:avLst/>
                    </a:prstGeom>
                    <a:ln/>
                  </pic:spPr>
                </pic:pic>
              </a:graphicData>
            </a:graphic>
          </wp:inline>
        </w:drawing>
      </w:r>
      <w:r w:rsidRPr="00EC61CE">
        <w:rPr>
          <w:noProof/>
        </w:rPr>
        <mc:AlternateContent>
          <mc:Choice Requires="wpg">
            <w:drawing>
              <wp:anchor distT="0" distB="0" distL="114300" distR="114300" simplePos="0" relativeHeight="251658240" behindDoc="0" locked="0" layoutInCell="1" hidden="0" allowOverlap="1" wp14:anchorId="2885D84A" wp14:editId="31C74A3A">
                <wp:simplePos x="0" y="0"/>
                <wp:positionH relativeFrom="column">
                  <wp:posOffset>-60710</wp:posOffset>
                </wp:positionH>
                <wp:positionV relativeFrom="paragraph">
                  <wp:posOffset>1768723</wp:posOffset>
                </wp:positionV>
                <wp:extent cx="5708871" cy="588231"/>
                <wp:effectExtent l="0" t="0" r="0" b="0"/>
                <wp:wrapNone/>
                <wp:docPr id="1137924248" name="Rectángulo 1137924248"/>
                <wp:cNvGraphicFramePr/>
                <a:graphic xmlns:a="http://schemas.openxmlformats.org/drawingml/2006/main">
                  <a:graphicData uri="http://schemas.microsoft.com/office/word/2010/wordprocessingShape">
                    <wps:wsp>
                      <wps:cNvSpPr/>
                      <wps:spPr>
                        <a:xfrm>
                          <a:off x="2548715" y="3543035"/>
                          <a:ext cx="5594571" cy="473931"/>
                        </a:xfrm>
                        <a:prstGeom prst="rect">
                          <a:avLst/>
                        </a:prstGeom>
                        <a:noFill/>
                        <a:ln w="57150" cap="flat" cmpd="sng">
                          <a:solidFill>
                            <a:srgbClr val="FF0000"/>
                          </a:solidFill>
                          <a:prstDash val="solid"/>
                          <a:miter lim="800000"/>
                          <a:headEnd type="none" w="sm" len="sm"/>
                          <a:tailEnd type="none" w="sm" len="sm"/>
                        </a:ln>
                      </wps:spPr>
                      <wps:txbx>
                        <w:txbxContent>
                          <w:p w14:paraId="34ACA647" w14:textId="77777777" w:rsidR="00CF0BED" w:rsidRDefault="00CF0B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-60710</wp:posOffset>
                </wp:positionH>
                <wp:positionV relativeFrom="paragraph">
                  <wp:posOffset>1768723</wp:posOffset>
                </wp:positionV>
                <wp:extent cx="5708871" cy="588231"/>
                <wp:effectExtent b="0" l="0" r="0" t="0"/>
                <wp:wrapNone/>
                <wp:docPr id="113792424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708871" cy="588231"/>
                        </a:xfrm>
                        <a:prstGeom prst="rect"/>
                        <a:ln/>
                      </pic:spPr>
                    </pic:pic>
                  </a:graphicData>
                </a:graphic>
              </wp:anchor>
            </w:drawing>
          </mc:Fallback>
        </mc:AlternateContent>
      </w:r>
    </w:p>
    <w:p w14:paraId="66BA3080" w14:textId="77777777" w:rsidR="00CF0BED" w:rsidRPr="00EC61CE" w:rsidRDefault="00CF0BED">
      <w:pPr>
        <w:spacing w:after="0"/>
        <w:ind w:right="899"/>
        <w:jc w:val="both"/>
        <w:rPr>
          <w:rFonts w:ascii="Palatino Linotype" w:eastAsia="Palatino Linotype" w:hAnsi="Palatino Linotype" w:cs="Palatino Linotype"/>
          <w:i/>
        </w:rPr>
      </w:pPr>
    </w:p>
    <w:p w14:paraId="0FE3859B"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Determinado lo anterior se tiene que, en el presente caso, la unidad competente para conocer de este requerimiento de información es la </w:t>
      </w:r>
      <w:r w:rsidRPr="00EC61CE">
        <w:rPr>
          <w:rFonts w:ascii="Palatino Linotype" w:eastAsia="Palatino Linotype" w:hAnsi="Palatino Linotype" w:cs="Palatino Linotype"/>
          <w:b/>
        </w:rPr>
        <w:t>Secretaría del Ayuntamiento</w:t>
      </w:r>
      <w:r w:rsidRPr="00EC61CE">
        <w:rPr>
          <w:rFonts w:ascii="Palatino Linotype" w:eastAsia="Palatino Linotype" w:hAnsi="Palatino Linotype" w:cs="Palatino Linotype"/>
        </w:rPr>
        <w:t xml:space="preserve">, ello en virtud de </w:t>
      </w:r>
      <w:proofErr w:type="gramStart"/>
      <w:r w:rsidRPr="00EC61CE">
        <w:rPr>
          <w:rFonts w:ascii="Palatino Linotype" w:eastAsia="Palatino Linotype" w:hAnsi="Palatino Linotype" w:cs="Palatino Linotype"/>
        </w:rPr>
        <w:t>que</w:t>
      </w:r>
      <w:proofErr w:type="gramEnd"/>
      <w:r w:rsidRPr="00EC61CE">
        <w:rPr>
          <w:rFonts w:ascii="Palatino Linotype" w:eastAsia="Palatino Linotype" w:hAnsi="Palatino Linotype" w:cs="Palatino Linotype"/>
        </w:rPr>
        <w:t xml:space="preserve"> conforme al Manual de Organización de la Secretaría del Ayuntamiento, cuenta con un área denominada </w:t>
      </w:r>
      <w:r w:rsidRPr="00EC61CE">
        <w:rPr>
          <w:rFonts w:ascii="Palatino Linotype" w:eastAsia="Palatino Linotype" w:hAnsi="Palatino Linotype" w:cs="Palatino Linotype"/>
          <w:b/>
        </w:rPr>
        <w:t>Coordinación de Control Patrimonial</w:t>
      </w:r>
      <w:r w:rsidRPr="00EC61CE">
        <w:rPr>
          <w:rFonts w:ascii="Palatino Linotype" w:eastAsia="Palatino Linotype" w:hAnsi="Palatino Linotype" w:cs="Palatino Linotype"/>
        </w:rPr>
        <w:t>, la cual se encarga del desempeño de las siguientes atribuciones:</w:t>
      </w:r>
    </w:p>
    <w:p w14:paraId="26893C63" w14:textId="77777777" w:rsidR="00CF0BED" w:rsidRPr="00EC61CE" w:rsidRDefault="00222BC5">
      <w:pPr>
        <w:pBdr>
          <w:top w:val="nil"/>
          <w:left w:val="nil"/>
          <w:bottom w:val="nil"/>
          <w:right w:val="nil"/>
          <w:between w:val="nil"/>
        </w:pBdr>
        <w:spacing w:after="0" w:line="360" w:lineRule="auto"/>
        <w:jc w:val="center"/>
        <w:rPr>
          <w:rFonts w:ascii="Palatino Linotype" w:eastAsia="Palatino Linotype" w:hAnsi="Palatino Linotype" w:cs="Palatino Linotype"/>
        </w:rPr>
      </w:pPr>
      <w:r w:rsidRPr="00EC61CE">
        <w:rPr>
          <w:rFonts w:ascii="Palatino Linotype" w:eastAsia="Palatino Linotype" w:hAnsi="Palatino Linotype" w:cs="Palatino Linotype"/>
          <w:noProof/>
        </w:rPr>
        <w:drawing>
          <wp:inline distT="0" distB="0" distL="0" distR="0" wp14:anchorId="45776784" wp14:editId="10CB01A2">
            <wp:extent cx="3612944" cy="4358936"/>
            <wp:effectExtent l="0" t="0" r="0" b="0"/>
            <wp:docPr id="11379242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612944" cy="4358936"/>
                    </a:xfrm>
                    <a:prstGeom prst="rect">
                      <a:avLst/>
                    </a:prstGeom>
                    <a:ln/>
                  </pic:spPr>
                </pic:pic>
              </a:graphicData>
            </a:graphic>
          </wp:inline>
        </w:drawing>
      </w:r>
      <w:r w:rsidRPr="00EC61CE">
        <w:rPr>
          <w:noProof/>
        </w:rPr>
        <mc:AlternateContent>
          <mc:Choice Requires="wpg">
            <w:drawing>
              <wp:anchor distT="0" distB="0" distL="114300" distR="114300" simplePos="0" relativeHeight="251659264" behindDoc="0" locked="0" layoutInCell="1" hidden="0" allowOverlap="1" wp14:anchorId="570A4CB0" wp14:editId="412CD58D">
                <wp:simplePos x="0" y="0"/>
                <wp:positionH relativeFrom="column">
                  <wp:posOffset>1167765</wp:posOffset>
                </wp:positionH>
                <wp:positionV relativeFrom="paragraph">
                  <wp:posOffset>124460</wp:posOffset>
                </wp:positionV>
                <wp:extent cx="3267075" cy="304800"/>
                <wp:effectExtent l="0" t="0" r="0" b="0"/>
                <wp:wrapNone/>
                <wp:docPr id="1137924247" name="Rectángulo 1137924247"/>
                <wp:cNvGraphicFramePr/>
                <a:graphic xmlns:a="http://schemas.openxmlformats.org/drawingml/2006/main">
                  <a:graphicData uri="http://schemas.microsoft.com/office/word/2010/wordprocessingShape">
                    <wps:wsp>
                      <wps:cNvSpPr/>
                      <wps:spPr>
                        <a:xfrm>
                          <a:off x="3731513" y="3646650"/>
                          <a:ext cx="3228975" cy="266700"/>
                        </a:xfrm>
                        <a:prstGeom prst="rect">
                          <a:avLst/>
                        </a:prstGeom>
                        <a:noFill/>
                        <a:ln w="19050" cap="flat" cmpd="sng">
                          <a:solidFill>
                            <a:srgbClr val="FF0000"/>
                          </a:solidFill>
                          <a:prstDash val="solid"/>
                          <a:miter lim="800000"/>
                          <a:headEnd type="none" w="sm" len="sm"/>
                          <a:tailEnd type="none" w="sm" len="sm"/>
                        </a:ln>
                      </wps:spPr>
                      <wps:txbx>
                        <w:txbxContent>
                          <w:p w14:paraId="1B88B554" w14:textId="77777777" w:rsidR="00CF0BED" w:rsidRDefault="00CF0B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1167765</wp:posOffset>
                </wp:positionH>
                <wp:positionV relativeFrom="paragraph">
                  <wp:posOffset>124460</wp:posOffset>
                </wp:positionV>
                <wp:extent cx="3267075" cy="304800"/>
                <wp:effectExtent b="0" l="0" r="0" t="0"/>
                <wp:wrapNone/>
                <wp:docPr id="113792424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267075" cy="304800"/>
                        </a:xfrm>
                        <a:prstGeom prst="rect"/>
                        <a:ln/>
                      </pic:spPr>
                    </pic:pic>
                  </a:graphicData>
                </a:graphic>
              </wp:anchor>
            </w:drawing>
          </mc:Fallback>
        </mc:AlternateContent>
      </w:r>
    </w:p>
    <w:p w14:paraId="79DE7AD4"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ahí que se insista que, en lo tocante a este punto de la solicitud, lo pertinente es ordenar que se efectúe una búsqueda en el área de la Coordinación de Control Patrimonial para efecto de que se pronuncie sobre la existencia del documento que dé cuenta del nombre de los servidores públicos a los que se les designó gasolina y/o diésel de las Bitácoras de consumo del primero de enero al veintinueve de mayo de dos mil veinticinco, de ser procedente en versión pública. </w:t>
      </w:r>
    </w:p>
    <w:p w14:paraId="671B0130" w14:textId="77777777" w:rsidR="00CF0BED" w:rsidRPr="00EC61CE" w:rsidRDefault="00CF0BED">
      <w:pPr>
        <w:spacing w:after="0" w:line="360" w:lineRule="auto"/>
        <w:jc w:val="both"/>
        <w:rPr>
          <w:rFonts w:ascii="Palatino Linotype" w:eastAsia="Palatino Linotype" w:hAnsi="Palatino Linotype" w:cs="Palatino Linotype"/>
        </w:rPr>
      </w:pPr>
    </w:p>
    <w:p w14:paraId="1209771E"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Quinto. Versión Pública. </w:t>
      </w:r>
      <w:r w:rsidRPr="00EC61CE">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sin menoscabar el derecho a la protección de los datos personales de terceros.</w:t>
      </w:r>
    </w:p>
    <w:p w14:paraId="102B63DD" w14:textId="77777777" w:rsidR="00CF0BED" w:rsidRPr="00EC61CE" w:rsidRDefault="00CF0BED">
      <w:pPr>
        <w:spacing w:after="0" w:line="360" w:lineRule="auto"/>
        <w:jc w:val="both"/>
        <w:rPr>
          <w:rFonts w:ascii="Palatino Linotype" w:eastAsia="Palatino Linotype" w:hAnsi="Palatino Linotype" w:cs="Palatino Linotype"/>
        </w:rPr>
      </w:pPr>
    </w:p>
    <w:p w14:paraId="6BA2BDF8"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Ahora bien, es de destacar que dentro de la información que proporcionará el Sujeto Obligado pueden obrar los siguientes datos:</w:t>
      </w:r>
    </w:p>
    <w:p w14:paraId="5D5EC522" w14:textId="77777777" w:rsidR="00CF0BED" w:rsidRPr="00EC61CE" w:rsidRDefault="00CF0BED">
      <w:pPr>
        <w:spacing w:after="0" w:line="360" w:lineRule="auto"/>
        <w:jc w:val="both"/>
        <w:rPr>
          <w:rFonts w:ascii="Palatino Linotype" w:eastAsia="Palatino Linotype" w:hAnsi="Palatino Linotype" w:cs="Palatino Linotype"/>
        </w:rPr>
      </w:pPr>
    </w:p>
    <w:p w14:paraId="17BD94E0"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Derivado de la información que se ordena entregar pudiera existir información de la </w:t>
      </w:r>
      <w:r w:rsidRPr="00EC61CE">
        <w:rPr>
          <w:rFonts w:ascii="Palatino Linotype" w:eastAsia="Palatino Linotype" w:hAnsi="Palatino Linotype" w:cs="Palatino Linotype"/>
          <w:b/>
        </w:rPr>
        <w:t>Dirección de Seguridad Pública del Ayuntamiento o su equivalente,</w:t>
      </w:r>
      <w:r w:rsidRPr="00EC61CE">
        <w:rPr>
          <w:rFonts w:ascii="Palatino Linotype" w:eastAsia="Palatino Linotype" w:hAnsi="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EC61CE">
        <w:rPr>
          <w:rFonts w:ascii="Palatino Linotype" w:eastAsia="Palatino Linotype" w:hAnsi="Palatino Linotype" w:cs="Palatino Linotype"/>
          <w:b/>
        </w:rPr>
        <w:t>que desempeñen funciones operativas</w:t>
      </w:r>
      <w:r w:rsidRPr="00EC61CE">
        <w:rPr>
          <w:rFonts w:ascii="Palatino Linotype" w:eastAsia="Palatino Linotype" w:hAnsi="Palatino Linotype" w:cs="Palatino Linotype"/>
        </w:rPr>
        <w:t>.</w:t>
      </w:r>
    </w:p>
    <w:p w14:paraId="5F0521F3" w14:textId="77777777" w:rsidR="00CF0BED" w:rsidRPr="00EC61CE" w:rsidRDefault="00CF0BED">
      <w:pPr>
        <w:spacing w:after="0" w:line="360" w:lineRule="auto"/>
        <w:jc w:val="both"/>
        <w:rPr>
          <w:rFonts w:ascii="Palatino Linotype" w:eastAsia="Palatino Linotype" w:hAnsi="Palatino Linotype" w:cs="Palatino Linotype"/>
        </w:rPr>
      </w:pPr>
    </w:p>
    <w:p w14:paraId="62F4598B"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Al respecto, la información </w:t>
      </w:r>
      <w:r w:rsidRPr="00EC61CE">
        <w:rPr>
          <w:rFonts w:ascii="Palatino Linotype" w:eastAsia="Palatino Linotype" w:hAnsi="Palatino Linotype" w:cs="Palatino Linotype"/>
          <w:b/>
        </w:rPr>
        <w:t>de los elementos que realizan funciones operativas, entre ellos su nombre debe ser protegido</w:t>
      </w:r>
      <w:r w:rsidRPr="00EC61CE">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31C0369" w14:textId="77777777" w:rsidR="00CF0BED" w:rsidRPr="00EC61CE" w:rsidRDefault="00CF0BED">
      <w:pPr>
        <w:spacing w:after="0" w:line="360" w:lineRule="auto"/>
        <w:jc w:val="both"/>
        <w:rPr>
          <w:rFonts w:ascii="Palatino Linotype" w:eastAsia="Palatino Linotype" w:hAnsi="Palatino Linotype" w:cs="Palatino Linotype"/>
        </w:rPr>
      </w:pPr>
    </w:p>
    <w:p w14:paraId="74BBABC8"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5EBA1349" w14:textId="77777777" w:rsidR="00CF0BED" w:rsidRPr="00EC61CE" w:rsidRDefault="00CF0BE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382CCA2"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BF13904" w14:textId="77777777" w:rsidR="00CF0BED" w:rsidRPr="00EC61CE" w:rsidRDefault="00CF0BE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0254A50"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51A09C47" w14:textId="77777777" w:rsidR="00CF0BED" w:rsidRPr="00EC61CE" w:rsidRDefault="00CF0BED">
      <w:pPr>
        <w:spacing w:after="0" w:line="360" w:lineRule="auto"/>
        <w:rPr>
          <w:rFonts w:ascii="Palatino Linotype" w:eastAsia="Palatino Linotype" w:hAnsi="Palatino Linotype" w:cs="Palatino Linotype"/>
        </w:rPr>
      </w:pPr>
    </w:p>
    <w:p w14:paraId="199838FF"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FCF4302"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Nombres de servidores públicos dedicados a actividades en materia de seguridad, por excepción pueden considerarse información reservada.</w:t>
      </w:r>
      <w:r w:rsidRPr="00EC61CE">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EC61CE">
        <w:rPr>
          <w:rFonts w:ascii="Palatino Linotype" w:eastAsia="Palatino Linotype" w:hAnsi="Palatino Linotype" w:cs="Palatino Linotype"/>
          <w:i/>
        </w:rPr>
        <w:t>obstante</w:t>
      </w:r>
      <w:proofErr w:type="gramEnd"/>
      <w:r w:rsidRPr="00EC61CE">
        <w:rPr>
          <w:rFonts w:ascii="Palatino Linotype" w:eastAsia="Palatino Linotype" w:hAnsi="Palatino Linotype" w:cs="Palatino Linotype"/>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D4AA2A8" w14:textId="77777777" w:rsidR="00CF0BED" w:rsidRPr="00EC61CE" w:rsidRDefault="00CF0BED">
      <w:pPr>
        <w:pBdr>
          <w:top w:val="nil"/>
          <w:left w:val="nil"/>
          <w:bottom w:val="nil"/>
          <w:right w:val="nil"/>
          <w:between w:val="nil"/>
        </w:pBdr>
        <w:spacing w:after="0"/>
        <w:ind w:left="851" w:right="843"/>
        <w:jc w:val="both"/>
        <w:rPr>
          <w:rFonts w:ascii="Palatino Linotype" w:eastAsia="Palatino Linotype" w:hAnsi="Palatino Linotype" w:cs="Palatino Linotype"/>
        </w:rPr>
      </w:pPr>
    </w:p>
    <w:p w14:paraId="434ED57B"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EC61CE">
        <w:rPr>
          <w:rFonts w:ascii="Palatino Linotype" w:eastAsia="Palatino Linotype" w:hAnsi="Palatino Linotype" w:cs="Palatino Linotype"/>
          <w:b/>
        </w:rPr>
        <w:t>funciones de carácter operativo.</w:t>
      </w:r>
    </w:p>
    <w:p w14:paraId="4260B057" w14:textId="77777777" w:rsidR="00CF0BED" w:rsidRPr="00EC61CE" w:rsidRDefault="00222BC5">
      <w:pPr>
        <w:pBdr>
          <w:top w:val="nil"/>
          <w:left w:val="nil"/>
          <w:bottom w:val="nil"/>
          <w:right w:val="nil"/>
          <w:between w:val="nil"/>
        </w:pBd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1259DF96"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rPr>
      </w:pPr>
      <w:r w:rsidRPr="00EC61CE">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EC61CE">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C61CE">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EC61CE">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EC61CE">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1CE33923" w14:textId="77777777" w:rsidR="00CF0BED" w:rsidRPr="00EC61CE" w:rsidRDefault="00CF0BED">
      <w:pPr>
        <w:spacing w:after="0"/>
        <w:ind w:left="851" w:right="843"/>
        <w:rPr>
          <w:rFonts w:ascii="Palatino Linotype" w:eastAsia="Palatino Linotype" w:hAnsi="Palatino Linotype" w:cs="Palatino Linotype"/>
        </w:rPr>
      </w:pPr>
    </w:p>
    <w:p w14:paraId="5413BDAB"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EC61CE">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C61CE">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C61CE">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4602DAE" w14:textId="77777777" w:rsidR="00CF0BED" w:rsidRPr="00EC61CE" w:rsidRDefault="00CF0BED">
      <w:pPr>
        <w:pBdr>
          <w:top w:val="nil"/>
          <w:left w:val="nil"/>
          <w:bottom w:val="nil"/>
          <w:right w:val="nil"/>
          <w:between w:val="nil"/>
        </w:pBdr>
        <w:spacing w:after="0"/>
        <w:ind w:left="851" w:right="843"/>
        <w:jc w:val="both"/>
        <w:rPr>
          <w:rFonts w:ascii="Palatino Linotype" w:eastAsia="Palatino Linotype" w:hAnsi="Palatino Linotype" w:cs="Palatino Linotype"/>
        </w:rPr>
      </w:pPr>
    </w:p>
    <w:p w14:paraId="48C5168C"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Aunado a ello, no escapa de la óptica de este organismo garante que de ser el caso en el que la documentación que se ordena entregar, contenga especificaciones técnicas y equipamiento de las patrullas, dichos datos deberá clasificarse como reservados, pues revelaría la tecnología, sistemas y equipos, con los que cuenta el Ayuntamiento, para el combate a la delincuencia en el Estado de México, pues al proporcionar información sobre el armamento, blindaje y radios con los que cuentan las patrullas adquiridas, se estaría dando cuenta de los aparatos que se utilizan para estar en comunicación los policías, así como, el equipo y armamento especial, con el que cuentan los vehículos, y que es utilizado para mantener la seguridad dentro del territorio Estatal.</w:t>
      </w:r>
    </w:p>
    <w:p w14:paraId="4BFEC463"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Inclusive,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07C0E767" w14:textId="77777777" w:rsidR="00CF0BED" w:rsidRPr="00EC61CE" w:rsidRDefault="00CF0BED">
      <w:pPr>
        <w:spacing w:after="0" w:line="360" w:lineRule="auto"/>
        <w:jc w:val="both"/>
        <w:rPr>
          <w:rFonts w:ascii="Palatino Linotype" w:eastAsia="Palatino Linotype" w:hAnsi="Palatino Linotype" w:cs="Palatino Linotype"/>
        </w:rPr>
      </w:pPr>
    </w:p>
    <w:p w14:paraId="0E7A214E" w14:textId="77777777" w:rsidR="00CF0BED" w:rsidRPr="00EC61CE" w:rsidRDefault="00222BC5">
      <w:pPr>
        <w:spacing w:after="0" w:line="360" w:lineRule="auto"/>
        <w:jc w:val="both"/>
        <w:rPr>
          <w:rFonts w:ascii="Palatino Linotype" w:eastAsia="Palatino Linotype" w:hAnsi="Palatino Linotype" w:cs="Palatino Linotype"/>
          <w:b/>
        </w:rPr>
      </w:pPr>
      <w:r w:rsidRPr="00EC61CE">
        <w:rPr>
          <w:rFonts w:ascii="Palatino Linotype" w:eastAsia="Palatino Linotype" w:hAnsi="Palatino Linotype" w:cs="Palatino Linotype"/>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EC61CE">
        <w:rPr>
          <w:rFonts w:ascii="Palatino Linotype" w:eastAsia="Palatino Linotype" w:hAnsi="Palatino Linotype" w:cs="Palatino Linotype"/>
          <w:b/>
        </w:rPr>
        <w:t xml:space="preserve">que da cuenta de las tecnologías, equipos y sistemas con que cuentan las patrullas con que cuenta la Dirección de Seguridad Pública o análogo, </w:t>
      </w:r>
      <w:r w:rsidRPr="00EC61CE">
        <w:rPr>
          <w:rFonts w:ascii="Palatino Linotype" w:eastAsia="Palatino Linotype" w:hAnsi="Palatino Linotype" w:cs="Palatino Linotype"/>
        </w:rPr>
        <w:t>y por lo tanto, acredita la causal de clasificación prevista en el artículo 140, fracción I, de la Ley de Transparencia y Acceso a la Información Pública del Estado de México</w:t>
      </w:r>
      <w:r w:rsidRPr="00EC61CE">
        <w:rPr>
          <w:rFonts w:ascii="Palatino Linotype" w:eastAsia="Palatino Linotype" w:hAnsi="Palatino Linotype" w:cs="Palatino Linotype"/>
          <w:b/>
        </w:rPr>
        <w:t>.</w:t>
      </w:r>
    </w:p>
    <w:p w14:paraId="7E5C5A5D" w14:textId="77777777" w:rsidR="00CF0BED" w:rsidRPr="00EC61CE" w:rsidRDefault="00CF0BED">
      <w:pPr>
        <w:spacing w:after="0" w:line="360" w:lineRule="auto"/>
        <w:jc w:val="both"/>
        <w:rPr>
          <w:rFonts w:ascii="Palatino Linotype" w:eastAsia="Palatino Linotype" w:hAnsi="Palatino Linotype" w:cs="Palatino Linotype"/>
          <w:b/>
        </w:rPr>
      </w:pPr>
    </w:p>
    <w:p w14:paraId="3803A85B"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F5E8D96" w14:textId="77777777" w:rsidR="00CF0BED" w:rsidRPr="00EC61CE" w:rsidRDefault="00CF0BED">
      <w:pPr>
        <w:spacing w:after="0" w:line="360" w:lineRule="auto"/>
        <w:jc w:val="both"/>
        <w:rPr>
          <w:rFonts w:ascii="Palatino Linotype" w:eastAsia="Palatino Linotype" w:hAnsi="Palatino Linotype" w:cs="Palatino Linotype"/>
        </w:rPr>
      </w:pPr>
    </w:p>
    <w:p w14:paraId="696AAE39" w14:textId="77777777" w:rsidR="00CF0BED" w:rsidRPr="00EC61CE" w:rsidRDefault="00222BC5">
      <w:pPr>
        <w:numPr>
          <w:ilvl w:val="0"/>
          <w:numId w:val="3"/>
        </w:num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La divulgación de la información representa un riesgo real, demostrable e identificable de perjuicio significativo al interés público o a la seguridad nacional.</w:t>
      </w:r>
    </w:p>
    <w:p w14:paraId="3CAAAEED" w14:textId="77777777" w:rsidR="00CF0BED" w:rsidRPr="00EC61CE" w:rsidRDefault="00222BC5">
      <w:pPr>
        <w:numPr>
          <w:ilvl w:val="0"/>
          <w:numId w:val="3"/>
        </w:num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El riesgo de perjuicio supera el interés público general de que se difunda.</w:t>
      </w:r>
    </w:p>
    <w:p w14:paraId="7B059B5A" w14:textId="77777777" w:rsidR="00CF0BED" w:rsidRPr="00EC61CE" w:rsidRDefault="00222BC5">
      <w:pPr>
        <w:numPr>
          <w:ilvl w:val="0"/>
          <w:numId w:val="3"/>
        </w:num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Que la limitación se adecua al principio de proporcionalidad y representa el medio menos restrictivo disponible para evitar el perjuicio.</w:t>
      </w:r>
    </w:p>
    <w:p w14:paraId="2125C30F" w14:textId="77777777" w:rsidR="00CF0BED" w:rsidRPr="00EC61CE" w:rsidRDefault="00CF0BED">
      <w:pPr>
        <w:spacing w:after="0" w:line="360" w:lineRule="auto"/>
        <w:jc w:val="both"/>
        <w:rPr>
          <w:rFonts w:ascii="Palatino Linotype" w:eastAsia="Palatino Linotype" w:hAnsi="Palatino Linotype" w:cs="Palatino Linotype"/>
        </w:rPr>
      </w:pPr>
    </w:p>
    <w:p w14:paraId="40B8D790"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Así, se desprende que es reservada toda aquella información que revele el estado de fuerza, y que puede ser utilizada para poner en riesgo la seguridad pública, como en el caso serían las especificaciones técnicas y equipamiento de patrullas, de advertirse estas en la información que se ordena su entrega; se deberá entregar en versión pública cumpliéndose a cabalidad las formalidades antes indicadas.</w:t>
      </w:r>
    </w:p>
    <w:p w14:paraId="0E32833C" w14:textId="77777777" w:rsidR="00CF0BED" w:rsidRPr="00EC61CE" w:rsidRDefault="00CF0BED">
      <w:pPr>
        <w:spacing w:after="0" w:line="360" w:lineRule="auto"/>
        <w:jc w:val="both"/>
        <w:rPr>
          <w:rFonts w:ascii="Palatino Linotype" w:eastAsia="Palatino Linotype" w:hAnsi="Palatino Linotype" w:cs="Palatino Linotype"/>
        </w:rPr>
      </w:pPr>
    </w:p>
    <w:p w14:paraId="42E1590F" w14:textId="77777777" w:rsidR="00CF0BED" w:rsidRPr="00EC61CE" w:rsidRDefault="00222BC5">
      <w:pPr>
        <w:spacing w:after="0" w:line="360" w:lineRule="auto"/>
        <w:ind w:right="50"/>
        <w:jc w:val="both"/>
        <w:rPr>
          <w:rFonts w:ascii="Palatino Linotype" w:eastAsia="Palatino Linotype" w:hAnsi="Palatino Linotype" w:cs="Palatino Linotype"/>
        </w:rPr>
      </w:pPr>
      <w:r w:rsidRPr="00EC61CE">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A225A22" w14:textId="77777777" w:rsidR="00CF0BED" w:rsidRPr="00EC61CE" w:rsidRDefault="00CF0BED">
      <w:pPr>
        <w:spacing w:after="0" w:line="360" w:lineRule="auto"/>
        <w:ind w:right="50"/>
        <w:jc w:val="both"/>
        <w:rPr>
          <w:rFonts w:ascii="Palatino Linotype" w:eastAsia="Palatino Linotype" w:hAnsi="Palatino Linotype" w:cs="Palatino Linotype"/>
        </w:rPr>
      </w:pPr>
    </w:p>
    <w:p w14:paraId="72E8A157" w14:textId="77777777" w:rsidR="00CF0BED" w:rsidRPr="00EC61CE" w:rsidRDefault="00222BC5">
      <w:pPr>
        <w:spacing w:after="0"/>
        <w:ind w:left="851" w:right="843"/>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 xml:space="preserve"> “Artículo 3. Para los efectos de la presente Ley se entenderá por:</w:t>
      </w:r>
    </w:p>
    <w:p w14:paraId="61828263"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IX. Datos personales:</w:t>
      </w:r>
      <w:r w:rsidRPr="00EC61CE">
        <w:rPr>
          <w:rFonts w:ascii="Palatino Linotype" w:eastAsia="Palatino Linotype" w:hAnsi="Palatino Linotype" w:cs="Palatino Linotype"/>
          <w:i/>
        </w:rPr>
        <w:t xml:space="preserve"> </w:t>
      </w:r>
      <w:r w:rsidRPr="00EC61CE">
        <w:rPr>
          <w:rFonts w:ascii="Palatino Linotype" w:eastAsia="Palatino Linotype" w:hAnsi="Palatino Linotype" w:cs="Palatino Linotype"/>
          <w:b/>
          <w:i/>
        </w:rPr>
        <w:t>La información concerniente a una persona, identificada o identificable</w:t>
      </w:r>
      <w:r w:rsidRPr="00EC61CE">
        <w:rPr>
          <w:rFonts w:ascii="Palatino Linotype" w:eastAsia="Palatino Linotype" w:hAnsi="Palatino Linotype" w:cs="Palatino Linotype"/>
          <w:i/>
        </w:rPr>
        <w:t xml:space="preserve"> según lo dispuesto por la Ley de Protección de Datos Personales del Estado de México;</w:t>
      </w:r>
    </w:p>
    <w:p w14:paraId="66D0EC80"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XX. Información clasificada:</w:t>
      </w:r>
      <w:r w:rsidRPr="00EC61CE">
        <w:rPr>
          <w:rFonts w:ascii="Palatino Linotype" w:eastAsia="Palatino Linotype" w:hAnsi="Palatino Linotype" w:cs="Palatino Linotype"/>
          <w:i/>
        </w:rPr>
        <w:t xml:space="preserve"> Aquella considerada por la presente Ley como reservada o confidencial;</w:t>
      </w:r>
    </w:p>
    <w:p w14:paraId="780DD0D9"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XXXII. Protección de Datos Personales:</w:t>
      </w:r>
      <w:r w:rsidRPr="00EC61CE">
        <w:rPr>
          <w:rFonts w:ascii="Palatino Linotype" w:eastAsia="Palatino Linotype" w:hAnsi="Palatino Linotype" w:cs="Palatino Linotype"/>
          <w:i/>
        </w:rPr>
        <w:t xml:space="preserve"> Derecho humano que tutela la privacidad de datos personales en poder de los sujetos obligados y sujetos particulares;</w:t>
      </w:r>
    </w:p>
    <w:p w14:paraId="451219AE"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XLV. Versión pública</w:t>
      </w:r>
      <w:r w:rsidRPr="00EC61CE">
        <w:rPr>
          <w:rFonts w:ascii="Palatino Linotype" w:eastAsia="Palatino Linotype" w:hAnsi="Palatino Linotype" w:cs="Palatino Linotype"/>
          <w:i/>
        </w:rPr>
        <w:t>: Documento en el que se elimine, suprime o borra la información clasificada como reservada o confidencial para permitir su acceso.”</w:t>
      </w:r>
    </w:p>
    <w:p w14:paraId="627003FF" w14:textId="77777777" w:rsidR="00CF0BED" w:rsidRPr="00EC61CE" w:rsidRDefault="00CF0BED">
      <w:pPr>
        <w:spacing w:after="0"/>
        <w:ind w:left="851" w:right="843"/>
        <w:jc w:val="both"/>
        <w:rPr>
          <w:rFonts w:ascii="Palatino Linotype" w:eastAsia="Palatino Linotype" w:hAnsi="Palatino Linotype" w:cs="Palatino Linotype"/>
          <w:i/>
        </w:rPr>
      </w:pPr>
    </w:p>
    <w:p w14:paraId="7E563B07"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“Artículo 6.</w:t>
      </w:r>
      <w:r w:rsidRPr="00EC61CE">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D23833D" w14:textId="77777777" w:rsidR="00CF0BED" w:rsidRPr="00EC61CE" w:rsidRDefault="00CF0BED">
      <w:pPr>
        <w:spacing w:after="0"/>
        <w:ind w:left="851" w:right="843"/>
        <w:jc w:val="both"/>
        <w:rPr>
          <w:rFonts w:ascii="Palatino Linotype" w:eastAsia="Palatino Linotype" w:hAnsi="Palatino Linotype" w:cs="Palatino Linotype"/>
          <w:i/>
        </w:rPr>
      </w:pPr>
    </w:p>
    <w:p w14:paraId="666E9333" w14:textId="77777777" w:rsidR="00CF0BED" w:rsidRPr="00EC61CE" w:rsidRDefault="00222BC5">
      <w:pPr>
        <w:spacing w:after="0"/>
        <w:ind w:left="851" w:right="843"/>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“Artículo 137.</w:t>
      </w:r>
      <w:r w:rsidRPr="00EC61CE">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B11F5C7" w14:textId="77777777" w:rsidR="00CF0BED" w:rsidRPr="00EC61CE" w:rsidRDefault="00CF0BED">
      <w:pPr>
        <w:spacing w:after="0"/>
        <w:ind w:left="851" w:right="843"/>
        <w:jc w:val="both"/>
        <w:rPr>
          <w:rFonts w:ascii="Palatino Linotype" w:eastAsia="Palatino Linotype" w:hAnsi="Palatino Linotype" w:cs="Palatino Linotype"/>
          <w:b/>
          <w:i/>
        </w:rPr>
      </w:pPr>
    </w:p>
    <w:p w14:paraId="3B0E9C80"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“Artículo 143</w:t>
      </w:r>
      <w:r w:rsidRPr="00EC61CE">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A969FBC"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I.</w:t>
      </w:r>
      <w:r w:rsidRPr="00EC61CE">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F7AC2D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391A040"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64BD9189" w14:textId="77777777" w:rsidR="00CF0BED" w:rsidRPr="00EC61CE" w:rsidRDefault="00CF0BED">
      <w:pPr>
        <w:spacing w:after="0"/>
        <w:ind w:left="993" w:right="1041"/>
        <w:jc w:val="both"/>
        <w:rPr>
          <w:rFonts w:ascii="Palatino Linotype" w:eastAsia="Palatino Linotype" w:hAnsi="Palatino Linotype" w:cs="Palatino Linotype"/>
          <w:i/>
        </w:rPr>
      </w:pPr>
    </w:p>
    <w:p w14:paraId="57853040" w14:textId="77777777" w:rsidR="00CF0BED" w:rsidRPr="00EC61CE" w:rsidRDefault="00222BC5">
      <w:pPr>
        <w:spacing w:after="0" w:line="360" w:lineRule="auto"/>
        <w:ind w:right="51"/>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B98EE47" w14:textId="77777777" w:rsidR="00CF0BED" w:rsidRPr="00EC61CE" w:rsidRDefault="00CF0BED">
      <w:pPr>
        <w:spacing w:after="0" w:line="360" w:lineRule="auto"/>
        <w:ind w:right="51"/>
        <w:jc w:val="both"/>
        <w:rPr>
          <w:rFonts w:ascii="Palatino Linotype" w:eastAsia="Palatino Linotype" w:hAnsi="Palatino Linotype" w:cs="Palatino Linotype"/>
        </w:rPr>
      </w:pPr>
    </w:p>
    <w:p w14:paraId="24F9EA45" w14:textId="77777777" w:rsidR="00CF0BED" w:rsidRPr="00EC61CE" w:rsidRDefault="00222BC5">
      <w:pPr>
        <w:spacing w:after="0" w:line="360" w:lineRule="auto"/>
        <w:ind w:right="50"/>
        <w:jc w:val="both"/>
        <w:rPr>
          <w:rFonts w:ascii="Palatino Linotype" w:eastAsia="Palatino Linotype" w:hAnsi="Palatino Linotype" w:cs="Palatino Linotype"/>
        </w:rPr>
      </w:pPr>
      <w:r w:rsidRPr="00EC61CE">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29D0FB1" w14:textId="77777777" w:rsidR="00CF0BED" w:rsidRPr="00EC61CE" w:rsidRDefault="00CF0BED">
      <w:pPr>
        <w:spacing w:after="0" w:line="360" w:lineRule="auto"/>
        <w:ind w:right="50"/>
        <w:jc w:val="both"/>
        <w:rPr>
          <w:rFonts w:ascii="Palatino Linotype" w:eastAsia="Palatino Linotype" w:hAnsi="Palatino Linotype" w:cs="Palatino Linotype"/>
        </w:rPr>
      </w:pPr>
    </w:p>
    <w:p w14:paraId="7E6FBCBC" w14:textId="77777777" w:rsidR="00CF0BED" w:rsidRPr="00EC61CE" w:rsidRDefault="00222BC5">
      <w:pPr>
        <w:spacing w:after="0" w:line="360" w:lineRule="auto"/>
        <w:ind w:right="51"/>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1FA8646C" w14:textId="77777777" w:rsidR="00CF0BED" w:rsidRPr="00EC61CE" w:rsidRDefault="00CF0BED">
      <w:pPr>
        <w:spacing w:after="0" w:line="360" w:lineRule="auto"/>
        <w:ind w:right="51"/>
        <w:jc w:val="both"/>
        <w:rPr>
          <w:rFonts w:ascii="Palatino Linotype" w:eastAsia="Palatino Linotype" w:hAnsi="Palatino Linotype" w:cs="Palatino Linotype"/>
        </w:rPr>
      </w:pPr>
    </w:p>
    <w:p w14:paraId="1A213AE9"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“Artículo 49.</w:t>
      </w:r>
      <w:r w:rsidRPr="00EC61CE">
        <w:rPr>
          <w:rFonts w:ascii="Palatino Linotype" w:eastAsia="Palatino Linotype" w:hAnsi="Palatino Linotype" w:cs="Palatino Linotype"/>
          <w:i/>
        </w:rPr>
        <w:t xml:space="preserve"> </w:t>
      </w:r>
      <w:r w:rsidRPr="00EC61CE">
        <w:rPr>
          <w:rFonts w:ascii="Palatino Linotype" w:eastAsia="Palatino Linotype" w:hAnsi="Palatino Linotype" w:cs="Palatino Linotype"/>
          <w:b/>
          <w:i/>
        </w:rPr>
        <w:t>Los Comités de Transparencia</w:t>
      </w:r>
      <w:r w:rsidRPr="00EC61CE">
        <w:rPr>
          <w:rFonts w:ascii="Palatino Linotype" w:eastAsia="Palatino Linotype" w:hAnsi="Palatino Linotype" w:cs="Palatino Linotype"/>
          <w:i/>
        </w:rPr>
        <w:t xml:space="preserve"> tendrán las siguientes atribuciones:</w:t>
      </w:r>
    </w:p>
    <w:p w14:paraId="07DDAE8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VIII. Aprobar, modificar o revocar la clasificación de la información</w:t>
      </w:r>
      <w:r w:rsidRPr="00EC61CE">
        <w:rPr>
          <w:rFonts w:ascii="Palatino Linotype" w:eastAsia="Palatino Linotype" w:hAnsi="Palatino Linotype" w:cs="Palatino Linotype"/>
          <w:i/>
        </w:rPr>
        <w:t>…”</w:t>
      </w:r>
    </w:p>
    <w:p w14:paraId="5E7E09A6"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Artículo 53.</w:t>
      </w:r>
      <w:r w:rsidRPr="00EC61CE">
        <w:rPr>
          <w:rFonts w:ascii="Palatino Linotype" w:eastAsia="Palatino Linotype" w:hAnsi="Palatino Linotype" w:cs="Palatino Linotype"/>
          <w:i/>
        </w:rPr>
        <w:t xml:space="preserve"> Las </w:t>
      </w:r>
      <w:r w:rsidRPr="00EC61CE">
        <w:rPr>
          <w:rFonts w:ascii="Palatino Linotype" w:eastAsia="Palatino Linotype" w:hAnsi="Palatino Linotype" w:cs="Palatino Linotype"/>
          <w:b/>
          <w:i/>
        </w:rPr>
        <w:t>Unidades de Transparencia</w:t>
      </w:r>
      <w:r w:rsidRPr="00EC61CE">
        <w:rPr>
          <w:rFonts w:ascii="Palatino Linotype" w:eastAsia="Palatino Linotype" w:hAnsi="Palatino Linotype" w:cs="Palatino Linotype"/>
          <w:i/>
        </w:rPr>
        <w:t xml:space="preserve"> tendrán las siguientes </w:t>
      </w:r>
      <w:r w:rsidRPr="00EC61CE">
        <w:rPr>
          <w:rFonts w:ascii="Palatino Linotype" w:eastAsia="Palatino Linotype" w:hAnsi="Palatino Linotype" w:cs="Palatino Linotype"/>
          <w:b/>
          <w:i/>
        </w:rPr>
        <w:t>funciones</w:t>
      </w:r>
      <w:r w:rsidRPr="00EC61CE">
        <w:rPr>
          <w:rFonts w:ascii="Palatino Linotype" w:eastAsia="Palatino Linotype" w:hAnsi="Palatino Linotype" w:cs="Palatino Linotype"/>
          <w:i/>
        </w:rPr>
        <w:t>:</w:t>
      </w:r>
    </w:p>
    <w:p w14:paraId="24450883"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X. Presentar ante el Comité, el proyecto de clasificación de información</w:t>
      </w:r>
      <w:r w:rsidRPr="00EC61CE">
        <w:rPr>
          <w:rFonts w:ascii="Palatino Linotype" w:eastAsia="Palatino Linotype" w:hAnsi="Palatino Linotype" w:cs="Palatino Linotype"/>
          <w:i/>
        </w:rPr>
        <w:t xml:space="preserve">…” </w:t>
      </w:r>
    </w:p>
    <w:p w14:paraId="07644FF4"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“Artículo 59.</w:t>
      </w:r>
      <w:r w:rsidRPr="00EC61CE">
        <w:rPr>
          <w:rFonts w:ascii="Palatino Linotype" w:eastAsia="Palatino Linotype" w:hAnsi="Palatino Linotype" w:cs="Palatino Linotype"/>
          <w:i/>
        </w:rPr>
        <w:t xml:space="preserve"> Los </w:t>
      </w:r>
      <w:r w:rsidRPr="00EC61CE">
        <w:rPr>
          <w:rFonts w:ascii="Palatino Linotype" w:eastAsia="Palatino Linotype" w:hAnsi="Palatino Linotype" w:cs="Palatino Linotype"/>
          <w:b/>
          <w:i/>
        </w:rPr>
        <w:t>servidores públicos habilitados</w:t>
      </w:r>
      <w:r w:rsidRPr="00EC61CE">
        <w:rPr>
          <w:rFonts w:ascii="Palatino Linotype" w:eastAsia="Palatino Linotype" w:hAnsi="Palatino Linotype" w:cs="Palatino Linotype"/>
          <w:i/>
        </w:rPr>
        <w:t xml:space="preserve"> tendrán las </w:t>
      </w:r>
      <w:r w:rsidRPr="00EC61CE">
        <w:rPr>
          <w:rFonts w:ascii="Palatino Linotype" w:eastAsia="Palatino Linotype" w:hAnsi="Palatino Linotype" w:cs="Palatino Linotype"/>
          <w:b/>
          <w:i/>
        </w:rPr>
        <w:t>funciones</w:t>
      </w:r>
      <w:r w:rsidRPr="00EC61CE">
        <w:rPr>
          <w:rFonts w:ascii="Palatino Linotype" w:eastAsia="Palatino Linotype" w:hAnsi="Palatino Linotype" w:cs="Palatino Linotype"/>
          <w:i/>
        </w:rPr>
        <w:t xml:space="preserve"> siguientes:</w:t>
      </w:r>
    </w:p>
    <w:p w14:paraId="2E5BE64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V. Integrar y presentar al responsable de la Unidad de Transparencia la propuesta de clasificación de información</w:t>
      </w:r>
      <w:r w:rsidRPr="00EC61CE">
        <w:rPr>
          <w:rFonts w:ascii="Palatino Linotype" w:eastAsia="Palatino Linotype" w:hAnsi="Palatino Linotype" w:cs="Palatino Linotype"/>
          <w:i/>
        </w:rPr>
        <w:t>, la cual tendrá los fundamentos y argumentos en que se basa dicha propuesta…” (Sic)</w:t>
      </w:r>
    </w:p>
    <w:p w14:paraId="169D48AC" w14:textId="77777777" w:rsidR="00CF0BED" w:rsidRPr="00EC61CE" w:rsidRDefault="00CF0BED">
      <w:pPr>
        <w:spacing w:after="0" w:line="360" w:lineRule="auto"/>
        <w:ind w:left="992" w:right="1043"/>
        <w:jc w:val="both"/>
        <w:rPr>
          <w:rFonts w:ascii="Palatino Linotype" w:eastAsia="Palatino Linotype" w:hAnsi="Palatino Linotype" w:cs="Palatino Linotype"/>
          <w:i/>
        </w:rPr>
      </w:pPr>
    </w:p>
    <w:p w14:paraId="2AF9A808"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6B00190" w14:textId="77777777" w:rsidR="00CF0BED" w:rsidRPr="00EC61CE" w:rsidRDefault="00CF0BED">
      <w:pPr>
        <w:spacing w:after="0" w:line="360" w:lineRule="auto"/>
        <w:jc w:val="both"/>
        <w:rPr>
          <w:rFonts w:ascii="Palatino Linotype" w:eastAsia="Palatino Linotype" w:hAnsi="Palatino Linotype" w:cs="Palatino Linotype"/>
        </w:rPr>
      </w:pPr>
    </w:p>
    <w:p w14:paraId="6938D62A"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47CF5D4" w14:textId="77777777" w:rsidR="00CF0BED" w:rsidRPr="00EC61CE" w:rsidRDefault="00CF0BED">
      <w:pPr>
        <w:spacing w:after="0" w:line="360" w:lineRule="auto"/>
        <w:jc w:val="both"/>
        <w:rPr>
          <w:rFonts w:ascii="Palatino Linotype" w:eastAsia="Palatino Linotype" w:hAnsi="Palatino Linotype" w:cs="Palatino Linotype"/>
        </w:rPr>
      </w:pPr>
    </w:p>
    <w:p w14:paraId="08EFA76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Artículo 149.</w:t>
      </w:r>
      <w:r w:rsidRPr="00EC61CE">
        <w:rPr>
          <w:rFonts w:ascii="Palatino Linotype" w:eastAsia="Palatino Linotype" w:hAnsi="Palatino Linotype" w:cs="Palatino Linotype"/>
          <w:i/>
        </w:rPr>
        <w:t xml:space="preserve"> El </w:t>
      </w:r>
      <w:r w:rsidRPr="00EC61CE">
        <w:rPr>
          <w:rFonts w:ascii="Palatino Linotype" w:eastAsia="Palatino Linotype" w:hAnsi="Palatino Linotype" w:cs="Palatino Linotype"/>
          <w:b/>
          <w:i/>
        </w:rPr>
        <w:t>acuerdo que clasifique la información como confidencial</w:t>
      </w:r>
      <w:r w:rsidRPr="00EC61CE">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roofErr w:type="gramStart"/>
      <w:r w:rsidRPr="00EC61CE">
        <w:rPr>
          <w:rFonts w:ascii="Palatino Linotype" w:eastAsia="Palatino Linotype" w:hAnsi="Palatino Linotype" w:cs="Palatino Linotype"/>
          <w:i/>
        </w:rPr>
        <w:t>.”(</w:t>
      </w:r>
      <w:proofErr w:type="gramEnd"/>
      <w:r w:rsidRPr="00EC61CE">
        <w:rPr>
          <w:rFonts w:ascii="Palatino Linotype" w:eastAsia="Palatino Linotype" w:hAnsi="Palatino Linotype" w:cs="Palatino Linotype"/>
          <w:i/>
        </w:rPr>
        <w:t>Sic)</w:t>
      </w:r>
    </w:p>
    <w:p w14:paraId="6CF6B92B" w14:textId="77777777" w:rsidR="00CF0BED" w:rsidRPr="00EC61CE" w:rsidRDefault="00CF0BED">
      <w:pPr>
        <w:spacing w:after="0" w:line="360" w:lineRule="auto"/>
        <w:ind w:left="993" w:right="1041"/>
        <w:jc w:val="both"/>
        <w:rPr>
          <w:rFonts w:ascii="Palatino Linotype" w:eastAsia="Palatino Linotype" w:hAnsi="Palatino Linotype" w:cs="Palatino Linotype"/>
          <w:i/>
        </w:rPr>
      </w:pPr>
    </w:p>
    <w:p w14:paraId="502A85C8" w14:textId="77777777" w:rsidR="00CF0BED" w:rsidRPr="00EC61CE" w:rsidRDefault="00222BC5">
      <w:pPr>
        <w:spacing w:after="0" w:line="360" w:lineRule="auto"/>
        <w:ind w:right="51"/>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Es decir,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A5B1783" w14:textId="77777777" w:rsidR="00CF0BED" w:rsidRPr="00EC61CE" w:rsidRDefault="00CF0BED">
      <w:pPr>
        <w:spacing w:after="0" w:line="360" w:lineRule="auto"/>
        <w:ind w:right="50"/>
        <w:jc w:val="both"/>
        <w:rPr>
          <w:rFonts w:ascii="Palatino Linotype" w:eastAsia="Palatino Linotype" w:hAnsi="Palatino Linotype" w:cs="Palatino Linotype"/>
        </w:rPr>
      </w:pPr>
    </w:p>
    <w:p w14:paraId="63A1A580"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C61CE">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C61CE">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4B570015" w14:textId="77777777" w:rsidR="00CF0BED" w:rsidRPr="00EC61CE" w:rsidRDefault="00CF0BED">
      <w:pPr>
        <w:spacing w:after="0"/>
        <w:ind w:left="709" w:right="709"/>
        <w:jc w:val="both"/>
        <w:rPr>
          <w:rFonts w:ascii="Palatino Linotype" w:eastAsia="Palatino Linotype" w:hAnsi="Palatino Linotype" w:cs="Palatino Linotype"/>
          <w:b/>
          <w:i/>
        </w:rPr>
      </w:pPr>
    </w:p>
    <w:p w14:paraId="63AB04A3" w14:textId="77777777" w:rsidR="00CF0BED" w:rsidRPr="00EC61CE" w:rsidRDefault="00222BC5">
      <w:pPr>
        <w:spacing w:after="0"/>
        <w:ind w:left="851" w:right="843"/>
        <w:jc w:val="both"/>
        <w:rPr>
          <w:rFonts w:ascii="Palatino Linotype" w:eastAsia="Palatino Linotype" w:hAnsi="Palatino Linotype" w:cs="Palatino Linotype"/>
          <w:b/>
          <w:i/>
        </w:rPr>
      </w:pPr>
      <w:r w:rsidRPr="00EC61CE">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32DDC75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roofErr w:type="gramStart"/>
      <w:r w:rsidRPr="00EC61CE">
        <w:rPr>
          <w:rFonts w:ascii="Palatino Linotype" w:eastAsia="Palatino Linotype" w:hAnsi="Palatino Linotype" w:cs="Palatino Linotype"/>
          <w:b/>
          <w:i/>
        </w:rPr>
        <w:t>Segundo.-</w:t>
      </w:r>
      <w:proofErr w:type="gramEnd"/>
      <w:r w:rsidRPr="00EC61CE">
        <w:rPr>
          <w:rFonts w:ascii="Palatino Linotype" w:eastAsia="Palatino Linotype" w:hAnsi="Palatino Linotype" w:cs="Palatino Linotype"/>
          <w:i/>
        </w:rPr>
        <w:t xml:space="preserve"> Para efectos de los presentes Lineamientos Generales, se entenderá por:</w:t>
      </w:r>
    </w:p>
    <w:p w14:paraId="0135448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XVIII.</w:t>
      </w:r>
      <w:r w:rsidRPr="00EC61CE">
        <w:rPr>
          <w:rFonts w:ascii="Palatino Linotype" w:eastAsia="Palatino Linotype" w:hAnsi="Palatino Linotype" w:cs="Palatino Linotype"/>
          <w:i/>
        </w:rPr>
        <w:t xml:space="preserve"> </w:t>
      </w:r>
      <w:r w:rsidRPr="00EC61CE">
        <w:rPr>
          <w:rFonts w:ascii="Palatino Linotype" w:eastAsia="Palatino Linotype" w:hAnsi="Palatino Linotype" w:cs="Palatino Linotype"/>
          <w:b/>
          <w:i/>
        </w:rPr>
        <w:t>Versión pública:</w:t>
      </w:r>
      <w:r w:rsidRPr="00EC61CE">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EC61CE">
        <w:rPr>
          <w:rFonts w:ascii="Palatino Linotype" w:eastAsia="Palatino Linotype" w:hAnsi="Palatino Linotype" w:cs="Palatino Linotype"/>
          <w:b/>
          <w:i/>
          <w:u w:val="single"/>
        </w:rPr>
        <w:t>fundando y motivando la</w:t>
      </w:r>
      <w:r w:rsidRPr="00EC61CE">
        <w:rPr>
          <w:rFonts w:ascii="Palatino Linotype" w:eastAsia="Palatino Linotype" w:hAnsi="Palatino Linotype" w:cs="Palatino Linotype"/>
          <w:i/>
        </w:rPr>
        <w:t xml:space="preserve"> reserva o </w:t>
      </w:r>
      <w:r w:rsidRPr="00EC61CE">
        <w:rPr>
          <w:rFonts w:ascii="Palatino Linotype" w:eastAsia="Palatino Linotype" w:hAnsi="Palatino Linotype" w:cs="Palatino Linotype"/>
          <w:b/>
          <w:i/>
          <w:u w:val="single"/>
        </w:rPr>
        <w:t>confidencialidad</w:t>
      </w:r>
      <w:r w:rsidRPr="00EC61CE">
        <w:rPr>
          <w:rFonts w:ascii="Palatino Linotype" w:eastAsia="Palatino Linotype" w:hAnsi="Palatino Linotype" w:cs="Palatino Linotype"/>
          <w:i/>
        </w:rPr>
        <w:t>, a través de la resolución que para tal efecto emita el Comité de Transparencia.</w:t>
      </w:r>
    </w:p>
    <w:p w14:paraId="739396EF"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Cuarto.</w:t>
      </w:r>
      <w:r w:rsidRPr="00EC61CE">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12342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566AB2E"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Quinto.</w:t>
      </w:r>
      <w:r w:rsidRPr="00EC61CE">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C1F1B5"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Séptimo.</w:t>
      </w:r>
      <w:r w:rsidRPr="00EC61CE">
        <w:rPr>
          <w:rFonts w:ascii="Palatino Linotype" w:eastAsia="Palatino Linotype" w:hAnsi="Palatino Linotype" w:cs="Palatino Linotype"/>
          <w:i/>
        </w:rPr>
        <w:t xml:space="preserve"> La clasificación de la información se llevará a cabo en el momento en que:</w:t>
      </w:r>
    </w:p>
    <w:p w14:paraId="516286BE"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I.</w:t>
      </w:r>
      <w:r w:rsidRPr="00EC61CE">
        <w:rPr>
          <w:rFonts w:ascii="Palatino Linotype" w:eastAsia="Palatino Linotype" w:hAnsi="Palatino Linotype" w:cs="Palatino Linotype"/>
          <w:i/>
        </w:rPr>
        <w:t xml:space="preserve"> Se reciba una solicitud de acceso a la información;</w:t>
      </w:r>
    </w:p>
    <w:p w14:paraId="4BD806A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II.</w:t>
      </w:r>
      <w:r w:rsidRPr="00EC61CE">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 </w:t>
      </w:r>
    </w:p>
    <w:p w14:paraId="39834600"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III.</w:t>
      </w:r>
      <w:r w:rsidRPr="00EC61CE">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7C213CF9"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222D078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Octavo.</w:t>
      </w:r>
      <w:r w:rsidRPr="00EC61CE">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86B59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EF20D45"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16F3E39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Noveno.</w:t>
      </w:r>
      <w:r w:rsidRPr="00EC61CE">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6FC5D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Décimo.</w:t>
      </w:r>
      <w:r w:rsidRPr="00EC61CE">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04BD37"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CDBBC19"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Décimo primero.</w:t>
      </w:r>
      <w:r w:rsidRPr="00EC61CE">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4CBF21C" w14:textId="77777777" w:rsidR="00CF0BED" w:rsidRPr="00EC61CE" w:rsidRDefault="00222BC5">
      <w:pPr>
        <w:spacing w:after="0"/>
        <w:ind w:left="851" w:right="843"/>
        <w:jc w:val="both"/>
        <w:rPr>
          <w:rFonts w:ascii="Palatino Linotype" w:eastAsia="Palatino Linotype" w:hAnsi="Palatino Linotype" w:cs="Palatino Linotype"/>
          <w:b/>
          <w:i/>
        </w:rPr>
      </w:pPr>
      <w:r w:rsidRPr="00EC61CE">
        <w:rPr>
          <w:rFonts w:ascii="Palatino Linotype" w:eastAsia="Palatino Linotype" w:hAnsi="Palatino Linotype" w:cs="Palatino Linotype"/>
          <w:i/>
        </w:rPr>
        <w:t>[…]</w:t>
      </w:r>
    </w:p>
    <w:p w14:paraId="5F13ECB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 xml:space="preserve">Quincuagésimo. </w:t>
      </w:r>
      <w:r w:rsidRPr="00EC61CE">
        <w:rPr>
          <w:rFonts w:ascii="Palatino Linotype" w:eastAsia="Palatino Linotype" w:hAnsi="Palatino Linotype" w:cs="Palatino Linotype"/>
          <w:i/>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A6D32CD"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Quincuagésimo primero.</w:t>
      </w:r>
      <w:r w:rsidRPr="00EC61CE">
        <w:rPr>
          <w:rFonts w:ascii="Palatino Linotype" w:eastAsia="Palatino Linotype" w:hAnsi="Palatino Linotype" w:cs="Palatino Linotype"/>
          <w:i/>
        </w:rPr>
        <w:t xml:space="preserve"> Toda acta del Comité de Transparencia deberá contener: </w:t>
      </w:r>
    </w:p>
    <w:p w14:paraId="6A42A1C9"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 El número de sesión y fecha; </w:t>
      </w:r>
    </w:p>
    <w:p w14:paraId="19458885"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 El nombre del área que solicitó la clasificación de información; </w:t>
      </w:r>
    </w:p>
    <w:p w14:paraId="1B930A65"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III. La fundamentación legal y motivación correspondiente; </w:t>
      </w:r>
    </w:p>
    <w:p w14:paraId="73028161"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IV. La resolución o resoluciones aprobadas; y </w:t>
      </w:r>
    </w:p>
    <w:p w14:paraId="422A6B63"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V. La rúbrica o firma digital de cada integrante del Comité de Transparencia. </w:t>
      </w:r>
    </w:p>
    <w:p w14:paraId="70668642"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28399541"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 Los motivos y razonamientos que sustenten la confirmación o modificación de la prueba de daño;</w:t>
      </w:r>
    </w:p>
    <w:p w14:paraId="441F9B15"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 Descripción de las partes o secciones reservadas, en caso de clasificación parcial; </w:t>
      </w:r>
    </w:p>
    <w:p w14:paraId="0B8D3E83"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III. El periodo por el que mantendrá su clasificación y fecha de expiración; y </w:t>
      </w:r>
    </w:p>
    <w:p w14:paraId="44A3DED0"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IV. El nombre del titular y área encargada de realizar la versión pública del documento, en su caso. </w:t>
      </w:r>
    </w:p>
    <w:p w14:paraId="5DA7A661"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3A6C8C2"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070751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Quincuagésimo segundo.</w:t>
      </w:r>
      <w:r w:rsidRPr="00EC61CE">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EC61CE">
        <w:rPr>
          <w:rFonts w:ascii="Palatino Linotype" w:eastAsia="Palatino Linotype" w:hAnsi="Palatino Linotype" w:cs="Palatino Linotype"/>
          <w:i/>
        </w:rPr>
        <w:t>sobreposición</w:t>
      </w:r>
      <w:proofErr w:type="spellEnd"/>
      <w:r w:rsidRPr="00EC61CE">
        <w:rPr>
          <w:rFonts w:ascii="Palatino Linotype" w:eastAsia="Palatino Linotype" w:hAnsi="Palatino Linotype" w:cs="Palatino Linotype"/>
          <w:i/>
        </w:rPr>
        <w:t xml:space="preserve"> de contenido distinto al autorizado por el Comité.</w:t>
      </w:r>
    </w:p>
    <w:p w14:paraId="65480F06"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8755111"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 Fijar la fecha en que se elaboró la versión pública y la fecha en la cual el Comité de Transparencia confirmó dicha versión;</w:t>
      </w:r>
    </w:p>
    <w:p w14:paraId="67B3C4A0"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68B2AF4"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III. Señalar las personas o instancias autorizadas a acceder a la información clasificada.</w:t>
      </w:r>
    </w:p>
    <w:p w14:paraId="53FBC402"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C9B53D2" w14:textId="77777777" w:rsidR="00CF0BED" w:rsidRPr="00EC61CE" w:rsidRDefault="00CF0BED">
      <w:pPr>
        <w:spacing w:after="0"/>
        <w:ind w:left="567" w:right="616"/>
        <w:jc w:val="both"/>
        <w:rPr>
          <w:rFonts w:ascii="Palatino Linotype" w:eastAsia="Palatino Linotype" w:hAnsi="Palatino Linotype" w:cs="Palatino Linotype"/>
        </w:rPr>
      </w:pPr>
    </w:p>
    <w:p w14:paraId="6DEB89FC"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0197B91"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r w:rsidRPr="00EC61CE">
        <w:rPr>
          <w:rFonts w:ascii="Palatino Linotype" w:eastAsia="Palatino Linotype" w:hAnsi="Palatino Linotype" w:cs="Palatino Linotype"/>
          <w:b/>
          <w:i/>
        </w:rPr>
        <w:t>Quincuagésimo cuarto.</w:t>
      </w:r>
      <w:r w:rsidRPr="00EC61CE">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CA61641"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Quincuagésimo quinto.</w:t>
      </w:r>
      <w:r w:rsidRPr="00EC61CE">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EC61CE">
        <w:rPr>
          <w:rFonts w:ascii="Palatino Linotype" w:eastAsia="Palatino Linotype" w:hAnsi="Palatino Linotype" w:cs="Palatino Linotype"/>
          <w:i/>
        </w:rPr>
        <w:t>testado</w:t>
      </w:r>
      <w:proofErr w:type="spellEnd"/>
      <w:r w:rsidRPr="00EC61CE">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AB0BEBD"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w:t>
      </w:r>
    </w:p>
    <w:p w14:paraId="29923B5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b/>
          <w:i/>
        </w:rPr>
        <w:t>Quincuagésimo séptimo.</w:t>
      </w:r>
      <w:r w:rsidRPr="00EC61CE">
        <w:rPr>
          <w:rFonts w:ascii="Palatino Linotype" w:eastAsia="Palatino Linotype" w:hAnsi="Palatino Linotype" w:cs="Palatino Linotype"/>
          <w:i/>
        </w:rPr>
        <w:t xml:space="preserve"> Se considera, en principio, como información pública y no podrá omitirse de las versiones públicas la siguiente: </w:t>
      </w:r>
    </w:p>
    <w:p w14:paraId="69FB5AE9"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ADB827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02293008"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1244EE5"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8F34C35" w14:textId="77777777" w:rsidR="00CF0BED" w:rsidRPr="00EC61CE" w:rsidRDefault="00222BC5">
      <w:pPr>
        <w:spacing w:after="0"/>
        <w:ind w:left="851" w:right="843"/>
        <w:jc w:val="both"/>
        <w:rPr>
          <w:rFonts w:ascii="Palatino Linotype" w:eastAsia="Palatino Linotype" w:hAnsi="Palatino Linotype" w:cs="Palatino Linotype"/>
          <w:i/>
        </w:rPr>
      </w:pPr>
      <w:r w:rsidRPr="00EC61CE">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58BF73C0" w14:textId="77777777" w:rsidR="00CF0BED" w:rsidRPr="00EC61CE" w:rsidRDefault="00CF0BED">
      <w:pPr>
        <w:spacing w:after="0"/>
        <w:ind w:left="851" w:right="843"/>
        <w:jc w:val="both"/>
        <w:rPr>
          <w:rFonts w:ascii="Palatino Linotype" w:eastAsia="Palatino Linotype" w:hAnsi="Palatino Linotype" w:cs="Palatino Linotype"/>
          <w:i/>
        </w:rPr>
      </w:pPr>
    </w:p>
    <w:p w14:paraId="43C86611"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7A00616E" w14:textId="77777777" w:rsidR="00CF0BED" w:rsidRPr="00EC61CE" w:rsidRDefault="00CF0BED">
      <w:pPr>
        <w:spacing w:after="0" w:line="360" w:lineRule="auto"/>
        <w:jc w:val="both"/>
        <w:rPr>
          <w:rFonts w:ascii="Palatino Linotype" w:eastAsia="Palatino Linotype" w:hAnsi="Palatino Linotype" w:cs="Palatino Linotype"/>
        </w:rPr>
      </w:pPr>
    </w:p>
    <w:p w14:paraId="7BA6AF32" w14:textId="77777777" w:rsidR="00CF0BED" w:rsidRPr="00EC61CE" w:rsidRDefault="00222BC5">
      <w:pPr>
        <w:shd w:val="clear" w:color="auto" w:fill="FFFFFF"/>
        <w:spacing w:after="0" w:line="360" w:lineRule="auto"/>
        <w:ind w:right="51"/>
        <w:jc w:val="both"/>
        <w:rPr>
          <w:rFonts w:ascii="Palatino Linotype" w:eastAsia="Palatino Linotype" w:hAnsi="Palatino Linotype" w:cs="Palatino Linotype"/>
        </w:rPr>
      </w:pPr>
      <w:r w:rsidRPr="00EC61C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449C0348" w14:textId="77777777" w:rsidR="00CF0BED" w:rsidRPr="00EC61CE" w:rsidRDefault="00CF0BED">
      <w:pPr>
        <w:shd w:val="clear" w:color="auto" w:fill="FFFFFF"/>
        <w:spacing w:after="0" w:line="360" w:lineRule="auto"/>
        <w:ind w:right="51"/>
        <w:jc w:val="both"/>
        <w:rPr>
          <w:rFonts w:ascii="Palatino Linotype" w:eastAsia="Palatino Linotype" w:hAnsi="Palatino Linotype" w:cs="Palatino Linotype"/>
        </w:rPr>
      </w:pPr>
    </w:p>
    <w:p w14:paraId="3036AD36"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C9FB21B" w14:textId="77777777" w:rsidR="00CF0BED" w:rsidRPr="00EC61CE" w:rsidRDefault="00CF0BED">
      <w:pPr>
        <w:spacing w:after="0" w:line="360" w:lineRule="auto"/>
        <w:ind w:right="49"/>
        <w:jc w:val="both"/>
        <w:rPr>
          <w:rFonts w:ascii="Palatino Linotype" w:eastAsia="Palatino Linotype" w:hAnsi="Palatino Linotype" w:cs="Palatino Linotype"/>
        </w:rPr>
      </w:pPr>
    </w:p>
    <w:p w14:paraId="55808635"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3EA97546" w14:textId="77777777" w:rsidR="00CF0BED" w:rsidRPr="00EC61CE" w:rsidRDefault="00222BC5">
      <w:pPr>
        <w:spacing w:after="0" w:line="360" w:lineRule="auto"/>
        <w:jc w:val="center"/>
        <w:rPr>
          <w:rFonts w:ascii="Palatino Linotype" w:eastAsia="Palatino Linotype" w:hAnsi="Palatino Linotype" w:cs="Palatino Linotype"/>
          <w:b/>
        </w:rPr>
      </w:pPr>
      <w:r w:rsidRPr="00EC61CE">
        <w:rPr>
          <w:rFonts w:ascii="Palatino Linotype" w:eastAsia="Palatino Linotype" w:hAnsi="Palatino Linotype" w:cs="Palatino Linotype"/>
          <w:b/>
        </w:rPr>
        <w:t>R E S U E L V E</w:t>
      </w:r>
    </w:p>
    <w:p w14:paraId="0604C5FD" w14:textId="77777777" w:rsidR="00CF0BED" w:rsidRPr="00EC61CE" w:rsidRDefault="00CF0BED">
      <w:pPr>
        <w:spacing w:after="0" w:line="360" w:lineRule="auto"/>
        <w:ind w:left="1080"/>
        <w:jc w:val="center"/>
        <w:rPr>
          <w:rFonts w:ascii="Palatino Linotype" w:eastAsia="Palatino Linotype" w:hAnsi="Palatino Linotype" w:cs="Palatino Linotype"/>
          <w:b/>
        </w:rPr>
      </w:pPr>
    </w:p>
    <w:p w14:paraId="002C404C"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Primero. </w:t>
      </w:r>
      <w:r w:rsidRPr="00EC61CE">
        <w:rPr>
          <w:rFonts w:ascii="Palatino Linotype" w:eastAsia="Palatino Linotype" w:hAnsi="Palatino Linotype" w:cs="Palatino Linotype"/>
        </w:rPr>
        <w:t xml:space="preserve">Resultan fundados los motivos de inconformidad hechos valer por la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en el Recurso de Revisión </w:t>
      </w:r>
      <w:r w:rsidRPr="00EC61CE">
        <w:rPr>
          <w:rFonts w:ascii="Palatino Linotype" w:eastAsia="Palatino Linotype" w:hAnsi="Palatino Linotype" w:cs="Palatino Linotype"/>
          <w:b/>
        </w:rPr>
        <w:t xml:space="preserve">07949/INFOEM/IP/RR/2025, </w:t>
      </w:r>
      <w:r w:rsidRPr="00EC61CE">
        <w:rPr>
          <w:rFonts w:ascii="Palatino Linotype" w:eastAsia="Palatino Linotype" w:hAnsi="Palatino Linotype" w:cs="Palatino Linotype"/>
        </w:rPr>
        <w:t xml:space="preserve">por lo que, en términos del considerando </w:t>
      </w:r>
      <w:r w:rsidRPr="00EC61CE">
        <w:rPr>
          <w:rFonts w:ascii="Palatino Linotype" w:eastAsia="Palatino Linotype" w:hAnsi="Palatino Linotype" w:cs="Palatino Linotype"/>
          <w:b/>
        </w:rPr>
        <w:t xml:space="preserve">Cuarto </w:t>
      </w:r>
      <w:r w:rsidRPr="00EC61CE">
        <w:rPr>
          <w:rFonts w:ascii="Palatino Linotype" w:eastAsia="Palatino Linotype" w:hAnsi="Palatino Linotype" w:cs="Palatino Linotype"/>
        </w:rPr>
        <w:t xml:space="preserve">de esta resolución, se </w:t>
      </w:r>
      <w:r w:rsidRPr="00EC61CE">
        <w:rPr>
          <w:rFonts w:ascii="Palatino Linotype" w:eastAsia="Palatino Linotype" w:hAnsi="Palatino Linotype" w:cs="Palatino Linotype"/>
          <w:b/>
        </w:rPr>
        <w:t xml:space="preserve">Modifica </w:t>
      </w:r>
      <w:r w:rsidRPr="00EC61CE">
        <w:rPr>
          <w:rFonts w:ascii="Palatino Linotype" w:eastAsia="Palatino Linotype" w:hAnsi="Palatino Linotype" w:cs="Palatino Linotype"/>
        </w:rPr>
        <w:t xml:space="preserve">la respuesta emitida por el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w:t>
      </w:r>
    </w:p>
    <w:p w14:paraId="3CAB5EBA" w14:textId="77777777" w:rsidR="00CF0BED" w:rsidRPr="00EC61CE" w:rsidRDefault="00CF0BED">
      <w:pPr>
        <w:spacing w:after="0" w:line="360" w:lineRule="auto"/>
        <w:jc w:val="both"/>
        <w:rPr>
          <w:rFonts w:ascii="Palatino Linotype" w:eastAsia="Palatino Linotype" w:hAnsi="Palatino Linotype" w:cs="Palatino Linotype"/>
        </w:rPr>
      </w:pPr>
    </w:p>
    <w:p w14:paraId="155DEB7A" w14:textId="77777777" w:rsidR="00CF0BED" w:rsidRPr="00EC61CE" w:rsidRDefault="00222BC5">
      <w:pPr>
        <w:spacing w:after="0" w:line="360" w:lineRule="auto"/>
        <w:jc w:val="both"/>
        <w:rPr>
          <w:rFonts w:ascii="Palatino Linotype" w:eastAsia="Palatino Linotype" w:hAnsi="Palatino Linotype" w:cs="Palatino Linotype"/>
        </w:rPr>
      </w:pPr>
      <w:bookmarkStart w:id="4" w:name="_heading=h.kelgs2428oa6" w:colFirst="0" w:colLast="0"/>
      <w:bookmarkEnd w:id="4"/>
      <w:r w:rsidRPr="00EC61CE">
        <w:rPr>
          <w:rFonts w:ascii="Palatino Linotype" w:eastAsia="Palatino Linotype" w:hAnsi="Palatino Linotype" w:cs="Palatino Linotype"/>
          <w:b/>
        </w:rPr>
        <w:t xml:space="preserve">Segundo. </w:t>
      </w:r>
      <w:r w:rsidRPr="00EC61CE">
        <w:rPr>
          <w:rFonts w:ascii="Palatino Linotype" w:eastAsia="Palatino Linotype" w:hAnsi="Palatino Linotype" w:cs="Palatino Linotype"/>
        </w:rPr>
        <w:t>Se</w:t>
      </w:r>
      <w:r w:rsidRPr="00EC61CE">
        <w:rPr>
          <w:rFonts w:ascii="Palatino Linotype" w:eastAsia="Palatino Linotype" w:hAnsi="Palatino Linotype" w:cs="Palatino Linotype"/>
          <w:b/>
        </w:rPr>
        <w:t xml:space="preserve"> ordena </w:t>
      </w:r>
      <w:r w:rsidRPr="00EC61CE">
        <w:rPr>
          <w:rFonts w:ascii="Palatino Linotype" w:eastAsia="Palatino Linotype" w:hAnsi="Palatino Linotype" w:cs="Palatino Linotype"/>
        </w:rPr>
        <w:t xml:space="preserve">al </w:t>
      </w:r>
      <w:r w:rsidRPr="00EC61CE">
        <w:rPr>
          <w:rFonts w:ascii="Palatino Linotype" w:eastAsia="Palatino Linotype" w:hAnsi="Palatino Linotype" w:cs="Palatino Linotype"/>
          <w:b/>
        </w:rPr>
        <w:t>Sujeto Obligado</w:t>
      </w:r>
      <w:r w:rsidRPr="00EC61CE">
        <w:rPr>
          <w:rFonts w:ascii="Palatino Linotype" w:eastAsia="Palatino Linotype" w:hAnsi="Palatino Linotype" w:cs="Palatino Linotype"/>
        </w:rPr>
        <w:t xml:space="preserve"> en términos de los Considerandos </w:t>
      </w:r>
      <w:r w:rsidRPr="00EC61CE">
        <w:rPr>
          <w:rFonts w:ascii="Palatino Linotype" w:eastAsia="Palatino Linotype" w:hAnsi="Palatino Linotype" w:cs="Palatino Linotype"/>
          <w:b/>
        </w:rPr>
        <w:t xml:space="preserve">Cuarto </w:t>
      </w:r>
      <w:r w:rsidRPr="00EC61CE">
        <w:rPr>
          <w:rFonts w:ascii="Palatino Linotype" w:eastAsia="Palatino Linotype" w:hAnsi="Palatino Linotype" w:cs="Palatino Linotype"/>
        </w:rPr>
        <w:t xml:space="preserve">y </w:t>
      </w:r>
      <w:r w:rsidRPr="00EC61CE">
        <w:rPr>
          <w:rFonts w:ascii="Palatino Linotype" w:eastAsia="Palatino Linotype" w:hAnsi="Palatino Linotype" w:cs="Palatino Linotype"/>
          <w:b/>
        </w:rPr>
        <w:t xml:space="preserve">Quinto </w:t>
      </w:r>
      <w:r w:rsidRPr="00EC61CE">
        <w:rPr>
          <w:rFonts w:ascii="Palatino Linotype" w:eastAsia="Palatino Linotype" w:hAnsi="Palatino Linotype" w:cs="Palatino Linotype"/>
        </w:rPr>
        <w:t xml:space="preserve">de esta resolución, haga entrega, vía </w:t>
      </w:r>
      <w:r w:rsidRPr="00EC61CE">
        <w:rPr>
          <w:rFonts w:ascii="Palatino Linotype" w:eastAsia="Palatino Linotype" w:hAnsi="Palatino Linotype" w:cs="Palatino Linotype"/>
          <w:b/>
        </w:rPr>
        <w:t xml:space="preserve">SAIMEX, </w:t>
      </w:r>
      <w:r w:rsidRPr="00EC61CE">
        <w:rPr>
          <w:rFonts w:ascii="Palatino Linotype" w:eastAsia="Palatino Linotype" w:hAnsi="Palatino Linotype" w:cs="Palatino Linotype"/>
        </w:rPr>
        <w:t>de ser procedente</w:t>
      </w:r>
      <w:r w:rsidRPr="00EC61CE">
        <w:rPr>
          <w:rFonts w:ascii="Palatino Linotype" w:eastAsia="Palatino Linotype" w:hAnsi="Palatino Linotype" w:cs="Palatino Linotype"/>
          <w:b/>
        </w:rPr>
        <w:t xml:space="preserve"> </w:t>
      </w:r>
      <w:r w:rsidRPr="00EC61CE">
        <w:rPr>
          <w:rFonts w:ascii="Palatino Linotype" w:eastAsia="Palatino Linotype" w:hAnsi="Palatino Linotype" w:cs="Palatino Linotype"/>
        </w:rPr>
        <w:t>en versión pública, de lo siguiente:</w:t>
      </w:r>
    </w:p>
    <w:p w14:paraId="4F1F6A61" w14:textId="77777777" w:rsidR="00CF0BED" w:rsidRPr="00EC61CE" w:rsidRDefault="00222BC5">
      <w:pPr>
        <w:numPr>
          <w:ilvl w:val="0"/>
          <w:numId w:val="2"/>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rPr>
      </w:pPr>
      <w:r w:rsidRPr="00EC61CE">
        <w:rPr>
          <w:rFonts w:ascii="Palatino Linotype" w:eastAsia="Palatino Linotype" w:hAnsi="Palatino Linotype" w:cs="Palatino Linotype"/>
          <w:b/>
        </w:rPr>
        <w:t xml:space="preserve">Bitácoras de Consumo de Gasolina / Diésel faltantes, incluyendo </w:t>
      </w:r>
      <w:proofErr w:type="gramStart"/>
      <w:r w:rsidRPr="00EC61CE">
        <w:rPr>
          <w:rFonts w:ascii="Palatino Linotype" w:eastAsia="Palatino Linotype" w:hAnsi="Palatino Linotype" w:cs="Palatino Linotype"/>
          <w:b/>
        </w:rPr>
        <w:t>las remitidos</w:t>
      </w:r>
      <w:proofErr w:type="gramEnd"/>
      <w:r w:rsidRPr="00EC61CE">
        <w:rPr>
          <w:rFonts w:ascii="Palatino Linotype" w:eastAsia="Palatino Linotype" w:hAnsi="Palatino Linotype" w:cs="Palatino Linotype"/>
          <w:b/>
        </w:rPr>
        <w:t xml:space="preserve"> en respuesta, en correcta versión pública, del primero de enero al veintinueve de mayo de dos mil veinticinco. </w:t>
      </w:r>
    </w:p>
    <w:p w14:paraId="0340FAE3" w14:textId="77777777" w:rsidR="00CF0BED" w:rsidRPr="00EC61CE" w:rsidRDefault="00222BC5">
      <w:pPr>
        <w:numPr>
          <w:ilvl w:val="0"/>
          <w:numId w:val="2"/>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rPr>
      </w:pPr>
      <w:r w:rsidRPr="00EC61CE">
        <w:rPr>
          <w:rFonts w:ascii="Palatino Linotype" w:eastAsia="Palatino Linotype" w:hAnsi="Palatino Linotype" w:cs="Palatino Linotype"/>
          <w:b/>
        </w:rPr>
        <w:t>Facturas por concepto de combustible faltantes, del primero de enero al veintinueve de mayo de dos mil veinticinco.</w:t>
      </w:r>
    </w:p>
    <w:p w14:paraId="6EE57C4D" w14:textId="77777777" w:rsidR="00CF0BED" w:rsidRPr="00EC61CE" w:rsidRDefault="00222BC5">
      <w:pPr>
        <w:numPr>
          <w:ilvl w:val="0"/>
          <w:numId w:val="2"/>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rPr>
      </w:pPr>
      <w:r w:rsidRPr="00EC61CE">
        <w:rPr>
          <w:rFonts w:ascii="Palatino Linotype" w:eastAsia="Palatino Linotype" w:hAnsi="Palatino Linotype" w:cs="Palatino Linotype"/>
          <w:b/>
        </w:rPr>
        <w:t xml:space="preserve">El documento que dé cuenta del nombre de los servidores públicos a los que se les designó gasolina y/o diésel de las bitácoras de consumo del primero de enero al veintinueve de mayo de dos mil veinticinco. </w:t>
      </w:r>
    </w:p>
    <w:p w14:paraId="74DE8BC2" w14:textId="77777777" w:rsidR="00CF0BED" w:rsidRPr="00EC61CE" w:rsidRDefault="00CF0BED">
      <w:pPr>
        <w:pBdr>
          <w:top w:val="nil"/>
          <w:left w:val="nil"/>
          <w:bottom w:val="nil"/>
          <w:right w:val="nil"/>
          <w:between w:val="nil"/>
        </w:pBdr>
        <w:spacing w:after="0"/>
        <w:ind w:left="851" w:right="843"/>
        <w:jc w:val="both"/>
        <w:rPr>
          <w:rFonts w:ascii="Palatino Linotype" w:eastAsia="Palatino Linotype" w:hAnsi="Palatino Linotype" w:cs="Palatino Linotype"/>
          <w:i/>
        </w:rPr>
      </w:pPr>
    </w:p>
    <w:p w14:paraId="18A49714" w14:textId="77777777" w:rsidR="00CF0BED" w:rsidRPr="00EC61CE" w:rsidRDefault="00222BC5">
      <w:pPr>
        <w:pBdr>
          <w:top w:val="nil"/>
          <w:left w:val="nil"/>
          <w:bottom w:val="nil"/>
          <w:right w:val="nil"/>
          <w:between w:val="nil"/>
        </w:pBdr>
        <w:spacing w:after="0"/>
        <w:ind w:left="851" w:right="843"/>
        <w:jc w:val="both"/>
        <w:rPr>
          <w:rFonts w:ascii="Palatino Linotype" w:eastAsia="Palatino Linotype" w:hAnsi="Palatino Linotype" w:cs="Palatino Linotype"/>
          <w:i/>
        </w:rPr>
      </w:pPr>
      <w:bookmarkStart w:id="5" w:name="_heading=h.zda59nd5rljk" w:colFirst="0" w:colLast="0"/>
      <w:bookmarkEnd w:id="5"/>
      <w:r w:rsidRPr="00EC61CE">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14:paraId="7D4488A5" w14:textId="77777777" w:rsidR="00CF0BED" w:rsidRPr="00EC61CE" w:rsidRDefault="00CF0BED">
      <w:pPr>
        <w:spacing w:after="0" w:line="360" w:lineRule="auto"/>
        <w:jc w:val="both"/>
        <w:rPr>
          <w:rFonts w:ascii="Palatino Linotype" w:eastAsia="Palatino Linotype" w:hAnsi="Palatino Linotype" w:cs="Palatino Linotype"/>
        </w:rPr>
      </w:pPr>
    </w:p>
    <w:p w14:paraId="493B0C7D"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Tercero. Notifíquese vía SAIMEX, </w:t>
      </w:r>
      <w:r w:rsidRPr="00EC61CE">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5AFCA3" w14:textId="77777777" w:rsidR="00CF0BED" w:rsidRPr="00EC61CE" w:rsidRDefault="00CF0BED">
      <w:pPr>
        <w:spacing w:after="0" w:line="360" w:lineRule="auto"/>
        <w:jc w:val="both"/>
        <w:rPr>
          <w:rFonts w:ascii="Palatino Linotype" w:eastAsia="Palatino Linotype" w:hAnsi="Palatino Linotype" w:cs="Palatino Linotype"/>
        </w:rPr>
      </w:pPr>
    </w:p>
    <w:p w14:paraId="329AE244"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Cuarto. Notifíquese vía SAIMEX, </w:t>
      </w:r>
      <w:r w:rsidRPr="00EC61CE">
        <w:rPr>
          <w:rFonts w:ascii="Palatino Linotype" w:eastAsia="Palatino Linotype" w:hAnsi="Palatino Linotype" w:cs="Palatino Linotype"/>
        </w:rPr>
        <w:t>la presente resolución al Titular de la Unidad de Transparencia del Sujeto Obligado,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AE717A7" w14:textId="77777777" w:rsidR="00CF0BED" w:rsidRPr="00EC61CE" w:rsidRDefault="00CF0BED">
      <w:pPr>
        <w:spacing w:after="0" w:line="360" w:lineRule="auto"/>
        <w:jc w:val="both"/>
        <w:rPr>
          <w:rFonts w:ascii="Palatino Linotype" w:eastAsia="Palatino Linotype" w:hAnsi="Palatino Linotype" w:cs="Palatino Linotype"/>
        </w:rPr>
      </w:pPr>
      <w:bookmarkStart w:id="6" w:name="_heading=h.gjdgxs" w:colFirst="0" w:colLast="0"/>
      <w:bookmarkEnd w:id="6"/>
    </w:p>
    <w:p w14:paraId="0E83506A" w14:textId="77777777" w:rsidR="00CF0BED" w:rsidRPr="00EC61CE" w:rsidRDefault="00222BC5">
      <w:pPr>
        <w:spacing w:after="0" w:line="360" w:lineRule="auto"/>
        <w:jc w:val="both"/>
        <w:rPr>
          <w:rFonts w:ascii="Palatino Linotype" w:eastAsia="Palatino Linotype" w:hAnsi="Palatino Linotype" w:cs="Palatino Linotype"/>
        </w:rPr>
      </w:pPr>
      <w:r w:rsidRPr="00EC61CE">
        <w:rPr>
          <w:rFonts w:ascii="Palatino Linotype" w:eastAsia="Palatino Linotype" w:hAnsi="Palatino Linotype" w:cs="Palatino Linotype"/>
          <w:b/>
        </w:rPr>
        <w:t xml:space="preserve">Quinto. Notifíquese vía SAIMEX, </w:t>
      </w:r>
      <w:r w:rsidRPr="00EC61CE">
        <w:rPr>
          <w:rFonts w:ascii="Palatino Linotype" w:eastAsia="Palatino Linotype" w:hAnsi="Palatino Linotype" w:cs="Palatino Linotype"/>
        </w:rPr>
        <w:t xml:space="preserve">a </w:t>
      </w:r>
      <w:r w:rsidRPr="00EC61CE">
        <w:rPr>
          <w:rFonts w:ascii="Palatino Linotype" w:eastAsia="Palatino Linotype" w:hAnsi="Palatino Linotype" w:cs="Palatino Linotype"/>
          <w:b/>
        </w:rPr>
        <w:t>la</w:t>
      </w:r>
      <w:r w:rsidRPr="00EC61CE">
        <w:rPr>
          <w:rFonts w:ascii="Palatino Linotype" w:eastAsia="Palatino Linotype" w:hAnsi="Palatino Linotype" w:cs="Palatino Linotype"/>
        </w:rPr>
        <w:t xml:space="preserve"> parte </w:t>
      </w:r>
      <w:r w:rsidRPr="00EC61CE">
        <w:rPr>
          <w:rFonts w:ascii="Palatino Linotype" w:eastAsia="Palatino Linotype" w:hAnsi="Palatino Linotype" w:cs="Palatino Linotype"/>
          <w:b/>
        </w:rPr>
        <w:t>Recurrente</w:t>
      </w:r>
      <w:r w:rsidRPr="00EC61CE">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EB0B7F7" w14:textId="77777777" w:rsidR="00CF0BED" w:rsidRPr="00EC61CE" w:rsidRDefault="00CF0BED">
      <w:pPr>
        <w:spacing w:after="0" w:line="360" w:lineRule="auto"/>
        <w:jc w:val="both"/>
        <w:rPr>
          <w:rFonts w:ascii="Palatino Linotype" w:eastAsia="Palatino Linotype" w:hAnsi="Palatino Linotype" w:cs="Palatino Linotype"/>
        </w:rPr>
      </w:pPr>
    </w:p>
    <w:p w14:paraId="3C8E672E" w14:textId="766B5C3A" w:rsidR="00CF0BED" w:rsidRPr="00EC61CE" w:rsidRDefault="00222BC5">
      <w:pPr>
        <w:spacing w:after="0" w:line="360" w:lineRule="auto"/>
        <w:ind w:right="49"/>
        <w:jc w:val="both"/>
        <w:rPr>
          <w:rFonts w:ascii="Palatino Linotype" w:eastAsia="Palatino Linotype" w:hAnsi="Palatino Linotype" w:cs="Palatino Linotype"/>
        </w:rPr>
        <w:sectPr w:rsidR="00CF0BED" w:rsidRPr="00EC61CE">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pPr>
      <w:r w:rsidRPr="00EC61C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C61CE" w:rsidRPr="00EC61CE">
        <w:rPr>
          <w:rFonts w:ascii="Palatino Linotype" w:eastAsia="Palatino Linotype" w:hAnsi="Palatino Linotype" w:cs="Palatino Linotype"/>
        </w:rPr>
        <w:t>, EMITIENDO VOTO PARTICULAR</w:t>
      </w:r>
      <w:r w:rsidRPr="00EC61CE">
        <w:rPr>
          <w:rFonts w:ascii="Palatino Linotype" w:eastAsia="Palatino Linotype" w:hAnsi="Palatino Linotype" w:cs="Palatino Linotype"/>
        </w:rPr>
        <w:t xml:space="preserve"> Y GUADALUPE RAMÍREZ PEÑA, EMITIENDO VOTO PARTICULAR; EN LA TRIGÉSIMA SÉPTIMA SESIÓN ORDINARIA CELEBRADA EL QUINCE DE OCTUBRE DE DOS MIL VEINTICINCO, ANTE EL SECRETARIO TÉCNICO DEL PLENO ALEXIS TAPIA RAMÍREZ. </w:t>
      </w:r>
    </w:p>
    <w:p w14:paraId="3E19317E" w14:textId="77777777" w:rsidR="00CF0BED" w:rsidRPr="00EC61CE" w:rsidRDefault="00CF0BED">
      <w:pPr>
        <w:spacing w:after="0" w:line="360" w:lineRule="auto"/>
        <w:ind w:right="49"/>
        <w:jc w:val="both"/>
        <w:rPr>
          <w:rFonts w:ascii="Palatino Linotype" w:eastAsia="Palatino Linotype" w:hAnsi="Palatino Linotype" w:cs="Palatino Linotype"/>
        </w:rPr>
      </w:pPr>
    </w:p>
    <w:sectPr w:rsidR="00CF0BED" w:rsidRPr="00EC61CE">
      <w:head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475A0" w14:textId="77777777" w:rsidR="00DF3324" w:rsidRDefault="00DF3324">
      <w:pPr>
        <w:spacing w:after="0" w:line="240" w:lineRule="auto"/>
      </w:pPr>
      <w:r>
        <w:separator/>
      </w:r>
    </w:p>
  </w:endnote>
  <w:endnote w:type="continuationSeparator" w:id="0">
    <w:p w14:paraId="48F8FC1E" w14:textId="77777777" w:rsidR="00DF3324" w:rsidRDefault="00DF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A85B" w14:textId="0D26B1DA" w:rsidR="00CF0BED" w:rsidRDefault="00222B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77B0">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77B0">
      <w:rPr>
        <w:b/>
        <w:noProof/>
        <w:color w:val="000000"/>
        <w:sz w:val="24"/>
        <w:szCs w:val="24"/>
      </w:rPr>
      <w:t>48</w:t>
    </w:r>
    <w:r>
      <w:rPr>
        <w:b/>
        <w:color w:val="000000"/>
        <w:sz w:val="24"/>
        <w:szCs w:val="24"/>
      </w:rPr>
      <w:fldChar w:fldCharType="end"/>
    </w:r>
  </w:p>
  <w:p w14:paraId="002A5F23" w14:textId="77777777" w:rsidR="00CF0BED" w:rsidRDefault="00CF0BE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0955" w14:textId="7C30EB8B" w:rsidR="00CF0BED" w:rsidRDefault="00222B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t>1</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77B0">
      <w:rPr>
        <w:b/>
        <w:noProof/>
        <w:color w:val="000000"/>
        <w:sz w:val="24"/>
        <w:szCs w:val="24"/>
      </w:rPr>
      <w:t>48</w:t>
    </w:r>
    <w:r>
      <w:rPr>
        <w:b/>
        <w:color w:val="000000"/>
        <w:sz w:val="24"/>
        <w:szCs w:val="24"/>
      </w:rPr>
      <w:fldChar w:fldCharType="end"/>
    </w:r>
  </w:p>
  <w:p w14:paraId="62A9DFB0" w14:textId="77777777" w:rsidR="00CF0BED" w:rsidRDefault="00CF0B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2805F" w14:textId="77777777" w:rsidR="00DF3324" w:rsidRDefault="00DF3324">
      <w:pPr>
        <w:spacing w:after="0" w:line="240" w:lineRule="auto"/>
      </w:pPr>
      <w:r>
        <w:separator/>
      </w:r>
    </w:p>
  </w:footnote>
  <w:footnote w:type="continuationSeparator" w:id="0">
    <w:p w14:paraId="39420EA4" w14:textId="77777777" w:rsidR="00DF3324" w:rsidRDefault="00DF3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3F9DF" w14:textId="77777777" w:rsidR="00CF0BED" w:rsidRDefault="00222BC5">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2D2C57B" wp14:editId="3AEEA85F">
          <wp:simplePos x="0" y="0"/>
          <wp:positionH relativeFrom="column">
            <wp:posOffset>-727072</wp:posOffset>
          </wp:positionH>
          <wp:positionV relativeFrom="paragraph">
            <wp:posOffset>-335912</wp:posOffset>
          </wp:positionV>
          <wp:extent cx="7809876" cy="10165823"/>
          <wp:effectExtent l="0" t="0" r="0" b="0"/>
          <wp:wrapNone/>
          <wp:docPr id="1137924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CF0BED" w14:paraId="67F53832" w14:textId="77777777">
      <w:tc>
        <w:tcPr>
          <w:tcW w:w="2551" w:type="dxa"/>
          <w:vAlign w:val="center"/>
        </w:tcPr>
        <w:p w14:paraId="76A5ED19"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685D97B"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07949/INFOEM/IP/RR/2025</w:t>
          </w:r>
        </w:p>
      </w:tc>
    </w:tr>
    <w:tr w:rsidR="00CF0BED" w14:paraId="10990768" w14:textId="77777777">
      <w:trPr>
        <w:trHeight w:val="217"/>
      </w:trPr>
      <w:tc>
        <w:tcPr>
          <w:tcW w:w="2551" w:type="dxa"/>
          <w:vAlign w:val="center"/>
        </w:tcPr>
        <w:p w14:paraId="4579C150"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AF9EA29" w14:textId="77777777" w:rsidR="00CF0BED" w:rsidRDefault="00222BC5">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Atlacomulco</w:t>
          </w:r>
        </w:p>
      </w:tc>
    </w:tr>
    <w:tr w:rsidR="00CF0BED" w14:paraId="42390152" w14:textId="77777777">
      <w:tc>
        <w:tcPr>
          <w:tcW w:w="2551" w:type="dxa"/>
          <w:vAlign w:val="center"/>
        </w:tcPr>
        <w:p w14:paraId="59BDD275"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3FBCC0"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F46C06" w14:textId="77777777" w:rsidR="00CF0BED" w:rsidRDefault="00CF0BE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3A91" w14:textId="77777777" w:rsidR="00CF0BED" w:rsidRDefault="00222BC5">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0BE1030" wp14:editId="467FECCF">
          <wp:simplePos x="0" y="0"/>
          <wp:positionH relativeFrom="column">
            <wp:posOffset>-600072</wp:posOffset>
          </wp:positionH>
          <wp:positionV relativeFrom="paragraph">
            <wp:posOffset>-286381</wp:posOffset>
          </wp:positionV>
          <wp:extent cx="7809876" cy="10165823"/>
          <wp:effectExtent l="0" t="0" r="0" b="0"/>
          <wp:wrapNone/>
          <wp:docPr id="1137924250" name="image1.png" descr="Forma, Flech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Forma, Flecha&#10;&#10;El contenido generado por IA puede ser incorrecto."/>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CF0BED" w14:paraId="126801FD" w14:textId="77777777">
      <w:tc>
        <w:tcPr>
          <w:tcW w:w="2551" w:type="dxa"/>
          <w:vAlign w:val="center"/>
        </w:tcPr>
        <w:p w14:paraId="6229AC5C"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C61D89"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07949/INFOEM/IP/RR/2025</w:t>
          </w:r>
        </w:p>
      </w:tc>
    </w:tr>
    <w:tr w:rsidR="00CF0BED" w14:paraId="035AD9CE" w14:textId="77777777">
      <w:tc>
        <w:tcPr>
          <w:tcW w:w="2551" w:type="dxa"/>
          <w:vAlign w:val="center"/>
        </w:tcPr>
        <w:p w14:paraId="3B210C12"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DD8DB1D" w14:textId="77777777" w:rsidR="00CF0BED" w:rsidRDefault="00CF0B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CF0BED" w14:paraId="519A8E78" w14:textId="77777777">
      <w:trPr>
        <w:trHeight w:val="152"/>
      </w:trPr>
      <w:tc>
        <w:tcPr>
          <w:tcW w:w="2551" w:type="dxa"/>
          <w:vAlign w:val="center"/>
        </w:tcPr>
        <w:p w14:paraId="4F626776" w14:textId="77777777" w:rsidR="00CF0BED" w:rsidRDefault="00222BC5">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D27F97B" w14:textId="77777777" w:rsidR="00CF0BED" w:rsidRDefault="00222BC5">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Atlacomulco</w:t>
          </w:r>
        </w:p>
      </w:tc>
    </w:tr>
    <w:tr w:rsidR="00CF0BED" w14:paraId="3880DFE1" w14:textId="77777777">
      <w:tc>
        <w:tcPr>
          <w:tcW w:w="2551" w:type="dxa"/>
          <w:vAlign w:val="center"/>
        </w:tcPr>
        <w:p w14:paraId="31586092"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67D85C0" w14:textId="77777777" w:rsidR="00CF0BED" w:rsidRDefault="00222BC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199F5E" w14:textId="77777777" w:rsidR="00CF0BED" w:rsidRDefault="00222BC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D48D" w14:textId="77777777" w:rsidR="00CF0BED" w:rsidRDefault="00CF0BED">
    <w:pPr>
      <w:widowControl w:val="0"/>
      <w:pBdr>
        <w:top w:val="nil"/>
        <w:left w:val="nil"/>
        <w:bottom w:val="nil"/>
        <w:right w:val="nil"/>
        <w:between w:val="nil"/>
      </w:pBdr>
      <w:spacing w:after="0"/>
      <w:rPr>
        <w:rFonts w:ascii="Palatino Linotype" w:eastAsia="Palatino Linotype" w:hAnsi="Palatino Linotype" w:cs="Palatino Linotype"/>
        <w:sz w:val="24"/>
        <w:szCs w:val="24"/>
      </w:rPr>
    </w:pPr>
  </w:p>
  <w:p w14:paraId="5E9AE0F0" w14:textId="77777777" w:rsidR="00CF0BED" w:rsidRDefault="00222BC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1AD"/>
    <w:multiLevelType w:val="multilevel"/>
    <w:tmpl w:val="BFCC9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47A48"/>
    <w:multiLevelType w:val="multilevel"/>
    <w:tmpl w:val="DFE05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EA3241"/>
    <w:multiLevelType w:val="multilevel"/>
    <w:tmpl w:val="26A28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666320"/>
    <w:multiLevelType w:val="multilevel"/>
    <w:tmpl w:val="3710C58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024AA1"/>
    <w:multiLevelType w:val="multilevel"/>
    <w:tmpl w:val="B26EA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D87FBB"/>
    <w:multiLevelType w:val="multilevel"/>
    <w:tmpl w:val="1CB8F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75187E"/>
    <w:multiLevelType w:val="multilevel"/>
    <w:tmpl w:val="92D8D20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CF6C3A"/>
    <w:multiLevelType w:val="multilevel"/>
    <w:tmpl w:val="5D5E73B2"/>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D2057A0"/>
    <w:multiLevelType w:val="multilevel"/>
    <w:tmpl w:val="E04698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6"/>
  </w:num>
  <w:num w:numId="2">
    <w:abstractNumId w:val="4"/>
  </w:num>
  <w:num w:numId="3">
    <w:abstractNumId w:val="7"/>
  </w:num>
  <w:num w:numId="4">
    <w:abstractNumId w:val="8"/>
  </w:num>
  <w:num w:numId="5">
    <w:abstractNumId w:val="1"/>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D"/>
    <w:rsid w:val="001E77B0"/>
    <w:rsid w:val="00222BC5"/>
    <w:rsid w:val="006232C2"/>
    <w:rsid w:val="00CF0BED"/>
    <w:rsid w:val="00DF3324"/>
    <w:rsid w:val="00EC6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E364"/>
  <w15:docId w15:val="{E815BDA0-D492-4489-AF9F-19C9383A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3B36ED"/>
    <w:pPr>
      <w:numPr>
        <w:numId w:val="9"/>
      </w:numPr>
      <w:spacing w:after="0" w:line="240" w:lineRule="auto"/>
      <w:contextualSpacing/>
    </w:pPr>
    <w:rPr>
      <w:rFonts w:ascii="Times New Roman" w:hAnsi="Times New Roman"/>
      <w:sz w:val="24"/>
      <w:szCs w:val="24"/>
    </w:r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bIUnfwmGpF11L4FEIt4qj8RhQ==">CgMxLjAyCWguMzBqMHpsbDIOaC5jZjE2amIzbHBtZmsyDmguMzZtaXZ3cTVhdTFzMg5oLmtlbGdzMjQyOG9hNjIOaC56ZGE1OW5kNXJsamsyCGguZ2pkZ3hzOAByITE3WGZmSmpfX1d2dGJIWER3RHJBMVRTZnEzOGpfQXRKZg==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12642</Words>
  <Characters>69535</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2025-10-17T00:59:00Z</cp:lastPrinted>
  <dcterms:created xsi:type="dcterms:W3CDTF">2025-11-14T18:21:00Z</dcterms:created>
  <dcterms:modified xsi:type="dcterms:W3CDTF">2025-11-14T18:21:00Z</dcterms:modified>
</cp:coreProperties>
</file>