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8CE42" w14:textId="77777777" w:rsidR="00F11CC6" w:rsidRPr="00A36F3D" w:rsidRDefault="00C019B0">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A36F3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A36F3D">
        <w:rPr>
          <w:rFonts w:ascii="Palatino Linotype" w:eastAsia="Palatino Linotype" w:hAnsi="Palatino Linotype" w:cs="Palatino Linotype"/>
          <w:b/>
          <w:sz w:val="22"/>
          <w:szCs w:val="22"/>
        </w:rPr>
        <w:t>doce de noviembre</w:t>
      </w:r>
      <w:r w:rsidRPr="00A36F3D">
        <w:rPr>
          <w:rFonts w:ascii="Palatino Linotype" w:eastAsia="Palatino Linotype" w:hAnsi="Palatino Linotype" w:cs="Palatino Linotype"/>
          <w:sz w:val="22"/>
          <w:szCs w:val="22"/>
        </w:rPr>
        <w:t xml:space="preserve"> </w:t>
      </w:r>
      <w:r w:rsidRPr="00A36F3D">
        <w:rPr>
          <w:rFonts w:ascii="Palatino Linotype" w:eastAsia="Palatino Linotype" w:hAnsi="Palatino Linotype" w:cs="Palatino Linotype"/>
          <w:b/>
          <w:sz w:val="22"/>
          <w:szCs w:val="22"/>
        </w:rPr>
        <w:t xml:space="preserve">de dos mil veinticinco. </w:t>
      </w:r>
    </w:p>
    <w:p w14:paraId="300D82E2" w14:textId="77777777" w:rsidR="00F11CC6" w:rsidRPr="00A36F3D" w:rsidRDefault="00F11CC6">
      <w:pPr>
        <w:spacing w:line="360" w:lineRule="auto"/>
        <w:ind w:right="49"/>
        <w:jc w:val="both"/>
        <w:rPr>
          <w:rFonts w:ascii="Palatino Linotype" w:eastAsia="Palatino Linotype" w:hAnsi="Palatino Linotype" w:cs="Palatino Linotype"/>
          <w:sz w:val="22"/>
          <w:szCs w:val="22"/>
        </w:rPr>
      </w:pPr>
    </w:p>
    <w:p w14:paraId="1162E7D4" w14:textId="77777777" w:rsidR="00F11CC6" w:rsidRPr="00A36F3D" w:rsidRDefault="00C019B0">
      <w:pPr>
        <w:spacing w:line="360" w:lineRule="auto"/>
        <w:ind w:right="49"/>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 xml:space="preserve">VISTO </w:t>
      </w:r>
      <w:r w:rsidRPr="00A36F3D">
        <w:rPr>
          <w:rFonts w:ascii="Palatino Linotype" w:eastAsia="Palatino Linotype" w:hAnsi="Palatino Linotype" w:cs="Palatino Linotype"/>
          <w:sz w:val="22"/>
          <w:szCs w:val="22"/>
        </w:rPr>
        <w:t xml:space="preserve">el expediente relativo al recurso de revisión </w:t>
      </w:r>
      <w:r w:rsidRPr="00A36F3D">
        <w:rPr>
          <w:rFonts w:ascii="Palatino Linotype" w:eastAsia="Palatino Linotype" w:hAnsi="Palatino Linotype" w:cs="Palatino Linotype"/>
          <w:b/>
          <w:sz w:val="22"/>
          <w:szCs w:val="22"/>
        </w:rPr>
        <w:t xml:space="preserve">10269/INFOEM/IP/RR/2025, </w:t>
      </w:r>
      <w:r w:rsidRPr="00A36F3D">
        <w:rPr>
          <w:rFonts w:ascii="Palatino Linotype" w:eastAsia="Palatino Linotype" w:hAnsi="Palatino Linotype" w:cs="Palatino Linotype"/>
          <w:sz w:val="22"/>
          <w:szCs w:val="22"/>
        </w:rPr>
        <w:t xml:space="preserve">interpuesto por </w:t>
      </w:r>
      <w:r w:rsidRPr="00A36F3D">
        <w:rPr>
          <w:rFonts w:ascii="Palatino Linotype" w:eastAsia="Palatino Linotype" w:hAnsi="Palatino Linotype" w:cs="Palatino Linotype"/>
          <w:b/>
          <w:sz w:val="22"/>
          <w:szCs w:val="22"/>
        </w:rPr>
        <w:t>un Usuario que no proporcionó su nombre</w:t>
      </w:r>
      <w:r w:rsidRPr="00A36F3D">
        <w:rPr>
          <w:rFonts w:ascii="Palatino Linotype" w:eastAsia="Palatino Linotype" w:hAnsi="Palatino Linotype" w:cs="Palatino Linotype"/>
          <w:sz w:val="22"/>
          <w:szCs w:val="22"/>
        </w:rPr>
        <w:t xml:space="preserve">, en lo sucesivo la parte </w:t>
      </w:r>
      <w:r w:rsidRPr="00A36F3D">
        <w:rPr>
          <w:rFonts w:ascii="Palatino Linotype" w:eastAsia="Palatino Linotype" w:hAnsi="Palatino Linotype" w:cs="Palatino Linotype"/>
          <w:b/>
          <w:sz w:val="22"/>
          <w:szCs w:val="22"/>
        </w:rPr>
        <w:t>Recurrente</w:t>
      </w:r>
      <w:r w:rsidRPr="00A36F3D">
        <w:rPr>
          <w:rFonts w:ascii="Palatino Linotype" w:eastAsia="Palatino Linotype" w:hAnsi="Palatino Linotype" w:cs="Palatino Linotype"/>
          <w:sz w:val="22"/>
          <w:szCs w:val="22"/>
        </w:rPr>
        <w:t xml:space="preserve">, en contra de la respuesta a la solicitud de información por parte del </w:t>
      </w:r>
      <w:r w:rsidRPr="00A36F3D">
        <w:rPr>
          <w:rFonts w:ascii="Palatino Linotype" w:eastAsia="Palatino Linotype" w:hAnsi="Palatino Linotype" w:cs="Palatino Linotype"/>
          <w:b/>
          <w:sz w:val="22"/>
          <w:szCs w:val="22"/>
        </w:rPr>
        <w:t>Ayuntamiento de Teoloyucan</w:t>
      </w:r>
      <w:r w:rsidRPr="00A36F3D">
        <w:rPr>
          <w:rFonts w:ascii="Palatino Linotype" w:eastAsia="Palatino Linotype" w:hAnsi="Palatino Linotype" w:cs="Palatino Linotype"/>
          <w:sz w:val="22"/>
          <w:szCs w:val="22"/>
        </w:rPr>
        <w:t xml:space="preserve">, en lo sucesivo el </w:t>
      </w:r>
      <w:r w:rsidRPr="00A36F3D">
        <w:rPr>
          <w:rFonts w:ascii="Palatino Linotype" w:eastAsia="Palatino Linotype" w:hAnsi="Palatino Linotype" w:cs="Palatino Linotype"/>
          <w:b/>
          <w:sz w:val="22"/>
          <w:szCs w:val="22"/>
        </w:rPr>
        <w:t xml:space="preserve">Sujeto Obligado; </w:t>
      </w:r>
      <w:r w:rsidRPr="00A36F3D">
        <w:rPr>
          <w:rFonts w:ascii="Palatino Linotype" w:eastAsia="Palatino Linotype" w:hAnsi="Palatino Linotype" w:cs="Palatino Linotype"/>
          <w:sz w:val="22"/>
          <w:szCs w:val="22"/>
        </w:rPr>
        <w:t>se procede a dictar la presente resolución, con base en lo siguiente.</w:t>
      </w:r>
    </w:p>
    <w:p w14:paraId="1A646DAF" w14:textId="77777777" w:rsidR="00F11CC6" w:rsidRPr="00A36F3D" w:rsidRDefault="00F11CC6">
      <w:pPr>
        <w:spacing w:line="360" w:lineRule="auto"/>
        <w:ind w:right="49"/>
        <w:jc w:val="both"/>
        <w:rPr>
          <w:rFonts w:ascii="Palatino Linotype" w:eastAsia="Palatino Linotype" w:hAnsi="Palatino Linotype" w:cs="Palatino Linotype"/>
          <w:sz w:val="22"/>
          <w:szCs w:val="22"/>
        </w:rPr>
      </w:pPr>
    </w:p>
    <w:p w14:paraId="19D098DC" w14:textId="77777777" w:rsidR="00F11CC6" w:rsidRPr="00A36F3D" w:rsidRDefault="00C019B0">
      <w:pPr>
        <w:spacing w:line="360" w:lineRule="auto"/>
        <w:ind w:right="49"/>
        <w:jc w:val="center"/>
        <w:rPr>
          <w:rFonts w:ascii="Palatino Linotype" w:eastAsia="Palatino Linotype" w:hAnsi="Palatino Linotype" w:cs="Palatino Linotype"/>
          <w:b/>
          <w:sz w:val="22"/>
          <w:szCs w:val="22"/>
        </w:rPr>
      </w:pPr>
      <w:r w:rsidRPr="00A36F3D">
        <w:rPr>
          <w:rFonts w:ascii="Palatino Linotype" w:eastAsia="Palatino Linotype" w:hAnsi="Palatino Linotype" w:cs="Palatino Linotype"/>
          <w:b/>
          <w:sz w:val="22"/>
          <w:szCs w:val="22"/>
        </w:rPr>
        <w:t>I.</w:t>
      </w:r>
      <w:r w:rsidRPr="00A36F3D">
        <w:rPr>
          <w:rFonts w:ascii="Palatino Linotype" w:eastAsia="Palatino Linotype" w:hAnsi="Palatino Linotype" w:cs="Palatino Linotype"/>
          <w:b/>
          <w:sz w:val="22"/>
          <w:szCs w:val="22"/>
        </w:rPr>
        <w:tab/>
        <w:t>A N T E C E D E N T E S</w:t>
      </w:r>
    </w:p>
    <w:p w14:paraId="7284F1EE" w14:textId="77777777" w:rsidR="00F11CC6" w:rsidRPr="00A36F3D" w:rsidRDefault="00F11CC6">
      <w:pPr>
        <w:spacing w:line="360" w:lineRule="auto"/>
        <w:ind w:right="49"/>
        <w:jc w:val="both"/>
        <w:rPr>
          <w:rFonts w:ascii="Palatino Linotype" w:eastAsia="Palatino Linotype" w:hAnsi="Palatino Linotype" w:cs="Palatino Linotype"/>
          <w:sz w:val="22"/>
          <w:szCs w:val="22"/>
        </w:rPr>
      </w:pPr>
    </w:p>
    <w:p w14:paraId="714238A2"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1.</w:t>
      </w:r>
      <w:r w:rsidRPr="00A36F3D">
        <w:rPr>
          <w:rFonts w:ascii="Palatino Linotype" w:eastAsia="Palatino Linotype" w:hAnsi="Palatino Linotype" w:cs="Palatino Linotype"/>
          <w:sz w:val="22"/>
          <w:szCs w:val="22"/>
        </w:rPr>
        <w:t xml:space="preserve"> </w:t>
      </w:r>
      <w:r w:rsidRPr="00A36F3D">
        <w:rPr>
          <w:rFonts w:ascii="Palatino Linotype" w:eastAsia="Palatino Linotype" w:hAnsi="Palatino Linotype" w:cs="Palatino Linotype"/>
          <w:b/>
          <w:sz w:val="22"/>
          <w:szCs w:val="22"/>
        </w:rPr>
        <w:t>Solicitud de Acceso a la Información. El dieciocho de agosto de dos mil veinticinco</w:t>
      </w:r>
      <w:r w:rsidRPr="00A36F3D">
        <w:rPr>
          <w:rFonts w:ascii="Palatino Linotype" w:eastAsia="Palatino Linotype" w:hAnsi="Palatino Linotype" w:cs="Palatino Linotype"/>
          <w:sz w:val="22"/>
          <w:szCs w:val="22"/>
        </w:rPr>
        <w:t xml:space="preserve">, </w:t>
      </w:r>
      <w:r w:rsidRPr="00A36F3D">
        <w:rPr>
          <w:rFonts w:ascii="Palatino Linotype" w:eastAsia="Palatino Linotype" w:hAnsi="Palatino Linotype" w:cs="Palatino Linotype"/>
          <w:b/>
          <w:sz w:val="22"/>
          <w:szCs w:val="22"/>
        </w:rPr>
        <w:t>LA PARTE</w:t>
      </w:r>
      <w:r w:rsidRPr="00A36F3D">
        <w:rPr>
          <w:rFonts w:ascii="Palatino Linotype" w:eastAsia="Palatino Linotype" w:hAnsi="Palatino Linotype" w:cs="Palatino Linotype"/>
          <w:sz w:val="22"/>
          <w:szCs w:val="22"/>
        </w:rPr>
        <w:t xml:space="preserve"> </w:t>
      </w:r>
      <w:r w:rsidRPr="00A36F3D">
        <w:rPr>
          <w:rFonts w:ascii="Palatino Linotype" w:eastAsia="Palatino Linotype" w:hAnsi="Palatino Linotype" w:cs="Palatino Linotype"/>
          <w:b/>
          <w:sz w:val="22"/>
          <w:szCs w:val="22"/>
        </w:rPr>
        <w:t>RECURRENTE</w:t>
      </w:r>
      <w:r w:rsidRPr="00A36F3D">
        <w:rPr>
          <w:rFonts w:ascii="Palatino Linotype" w:eastAsia="Palatino Linotype" w:hAnsi="Palatino Linotype" w:cs="Palatino Linotype"/>
          <w:sz w:val="22"/>
          <w:szCs w:val="22"/>
        </w:rPr>
        <w:t xml:space="preserve"> formuló solicitud de acceso a información pública a través del </w:t>
      </w:r>
      <w:r w:rsidRPr="00A36F3D">
        <w:rPr>
          <w:rFonts w:ascii="Palatino Linotype" w:eastAsia="Palatino Linotype" w:hAnsi="Palatino Linotype" w:cs="Palatino Linotype"/>
          <w:b/>
          <w:sz w:val="22"/>
          <w:szCs w:val="22"/>
        </w:rPr>
        <w:t>SAIMEX</w:t>
      </w:r>
      <w:r w:rsidRPr="00A36F3D">
        <w:rPr>
          <w:rFonts w:ascii="Palatino Linotype" w:eastAsia="Palatino Linotype" w:hAnsi="Palatino Linotype" w:cs="Palatino Linotype"/>
          <w:sz w:val="22"/>
          <w:szCs w:val="22"/>
        </w:rPr>
        <w:t xml:space="preserve">, en la que requirió lo siguiente: </w:t>
      </w:r>
    </w:p>
    <w:p w14:paraId="1483A4C0"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19542402" w14:textId="77777777" w:rsidR="00F11CC6" w:rsidRPr="00A36F3D" w:rsidRDefault="00C019B0">
      <w:pPr>
        <w:numPr>
          <w:ilvl w:val="0"/>
          <w:numId w:val="9"/>
        </w:numPr>
        <w:pBdr>
          <w:top w:val="nil"/>
          <w:left w:val="nil"/>
          <w:bottom w:val="nil"/>
          <w:right w:val="nil"/>
          <w:between w:val="nil"/>
        </w:pBdr>
        <w:spacing w:line="360" w:lineRule="auto"/>
        <w:ind w:left="426" w:right="49"/>
        <w:jc w:val="both"/>
        <w:rPr>
          <w:rFonts w:ascii="Palatino Linotype" w:eastAsia="Palatino Linotype" w:hAnsi="Palatino Linotype" w:cs="Palatino Linotype"/>
          <w:b/>
          <w:sz w:val="22"/>
          <w:szCs w:val="22"/>
        </w:rPr>
      </w:pPr>
      <w:bookmarkStart w:id="1" w:name="_heading=h.3znysh7" w:colFirst="0" w:colLast="0"/>
      <w:bookmarkEnd w:id="1"/>
      <w:r w:rsidRPr="00A36F3D">
        <w:rPr>
          <w:rFonts w:ascii="Palatino Linotype" w:eastAsia="Palatino Linotype" w:hAnsi="Palatino Linotype" w:cs="Palatino Linotype"/>
          <w:b/>
          <w:sz w:val="22"/>
          <w:szCs w:val="22"/>
        </w:rPr>
        <w:t>00965/TEOLOYU/IP/2025</w:t>
      </w:r>
    </w:p>
    <w:p w14:paraId="4BF6146D" w14:textId="77777777" w:rsidR="00F11CC6" w:rsidRPr="00A36F3D" w:rsidRDefault="00C019B0">
      <w:pPr>
        <w:spacing w:line="276" w:lineRule="auto"/>
        <w:ind w:left="567" w:right="843"/>
        <w:jc w:val="both"/>
        <w:rPr>
          <w:rFonts w:ascii="Palatino Linotype" w:eastAsia="Palatino Linotype" w:hAnsi="Palatino Linotype" w:cs="Palatino Linotype"/>
          <w:b/>
          <w:i/>
          <w:sz w:val="22"/>
          <w:szCs w:val="22"/>
        </w:rPr>
      </w:pPr>
      <w:r w:rsidRPr="00A36F3D">
        <w:rPr>
          <w:rFonts w:ascii="Palatino Linotype" w:eastAsia="Palatino Linotype" w:hAnsi="Palatino Linotype" w:cs="Palatino Linotype"/>
          <w:i/>
          <w:sz w:val="22"/>
          <w:szCs w:val="22"/>
        </w:rPr>
        <w:t xml:space="preserve">"Solicito toda la información que se relacione con el camión de bomberos que informó el presidente Luis Domingo Zenteno en el mes de mayo, el cual requiero contrato de compraventa o contrato de arrendamiento según sea el caso y solicito toda la información relacionada a dicho </w:t>
      </w:r>
      <w:proofErr w:type="spellStart"/>
      <w:r w:rsidRPr="00A36F3D">
        <w:rPr>
          <w:rFonts w:ascii="Palatino Linotype" w:eastAsia="Palatino Linotype" w:hAnsi="Palatino Linotype" w:cs="Palatino Linotype"/>
          <w:i/>
          <w:sz w:val="22"/>
          <w:szCs w:val="22"/>
        </w:rPr>
        <w:t>camion</w:t>
      </w:r>
      <w:proofErr w:type="spellEnd"/>
      <w:r w:rsidRPr="00A36F3D">
        <w:rPr>
          <w:rFonts w:ascii="Palatino Linotype" w:eastAsia="Palatino Linotype" w:hAnsi="Palatino Linotype" w:cs="Palatino Linotype"/>
          <w:i/>
          <w:sz w:val="22"/>
          <w:szCs w:val="22"/>
        </w:rPr>
        <w:t xml:space="preserve">, así como pagos, </w:t>
      </w:r>
      <w:proofErr w:type="spellStart"/>
      <w:r w:rsidRPr="00A36F3D">
        <w:rPr>
          <w:rFonts w:ascii="Palatino Linotype" w:eastAsia="Palatino Linotype" w:hAnsi="Palatino Linotype" w:cs="Palatino Linotype"/>
          <w:i/>
          <w:sz w:val="22"/>
          <w:szCs w:val="22"/>
        </w:rPr>
        <w:t>polizas</w:t>
      </w:r>
      <w:proofErr w:type="spellEnd"/>
      <w:r w:rsidRPr="00A36F3D">
        <w:rPr>
          <w:rFonts w:ascii="Palatino Linotype" w:eastAsia="Palatino Linotype" w:hAnsi="Palatino Linotype" w:cs="Palatino Linotype"/>
          <w:i/>
          <w:sz w:val="22"/>
          <w:szCs w:val="22"/>
        </w:rPr>
        <w:t xml:space="preserve">, gestiones etc. SI POR ALGUNA RAZON EL CAMION SE COMPRO EN ESTADOS UNIDOS REQUIERO TODA LA INFORMACION YA ANTES MENCIONADA, EL PROCESO DE LICITACION EN AMBOS PAISES, SI EL PRESIDENTE O ALGUN MIEMBRO DE LA ADMINISTRACION PUBLICA FUE A COMPRARLO HASTA ESTADOS UNIDOS SOLICITO LAS POLIZAS DE LOS GASTOS QUE SE CUBRIERON COMO PUEDEN SER GASTOS DE AVION, </w:t>
      </w:r>
      <w:r w:rsidRPr="00A36F3D">
        <w:rPr>
          <w:rFonts w:ascii="Palatino Linotype" w:eastAsia="Palatino Linotype" w:hAnsi="Palatino Linotype" w:cs="Palatino Linotype"/>
          <w:i/>
          <w:sz w:val="22"/>
          <w:szCs w:val="22"/>
        </w:rPr>
        <w:lastRenderedPageBreak/>
        <w:t>HOSPEDAJES, COMIDAS ETC. RECORDANDO QUE TODA LA INFORMACION QUE SE SOLICITA ES DE CARACTER PUBLICO, CONFORME A LA LEY DE TRANSPARENCIA Y ACCESO A LA INFORMACION PUBLICA DEL ESTADO DE MEXICO Y MUNICIPIOS LA CUAL MENCIONA EN EL CAPITULO II SECCION PRIMERA, ARTICULO 4 LO SIGUIENTE " El derecho humano de acceso a la información pública es la prerrogativa de las personas para buscar, difundir, investigar, recabar, recibir y solicitar información pública, sin necesidad de acreditar personalidad ni interés jurídico."</w:t>
      </w:r>
      <w:r w:rsidRPr="00A36F3D">
        <w:rPr>
          <w:rFonts w:ascii="Palatino Linotype" w:eastAsia="Palatino Linotype" w:hAnsi="Palatino Linotype" w:cs="Palatino Linotype"/>
          <w:b/>
          <w:i/>
          <w:sz w:val="22"/>
          <w:szCs w:val="22"/>
        </w:rPr>
        <w:t>” (Sic.)</w:t>
      </w:r>
    </w:p>
    <w:p w14:paraId="3A7A802D" w14:textId="77777777" w:rsidR="00F11CC6" w:rsidRPr="00A36F3D" w:rsidRDefault="00F11CC6">
      <w:pPr>
        <w:spacing w:line="360" w:lineRule="auto"/>
        <w:ind w:left="567" w:right="843"/>
        <w:jc w:val="both"/>
        <w:rPr>
          <w:rFonts w:ascii="Palatino Linotype" w:eastAsia="Palatino Linotype" w:hAnsi="Palatino Linotype" w:cs="Palatino Linotype"/>
          <w:i/>
          <w:sz w:val="22"/>
          <w:szCs w:val="22"/>
        </w:rPr>
      </w:pPr>
    </w:p>
    <w:p w14:paraId="08940B61" w14:textId="77777777" w:rsidR="00F11CC6" w:rsidRPr="00A36F3D" w:rsidRDefault="00C019B0">
      <w:pPr>
        <w:spacing w:line="360" w:lineRule="auto"/>
        <w:ind w:right="49"/>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Modalidad elegida para la entrega de la información:</w:t>
      </w:r>
      <w:r w:rsidRPr="00A36F3D">
        <w:rPr>
          <w:rFonts w:ascii="Palatino Linotype" w:eastAsia="Palatino Linotype" w:hAnsi="Palatino Linotype" w:cs="Palatino Linotype"/>
          <w:sz w:val="22"/>
          <w:szCs w:val="22"/>
        </w:rPr>
        <w:t xml:space="preserve"> a través del Sistema de Acceso a la Información Mexiquense (SAIMEX).</w:t>
      </w:r>
    </w:p>
    <w:p w14:paraId="3285313A" w14:textId="77777777" w:rsidR="00F11CC6" w:rsidRPr="00A36F3D" w:rsidRDefault="00F11CC6">
      <w:pPr>
        <w:widowControl w:val="0"/>
        <w:spacing w:line="360" w:lineRule="auto"/>
        <w:jc w:val="both"/>
        <w:rPr>
          <w:rFonts w:ascii="Palatino Linotype" w:eastAsia="Palatino Linotype" w:hAnsi="Palatino Linotype" w:cs="Palatino Linotype"/>
          <w:b/>
          <w:sz w:val="22"/>
          <w:szCs w:val="22"/>
        </w:rPr>
      </w:pPr>
    </w:p>
    <w:p w14:paraId="3ABE3F42" w14:textId="77777777" w:rsidR="00F11CC6" w:rsidRPr="00A36F3D" w:rsidRDefault="00C019B0">
      <w:pPr>
        <w:widowControl w:val="0"/>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2. Respuesta.</w:t>
      </w:r>
      <w:r w:rsidRPr="00A36F3D">
        <w:rPr>
          <w:rFonts w:ascii="Palatino Linotype" w:eastAsia="Palatino Linotype" w:hAnsi="Palatino Linotype" w:cs="Palatino Linotype"/>
          <w:sz w:val="22"/>
          <w:szCs w:val="22"/>
        </w:rPr>
        <w:t xml:space="preserve"> El </w:t>
      </w:r>
      <w:r w:rsidRPr="00A36F3D">
        <w:rPr>
          <w:rFonts w:ascii="Palatino Linotype" w:eastAsia="Palatino Linotype" w:hAnsi="Palatino Linotype" w:cs="Palatino Linotype"/>
          <w:b/>
          <w:sz w:val="22"/>
          <w:szCs w:val="22"/>
        </w:rPr>
        <w:t>veintiocho</w:t>
      </w:r>
      <w:r w:rsidRPr="00A36F3D">
        <w:rPr>
          <w:rFonts w:ascii="Palatino Linotype" w:eastAsia="Palatino Linotype" w:hAnsi="Palatino Linotype" w:cs="Palatino Linotype"/>
          <w:sz w:val="22"/>
          <w:szCs w:val="22"/>
        </w:rPr>
        <w:t xml:space="preserve"> </w:t>
      </w:r>
      <w:r w:rsidRPr="00A36F3D">
        <w:rPr>
          <w:rFonts w:ascii="Palatino Linotype" w:eastAsia="Palatino Linotype" w:hAnsi="Palatino Linotype" w:cs="Palatino Linotype"/>
          <w:b/>
          <w:sz w:val="22"/>
          <w:szCs w:val="22"/>
        </w:rPr>
        <w:t>de agosto de dos mil veinticinco</w:t>
      </w:r>
      <w:r w:rsidRPr="00A36F3D">
        <w:rPr>
          <w:rFonts w:ascii="Palatino Linotype" w:eastAsia="Palatino Linotype" w:hAnsi="Palatino Linotype" w:cs="Palatino Linotype"/>
          <w:sz w:val="22"/>
          <w:szCs w:val="22"/>
        </w:rPr>
        <w:t>, el Sujeto Obligado dio respuesta a la solicitud en los siguientes términos:</w:t>
      </w:r>
    </w:p>
    <w:p w14:paraId="2F8DA1DE" w14:textId="77777777" w:rsidR="00F11CC6" w:rsidRPr="00A36F3D" w:rsidRDefault="00F11CC6">
      <w:pPr>
        <w:widowControl w:val="0"/>
        <w:spacing w:line="360" w:lineRule="auto"/>
        <w:jc w:val="both"/>
        <w:rPr>
          <w:rFonts w:ascii="Palatino Linotype" w:eastAsia="Palatino Linotype" w:hAnsi="Palatino Linotype" w:cs="Palatino Linotype"/>
          <w:sz w:val="22"/>
          <w:szCs w:val="22"/>
        </w:rPr>
      </w:pPr>
    </w:p>
    <w:p w14:paraId="678781C9" w14:textId="77777777" w:rsidR="00F11CC6" w:rsidRPr="00A36F3D" w:rsidRDefault="00C019B0">
      <w:pPr>
        <w:widowControl w:val="0"/>
        <w:spacing w:line="360" w:lineRule="auto"/>
        <w:ind w:left="567" w:right="985"/>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8AE871" w14:textId="77777777" w:rsidR="00F11CC6" w:rsidRPr="00A36F3D" w:rsidRDefault="00C019B0">
      <w:pPr>
        <w:widowControl w:val="0"/>
        <w:spacing w:line="360" w:lineRule="auto"/>
        <w:ind w:left="567" w:right="985"/>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Se remite oficio en atención a su solicitud de información.</w:t>
      </w:r>
    </w:p>
    <w:p w14:paraId="70040A85" w14:textId="77777777" w:rsidR="00F11CC6" w:rsidRPr="00A36F3D" w:rsidRDefault="00C019B0">
      <w:pPr>
        <w:widowControl w:val="0"/>
        <w:spacing w:line="360" w:lineRule="auto"/>
        <w:ind w:left="567" w:right="985"/>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ATENTAMENTE</w:t>
      </w:r>
    </w:p>
    <w:p w14:paraId="6614777E" w14:textId="77777777" w:rsidR="00F11CC6" w:rsidRPr="00A36F3D" w:rsidRDefault="00C019B0">
      <w:pPr>
        <w:widowControl w:val="0"/>
        <w:spacing w:line="360" w:lineRule="auto"/>
        <w:ind w:left="567" w:right="985"/>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Lic. Ana Beatriz Romero </w:t>
      </w:r>
      <w:proofErr w:type="spellStart"/>
      <w:r w:rsidRPr="00A36F3D">
        <w:rPr>
          <w:rFonts w:ascii="Palatino Linotype" w:eastAsia="Palatino Linotype" w:hAnsi="Palatino Linotype" w:cs="Palatino Linotype"/>
          <w:i/>
          <w:sz w:val="22"/>
          <w:szCs w:val="22"/>
        </w:rPr>
        <w:t>Oceguera</w:t>
      </w:r>
      <w:proofErr w:type="spellEnd"/>
      <w:r w:rsidRPr="00A36F3D">
        <w:rPr>
          <w:rFonts w:ascii="Palatino Linotype" w:eastAsia="Palatino Linotype" w:hAnsi="Palatino Linotype" w:cs="Palatino Linotype"/>
          <w:i/>
          <w:sz w:val="22"/>
          <w:szCs w:val="22"/>
        </w:rPr>
        <w:t xml:space="preserve">” </w:t>
      </w:r>
    </w:p>
    <w:p w14:paraId="3A38FB42" w14:textId="77777777" w:rsidR="00F11CC6" w:rsidRPr="00A36F3D" w:rsidRDefault="00F11CC6">
      <w:pPr>
        <w:widowControl w:val="0"/>
        <w:spacing w:line="360" w:lineRule="auto"/>
        <w:jc w:val="both"/>
        <w:rPr>
          <w:rFonts w:ascii="Palatino Linotype" w:eastAsia="Palatino Linotype" w:hAnsi="Palatino Linotype" w:cs="Palatino Linotype"/>
          <w:sz w:val="22"/>
          <w:szCs w:val="22"/>
        </w:rPr>
      </w:pPr>
    </w:p>
    <w:p w14:paraId="370BEEB1" w14:textId="77777777" w:rsidR="00F11CC6" w:rsidRPr="00A36F3D" w:rsidRDefault="00C019B0">
      <w:pPr>
        <w:widowControl w:val="0"/>
        <w:spacing w:line="360" w:lineRule="auto"/>
        <w:jc w:val="both"/>
        <w:rPr>
          <w:rFonts w:ascii="Palatino Linotype" w:eastAsia="Palatino Linotype" w:hAnsi="Palatino Linotype" w:cs="Palatino Linotype"/>
          <w:b/>
          <w:sz w:val="22"/>
          <w:szCs w:val="22"/>
        </w:rPr>
      </w:pPr>
      <w:r w:rsidRPr="00A36F3D">
        <w:rPr>
          <w:rFonts w:ascii="Palatino Linotype" w:eastAsia="Palatino Linotype" w:hAnsi="Palatino Linotype" w:cs="Palatino Linotype"/>
          <w:sz w:val="22"/>
          <w:szCs w:val="22"/>
        </w:rPr>
        <w:t>El Sujeto Obligado adjuntó el siguiente documento electrónico</w:t>
      </w:r>
      <w:r w:rsidRPr="00A36F3D">
        <w:rPr>
          <w:rFonts w:ascii="Palatino Linotype" w:eastAsia="Palatino Linotype" w:hAnsi="Palatino Linotype" w:cs="Palatino Linotype"/>
          <w:b/>
          <w:sz w:val="22"/>
          <w:szCs w:val="22"/>
        </w:rPr>
        <w:t>:</w:t>
      </w:r>
    </w:p>
    <w:p w14:paraId="5FD0BC5D" w14:textId="77777777" w:rsidR="00F11CC6" w:rsidRPr="00A36F3D" w:rsidRDefault="00F11CC6">
      <w:pPr>
        <w:widowControl w:val="0"/>
        <w:spacing w:line="360" w:lineRule="auto"/>
        <w:jc w:val="both"/>
        <w:rPr>
          <w:rFonts w:ascii="Palatino Linotype" w:eastAsia="Palatino Linotype" w:hAnsi="Palatino Linotype" w:cs="Palatino Linotype"/>
          <w:b/>
          <w:sz w:val="22"/>
          <w:szCs w:val="22"/>
        </w:rPr>
      </w:pPr>
    </w:p>
    <w:p w14:paraId="65D7213C" w14:textId="77777777" w:rsidR="00F11CC6" w:rsidRPr="00A36F3D" w:rsidRDefault="00C019B0">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 xml:space="preserve">Oficio 975.2025 respuesta Sol.965.pdf: </w:t>
      </w:r>
      <w:r w:rsidRPr="00A36F3D">
        <w:rPr>
          <w:rFonts w:ascii="Palatino Linotype" w:eastAsia="Palatino Linotype" w:hAnsi="Palatino Linotype" w:cs="Palatino Linotype"/>
          <w:sz w:val="22"/>
          <w:szCs w:val="22"/>
        </w:rPr>
        <w:t xml:space="preserve">Oficio UT/ABRO/975/2025 suscrito por la Unidad de Transparencia mediante el cual refiere que la Dirección de Administración </w:t>
      </w:r>
      <w:r w:rsidRPr="00A36F3D">
        <w:rPr>
          <w:rFonts w:ascii="Palatino Linotype" w:eastAsia="Palatino Linotype" w:hAnsi="Palatino Linotype" w:cs="Palatino Linotype"/>
          <w:sz w:val="22"/>
          <w:szCs w:val="22"/>
        </w:rPr>
        <w:lastRenderedPageBreak/>
        <w:t xml:space="preserve">indicó la inexistencia de la información. Asimismo, refiere que el Comité de Transparencia a través del </w:t>
      </w:r>
      <w:r w:rsidRPr="00A36F3D">
        <w:rPr>
          <w:rFonts w:ascii="Palatino Linotype" w:eastAsia="Palatino Linotype" w:hAnsi="Palatino Linotype" w:cs="Palatino Linotype"/>
          <w:b/>
          <w:sz w:val="22"/>
          <w:szCs w:val="22"/>
        </w:rPr>
        <w:t>acuerdo 02 CT/UTAIP/ASE-28/2025</w:t>
      </w:r>
      <w:r w:rsidRPr="00A36F3D">
        <w:rPr>
          <w:rFonts w:ascii="Palatino Linotype" w:eastAsia="Palatino Linotype" w:hAnsi="Palatino Linotype" w:cs="Palatino Linotype"/>
          <w:sz w:val="22"/>
          <w:szCs w:val="22"/>
        </w:rPr>
        <w:t xml:space="preserve"> se declaró la inexistencia de la información.</w:t>
      </w:r>
    </w:p>
    <w:p w14:paraId="0922F8C1" w14:textId="77777777" w:rsidR="00F11CC6" w:rsidRPr="00A36F3D" w:rsidRDefault="00F11CC6">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1DADC48E"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 xml:space="preserve">3. Del Recurso de Revisión. </w:t>
      </w:r>
      <w:r w:rsidRPr="00A36F3D">
        <w:rPr>
          <w:rFonts w:ascii="Palatino Linotype" w:eastAsia="Palatino Linotype" w:hAnsi="Palatino Linotype" w:cs="Palatino Linotype"/>
          <w:sz w:val="22"/>
          <w:szCs w:val="22"/>
        </w:rPr>
        <w:t>Inconforme con la respuesta del</w:t>
      </w:r>
      <w:r w:rsidRPr="00A36F3D">
        <w:rPr>
          <w:rFonts w:ascii="Palatino Linotype" w:eastAsia="Palatino Linotype" w:hAnsi="Palatino Linotype" w:cs="Palatino Linotype"/>
          <w:b/>
          <w:sz w:val="22"/>
          <w:szCs w:val="22"/>
        </w:rPr>
        <w:t xml:space="preserve"> SUJETO OBLIGADO, </w:t>
      </w:r>
      <w:r w:rsidRPr="00A36F3D">
        <w:rPr>
          <w:rFonts w:ascii="Palatino Linotype" w:eastAsia="Palatino Linotype" w:hAnsi="Palatino Linotype" w:cs="Palatino Linotype"/>
          <w:sz w:val="22"/>
          <w:szCs w:val="22"/>
        </w:rPr>
        <w:t xml:space="preserve">el </w:t>
      </w:r>
      <w:r w:rsidRPr="00A36F3D">
        <w:rPr>
          <w:rFonts w:ascii="Palatino Linotype" w:eastAsia="Palatino Linotype" w:hAnsi="Palatino Linotype" w:cs="Palatino Linotype"/>
          <w:b/>
          <w:sz w:val="22"/>
          <w:szCs w:val="22"/>
        </w:rPr>
        <w:t>uno</w:t>
      </w:r>
      <w:r w:rsidRPr="00A36F3D">
        <w:rPr>
          <w:rFonts w:ascii="Palatino Linotype" w:eastAsia="Palatino Linotype" w:hAnsi="Palatino Linotype" w:cs="Palatino Linotype"/>
          <w:sz w:val="22"/>
          <w:szCs w:val="22"/>
        </w:rPr>
        <w:t xml:space="preserve"> d</w:t>
      </w:r>
      <w:r w:rsidRPr="00A36F3D">
        <w:rPr>
          <w:rFonts w:ascii="Palatino Linotype" w:eastAsia="Palatino Linotype" w:hAnsi="Palatino Linotype" w:cs="Palatino Linotype"/>
          <w:b/>
          <w:sz w:val="22"/>
          <w:szCs w:val="22"/>
        </w:rPr>
        <w:t xml:space="preserve">e septiembre de dos mil veinticinco, LA PARTE RECURRENTE </w:t>
      </w:r>
      <w:r w:rsidRPr="00A36F3D">
        <w:rPr>
          <w:rFonts w:ascii="Palatino Linotype" w:eastAsia="Palatino Linotype" w:hAnsi="Palatino Linotype" w:cs="Palatino Linotype"/>
          <w:sz w:val="22"/>
          <w:szCs w:val="22"/>
        </w:rPr>
        <w:t xml:space="preserve">interpuso el recurso de revisión, mediante el cual y manifestó lo siguiente: </w:t>
      </w:r>
    </w:p>
    <w:p w14:paraId="2E5A3728"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5602BC84" w14:textId="77777777" w:rsidR="00F11CC6" w:rsidRPr="00A36F3D" w:rsidRDefault="00C019B0">
      <w:pPr>
        <w:numPr>
          <w:ilvl w:val="0"/>
          <w:numId w:val="8"/>
        </w:numPr>
        <w:pBdr>
          <w:top w:val="nil"/>
          <w:left w:val="nil"/>
          <w:bottom w:val="nil"/>
          <w:right w:val="nil"/>
          <w:between w:val="nil"/>
        </w:pBdr>
        <w:spacing w:line="276" w:lineRule="auto"/>
        <w:ind w:right="56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Acto Impugnado:</w:t>
      </w:r>
      <w:r w:rsidRPr="00A36F3D">
        <w:rPr>
          <w:rFonts w:ascii="Palatino Linotype" w:eastAsia="Palatino Linotype" w:hAnsi="Palatino Linotype" w:cs="Palatino Linotype"/>
          <w:i/>
          <w:sz w:val="22"/>
          <w:szCs w:val="22"/>
        </w:rPr>
        <w:t xml:space="preserve"> “DECLARACIÓN DE INEXISTENCIA DE LA INFORMACION” (Sic.)</w:t>
      </w:r>
    </w:p>
    <w:p w14:paraId="4206FCA1" w14:textId="77777777" w:rsidR="00F11CC6" w:rsidRPr="00A36F3D" w:rsidRDefault="00F11CC6">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21167CD0" w14:textId="77777777" w:rsidR="00F11CC6" w:rsidRPr="00A36F3D" w:rsidRDefault="00C019B0">
      <w:pPr>
        <w:numPr>
          <w:ilvl w:val="0"/>
          <w:numId w:val="8"/>
        </w:numPr>
        <w:pBdr>
          <w:top w:val="nil"/>
          <w:left w:val="nil"/>
          <w:bottom w:val="nil"/>
          <w:right w:val="nil"/>
          <w:between w:val="nil"/>
        </w:pBdr>
        <w:spacing w:line="276" w:lineRule="auto"/>
        <w:ind w:right="56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Motivo de inconformidad:</w:t>
      </w:r>
      <w:r w:rsidRPr="00A36F3D">
        <w:rPr>
          <w:rFonts w:ascii="Palatino Linotype" w:eastAsia="Palatino Linotype" w:hAnsi="Palatino Linotype" w:cs="Palatino Linotype"/>
          <w:i/>
          <w:sz w:val="22"/>
          <w:szCs w:val="22"/>
        </w:rPr>
        <w:t xml:space="preserve"> “En la respuesta que me entregan declaran la INEXISTENCIA de la información solicitada, pero es algo totalmente ilógico e incoherente ya que dicho camión de bomberos es una adquisición de la actual administración y existen fotos, videos y noticias publicadas en diversas páginas, grupos y perfiles de la plataforma FACEBOOK, para que el presidente Luis Domingo Zenteno, pudiera anunciar dicho camión, se tuvo que realizar gestiones, contratos, licitaciones etc. Por lo cual solicito que me entreguen la información que solicito ya que no pueden declarar la inexistencia de dicha información, al igual en la respuesta que emiten hacen mención del ACUERDO 02 CT/UTAIP/ASE-28/2025 emitido por el comité de transparencia, pero no subieron dicho acuerdo por lo cual desconozco dicha información” (Sic.)</w:t>
      </w:r>
    </w:p>
    <w:p w14:paraId="76BF069C" w14:textId="77777777" w:rsidR="00F11CC6" w:rsidRPr="00A36F3D" w:rsidRDefault="00F11CC6">
      <w:pPr>
        <w:pBdr>
          <w:top w:val="nil"/>
          <w:left w:val="nil"/>
          <w:bottom w:val="nil"/>
          <w:right w:val="nil"/>
          <w:between w:val="nil"/>
        </w:pBdr>
        <w:ind w:left="720"/>
        <w:rPr>
          <w:rFonts w:ascii="Palatino Linotype" w:eastAsia="Palatino Linotype" w:hAnsi="Palatino Linotype" w:cs="Palatino Linotype"/>
          <w:i/>
          <w:sz w:val="22"/>
          <w:szCs w:val="22"/>
        </w:rPr>
      </w:pPr>
    </w:p>
    <w:p w14:paraId="196D80B7"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 xml:space="preserve">4. Turno. </w:t>
      </w:r>
      <w:r w:rsidRPr="00A36F3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A36F3D">
        <w:rPr>
          <w:rFonts w:ascii="Palatino Linotype" w:eastAsia="Palatino Linotype" w:hAnsi="Palatino Linotype" w:cs="Palatino Linotype"/>
          <w:b/>
          <w:sz w:val="22"/>
          <w:szCs w:val="22"/>
        </w:rPr>
        <w:t>10269/INFOEM/IP/RR/2025</w:t>
      </w:r>
      <w:r w:rsidRPr="00A36F3D">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A36F3D">
        <w:rPr>
          <w:rFonts w:ascii="Palatino Linotype" w:eastAsia="Palatino Linotype" w:hAnsi="Palatino Linotype" w:cs="Palatino Linotype"/>
          <w:b/>
          <w:sz w:val="22"/>
          <w:szCs w:val="22"/>
        </w:rPr>
        <w:t>Guadalupe Ramírez Peña</w:t>
      </w:r>
      <w:r w:rsidRPr="00A36F3D">
        <w:rPr>
          <w:rFonts w:ascii="Palatino Linotype" w:eastAsia="Palatino Linotype" w:hAnsi="Palatino Linotype" w:cs="Palatino Linotype"/>
          <w:sz w:val="22"/>
          <w:szCs w:val="22"/>
        </w:rPr>
        <w:t>, para su análisis, estudio, elaboración del proyecto y presentación ante el Pleno de este Instituto.</w:t>
      </w:r>
    </w:p>
    <w:p w14:paraId="18EFB1A4" w14:textId="77777777" w:rsidR="00F11CC6" w:rsidRPr="00A36F3D" w:rsidRDefault="00C019B0">
      <w:pPr>
        <w:spacing w:line="360" w:lineRule="auto"/>
        <w:jc w:val="both"/>
        <w:rPr>
          <w:rFonts w:ascii="Palatino Linotype" w:eastAsia="Palatino Linotype" w:hAnsi="Palatino Linotype" w:cs="Palatino Linotype"/>
          <w:b/>
          <w:sz w:val="22"/>
          <w:szCs w:val="22"/>
        </w:rPr>
      </w:pPr>
      <w:r w:rsidRPr="00A36F3D">
        <w:rPr>
          <w:rFonts w:ascii="Palatino Linotype" w:eastAsia="Palatino Linotype" w:hAnsi="Palatino Linotype" w:cs="Palatino Linotype"/>
          <w:b/>
          <w:sz w:val="22"/>
          <w:szCs w:val="22"/>
        </w:rPr>
        <w:t xml:space="preserve">5. Admisión. </w:t>
      </w:r>
      <w:r w:rsidRPr="00A36F3D">
        <w:rPr>
          <w:rFonts w:ascii="Palatino Linotype" w:eastAsia="Palatino Linotype" w:hAnsi="Palatino Linotype" w:cs="Palatino Linotype"/>
          <w:sz w:val="22"/>
          <w:szCs w:val="22"/>
        </w:rPr>
        <w:t xml:space="preserve">El </w:t>
      </w:r>
      <w:r w:rsidRPr="00A36F3D">
        <w:rPr>
          <w:rFonts w:ascii="Palatino Linotype" w:eastAsia="Palatino Linotype" w:hAnsi="Palatino Linotype" w:cs="Palatino Linotype"/>
          <w:b/>
          <w:sz w:val="22"/>
          <w:szCs w:val="22"/>
        </w:rPr>
        <w:t>cuatro de septiembre de dos mil veinticinco</w:t>
      </w:r>
      <w:r w:rsidRPr="00A36F3D">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A36F3D">
        <w:rPr>
          <w:rFonts w:ascii="Palatino Linotype" w:eastAsia="Palatino Linotype" w:hAnsi="Palatino Linotype" w:cs="Palatino Linotype"/>
          <w:b/>
          <w:sz w:val="22"/>
          <w:szCs w:val="22"/>
        </w:rPr>
        <w:t>.</w:t>
      </w:r>
    </w:p>
    <w:p w14:paraId="3E7EAD28" w14:textId="77777777" w:rsidR="00F11CC6" w:rsidRPr="00A36F3D" w:rsidRDefault="00F11CC6">
      <w:pPr>
        <w:spacing w:line="360" w:lineRule="auto"/>
        <w:jc w:val="both"/>
        <w:rPr>
          <w:rFonts w:ascii="Palatino Linotype" w:eastAsia="Palatino Linotype" w:hAnsi="Palatino Linotype" w:cs="Palatino Linotype"/>
          <w:b/>
          <w:sz w:val="22"/>
          <w:szCs w:val="22"/>
        </w:rPr>
      </w:pPr>
    </w:p>
    <w:p w14:paraId="1CC5A370"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6. Manifestaciones.</w:t>
      </w:r>
      <w:r w:rsidRPr="00A36F3D">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Pr="00A36F3D">
        <w:rPr>
          <w:rFonts w:ascii="Palatino Linotype" w:eastAsia="Palatino Linotype" w:hAnsi="Palatino Linotype" w:cs="Palatino Linotype"/>
          <w:b/>
          <w:sz w:val="22"/>
          <w:szCs w:val="22"/>
        </w:rPr>
        <w:t>cinco de septiembre de dos mil veinticinco</w:t>
      </w:r>
      <w:r w:rsidRPr="00A36F3D">
        <w:rPr>
          <w:rFonts w:ascii="Palatino Linotype" w:eastAsia="Palatino Linotype" w:hAnsi="Palatino Linotype" w:cs="Palatino Linotype"/>
          <w:sz w:val="22"/>
          <w:szCs w:val="22"/>
        </w:rPr>
        <w:t xml:space="preserve">, a través de los documentos electrónicos denominados </w:t>
      </w:r>
      <w:r w:rsidRPr="00A36F3D">
        <w:rPr>
          <w:rFonts w:ascii="Palatino Linotype" w:eastAsia="Palatino Linotype" w:hAnsi="Palatino Linotype" w:cs="Palatino Linotype"/>
          <w:b/>
          <w:sz w:val="22"/>
          <w:szCs w:val="22"/>
        </w:rPr>
        <w:t xml:space="preserve">Manifestaciones SPH </w:t>
      </w:r>
      <w:proofErr w:type="spellStart"/>
      <w:r w:rsidRPr="00A36F3D">
        <w:rPr>
          <w:rFonts w:ascii="Palatino Linotype" w:eastAsia="Palatino Linotype" w:hAnsi="Palatino Linotype" w:cs="Palatino Linotype"/>
          <w:b/>
          <w:sz w:val="22"/>
          <w:szCs w:val="22"/>
        </w:rPr>
        <w:t>rr</w:t>
      </w:r>
      <w:proofErr w:type="spellEnd"/>
      <w:r w:rsidRPr="00A36F3D">
        <w:rPr>
          <w:rFonts w:ascii="Palatino Linotype" w:eastAsia="Palatino Linotype" w:hAnsi="Palatino Linotype" w:cs="Palatino Linotype"/>
          <w:b/>
          <w:sz w:val="22"/>
          <w:szCs w:val="22"/>
        </w:rPr>
        <w:t xml:space="preserve"> 10269.2025.pdf; y Oficio 992.2025 manifestaciones de la UT al </w:t>
      </w:r>
      <w:proofErr w:type="spellStart"/>
      <w:r w:rsidRPr="00A36F3D">
        <w:rPr>
          <w:rFonts w:ascii="Palatino Linotype" w:eastAsia="Palatino Linotype" w:hAnsi="Palatino Linotype" w:cs="Palatino Linotype"/>
          <w:b/>
          <w:sz w:val="22"/>
          <w:szCs w:val="22"/>
        </w:rPr>
        <w:t>rr.</w:t>
      </w:r>
      <w:proofErr w:type="spellEnd"/>
      <w:r w:rsidRPr="00A36F3D">
        <w:rPr>
          <w:rFonts w:ascii="Palatino Linotype" w:eastAsia="Palatino Linotype" w:hAnsi="Palatino Linotype" w:cs="Palatino Linotype"/>
          <w:b/>
          <w:sz w:val="22"/>
          <w:szCs w:val="22"/>
        </w:rPr>
        <w:t xml:space="preserve"> 10269.pdf</w:t>
      </w:r>
      <w:r w:rsidRPr="00A36F3D">
        <w:rPr>
          <w:rFonts w:ascii="Palatino Linotype" w:eastAsia="Palatino Linotype" w:hAnsi="Palatino Linotype" w:cs="Palatino Linotype"/>
          <w:sz w:val="22"/>
          <w:szCs w:val="22"/>
        </w:rPr>
        <w:t xml:space="preserve"> mediante los cuales ratifica la respuesta inicial respecto a la inexistencia de la información. El contenido del informe justificado se puso a disposición del Recurrente el </w:t>
      </w:r>
      <w:r w:rsidRPr="00A36F3D">
        <w:rPr>
          <w:rFonts w:ascii="Palatino Linotype" w:eastAsia="Palatino Linotype" w:hAnsi="Palatino Linotype" w:cs="Palatino Linotype"/>
          <w:b/>
          <w:sz w:val="22"/>
          <w:szCs w:val="22"/>
        </w:rPr>
        <w:t>cinco de noviembre de dos mil veinticinco.</w:t>
      </w:r>
      <w:r w:rsidRPr="00A36F3D">
        <w:rPr>
          <w:rFonts w:ascii="Palatino Linotype" w:eastAsia="Palatino Linotype" w:hAnsi="Palatino Linotype" w:cs="Palatino Linotype"/>
          <w:sz w:val="22"/>
          <w:szCs w:val="22"/>
        </w:rPr>
        <w:t xml:space="preserve"> </w:t>
      </w:r>
    </w:p>
    <w:p w14:paraId="651BB33C"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72B803CC" w14:textId="77777777" w:rsidR="00F11CC6" w:rsidRPr="00A36F3D" w:rsidRDefault="00C019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7. Ampliación de plazo. El cinco de noviembre de dos mil veinticinco</w:t>
      </w:r>
      <w:r w:rsidRPr="00A36F3D">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1876A4BE"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A9ADBC7"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41EE1119"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512C193"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B9907E9"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8D13183" w14:textId="77777777" w:rsidR="00F11CC6" w:rsidRPr="00A36F3D" w:rsidRDefault="00C019B0">
      <w:pPr>
        <w:numPr>
          <w:ilvl w:val="0"/>
          <w:numId w:val="10"/>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Complejidad del Asunto:</w:t>
      </w:r>
      <w:r w:rsidRPr="00A36F3D">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C654D72" w14:textId="77777777" w:rsidR="00F11CC6" w:rsidRPr="00A36F3D" w:rsidRDefault="00C019B0">
      <w:pPr>
        <w:numPr>
          <w:ilvl w:val="0"/>
          <w:numId w:val="10"/>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Actividad Procesal del interesado</w:t>
      </w:r>
      <w:r w:rsidRPr="00A36F3D">
        <w:rPr>
          <w:rFonts w:ascii="Palatino Linotype" w:eastAsia="Palatino Linotype" w:hAnsi="Palatino Linotype" w:cs="Palatino Linotype"/>
          <w:sz w:val="22"/>
          <w:szCs w:val="22"/>
        </w:rPr>
        <w:t>. Acciones u omisiones del interesado.</w:t>
      </w:r>
    </w:p>
    <w:p w14:paraId="05590CF9" w14:textId="77777777" w:rsidR="00F11CC6" w:rsidRPr="00A36F3D" w:rsidRDefault="00C019B0">
      <w:pPr>
        <w:numPr>
          <w:ilvl w:val="0"/>
          <w:numId w:val="10"/>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Conducta de la Autoridad:</w:t>
      </w:r>
      <w:r w:rsidRPr="00A36F3D">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45357FE" w14:textId="77777777" w:rsidR="00F11CC6" w:rsidRPr="00A36F3D" w:rsidRDefault="00C019B0">
      <w:pPr>
        <w:numPr>
          <w:ilvl w:val="0"/>
          <w:numId w:val="10"/>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La afectación generada en la situación jurídica de la persona involucrada en el proceso:</w:t>
      </w:r>
      <w:r w:rsidRPr="00A36F3D">
        <w:rPr>
          <w:rFonts w:ascii="Palatino Linotype" w:eastAsia="Palatino Linotype" w:hAnsi="Palatino Linotype" w:cs="Palatino Linotype"/>
          <w:sz w:val="22"/>
          <w:szCs w:val="22"/>
        </w:rPr>
        <w:t xml:space="preserve"> Violación a sus derechos humanos.</w:t>
      </w:r>
    </w:p>
    <w:p w14:paraId="4C637334"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E477A1E"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A36F3D">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A36F3D">
        <w:rPr>
          <w:rFonts w:ascii="Palatino Linotype" w:eastAsia="Palatino Linotype" w:hAnsi="Palatino Linotype" w:cs="Palatino Linotype"/>
          <w:sz w:val="22"/>
          <w:szCs w:val="22"/>
        </w:rPr>
        <w:t>, visible en la Gaceta del Seminario Judicial de la Federación con el registro digital 205635.</w:t>
      </w:r>
    </w:p>
    <w:p w14:paraId="37249DC7"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C59CB5"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219952F" w14:textId="77777777" w:rsidR="00F11CC6" w:rsidRPr="00A36F3D" w:rsidRDefault="00C019B0">
      <w:pPr>
        <w:spacing w:before="240" w:after="240" w:line="360" w:lineRule="auto"/>
        <w:ind w:left="851" w:right="900"/>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 </w:t>
      </w:r>
      <w:r w:rsidRPr="00A36F3D">
        <w:rPr>
          <w:rFonts w:ascii="Palatino Linotype" w:eastAsia="Palatino Linotype" w:hAnsi="Palatino Linotype" w:cs="Palatino Linotype"/>
          <w:b/>
          <w:i/>
          <w:sz w:val="22"/>
          <w:szCs w:val="22"/>
        </w:rPr>
        <w:t>“PLAZO RAZONABLE PARA RESOLVER. DIMENSIÓN Y EFECTOS DE ESTE CONCEPTO CUANDO SE ADUCE EXCESIVA CARGA DE TRABAJO</w:t>
      </w:r>
      <w:r w:rsidRPr="00A36F3D">
        <w:rPr>
          <w:rFonts w:ascii="Palatino Linotype" w:eastAsia="Palatino Linotype" w:hAnsi="Palatino Linotype" w:cs="Palatino Linotype"/>
          <w:i/>
          <w:sz w:val="22"/>
          <w:szCs w:val="22"/>
        </w:rPr>
        <w:t>.”</w:t>
      </w:r>
      <w:r w:rsidRPr="00A36F3D">
        <w:rPr>
          <w:rFonts w:ascii="Palatino Linotype" w:eastAsia="Palatino Linotype" w:hAnsi="Palatino Linotype" w:cs="Palatino Linotype"/>
          <w:sz w:val="22"/>
          <w:szCs w:val="22"/>
        </w:rPr>
        <w:t xml:space="preserve"> consultable en el Seminario Judicial de la Federación y su gaceta, con el registro digital 2002351.</w:t>
      </w:r>
    </w:p>
    <w:p w14:paraId="6A7D0636" w14:textId="77777777" w:rsidR="00F11CC6" w:rsidRPr="00A36F3D" w:rsidRDefault="00C019B0">
      <w:pPr>
        <w:spacing w:before="240" w:after="240" w:line="360" w:lineRule="auto"/>
        <w:ind w:left="851" w:right="900"/>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A36F3D">
        <w:rPr>
          <w:rFonts w:ascii="Palatino Linotype" w:eastAsia="Palatino Linotype" w:hAnsi="Palatino Linotype" w:cs="Palatino Linotype"/>
          <w:sz w:val="22"/>
          <w:szCs w:val="22"/>
        </w:rPr>
        <w:t>, visible en el Seminario Judicial de la Federación y su gaceta, con el registro digital 2002350.</w:t>
      </w:r>
    </w:p>
    <w:p w14:paraId="59643329"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740B9B29" w14:textId="50742183" w:rsidR="00F11CC6" w:rsidRPr="00A36F3D" w:rsidRDefault="00C019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8. Cierre de instrucción</w:t>
      </w:r>
      <w:r w:rsidRPr="00A36F3D">
        <w:rPr>
          <w:rFonts w:ascii="Palatino Linotype" w:eastAsia="Palatino Linotype" w:hAnsi="Palatino Linotype" w:cs="Palatino Linotype"/>
          <w:sz w:val="22"/>
          <w:szCs w:val="22"/>
        </w:rPr>
        <w:t xml:space="preserve">. En fecha </w:t>
      </w:r>
      <w:r w:rsidR="00903D5D" w:rsidRPr="00A36F3D">
        <w:rPr>
          <w:rFonts w:ascii="Palatino Linotype" w:eastAsia="Palatino Linotype" w:hAnsi="Palatino Linotype" w:cs="Palatino Linotype"/>
          <w:b/>
          <w:sz w:val="22"/>
          <w:szCs w:val="22"/>
        </w:rPr>
        <w:t>doce</w:t>
      </w:r>
      <w:r w:rsidRPr="00A36F3D">
        <w:rPr>
          <w:rFonts w:ascii="Palatino Linotype" w:eastAsia="Palatino Linotype" w:hAnsi="Palatino Linotype" w:cs="Palatino Linotype"/>
          <w:sz w:val="22"/>
          <w:szCs w:val="22"/>
        </w:rPr>
        <w:t xml:space="preserve"> </w:t>
      </w:r>
      <w:r w:rsidRPr="00A36F3D">
        <w:rPr>
          <w:rFonts w:ascii="Palatino Linotype" w:eastAsia="Palatino Linotype" w:hAnsi="Palatino Linotype" w:cs="Palatino Linotype"/>
          <w:b/>
          <w:sz w:val="22"/>
          <w:szCs w:val="22"/>
        </w:rPr>
        <w:t>de noviembre de dos mil veinticinco</w:t>
      </w:r>
      <w:r w:rsidRPr="00A36F3D">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7C4C69FA" w14:textId="77777777" w:rsidR="00F11CC6" w:rsidRPr="00A36F3D" w:rsidRDefault="00F11CC6">
      <w:pPr>
        <w:spacing w:line="360" w:lineRule="auto"/>
        <w:ind w:right="49"/>
        <w:jc w:val="both"/>
        <w:rPr>
          <w:rFonts w:ascii="Palatino Linotype" w:eastAsia="Palatino Linotype" w:hAnsi="Palatino Linotype" w:cs="Palatino Linotype"/>
          <w:sz w:val="22"/>
          <w:szCs w:val="22"/>
        </w:rPr>
      </w:pPr>
    </w:p>
    <w:p w14:paraId="1A8AA637" w14:textId="77777777" w:rsidR="00F11CC6" w:rsidRPr="00A36F3D" w:rsidRDefault="00C019B0">
      <w:pPr>
        <w:spacing w:line="360" w:lineRule="auto"/>
        <w:ind w:right="49"/>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54175256" w14:textId="77777777" w:rsidR="00F11CC6" w:rsidRPr="00A36F3D" w:rsidRDefault="00F11CC6">
      <w:pPr>
        <w:spacing w:line="360" w:lineRule="auto"/>
        <w:ind w:right="49"/>
        <w:jc w:val="both"/>
        <w:rPr>
          <w:rFonts w:ascii="Palatino Linotype" w:eastAsia="Palatino Linotype" w:hAnsi="Palatino Linotype" w:cs="Palatino Linotype"/>
          <w:sz w:val="22"/>
          <w:szCs w:val="22"/>
        </w:rPr>
      </w:pPr>
    </w:p>
    <w:p w14:paraId="1DBE9C97" w14:textId="77777777" w:rsidR="00F11CC6" w:rsidRPr="00A36F3D" w:rsidRDefault="00C019B0">
      <w:pPr>
        <w:spacing w:line="360" w:lineRule="auto"/>
        <w:ind w:right="49"/>
        <w:jc w:val="center"/>
        <w:rPr>
          <w:rFonts w:ascii="Palatino Linotype" w:eastAsia="Palatino Linotype" w:hAnsi="Palatino Linotype" w:cs="Palatino Linotype"/>
          <w:b/>
          <w:sz w:val="22"/>
          <w:szCs w:val="22"/>
        </w:rPr>
      </w:pPr>
      <w:r w:rsidRPr="00A36F3D">
        <w:rPr>
          <w:rFonts w:ascii="Palatino Linotype" w:eastAsia="Palatino Linotype" w:hAnsi="Palatino Linotype" w:cs="Palatino Linotype"/>
          <w:b/>
          <w:sz w:val="22"/>
          <w:szCs w:val="22"/>
        </w:rPr>
        <w:t>II.</w:t>
      </w:r>
      <w:r w:rsidRPr="00A36F3D">
        <w:rPr>
          <w:rFonts w:ascii="Palatino Linotype" w:eastAsia="Palatino Linotype" w:hAnsi="Palatino Linotype" w:cs="Palatino Linotype"/>
          <w:b/>
          <w:sz w:val="22"/>
          <w:szCs w:val="22"/>
        </w:rPr>
        <w:tab/>
        <w:t>C O N S I D E R A N D O:</w:t>
      </w:r>
    </w:p>
    <w:p w14:paraId="3489FD2F" w14:textId="77777777" w:rsidR="00F11CC6" w:rsidRPr="00A36F3D" w:rsidRDefault="00F11CC6">
      <w:pPr>
        <w:spacing w:line="360" w:lineRule="auto"/>
        <w:ind w:right="49"/>
        <w:jc w:val="both"/>
        <w:rPr>
          <w:rFonts w:ascii="Palatino Linotype" w:eastAsia="Palatino Linotype" w:hAnsi="Palatino Linotype" w:cs="Palatino Linotype"/>
          <w:sz w:val="22"/>
          <w:szCs w:val="22"/>
        </w:rPr>
      </w:pPr>
    </w:p>
    <w:p w14:paraId="2CC2D3FC"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Primero. Competencia.</w:t>
      </w:r>
      <w:r w:rsidRPr="00A36F3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94B3134"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 xml:space="preserve">Segundo. Oportunidad y </w:t>
      </w:r>
      <w:proofErr w:type="spellStart"/>
      <w:r w:rsidRPr="00A36F3D">
        <w:rPr>
          <w:rFonts w:ascii="Palatino Linotype" w:eastAsia="Palatino Linotype" w:hAnsi="Palatino Linotype" w:cs="Palatino Linotype"/>
          <w:b/>
          <w:sz w:val="22"/>
          <w:szCs w:val="22"/>
        </w:rPr>
        <w:t>Procedibilidad</w:t>
      </w:r>
      <w:proofErr w:type="spellEnd"/>
      <w:r w:rsidRPr="00A36F3D">
        <w:rPr>
          <w:rFonts w:ascii="Palatino Linotype" w:eastAsia="Palatino Linotype" w:hAnsi="Palatino Linotype" w:cs="Palatino Linotype"/>
          <w:b/>
          <w:sz w:val="22"/>
          <w:szCs w:val="22"/>
        </w:rPr>
        <w:t xml:space="preserve"> del Recurso de Revisión. </w:t>
      </w:r>
      <w:r w:rsidRPr="00A36F3D">
        <w:rPr>
          <w:rFonts w:ascii="Palatino Linotype" w:eastAsia="Palatino Linotype" w:hAnsi="Palatino Linotype" w:cs="Palatino Linotype"/>
          <w:sz w:val="22"/>
          <w:szCs w:val="22"/>
        </w:rPr>
        <w:t xml:space="preserve">Previo al estudio del fondo del asunto, se procede a analizar los requisitos de oportunidad y </w:t>
      </w:r>
      <w:proofErr w:type="spellStart"/>
      <w:r w:rsidRPr="00A36F3D">
        <w:rPr>
          <w:rFonts w:ascii="Palatino Linotype" w:eastAsia="Palatino Linotype" w:hAnsi="Palatino Linotype" w:cs="Palatino Linotype"/>
          <w:sz w:val="22"/>
          <w:szCs w:val="22"/>
        </w:rPr>
        <w:t>procedibilidad</w:t>
      </w:r>
      <w:proofErr w:type="spellEnd"/>
      <w:r w:rsidRPr="00A36F3D">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64AB7CBE"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1DD7199" w14:textId="77777777" w:rsidR="00F11CC6" w:rsidRPr="00A36F3D" w:rsidRDefault="00C019B0">
      <w:pPr>
        <w:ind w:left="426" w:right="701"/>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br/>
      </w:r>
      <w:r w:rsidRPr="00A36F3D">
        <w:rPr>
          <w:rFonts w:ascii="Palatino Linotype" w:eastAsia="Palatino Linotype" w:hAnsi="Palatino Linotype" w:cs="Palatino Linotype"/>
          <w:b/>
          <w:i/>
          <w:sz w:val="22"/>
          <w:szCs w:val="22"/>
        </w:rPr>
        <w:t xml:space="preserve">"Las solicitudes anónimas, </w:t>
      </w:r>
      <w:r w:rsidRPr="00A36F3D">
        <w:rPr>
          <w:rFonts w:ascii="Palatino Linotype" w:eastAsia="Palatino Linotype" w:hAnsi="Palatino Linotype" w:cs="Palatino Linotype"/>
          <w:i/>
          <w:sz w:val="22"/>
          <w:szCs w:val="22"/>
        </w:rPr>
        <w:t>con nombre incompleto o seudónimo </w:t>
      </w:r>
      <w:r w:rsidRPr="00A36F3D">
        <w:rPr>
          <w:rFonts w:ascii="Palatino Linotype" w:eastAsia="Palatino Linotype" w:hAnsi="Palatino Linotype" w:cs="Palatino Linotype"/>
          <w:b/>
          <w:i/>
          <w:sz w:val="22"/>
          <w:szCs w:val="22"/>
        </w:rPr>
        <w:t>serán procedentes para su trámite por parte del sujeto obligado ante quien se presente.</w:t>
      </w:r>
      <w:r w:rsidRPr="00A36F3D">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475BB5A0" w14:textId="77777777" w:rsidR="00F11CC6" w:rsidRPr="00A36F3D" w:rsidRDefault="00F11CC6">
      <w:pPr>
        <w:ind w:left="426" w:right="701"/>
        <w:jc w:val="both"/>
        <w:rPr>
          <w:rFonts w:ascii="Palatino Linotype" w:eastAsia="Palatino Linotype" w:hAnsi="Palatino Linotype" w:cs="Palatino Linotype"/>
          <w:sz w:val="22"/>
          <w:szCs w:val="22"/>
        </w:rPr>
      </w:pPr>
    </w:p>
    <w:p w14:paraId="24539A10"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364A109C" w14:textId="77777777" w:rsidR="00F11CC6" w:rsidRPr="00A36F3D" w:rsidRDefault="00C019B0">
      <w:pPr>
        <w:spacing w:line="360" w:lineRule="auto"/>
        <w:ind w:left="851" w:right="90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 xml:space="preserve">“Artículo 178. </w:t>
      </w:r>
      <w:r w:rsidRPr="00A36F3D">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26BFE5F" w14:textId="77777777" w:rsidR="00F11CC6" w:rsidRPr="00A36F3D" w:rsidRDefault="00C019B0">
      <w:pPr>
        <w:spacing w:before="240" w:after="240" w:line="360" w:lineRule="auto"/>
        <w:ind w:right="49"/>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A36F3D">
        <w:rPr>
          <w:rFonts w:ascii="Palatino Linotype" w:eastAsia="Palatino Linotype" w:hAnsi="Palatino Linotype" w:cs="Palatino Linotype"/>
          <w:b/>
          <w:sz w:val="22"/>
          <w:szCs w:val="22"/>
        </w:rPr>
        <w:t>SUJETO OBLIGADO</w:t>
      </w:r>
      <w:r w:rsidRPr="00A36F3D">
        <w:rPr>
          <w:rFonts w:ascii="Palatino Linotype" w:eastAsia="Palatino Linotype" w:hAnsi="Palatino Linotype" w:cs="Palatino Linotype"/>
          <w:sz w:val="22"/>
          <w:szCs w:val="22"/>
        </w:rPr>
        <w:t xml:space="preserve"> remitió la respuesta a la solicitud de información el día </w:t>
      </w:r>
      <w:r w:rsidRPr="00A36F3D">
        <w:rPr>
          <w:rFonts w:ascii="Palatino Linotype" w:eastAsia="Palatino Linotype" w:hAnsi="Palatino Linotype" w:cs="Palatino Linotype"/>
          <w:b/>
          <w:sz w:val="22"/>
          <w:szCs w:val="22"/>
        </w:rPr>
        <w:t xml:space="preserve">veintiocho de octubre de dos mil veinticinco, </w:t>
      </w:r>
      <w:r w:rsidRPr="00A36F3D">
        <w:rPr>
          <w:rFonts w:ascii="Palatino Linotype" w:eastAsia="Palatino Linotype" w:hAnsi="Palatino Linotype" w:cs="Palatino Linotype"/>
          <w:sz w:val="22"/>
          <w:szCs w:val="22"/>
        </w:rPr>
        <w:t xml:space="preserve">mientras que el recurso de revisión interpuesto por la parte </w:t>
      </w:r>
      <w:r w:rsidRPr="00A36F3D">
        <w:rPr>
          <w:rFonts w:ascii="Palatino Linotype" w:eastAsia="Palatino Linotype" w:hAnsi="Palatino Linotype" w:cs="Palatino Linotype"/>
          <w:b/>
          <w:sz w:val="22"/>
          <w:szCs w:val="22"/>
        </w:rPr>
        <w:t>RECURRENTE</w:t>
      </w:r>
      <w:r w:rsidRPr="00A36F3D">
        <w:rPr>
          <w:rFonts w:ascii="Palatino Linotype" w:eastAsia="Palatino Linotype" w:hAnsi="Palatino Linotype" w:cs="Palatino Linotype"/>
          <w:sz w:val="22"/>
          <w:szCs w:val="22"/>
        </w:rPr>
        <w:t xml:space="preserve">, se tuvo por presentado el </w:t>
      </w:r>
      <w:r w:rsidRPr="00A36F3D">
        <w:rPr>
          <w:rFonts w:ascii="Palatino Linotype" w:eastAsia="Palatino Linotype" w:hAnsi="Palatino Linotype" w:cs="Palatino Linotype"/>
          <w:b/>
          <w:sz w:val="22"/>
          <w:szCs w:val="22"/>
        </w:rPr>
        <w:t>uno de septiembre del año dos mil veinticinco</w:t>
      </w:r>
      <w:r w:rsidRPr="00A36F3D">
        <w:rPr>
          <w:rFonts w:ascii="Palatino Linotype" w:eastAsia="Palatino Linotype" w:hAnsi="Palatino Linotype" w:cs="Palatino Linotype"/>
          <w:sz w:val="22"/>
          <w:szCs w:val="22"/>
        </w:rPr>
        <w:t xml:space="preserve">; esto es, al </w:t>
      </w:r>
      <w:r w:rsidRPr="00A36F3D">
        <w:rPr>
          <w:rFonts w:ascii="Palatino Linotype" w:eastAsia="Palatino Linotype" w:hAnsi="Palatino Linotype" w:cs="Palatino Linotype"/>
          <w:b/>
          <w:sz w:val="22"/>
          <w:szCs w:val="22"/>
        </w:rPr>
        <w:t xml:space="preserve">segundo día hábil </w:t>
      </w:r>
      <w:r w:rsidRPr="00A36F3D">
        <w:rPr>
          <w:rFonts w:ascii="Palatino Linotype" w:eastAsia="Palatino Linotype" w:hAnsi="Palatino Linotype" w:cs="Palatino Linotype"/>
          <w:sz w:val="22"/>
          <w:szCs w:val="22"/>
        </w:rPr>
        <w:t>siguiente al que se tuvo conocimiento de la respuesta respectivamente.</w:t>
      </w:r>
    </w:p>
    <w:p w14:paraId="140A6A37" w14:textId="77777777" w:rsidR="00F11CC6" w:rsidRPr="00A36F3D" w:rsidRDefault="00C019B0">
      <w:pPr>
        <w:spacing w:before="240" w:after="240" w:line="360" w:lineRule="auto"/>
        <w:ind w:right="49"/>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Así también, por cuanto hace a la </w:t>
      </w:r>
      <w:proofErr w:type="spellStart"/>
      <w:r w:rsidRPr="00A36F3D">
        <w:rPr>
          <w:rFonts w:ascii="Palatino Linotype" w:eastAsia="Palatino Linotype" w:hAnsi="Palatino Linotype" w:cs="Palatino Linotype"/>
          <w:sz w:val="22"/>
          <w:szCs w:val="22"/>
        </w:rPr>
        <w:t>procedibilidad</w:t>
      </w:r>
      <w:proofErr w:type="spellEnd"/>
      <w:r w:rsidRPr="00A36F3D">
        <w:rPr>
          <w:rFonts w:ascii="Palatino Linotype" w:eastAsia="Palatino Linotype" w:hAnsi="Palatino Linotype" w:cs="Palatino Linotype"/>
          <w:sz w:val="22"/>
          <w:szCs w:val="22"/>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E998270"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III de la ley de la materia, que a la letra dice:</w:t>
      </w:r>
    </w:p>
    <w:p w14:paraId="122E0750" w14:textId="77777777" w:rsidR="00F11CC6" w:rsidRPr="00A36F3D" w:rsidRDefault="00C019B0">
      <w:pPr>
        <w:spacing w:line="360" w:lineRule="auto"/>
        <w:ind w:left="851" w:right="1041"/>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r w:rsidRPr="00A36F3D">
        <w:rPr>
          <w:rFonts w:ascii="Palatino Linotype" w:eastAsia="Palatino Linotype" w:hAnsi="Palatino Linotype" w:cs="Palatino Linotype"/>
          <w:b/>
          <w:i/>
          <w:sz w:val="22"/>
          <w:szCs w:val="22"/>
        </w:rPr>
        <w:t xml:space="preserve">Artículo 179. </w:t>
      </w:r>
      <w:r w:rsidRPr="00A36F3D">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ADB4F06" w14:textId="77777777" w:rsidR="00F11CC6" w:rsidRPr="00A36F3D" w:rsidRDefault="00C019B0">
      <w:pPr>
        <w:spacing w:line="360" w:lineRule="auto"/>
        <w:ind w:left="851" w:right="1041"/>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p>
    <w:p w14:paraId="1A734D2F" w14:textId="77777777" w:rsidR="00F11CC6" w:rsidRPr="00A36F3D" w:rsidRDefault="00C019B0">
      <w:pPr>
        <w:spacing w:line="360" w:lineRule="auto"/>
        <w:ind w:left="851" w:right="1041"/>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III. La declaración de inexistencia de la </w:t>
      </w:r>
      <w:proofErr w:type="gramStart"/>
      <w:r w:rsidRPr="00A36F3D">
        <w:rPr>
          <w:rFonts w:ascii="Palatino Linotype" w:eastAsia="Palatino Linotype" w:hAnsi="Palatino Linotype" w:cs="Palatino Linotype"/>
          <w:i/>
          <w:sz w:val="22"/>
          <w:szCs w:val="22"/>
        </w:rPr>
        <w:t>información;;</w:t>
      </w:r>
      <w:proofErr w:type="gramEnd"/>
    </w:p>
    <w:p w14:paraId="5464B9CC" w14:textId="77777777" w:rsidR="00F11CC6" w:rsidRPr="00A36F3D" w:rsidRDefault="00C019B0">
      <w:pPr>
        <w:spacing w:line="360" w:lineRule="auto"/>
        <w:ind w:left="851" w:right="1041"/>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p>
    <w:p w14:paraId="3738AA04"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 xml:space="preserve">Tercero. Materia de la revisión. </w:t>
      </w:r>
      <w:r w:rsidRPr="00A36F3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36F3D">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A36F3D">
        <w:rPr>
          <w:rFonts w:ascii="Palatino Linotype" w:eastAsia="Palatino Linotype" w:hAnsi="Palatino Linotype" w:cs="Palatino Linotype"/>
          <w:sz w:val="22"/>
          <w:szCs w:val="22"/>
        </w:rPr>
        <w:t xml:space="preserve">de la parte </w:t>
      </w:r>
      <w:r w:rsidRPr="00A36F3D">
        <w:rPr>
          <w:rFonts w:ascii="Palatino Linotype" w:eastAsia="Palatino Linotype" w:hAnsi="Palatino Linotype" w:cs="Palatino Linotype"/>
          <w:b/>
          <w:sz w:val="22"/>
          <w:szCs w:val="22"/>
        </w:rPr>
        <w:t>Recurrente</w:t>
      </w:r>
      <w:r w:rsidRPr="00A36F3D">
        <w:rPr>
          <w:rFonts w:ascii="Palatino Linotype" w:eastAsia="Palatino Linotype" w:hAnsi="Palatino Linotype" w:cs="Palatino Linotype"/>
          <w:sz w:val="22"/>
          <w:szCs w:val="22"/>
        </w:rPr>
        <w:t>, o en su defecto, en caso de ser procedente, ordenar la entrega de información.</w:t>
      </w:r>
    </w:p>
    <w:p w14:paraId="13DF2C4E"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 xml:space="preserve">Cuarto. Estudio del asunto. </w:t>
      </w:r>
      <w:r w:rsidRPr="00A36F3D">
        <w:rPr>
          <w:rFonts w:ascii="Palatino Linotype" w:eastAsia="Palatino Linotype" w:hAnsi="Palatino Linotype" w:cs="Palatino Linotype"/>
          <w:sz w:val="22"/>
          <w:szCs w:val="22"/>
        </w:rPr>
        <w:t xml:space="preserve">En principio, es conveniente analizar si la respuesta del </w:t>
      </w:r>
      <w:r w:rsidRPr="00A36F3D">
        <w:rPr>
          <w:rFonts w:ascii="Palatino Linotype" w:eastAsia="Palatino Linotype" w:hAnsi="Palatino Linotype" w:cs="Palatino Linotype"/>
          <w:b/>
          <w:sz w:val="22"/>
          <w:szCs w:val="22"/>
        </w:rPr>
        <w:t>SUJETO OBLIGADO</w:t>
      </w:r>
      <w:r w:rsidRPr="00A36F3D">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3B35F6F"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436120E2" w14:textId="77777777" w:rsidR="00F11CC6" w:rsidRPr="00A36F3D" w:rsidRDefault="00C019B0">
      <w:pPr>
        <w:spacing w:line="276" w:lineRule="auto"/>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r w:rsidRPr="00A36F3D">
        <w:rPr>
          <w:rFonts w:ascii="Palatino Linotype" w:eastAsia="Palatino Linotype" w:hAnsi="Palatino Linotype" w:cs="Palatino Linotype"/>
          <w:b/>
          <w:i/>
          <w:sz w:val="22"/>
          <w:szCs w:val="22"/>
        </w:rPr>
        <w:t>Artículo 4</w:t>
      </w:r>
      <w:r w:rsidRPr="00A36F3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03745D0" w14:textId="77777777" w:rsidR="00F11CC6" w:rsidRPr="00A36F3D" w:rsidRDefault="00C019B0">
      <w:pPr>
        <w:spacing w:line="276" w:lineRule="auto"/>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36F3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37DE985" w14:textId="77777777" w:rsidR="00F11CC6" w:rsidRPr="00A36F3D" w:rsidRDefault="00C019B0">
      <w:pPr>
        <w:spacing w:line="276" w:lineRule="auto"/>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36F3D">
        <w:rPr>
          <w:rFonts w:ascii="Palatino Linotype" w:eastAsia="Palatino Linotype" w:hAnsi="Palatino Linotype" w:cs="Palatino Linotype"/>
          <w:i/>
          <w:sz w:val="22"/>
          <w:szCs w:val="22"/>
        </w:rPr>
        <w:t>.”</w:t>
      </w:r>
    </w:p>
    <w:p w14:paraId="70746C8E" w14:textId="77777777" w:rsidR="00F11CC6" w:rsidRPr="00A36F3D" w:rsidRDefault="00F11CC6">
      <w:pPr>
        <w:spacing w:line="276" w:lineRule="auto"/>
        <w:jc w:val="both"/>
        <w:rPr>
          <w:rFonts w:ascii="Palatino Linotype" w:eastAsia="Palatino Linotype" w:hAnsi="Palatino Linotype" w:cs="Palatino Linotype"/>
          <w:sz w:val="22"/>
          <w:szCs w:val="22"/>
        </w:rPr>
      </w:pPr>
    </w:p>
    <w:p w14:paraId="3D7578A0"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EA16179"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70254681" w14:textId="77777777" w:rsidR="00F11CC6" w:rsidRPr="00A36F3D" w:rsidRDefault="00C019B0">
      <w:pPr>
        <w:spacing w:line="276" w:lineRule="auto"/>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“Artículo 12.-</w:t>
      </w:r>
      <w:r w:rsidRPr="00A36F3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10EC41D" w14:textId="77777777" w:rsidR="00F11CC6" w:rsidRPr="00A36F3D" w:rsidRDefault="00F11CC6">
      <w:pPr>
        <w:spacing w:line="276" w:lineRule="auto"/>
        <w:ind w:left="567" w:right="616"/>
        <w:jc w:val="both"/>
        <w:rPr>
          <w:rFonts w:ascii="Palatino Linotype" w:eastAsia="Palatino Linotype" w:hAnsi="Palatino Linotype" w:cs="Palatino Linotype"/>
          <w:i/>
          <w:sz w:val="22"/>
          <w:szCs w:val="22"/>
        </w:rPr>
      </w:pPr>
    </w:p>
    <w:p w14:paraId="0E86731E" w14:textId="77777777" w:rsidR="00F11CC6" w:rsidRPr="00A36F3D" w:rsidRDefault="00C019B0">
      <w:pPr>
        <w:spacing w:line="276" w:lineRule="auto"/>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36F3D">
        <w:rPr>
          <w:rFonts w:ascii="Palatino Linotype" w:eastAsia="Palatino Linotype" w:hAnsi="Palatino Linotype" w:cs="Palatino Linotype"/>
          <w:i/>
          <w:sz w:val="22"/>
          <w:szCs w:val="22"/>
        </w:rPr>
        <w:t xml:space="preserve">. </w:t>
      </w:r>
      <w:r w:rsidRPr="00A36F3D">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6FAEC8F" w14:textId="77777777" w:rsidR="00F11CC6" w:rsidRPr="00A36F3D" w:rsidRDefault="00F11CC6">
      <w:pPr>
        <w:spacing w:line="360" w:lineRule="auto"/>
        <w:ind w:right="-93"/>
        <w:jc w:val="both"/>
        <w:rPr>
          <w:rFonts w:ascii="Palatino Linotype" w:eastAsia="Palatino Linotype" w:hAnsi="Palatino Linotype" w:cs="Palatino Linotype"/>
          <w:sz w:val="22"/>
          <w:szCs w:val="22"/>
        </w:rPr>
      </w:pPr>
    </w:p>
    <w:p w14:paraId="73521FA9" w14:textId="77777777" w:rsidR="00F11CC6" w:rsidRPr="00A36F3D" w:rsidRDefault="00C019B0">
      <w:pPr>
        <w:spacing w:line="360" w:lineRule="auto"/>
        <w:ind w:right="-93"/>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0957DF2" w14:textId="77777777" w:rsidR="00F11CC6" w:rsidRPr="00A36F3D" w:rsidRDefault="00F11CC6">
      <w:pPr>
        <w:spacing w:line="360" w:lineRule="auto"/>
        <w:ind w:right="-93"/>
        <w:jc w:val="both"/>
        <w:rPr>
          <w:rFonts w:ascii="Palatino Linotype" w:eastAsia="Palatino Linotype" w:hAnsi="Palatino Linotype" w:cs="Palatino Linotype"/>
          <w:sz w:val="22"/>
          <w:szCs w:val="22"/>
        </w:rPr>
      </w:pPr>
    </w:p>
    <w:p w14:paraId="720D87F3" w14:textId="77777777" w:rsidR="00F11CC6" w:rsidRPr="00A36F3D" w:rsidRDefault="00C019B0">
      <w:pPr>
        <w:spacing w:line="360" w:lineRule="auto"/>
        <w:ind w:right="-93"/>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A36F3D">
        <w:rPr>
          <w:rFonts w:ascii="Palatino Linotype" w:eastAsia="Palatino Linotype" w:hAnsi="Palatino Linotype" w:cs="Palatino Linotype"/>
          <w:b/>
          <w:sz w:val="22"/>
          <w:szCs w:val="22"/>
        </w:rPr>
        <w:t xml:space="preserve"> </w:t>
      </w:r>
    </w:p>
    <w:p w14:paraId="0C2569B8" w14:textId="77777777" w:rsidR="00F11CC6" w:rsidRPr="00A36F3D" w:rsidRDefault="00F11CC6">
      <w:pPr>
        <w:spacing w:line="360" w:lineRule="auto"/>
        <w:jc w:val="both"/>
        <w:rPr>
          <w:rFonts w:ascii="Palatino Linotype" w:eastAsia="Palatino Linotype" w:hAnsi="Palatino Linotype" w:cs="Palatino Linotype"/>
          <w:b/>
          <w:sz w:val="22"/>
          <w:szCs w:val="22"/>
        </w:rPr>
      </w:pPr>
    </w:p>
    <w:p w14:paraId="125575D0"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r w:rsidRPr="00A36F3D">
        <w:rPr>
          <w:rFonts w:ascii="Palatino Linotype" w:eastAsia="Palatino Linotype" w:hAnsi="Palatino Linotype" w:cs="Palatino Linotype"/>
          <w:b/>
          <w:i/>
          <w:sz w:val="22"/>
          <w:szCs w:val="22"/>
        </w:rPr>
        <w:t>No existe obligación de elaborar documentos ad hoc para atender las solicitudes de acceso a la información.</w:t>
      </w:r>
      <w:r w:rsidRPr="00A36F3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395685A" w14:textId="77777777" w:rsidR="00F11CC6" w:rsidRPr="00A36F3D" w:rsidRDefault="00F11CC6">
      <w:pPr>
        <w:spacing w:line="360" w:lineRule="auto"/>
        <w:ind w:right="-93"/>
        <w:jc w:val="both"/>
        <w:rPr>
          <w:rFonts w:ascii="Palatino Linotype" w:eastAsia="Palatino Linotype" w:hAnsi="Palatino Linotype" w:cs="Palatino Linotype"/>
          <w:sz w:val="22"/>
          <w:szCs w:val="22"/>
        </w:rPr>
      </w:pPr>
    </w:p>
    <w:p w14:paraId="45D142F3"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80240AB"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5977922C" w14:textId="77777777" w:rsidR="00F11CC6" w:rsidRPr="00A36F3D" w:rsidRDefault="00C019B0">
      <w:pPr>
        <w:spacing w:line="360" w:lineRule="auto"/>
        <w:ind w:right="49"/>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B2F88B6" w14:textId="77777777" w:rsidR="00F11CC6" w:rsidRPr="00A36F3D" w:rsidRDefault="00F11CC6">
      <w:pPr>
        <w:spacing w:line="360" w:lineRule="auto"/>
        <w:ind w:right="49"/>
        <w:jc w:val="both"/>
        <w:rPr>
          <w:rFonts w:ascii="Palatino Linotype" w:eastAsia="Palatino Linotype" w:hAnsi="Palatino Linotype" w:cs="Palatino Linotype"/>
          <w:sz w:val="22"/>
          <w:szCs w:val="22"/>
        </w:rPr>
      </w:pPr>
    </w:p>
    <w:p w14:paraId="499C8914"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543B1BD" w14:textId="77777777" w:rsidR="00F11CC6" w:rsidRPr="00A36F3D" w:rsidRDefault="00F11CC6">
      <w:pPr>
        <w:spacing w:line="360" w:lineRule="auto"/>
        <w:ind w:left="567" w:right="616"/>
        <w:jc w:val="both"/>
        <w:rPr>
          <w:rFonts w:ascii="Palatino Linotype" w:eastAsia="Palatino Linotype" w:hAnsi="Palatino Linotype" w:cs="Palatino Linotype"/>
          <w:i/>
          <w:sz w:val="22"/>
          <w:szCs w:val="22"/>
        </w:rPr>
      </w:pPr>
    </w:p>
    <w:p w14:paraId="61066198"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r w:rsidRPr="00A36F3D">
        <w:rPr>
          <w:rFonts w:ascii="Palatino Linotype" w:eastAsia="Palatino Linotype" w:hAnsi="Palatino Linotype" w:cs="Palatino Linotype"/>
          <w:b/>
          <w:i/>
          <w:sz w:val="22"/>
          <w:szCs w:val="22"/>
        </w:rPr>
        <w:t xml:space="preserve">Artículo 3. </w:t>
      </w:r>
      <w:r w:rsidRPr="00A36F3D">
        <w:rPr>
          <w:rFonts w:ascii="Palatino Linotype" w:eastAsia="Palatino Linotype" w:hAnsi="Palatino Linotype" w:cs="Palatino Linotype"/>
          <w:i/>
          <w:sz w:val="22"/>
          <w:szCs w:val="22"/>
        </w:rPr>
        <w:t>Para los efectos de la presente Ley se entenderá por:</w:t>
      </w:r>
    </w:p>
    <w:p w14:paraId="4CDAFE6D"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p>
    <w:p w14:paraId="085F7F42"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XI. Documento:</w:t>
      </w:r>
      <w:r w:rsidRPr="00A36F3D">
        <w:rPr>
          <w:rFonts w:ascii="Palatino Linotype" w:eastAsia="Palatino Linotype" w:hAnsi="Palatino Linotype" w:cs="Palatino Linotype"/>
          <w:i/>
          <w:sz w:val="22"/>
          <w:szCs w:val="22"/>
        </w:rPr>
        <w:t xml:space="preserve"> Los expedientes, reportes, estudios, actas</w:t>
      </w:r>
      <w:r w:rsidRPr="00A36F3D">
        <w:rPr>
          <w:rFonts w:ascii="Palatino Linotype" w:eastAsia="Palatino Linotype" w:hAnsi="Palatino Linotype" w:cs="Palatino Linotype"/>
          <w:b/>
          <w:i/>
          <w:sz w:val="22"/>
          <w:szCs w:val="22"/>
        </w:rPr>
        <w:t>,</w:t>
      </w:r>
      <w:r w:rsidRPr="00A36F3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2A1AA6B" w14:textId="77777777" w:rsidR="00F11CC6" w:rsidRPr="00A36F3D" w:rsidRDefault="00F11CC6">
      <w:pPr>
        <w:spacing w:line="360" w:lineRule="auto"/>
        <w:ind w:left="851" w:right="899"/>
        <w:jc w:val="both"/>
        <w:rPr>
          <w:rFonts w:ascii="Palatino Linotype" w:eastAsia="Palatino Linotype" w:hAnsi="Palatino Linotype" w:cs="Palatino Linotype"/>
          <w:sz w:val="22"/>
          <w:szCs w:val="22"/>
        </w:rPr>
      </w:pPr>
    </w:p>
    <w:p w14:paraId="1F13A17E"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F271159"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28D1747A" w14:textId="77777777" w:rsidR="00F11CC6" w:rsidRPr="00A36F3D" w:rsidRDefault="00C019B0">
      <w:pPr>
        <w:ind w:left="567" w:right="616"/>
        <w:jc w:val="both"/>
        <w:rPr>
          <w:rFonts w:ascii="Palatino Linotype" w:eastAsia="Palatino Linotype" w:hAnsi="Palatino Linotype" w:cs="Palatino Linotype"/>
          <w:b/>
          <w:i/>
          <w:sz w:val="22"/>
          <w:szCs w:val="22"/>
        </w:rPr>
      </w:pPr>
      <w:r w:rsidRPr="00A36F3D">
        <w:rPr>
          <w:rFonts w:ascii="Palatino Linotype" w:eastAsia="Palatino Linotype" w:hAnsi="Palatino Linotype" w:cs="Palatino Linotype"/>
          <w:b/>
          <w:sz w:val="22"/>
          <w:szCs w:val="22"/>
        </w:rPr>
        <w:t>“</w:t>
      </w:r>
      <w:r w:rsidRPr="00A36F3D">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A36F3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66E2A71"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B5ED46B"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007DC86" w14:textId="77777777" w:rsidR="00F11CC6" w:rsidRPr="00A36F3D" w:rsidRDefault="00C019B0">
      <w:pPr>
        <w:ind w:left="567" w:right="616"/>
        <w:jc w:val="both"/>
        <w:rPr>
          <w:rFonts w:ascii="Palatino Linotype" w:eastAsia="Palatino Linotype" w:hAnsi="Palatino Linotype" w:cs="Palatino Linotype"/>
          <w:b/>
          <w:i/>
          <w:sz w:val="22"/>
          <w:szCs w:val="22"/>
        </w:rPr>
      </w:pPr>
      <w:r w:rsidRPr="00A36F3D">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8A3B761" w14:textId="77777777" w:rsidR="00F11CC6" w:rsidRPr="00A36F3D" w:rsidRDefault="00C019B0">
      <w:pPr>
        <w:ind w:left="567" w:right="616"/>
        <w:jc w:val="both"/>
        <w:rPr>
          <w:rFonts w:ascii="Palatino Linotype" w:eastAsia="Palatino Linotype" w:hAnsi="Palatino Linotype" w:cs="Palatino Linotype"/>
          <w:b/>
          <w:i/>
          <w:sz w:val="22"/>
          <w:szCs w:val="22"/>
        </w:rPr>
      </w:pPr>
      <w:r w:rsidRPr="00A36F3D">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5BBECEA4" w14:textId="77777777" w:rsidR="00F11CC6" w:rsidRPr="00A36F3D" w:rsidRDefault="00F11CC6">
      <w:pPr>
        <w:tabs>
          <w:tab w:val="left" w:pos="8647"/>
        </w:tabs>
        <w:spacing w:line="360" w:lineRule="auto"/>
        <w:jc w:val="both"/>
        <w:rPr>
          <w:rFonts w:ascii="Palatino Linotype" w:eastAsia="Palatino Linotype" w:hAnsi="Palatino Linotype" w:cs="Palatino Linotype"/>
          <w:b/>
          <w:sz w:val="22"/>
          <w:szCs w:val="22"/>
        </w:rPr>
      </w:pPr>
    </w:p>
    <w:p w14:paraId="420A5194" w14:textId="77777777" w:rsidR="00F11CC6" w:rsidRPr="00A36F3D" w:rsidRDefault="00C019B0">
      <w:pPr>
        <w:spacing w:after="240" w:line="360" w:lineRule="auto"/>
        <w:jc w:val="both"/>
        <w:rPr>
          <w:rFonts w:ascii="Palatino Linotype" w:eastAsia="Palatino Linotype" w:hAnsi="Palatino Linotype" w:cs="Palatino Linotype"/>
          <w:b/>
          <w:sz w:val="22"/>
          <w:szCs w:val="22"/>
        </w:rPr>
      </w:pPr>
      <w:r w:rsidRPr="00A36F3D">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Pr="00A36F3D">
        <w:rPr>
          <w:rFonts w:ascii="Palatino Linotype" w:eastAsia="Palatino Linotype" w:hAnsi="Palatino Linotype" w:cs="Palatino Linotype"/>
          <w:b/>
          <w:sz w:val="22"/>
          <w:szCs w:val="22"/>
        </w:rPr>
        <w:t>Ayuntamiento de Teoloyucan</w:t>
      </w:r>
      <w:r w:rsidRPr="00A36F3D">
        <w:rPr>
          <w:rFonts w:ascii="Palatino Linotype" w:eastAsia="Palatino Linotype" w:hAnsi="Palatino Linotype" w:cs="Palatino Linotype"/>
          <w:sz w:val="22"/>
          <w:szCs w:val="22"/>
        </w:rPr>
        <w:t>, la siguiente información:</w:t>
      </w:r>
    </w:p>
    <w:p w14:paraId="33FE783C" w14:textId="61F6A194" w:rsidR="00844E25" w:rsidRPr="00A36F3D" w:rsidRDefault="00C019B0">
      <w:pPr>
        <w:numPr>
          <w:ilvl w:val="0"/>
          <w:numId w:val="11"/>
        </w:num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A36F3D">
        <w:rPr>
          <w:rFonts w:ascii="Palatino Linotype" w:eastAsia="Palatino Linotype" w:hAnsi="Palatino Linotype" w:cs="Palatino Linotype"/>
          <w:b/>
          <w:sz w:val="22"/>
          <w:szCs w:val="22"/>
        </w:rPr>
        <w:t>Toda l</w:t>
      </w:r>
      <w:r w:rsidR="00844E25" w:rsidRPr="00A36F3D">
        <w:rPr>
          <w:rFonts w:ascii="Palatino Linotype" w:eastAsia="Palatino Linotype" w:hAnsi="Palatino Linotype" w:cs="Palatino Linotype"/>
          <w:b/>
          <w:sz w:val="22"/>
          <w:szCs w:val="22"/>
        </w:rPr>
        <w:t>a información relacionada con la adquisición del</w:t>
      </w:r>
      <w:r w:rsidRPr="00A36F3D">
        <w:rPr>
          <w:rFonts w:ascii="Palatino Linotype" w:eastAsia="Palatino Linotype" w:hAnsi="Palatino Linotype" w:cs="Palatino Linotype"/>
          <w:b/>
          <w:sz w:val="22"/>
          <w:szCs w:val="22"/>
        </w:rPr>
        <w:t xml:space="preserve"> camión de bomb</w:t>
      </w:r>
      <w:r w:rsidR="00844E25" w:rsidRPr="00A36F3D">
        <w:rPr>
          <w:rFonts w:ascii="Palatino Linotype" w:eastAsia="Palatino Linotype" w:hAnsi="Palatino Linotype" w:cs="Palatino Linotype"/>
          <w:b/>
          <w:sz w:val="22"/>
          <w:szCs w:val="22"/>
        </w:rPr>
        <w:t>eros que informó el Presidente Municipal en el mes de mayo;</w:t>
      </w:r>
    </w:p>
    <w:p w14:paraId="20E8791A" w14:textId="4D52D46B" w:rsidR="00F11CC6" w:rsidRPr="00A36F3D" w:rsidRDefault="00F11CC6" w:rsidP="00844E25">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p>
    <w:p w14:paraId="6097C3B5" w14:textId="77777777" w:rsidR="00844E25" w:rsidRPr="00A36F3D" w:rsidRDefault="00C019B0" w:rsidP="00844E25">
      <w:pPr>
        <w:numPr>
          <w:ilvl w:val="0"/>
          <w:numId w:val="11"/>
        </w:numPr>
        <w:pBdr>
          <w:top w:val="nil"/>
          <w:left w:val="nil"/>
          <w:bottom w:val="nil"/>
          <w:right w:val="nil"/>
          <w:between w:val="nil"/>
        </w:pBdr>
        <w:spacing w:after="240" w:line="360" w:lineRule="auto"/>
        <w:ind w:left="709"/>
        <w:jc w:val="both"/>
        <w:rPr>
          <w:rFonts w:ascii="Palatino Linotype" w:eastAsia="Palatino Linotype" w:hAnsi="Palatino Linotype" w:cs="Palatino Linotype"/>
          <w:b/>
          <w:sz w:val="22"/>
          <w:szCs w:val="22"/>
        </w:rPr>
      </w:pPr>
      <w:r w:rsidRPr="00A36F3D">
        <w:rPr>
          <w:rFonts w:ascii="Palatino Linotype" w:eastAsia="Palatino Linotype" w:hAnsi="Palatino Linotype" w:cs="Palatino Linotype"/>
          <w:b/>
          <w:sz w:val="22"/>
          <w:szCs w:val="22"/>
        </w:rPr>
        <w:t xml:space="preserve">De ser el caso de que la adquisición se haya realizado en Estados Unidos requiero el proceso de </w:t>
      </w:r>
      <w:r w:rsidR="00844E25" w:rsidRPr="00A36F3D">
        <w:rPr>
          <w:rFonts w:ascii="Palatino Linotype" w:eastAsia="Palatino Linotype" w:hAnsi="Palatino Linotype" w:cs="Palatino Linotype"/>
          <w:b/>
          <w:sz w:val="22"/>
          <w:szCs w:val="22"/>
        </w:rPr>
        <w:t>licitación</w:t>
      </w:r>
      <w:r w:rsidRPr="00A36F3D">
        <w:rPr>
          <w:rFonts w:ascii="Palatino Linotype" w:eastAsia="Palatino Linotype" w:hAnsi="Palatino Linotype" w:cs="Palatino Linotype"/>
          <w:b/>
          <w:sz w:val="22"/>
          <w:szCs w:val="22"/>
        </w:rPr>
        <w:t xml:space="preserve"> en ambos </w:t>
      </w:r>
      <w:r w:rsidR="00844E25" w:rsidRPr="00A36F3D">
        <w:rPr>
          <w:rFonts w:ascii="Palatino Linotype" w:eastAsia="Palatino Linotype" w:hAnsi="Palatino Linotype" w:cs="Palatino Linotype"/>
          <w:b/>
          <w:sz w:val="22"/>
          <w:szCs w:val="22"/>
        </w:rPr>
        <w:t>países</w:t>
      </w:r>
      <w:r w:rsidRPr="00A36F3D">
        <w:rPr>
          <w:rFonts w:ascii="Palatino Linotype" w:eastAsia="Palatino Linotype" w:hAnsi="Palatino Linotype" w:cs="Palatino Linotype"/>
          <w:b/>
          <w:sz w:val="22"/>
          <w:szCs w:val="22"/>
        </w:rPr>
        <w:t xml:space="preserve">; </w:t>
      </w:r>
    </w:p>
    <w:p w14:paraId="46A44A0E" w14:textId="77777777" w:rsidR="00844E25" w:rsidRPr="00A36F3D" w:rsidRDefault="00844E25" w:rsidP="00844E25">
      <w:pPr>
        <w:pStyle w:val="Prrafodelista"/>
        <w:rPr>
          <w:rFonts w:ascii="Palatino Linotype" w:eastAsia="Palatino Linotype" w:hAnsi="Palatino Linotype" w:cs="Palatino Linotype"/>
          <w:b/>
          <w:sz w:val="22"/>
          <w:szCs w:val="22"/>
        </w:rPr>
      </w:pPr>
    </w:p>
    <w:p w14:paraId="117AA839" w14:textId="393BCFEB" w:rsidR="00F11CC6" w:rsidRPr="00A36F3D" w:rsidRDefault="00844E25" w:rsidP="00844E25">
      <w:pPr>
        <w:numPr>
          <w:ilvl w:val="0"/>
          <w:numId w:val="11"/>
        </w:numPr>
        <w:pBdr>
          <w:top w:val="nil"/>
          <w:left w:val="nil"/>
          <w:bottom w:val="nil"/>
          <w:right w:val="nil"/>
          <w:between w:val="nil"/>
        </w:pBdr>
        <w:spacing w:after="240" w:line="360" w:lineRule="auto"/>
        <w:ind w:left="709"/>
        <w:jc w:val="both"/>
        <w:rPr>
          <w:rFonts w:ascii="Palatino Linotype" w:eastAsia="Palatino Linotype" w:hAnsi="Palatino Linotype" w:cs="Palatino Linotype"/>
          <w:b/>
          <w:sz w:val="22"/>
          <w:szCs w:val="22"/>
        </w:rPr>
      </w:pPr>
      <w:r w:rsidRPr="00A36F3D">
        <w:rPr>
          <w:rFonts w:ascii="Palatino Linotype" w:eastAsia="Palatino Linotype" w:hAnsi="Palatino Linotype" w:cs="Palatino Linotype"/>
          <w:b/>
          <w:sz w:val="22"/>
          <w:szCs w:val="22"/>
        </w:rPr>
        <w:t>S</w:t>
      </w:r>
      <w:r w:rsidR="00C019B0" w:rsidRPr="00A36F3D">
        <w:rPr>
          <w:rFonts w:ascii="Palatino Linotype" w:eastAsia="Palatino Linotype" w:hAnsi="Palatino Linotype" w:cs="Palatino Linotype"/>
          <w:b/>
          <w:sz w:val="22"/>
          <w:szCs w:val="22"/>
        </w:rPr>
        <w:t xml:space="preserve">i el presidente o </w:t>
      </w:r>
      <w:r w:rsidRPr="00A36F3D">
        <w:rPr>
          <w:rFonts w:ascii="Palatino Linotype" w:eastAsia="Palatino Linotype" w:hAnsi="Palatino Linotype" w:cs="Palatino Linotype"/>
          <w:b/>
          <w:sz w:val="22"/>
          <w:szCs w:val="22"/>
        </w:rPr>
        <w:t>algún</w:t>
      </w:r>
      <w:r w:rsidR="00C019B0" w:rsidRPr="00A36F3D">
        <w:rPr>
          <w:rFonts w:ascii="Palatino Linotype" w:eastAsia="Palatino Linotype" w:hAnsi="Palatino Linotype" w:cs="Palatino Linotype"/>
          <w:b/>
          <w:sz w:val="22"/>
          <w:szCs w:val="22"/>
        </w:rPr>
        <w:t xml:space="preserve"> miembro de la </w:t>
      </w:r>
      <w:r w:rsidRPr="00A36F3D">
        <w:rPr>
          <w:rFonts w:ascii="Palatino Linotype" w:eastAsia="Palatino Linotype" w:hAnsi="Palatino Linotype" w:cs="Palatino Linotype"/>
          <w:b/>
          <w:sz w:val="22"/>
          <w:szCs w:val="22"/>
        </w:rPr>
        <w:t>administración pú</w:t>
      </w:r>
      <w:r w:rsidR="00C019B0" w:rsidRPr="00A36F3D">
        <w:rPr>
          <w:rFonts w:ascii="Palatino Linotype" w:eastAsia="Palatino Linotype" w:hAnsi="Palatino Linotype" w:cs="Palatino Linotype"/>
          <w:b/>
          <w:sz w:val="22"/>
          <w:szCs w:val="22"/>
        </w:rPr>
        <w:t xml:space="preserve">blica </w:t>
      </w:r>
      <w:r w:rsidRPr="00A36F3D">
        <w:rPr>
          <w:rFonts w:ascii="Palatino Linotype" w:eastAsia="Palatino Linotype" w:hAnsi="Palatino Linotype" w:cs="Palatino Linotype"/>
          <w:b/>
          <w:sz w:val="22"/>
          <w:szCs w:val="22"/>
        </w:rPr>
        <w:t>fueron</w:t>
      </w:r>
      <w:r w:rsidR="00C019B0" w:rsidRPr="00A36F3D">
        <w:rPr>
          <w:rFonts w:ascii="Palatino Linotype" w:eastAsia="Palatino Linotype" w:hAnsi="Palatino Linotype" w:cs="Palatino Linotype"/>
          <w:b/>
          <w:sz w:val="22"/>
          <w:szCs w:val="22"/>
        </w:rPr>
        <w:t xml:space="preserve"> a comprarlo hasta estados unidos solicito las </w:t>
      </w:r>
      <w:r w:rsidRPr="00A36F3D">
        <w:rPr>
          <w:rFonts w:ascii="Palatino Linotype" w:eastAsia="Palatino Linotype" w:hAnsi="Palatino Linotype" w:cs="Palatino Linotype"/>
          <w:b/>
          <w:sz w:val="22"/>
          <w:szCs w:val="22"/>
        </w:rPr>
        <w:t>pólizas</w:t>
      </w:r>
      <w:r w:rsidR="00C019B0" w:rsidRPr="00A36F3D">
        <w:rPr>
          <w:rFonts w:ascii="Palatino Linotype" w:eastAsia="Palatino Linotype" w:hAnsi="Palatino Linotype" w:cs="Palatino Linotype"/>
          <w:b/>
          <w:sz w:val="22"/>
          <w:szCs w:val="22"/>
        </w:rPr>
        <w:t xml:space="preserve"> de los gastos que se cubrieron como pueden ser gastos de </w:t>
      </w:r>
      <w:r w:rsidRPr="00A36F3D">
        <w:rPr>
          <w:rFonts w:ascii="Palatino Linotype" w:eastAsia="Palatino Linotype" w:hAnsi="Palatino Linotype" w:cs="Palatino Linotype"/>
          <w:b/>
          <w:sz w:val="22"/>
          <w:szCs w:val="22"/>
        </w:rPr>
        <w:t>avión</w:t>
      </w:r>
      <w:r w:rsidR="00C019B0" w:rsidRPr="00A36F3D">
        <w:rPr>
          <w:rFonts w:ascii="Palatino Linotype" w:eastAsia="Palatino Linotype" w:hAnsi="Palatino Linotype" w:cs="Palatino Linotype"/>
          <w:b/>
          <w:sz w:val="22"/>
          <w:szCs w:val="22"/>
        </w:rPr>
        <w:t xml:space="preserve">, hospedajes, comidas etc. </w:t>
      </w:r>
    </w:p>
    <w:p w14:paraId="29945B04" w14:textId="1503112E" w:rsidR="00F11CC6" w:rsidRPr="00A36F3D" w:rsidRDefault="00C019B0">
      <w:pPr>
        <w:spacing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El Sujeto Obligado tanto en respuesta como en informe justificado refirió que realizó la búsqueda exhaustiva y razonable de la información en la Dirección de Administración y no se localizó la información requerida; por lo que se d</w:t>
      </w:r>
      <w:r w:rsidR="00844E25" w:rsidRPr="00A36F3D">
        <w:rPr>
          <w:rFonts w:ascii="Palatino Linotype" w:eastAsia="Palatino Linotype" w:hAnsi="Palatino Linotype" w:cs="Palatino Linotype"/>
          <w:sz w:val="22"/>
          <w:szCs w:val="22"/>
        </w:rPr>
        <w:t xml:space="preserve">eclaró la inexistencia, acto que fue </w:t>
      </w:r>
      <w:r w:rsidRPr="00A36F3D">
        <w:rPr>
          <w:rFonts w:ascii="Palatino Linotype" w:eastAsia="Palatino Linotype" w:hAnsi="Palatino Linotype" w:cs="Palatino Linotype"/>
          <w:sz w:val="22"/>
          <w:szCs w:val="22"/>
        </w:rPr>
        <w:t>confirmad</w:t>
      </w:r>
      <w:r w:rsidR="00844E25" w:rsidRPr="00A36F3D">
        <w:rPr>
          <w:rFonts w:ascii="Palatino Linotype" w:eastAsia="Palatino Linotype" w:hAnsi="Palatino Linotype" w:cs="Palatino Linotype"/>
          <w:sz w:val="22"/>
          <w:szCs w:val="22"/>
        </w:rPr>
        <w:t>o</w:t>
      </w:r>
      <w:r w:rsidRPr="00A36F3D">
        <w:rPr>
          <w:rFonts w:ascii="Palatino Linotype" w:eastAsia="Palatino Linotype" w:hAnsi="Palatino Linotype" w:cs="Palatino Linotype"/>
          <w:sz w:val="22"/>
          <w:szCs w:val="22"/>
        </w:rPr>
        <w:t xml:space="preserve"> por el Comité de Transparencia a través del </w:t>
      </w:r>
      <w:r w:rsidRPr="00A36F3D">
        <w:rPr>
          <w:rFonts w:ascii="Palatino Linotype" w:eastAsia="Palatino Linotype" w:hAnsi="Palatino Linotype" w:cs="Palatino Linotype"/>
          <w:b/>
          <w:sz w:val="22"/>
          <w:szCs w:val="22"/>
        </w:rPr>
        <w:t>acuerdo 02 CT/UTAIP/ASE-28/2025</w:t>
      </w:r>
      <w:r w:rsidRPr="00A36F3D">
        <w:rPr>
          <w:rFonts w:ascii="Palatino Linotype" w:eastAsia="Palatino Linotype" w:hAnsi="Palatino Linotype" w:cs="Palatino Linotype"/>
          <w:sz w:val="22"/>
          <w:szCs w:val="22"/>
        </w:rPr>
        <w:t xml:space="preserve">. </w:t>
      </w:r>
    </w:p>
    <w:p w14:paraId="3B7466CB" w14:textId="77777777" w:rsidR="00F11CC6" w:rsidRPr="00A36F3D" w:rsidRDefault="00C019B0">
      <w:pPr>
        <w:spacing w:line="360" w:lineRule="auto"/>
        <w:ind w:right="-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Derivado de la naturaleza de la información solicitada, es necesario traer a contexto lo dispuesto en la Ley de Contratación Pública del Estado de México y Municipios, la cual tiene por objeto regular los actos relativos a la </w:t>
      </w:r>
      <w:r w:rsidRPr="00A36F3D">
        <w:rPr>
          <w:rFonts w:ascii="Palatino Linotype" w:eastAsia="Palatino Linotype" w:hAnsi="Palatino Linotype" w:cs="Palatino Linotype"/>
          <w:b/>
          <w:sz w:val="22"/>
          <w:szCs w:val="22"/>
          <w:u w:val="single"/>
        </w:rPr>
        <w:t xml:space="preserve">planeación, programación, </w:t>
      </w:r>
      <w:proofErr w:type="spellStart"/>
      <w:r w:rsidRPr="00A36F3D">
        <w:rPr>
          <w:rFonts w:ascii="Palatino Linotype" w:eastAsia="Palatino Linotype" w:hAnsi="Palatino Linotype" w:cs="Palatino Linotype"/>
          <w:b/>
          <w:sz w:val="22"/>
          <w:szCs w:val="22"/>
          <w:u w:val="single"/>
        </w:rPr>
        <w:t>presupuestación</w:t>
      </w:r>
      <w:proofErr w:type="spellEnd"/>
      <w:r w:rsidRPr="00A36F3D">
        <w:rPr>
          <w:rFonts w:ascii="Palatino Linotype" w:eastAsia="Palatino Linotype" w:hAnsi="Palatino Linotype" w:cs="Palatino Linotype"/>
          <w:sz w:val="22"/>
          <w:szCs w:val="22"/>
        </w:rPr>
        <w:t xml:space="preserve">, ejecución y control de la </w:t>
      </w:r>
      <w:r w:rsidRPr="00A36F3D">
        <w:rPr>
          <w:rFonts w:ascii="Palatino Linotype" w:eastAsia="Palatino Linotype" w:hAnsi="Palatino Linotype" w:cs="Palatino Linotype"/>
          <w:b/>
          <w:sz w:val="22"/>
          <w:szCs w:val="22"/>
        </w:rPr>
        <w:t>adquisición</w:t>
      </w:r>
      <w:r w:rsidRPr="00A36F3D">
        <w:rPr>
          <w:rFonts w:ascii="Palatino Linotype" w:eastAsia="Palatino Linotype" w:hAnsi="Palatino Linotype" w:cs="Palatino Linotype"/>
          <w:sz w:val="22"/>
          <w:szCs w:val="22"/>
        </w:rPr>
        <w:t xml:space="preserve">, enajenación y </w:t>
      </w:r>
      <w:r w:rsidRPr="00A36F3D">
        <w:rPr>
          <w:rFonts w:ascii="Palatino Linotype" w:eastAsia="Palatino Linotype" w:hAnsi="Palatino Linotype" w:cs="Palatino Linotype"/>
          <w:b/>
          <w:sz w:val="22"/>
          <w:szCs w:val="22"/>
        </w:rPr>
        <w:t>arrendamiento de bienes</w:t>
      </w:r>
      <w:r w:rsidRPr="00A36F3D">
        <w:rPr>
          <w:rFonts w:ascii="Palatino Linotype" w:eastAsia="Palatino Linotype" w:hAnsi="Palatino Linotype" w:cs="Palatino Linotype"/>
          <w:sz w:val="22"/>
          <w:szCs w:val="22"/>
        </w:rPr>
        <w:t xml:space="preserve">, y la </w:t>
      </w:r>
      <w:r w:rsidRPr="00A36F3D">
        <w:rPr>
          <w:rFonts w:ascii="Palatino Linotype" w:eastAsia="Palatino Linotype" w:hAnsi="Palatino Linotype" w:cs="Palatino Linotype"/>
          <w:b/>
          <w:sz w:val="22"/>
          <w:szCs w:val="22"/>
          <w:u w:val="single"/>
        </w:rPr>
        <w:t>contratación de servicios de cualquier naturaleza, que realicen los Ayuntamientos del Estado</w:t>
      </w:r>
      <w:r w:rsidRPr="00A36F3D">
        <w:rPr>
          <w:rFonts w:ascii="Palatino Linotype" w:eastAsia="Palatino Linotype" w:hAnsi="Palatino Linotype" w:cs="Palatino Linotype"/>
          <w:sz w:val="22"/>
          <w:szCs w:val="22"/>
        </w:rPr>
        <w:t>; entre ellos el Sujeto Obligado, los cuales se adjudicarán a través de licitación pública, invitación restringida o adjudicación directa, mediante convocatoria pública, tal y como lo establecen los artículos 4, 26 y 27 de dicha Ley, los cuales son del tenor siguiente:</w:t>
      </w:r>
    </w:p>
    <w:p w14:paraId="7B985861" w14:textId="77777777" w:rsidR="00F11CC6" w:rsidRPr="00A36F3D" w:rsidRDefault="00C019B0">
      <w:pPr>
        <w:spacing w:before="120" w:after="120"/>
        <w:ind w:left="567"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“Artículo 4.-</w:t>
      </w:r>
      <w:r w:rsidRPr="00A36F3D">
        <w:rPr>
          <w:rFonts w:ascii="Palatino Linotype" w:eastAsia="Palatino Linotype" w:hAnsi="Palatino Linotype" w:cs="Palatino Linotype"/>
          <w:i/>
          <w:sz w:val="22"/>
          <w:szCs w:val="22"/>
        </w:rPr>
        <w:t xml:space="preserve"> Para los efectos de esta Ley, </w:t>
      </w:r>
      <w:r w:rsidRPr="00A36F3D">
        <w:rPr>
          <w:rFonts w:ascii="Palatino Linotype" w:eastAsia="Palatino Linotype" w:hAnsi="Palatino Linotype" w:cs="Palatino Linotype"/>
          <w:b/>
          <w:i/>
          <w:sz w:val="22"/>
          <w:szCs w:val="22"/>
        </w:rPr>
        <w:t>en las adquisiciones, enajenaciones, arrendamientos y servicios, quedan comprendidos</w:t>
      </w:r>
      <w:r w:rsidRPr="00A36F3D">
        <w:rPr>
          <w:rFonts w:ascii="Palatino Linotype" w:eastAsia="Palatino Linotype" w:hAnsi="Palatino Linotype" w:cs="Palatino Linotype"/>
          <w:i/>
          <w:sz w:val="22"/>
          <w:szCs w:val="22"/>
        </w:rPr>
        <w:t>:</w:t>
      </w:r>
    </w:p>
    <w:p w14:paraId="1E836AE4" w14:textId="77777777" w:rsidR="00F11CC6" w:rsidRPr="00A36F3D" w:rsidRDefault="00C019B0">
      <w:pPr>
        <w:spacing w:before="120" w:after="120"/>
        <w:ind w:left="567" w:right="902"/>
        <w:jc w:val="both"/>
        <w:rPr>
          <w:rFonts w:ascii="Palatino Linotype" w:eastAsia="Palatino Linotype" w:hAnsi="Palatino Linotype" w:cs="Palatino Linotype"/>
          <w:b/>
          <w:i/>
          <w:sz w:val="22"/>
          <w:szCs w:val="22"/>
        </w:rPr>
      </w:pPr>
      <w:r w:rsidRPr="00A36F3D">
        <w:rPr>
          <w:rFonts w:ascii="Palatino Linotype" w:eastAsia="Palatino Linotype" w:hAnsi="Palatino Linotype" w:cs="Palatino Linotype"/>
          <w:b/>
          <w:i/>
          <w:sz w:val="22"/>
          <w:szCs w:val="22"/>
        </w:rPr>
        <w:t>I. La adquisición de bienes muebles.</w:t>
      </w:r>
    </w:p>
    <w:p w14:paraId="32A864CD" w14:textId="77777777" w:rsidR="00F11CC6" w:rsidRPr="00A36F3D" w:rsidRDefault="00C019B0">
      <w:pPr>
        <w:spacing w:before="120" w:after="120"/>
        <w:ind w:left="567"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II</w:t>
      </w:r>
      <w:r w:rsidRPr="00A36F3D">
        <w:rPr>
          <w:rFonts w:ascii="Palatino Linotype" w:eastAsia="Palatino Linotype" w:hAnsi="Palatino Linotype" w:cs="Palatino Linotype"/>
          <w:i/>
          <w:sz w:val="22"/>
          <w:szCs w:val="22"/>
        </w:rPr>
        <w:t>. La adquisición de bienes inmuebles, a través de compraventa.</w:t>
      </w:r>
    </w:p>
    <w:p w14:paraId="012FDA41" w14:textId="77777777" w:rsidR="00F11CC6" w:rsidRPr="00A36F3D" w:rsidRDefault="00C019B0">
      <w:pPr>
        <w:spacing w:before="120" w:after="120"/>
        <w:ind w:left="567"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III.</w:t>
      </w:r>
      <w:r w:rsidRPr="00A36F3D">
        <w:rPr>
          <w:rFonts w:ascii="Palatino Linotype" w:eastAsia="Palatino Linotype" w:hAnsi="Palatino Linotype" w:cs="Palatino Linotype"/>
          <w:i/>
          <w:sz w:val="22"/>
          <w:szCs w:val="22"/>
        </w:rPr>
        <w:t xml:space="preserve"> La enajenación de bienes muebles e inmuebles.</w:t>
      </w:r>
    </w:p>
    <w:p w14:paraId="23D4918F" w14:textId="77777777" w:rsidR="00F11CC6" w:rsidRPr="00A36F3D" w:rsidRDefault="00C019B0">
      <w:pPr>
        <w:spacing w:before="120" w:after="120"/>
        <w:ind w:left="567" w:right="902"/>
        <w:jc w:val="both"/>
        <w:rPr>
          <w:rFonts w:ascii="Palatino Linotype" w:eastAsia="Palatino Linotype" w:hAnsi="Palatino Linotype" w:cs="Palatino Linotype"/>
          <w:b/>
          <w:i/>
          <w:sz w:val="22"/>
          <w:szCs w:val="22"/>
        </w:rPr>
      </w:pPr>
      <w:r w:rsidRPr="00A36F3D">
        <w:rPr>
          <w:rFonts w:ascii="Palatino Linotype" w:eastAsia="Palatino Linotype" w:hAnsi="Palatino Linotype" w:cs="Palatino Linotype"/>
          <w:b/>
          <w:i/>
          <w:sz w:val="22"/>
          <w:szCs w:val="22"/>
        </w:rPr>
        <w:t xml:space="preserve">IV. El arrendamiento de bienes muebles e inmuebles. </w:t>
      </w:r>
    </w:p>
    <w:p w14:paraId="2CE0D94B" w14:textId="77777777" w:rsidR="00F11CC6" w:rsidRPr="00A36F3D" w:rsidRDefault="00C019B0">
      <w:pPr>
        <w:spacing w:before="120" w:after="120"/>
        <w:ind w:left="567"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V</w:t>
      </w:r>
      <w:r w:rsidRPr="00A36F3D">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14:paraId="48FCD605" w14:textId="77777777" w:rsidR="00F11CC6" w:rsidRPr="00A36F3D" w:rsidRDefault="00C019B0">
      <w:pPr>
        <w:spacing w:before="120" w:after="120"/>
        <w:ind w:left="567"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VI.</w:t>
      </w:r>
      <w:r w:rsidRPr="00A36F3D">
        <w:rPr>
          <w:rFonts w:ascii="Palatino Linotype" w:eastAsia="Palatino Linotype" w:hAnsi="Palatino Linotype" w:cs="Palatino Linotype"/>
          <w:i/>
          <w:sz w:val="22"/>
          <w:szCs w:val="22"/>
        </w:rPr>
        <w:t xml:space="preserve"> La contratación de los servicios de reconstrucción y mantenimiento de bienes muebles. </w:t>
      </w:r>
    </w:p>
    <w:p w14:paraId="26AB4FC1" w14:textId="77777777" w:rsidR="00F11CC6" w:rsidRPr="00A36F3D" w:rsidRDefault="00C019B0">
      <w:pPr>
        <w:spacing w:before="120" w:after="120"/>
        <w:ind w:left="567"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VII.</w:t>
      </w:r>
      <w:r w:rsidRPr="00A36F3D">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14:paraId="151F5750" w14:textId="77777777" w:rsidR="00F11CC6" w:rsidRPr="00A36F3D" w:rsidRDefault="00C019B0">
      <w:pPr>
        <w:spacing w:before="120" w:after="120"/>
        <w:ind w:left="567"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14:paraId="6E655461" w14:textId="77777777" w:rsidR="00F11CC6" w:rsidRPr="00A36F3D" w:rsidRDefault="00C019B0">
      <w:pPr>
        <w:spacing w:before="120" w:after="120"/>
        <w:ind w:left="567"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En general, otros actos que impliquen la contratación de servicios de cualquier naturaleza</w:t>
      </w:r>
    </w:p>
    <w:p w14:paraId="4062EF8B" w14:textId="77777777" w:rsidR="00F11CC6" w:rsidRPr="00A36F3D" w:rsidRDefault="00C019B0">
      <w:pPr>
        <w:spacing w:before="120" w:after="120"/>
        <w:ind w:left="567"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Artículo 26.-</w:t>
      </w:r>
      <w:r w:rsidRPr="00A36F3D">
        <w:rPr>
          <w:rFonts w:ascii="Palatino Linotype" w:eastAsia="Palatino Linotype" w:hAnsi="Palatino Linotype" w:cs="Palatino Linotype"/>
          <w:i/>
          <w:sz w:val="22"/>
          <w:szCs w:val="22"/>
        </w:rPr>
        <w:t xml:space="preserve"> </w:t>
      </w:r>
      <w:r w:rsidRPr="00A36F3D">
        <w:rPr>
          <w:rFonts w:ascii="Palatino Linotype" w:eastAsia="Palatino Linotype" w:hAnsi="Palatino Linotype" w:cs="Palatino Linotype"/>
          <w:b/>
          <w:i/>
          <w:sz w:val="22"/>
          <w:szCs w:val="22"/>
        </w:rPr>
        <w:t>Las adquisiciones, arrendamientos y servicios se adjudicarán a través de licitaciones públicas</w:t>
      </w:r>
      <w:r w:rsidRPr="00A36F3D">
        <w:rPr>
          <w:rFonts w:ascii="Palatino Linotype" w:eastAsia="Palatino Linotype" w:hAnsi="Palatino Linotype" w:cs="Palatino Linotype"/>
          <w:i/>
          <w:sz w:val="22"/>
          <w:szCs w:val="22"/>
        </w:rPr>
        <w:t xml:space="preserve">, mediante convocatoria pública. </w:t>
      </w:r>
    </w:p>
    <w:p w14:paraId="2E8C8D53" w14:textId="77777777" w:rsidR="00F11CC6" w:rsidRPr="00A36F3D" w:rsidRDefault="00C019B0">
      <w:pPr>
        <w:spacing w:before="120" w:after="120"/>
        <w:ind w:left="567"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Artículo 27.</w:t>
      </w:r>
      <w:r w:rsidRPr="00A36F3D">
        <w:rPr>
          <w:rFonts w:ascii="Palatino Linotype" w:eastAsia="Palatino Linotype" w:hAnsi="Palatino Linotype" w:cs="Palatino Linotype"/>
          <w:i/>
          <w:sz w:val="22"/>
          <w:szCs w:val="22"/>
        </w:rPr>
        <w:t xml:space="preserve">- La Secretaría, las entidades, los tribunales administrativos y los ayuntamientos podrán </w:t>
      </w:r>
      <w:r w:rsidRPr="00A36F3D">
        <w:rPr>
          <w:rFonts w:ascii="Palatino Linotype" w:eastAsia="Palatino Linotype" w:hAnsi="Palatino Linotype" w:cs="Palatino Linotype"/>
          <w:b/>
          <w:i/>
          <w:sz w:val="22"/>
          <w:szCs w:val="22"/>
        </w:rPr>
        <w:t>adjudicar adquisiciones, arrendamientos y servicios, mediante las excepciones al procedimiento de licitación</w:t>
      </w:r>
      <w:r w:rsidRPr="00A36F3D">
        <w:rPr>
          <w:rFonts w:ascii="Palatino Linotype" w:eastAsia="Palatino Linotype" w:hAnsi="Palatino Linotype" w:cs="Palatino Linotype"/>
          <w:i/>
          <w:sz w:val="22"/>
          <w:szCs w:val="22"/>
        </w:rPr>
        <w:t xml:space="preserve"> que a continuación se señalan:</w:t>
      </w:r>
    </w:p>
    <w:p w14:paraId="61167D38" w14:textId="77777777" w:rsidR="00F11CC6" w:rsidRPr="00A36F3D" w:rsidRDefault="00C019B0">
      <w:pPr>
        <w:spacing w:before="120" w:after="120"/>
        <w:ind w:left="567"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I</w:t>
      </w:r>
      <w:r w:rsidRPr="00A36F3D">
        <w:rPr>
          <w:rFonts w:ascii="Palatino Linotype" w:eastAsia="Palatino Linotype" w:hAnsi="Palatino Linotype" w:cs="Palatino Linotype"/>
          <w:i/>
          <w:sz w:val="22"/>
          <w:szCs w:val="22"/>
        </w:rPr>
        <w:t>. Invitación restringida.</w:t>
      </w:r>
    </w:p>
    <w:p w14:paraId="36CEC5E7" w14:textId="77777777" w:rsidR="00F11CC6" w:rsidRPr="00A36F3D" w:rsidRDefault="00C019B0">
      <w:pPr>
        <w:spacing w:before="120" w:after="120"/>
        <w:ind w:left="567"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 xml:space="preserve">II. </w:t>
      </w:r>
      <w:r w:rsidRPr="00A36F3D">
        <w:rPr>
          <w:rFonts w:ascii="Palatino Linotype" w:eastAsia="Palatino Linotype" w:hAnsi="Palatino Linotype" w:cs="Palatino Linotype"/>
          <w:i/>
          <w:sz w:val="22"/>
          <w:szCs w:val="22"/>
        </w:rPr>
        <w:t>Adjudicación directa.”</w:t>
      </w:r>
    </w:p>
    <w:p w14:paraId="358B12B9" w14:textId="77777777" w:rsidR="00F11CC6" w:rsidRPr="00A36F3D" w:rsidRDefault="00F11CC6">
      <w:pPr>
        <w:spacing w:before="120" w:after="120"/>
        <w:ind w:left="567" w:right="902"/>
        <w:jc w:val="both"/>
        <w:rPr>
          <w:rFonts w:ascii="Palatino Linotype" w:eastAsia="Palatino Linotype" w:hAnsi="Palatino Linotype" w:cs="Palatino Linotype"/>
          <w:i/>
          <w:sz w:val="22"/>
          <w:szCs w:val="22"/>
        </w:rPr>
      </w:pPr>
    </w:p>
    <w:p w14:paraId="335A1AF3" w14:textId="77777777" w:rsidR="00F11CC6" w:rsidRPr="00A36F3D" w:rsidRDefault="00C019B0">
      <w:pPr>
        <w:spacing w:before="240" w:after="240" w:line="360" w:lineRule="auto"/>
        <w:ind w:right="49"/>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En efecto, con base en los preceptos citados se advierte que, por regla general, </w:t>
      </w:r>
      <w:r w:rsidRPr="00A36F3D">
        <w:rPr>
          <w:rFonts w:ascii="Palatino Linotype" w:eastAsia="Palatino Linotype" w:hAnsi="Palatino Linotype" w:cs="Palatino Linotype"/>
          <w:b/>
          <w:sz w:val="22"/>
          <w:szCs w:val="22"/>
        </w:rPr>
        <w:t xml:space="preserve">las adquisiciones, enajenaciones, arrendamientos y servicios, </w:t>
      </w:r>
      <w:r w:rsidRPr="00A36F3D">
        <w:rPr>
          <w:rFonts w:ascii="Palatino Linotype" w:eastAsia="Palatino Linotype" w:hAnsi="Palatino Linotype" w:cs="Palatino Linotype"/>
          <w:sz w:val="22"/>
          <w:szCs w:val="22"/>
        </w:rPr>
        <w:t>que celebren los entes públicos, deben adjudicarse mediante licitación pública ya sea nacional o internacional, sin embargo, también se contemplan como excepciones a dicho proceso, la invitación restringida y la adjudicación directa.</w:t>
      </w:r>
    </w:p>
    <w:p w14:paraId="22C8AAA8" w14:textId="77777777" w:rsidR="00F11CC6" w:rsidRPr="00A36F3D" w:rsidRDefault="00C019B0">
      <w:pPr>
        <w:spacing w:before="240" w:after="240" w:line="360" w:lineRule="auto"/>
        <w:ind w:right="49"/>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w:t>
      </w:r>
    </w:p>
    <w:p w14:paraId="0747A25C"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Por ello, de acuerdo con el artículo 44 de la Ley de Contratación Pública del Estado de México y Municipios, las entidades públicas podrán adquirir y contratar servicios mediante invitación restringida en los siguientes casos: </w:t>
      </w:r>
    </w:p>
    <w:p w14:paraId="622C6728" w14:textId="77777777" w:rsidR="00F11CC6" w:rsidRPr="00A36F3D" w:rsidRDefault="00C019B0">
      <w:pPr>
        <w:spacing w:before="120" w:after="120"/>
        <w:ind w:left="851"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“Artículo 44.-</w:t>
      </w:r>
      <w:r w:rsidRPr="00A36F3D">
        <w:rPr>
          <w:rFonts w:ascii="Palatino Linotype" w:eastAsia="Palatino Linotype" w:hAnsi="Palatino Linotype" w:cs="Palatino Linotype"/>
          <w:i/>
          <w:sz w:val="22"/>
          <w:szCs w:val="22"/>
        </w:rPr>
        <w:t xml:space="preserve"> La Secretaría, las entidades, los tribunales administrativos y los ayuntamientos podrán adquirir y contratar servicios mediante invitación restringida, cuando:</w:t>
      </w:r>
    </w:p>
    <w:p w14:paraId="5C7E4B29" w14:textId="77777777" w:rsidR="00F11CC6" w:rsidRPr="00A36F3D" w:rsidRDefault="00C019B0">
      <w:pPr>
        <w:spacing w:before="120" w:after="120"/>
        <w:ind w:left="1134"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I.</w:t>
      </w:r>
      <w:r w:rsidRPr="00A36F3D">
        <w:rPr>
          <w:rFonts w:ascii="Palatino Linotype" w:eastAsia="Palatino Linotype" w:hAnsi="Palatino Linotype" w:cs="Palatino Linotype"/>
          <w:i/>
          <w:sz w:val="22"/>
          <w:szCs w:val="22"/>
        </w:rPr>
        <w:t xml:space="preserve"> Se hubiere declarado desierto un procedimiento de licitación, o</w:t>
      </w:r>
    </w:p>
    <w:p w14:paraId="741657BB" w14:textId="77777777" w:rsidR="00F11CC6" w:rsidRPr="00A36F3D" w:rsidRDefault="00C019B0">
      <w:pPr>
        <w:spacing w:before="120" w:after="120"/>
        <w:ind w:left="1134"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II</w:t>
      </w:r>
      <w:r w:rsidRPr="00A36F3D">
        <w:rPr>
          <w:rFonts w:ascii="Palatino Linotype" w:eastAsia="Palatino Linotype" w:hAnsi="Palatino Linotype" w:cs="Palatino Linotype"/>
          <w:i/>
          <w:sz w:val="22"/>
          <w:szCs w:val="22"/>
        </w:rPr>
        <w:t>. El importe de la operación no exceda de los montos establecidos por el Presupuesto de Egresos del Gobierno del Estado de México del ejercicio correspondiente.</w:t>
      </w:r>
    </w:p>
    <w:p w14:paraId="18309A18" w14:textId="77777777" w:rsidR="00F11CC6" w:rsidRPr="00A36F3D" w:rsidRDefault="00C019B0">
      <w:pPr>
        <w:spacing w:before="120" w:after="120"/>
        <w:ind w:left="851"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1B94599F" w14:textId="77777777" w:rsidR="00F11CC6" w:rsidRPr="00A36F3D" w:rsidRDefault="00C019B0">
      <w:pPr>
        <w:spacing w:before="120" w:after="120"/>
        <w:ind w:left="851"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En la invitación deberá especificarse si en el proceso de asignación aplicará la modalidad de subasta inversa.”</w:t>
      </w:r>
    </w:p>
    <w:p w14:paraId="253EE681" w14:textId="77777777" w:rsidR="00F11CC6" w:rsidRPr="00A36F3D" w:rsidRDefault="00C019B0">
      <w:pPr>
        <w:spacing w:before="240" w:after="240"/>
        <w:ind w:right="49"/>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sz w:val="22"/>
          <w:szCs w:val="22"/>
        </w:rPr>
        <w:t>Asimismo, el artículo 46 de la Ley referida, menciona que:</w:t>
      </w:r>
    </w:p>
    <w:p w14:paraId="791DB01C" w14:textId="77777777" w:rsidR="00F11CC6" w:rsidRPr="00A36F3D" w:rsidRDefault="00C019B0">
      <w:pPr>
        <w:spacing w:before="120" w:after="120"/>
        <w:ind w:left="851"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sz w:val="22"/>
          <w:szCs w:val="22"/>
        </w:rPr>
        <w:t xml:space="preserve"> “</w:t>
      </w:r>
      <w:r w:rsidRPr="00A36F3D">
        <w:rPr>
          <w:rFonts w:ascii="Palatino Linotype" w:eastAsia="Palatino Linotype" w:hAnsi="Palatino Linotype" w:cs="Palatino Linotype"/>
          <w:b/>
          <w:i/>
          <w:sz w:val="22"/>
          <w:szCs w:val="22"/>
        </w:rPr>
        <w:t>Artículo 46.-</w:t>
      </w:r>
      <w:r w:rsidRPr="00A36F3D">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w:t>
      </w:r>
    </w:p>
    <w:p w14:paraId="02FA2CCB" w14:textId="77777777" w:rsidR="00F11CC6" w:rsidRPr="00A36F3D" w:rsidRDefault="00F11CC6">
      <w:pPr>
        <w:spacing w:before="120" w:after="120"/>
        <w:ind w:left="851" w:right="902"/>
        <w:jc w:val="both"/>
        <w:rPr>
          <w:rFonts w:ascii="Palatino Linotype" w:eastAsia="Palatino Linotype" w:hAnsi="Palatino Linotype" w:cs="Palatino Linotype"/>
          <w:i/>
          <w:sz w:val="22"/>
          <w:szCs w:val="22"/>
        </w:rPr>
      </w:pPr>
    </w:p>
    <w:p w14:paraId="52951CB8" w14:textId="77777777" w:rsidR="00F11CC6" w:rsidRPr="00A36F3D" w:rsidRDefault="00C019B0">
      <w:pPr>
        <w:spacing w:line="360" w:lineRule="auto"/>
        <w:ind w:right="49"/>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Por otra parte, el artículo 48 de la Ley en cita precisa que, respecto a los procedimientos de Adjudicación Directa, las entidades públicas podrán adquirir bienes, arrendar bienes muebles e inmuebles y contratar servicios mediante adjudicación directa cuando: </w:t>
      </w:r>
    </w:p>
    <w:p w14:paraId="3D7BA8CC" w14:textId="77777777" w:rsidR="00F11CC6" w:rsidRPr="00A36F3D" w:rsidRDefault="00C019B0">
      <w:pPr>
        <w:tabs>
          <w:tab w:val="left" w:pos="7938"/>
        </w:tabs>
        <w:spacing w:before="120" w:after="120"/>
        <w:ind w:left="851" w:right="90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“Artículo 48.-</w:t>
      </w:r>
      <w:r w:rsidRPr="00A36F3D">
        <w:rPr>
          <w:rFonts w:ascii="Palatino Linotype" w:eastAsia="Palatino Linotype" w:hAnsi="Palatino Linotype" w:cs="Palatino Linotype"/>
          <w:i/>
          <w:sz w:val="22"/>
          <w:szCs w:val="22"/>
        </w:rPr>
        <w:t xml:space="preserve"> La Secretaría, las entidades, los tribunales administrativos y los ayuntamientos podrán adquirir bienes, arrendar bienes muebles e inmuebles y contratar servicios, mediante adjudicación directa, cuando:</w:t>
      </w:r>
    </w:p>
    <w:p w14:paraId="4C075E72" w14:textId="77777777" w:rsidR="00F11CC6" w:rsidRPr="00A36F3D" w:rsidRDefault="00C019B0">
      <w:pPr>
        <w:tabs>
          <w:tab w:val="left" w:pos="7938"/>
        </w:tabs>
        <w:spacing w:before="120" w:after="120"/>
        <w:ind w:left="1134" w:right="90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I</w:t>
      </w:r>
      <w:r w:rsidRPr="00A36F3D">
        <w:rPr>
          <w:rFonts w:ascii="Palatino Linotype" w:eastAsia="Palatino Linotype" w:hAnsi="Palatino Linotype" w:cs="Palatino Linotype"/>
          <w:i/>
          <w:sz w:val="22"/>
          <w:szCs w:val="22"/>
        </w:rPr>
        <w:t>. La adquisición o el servicio sólo puedan realizarse con una determinada persona, por tratarse de obras de arte, titularidad de patentes, registros, marcas específicas, derechos de autor u otros derechos exclusivos.</w:t>
      </w:r>
    </w:p>
    <w:p w14:paraId="51BF0811" w14:textId="77777777" w:rsidR="00F11CC6" w:rsidRPr="00A36F3D" w:rsidRDefault="00C019B0">
      <w:pPr>
        <w:tabs>
          <w:tab w:val="left" w:pos="7938"/>
        </w:tabs>
        <w:spacing w:before="120" w:after="120"/>
        <w:ind w:left="1134" w:right="90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II</w:t>
      </w:r>
      <w:r w:rsidRPr="00A36F3D">
        <w:rPr>
          <w:rFonts w:ascii="Palatino Linotype" w:eastAsia="Palatino Linotype" w:hAnsi="Palatino Linotype" w:cs="Palatino Linotype"/>
          <w:i/>
          <w:sz w:val="22"/>
          <w:szCs w:val="22"/>
        </w:rPr>
        <w:t>.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14:paraId="28A5470C" w14:textId="77777777" w:rsidR="00F11CC6" w:rsidRPr="00A36F3D" w:rsidRDefault="00C019B0">
      <w:pPr>
        <w:tabs>
          <w:tab w:val="left" w:pos="7938"/>
        </w:tabs>
        <w:spacing w:before="120" w:after="120"/>
        <w:ind w:left="1134" w:right="90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III.</w:t>
      </w:r>
      <w:r w:rsidRPr="00A36F3D">
        <w:rPr>
          <w:rFonts w:ascii="Palatino Linotype" w:eastAsia="Palatino Linotype" w:hAnsi="Palatino Linotype" w:cs="Palatino Linotype"/>
          <w:i/>
          <w:sz w:val="22"/>
          <w:szCs w:val="22"/>
        </w:rPr>
        <w:t xml:space="preserve"> Se trate de servicios que requieran de experiencia, técnicas o equipos especiales, o se trate de la adquisición de bienes usados o de características especiales que solamente puedan ser prestados o suministrados por una sola persona.</w:t>
      </w:r>
    </w:p>
    <w:p w14:paraId="67A36D26" w14:textId="77777777" w:rsidR="00F11CC6" w:rsidRPr="00A36F3D" w:rsidRDefault="00C019B0">
      <w:pPr>
        <w:tabs>
          <w:tab w:val="left" w:pos="7938"/>
        </w:tabs>
        <w:spacing w:before="120" w:after="120"/>
        <w:ind w:left="1134" w:right="90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IV.</w:t>
      </w:r>
      <w:r w:rsidRPr="00A36F3D">
        <w:rPr>
          <w:rFonts w:ascii="Palatino Linotype" w:eastAsia="Palatino Linotype" w:hAnsi="Palatino Linotype" w:cs="Palatino Linotype"/>
          <w:i/>
          <w:sz w:val="22"/>
          <w:szCs w:val="22"/>
        </w:rPr>
        <w:t xml:space="preserve">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14:paraId="039F4A30" w14:textId="77777777" w:rsidR="00F11CC6" w:rsidRPr="00A36F3D" w:rsidRDefault="00C019B0">
      <w:pPr>
        <w:tabs>
          <w:tab w:val="left" w:pos="7938"/>
        </w:tabs>
        <w:spacing w:before="120" w:after="120"/>
        <w:ind w:left="1134" w:right="90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V</w:t>
      </w:r>
      <w:r w:rsidRPr="00A36F3D">
        <w:rPr>
          <w:rFonts w:ascii="Palatino Linotype" w:eastAsia="Palatino Linotype" w:hAnsi="Palatino Linotype" w:cs="Palatino Linotype"/>
          <w:i/>
          <w:sz w:val="22"/>
          <w:szCs w:val="22"/>
        </w:rPr>
        <w:t>. Existan circunstancias que puedan provocar pérdidas o costos adicionales importantes al erario.</w:t>
      </w:r>
    </w:p>
    <w:p w14:paraId="10EDBED3" w14:textId="77777777" w:rsidR="00F11CC6" w:rsidRPr="00A36F3D" w:rsidRDefault="00C019B0">
      <w:pPr>
        <w:tabs>
          <w:tab w:val="left" w:pos="7938"/>
        </w:tabs>
        <w:spacing w:before="120" w:after="120"/>
        <w:ind w:left="1134" w:right="90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VI</w:t>
      </w:r>
      <w:r w:rsidRPr="00A36F3D">
        <w:rPr>
          <w:rFonts w:ascii="Palatino Linotype" w:eastAsia="Palatino Linotype" w:hAnsi="Palatino Linotype" w:cs="Palatino Linotype"/>
          <w:i/>
          <w:sz w:val="22"/>
          <w:szCs w:val="22"/>
        </w:rPr>
        <w:t>. Pueda comprometerse información de naturaleza confidencial para el Estado o municipios, por razones de seguridad pública.</w:t>
      </w:r>
    </w:p>
    <w:p w14:paraId="0BBE5EA6" w14:textId="77777777" w:rsidR="00F11CC6" w:rsidRPr="00A36F3D" w:rsidRDefault="00C019B0">
      <w:pPr>
        <w:tabs>
          <w:tab w:val="left" w:pos="7938"/>
        </w:tabs>
        <w:spacing w:before="120" w:after="120"/>
        <w:ind w:left="1134" w:right="90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VII</w:t>
      </w:r>
      <w:r w:rsidRPr="00A36F3D">
        <w:rPr>
          <w:rFonts w:ascii="Palatino Linotype" w:eastAsia="Palatino Linotype" w:hAnsi="Palatino Linotype" w:cs="Palatino Linotype"/>
          <w:i/>
          <w:sz w:val="22"/>
          <w:szCs w:val="22"/>
        </w:rPr>
        <w:t>. Existan circunstancias extraordinarias o imprevisibles derivadas de riesgo o desastre. En este supuesto, la adquisición, arrendamiento y servicio deberá limitarse a lo estrictamente necesario para enfrentar tal eventualidad.</w:t>
      </w:r>
    </w:p>
    <w:p w14:paraId="2141D069" w14:textId="77777777" w:rsidR="00F11CC6" w:rsidRPr="00A36F3D" w:rsidRDefault="00C019B0">
      <w:pPr>
        <w:tabs>
          <w:tab w:val="left" w:pos="7938"/>
        </w:tabs>
        <w:spacing w:before="120" w:after="120"/>
        <w:ind w:left="1134" w:right="90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VIII</w:t>
      </w:r>
      <w:r w:rsidRPr="00A36F3D">
        <w:rPr>
          <w:rFonts w:ascii="Palatino Linotype" w:eastAsia="Palatino Linotype" w:hAnsi="Palatino Linotype" w:cs="Palatino Linotype"/>
          <w:i/>
          <w:sz w:val="22"/>
          <w:szCs w:val="22"/>
        </w:rPr>
        <w:t>.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w:t>
      </w:r>
    </w:p>
    <w:p w14:paraId="74E51845" w14:textId="77777777" w:rsidR="00F11CC6" w:rsidRPr="00A36F3D" w:rsidRDefault="00C019B0">
      <w:pPr>
        <w:tabs>
          <w:tab w:val="left" w:pos="7938"/>
        </w:tabs>
        <w:spacing w:before="120" w:after="120"/>
        <w:ind w:left="1134" w:right="90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IX</w:t>
      </w:r>
      <w:r w:rsidRPr="00A36F3D">
        <w:rPr>
          <w:rFonts w:ascii="Palatino Linotype" w:eastAsia="Palatino Linotype" w:hAnsi="Palatino Linotype" w:cs="Palatino Linotype"/>
          <w:i/>
          <w:sz w:val="22"/>
          <w:szCs w:val="22"/>
        </w:rPr>
        <w:t>. Se hubiere declarado desierto un procedimiento de invitación restringida.</w:t>
      </w:r>
    </w:p>
    <w:p w14:paraId="13E0FDE3" w14:textId="77777777" w:rsidR="00F11CC6" w:rsidRPr="00A36F3D" w:rsidRDefault="00C019B0">
      <w:pPr>
        <w:tabs>
          <w:tab w:val="left" w:pos="7938"/>
        </w:tabs>
        <w:spacing w:before="120" w:after="120"/>
        <w:ind w:left="1134" w:right="90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X</w:t>
      </w:r>
      <w:r w:rsidRPr="00A36F3D">
        <w:rPr>
          <w:rFonts w:ascii="Palatino Linotype" w:eastAsia="Palatino Linotype" w:hAnsi="Palatino Linotype" w:cs="Palatino Linotype"/>
          <w:i/>
          <w:sz w:val="22"/>
          <w:szCs w:val="22"/>
        </w:rPr>
        <w:t>. Cuando se aseguren condiciones financieras que permitan al Estado o a los municipios cumplir con la obligación de pago de manera diferida, sin que ello implique un costo financiero adicional o que habiéndolo, sea inferior al del mercado, o</w:t>
      </w:r>
    </w:p>
    <w:p w14:paraId="3978B9D1" w14:textId="77777777" w:rsidR="00F11CC6" w:rsidRPr="00A36F3D" w:rsidRDefault="00C019B0">
      <w:pPr>
        <w:tabs>
          <w:tab w:val="left" w:pos="7938"/>
        </w:tabs>
        <w:spacing w:before="120" w:after="120"/>
        <w:ind w:left="1134" w:right="90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XI</w:t>
      </w:r>
      <w:r w:rsidRPr="00A36F3D">
        <w:rPr>
          <w:rFonts w:ascii="Palatino Linotype" w:eastAsia="Palatino Linotype" w:hAnsi="Palatino Linotype" w:cs="Palatino Linotype"/>
          <w:i/>
          <w:sz w:val="22"/>
          <w:szCs w:val="22"/>
        </w:rPr>
        <w:t>.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677D6449" w14:textId="77777777" w:rsidR="00F11CC6" w:rsidRPr="00A36F3D" w:rsidRDefault="00C019B0">
      <w:pPr>
        <w:tabs>
          <w:tab w:val="left" w:pos="7938"/>
        </w:tabs>
        <w:spacing w:before="120" w:after="120"/>
        <w:ind w:left="1134" w:right="90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XII</w:t>
      </w:r>
      <w:r w:rsidRPr="00A36F3D">
        <w:rPr>
          <w:rFonts w:ascii="Palatino Linotype" w:eastAsia="Palatino Linotype" w:hAnsi="Palatino Linotype" w:cs="Palatino Linotype"/>
          <w:i/>
          <w:sz w:val="22"/>
          <w:szCs w:val="22"/>
        </w:rPr>
        <w:t>.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507D2ACC" w14:textId="77777777" w:rsidR="00F11CC6" w:rsidRPr="00A36F3D" w:rsidRDefault="00F11CC6">
      <w:pPr>
        <w:tabs>
          <w:tab w:val="left" w:pos="7938"/>
        </w:tabs>
        <w:spacing w:before="120" w:after="120"/>
        <w:ind w:left="1134" w:right="900"/>
        <w:jc w:val="both"/>
        <w:rPr>
          <w:rFonts w:ascii="Palatino Linotype" w:eastAsia="Palatino Linotype" w:hAnsi="Palatino Linotype" w:cs="Palatino Linotype"/>
          <w:i/>
          <w:sz w:val="22"/>
          <w:szCs w:val="22"/>
        </w:rPr>
      </w:pPr>
    </w:p>
    <w:p w14:paraId="6CDFABA0" w14:textId="77777777" w:rsidR="00F11CC6" w:rsidRPr="00A36F3D" w:rsidRDefault="00C019B0">
      <w:pPr>
        <w:tabs>
          <w:tab w:val="left" w:pos="7938"/>
        </w:tabs>
        <w:spacing w:before="120" w:after="120"/>
        <w:ind w:left="851" w:right="90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Artículo 49.-</w:t>
      </w:r>
      <w:r w:rsidRPr="00A36F3D">
        <w:rPr>
          <w:rFonts w:ascii="Palatino Linotype" w:eastAsia="Palatino Linotype" w:hAnsi="Palatino Linotype" w:cs="Palatino Linotype"/>
          <w:i/>
          <w:sz w:val="22"/>
          <w:szCs w:val="22"/>
        </w:rPr>
        <w:t xml:space="preserve"> El procedimiento de adjudicación directa se substanciará con arreglo a el reglamento de esta Ley.”</w:t>
      </w:r>
    </w:p>
    <w:p w14:paraId="5BC7F8F5" w14:textId="77777777" w:rsidR="00F11CC6" w:rsidRPr="00A36F3D" w:rsidRDefault="00C019B0">
      <w:pPr>
        <w:spacing w:before="240" w:after="240" w:line="360" w:lineRule="auto"/>
        <w:ind w:right="51"/>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Ahora bien, a través del cumplimiento a la obligación de transparencia señalada en la fracción XXIX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w:t>
      </w:r>
      <w:r w:rsidRPr="00A36F3D">
        <w:rPr>
          <w:rFonts w:ascii="Palatino Linotype" w:eastAsia="Palatino Linotype" w:hAnsi="Palatino Linotype" w:cs="Palatino Linotype"/>
          <w:b/>
          <w:sz w:val="22"/>
          <w:szCs w:val="22"/>
        </w:rPr>
        <w:t xml:space="preserve">incluyendo </w:t>
      </w:r>
      <w:r w:rsidRPr="00A36F3D">
        <w:rPr>
          <w:rFonts w:ascii="Palatino Linotype" w:eastAsia="Palatino Linotype" w:hAnsi="Palatino Linotype" w:cs="Palatino Linotype"/>
          <w:sz w:val="22"/>
          <w:szCs w:val="22"/>
        </w:rPr>
        <w:t>la versión pública del expediente respectivo y de</w:t>
      </w:r>
      <w:r w:rsidRPr="00A36F3D">
        <w:rPr>
          <w:rFonts w:ascii="Palatino Linotype" w:eastAsia="Palatino Linotype" w:hAnsi="Palatino Linotype" w:cs="Palatino Linotype"/>
          <w:b/>
          <w:sz w:val="22"/>
          <w:szCs w:val="22"/>
        </w:rPr>
        <w:t xml:space="preserve"> los contratos celebrados</w:t>
      </w:r>
      <w:r w:rsidRPr="00A36F3D">
        <w:rPr>
          <w:rFonts w:ascii="Palatino Linotype" w:eastAsia="Palatino Linotype" w:hAnsi="Palatino Linotype" w:cs="Palatino Linotype"/>
          <w:sz w:val="22"/>
          <w:szCs w:val="22"/>
        </w:rPr>
        <w:t>, a saber:</w:t>
      </w:r>
    </w:p>
    <w:p w14:paraId="21A6B522" w14:textId="77777777" w:rsidR="00F11CC6" w:rsidRPr="00A36F3D" w:rsidRDefault="00C019B0">
      <w:pPr>
        <w:spacing w:before="120" w:after="120"/>
        <w:ind w:left="851"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 “</w:t>
      </w:r>
      <w:r w:rsidRPr="00A36F3D">
        <w:rPr>
          <w:rFonts w:ascii="Palatino Linotype" w:eastAsia="Palatino Linotype" w:hAnsi="Palatino Linotype" w:cs="Palatino Linotype"/>
          <w:b/>
          <w:i/>
          <w:sz w:val="22"/>
          <w:szCs w:val="22"/>
        </w:rPr>
        <w:t>Artículo 92</w:t>
      </w:r>
      <w:r w:rsidRPr="00A36F3D">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37FA2EF" w14:textId="77777777" w:rsidR="00F11CC6" w:rsidRPr="00A36F3D" w:rsidRDefault="00C019B0">
      <w:pPr>
        <w:tabs>
          <w:tab w:val="left" w:pos="426"/>
          <w:tab w:val="left" w:pos="2145"/>
        </w:tabs>
        <w:spacing w:before="120" w:after="120"/>
        <w:ind w:left="1134"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r w:rsidRPr="00A36F3D">
        <w:rPr>
          <w:rFonts w:ascii="Palatino Linotype" w:eastAsia="Palatino Linotype" w:hAnsi="Palatino Linotype" w:cs="Palatino Linotype"/>
          <w:i/>
          <w:sz w:val="22"/>
          <w:szCs w:val="22"/>
        </w:rPr>
        <w:tab/>
      </w:r>
    </w:p>
    <w:p w14:paraId="229A6C8A" w14:textId="77777777" w:rsidR="00F11CC6" w:rsidRPr="00A36F3D" w:rsidRDefault="00C019B0">
      <w:pPr>
        <w:tabs>
          <w:tab w:val="left" w:pos="426"/>
        </w:tabs>
        <w:spacing w:before="120" w:after="120"/>
        <w:ind w:left="1134"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XXIX.</w:t>
      </w:r>
      <w:r w:rsidRPr="00A36F3D">
        <w:rPr>
          <w:rFonts w:ascii="Palatino Linotype" w:eastAsia="Palatino Linotype" w:hAnsi="Palatino Linotype" w:cs="Palatino Linotype"/>
          <w:i/>
          <w:sz w:val="22"/>
          <w:szCs w:val="22"/>
        </w:rPr>
        <w:t xml:space="preserve"> La </w:t>
      </w:r>
      <w:r w:rsidRPr="00A36F3D">
        <w:rPr>
          <w:rFonts w:ascii="Palatino Linotype" w:eastAsia="Palatino Linotype" w:hAnsi="Palatino Linotype" w:cs="Palatino Linotype"/>
          <w:b/>
          <w:i/>
          <w:sz w:val="22"/>
          <w:szCs w:val="22"/>
        </w:rPr>
        <w:t xml:space="preserve">información sobre los procesos y resultados </w:t>
      </w:r>
      <w:r w:rsidRPr="00A36F3D">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A36F3D">
        <w:rPr>
          <w:rFonts w:ascii="Palatino Linotype" w:eastAsia="Palatino Linotype" w:hAnsi="Palatino Linotype" w:cs="Palatino Linotype"/>
          <w:i/>
          <w:sz w:val="22"/>
          <w:szCs w:val="22"/>
          <w:u w:val="single"/>
        </w:rPr>
        <w:t xml:space="preserve">, </w:t>
      </w:r>
      <w:r w:rsidRPr="00A36F3D">
        <w:rPr>
          <w:rFonts w:ascii="Palatino Linotype" w:eastAsia="Palatino Linotype" w:hAnsi="Palatino Linotype" w:cs="Palatino Linotype"/>
          <w:b/>
          <w:i/>
          <w:sz w:val="22"/>
          <w:szCs w:val="22"/>
        </w:rPr>
        <w:t>incluyendo la versión pública</w:t>
      </w:r>
      <w:r w:rsidRPr="00A36F3D">
        <w:rPr>
          <w:rFonts w:ascii="Palatino Linotype" w:eastAsia="Palatino Linotype" w:hAnsi="Palatino Linotype" w:cs="Palatino Linotype"/>
          <w:i/>
          <w:sz w:val="22"/>
          <w:szCs w:val="22"/>
        </w:rPr>
        <w:t xml:space="preserve"> del expediente respectivo y </w:t>
      </w:r>
      <w:r w:rsidRPr="00A36F3D">
        <w:rPr>
          <w:rFonts w:ascii="Palatino Linotype" w:eastAsia="Palatino Linotype" w:hAnsi="Palatino Linotype" w:cs="Palatino Linotype"/>
          <w:b/>
          <w:i/>
          <w:sz w:val="22"/>
          <w:szCs w:val="22"/>
        </w:rPr>
        <w:t>de los contratos celebrados</w:t>
      </w:r>
      <w:r w:rsidRPr="00A36F3D">
        <w:rPr>
          <w:rFonts w:ascii="Palatino Linotype" w:eastAsia="Palatino Linotype" w:hAnsi="Palatino Linotype" w:cs="Palatino Linotype"/>
          <w:i/>
          <w:sz w:val="22"/>
          <w:szCs w:val="22"/>
        </w:rPr>
        <w:t>, que deberán contener, por los menos, lo siguiente:</w:t>
      </w:r>
    </w:p>
    <w:p w14:paraId="1942A913" w14:textId="77777777" w:rsidR="00F11CC6" w:rsidRPr="00A36F3D" w:rsidRDefault="00C019B0">
      <w:pPr>
        <w:numPr>
          <w:ilvl w:val="0"/>
          <w:numId w:val="12"/>
        </w:numPr>
        <w:pBdr>
          <w:top w:val="nil"/>
          <w:left w:val="nil"/>
          <w:bottom w:val="nil"/>
          <w:right w:val="nil"/>
          <w:between w:val="nil"/>
        </w:pBdr>
        <w:tabs>
          <w:tab w:val="left" w:pos="426"/>
        </w:tabs>
        <w:spacing w:before="120"/>
        <w:ind w:right="902"/>
        <w:jc w:val="both"/>
        <w:rPr>
          <w:rFonts w:ascii="Palatino Linotype" w:eastAsia="Palatino Linotype" w:hAnsi="Palatino Linotype" w:cs="Palatino Linotype"/>
          <w:b/>
          <w:i/>
          <w:sz w:val="22"/>
          <w:szCs w:val="22"/>
        </w:rPr>
      </w:pPr>
      <w:r w:rsidRPr="00A36F3D">
        <w:rPr>
          <w:rFonts w:ascii="Palatino Linotype" w:eastAsia="Palatino Linotype" w:hAnsi="Palatino Linotype" w:cs="Palatino Linotype"/>
          <w:b/>
          <w:i/>
          <w:sz w:val="22"/>
          <w:szCs w:val="22"/>
        </w:rPr>
        <w:t>De licitaciones públicas o procedimientos de invitación restringida:</w:t>
      </w:r>
    </w:p>
    <w:p w14:paraId="2D5D078F"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1) La convocatoria o invitación emitida, así como los fundamentos legales</w:t>
      </w:r>
    </w:p>
    <w:p w14:paraId="64F7C1A1"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aplicados para llevarla a cabo;</w:t>
      </w:r>
    </w:p>
    <w:p w14:paraId="0FCC1EAC"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2) Los nombres de los participantes o invitados;</w:t>
      </w:r>
    </w:p>
    <w:p w14:paraId="24C17684"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3) El nombre del ganador y las razones que lo justifican;</w:t>
      </w:r>
    </w:p>
    <w:p w14:paraId="2CEC6B1D"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4) El área solicitante y la responsable de su ejecución;</w:t>
      </w:r>
    </w:p>
    <w:p w14:paraId="04D6041E"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5) Las convocatorias e invitaciones emitidas;</w:t>
      </w:r>
    </w:p>
    <w:p w14:paraId="21689871"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6) Los dictámenes y fallo de adjudicación;</w:t>
      </w:r>
    </w:p>
    <w:p w14:paraId="44ACDA9A"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 xml:space="preserve">7) </w:t>
      </w:r>
      <w:r w:rsidRPr="00A36F3D">
        <w:rPr>
          <w:rFonts w:ascii="Palatino Linotype" w:eastAsia="Palatino Linotype" w:hAnsi="Palatino Linotype" w:cs="Palatino Linotype"/>
          <w:i/>
          <w:sz w:val="22"/>
          <w:szCs w:val="22"/>
        </w:rPr>
        <w:t>El contrato y, en su caso, sus anexos;</w:t>
      </w:r>
    </w:p>
    <w:p w14:paraId="364B1E96"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 xml:space="preserve">8) </w:t>
      </w:r>
      <w:r w:rsidRPr="00A36F3D">
        <w:rPr>
          <w:rFonts w:ascii="Palatino Linotype" w:eastAsia="Palatino Linotype" w:hAnsi="Palatino Linotype" w:cs="Palatino Linotype"/>
          <w:i/>
          <w:sz w:val="22"/>
          <w:szCs w:val="22"/>
        </w:rPr>
        <w:t>Los mecanismos de vigilancia y supervisión, incluyendo en su caso, los</w:t>
      </w:r>
    </w:p>
    <w:p w14:paraId="7AE135C2"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estudios de impacto urbano y ambiental, según corresponda;</w:t>
      </w:r>
    </w:p>
    <w:p w14:paraId="2CD84871"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 xml:space="preserve">9) </w:t>
      </w:r>
      <w:r w:rsidRPr="00A36F3D">
        <w:rPr>
          <w:rFonts w:ascii="Palatino Linotype" w:eastAsia="Palatino Linotype" w:hAnsi="Palatino Linotype" w:cs="Palatino Linotype"/>
          <w:i/>
          <w:sz w:val="22"/>
          <w:szCs w:val="22"/>
        </w:rPr>
        <w:t>La partida presupuestal, de conformidad con el clasificador por objeto del</w:t>
      </w:r>
    </w:p>
    <w:p w14:paraId="005FDF5C"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gasto, en el caso de ser aplicable;</w:t>
      </w:r>
    </w:p>
    <w:p w14:paraId="79088AC2"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 xml:space="preserve">10) </w:t>
      </w:r>
      <w:r w:rsidRPr="00A36F3D">
        <w:rPr>
          <w:rFonts w:ascii="Palatino Linotype" w:eastAsia="Palatino Linotype" w:hAnsi="Palatino Linotype" w:cs="Palatino Linotype"/>
          <w:i/>
          <w:sz w:val="22"/>
          <w:szCs w:val="22"/>
        </w:rPr>
        <w:t>Origen de los recursos especificando si son federales, estatales o</w:t>
      </w:r>
    </w:p>
    <w:p w14:paraId="57C0397A"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municipales, así como el tipo de fondo de participación o aportación</w:t>
      </w:r>
    </w:p>
    <w:p w14:paraId="0469CF12"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respectiva;</w:t>
      </w:r>
    </w:p>
    <w:p w14:paraId="6A399F88"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 xml:space="preserve">11) </w:t>
      </w:r>
      <w:r w:rsidRPr="00A36F3D">
        <w:rPr>
          <w:rFonts w:ascii="Palatino Linotype" w:eastAsia="Palatino Linotype" w:hAnsi="Palatino Linotype" w:cs="Palatino Linotype"/>
          <w:i/>
          <w:sz w:val="22"/>
          <w:szCs w:val="22"/>
        </w:rPr>
        <w:t>Los convenios modificatorios que, en su caso, sean firmados, precisando el</w:t>
      </w:r>
    </w:p>
    <w:p w14:paraId="3FAA14E0"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objeto y la fecha de celebración;</w:t>
      </w:r>
    </w:p>
    <w:p w14:paraId="7AEFA180"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 xml:space="preserve">12) </w:t>
      </w:r>
      <w:r w:rsidRPr="00A36F3D">
        <w:rPr>
          <w:rFonts w:ascii="Palatino Linotype" w:eastAsia="Palatino Linotype" w:hAnsi="Palatino Linotype" w:cs="Palatino Linotype"/>
          <w:i/>
          <w:sz w:val="22"/>
          <w:szCs w:val="22"/>
        </w:rPr>
        <w:t>Los informes de avance físico y financiero sobre las obras o servicios</w:t>
      </w:r>
    </w:p>
    <w:p w14:paraId="56139A51"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contratados;</w:t>
      </w:r>
    </w:p>
    <w:p w14:paraId="49140824" w14:textId="77777777" w:rsidR="00F11CC6" w:rsidRPr="00A36F3D" w:rsidRDefault="00C019B0">
      <w:pPr>
        <w:pBdr>
          <w:top w:val="nil"/>
          <w:left w:val="nil"/>
          <w:bottom w:val="nil"/>
          <w:right w:val="nil"/>
          <w:between w:val="nil"/>
        </w:pBdr>
        <w:tabs>
          <w:tab w:val="left" w:pos="426"/>
        </w:tabs>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 xml:space="preserve">13) </w:t>
      </w:r>
      <w:r w:rsidRPr="00A36F3D">
        <w:rPr>
          <w:rFonts w:ascii="Palatino Linotype" w:eastAsia="Palatino Linotype" w:hAnsi="Palatino Linotype" w:cs="Palatino Linotype"/>
          <w:i/>
          <w:sz w:val="22"/>
          <w:szCs w:val="22"/>
        </w:rPr>
        <w:t>El convenio de terminación; y</w:t>
      </w:r>
    </w:p>
    <w:p w14:paraId="20892A71" w14:textId="77777777" w:rsidR="00F11CC6" w:rsidRPr="00A36F3D" w:rsidRDefault="00C019B0">
      <w:pPr>
        <w:pBdr>
          <w:top w:val="nil"/>
          <w:left w:val="nil"/>
          <w:bottom w:val="nil"/>
          <w:right w:val="nil"/>
          <w:between w:val="nil"/>
        </w:pBdr>
        <w:tabs>
          <w:tab w:val="left" w:pos="426"/>
        </w:tabs>
        <w:spacing w:after="120"/>
        <w:ind w:left="1818"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 xml:space="preserve">14) </w:t>
      </w:r>
      <w:r w:rsidRPr="00A36F3D">
        <w:rPr>
          <w:rFonts w:ascii="Palatino Linotype" w:eastAsia="Palatino Linotype" w:hAnsi="Palatino Linotype" w:cs="Palatino Linotype"/>
          <w:i/>
          <w:sz w:val="22"/>
          <w:szCs w:val="22"/>
        </w:rPr>
        <w:t>El finiquito.</w:t>
      </w:r>
    </w:p>
    <w:p w14:paraId="492DF0F7" w14:textId="77777777" w:rsidR="00F11CC6" w:rsidRPr="00A36F3D" w:rsidRDefault="00C019B0">
      <w:pPr>
        <w:tabs>
          <w:tab w:val="left" w:pos="426"/>
        </w:tabs>
        <w:spacing w:before="120" w:after="120"/>
        <w:ind w:left="426" w:right="902" w:firstLine="850"/>
        <w:jc w:val="both"/>
        <w:rPr>
          <w:rFonts w:ascii="Palatino Linotype" w:eastAsia="Palatino Linotype" w:hAnsi="Palatino Linotype" w:cs="Palatino Linotype"/>
          <w:b/>
          <w:i/>
          <w:sz w:val="22"/>
          <w:szCs w:val="22"/>
        </w:rPr>
      </w:pPr>
      <w:r w:rsidRPr="00A36F3D">
        <w:rPr>
          <w:rFonts w:ascii="Palatino Linotype" w:eastAsia="Palatino Linotype" w:hAnsi="Palatino Linotype" w:cs="Palatino Linotype"/>
          <w:b/>
          <w:i/>
          <w:sz w:val="22"/>
          <w:szCs w:val="22"/>
        </w:rPr>
        <w:t>b) De las adjudicaciones directas:</w:t>
      </w:r>
    </w:p>
    <w:p w14:paraId="02820B40" w14:textId="77777777" w:rsidR="00F11CC6" w:rsidRPr="00A36F3D" w:rsidRDefault="00C019B0">
      <w:pPr>
        <w:tabs>
          <w:tab w:val="left" w:pos="426"/>
        </w:tabs>
        <w:spacing w:before="120" w:after="120"/>
        <w:ind w:left="1843"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 xml:space="preserve">1) </w:t>
      </w:r>
      <w:r w:rsidRPr="00A36F3D">
        <w:rPr>
          <w:rFonts w:ascii="Palatino Linotype" w:eastAsia="Palatino Linotype" w:hAnsi="Palatino Linotype" w:cs="Palatino Linotype"/>
          <w:i/>
          <w:sz w:val="22"/>
          <w:szCs w:val="22"/>
        </w:rPr>
        <w:t>La propuesta enviada por el participante;</w:t>
      </w:r>
    </w:p>
    <w:p w14:paraId="51F64FB8" w14:textId="77777777" w:rsidR="00F11CC6" w:rsidRPr="00A36F3D" w:rsidRDefault="00C019B0">
      <w:pPr>
        <w:tabs>
          <w:tab w:val="left" w:pos="426"/>
        </w:tabs>
        <w:spacing w:before="120" w:after="120"/>
        <w:ind w:left="1843"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2</w:t>
      </w:r>
      <w:r w:rsidRPr="00A36F3D">
        <w:rPr>
          <w:rFonts w:ascii="Palatino Linotype" w:eastAsia="Palatino Linotype" w:hAnsi="Palatino Linotype" w:cs="Palatino Linotype"/>
          <w:i/>
          <w:sz w:val="22"/>
          <w:szCs w:val="22"/>
        </w:rPr>
        <w:t>) Los motivos y fundamentos legales aplicados para llevarla a cabo;</w:t>
      </w:r>
    </w:p>
    <w:p w14:paraId="715D2BE5" w14:textId="77777777" w:rsidR="00F11CC6" w:rsidRPr="00A36F3D" w:rsidRDefault="00C019B0">
      <w:pPr>
        <w:tabs>
          <w:tab w:val="left" w:pos="426"/>
        </w:tabs>
        <w:spacing w:before="120" w:after="120"/>
        <w:ind w:left="1843"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3)</w:t>
      </w:r>
      <w:r w:rsidRPr="00A36F3D">
        <w:rPr>
          <w:rFonts w:ascii="Palatino Linotype" w:eastAsia="Palatino Linotype" w:hAnsi="Palatino Linotype" w:cs="Palatino Linotype"/>
          <w:i/>
          <w:sz w:val="22"/>
          <w:szCs w:val="22"/>
        </w:rPr>
        <w:t xml:space="preserve"> La autorización del ejercicio de la opción;</w:t>
      </w:r>
    </w:p>
    <w:p w14:paraId="1E69F02C" w14:textId="77777777" w:rsidR="00F11CC6" w:rsidRPr="00A36F3D" w:rsidRDefault="00C019B0">
      <w:pPr>
        <w:tabs>
          <w:tab w:val="left" w:pos="426"/>
        </w:tabs>
        <w:spacing w:before="120" w:after="120"/>
        <w:ind w:left="1843"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4)</w:t>
      </w:r>
      <w:r w:rsidRPr="00A36F3D">
        <w:rPr>
          <w:rFonts w:ascii="Palatino Linotype" w:eastAsia="Palatino Linotype" w:hAnsi="Palatino Linotype" w:cs="Palatino Linotype"/>
          <w:i/>
          <w:sz w:val="22"/>
          <w:szCs w:val="22"/>
        </w:rPr>
        <w:t xml:space="preserve"> En su caso, las cotizaciones consideradas, especificando los nombres de los proveedores y sus montos;</w:t>
      </w:r>
    </w:p>
    <w:p w14:paraId="612F84C0" w14:textId="77777777" w:rsidR="00F11CC6" w:rsidRPr="00A36F3D" w:rsidRDefault="00C019B0">
      <w:pPr>
        <w:tabs>
          <w:tab w:val="left" w:pos="426"/>
        </w:tabs>
        <w:spacing w:before="120" w:after="120"/>
        <w:ind w:left="1843"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5)</w:t>
      </w:r>
      <w:r w:rsidRPr="00A36F3D">
        <w:rPr>
          <w:rFonts w:ascii="Palatino Linotype" w:eastAsia="Palatino Linotype" w:hAnsi="Palatino Linotype" w:cs="Palatino Linotype"/>
          <w:i/>
          <w:sz w:val="22"/>
          <w:szCs w:val="22"/>
        </w:rPr>
        <w:t xml:space="preserve"> El nombre de la persona física o jurídica colectiva adjudicada;</w:t>
      </w:r>
    </w:p>
    <w:p w14:paraId="77049F80" w14:textId="77777777" w:rsidR="00F11CC6" w:rsidRPr="00A36F3D" w:rsidRDefault="00C019B0">
      <w:pPr>
        <w:tabs>
          <w:tab w:val="left" w:pos="426"/>
        </w:tabs>
        <w:spacing w:before="120" w:after="120"/>
        <w:ind w:left="1843"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6)</w:t>
      </w:r>
      <w:r w:rsidRPr="00A36F3D">
        <w:rPr>
          <w:rFonts w:ascii="Palatino Linotype" w:eastAsia="Palatino Linotype" w:hAnsi="Palatino Linotype" w:cs="Palatino Linotype"/>
          <w:i/>
          <w:sz w:val="22"/>
          <w:szCs w:val="22"/>
        </w:rPr>
        <w:t xml:space="preserve"> La unidad administrativa solicitante y la responsable de su ejecución;</w:t>
      </w:r>
    </w:p>
    <w:p w14:paraId="0767E4F8" w14:textId="77777777" w:rsidR="00F11CC6" w:rsidRPr="00A36F3D" w:rsidRDefault="00C019B0">
      <w:pPr>
        <w:tabs>
          <w:tab w:val="left" w:pos="426"/>
        </w:tabs>
        <w:spacing w:before="120" w:after="120"/>
        <w:ind w:left="1843"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7)</w:t>
      </w:r>
      <w:r w:rsidRPr="00A36F3D">
        <w:rPr>
          <w:rFonts w:ascii="Palatino Linotype" w:eastAsia="Palatino Linotype" w:hAnsi="Palatino Linotype" w:cs="Palatino Linotype"/>
          <w:i/>
          <w:sz w:val="22"/>
          <w:szCs w:val="22"/>
        </w:rPr>
        <w:t xml:space="preserve"> El número, fecha, el monto del contrato y el plazo de entrega o de ejecución de los servicios u obra;</w:t>
      </w:r>
    </w:p>
    <w:p w14:paraId="37C7AE20" w14:textId="77777777" w:rsidR="00F11CC6" w:rsidRPr="00A36F3D" w:rsidRDefault="00C019B0">
      <w:pPr>
        <w:tabs>
          <w:tab w:val="left" w:pos="426"/>
        </w:tabs>
        <w:spacing w:before="120" w:after="120"/>
        <w:ind w:left="1843"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8)</w:t>
      </w:r>
      <w:r w:rsidRPr="00A36F3D">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026FC5AA" w14:textId="77777777" w:rsidR="00F11CC6" w:rsidRPr="00A36F3D" w:rsidRDefault="00C019B0">
      <w:pPr>
        <w:tabs>
          <w:tab w:val="left" w:pos="426"/>
        </w:tabs>
        <w:spacing w:before="120" w:after="120"/>
        <w:ind w:left="1843"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9)</w:t>
      </w:r>
      <w:r w:rsidRPr="00A36F3D">
        <w:rPr>
          <w:rFonts w:ascii="Palatino Linotype" w:eastAsia="Palatino Linotype" w:hAnsi="Palatino Linotype" w:cs="Palatino Linotype"/>
          <w:i/>
          <w:sz w:val="22"/>
          <w:szCs w:val="22"/>
        </w:rPr>
        <w:t xml:space="preserve"> Los informes de avance sobre las obras o servicios contratados;</w:t>
      </w:r>
    </w:p>
    <w:p w14:paraId="14FEBB8A" w14:textId="77777777" w:rsidR="00F11CC6" w:rsidRPr="00A36F3D" w:rsidRDefault="00C019B0">
      <w:pPr>
        <w:tabs>
          <w:tab w:val="left" w:pos="426"/>
        </w:tabs>
        <w:spacing w:before="120" w:after="120"/>
        <w:ind w:left="1843"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 xml:space="preserve">10) </w:t>
      </w:r>
      <w:r w:rsidRPr="00A36F3D">
        <w:rPr>
          <w:rFonts w:ascii="Palatino Linotype" w:eastAsia="Palatino Linotype" w:hAnsi="Palatino Linotype" w:cs="Palatino Linotype"/>
          <w:i/>
          <w:sz w:val="22"/>
          <w:szCs w:val="22"/>
        </w:rPr>
        <w:t>El convenio de terminación; y</w:t>
      </w:r>
    </w:p>
    <w:p w14:paraId="0B6D5A21" w14:textId="77777777" w:rsidR="00F11CC6" w:rsidRPr="00A36F3D" w:rsidRDefault="00C019B0">
      <w:pPr>
        <w:tabs>
          <w:tab w:val="left" w:pos="426"/>
        </w:tabs>
        <w:spacing w:before="120" w:after="120"/>
        <w:ind w:left="1843" w:right="902"/>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 xml:space="preserve">11) </w:t>
      </w:r>
      <w:r w:rsidRPr="00A36F3D">
        <w:rPr>
          <w:rFonts w:ascii="Palatino Linotype" w:eastAsia="Palatino Linotype" w:hAnsi="Palatino Linotype" w:cs="Palatino Linotype"/>
          <w:i/>
          <w:sz w:val="22"/>
          <w:szCs w:val="22"/>
        </w:rPr>
        <w:t>El finiquito.</w:t>
      </w:r>
    </w:p>
    <w:p w14:paraId="7D2768EB"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6BF103C4" w14:textId="77777777" w:rsidR="00F11CC6" w:rsidRPr="00A36F3D" w:rsidRDefault="00C019B0">
      <w:pPr>
        <w:spacing w:before="240" w:after="240" w:line="360" w:lineRule="auto"/>
        <w:ind w:left="284"/>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        </w:t>
      </w:r>
      <w:r w:rsidRPr="00A36F3D">
        <w:rPr>
          <w:rFonts w:ascii="Palatino Linotype" w:eastAsia="Palatino Linotype" w:hAnsi="Palatino Linotype" w:cs="Palatino Linotype"/>
          <w:b/>
          <w:sz w:val="22"/>
          <w:szCs w:val="22"/>
        </w:rPr>
        <w:t xml:space="preserve">Licitación pública: </w:t>
      </w:r>
      <w:r w:rsidRPr="00A36F3D">
        <w:rPr>
          <w:rFonts w:ascii="Palatino Linotype" w:eastAsia="Palatino Linotype" w:hAnsi="Palatino Linotype" w:cs="Palatino Linotype"/>
          <w:sz w:val="22"/>
          <w:szCs w:val="22"/>
        </w:rPr>
        <w:t>convocatoria y fundamentos legales aplicables para llevarla a cabo, nombre de los participantes, nombre del ganador y razones, área solicitante y responsable de su ejecución, convocatorias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182A74E9" w14:textId="77777777" w:rsidR="00F11CC6" w:rsidRPr="00A36F3D" w:rsidRDefault="00C019B0">
      <w:pPr>
        <w:spacing w:before="240" w:after="240" w:line="360" w:lineRule="auto"/>
        <w:ind w:left="426"/>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        </w:t>
      </w:r>
      <w:r w:rsidRPr="00A36F3D">
        <w:rPr>
          <w:rFonts w:ascii="Palatino Linotype" w:eastAsia="Palatino Linotype" w:hAnsi="Palatino Linotype" w:cs="Palatino Linotype"/>
          <w:b/>
          <w:sz w:val="22"/>
          <w:szCs w:val="22"/>
        </w:rPr>
        <w:t xml:space="preserve">Invitación restringida: </w:t>
      </w:r>
      <w:r w:rsidRPr="00A36F3D">
        <w:rPr>
          <w:rFonts w:ascii="Palatino Linotype" w:eastAsia="Palatino Linotype" w:hAnsi="Palatino Linotype" w:cs="Palatino Linotype"/>
          <w:sz w:val="22"/>
          <w:szCs w:val="22"/>
        </w:rPr>
        <w:t>invitación emitida y fundamentos legales aplicables para llevarla a cabo, nombre de los participantes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2FD3C81E" w14:textId="77777777" w:rsidR="00F11CC6" w:rsidRPr="00A36F3D" w:rsidRDefault="00C019B0">
      <w:pPr>
        <w:spacing w:before="240" w:after="240" w:line="360" w:lineRule="auto"/>
        <w:ind w:left="426"/>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        </w:t>
      </w:r>
      <w:r w:rsidRPr="00A36F3D">
        <w:rPr>
          <w:rFonts w:ascii="Palatino Linotype" w:eastAsia="Palatino Linotype" w:hAnsi="Palatino Linotype" w:cs="Palatino Linotype"/>
          <w:b/>
          <w:sz w:val="22"/>
          <w:szCs w:val="22"/>
        </w:rPr>
        <w:t xml:space="preserve">Adjudicaciones directas: </w:t>
      </w:r>
      <w:r w:rsidRPr="00A36F3D">
        <w:rPr>
          <w:rFonts w:ascii="Palatino Linotype" w:eastAsia="Palatino Linotype" w:hAnsi="Palatino Linotype" w:cs="Palatino Linotype"/>
          <w:sz w:val="22"/>
          <w:szCs w:val="22"/>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6AB0E696" w14:textId="77777777" w:rsidR="00F11CC6" w:rsidRPr="00A36F3D" w:rsidRDefault="00C019B0">
      <w:pPr>
        <w:spacing w:before="240" w:after="240" w:line="360" w:lineRule="auto"/>
        <w:ind w:right="51"/>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a la fecha de la solicitud, para el cumplimiento de la obligación de transparencia señalada, los sujetos obligados deben publicar información sobre los actos, </w:t>
      </w:r>
      <w:r w:rsidRPr="00A36F3D">
        <w:rPr>
          <w:rFonts w:ascii="Palatino Linotype" w:eastAsia="Palatino Linotype" w:hAnsi="Palatino Linotype" w:cs="Palatino Linotype"/>
          <w:b/>
          <w:sz w:val="22"/>
          <w:szCs w:val="22"/>
        </w:rPr>
        <w:t>contratos</w:t>
      </w:r>
      <w:r w:rsidRPr="00A36F3D">
        <w:rPr>
          <w:rFonts w:ascii="Palatino Linotype" w:eastAsia="Palatino Linotype" w:hAnsi="Palatino Linotype" w:cs="Palatino Linotype"/>
          <w:sz w:val="22"/>
          <w:szCs w:val="22"/>
        </w:rPr>
        <w:t xml:space="preserve"> y convenios celebrados, misma que </w:t>
      </w:r>
      <w:r w:rsidRPr="00A36F3D">
        <w:rPr>
          <w:rFonts w:ascii="Palatino Linotype" w:eastAsia="Palatino Linotype" w:hAnsi="Palatino Linotype" w:cs="Palatino Linotype"/>
          <w:b/>
          <w:sz w:val="22"/>
          <w:szCs w:val="22"/>
        </w:rPr>
        <w:t>debe presentarse en una base de datos en la que cada registro se hará por tipo de procedimiento, ya sea licitación pública, invitación restringida o adjudicación directa,</w:t>
      </w:r>
      <w:r w:rsidRPr="00A36F3D">
        <w:rPr>
          <w:rFonts w:ascii="Palatino Linotype" w:eastAsia="Palatino Linotype" w:hAnsi="Palatino Linotype" w:cs="Palatino Linotype"/>
          <w:sz w:val="22"/>
          <w:szCs w:val="22"/>
        </w:rPr>
        <w:t xml:space="preserve"> especificando para cada tipo de procedimiento la materia, pudiendo ser obra pública, servicios relacionados con obra pública, </w:t>
      </w:r>
      <w:r w:rsidRPr="00A36F3D">
        <w:rPr>
          <w:rFonts w:ascii="Palatino Linotype" w:eastAsia="Palatino Linotype" w:hAnsi="Palatino Linotype" w:cs="Palatino Linotype"/>
          <w:b/>
          <w:sz w:val="22"/>
          <w:szCs w:val="22"/>
        </w:rPr>
        <w:t>arrendamiento,</w:t>
      </w:r>
      <w:r w:rsidRPr="00A36F3D">
        <w:rPr>
          <w:rFonts w:ascii="Palatino Linotype" w:eastAsia="Palatino Linotype" w:hAnsi="Palatino Linotype" w:cs="Palatino Linotype"/>
          <w:sz w:val="22"/>
          <w:szCs w:val="22"/>
        </w:rPr>
        <w:t xml:space="preserve"> adquisiciones, o servicios, así como el carácter de cada uno, es decir, </w:t>
      </w:r>
      <w:r w:rsidRPr="00A36F3D">
        <w:rPr>
          <w:rFonts w:ascii="Palatino Linotype" w:eastAsia="Palatino Linotype" w:hAnsi="Palatino Linotype" w:cs="Palatino Linotype"/>
          <w:b/>
          <w:sz w:val="22"/>
          <w:szCs w:val="22"/>
        </w:rPr>
        <w:t>nacional o internacional</w:t>
      </w:r>
      <w:r w:rsidRPr="00A36F3D">
        <w:rPr>
          <w:rFonts w:ascii="Palatino Linotype" w:eastAsia="Palatino Linotype" w:hAnsi="Palatino Linotype" w:cs="Palatino Linotype"/>
          <w:sz w:val="22"/>
          <w:szCs w:val="22"/>
        </w:rPr>
        <w:t xml:space="preserve">, además se debe elaborar versión pública los documentos fuente que deban ser publicados en este apartado, tales como </w:t>
      </w:r>
      <w:r w:rsidRPr="00A36F3D">
        <w:rPr>
          <w:rFonts w:ascii="Palatino Linotype" w:eastAsia="Palatino Linotype" w:hAnsi="Palatino Linotype" w:cs="Palatino Linotype"/>
          <w:b/>
          <w:sz w:val="22"/>
          <w:szCs w:val="22"/>
        </w:rPr>
        <w:t>contratos</w:t>
      </w:r>
      <w:r w:rsidRPr="00A36F3D">
        <w:rPr>
          <w:rFonts w:ascii="Palatino Linotype" w:eastAsia="Palatino Linotype" w:hAnsi="Palatino Linotype" w:cs="Palatino Linotype"/>
          <w:sz w:val="22"/>
          <w:szCs w:val="22"/>
        </w:rPr>
        <w:t xml:space="preserve">, </w:t>
      </w:r>
      <w:r w:rsidRPr="00A36F3D">
        <w:rPr>
          <w:rFonts w:ascii="Palatino Linotype" w:eastAsia="Palatino Linotype" w:hAnsi="Palatino Linotype" w:cs="Palatino Linotype"/>
          <w:b/>
          <w:sz w:val="22"/>
          <w:szCs w:val="22"/>
        </w:rPr>
        <w:t>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1F8AF178"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Lo anterior, demuestra la fuente obligacional del Sujeto Obligado para contar con toda la información relacionada con los procedimientos de adquisición de bienes y servicios que requiera el Ayuntamiento. </w:t>
      </w:r>
    </w:p>
    <w:p w14:paraId="305E4E6E"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2CF39087"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En el presente asunto en particular, si bien, se turnó la solicitud a la Dirección de Administración, la cual cuenta con atribuciones para generar, administrar y poseer la información relacionada con los procesos de adquisición, también lo es que, se pidió pólizas y pagos, lo cual pudiera obrar de manera enunciativa más no limitativa en facturas, por lo que debemos primeramente conocer a que nos referimos por “</w:t>
      </w:r>
      <w:r w:rsidRPr="00A36F3D">
        <w:rPr>
          <w:rFonts w:ascii="Palatino Linotype" w:eastAsia="Palatino Linotype" w:hAnsi="Palatino Linotype" w:cs="Palatino Linotype"/>
          <w:i/>
          <w:sz w:val="22"/>
          <w:szCs w:val="22"/>
        </w:rPr>
        <w:t>factura</w:t>
      </w:r>
      <w:r w:rsidRPr="00A36F3D">
        <w:rPr>
          <w:rFonts w:ascii="Palatino Linotype" w:eastAsia="Palatino Linotype" w:hAnsi="Palatino Linotype" w:cs="Palatino Linotype"/>
          <w:sz w:val="22"/>
          <w:szCs w:val="22"/>
        </w:rPr>
        <w:t>”; al respecto, nos referiremos a éste concepto aunque sea sucintamente de acuerdo a lo que dispone el Glosario de Términos Hacendarios que emite el Instituto Hacendario del Estado de México, mismo que expresa lo siguiente:</w:t>
      </w:r>
    </w:p>
    <w:p w14:paraId="16FC5839" w14:textId="77777777" w:rsidR="00F11CC6" w:rsidRPr="00A36F3D" w:rsidRDefault="00C019B0">
      <w:pPr>
        <w:pBdr>
          <w:top w:val="nil"/>
          <w:left w:val="nil"/>
          <w:bottom w:val="nil"/>
          <w:right w:val="nil"/>
          <w:between w:val="nil"/>
        </w:pBdr>
        <w:tabs>
          <w:tab w:val="left" w:pos="426"/>
        </w:tabs>
        <w:spacing w:before="240" w:line="276" w:lineRule="auto"/>
        <w:ind w:left="567" w:right="567"/>
        <w:jc w:val="both"/>
        <w:rPr>
          <w:rFonts w:ascii="Palatino Linotype" w:eastAsia="Palatino Linotype" w:hAnsi="Palatino Linotype" w:cs="Palatino Linotype"/>
          <w:b/>
          <w:i/>
          <w:sz w:val="22"/>
          <w:szCs w:val="22"/>
        </w:rPr>
      </w:pPr>
      <w:r w:rsidRPr="00A36F3D">
        <w:rPr>
          <w:rFonts w:ascii="Palatino Linotype" w:eastAsia="Palatino Linotype" w:hAnsi="Palatino Linotype" w:cs="Palatino Linotype"/>
          <w:i/>
          <w:sz w:val="22"/>
          <w:szCs w:val="22"/>
        </w:rPr>
        <w:t>“</w:t>
      </w:r>
      <w:r w:rsidRPr="00A36F3D">
        <w:rPr>
          <w:rFonts w:ascii="Palatino Linotype" w:eastAsia="Palatino Linotype" w:hAnsi="Palatino Linotype" w:cs="Palatino Linotype"/>
          <w:b/>
          <w:i/>
          <w:sz w:val="22"/>
          <w:szCs w:val="22"/>
        </w:rPr>
        <w:t>FACTURA:</w:t>
      </w:r>
    </w:p>
    <w:p w14:paraId="69D139A1"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Es el documento fiscal que emite la persona física o moral para comprobar la venta o adquisición de un bien y/o servicio.”</w:t>
      </w:r>
    </w:p>
    <w:p w14:paraId="1A9CB4CD" w14:textId="77777777" w:rsidR="00F11CC6" w:rsidRPr="00A36F3D" w:rsidRDefault="00F11CC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08D0D1C0" w14:textId="77777777" w:rsidR="00F11CC6" w:rsidRPr="00A36F3D" w:rsidRDefault="00C019B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Una vez precisado lo anterior, se procede a analizar si las facturas solicitadas son de acceso público; por lo que es de señalarse que </w:t>
      </w:r>
      <w:r w:rsidRPr="00A36F3D">
        <w:rPr>
          <w:rFonts w:ascii="Palatino Linotype" w:eastAsia="Palatino Linotype" w:hAnsi="Palatino Linotype" w:cs="Palatino Linotype"/>
          <w:b/>
          <w:sz w:val="22"/>
          <w:szCs w:val="22"/>
        </w:rPr>
        <w:t xml:space="preserve">las facturas </w:t>
      </w:r>
      <w:r w:rsidRPr="00A36F3D">
        <w:rPr>
          <w:rFonts w:ascii="Palatino Linotype" w:eastAsia="Palatino Linotype" w:hAnsi="Palatino Linotype" w:cs="Palatino Linotype"/>
          <w:sz w:val="22"/>
          <w:szCs w:val="22"/>
        </w:rPr>
        <w:t xml:space="preserve">o comprobantes que amparan las erogaciones que se realizan con erario público tienen naturaleza análoga, pues </w:t>
      </w:r>
      <w:r w:rsidRPr="00A36F3D">
        <w:rPr>
          <w:rFonts w:ascii="Palatino Linotype" w:eastAsia="Palatino Linotype" w:hAnsi="Palatino Linotype" w:cs="Palatino Linotype"/>
          <w:b/>
          <w:sz w:val="22"/>
          <w:szCs w:val="22"/>
        </w:rPr>
        <w:t>constituyen los medios idóneos de evidencia del gasto realizado con recursos públicos</w:t>
      </w:r>
      <w:r w:rsidRPr="00A36F3D">
        <w:rPr>
          <w:rFonts w:ascii="Palatino Linotype" w:eastAsia="Palatino Linotype" w:hAnsi="Palatino Linotype" w:cs="Palatino Linotype"/>
          <w:sz w:val="22"/>
          <w:szCs w:val="22"/>
        </w:rPr>
        <w:t>.</w:t>
      </w:r>
    </w:p>
    <w:p w14:paraId="4E0B6BD8" w14:textId="77777777" w:rsidR="00F11CC6" w:rsidRPr="00A36F3D" w:rsidRDefault="00F11CC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2735270B" w14:textId="77777777" w:rsidR="00F11CC6" w:rsidRPr="00A36F3D" w:rsidRDefault="00C019B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14:paraId="3D27A837" w14:textId="77777777" w:rsidR="00F11CC6" w:rsidRPr="00A36F3D" w:rsidRDefault="00F11CC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356D09F1" w14:textId="77777777" w:rsidR="00F11CC6" w:rsidRPr="00A36F3D" w:rsidRDefault="00C019B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Como se ha dicho anteriormente, es atribución del Tesorero Municipal la de llevar los registros contables, financieros y administrativos de los ingresos, egresos e inventarios. En ese sentido, los artículos 342, 343, 344 y 345 del Código Financiero del Estado de México y Municipios disponen el sistema y las políticas que deben seguirse para llevar el registro contable y presupuestal de las operaciones financieras, en los siguientes términos:</w:t>
      </w:r>
    </w:p>
    <w:p w14:paraId="332332BA" w14:textId="77777777" w:rsidR="00F11CC6" w:rsidRPr="00A36F3D" w:rsidRDefault="00F11CC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685DCAAE"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r w:rsidRPr="00A36F3D">
        <w:rPr>
          <w:rFonts w:ascii="Palatino Linotype" w:eastAsia="Palatino Linotype" w:hAnsi="Palatino Linotype" w:cs="Palatino Linotype"/>
          <w:b/>
          <w:i/>
          <w:sz w:val="22"/>
          <w:szCs w:val="22"/>
        </w:rPr>
        <w:t>Artículo 342.-</w:t>
      </w:r>
      <w:r w:rsidRPr="00A36F3D">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A36F3D">
        <w:rPr>
          <w:rFonts w:ascii="Palatino Linotype" w:eastAsia="Palatino Linotype" w:hAnsi="Palatino Linotype" w:cs="Palatino Linotype"/>
          <w:i/>
          <w:sz w:val="22"/>
          <w:szCs w:val="22"/>
        </w:rPr>
        <w:t>presupuestación</w:t>
      </w:r>
      <w:proofErr w:type="spellEnd"/>
      <w:r w:rsidRPr="00A36F3D">
        <w:rPr>
          <w:rFonts w:ascii="Palatino Linotype" w:eastAsia="Palatino Linotype" w:hAnsi="Palatino Linotype" w:cs="Palatino Linotype"/>
          <w:i/>
          <w:sz w:val="22"/>
          <w:szCs w:val="22"/>
        </w:rPr>
        <w:t xml:space="preserve">, evaluación y contabilidad gubernamental. </w:t>
      </w:r>
    </w:p>
    <w:p w14:paraId="71356F7E"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p>
    <w:p w14:paraId="2A031F66" w14:textId="77777777" w:rsidR="00F11CC6" w:rsidRPr="00A36F3D" w:rsidRDefault="00F11CC6">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p>
    <w:p w14:paraId="54D851D0"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“Artículo 343.-</w:t>
      </w:r>
      <w:r w:rsidRPr="00A36F3D">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09C77687"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El sistema de contabilidad sobre base acumulativa total se sustentará en los postulados básicos y el marco conceptual de la contabilidad gubernamental.”</w:t>
      </w:r>
    </w:p>
    <w:p w14:paraId="441AC3FA" w14:textId="77777777" w:rsidR="00F11CC6" w:rsidRPr="00A36F3D" w:rsidRDefault="00F11CC6">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p>
    <w:p w14:paraId="51DD2ABB"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r w:rsidRPr="00A36F3D">
        <w:rPr>
          <w:rFonts w:ascii="Palatino Linotype" w:eastAsia="Palatino Linotype" w:hAnsi="Palatino Linotype" w:cs="Palatino Linotype"/>
          <w:b/>
          <w:i/>
          <w:sz w:val="22"/>
          <w:szCs w:val="22"/>
        </w:rPr>
        <w:t>Artículo 344.-</w:t>
      </w:r>
      <w:r w:rsidRPr="00A36F3D">
        <w:rPr>
          <w:rFonts w:ascii="Palatino Linotype" w:eastAsia="Palatino Linotype" w:hAnsi="Palatino Linotype" w:cs="Palatino Linotype"/>
          <w:i/>
          <w:sz w:val="22"/>
          <w:szCs w:val="22"/>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2CBD2AC4"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Derogado. </w:t>
      </w:r>
    </w:p>
    <w:p w14:paraId="701E6B14"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59FEE237"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p>
    <w:p w14:paraId="22392CE0" w14:textId="77777777" w:rsidR="00F11CC6" w:rsidRPr="00A36F3D" w:rsidRDefault="00F11CC6">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p>
    <w:p w14:paraId="067B5F80"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r w:rsidRPr="00A36F3D">
        <w:rPr>
          <w:rFonts w:ascii="Palatino Linotype" w:eastAsia="Palatino Linotype" w:hAnsi="Palatino Linotype" w:cs="Palatino Linotype"/>
          <w:b/>
          <w:i/>
          <w:sz w:val="22"/>
          <w:szCs w:val="22"/>
        </w:rPr>
        <w:t>Artículo 345.-</w:t>
      </w:r>
      <w:r w:rsidRPr="00A36F3D">
        <w:rPr>
          <w:rFonts w:ascii="Palatino Linotype" w:eastAsia="Palatino Linotype" w:hAnsi="Palatino Linotype" w:cs="Palatino Linotype"/>
          <w:i/>
          <w:sz w:val="22"/>
          <w:szCs w:val="22"/>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460B67F9"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El plazo señalado en el párrafo anterior, empezará a contar a partir de la publicación en el Periódico Oficial, del decreto correspondiente. “</w:t>
      </w:r>
    </w:p>
    <w:p w14:paraId="3EA09752" w14:textId="77777777" w:rsidR="00F11CC6" w:rsidRPr="00A36F3D" w:rsidRDefault="00F11CC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31D9F2CA" w14:textId="77777777" w:rsidR="00F11CC6" w:rsidRPr="00A36F3D" w:rsidRDefault="00C019B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A36F3D">
        <w:rPr>
          <w:rFonts w:ascii="Palatino Linotype" w:eastAsia="Palatino Linotype" w:hAnsi="Palatino Linotype" w:cs="Palatino Linotype"/>
          <w:sz w:val="22"/>
          <w:szCs w:val="22"/>
        </w:rPr>
        <w:t>presupuestación</w:t>
      </w:r>
      <w:proofErr w:type="spellEnd"/>
      <w:r w:rsidRPr="00A36F3D">
        <w:rPr>
          <w:rFonts w:ascii="Palatino Linotype" w:eastAsia="Palatino Linotype" w:hAnsi="Palatino Linotype" w:cs="Palatino Linotype"/>
          <w:sz w:val="22"/>
          <w:szCs w:val="22"/>
        </w:rPr>
        <w:t>, evaluación y contabilidad gubernamental.</w:t>
      </w:r>
    </w:p>
    <w:p w14:paraId="11440C99" w14:textId="77777777" w:rsidR="00F11CC6" w:rsidRPr="00A36F3D" w:rsidRDefault="00F11CC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7AA3FB8E" w14:textId="77777777" w:rsidR="00F11CC6" w:rsidRPr="00A36F3D" w:rsidRDefault="00C019B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7FF67CB4" w14:textId="77777777" w:rsidR="00F11CC6" w:rsidRPr="00A36F3D" w:rsidRDefault="00F11CC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2E1B0AFD"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sz w:val="22"/>
          <w:szCs w:val="22"/>
        </w:rPr>
      </w:pPr>
      <w:r w:rsidRPr="00A36F3D">
        <w:rPr>
          <w:rFonts w:ascii="Palatino Linotype" w:eastAsia="Palatino Linotype" w:hAnsi="Palatino Linotype" w:cs="Palatino Linotype"/>
          <w:i/>
          <w:sz w:val="22"/>
          <w:szCs w:val="22"/>
        </w:rPr>
        <w:t>“</w:t>
      </w:r>
      <w:r w:rsidRPr="00A36F3D">
        <w:rPr>
          <w:rFonts w:ascii="Palatino Linotype" w:eastAsia="Palatino Linotype" w:hAnsi="Palatino Linotype" w:cs="Palatino Linotype"/>
          <w:b/>
          <w:i/>
          <w:sz w:val="22"/>
          <w:szCs w:val="22"/>
        </w:rPr>
        <w:t>REGISTRO CONTABLE:</w:t>
      </w:r>
    </w:p>
    <w:p w14:paraId="5E8160A7"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Asiento que se realiza en los libros de contabilidad de las actividades relacionadas con el ingreso y egresos de un ente económico.” </w:t>
      </w:r>
    </w:p>
    <w:p w14:paraId="2465D138" w14:textId="77777777" w:rsidR="00F11CC6" w:rsidRPr="00A36F3D" w:rsidRDefault="00F11CC6">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p>
    <w:p w14:paraId="7118100E"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sz w:val="22"/>
          <w:szCs w:val="22"/>
        </w:rPr>
      </w:pPr>
      <w:r w:rsidRPr="00A36F3D">
        <w:rPr>
          <w:rFonts w:ascii="Palatino Linotype" w:eastAsia="Palatino Linotype" w:hAnsi="Palatino Linotype" w:cs="Palatino Linotype"/>
          <w:i/>
          <w:sz w:val="22"/>
          <w:szCs w:val="22"/>
        </w:rPr>
        <w:t>“</w:t>
      </w:r>
      <w:r w:rsidRPr="00A36F3D">
        <w:rPr>
          <w:rFonts w:ascii="Palatino Linotype" w:eastAsia="Palatino Linotype" w:hAnsi="Palatino Linotype" w:cs="Palatino Linotype"/>
          <w:b/>
          <w:i/>
          <w:sz w:val="22"/>
          <w:szCs w:val="22"/>
        </w:rPr>
        <w:t>REGISTRO PRESUPUESTARIO:</w:t>
      </w:r>
    </w:p>
    <w:p w14:paraId="432CEA90"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2D2F6B5C" w14:textId="77777777" w:rsidR="00F11CC6" w:rsidRPr="00A36F3D" w:rsidRDefault="00F11CC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0F36621F" w14:textId="77777777" w:rsidR="00F11CC6" w:rsidRPr="00A36F3D" w:rsidRDefault="00C019B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345EED7E" w14:textId="77777777" w:rsidR="00F11CC6" w:rsidRPr="00A36F3D" w:rsidRDefault="00F11CC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38C9D763" w14:textId="77777777" w:rsidR="00F11CC6" w:rsidRPr="00A36F3D" w:rsidRDefault="00C019B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3258B7EC" w14:textId="77777777" w:rsidR="00F11CC6" w:rsidRPr="00A36F3D" w:rsidRDefault="00F11CC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1094B31A" w14:textId="77777777" w:rsidR="00F11CC6" w:rsidRPr="00A36F3D" w:rsidRDefault="00C019B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Correlativo a lo anterior, es preciso referir una definición de póliza contable, la cual, primeramente, no está definida en el Código Financiero del Estado de México y Municipios; no obstante, los ya mencionados Glosarios la definen como:</w:t>
      </w:r>
    </w:p>
    <w:p w14:paraId="33A7A22C" w14:textId="77777777" w:rsidR="00F11CC6" w:rsidRPr="00A36F3D" w:rsidRDefault="00F11CC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41052E87"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sz w:val="22"/>
          <w:szCs w:val="22"/>
        </w:rPr>
      </w:pPr>
      <w:r w:rsidRPr="00A36F3D">
        <w:rPr>
          <w:rFonts w:ascii="Palatino Linotype" w:eastAsia="Palatino Linotype" w:hAnsi="Palatino Linotype" w:cs="Palatino Linotype"/>
          <w:i/>
          <w:sz w:val="22"/>
          <w:szCs w:val="22"/>
        </w:rPr>
        <w:t>“</w:t>
      </w:r>
      <w:r w:rsidRPr="00A36F3D">
        <w:rPr>
          <w:rFonts w:ascii="Palatino Linotype" w:eastAsia="Palatino Linotype" w:hAnsi="Palatino Linotype" w:cs="Palatino Linotype"/>
          <w:b/>
          <w:i/>
          <w:sz w:val="22"/>
          <w:szCs w:val="22"/>
        </w:rPr>
        <w:t>PÓLIZA CONTABLE:</w:t>
      </w:r>
    </w:p>
    <w:p w14:paraId="7ED6C1E3" w14:textId="77777777" w:rsidR="00F11CC6" w:rsidRPr="00A36F3D" w:rsidRDefault="00C019B0">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w:t>
      </w:r>
    </w:p>
    <w:p w14:paraId="0FD9214C" w14:textId="77777777" w:rsidR="00F11CC6" w:rsidRPr="00A36F3D" w:rsidRDefault="00F11CC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17DF0F98" w14:textId="77777777" w:rsidR="00F11CC6" w:rsidRPr="00A36F3D" w:rsidRDefault="00C019B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Luego entonces, se advierte que la póliza contable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6365E96C" w14:textId="77777777" w:rsidR="00F11CC6" w:rsidRPr="00A36F3D" w:rsidRDefault="00F11CC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57B8BEB5" w14:textId="77777777" w:rsidR="00F11CC6" w:rsidRPr="00A36F3D" w:rsidRDefault="00C019B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Al respecto, existen diversos tipos de pólizas contables de acuerdo a las operaciones realizadas, dentro de las cuales, encontramos las llamadas pólizas de egresos, en las cuales se anotan diariamente las operaciones que representan egresos, es decir, salidas de dinero para, la cual además, debe encontrarse acompañada de las documentales que sirven de soporte de dicho movimiento.</w:t>
      </w:r>
    </w:p>
    <w:p w14:paraId="657903DD" w14:textId="77777777" w:rsidR="00F11CC6" w:rsidRPr="00A36F3D" w:rsidRDefault="00F11CC6">
      <w:pPr>
        <w:pBdr>
          <w:top w:val="nil"/>
          <w:left w:val="nil"/>
          <w:bottom w:val="nil"/>
          <w:right w:val="nil"/>
          <w:between w:val="nil"/>
        </w:pBdr>
        <w:ind w:left="720"/>
        <w:rPr>
          <w:rFonts w:ascii="Palatino Linotype" w:eastAsia="Palatino Linotype" w:hAnsi="Palatino Linotype" w:cs="Palatino Linotype"/>
          <w:sz w:val="22"/>
          <w:szCs w:val="22"/>
        </w:rPr>
      </w:pPr>
    </w:p>
    <w:p w14:paraId="6E961484" w14:textId="77777777" w:rsidR="00F11CC6" w:rsidRPr="00A36F3D" w:rsidRDefault="00C019B0">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Asimismo, se refuerza que al tener que documentar cada egreso que se realiza de manera diaria, así como las que se deriven de los procedimientos de adquisición, siendo esta atribución exclusiva de la Tesorería, de acuerdo con lo que  establece la Ley Orgánica Municipal:</w:t>
      </w:r>
    </w:p>
    <w:p w14:paraId="0E9E06FD" w14:textId="77777777" w:rsidR="00F11CC6" w:rsidRPr="00A36F3D" w:rsidRDefault="00C019B0" w:rsidP="00844E25">
      <w:pPr>
        <w:pBdr>
          <w:top w:val="nil"/>
          <w:left w:val="nil"/>
          <w:bottom w:val="nil"/>
          <w:right w:val="nil"/>
          <w:between w:val="nil"/>
        </w:pBdr>
        <w:ind w:left="567" w:right="843"/>
        <w:jc w:val="center"/>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CAPITULO SEGUNDO</w:t>
      </w:r>
    </w:p>
    <w:p w14:paraId="5F7ED546" w14:textId="77777777" w:rsidR="00F11CC6" w:rsidRPr="00A36F3D" w:rsidRDefault="00C019B0" w:rsidP="00844E25">
      <w:pPr>
        <w:pBdr>
          <w:top w:val="nil"/>
          <w:left w:val="nil"/>
          <w:bottom w:val="nil"/>
          <w:right w:val="nil"/>
          <w:between w:val="nil"/>
        </w:pBdr>
        <w:ind w:left="567" w:right="843"/>
        <w:jc w:val="center"/>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De la Tesorería Municipal</w:t>
      </w:r>
    </w:p>
    <w:p w14:paraId="1FC8D591" w14:textId="77777777" w:rsidR="00F11CC6" w:rsidRPr="00A36F3D" w:rsidRDefault="00C019B0">
      <w:pPr>
        <w:pBdr>
          <w:top w:val="nil"/>
          <w:left w:val="nil"/>
          <w:bottom w:val="nil"/>
          <w:right w:val="nil"/>
          <w:between w:val="nil"/>
        </w:pBdr>
        <w:ind w:left="567" w:right="843"/>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Artículo 93.-</w:t>
      </w:r>
      <w:r w:rsidRPr="00A36F3D">
        <w:rPr>
          <w:rFonts w:ascii="Palatino Linotype" w:eastAsia="Palatino Linotype" w:hAnsi="Palatino Linotype" w:cs="Palatino Linotype"/>
          <w:i/>
          <w:sz w:val="22"/>
          <w:szCs w:val="22"/>
        </w:rPr>
        <w:t xml:space="preserve"> La tesorería municipal es el órgano encargado de la recaudación de los ingresos</w:t>
      </w:r>
    </w:p>
    <w:p w14:paraId="76B5EE2B" w14:textId="77777777" w:rsidR="00F11CC6" w:rsidRPr="00A36F3D" w:rsidRDefault="00C019B0">
      <w:pPr>
        <w:pBdr>
          <w:top w:val="nil"/>
          <w:left w:val="nil"/>
          <w:bottom w:val="nil"/>
          <w:right w:val="nil"/>
          <w:between w:val="nil"/>
        </w:pBdr>
        <w:ind w:left="567" w:right="843"/>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municipales y responsable de realizar las erogaciones que haga el ayuntamiento.</w:t>
      </w:r>
    </w:p>
    <w:p w14:paraId="3C7EE74D" w14:textId="77777777" w:rsidR="00F11CC6" w:rsidRPr="00A36F3D" w:rsidRDefault="00F11CC6">
      <w:pPr>
        <w:ind w:left="567" w:right="843"/>
        <w:jc w:val="both"/>
        <w:rPr>
          <w:rFonts w:ascii="Palatino Linotype" w:eastAsia="Palatino Linotype" w:hAnsi="Palatino Linotype" w:cs="Palatino Linotype"/>
          <w:i/>
          <w:sz w:val="22"/>
          <w:szCs w:val="22"/>
        </w:rPr>
      </w:pPr>
    </w:p>
    <w:p w14:paraId="6B7C3C3A" w14:textId="77777777" w:rsidR="00F11CC6" w:rsidRPr="00A36F3D" w:rsidRDefault="00C019B0">
      <w:pPr>
        <w:ind w:left="567" w:right="843"/>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Artículo 95.-</w:t>
      </w:r>
      <w:r w:rsidRPr="00A36F3D">
        <w:rPr>
          <w:rFonts w:ascii="Palatino Linotype" w:eastAsia="Palatino Linotype" w:hAnsi="Palatino Linotype" w:cs="Palatino Linotype"/>
          <w:i/>
          <w:sz w:val="22"/>
          <w:szCs w:val="22"/>
        </w:rPr>
        <w:t xml:space="preserve"> Son atribuciones del tesorero municipal:</w:t>
      </w:r>
    </w:p>
    <w:p w14:paraId="181F734F" w14:textId="77777777" w:rsidR="00F11CC6" w:rsidRPr="00A36F3D" w:rsidRDefault="00C019B0">
      <w:pPr>
        <w:ind w:left="567" w:right="843"/>
        <w:jc w:val="both"/>
        <w:rPr>
          <w:rFonts w:ascii="Palatino Linotype" w:eastAsia="Palatino Linotype" w:hAnsi="Palatino Linotype" w:cs="Palatino Linotype"/>
          <w:b/>
          <w:i/>
          <w:sz w:val="22"/>
          <w:szCs w:val="22"/>
        </w:rPr>
      </w:pPr>
      <w:r w:rsidRPr="00A36F3D">
        <w:rPr>
          <w:rFonts w:ascii="Palatino Linotype" w:eastAsia="Palatino Linotype" w:hAnsi="Palatino Linotype" w:cs="Palatino Linotype"/>
          <w:b/>
          <w:i/>
          <w:sz w:val="22"/>
          <w:szCs w:val="22"/>
        </w:rPr>
        <w:t>I. Administrar la hacienda pública municipal, de conformidad con las disposiciones legales aplicables;</w:t>
      </w:r>
    </w:p>
    <w:p w14:paraId="09976975" w14:textId="77777777" w:rsidR="00F11CC6" w:rsidRPr="00A36F3D" w:rsidRDefault="00C019B0">
      <w:pPr>
        <w:ind w:left="567" w:right="843"/>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II. Determinar, liquidar, recaudar, fiscalizar y administrar las contribuciones en los términos de los ordenamientos jurídicos aplicables y, en su caso, aplicar el procedimiento administrativo de ejecución en términos de las disposiciones aplicables;</w:t>
      </w:r>
    </w:p>
    <w:p w14:paraId="10B5531F" w14:textId="77777777" w:rsidR="00F11CC6" w:rsidRPr="00A36F3D" w:rsidRDefault="00C019B0">
      <w:pPr>
        <w:ind w:left="567" w:right="843"/>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III. Imponer las sanciones administrativas que procedan por infracciones a las disposiciones fiscales;</w:t>
      </w:r>
    </w:p>
    <w:p w14:paraId="174286C9" w14:textId="77777777" w:rsidR="00F11CC6" w:rsidRPr="00A36F3D" w:rsidRDefault="00C019B0">
      <w:pPr>
        <w:ind w:left="567" w:right="843"/>
        <w:jc w:val="both"/>
        <w:rPr>
          <w:rFonts w:ascii="Palatino Linotype" w:eastAsia="Palatino Linotype" w:hAnsi="Palatino Linotype" w:cs="Palatino Linotype"/>
          <w:b/>
          <w:sz w:val="22"/>
          <w:szCs w:val="22"/>
        </w:rPr>
      </w:pPr>
      <w:r w:rsidRPr="00A36F3D">
        <w:rPr>
          <w:rFonts w:ascii="Palatino Linotype" w:eastAsia="Palatino Linotype" w:hAnsi="Palatino Linotype" w:cs="Palatino Linotype"/>
          <w:b/>
          <w:i/>
          <w:sz w:val="22"/>
          <w:szCs w:val="22"/>
        </w:rPr>
        <w:t>IV. Llevar los registros contables, financieros y administrativos de los ingresos, egresos, e inventarios;</w:t>
      </w:r>
    </w:p>
    <w:p w14:paraId="6E397B2C"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2E3742FE"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Tal y como se advierte, es facultad exclusiva de la Tesorería Municipal o equivalente realizar todas las erogaciones que realice el Ayuntamiento, debiendo llevar registros contables y financieros de los ingresos y egresos.</w:t>
      </w:r>
    </w:p>
    <w:p w14:paraId="31B6C45D" w14:textId="77777777" w:rsidR="00844E25" w:rsidRPr="00A36F3D" w:rsidRDefault="00844E25">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p>
    <w:p w14:paraId="5C35978E" w14:textId="77777777" w:rsidR="00F11CC6" w:rsidRPr="00A36F3D" w:rsidRDefault="00C019B0">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Ahora bien, en el presente asunto en particular, el Sujeto Obligado no turnó la solicitud a todas las áreas que de acuerdo a sus funciones, atribuciones y competencias deben generar, administrar y poseer la información requerida por el particular, por lo que, no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0F03FE14" w14:textId="77777777" w:rsidR="00F11CC6" w:rsidRPr="00A36F3D" w:rsidRDefault="00F11CC6">
      <w:pPr>
        <w:spacing w:line="360" w:lineRule="auto"/>
        <w:ind w:right="-7"/>
        <w:jc w:val="both"/>
        <w:rPr>
          <w:rFonts w:ascii="Palatino Linotype" w:eastAsia="Palatino Linotype" w:hAnsi="Palatino Linotype" w:cs="Palatino Linotype"/>
          <w:sz w:val="22"/>
          <w:szCs w:val="22"/>
        </w:rPr>
      </w:pPr>
    </w:p>
    <w:p w14:paraId="2736F06D" w14:textId="77777777" w:rsidR="00F11CC6" w:rsidRPr="00A36F3D" w:rsidRDefault="00C019B0">
      <w:pPr>
        <w:spacing w:after="240" w:line="360" w:lineRule="auto"/>
        <w:ind w:left="284"/>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1B2510E" w14:textId="77777777" w:rsidR="00F11CC6" w:rsidRPr="00A36F3D" w:rsidRDefault="00C019B0">
      <w:pPr>
        <w:spacing w:after="240" w:line="360" w:lineRule="auto"/>
        <w:ind w:left="284"/>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30DC3631" w14:textId="77777777" w:rsidR="00F11CC6" w:rsidRPr="00A36F3D" w:rsidRDefault="00C019B0">
      <w:pPr>
        <w:spacing w:after="240" w:line="360" w:lineRule="auto"/>
        <w:ind w:left="284"/>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0B17C0CF" w14:textId="77777777" w:rsidR="00F11CC6" w:rsidRPr="00A36F3D" w:rsidRDefault="00C019B0">
      <w:pPr>
        <w:spacing w:after="240" w:line="360" w:lineRule="auto"/>
        <w:ind w:left="284"/>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294C88DC" w14:textId="77777777" w:rsidR="00F11CC6" w:rsidRPr="00A36F3D" w:rsidRDefault="00C019B0">
      <w:pPr>
        <w:spacing w:after="240" w:line="360" w:lineRule="auto"/>
        <w:ind w:left="284"/>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782B3A95" w14:textId="77777777" w:rsidR="00F11CC6" w:rsidRPr="00A36F3D" w:rsidRDefault="00C019B0">
      <w:pPr>
        <w:spacing w:after="240" w:line="360" w:lineRule="auto"/>
        <w:ind w:left="284"/>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2D735E17"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En este orden de ideas, se reitera que la Unidad de Transparencia no turnó a todas las unidades administrativas con atribuciones, funciones y competencias, por lo que se tiene que no se acreditó la correcta búsqueda exhaustiva y razonable de la información. </w:t>
      </w:r>
    </w:p>
    <w:p w14:paraId="3DED6ADA"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58290682" w14:textId="4B3E4F7E"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Además de que el Sujeto Obligado únicamente hace referencia al acuerdo del Comité de Transparencia mediante el cual se aprobó la inexistencia de la información; sin embargo, no fue adjuntado a la respuesta o informe justificado. Asimismo, si bien, se hace referencia a la inexistencia de la información, lo cierto es que no se señalan las razo</w:t>
      </w:r>
      <w:r w:rsidR="00844E25" w:rsidRPr="00A36F3D">
        <w:rPr>
          <w:rFonts w:ascii="Palatino Linotype" w:eastAsia="Palatino Linotype" w:hAnsi="Palatino Linotype" w:cs="Palatino Linotype"/>
          <w:sz w:val="22"/>
          <w:szCs w:val="22"/>
        </w:rPr>
        <w:t>nes por las cuales se declaró dicha</w:t>
      </w:r>
      <w:r w:rsidRPr="00A36F3D">
        <w:rPr>
          <w:rFonts w:ascii="Palatino Linotype" w:eastAsia="Palatino Linotype" w:hAnsi="Palatino Linotype" w:cs="Palatino Linotype"/>
          <w:sz w:val="22"/>
          <w:szCs w:val="22"/>
        </w:rPr>
        <w:t xml:space="preserve"> inexistencia, es decir, la información no se generó, o bien, se generó pero por </w:t>
      </w:r>
      <w:r w:rsidR="00844E25" w:rsidRPr="00A36F3D">
        <w:rPr>
          <w:rFonts w:ascii="Palatino Linotype" w:eastAsia="Palatino Linotype" w:hAnsi="Palatino Linotype" w:cs="Palatino Linotype"/>
          <w:sz w:val="22"/>
          <w:szCs w:val="22"/>
        </w:rPr>
        <w:t>alguna circunstancia</w:t>
      </w:r>
      <w:r w:rsidRPr="00A36F3D">
        <w:rPr>
          <w:rFonts w:ascii="Palatino Linotype" w:eastAsia="Palatino Linotype" w:hAnsi="Palatino Linotype" w:cs="Palatino Linotype"/>
          <w:sz w:val="22"/>
          <w:szCs w:val="22"/>
        </w:rPr>
        <w:t xml:space="preserve"> ya no obra en los archivos del Sujeto Obligado. Ante tal </w:t>
      </w:r>
      <w:r w:rsidR="00844E25" w:rsidRPr="00A36F3D">
        <w:rPr>
          <w:rFonts w:ascii="Palatino Linotype" w:eastAsia="Palatino Linotype" w:hAnsi="Palatino Linotype" w:cs="Palatino Linotype"/>
          <w:sz w:val="22"/>
          <w:szCs w:val="22"/>
        </w:rPr>
        <w:t>imprecisión</w:t>
      </w:r>
      <w:r w:rsidRPr="00A36F3D">
        <w:rPr>
          <w:rFonts w:ascii="Palatino Linotype" w:eastAsia="Palatino Linotype" w:hAnsi="Palatino Linotype" w:cs="Palatino Linotype"/>
          <w:sz w:val="22"/>
          <w:szCs w:val="22"/>
        </w:rPr>
        <w:t xml:space="preserve"> es que la manifestación del Sujeto Obligado no at</w:t>
      </w:r>
      <w:r w:rsidR="00844E25" w:rsidRPr="00A36F3D">
        <w:rPr>
          <w:rFonts w:ascii="Palatino Linotype" w:eastAsia="Palatino Linotype" w:hAnsi="Palatino Linotype" w:cs="Palatino Linotype"/>
          <w:sz w:val="22"/>
          <w:szCs w:val="22"/>
        </w:rPr>
        <w:t>iende el derecho del particular al no brindar certeza al Recurrente.</w:t>
      </w:r>
    </w:p>
    <w:p w14:paraId="38EB96D9"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4106D2B5" w14:textId="2FB7F9B3"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Una vez dicho lo anterior, se localizó una nota </w:t>
      </w:r>
      <w:r w:rsidR="00844E25" w:rsidRPr="00A36F3D">
        <w:rPr>
          <w:rFonts w:ascii="Palatino Linotype" w:eastAsia="Palatino Linotype" w:hAnsi="Palatino Linotype" w:cs="Palatino Linotype"/>
          <w:sz w:val="22"/>
          <w:szCs w:val="22"/>
        </w:rPr>
        <w:t>periodística</w:t>
      </w:r>
      <w:r w:rsidRPr="00A36F3D">
        <w:rPr>
          <w:rFonts w:ascii="Palatino Linotype" w:eastAsia="Palatino Linotype" w:hAnsi="Palatino Linotype" w:cs="Palatino Linotype"/>
          <w:sz w:val="22"/>
          <w:szCs w:val="22"/>
        </w:rPr>
        <w:t xml:space="preserve"> de fecha veintiocho de mayo de dos mil veinticinco con título “</w:t>
      </w:r>
      <w:r w:rsidRPr="00A36F3D">
        <w:rPr>
          <w:rFonts w:ascii="Palatino Linotype" w:eastAsia="Palatino Linotype" w:hAnsi="Palatino Linotype" w:cs="Palatino Linotype"/>
          <w:b/>
          <w:sz w:val="22"/>
          <w:szCs w:val="22"/>
        </w:rPr>
        <w:t>Teoloyucan incorpora su primer camión de bomberos”</w:t>
      </w:r>
      <w:r w:rsidRPr="00A36F3D">
        <w:rPr>
          <w:rFonts w:ascii="Palatino Linotype" w:eastAsia="Palatino Linotype" w:hAnsi="Palatino Linotype" w:cs="Palatino Linotype"/>
          <w:sz w:val="22"/>
          <w:szCs w:val="22"/>
        </w:rPr>
        <w:t xml:space="preserve"> en el que se publicó lo siguiente: </w:t>
      </w:r>
    </w:p>
    <w:p w14:paraId="3DCE355B"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2AE1C877" w14:textId="77777777" w:rsidR="00F11CC6" w:rsidRPr="00A36F3D" w:rsidRDefault="00F315C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hyperlink r:id="rId8">
        <w:r w:rsidR="00C019B0" w:rsidRPr="00A36F3D">
          <w:rPr>
            <w:rFonts w:ascii="Palatino Linotype" w:eastAsia="Palatino Linotype" w:hAnsi="Palatino Linotype" w:cs="Palatino Linotype"/>
            <w:sz w:val="22"/>
            <w:szCs w:val="22"/>
            <w:u w:val="single"/>
          </w:rPr>
          <w:t>https://www.mexiquensenoticias.com/teoloyucan-incorpora-su-primer-camion-de-bomberos/</w:t>
        </w:r>
      </w:hyperlink>
    </w:p>
    <w:p w14:paraId="32D43FFE"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13A7C70C" w14:textId="77777777" w:rsidR="00F11CC6" w:rsidRPr="00A36F3D" w:rsidRDefault="00C019B0">
      <w:pPr>
        <w:ind w:left="567" w:right="843"/>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El municipio de Teoloyucan cuenta por primera vez con un camión de bomberos propio, un recurso largamente esperado por la comunidad local y cuerpos de emergencia. La unidad fue presentada recientemente como parte de los esfuerzos por fortalecer la capacidad de respuesta ante emergencias en la región.</w:t>
      </w:r>
    </w:p>
    <w:p w14:paraId="268BCDAF" w14:textId="77777777" w:rsidR="00F11CC6" w:rsidRPr="00A36F3D" w:rsidRDefault="00F11CC6">
      <w:pPr>
        <w:ind w:left="567" w:right="843"/>
        <w:jc w:val="both"/>
        <w:rPr>
          <w:rFonts w:ascii="Palatino Linotype" w:eastAsia="Palatino Linotype" w:hAnsi="Palatino Linotype" w:cs="Palatino Linotype"/>
          <w:i/>
          <w:sz w:val="22"/>
          <w:szCs w:val="22"/>
        </w:rPr>
      </w:pPr>
    </w:p>
    <w:p w14:paraId="5C5E8080" w14:textId="77777777" w:rsidR="00F11CC6" w:rsidRPr="00A36F3D" w:rsidRDefault="00C019B0">
      <w:pPr>
        <w:ind w:left="567" w:right="843"/>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Hasta ahora, el municipio dependía del apoyo de demarcaciones vecinas para atender incendios y situaciones de riesgo. Con la adquisición de esta unidad, se busca reducir tiempos de atención y mejorar la cobertura en zonas vulnerables.</w:t>
      </w:r>
    </w:p>
    <w:p w14:paraId="307484BE" w14:textId="77777777" w:rsidR="00F11CC6" w:rsidRPr="00A36F3D" w:rsidRDefault="00C019B0">
      <w:pPr>
        <w:ind w:left="567" w:right="843"/>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Vecinos de distintas colonias han señalado que la falta de un cuerpo de bomberos plenamente equipado ha sido una constante preocupación, especialmente durante la temporada de calor, cuando aumentan los incendios en lotes baldíos y zonas con pastizales secos.</w:t>
      </w:r>
    </w:p>
    <w:p w14:paraId="0115497D" w14:textId="77777777" w:rsidR="00F11CC6" w:rsidRPr="00A36F3D" w:rsidRDefault="00C019B0">
      <w:pPr>
        <w:ind w:left="567" w:right="843"/>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Aunque no se han dado a conocer detalles técnicos sobre la unidad ni el monto de inversión, la presencia del camión marca un avance en materia de protección civil para una localidad que ha registrado un crecimiento urbano sostenido en los últimos años.</w:t>
      </w:r>
    </w:p>
    <w:p w14:paraId="28B0F96F" w14:textId="77777777" w:rsidR="00F11CC6" w:rsidRPr="00A36F3D" w:rsidRDefault="00C019B0">
      <w:pPr>
        <w:ind w:left="567" w:right="843"/>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El reto, según algunos especialistas, será garantizar la operación continua del servicio: contar con personal capacitado, mantenimiento del equipo y una estrategia clara de atención ciudadana. Por ahora, la llegada del camión es vista como un primer paso en la construcción de una infraestructura básica para enfrentar emergencias de manera local.</w:t>
      </w:r>
    </w:p>
    <w:p w14:paraId="285DD392"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328A4884"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Además, en la página oficial de Facebook del Presidente Municipal del Ayuntamiento de Teoloyucan, se publicó, el veintiocho de mayo de dos mil veinticinco un video con la siguiente descripción </w:t>
      </w:r>
      <w:r w:rsidRPr="00A36F3D">
        <w:rPr>
          <w:rFonts w:ascii="Palatino Linotype" w:eastAsia="Palatino Linotype" w:hAnsi="Palatino Linotype" w:cs="Palatino Linotype"/>
          <w:b/>
          <w:i/>
          <w:sz w:val="22"/>
          <w:szCs w:val="22"/>
        </w:rPr>
        <w:t xml:space="preserve">“¡Teoloyucan ya cuenta con su propio camión de bomberos! Cuando el pueblo manda se gobierna con visión, se avanza firme hacia la Transformación de nuestro municipio, este es un paso más por la seguridad de nuestras familias. Seguimos trabajando con hechos por un Teoloyucan más fuerte y mejor preparado.” </w:t>
      </w:r>
      <w:r w:rsidRPr="00A36F3D">
        <w:rPr>
          <w:rFonts w:ascii="Palatino Linotype" w:eastAsia="Palatino Linotype" w:hAnsi="Palatino Linotype" w:cs="Palatino Linotype"/>
          <w:sz w:val="22"/>
          <w:szCs w:val="22"/>
        </w:rPr>
        <w:t>En el video se menciona de la adquisición de un camión de bomberos por parte de la actual administración, incluso refieren su primer llamado de auxilio atendido.</w:t>
      </w:r>
    </w:p>
    <w:p w14:paraId="7E0CC22F"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4A827F8B"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A36F3D">
        <w:rPr>
          <w:rFonts w:ascii="Palatino Linotype" w:eastAsia="Palatino Linotype" w:hAnsi="Palatino Linotype" w:cs="Palatino Linotype"/>
          <w:b/>
          <w:i/>
          <w:sz w:val="22"/>
          <w:szCs w:val="22"/>
        </w:rPr>
        <w:t>“NOTAS PERIODISTICAS, EL CONOCIMIENTO QUE DE ELLAS SE OBTIENE NO CONSTITUYE ‘UN HECHO PUBLICO Y NOTORIO’”</w:t>
      </w:r>
      <w:r w:rsidRPr="00A36F3D">
        <w:rPr>
          <w:rFonts w:ascii="Palatino Linotype" w:eastAsia="Palatino Linotype" w:hAnsi="Palatino Linotype" w:cs="Palatino Linotype"/>
          <w:sz w:val="22"/>
          <w:szCs w:val="22"/>
        </w:rPr>
        <w:t>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w:t>
      </w:r>
    </w:p>
    <w:p w14:paraId="0B63E079"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11A747CB"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De tal situación, si bien lo consignado en las notas periodísticas se toman como </w:t>
      </w:r>
      <w:r w:rsidRPr="00A36F3D">
        <w:rPr>
          <w:rFonts w:ascii="Palatino Linotype" w:eastAsia="Palatino Linotype" w:hAnsi="Palatino Linotype" w:cs="Palatino Linotype"/>
          <w:b/>
          <w:sz w:val="22"/>
          <w:szCs w:val="22"/>
        </w:rPr>
        <w:t xml:space="preserve">indicios, </w:t>
      </w:r>
      <w:r w:rsidRPr="00A36F3D">
        <w:rPr>
          <w:rFonts w:ascii="Palatino Linotype" w:eastAsia="Palatino Linotype" w:hAnsi="Palatino Linotype" w:cs="Palatino Linotype"/>
          <w:sz w:val="22"/>
          <w:szCs w:val="22"/>
        </w:rPr>
        <w:t xml:space="preserve">que permiten observar que el Municipio llevó a cabo la adquisición de un camión de bomberos en la presente administración, por lo que el Sujeto Obligado debe realizar una correcta búsqueda exhaustiva y razonable a efecto de localizar y poner a disposición del Recurrente toda la información relacionada con la adquisición del camión de bomberos. </w:t>
      </w:r>
    </w:p>
    <w:p w14:paraId="5979F54F"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36C4CB3D"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Ahora bien, si bien es cierto, el Recurrente solicitó toda la información relacionada, el Sujeto Obligado deberá entregar el expediente correspondiente que se </w:t>
      </w:r>
      <w:proofErr w:type="spellStart"/>
      <w:r w:rsidRPr="00A36F3D">
        <w:rPr>
          <w:rFonts w:ascii="Palatino Linotype" w:eastAsia="Palatino Linotype" w:hAnsi="Palatino Linotype" w:cs="Palatino Linotype"/>
          <w:sz w:val="22"/>
          <w:szCs w:val="22"/>
        </w:rPr>
        <w:t>aperturó</w:t>
      </w:r>
      <w:proofErr w:type="spellEnd"/>
      <w:r w:rsidRPr="00A36F3D">
        <w:rPr>
          <w:rFonts w:ascii="Palatino Linotype" w:eastAsia="Palatino Linotype" w:hAnsi="Palatino Linotype" w:cs="Palatino Linotype"/>
          <w:sz w:val="22"/>
          <w:szCs w:val="22"/>
        </w:rPr>
        <w:t xml:space="preserve"> por la adquisición del bien referido y proporcionarlo en versión pública, de acuerdo a lo dispuesto en el Considerando Quinto de la presente resolución.</w:t>
      </w:r>
    </w:p>
    <w:p w14:paraId="36B5C072"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75A4B4B8"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Por último y no menos importante, no pasa desapercibido que el Recurrente señaló que, para el caso de que algún Servidor Público haya realizado la compra en Estados Unidos, se proporcionen los gastos generados por los viáticos, como gastos de avión, hospedajes y comidas. </w:t>
      </w:r>
    </w:p>
    <w:p w14:paraId="4AB5F8D8"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42185601"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Lo anterior, se constituye como obligación de transparencia común, de acuerdo con la fracción IX, del artículo 92 de la Ley de Transparencia y Acceso a la Información Pública del Estado de México y Municipios, cuyo contenido es el siguiente:</w:t>
      </w:r>
    </w:p>
    <w:p w14:paraId="3AA82E8B"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610E5D97" w14:textId="77777777" w:rsidR="00F11CC6" w:rsidRPr="00A36F3D" w:rsidRDefault="00C019B0">
      <w:pPr>
        <w:ind w:left="567" w:right="843"/>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Capítulo II</w:t>
      </w:r>
    </w:p>
    <w:p w14:paraId="7F29548D" w14:textId="77777777" w:rsidR="00F11CC6" w:rsidRPr="00A36F3D" w:rsidRDefault="00C019B0">
      <w:pPr>
        <w:ind w:left="567" w:right="843"/>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De las Obligaciones de Transparencia Comunes</w:t>
      </w:r>
    </w:p>
    <w:p w14:paraId="6F9D983C" w14:textId="77777777" w:rsidR="00F11CC6" w:rsidRPr="00A36F3D" w:rsidRDefault="00C019B0">
      <w:pPr>
        <w:ind w:left="567" w:right="843"/>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 xml:space="preserve">Artículo 92. </w:t>
      </w:r>
      <w:r w:rsidRPr="00A36F3D">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BE62F1C" w14:textId="77777777" w:rsidR="00F11CC6" w:rsidRPr="00A36F3D" w:rsidRDefault="00F11CC6">
      <w:pPr>
        <w:ind w:left="567" w:right="843"/>
        <w:jc w:val="both"/>
        <w:rPr>
          <w:rFonts w:ascii="Palatino Linotype" w:eastAsia="Palatino Linotype" w:hAnsi="Palatino Linotype" w:cs="Palatino Linotype"/>
          <w:i/>
          <w:sz w:val="22"/>
          <w:szCs w:val="22"/>
        </w:rPr>
      </w:pPr>
    </w:p>
    <w:p w14:paraId="18A9FBA6" w14:textId="77777777" w:rsidR="00F11CC6" w:rsidRPr="00A36F3D" w:rsidRDefault="00C019B0">
      <w:pPr>
        <w:ind w:left="567" w:right="843"/>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p>
    <w:p w14:paraId="4C27C4CE" w14:textId="77777777" w:rsidR="00F11CC6" w:rsidRPr="00A36F3D" w:rsidRDefault="00C019B0">
      <w:pPr>
        <w:ind w:left="567" w:right="843"/>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IX. Los gastos de representación y viáticos, así como el objeto e informe de comisión correspondiente</w:t>
      </w:r>
      <w:r w:rsidRPr="00A36F3D">
        <w:rPr>
          <w:rFonts w:ascii="Palatino Linotype" w:eastAsia="Palatino Linotype" w:hAnsi="Palatino Linotype" w:cs="Palatino Linotype"/>
          <w:i/>
          <w:sz w:val="22"/>
          <w:szCs w:val="22"/>
        </w:rPr>
        <w:t>;</w:t>
      </w:r>
    </w:p>
    <w:p w14:paraId="2CB5E0D6" w14:textId="77777777" w:rsidR="00F11CC6" w:rsidRPr="00A36F3D" w:rsidRDefault="00C019B0">
      <w:pPr>
        <w:ind w:left="567" w:right="843"/>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p>
    <w:p w14:paraId="587F4EF4" w14:textId="77777777" w:rsidR="00F11CC6" w:rsidRPr="00A36F3D" w:rsidRDefault="00F11CC6">
      <w:pPr>
        <w:ind w:left="567" w:right="843"/>
        <w:jc w:val="both"/>
        <w:rPr>
          <w:rFonts w:ascii="Palatino Linotype" w:eastAsia="Palatino Linotype" w:hAnsi="Palatino Linotype" w:cs="Palatino Linotype"/>
          <w:i/>
          <w:sz w:val="22"/>
          <w:szCs w:val="22"/>
        </w:rPr>
      </w:pPr>
    </w:p>
    <w:p w14:paraId="2704BEFC" w14:textId="77777777" w:rsidR="00F11CC6" w:rsidRPr="00A36F3D" w:rsidRDefault="00C019B0">
      <w:pPr>
        <w:spacing w:line="360" w:lineRule="auto"/>
        <w:ind w:right="-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Por su parte,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disponen lo siguiente respecto a la información de gastos de representación y viáticos:</w:t>
      </w:r>
    </w:p>
    <w:p w14:paraId="7C1F82F0" w14:textId="77777777" w:rsidR="00F11CC6" w:rsidRPr="00A36F3D" w:rsidRDefault="00F11CC6">
      <w:pPr>
        <w:spacing w:line="360" w:lineRule="auto"/>
        <w:ind w:right="-7"/>
        <w:jc w:val="both"/>
        <w:rPr>
          <w:rFonts w:ascii="Palatino Linotype" w:eastAsia="Palatino Linotype" w:hAnsi="Palatino Linotype" w:cs="Palatino Linotype"/>
          <w:sz w:val="22"/>
          <w:szCs w:val="22"/>
        </w:rPr>
      </w:pPr>
    </w:p>
    <w:p w14:paraId="5FEF36A2" w14:textId="77777777" w:rsidR="00F11CC6" w:rsidRPr="00A36F3D" w:rsidRDefault="00F11CC6">
      <w:pPr>
        <w:spacing w:line="360" w:lineRule="auto"/>
        <w:ind w:right="-7"/>
        <w:jc w:val="both"/>
        <w:rPr>
          <w:rFonts w:ascii="Palatino Linotype" w:eastAsia="Palatino Linotype" w:hAnsi="Palatino Linotype" w:cs="Palatino Linotype"/>
          <w:sz w:val="22"/>
          <w:szCs w:val="22"/>
        </w:rPr>
      </w:pPr>
    </w:p>
    <w:p w14:paraId="770FD205" w14:textId="77777777" w:rsidR="00F11CC6" w:rsidRPr="00A36F3D" w:rsidRDefault="00F11CC6">
      <w:pPr>
        <w:ind w:right="843"/>
        <w:jc w:val="both"/>
        <w:rPr>
          <w:rFonts w:ascii="Palatino Linotype" w:eastAsia="Palatino Linotype" w:hAnsi="Palatino Linotype" w:cs="Palatino Linotype"/>
          <w:sz w:val="22"/>
          <w:szCs w:val="22"/>
        </w:rPr>
      </w:pPr>
    </w:p>
    <w:p w14:paraId="34F8FC9C"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noProof/>
          <w:sz w:val="22"/>
          <w:szCs w:val="22"/>
        </w:rPr>
        <w:drawing>
          <wp:inline distT="0" distB="0" distL="0" distR="0" wp14:anchorId="24D4DCDC" wp14:editId="1529B419">
            <wp:extent cx="5756275" cy="5079365"/>
            <wp:effectExtent l="0" t="0" r="0" b="0"/>
            <wp:docPr id="390612903" name="image2.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Tabla&#10;&#10;El contenido generado por IA puede ser incorrecto."/>
                    <pic:cNvPicPr preferRelativeResize="0"/>
                  </pic:nvPicPr>
                  <pic:blipFill>
                    <a:blip r:embed="rId9"/>
                    <a:srcRect/>
                    <a:stretch>
                      <a:fillRect/>
                    </a:stretch>
                  </pic:blipFill>
                  <pic:spPr>
                    <a:xfrm>
                      <a:off x="0" y="0"/>
                      <a:ext cx="5756275" cy="5079365"/>
                    </a:xfrm>
                    <a:prstGeom prst="rect">
                      <a:avLst/>
                    </a:prstGeom>
                    <a:ln/>
                  </pic:spPr>
                </pic:pic>
              </a:graphicData>
            </a:graphic>
          </wp:inline>
        </w:drawing>
      </w:r>
    </w:p>
    <w:p w14:paraId="4EFFAAA3"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Es así que, de ser el caso de que la adquisición se haya realizado en el extranjero y servidores públicos del Ayuntamiento tuvieran que viajar, el Sujeto Obligado deberá entregar los gastos de viáticos, que de manera enunciativa más no limitativa son boletos de vuelo, hospedajes y alimentos.</w:t>
      </w:r>
    </w:p>
    <w:p w14:paraId="4142115F"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1EA14168"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De ser el caso de que la información que se ordena entregar contenga datos personales susceptibles de clasificarse como confidenciales, el Sujeto Obligado estará a lo dispuesto en el Considerando Quinto de la presente resolución.</w:t>
      </w:r>
    </w:p>
    <w:p w14:paraId="2B56E8BB"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402B1F62" w14:textId="6E166B6E"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Si no se cuenta con la información relacionada con gastos de </w:t>
      </w:r>
      <w:r w:rsidR="00844E25" w:rsidRPr="00A36F3D">
        <w:rPr>
          <w:rFonts w:ascii="Palatino Linotype" w:eastAsia="Palatino Linotype" w:hAnsi="Palatino Linotype" w:cs="Palatino Linotype"/>
          <w:sz w:val="22"/>
          <w:szCs w:val="22"/>
        </w:rPr>
        <w:t>viáticos</w:t>
      </w:r>
      <w:r w:rsidRPr="00A36F3D">
        <w:rPr>
          <w:rFonts w:ascii="Palatino Linotype" w:eastAsia="Palatino Linotype" w:hAnsi="Palatino Linotype" w:cs="Palatino Linotype"/>
          <w:sz w:val="22"/>
          <w:szCs w:val="22"/>
        </w:rPr>
        <w:t xml:space="preserve"> por no haberse generado,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 </w:t>
      </w:r>
    </w:p>
    <w:p w14:paraId="515FB716"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5FFFA194"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De ser el caso de que no se cuente con información relacionada con la adquisición del camión equipado para bomberos, el Sujeto Obligado deberá emitir el acuerdo del Comité de Transparencia mediante el cual se declare la inexistencia de la información. </w:t>
      </w:r>
    </w:p>
    <w:p w14:paraId="6CE69BC1"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65F23804" w14:textId="77777777" w:rsidR="00F11CC6" w:rsidRPr="00A36F3D" w:rsidRDefault="00C019B0">
      <w:pPr>
        <w:pBdr>
          <w:top w:val="nil"/>
          <w:left w:val="nil"/>
          <w:bottom w:val="nil"/>
          <w:right w:val="nil"/>
          <w:between w:val="nil"/>
        </w:pBdr>
        <w:spacing w:line="360" w:lineRule="auto"/>
        <w:ind w:right="141"/>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En ese orden de ideas, es de destacar que las actas que sustenten la inexistencia de la información, deberán observar ciertas formalidades exigidas por la Ley de Transparencia y Acceso a la Información Pública del Estado de México y Municipios</w:t>
      </w:r>
      <w:r w:rsidRPr="00A36F3D">
        <w:rPr>
          <w:rFonts w:ascii="Palatino Linotype" w:eastAsia="Palatino Linotype" w:hAnsi="Palatino Linotype" w:cs="Palatino Linotype"/>
          <w:i/>
          <w:sz w:val="22"/>
          <w:szCs w:val="22"/>
        </w:rPr>
        <w:t xml:space="preserve">, </w:t>
      </w:r>
      <w:r w:rsidRPr="00A36F3D">
        <w:rPr>
          <w:rFonts w:ascii="Palatino Linotype" w:eastAsia="Palatino Linotype" w:hAnsi="Palatino Linotype" w:cs="Palatino Linotype"/>
          <w:sz w:val="22"/>
          <w:szCs w:val="22"/>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185BE9DE" w14:textId="77777777" w:rsidR="00F11CC6" w:rsidRPr="00A36F3D" w:rsidRDefault="00F11CC6">
      <w:pPr>
        <w:spacing w:line="360" w:lineRule="auto"/>
        <w:rPr>
          <w:rFonts w:ascii="Palatino Linotype" w:eastAsia="Palatino Linotype" w:hAnsi="Palatino Linotype" w:cs="Palatino Linotype"/>
          <w:sz w:val="22"/>
          <w:szCs w:val="22"/>
        </w:rPr>
      </w:pPr>
    </w:p>
    <w:p w14:paraId="19279928" w14:textId="77777777" w:rsidR="00F11CC6" w:rsidRPr="00A36F3D" w:rsidRDefault="00C019B0">
      <w:pPr>
        <w:pBdr>
          <w:top w:val="nil"/>
          <w:left w:val="nil"/>
          <w:bottom w:val="nil"/>
          <w:right w:val="nil"/>
          <w:between w:val="nil"/>
        </w:pBdr>
        <w:ind w:left="567" w:right="709"/>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i/>
          <w:sz w:val="22"/>
          <w:szCs w:val="22"/>
        </w:rPr>
        <w:t>INEXISTENCIA, CONCEPTO DE, EN MATERIA DE TRANSPARENCIA</w:t>
      </w:r>
      <w:r w:rsidRPr="00A36F3D">
        <w:rPr>
          <w:rFonts w:ascii="Palatino Linotype" w:eastAsia="Palatino Linotype" w:hAnsi="Palatino Linotype" w:cs="Palatino Linotype"/>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1F2B4D27" w14:textId="77777777" w:rsidR="00F11CC6" w:rsidRPr="00A36F3D" w:rsidRDefault="00F11CC6">
      <w:pPr>
        <w:rPr>
          <w:rFonts w:ascii="Palatino Linotype" w:eastAsia="Palatino Linotype" w:hAnsi="Palatino Linotype" w:cs="Palatino Linotype"/>
          <w:sz w:val="22"/>
          <w:szCs w:val="22"/>
        </w:rPr>
      </w:pPr>
    </w:p>
    <w:p w14:paraId="5B3B9ECB"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1947B27B"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6E96DF43" w14:textId="77777777" w:rsidR="00F11CC6" w:rsidRPr="00A36F3D" w:rsidRDefault="00F11CC6">
      <w:pPr>
        <w:rPr>
          <w:rFonts w:ascii="Palatino Linotype" w:eastAsia="Palatino Linotype" w:hAnsi="Palatino Linotype" w:cs="Palatino Linotype"/>
          <w:sz w:val="22"/>
          <w:szCs w:val="22"/>
        </w:rPr>
      </w:pPr>
    </w:p>
    <w:p w14:paraId="2D001197"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6AF9842" w14:textId="77777777" w:rsidR="00F11CC6" w:rsidRPr="00A36F3D" w:rsidRDefault="00F11CC6">
      <w:pPr>
        <w:rPr>
          <w:rFonts w:ascii="Palatino Linotype" w:eastAsia="Palatino Linotype" w:hAnsi="Palatino Linotype" w:cs="Palatino Linotype"/>
          <w:sz w:val="22"/>
          <w:szCs w:val="22"/>
        </w:rPr>
      </w:pPr>
    </w:p>
    <w:p w14:paraId="497103FA" w14:textId="77777777" w:rsidR="00F11CC6" w:rsidRPr="00A36F3D" w:rsidRDefault="00C019B0">
      <w:pPr>
        <w:pBdr>
          <w:top w:val="nil"/>
          <w:left w:val="nil"/>
          <w:bottom w:val="nil"/>
          <w:right w:val="nil"/>
          <w:between w:val="nil"/>
        </w:pBdr>
        <w:ind w:left="567" w:right="567"/>
        <w:jc w:val="center"/>
        <w:rPr>
          <w:rFonts w:ascii="Palatino Linotype" w:eastAsia="Palatino Linotype" w:hAnsi="Palatino Linotype" w:cs="Palatino Linotype"/>
          <w:sz w:val="22"/>
          <w:szCs w:val="22"/>
        </w:rPr>
      </w:pPr>
      <w:r w:rsidRPr="00A36F3D">
        <w:rPr>
          <w:rFonts w:ascii="Palatino Linotype" w:eastAsia="Palatino Linotype" w:hAnsi="Palatino Linotype" w:cs="Palatino Linotype"/>
          <w:b/>
          <w:i/>
          <w:sz w:val="22"/>
          <w:szCs w:val="22"/>
        </w:rPr>
        <w:t>CRITERIO 0004-11</w:t>
      </w:r>
    </w:p>
    <w:p w14:paraId="0FB26C29" w14:textId="77777777" w:rsidR="00F11CC6" w:rsidRPr="00A36F3D" w:rsidRDefault="00F11CC6">
      <w:pPr>
        <w:rPr>
          <w:rFonts w:ascii="Palatino Linotype" w:eastAsia="Palatino Linotype" w:hAnsi="Palatino Linotype" w:cs="Palatino Linotype"/>
          <w:sz w:val="22"/>
          <w:szCs w:val="22"/>
        </w:rPr>
      </w:pPr>
    </w:p>
    <w:p w14:paraId="4AEC084E"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i/>
          <w:sz w:val="22"/>
          <w:szCs w:val="22"/>
        </w:rPr>
        <w:t>INEXISTENCIA. DECLARATORIA DE LA. ALCANCES Y PROCEDIMIENTOS</w:t>
      </w:r>
      <w:r w:rsidRPr="00A36F3D">
        <w:rPr>
          <w:rFonts w:ascii="Palatino Linotype" w:eastAsia="Palatino Linotype" w:hAnsi="Palatino Linotype" w:cs="Palatino Linotype"/>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5C078701" w14:textId="77777777" w:rsidR="00F11CC6" w:rsidRPr="00A36F3D" w:rsidRDefault="00F11CC6">
      <w:pPr>
        <w:rPr>
          <w:rFonts w:ascii="Palatino Linotype" w:eastAsia="Palatino Linotype" w:hAnsi="Palatino Linotype" w:cs="Palatino Linotype"/>
          <w:sz w:val="22"/>
          <w:szCs w:val="22"/>
        </w:rPr>
      </w:pPr>
    </w:p>
    <w:p w14:paraId="27D31612"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Bajo el entendido de que dicha búsqueda exhaustiva permitirá dos determinaciones:</w:t>
      </w:r>
    </w:p>
    <w:p w14:paraId="680268CF" w14:textId="77777777" w:rsidR="00F11CC6" w:rsidRPr="00A36F3D" w:rsidRDefault="00F11CC6">
      <w:pPr>
        <w:rPr>
          <w:rFonts w:ascii="Palatino Linotype" w:eastAsia="Palatino Linotype" w:hAnsi="Palatino Linotype" w:cs="Palatino Linotype"/>
          <w:sz w:val="22"/>
          <w:szCs w:val="22"/>
        </w:rPr>
      </w:pPr>
    </w:p>
    <w:p w14:paraId="3F7BB6D9"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14:paraId="08228105"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2EBC5CA8"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0B3B6995" w14:textId="77777777" w:rsidR="00F11CC6" w:rsidRPr="00A36F3D" w:rsidRDefault="00F11CC6">
      <w:pPr>
        <w:spacing w:line="360" w:lineRule="auto"/>
        <w:rPr>
          <w:rFonts w:ascii="Palatino Linotype" w:eastAsia="Palatino Linotype" w:hAnsi="Palatino Linotype" w:cs="Palatino Linotype"/>
          <w:sz w:val="22"/>
          <w:szCs w:val="22"/>
        </w:rPr>
      </w:pPr>
    </w:p>
    <w:p w14:paraId="014E36B9" w14:textId="77777777" w:rsidR="00F11CC6" w:rsidRPr="00A36F3D" w:rsidRDefault="00C019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De lo que, se colige que, el Comité de Transparencia deberá emitir el correspondiente Acuerdo de Inexistencia de la Información y notificarlo al </w:t>
      </w:r>
      <w:r w:rsidRPr="00A36F3D">
        <w:rPr>
          <w:rFonts w:ascii="Palatino Linotype" w:eastAsia="Palatino Linotype" w:hAnsi="Palatino Linotype" w:cs="Palatino Linotype"/>
          <w:b/>
          <w:sz w:val="22"/>
          <w:szCs w:val="22"/>
        </w:rPr>
        <w:t>Recurrente</w:t>
      </w:r>
      <w:r w:rsidRPr="00A36F3D">
        <w:rPr>
          <w:rFonts w:ascii="Palatino Linotype" w:eastAsia="Palatino Linotype" w:hAnsi="Palatino Linotype" w:cs="Palatino Linotype"/>
          <w:sz w:val="22"/>
          <w:szCs w:val="22"/>
        </w:rPr>
        <w:t>. </w:t>
      </w:r>
    </w:p>
    <w:p w14:paraId="30961686" w14:textId="77777777" w:rsidR="00F11CC6" w:rsidRPr="00A36F3D" w:rsidRDefault="00F11CC6">
      <w:pPr>
        <w:spacing w:line="360" w:lineRule="auto"/>
        <w:rPr>
          <w:rFonts w:ascii="Palatino Linotype" w:eastAsia="Palatino Linotype" w:hAnsi="Palatino Linotype" w:cs="Palatino Linotype"/>
          <w:sz w:val="22"/>
          <w:szCs w:val="22"/>
        </w:rPr>
      </w:pPr>
    </w:p>
    <w:p w14:paraId="08EAD8D1" w14:textId="77777777" w:rsidR="00F11CC6" w:rsidRPr="00A36F3D" w:rsidRDefault="00C019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14:paraId="348C8981" w14:textId="77777777" w:rsidR="00F11CC6" w:rsidRPr="00A36F3D" w:rsidRDefault="00F11CC6">
      <w:pPr>
        <w:spacing w:line="360" w:lineRule="auto"/>
        <w:rPr>
          <w:rFonts w:ascii="Palatino Linotype" w:eastAsia="Palatino Linotype" w:hAnsi="Palatino Linotype" w:cs="Palatino Linotype"/>
          <w:sz w:val="22"/>
          <w:szCs w:val="22"/>
        </w:rPr>
      </w:pPr>
    </w:p>
    <w:p w14:paraId="0E83E535" w14:textId="77777777" w:rsidR="00F11CC6" w:rsidRPr="00A36F3D" w:rsidRDefault="00C019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14:paraId="74FCDB16" w14:textId="77777777" w:rsidR="00F11CC6" w:rsidRPr="00A36F3D" w:rsidRDefault="00F11CC6">
      <w:pPr>
        <w:spacing w:line="360" w:lineRule="auto"/>
        <w:rPr>
          <w:rFonts w:ascii="Palatino Linotype" w:eastAsia="Palatino Linotype" w:hAnsi="Palatino Linotype" w:cs="Palatino Linotype"/>
          <w:sz w:val="22"/>
          <w:szCs w:val="22"/>
        </w:rPr>
      </w:pPr>
    </w:p>
    <w:p w14:paraId="236DBF5C"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i/>
          <w:sz w:val="22"/>
          <w:szCs w:val="22"/>
        </w:rPr>
        <w:t>Artículo 47.</w:t>
      </w:r>
      <w:r w:rsidRPr="00A36F3D">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4452FEEB" w14:textId="77777777" w:rsidR="00F11CC6" w:rsidRPr="00A36F3D" w:rsidRDefault="00F11CC6">
      <w:pPr>
        <w:rPr>
          <w:rFonts w:ascii="Palatino Linotype" w:eastAsia="Palatino Linotype" w:hAnsi="Palatino Linotype" w:cs="Palatino Linotype"/>
          <w:sz w:val="22"/>
          <w:szCs w:val="22"/>
        </w:rPr>
      </w:pPr>
    </w:p>
    <w:p w14:paraId="3F0A56B0"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0AAC6533"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12B2FF0A" w14:textId="77777777" w:rsidR="00F11CC6" w:rsidRPr="00A36F3D" w:rsidRDefault="00F11CC6">
      <w:pPr>
        <w:rPr>
          <w:rFonts w:ascii="Palatino Linotype" w:eastAsia="Palatino Linotype" w:hAnsi="Palatino Linotype" w:cs="Palatino Linotype"/>
          <w:sz w:val="22"/>
          <w:szCs w:val="22"/>
        </w:rPr>
      </w:pPr>
    </w:p>
    <w:p w14:paraId="77EEEE3B"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24365834" w14:textId="77777777" w:rsidR="00F11CC6" w:rsidRPr="00A36F3D" w:rsidRDefault="00F11CC6">
      <w:pPr>
        <w:rPr>
          <w:rFonts w:ascii="Palatino Linotype" w:eastAsia="Palatino Linotype" w:hAnsi="Palatino Linotype" w:cs="Palatino Linotype"/>
          <w:sz w:val="22"/>
          <w:szCs w:val="22"/>
        </w:rPr>
      </w:pPr>
    </w:p>
    <w:p w14:paraId="53E285A7"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342E2B70" w14:textId="77777777" w:rsidR="00F11CC6" w:rsidRPr="00A36F3D" w:rsidRDefault="00F11CC6">
      <w:pPr>
        <w:rPr>
          <w:rFonts w:ascii="Palatino Linotype" w:eastAsia="Palatino Linotype" w:hAnsi="Palatino Linotype" w:cs="Palatino Linotype"/>
          <w:sz w:val="22"/>
          <w:szCs w:val="22"/>
        </w:rPr>
      </w:pPr>
    </w:p>
    <w:p w14:paraId="6A45445F"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A36F3D">
        <w:rPr>
          <w:rFonts w:ascii="Palatino Linotype" w:eastAsia="Palatino Linotype" w:hAnsi="Palatino Linotype" w:cs="Palatino Linotype"/>
          <w:i/>
          <w:sz w:val="22"/>
          <w:szCs w:val="22"/>
          <w:u w:val="single"/>
        </w:rPr>
        <w:t>inexistencia</w:t>
      </w:r>
      <w:r w:rsidRPr="00A36F3D">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7E5CE4CC" w14:textId="77777777" w:rsidR="00F11CC6" w:rsidRPr="00A36F3D" w:rsidRDefault="00F11CC6">
      <w:pPr>
        <w:rPr>
          <w:rFonts w:ascii="Palatino Linotype" w:eastAsia="Palatino Linotype" w:hAnsi="Palatino Linotype" w:cs="Palatino Linotype"/>
          <w:sz w:val="22"/>
          <w:szCs w:val="22"/>
        </w:rPr>
      </w:pPr>
    </w:p>
    <w:p w14:paraId="4CC262B7"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w:t>
      </w:r>
      <w:r w:rsidRPr="00A36F3D">
        <w:rPr>
          <w:rFonts w:ascii="Palatino Linotype" w:eastAsia="Palatino Linotype" w:hAnsi="Palatino Linotype" w:cs="Palatino Linotype"/>
          <w:b/>
          <w:i/>
          <w:sz w:val="22"/>
          <w:szCs w:val="22"/>
        </w:rPr>
        <w:t>Artículo 49.</w:t>
      </w:r>
      <w:r w:rsidRPr="00A36F3D">
        <w:rPr>
          <w:rFonts w:ascii="Palatino Linotype" w:eastAsia="Palatino Linotype" w:hAnsi="Palatino Linotype" w:cs="Palatino Linotype"/>
          <w:i/>
          <w:sz w:val="22"/>
          <w:szCs w:val="22"/>
        </w:rPr>
        <w:t xml:space="preserve"> Los Comités de Transparencia tendrán las siguientes atribuciones:</w:t>
      </w:r>
    </w:p>
    <w:p w14:paraId="5851E304"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w:t>
      </w:r>
    </w:p>
    <w:p w14:paraId="587EF6CE"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A36F3D">
        <w:rPr>
          <w:rFonts w:ascii="Palatino Linotype" w:eastAsia="Palatino Linotype" w:hAnsi="Palatino Linotype" w:cs="Palatino Linotype"/>
          <w:i/>
          <w:sz w:val="22"/>
          <w:szCs w:val="22"/>
          <w:u w:val="single"/>
        </w:rPr>
        <w:t xml:space="preserve">declaración de inexistencia </w:t>
      </w:r>
      <w:r w:rsidRPr="00A36F3D">
        <w:rPr>
          <w:rFonts w:ascii="Palatino Linotype" w:eastAsia="Palatino Linotype" w:hAnsi="Palatino Linotype" w:cs="Palatino Linotype"/>
          <w:i/>
          <w:sz w:val="22"/>
          <w:szCs w:val="22"/>
        </w:rPr>
        <w:t>o de incompetencia realicen los titulares de las áreas de los sujetos obligados;</w:t>
      </w:r>
    </w:p>
    <w:p w14:paraId="19CF1B53"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w:t>
      </w:r>
    </w:p>
    <w:p w14:paraId="3957F481"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7E4BB8EC" w14:textId="77777777" w:rsidR="00F11CC6" w:rsidRPr="00A36F3D" w:rsidRDefault="00F11CC6">
      <w:pPr>
        <w:spacing w:line="360" w:lineRule="auto"/>
        <w:rPr>
          <w:rFonts w:ascii="Palatino Linotype" w:eastAsia="Palatino Linotype" w:hAnsi="Palatino Linotype" w:cs="Palatino Linotype"/>
          <w:sz w:val="22"/>
          <w:szCs w:val="22"/>
        </w:rPr>
      </w:pPr>
    </w:p>
    <w:p w14:paraId="3A02418D" w14:textId="77777777" w:rsidR="00F11CC6" w:rsidRPr="00A36F3D" w:rsidRDefault="00C019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Asimismo, el acuerdo de inexistencia deberá apegarse a lo dispuesto por los artículos 169 y 170, de la Ley de la materia que ordenan: </w:t>
      </w:r>
    </w:p>
    <w:p w14:paraId="039995F8" w14:textId="77777777" w:rsidR="00F11CC6" w:rsidRPr="00A36F3D" w:rsidRDefault="00F11CC6">
      <w:pPr>
        <w:spacing w:line="360" w:lineRule="auto"/>
        <w:rPr>
          <w:rFonts w:ascii="Palatino Linotype" w:eastAsia="Palatino Linotype" w:hAnsi="Palatino Linotype" w:cs="Palatino Linotype"/>
          <w:sz w:val="22"/>
          <w:szCs w:val="22"/>
        </w:rPr>
      </w:pPr>
    </w:p>
    <w:p w14:paraId="361AF31B"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i/>
          <w:sz w:val="22"/>
          <w:szCs w:val="22"/>
        </w:rPr>
        <w:t>Artículo 169.</w:t>
      </w:r>
      <w:r w:rsidRPr="00A36F3D">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42ED2C7F" w14:textId="77777777" w:rsidR="00F11CC6" w:rsidRPr="00A36F3D" w:rsidRDefault="00F11CC6">
      <w:pPr>
        <w:rPr>
          <w:rFonts w:ascii="Palatino Linotype" w:eastAsia="Palatino Linotype" w:hAnsi="Palatino Linotype" w:cs="Palatino Linotype"/>
          <w:sz w:val="22"/>
          <w:szCs w:val="22"/>
        </w:rPr>
      </w:pPr>
    </w:p>
    <w:p w14:paraId="1FD0EE3D"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I. Analizará el caso y tomará las medidas necesarias para localizar la información;</w:t>
      </w:r>
    </w:p>
    <w:p w14:paraId="2D50556E" w14:textId="77777777" w:rsidR="00F11CC6" w:rsidRPr="00A36F3D" w:rsidRDefault="00F11CC6">
      <w:pPr>
        <w:rPr>
          <w:rFonts w:ascii="Palatino Linotype" w:eastAsia="Palatino Linotype" w:hAnsi="Palatino Linotype" w:cs="Palatino Linotype"/>
          <w:sz w:val="22"/>
          <w:szCs w:val="22"/>
        </w:rPr>
      </w:pPr>
    </w:p>
    <w:p w14:paraId="7DEA2A6F"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II. Expedirá una resolución que confirme la inexistencia del documento;</w:t>
      </w:r>
    </w:p>
    <w:p w14:paraId="1B6ADD7C"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DBFACF2" w14:textId="77777777" w:rsidR="00F11CC6" w:rsidRPr="00A36F3D" w:rsidRDefault="00F11CC6">
      <w:pPr>
        <w:rPr>
          <w:rFonts w:ascii="Palatino Linotype" w:eastAsia="Palatino Linotype" w:hAnsi="Palatino Linotype" w:cs="Palatino Linotype"/>
          <w:sz w:val="22"/>
          <w:szCs w:val="22"/>
        </w:rPr>
      </w:pPr>
    </w:p>
    <w:p w14:paraId="6D5AA404"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A36F3D">
        <w:rPr>
          <w:rFonts w:ascii="Palatino Linotype" w:eastAsia="Palatino Linotype" w:hAnsi="Palatino Linotype" w:cs="Palatino Linotype"/>
          <w:i/>
          <w:sz w:val="22"/>
          <w:szCs w:val="22"/>
        </w:rPr>
        <w:t>.</w:t>
      </w:r>
    </w:p>
    <w:p w14:paraId="49532111" w14:textId="77777777" w:rsidR="00F11CC6" w:rsidRPr="00A36F3D" w:rsidRDefault="00F11CC6">
      <w:pPr>
        <w:rPr>
          <w:rFonts w:ascii="Palatino Linotype" w:eastAsia="Palatino Linotype" w:hAnsi="Palatino Linotype" w:cs="Palatino Linotype"/>
          <w:sz w:val="22"/>
          <w:szCs w:val="22"/>
        </w:rPr>
      </w:pPr>
    </w:p>
    <w:p w14:paraId="15286D82"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4AFDD005" w14:textId="77777777" w:rsidR="00F11CC6" w:rsidRPr="00A36F3D" w:rsidRDefault="00F11CC6">
      <w:pPr>
        <w:rPr>
          <w:rFonts w:ascii="Palatino Linotype" w:eastAsia="Palatino Linotype" w:hAnsi="Palatino Linotype" w:cs="Palatino Linotype"/>
          <w:sz w:val="22"/>
          <w:szCs w:val="22"/>
        </w:rPr>
      </w:pPr>
    </w:p>
    <w:p w14:paraId="062227B6"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675A2710" w14:textId="77777777" w:rsidR="00F11CC6" w:rsidRPr="00A36F3D" w:rsidRDefault="00F11CC6">
      <w:pPr>
        <w:rPr>
          <w:rFonts w:ascii="Palatino Linotype" w:eastAsia="Palatino Linotype" w:hAnsi="Palatino Linotype" w:cs="Palatino Linotype"/>
          <w:sz w:val="22"/>
          <w:szCs w:val="22"/>
        </w:rPr>
      </w:pPr>
    </w:p>
    <w:p w14:paraId="089988A0" w14:textId="77777777" w:rsidR="00F11CC6" w:rsidRPr="00A36F3D" w:rsidRDefault="00C019B0">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i/>
          <w:sz w:val="22"/>
          <w:szCs w:val="22"/>
        </w:rPr>
        <w:t>Artículo 170.</w:t>
      </w:r>
      <w:r w:rsidRPr="00A36F3D">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051B269D" w14:textId="77777777" w:rsidR="00F11CC6" w:rsidRPr="00A36F3D" w:rsidRDefault="00F11CC6">
      <w:pPr>
        <w:spacing w:line="360" w:lineRule="auto"/>
        <w:rPr>
          <w:rFonts w:ascii="Palatino Linotype" w:eastAsia="Palatino Linotype" w:hAnsi="Palatino Linotype" w:cs="Palatino Linotype"/>
          <w:sz w:val="22"/>
          <w:szCs w:val="22"/>
        </w:rPr>
      </w:pPr>
    </w:p>
    <w:p w14:paraId="7DA50942" w14:textId="77777777" w:rsidR="00F11CC6" w:rsidRPr="00A36F3D" w:rsidRDefault="00C019B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3F6119F8" w14:textId="77777777" w:rsidR="00F11CC6" w:rsidRPr="00A36F3D" w:rsidRDefault="00F11CC6">
      <w:pPr>
        <w:spacing w:line="360" w:lineRule="auto"/>
        <w:rPr>
          <w:rFonts w:ascii="Palatino Linotype" w:eastAsia="Palatino Linotype" w:hAnsi="Palatino Linotype" w:cs="Palatino Linotype"/>
          <w:sz w:val="22"/>
          <w:szCs w:val="22"/>
        </w:rPr>
      </w:pPr>
    </w:p>
    <w:p w14:paraId="0B2E15A4" w14:textId="77777777" w:rsidR="00F11CC6" w:rsidRPr="00A36F3D" w:rsidRDefault="00C019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En ese contexto, de conformidad con los </w:t>
      </w:r>
      <w:r w:rsidRPr="00A36F3D">
        <w:rPr>
          <w:rFonts w:ascii="Palatino Linotype" w:eastAsia="Palatino Linotype" w:hAnsi="Palatino Linotype" w:cs="Palatino Linotype"/>
          <w:b/>
          <w:sz w:val="22"/>
          <w:szCs w:val="22"/>
        </w:rPr>
        <w:t>criterios orientadores 12/10 y 04/19</w:t>
      </w:r>
      <w:r w:rsidRPr="00A36F3D">
        <w:rPr>
          <w:rFonts w:ascii="Palatino Linotype" w:eastAsia="Palatino Linotype" w:hAnsi="Palatino Linotype" w:cs="Palatino Linotype"/>
          <w:sz w:val="22"/>
          <w:szCs w:val="22"/>
        </w:rPr>
        <w:t>,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0200E031" w14:textId="77777777" w:rsidR="00F11CC6" w:rsidRPr="00A36F3D" w:rsidRDefault="00F11CC6">
      <w:pPr>
        <w:spacing w:line="360" w:lineRule="auto"/>
        <w:rPr>
          <w:rFonts w:ascii="Palatino Linotype" w:eastAsia="Palatino Linotype" w:hAnsi="Palatino Linotype" w:cs="Palatino Linotype"/>
          <w:sz w:val="22"/>
          <w:szCs w:val="22"/>
        </w:rPr>
      </w:pPr>
    </w:p>
    <w:p w14:paraId="76A56055" w14:textId="77777777" w:rsidR="00F11CC6" w:rsidRPr="00A36F3D" w:rsidRDefault="00C019B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Motivación por las que se buscó la información, en determinadas unidades administrativas;</w:t>
      </w:r>
    </w:p>
    <w:p w14:paraId="416DA759" w14:textId="77777777" w:rsidR="00F11CC6" w:rsidRPr="00A36F3D" w:rsidRDefault="00C019B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Los criterios de búsqueda utilizados, y</w:t>
      </w:r>
    </w:p>
    <w:p w14:paraId="26B9E5AA" w14:textId="77777777" w:rsidR="00F11CC6" w:rsidRPr="00A36F3D" w:rsidRDefault="00C019B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Las circunstancias que fueron tomadas en cuenta.</w:t>
      </w:r>
    </w:p>
    <w:p w14:paraId="44AC668D" w14:textId="77777777" w:rsidR="00F11CC6" w:rsidRPr="00A36F3D" w:rsidRDefault="00F11CC6">
      <w:pPr>
        <w:spacing w:line="360" w:lineRule="auto"/>
        <w:rPr>
          <w:rFonts w:ascii="Palatino Linotype" w:eastAsia="Palatino Linotype" w:hAnsi="Palatino Linotype" w:cs="Palatino Linotype"/>
          <w:sz w:val="22"/>
          <w:szCs w:val="22"/>
        </w:rPr>
      </w:pPr>
    </w:p>
    <w:p w14:paraId="24E7071E" w14:textId="77777777" w:rsidR="00F11CC6" w:rsidRPr="00A36F3D" w:rsidRDefault="00C019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De tales circunstancias, se considera que para que los Sujetos Obligados justifiquen que realizaron una búsqueda exhaustiva y razonable, deben indicar de manera clara, lo siguiente:</w:t>
      </w:r>
    </w:p>
    <w:p w14:paraId="4E08BFD9" w14:textId="77777777" w:rsidR="00F11CC6" w:rsidRPr="00A36F3D" w:rsidRDefault="00F11CC6">
      <w:pPr>
        <w:spacing w:line="360" w:lineRule="auto"/>
        <w:rPr>
          <w:rFonts w:ascii="Palatino Linotype" w:eastAsia="Palatino Linotype" w:hAnsi="Palatino Linotype" w:cs="Palatino Linotype"/>
          <w:sz w:val="22"/>
          <w:szCs w:val="22"/>
        </w:rPr>
      </w:pPr>
    </w:p>
    <w:p w14:paraId="40B4B948" w14:textId="77777777" w:rsidR="00F11CC6" w:rsidRPr="00A36F3D" w:rsidRDefault="00C019B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36F3D">
        <w:rPr>
          <w:rFonts w:ascii="Palatino Linotype" w:eastAsia="Palatino Linotype" w:hAnsi="Palatino Linotype" w:cs="Palatino Linotype"/>
          <w:sz w:val="22"/>
          <w:szCs w:val="22"/>
        </w:rPr>
        <w:t>Las áreas donde se buscó la información;</w:t>
      </w:r>
    </w:p>
    <w:p w14:paraId="7034C3A3" w14:textId="77777777" w:rsidR="00F11CC6" w:rsidRPr="00A36F3D" w:rsidRDefault="00C019B0">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36F3D">
        <w:rPr>
          <w:rFonts w:ascii="Palatino Linotype" w:eastAsia="Palatino Linotype" w:hAnsi="Palatino Linotype" w:cs="Palatino Linotype"/>
          <w:sz w:val="22"/>
          <w:szCs w:val="22"/>
        </w:rPr>
        <w:t>Tipo de archivos buscados (físicos o electrónicos);</w:t>
      </w:r>
    </w:p>
    <w:p w14:paraId="3342452B" w14:textId="77777777" w:rsidR="00F11CC6" w:rsidRPr="00A36F3D" w:rsidRDefault="00C019B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36F3D">
        <w:rPr>
          <w:rFonts w:ascii="Palatino Linotype" w:eastAsia="Palatino Linotype" w:hAnsi="Palatino Linotype" w:cs="Palatino Linotype"/>
          <w:sz w:val="22"/>
          <w:szCs w:val="22"/>
        </w:rPr>
        <w:t>Los criterios de búsqueda utilizados, y </w:t>
      </w:r>
    </w:p>
    <w:p w14:paraId="10644D54" w14:textId="77777777" w:rsidR="00F11CC6" w:rsidRPr="00A36F3D" w:rsidRDefault="00C019B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36F3D">
        <w:rPr>
          <w:rFonts w:ascii="Palatino Linotype" w:eastAsia="Palatino Linotype" w:hAnsi="Palatino Linotype" w:cs="Palatino Linotype"/>
          <w:sz w:val="22"/>
          <w:szCs w:val="22"/>
        </w:rPr>
        <w:t>Las circunstancias que fueron tomadas en cuenta.</w:t>
      </w:r>
    </w:p>
    <w:p w14:paraId="72F746A9" w14:textId="77777777" w:rsidR="00F11CC6" w:rsidRPr="00A36F3D" w:rsidRDefault="00F11CC6">
      <w:pPr>
        <w:spacing w:line="360" w:lineRule="auto"/>
        <w:rPr>
          <w:rFonts w:ascii="Palatino Linotype" w:eastAsia="Palatino Linotype" w:hAnsi="Palatino Linotype" w:cs="Palatino Linotype"/>
          <w:sz w:val="22"/>
          <w:szCs w:val="22"/>
        </w:rPr>
      </w:pPr>
    </w:p>
    <w:p w14:paraId="135EB59D" w14:textId="77777777" w:rsidR="00F11CC6" w:rsidRPr="00A36F3D" w:rsidRDefault="00C019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Los elementos antes mencionados son los que debe acreditar el Sujeto Obligado mediante el acuerdo del Comité de Transparencia, a efecto de brindar total certeza al Recurrente, en el que deberá declarar formalmente la inexistencia de la información requerida a través de su Comité de Transparencia en términos de los artículos 19, 49, fracciones II y XIII, 169 y 170 de la Ley de Transparencia y Acceso a la Información Pública del Estado de México y Municipios. </w:t>
      </w:r>
    </w:p>
    <w:p w14:paraId="3369F106" w14:textId="77777777" w:rsidR="00F11CC6" w:rsidRPr="00A36F3D" w:rsidRDefault="00F11CC6">
      <w:pPr>
        <w:spacing w:after="240" w:line="360" w:lineRule="auto"/>
        <w:rPr>
          <w:rFonts w:ascii="Palatino Linotype" w:eastAsia="Palatino Linotype" w:hAnsi="Palatino Linotype" w:cs="Palatino Linotype"/>
          <w:sz w:val="22"/>
          <w:szCs w:val="22"/>
        </w:rPr>
      </w:pPr>
    </w:p>
    <w:p w14:paraId="0250345F"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59F5D509"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46FAA0C6"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 xml:space="preserve">Quinto. Versión Pública. </w:t>
      </w:r>
      <w:r w:rsidRPr="00A36F3D">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F6A8FE"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6CBDE2AD"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4BADEED9"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6AB0D92A" w14:textId="77777777" w:rsidR="00F11CC6" w:rsidRPr="00A36F3D" w:rsidRDefault="00C019B0">
      <w:pPr>
        <w:spacing w:line="360" w:lineRule="auto"/>
        <w:ind w:right="50"/>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1D881466" w14:textId="77777777" w:rsidR="00F11CC6" w:rsidRPr="00A36F3D" w:rsidRDefault="00F11CC6">
      <w:pPr>
        <w:spacing w:line="360" w:lineRule="auto"/>
        <w:ind w:right="50"/>
        <w:jc w:val="both"/>
        <w:rPr>
          <w:rFonts w:ascii="Palatino Linotype" w:eastAsia="Palatino Linotype" w:hAnsi="Palatino Linotype" w:cs="Palatino Linotype"/>
          <w:sz w:val="22"/>
          <w:szCs w:val="22"/>
        </w:rPr>
      </w:pPr>
    </w:p>
    <w:p w14:paraId="0883555D"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r w:rsidRPr="00A36F3D">
        <w:rPr>
          <w:rFonts w:ascii="Palatino Linotype" w:eastAsia="Palatino Linotype" w:hAnsi="Palatino Linotype" w:cs="Palatino Linotype"/>
          <w:b/>
          <w:i/>
          <w:sz w:val="22"/>
          <w:szCs w:val="22"/>
        </w:rPr>
        <w:t>Artículo 3.</w:t>
      </w:r>
      <w:r w:rsidRPr="00A36F3D">
        <w:rPr>
          <w:rFonts w:ascii="Palatino Linotype" w:eastAsia="Palatino Linotype" w:hAnsi="Palatino Linotype" w:cs="Palatino Linotype"/>
          <w:i/>
          <w:sz w:val="22"/>
          <w:szCs w:val="22"/>
        </w:rPr>
        <w:t xml:space="preserve"> Para los efectos de la presente Ley se entenderá por:</w:t>
      </w:r>
    </w:p>
    <w:p w14:paraId="316E8F20"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p>
    <w:p w14:paraId="79759D42"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301ED6A0"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XX. Información clasificada: Aquella considerada por la presente Ley como reservada o confidencial;</w:t>
      </w:r>
    </w:p>
    <w:p w14:paraId="2A1C9676"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5C4FAA5"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10D05440"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p>
    <w:p w14:paraId="233CD998"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Artículo 91.</w:t>
      </w:r>
      <w:r w:rsidRPr="00A36F3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074547D"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Artículo 132.</w:t>
      </w:r>
      <w:r w:rsidRPr="00A36F3D">
        <w:rPr>
          <w:rFonts w:ascii="Palatino Linotype" w:eastAsia="Palatino Linotype" w:hAnsi="Palatino Linotype" w:cs="Palatino Linotype"/>
          <w:i/>
          <w:sz w:val="22"/>
          <w:szCs w:val="22"/>
        </w:rPr>
        <w:t xml:space="preserve"> La clasificación de la información se llevará a cabo en el momento en que:</w:t>
      </w:r>
    </w:p>
    <w:p w14:paraId="39DA290F" w14:textId="77777777" w:rsidR="00F11CC6" w:rsidRPr="00A36F3D" w:rsidRDefault="00C019B0">
      <w:pPr>
        <w:tabs>
          <w:tab w:val="left" w:pos="1134"/>
        </w:tabs>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I. Se reciba una solicitud de acceso a la información;</w:t>
      </w:r>
    </w:p>
    <w:p w14:paraId="016602CA" w14:textId="77777777" w:rsidR="00F11CC6" w:rsidRPr="00A36F3D" w:rsidRDefault="00C019B0">
      <w:pPr>
        <w:tabs>
          <w:tab w:val="left" w:pos="1134"/>
        </w:tabs>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II. Se determine mediante resolución de autoridad competente; o</w:t>
      </w:r>
    </w:p>
    <w:p w14:paraId="4185A6CC" w14:textId="77777777" w:rsidR="00F11CC6" w:rsidRPr="00A36F3D" w:rsidRDefault="00C019B0">
      <w:pPr>
        <w:tabs>
          <w:tab w:val="left" w:pos="1134"/>
        </w:tabs>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III. Se generen versiones públicas para dar cumplimiento a las obligaciones de transparencia previstas en esta Ley.</w:t>
      </w:r>
    </w:p>
    <w:p w14:paraId="3F5CA86B"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p>
    <w:p w14:paraId="60B5DAAC"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Artículo 143</w:t>
      </w:r>
      <w:r w:rsidRPr="00A36F3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B92F577"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0FDFAF2C"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34FF5C4"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7D941E51"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65BF985"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18032F8" w14:textId="77777777" w:rsidR="00F11CC6" w:rsidRPr="00A36F3D" w:rsidRDefault="00F11CC6">
      <w:pPr>
        <w:ind w:left="567" w:right="616"/>
        <w:jc w:val="both"/>
        <w:rPr>
          <w:rFonts w:ascii="Palatino Linotype" w:eastAsia="Palatino Linotype" w:hAnsi="Palatino Linotype" w:cs="Palatino Linotype"/>
          <w:i/>
          <w:sz w:val="22"/>
          <w:szCs w:val="22"/>
        </w:rPr>
      </w:pPr>
    </w:p>
    <w:p w14:paraId="2E300ACB"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41AD828"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14E31D4F"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67E82651"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5012E5FA"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 “</w:t>
      </w:r>
      <w:r w:rsidRPr="00A36F3D">
        <w:rPr>
          <w:rFonts w:ascii="Palatino Linotype" w:eastAsia="Palatino Linotype" w:hAnsi="Palatino Linotype" w:cs="Palatino Linotype"/>
          <w:b/>
          <w:i/>
          <w:sz w:val="22"/>
          <w:szCs w:val="22"/>
        </w:rPr>
        <w:t>Quincuagésimo</w:t>
      </w:r>
      <w:r w:rsidRPr="00A36F3D">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00D833D" w14:textId="77777777" w:rsidR="00F11CC6" w:rsidRPr="00A36F3D" w:rsidRDefault="00C019B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Quincuagésimo primero.</w:t>
      </w:r>
      <w:r w:rsidRPr="00A36F3D">
        <w:rPr>
          <w:rFonts w:ascii="Palatino Linotype" w:eastAsia="Palatino Linotype" w:hAnsi="Palatino Linotype" w:cs="Palatino Linotype"/>
          <w:i/>
          <w:sz w:val="22"/>
          <w:szCs w:val="22"/>
        </w:rPr>
        <w:t xml:space="preserve"> Toda acta del Comité de Transparencia deberá contener: </w:t>
      </w:r>
    </w:p>
    <w:p w14:paraId="21705F5A" w14:textId="77777777" w:rsidR="00F11CC6" w:rsidRPr="00A36F3D" w:rsidRDefault="00C019B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I. El número de sesión y fecha; </w:t>
      </w:r>
    </w:p>
    <w:p w14:paraId="6F06CF45" w14:textId="77777777" w:rsidR="00F11CC6" w:rsidRPr="00A36F3D" w:rsidRDefault="00C019B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II. El nombre del área que solicitó la clasificación de información; </w:t>
      </w:r>
    </w:p>
    <w:p w14:paraId="734A6DCB" w14:textId="77777777" w:rsidR="00F11CC6" w:rsidRPr="00A36F3D" w:rsidRDefault="00C019B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III. La fundamentación legal y motivación correspondiente; </w:t>
      </w:r>
    </w:p>
    <w:p w14:paraId="0962FBF6" w14:textId="77777777" w:rsidR="00F11CC6" w:rsidRPr="00A36F3D" w:rsidRDefault="00C019B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IV. La resolución o resoluciones aprobadas; y </w:t>
      </w:r>
    </w:p>
    <w:p w14:paraId="3568BF8B" w14:textId="77777777" w:rsidR="00F11CC6" w:rsidRPr="00A36F3D" w:rsidRDefault="00C019B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V. La rúbrica o firma digital de cada integrante del Comité de Transparencia. </w:t>
      </w:r>
    </w:p>
    <w:p w14:paraId="0E8913A9" w14:textId="77777777" w:rsidR="00F11CC6" w:rsidRPr="00A36F3D" w:rsidRDefault="00C019B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BC3FDE8" w14:textId="77777777" w:rsidR="00F11CC6" w:rsidRPr="00A36F3D" w:rsidRDefault="00C019B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I. Los motivos y razonamientos que sustenten la confirmación o modificación de la prueba de daño;</w:t>
      </w:r>
    </w:p>
    <w:p w14:paraId="68F07A01" w14:textId="77777777" w:rsidR="00F11CC6" w:rsidRPr="00A36F3D" w:rsidRDefault="00C019B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II. Descripción de las partes o secciones reservadas, en caso de clasificación parcial; </w:t>
      </w:r>
    </w:p>
    <w:p w14:paraId="6C857890" w14:textId="77777777" w:rsidR="00F11CC6" w:rsidRPr="00A36F3D" w:rsidRDefault="00C019B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III. El periodo por el que mantendrá su clasificación y fecha de expiración; y </w:t>
      </w:r>
    </w:p>
    <w:p w14:paraId="576F2459" w14:textId="77777777" w:rsidR="00F11CC6" w:rsidRPr="00A36F3D" w:rsidRDefault="00C019B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5DD243DF" w14:textId="77777777" w:rsidR="00F11CC6" w:rsidRPr="00A36F3D" w:rsidRDefault="00C019B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6829E2C" w14:textId="77777777" w:rsidR="00F11CC6" w:rsidRPr="00A36F3D" w:rsidRDefault="00C019B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BFAE7DC"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Quincuagésimo segundo.</w:t>
      </w:r>
      <w:r w:rsidRPr="00A36F3D">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A36F3D">
        <w:rPr>
          <w:rFonts w:ascii="Palatino Linotype" w:eastAsia="Palatino Linotype" w:hAnsi="Palatino Linotype" w:cs="Palatino Linotype"/>
          <w:i/>
          <w:sz w:val="22"/>
          <w:szCs w:val="22"/>
        </w:rPr>
        <w:t>sobreposición</w:t>
      </w:r>
      <w:proofErr w:type="spellEnd"/>
      <w:r w:rsidRPr="00A36F3D">
        <w:rPr>
          <w:rFonts w:ascii="Palatino Linotype" w:eastAsia="Palatino Linotype" w:hAnsi="Palatino Linotype" w:cs="Palatino Linotype"/>
          <w:i/>
          <w:sz w:val="22"/>
          <w:szCs w:val="22"/>
        </w:rPr>
        <w:t xml:space="preserve"> de contenido distinto al autorizado por el Comité.</w:t>
      </w:r>
    </w:p>
    <w:p w14:paraId="239DAFA7"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3684D24"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0364561E"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3B487013"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III. Señalar las personas o instancias autorizadas a acceder a la información clasificada.</w:t>
      </w:r>
    </w:p>
    <w:p w14:paraId="65006510"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B3200AF"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28512CAA"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4D2B4F99" w14:textId="77777777" w:rsidR="00F11CC6" w:rsidRPr="00A36F3D" w:rsidRDefault="00F11CC6">
      <w:pPr>
        <w:spacing w:line="360" w:lineRule="auto"/>
        <w:jc w:val="both"/>
        <w:rPr>
          <w:rFonts w:ascii="Palatino Linotype" w:eastAsia="Palatino Linotype" w:hAnsi="Palatino Linotype" w:cs="Palatino Linotype"/>
          <w:sz w:val="22"/>
          <w:szCs w:val="22"/>
        </w:rPr>
      </w:pPr>
    </w:p>
    <w:p w14:paraId="11997242" w14:textId="77777777" w:rsidR="00F11CC6" w:rsidRPr="00A36F3D" w:rsidRDefault="00C019B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r w:rsidRPr="00A36F3D">
        <w:rPr>
          <w:rFonts w:ascii="Palatino Linotype" w:eastAsia="Palatino Linotype" w:hAnsi="Palatino Linotype" w:cs="Palatino Linotype"/>
          <w:b/>
          <w:i/>
          <w:sz w:val="22"/>
          <w:szCs w:val="22"/>
        </w:rPr>
        <w:t>Quincuagésimo cuarto.</w:t>
      </w:r>
      <w:r w:rsidRPr="00A36F3D">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6C10101"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Quincuagésimo quinto.</w:t>
      </w:r>
      <w:r w:rsidRPr="00A36F3D">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A36F3D">
        <w:rPr>
          <w:rFonts w:ascii="Palatino Linotype" w:eastAsia="Palatino Linotype" w:hAnsi="Palatino Linotype" w:cs="Palatino Linotype"/>
          <w:i/>
          <w:sz w:val="22"/>
          <w:szCs w:val="22"/>
        </w:rPr>
        <w:t>testado</w:t>
      </w:r>
      <w:proofErr w:type="spellEnd"/>
      <w:r w:rsidRPr="00A36F3D">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5505196"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w:t>
      </w:r>
    </w:p>
    <w:p w14:paraId="2556D99C"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b/>
          <w:i/>
          <w:sz w:val="22"/>
          <w:szCs w:val="22"/>
        </w:rPr>
        <w:t>Quincuagésimo séptimo.</w:t>
      </w:r>
      <w:r w:rsidRPr="00A36F3D">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FE701BA"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2C39FE0F"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47D455D9"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7EE3BDA"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497AE1C0" w14:textId="77777777" w:rsidR="00F11CC6" w:rsidRPr="00A36F3D" w:rsidRDefault="00C019B0">
      <w:pPr>
        <w:ind w:left="567" w:right="616"/>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0A336E80" w14:textId="77777777" w:rsidR="00F11CC6" w:rsidRPr="00A36F3D" w:rsidRDefault="00F11CC6">
      <w:pPr>
        <w:spacing w:line="360" w:lineRule="auto"/>
        <w:ind w:left="567" w:right="616"/>
        <w:jc w:val="both"/>
        <w:rPr>
          <w:rFonts w:ascii="Palatino Linotype" w:eastAsia="Palatino Linotype" w:hAnsi="Palatino Linotype" w:cs="Palatino Linotype"/>
          <w:i/>
          <w:sz w:val="22"/>
          <w:szCs w:val="22"/>
        </w:rPr>
      </w:pPr>
    </w:p>
    <w:p w14:paraId="7222DF9E" w14:textId="77777777" w:rsidR="00F11CC6" w:rsidRPr="00A36F3D" w:rsidRDefault="00C019B0">
      <w:pPr>
        <w:spacing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3EE9964D"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154A342D" w14:textId="77777777" w:rsidR="00844E25" w:rsidRPr="00A36F3D" w:rsidRDefault="00844E25">
      <w:pPr>
        <w:spacing w:before="240" w:after="240" w:line="360" w:lineRule="auto"/>
        <w:jc w:val="both"/>
        <w:rPr>
          <w:rFonts w:ascii="Palatino Linotype" w:eastAsia="Palatino Linotype" w:hAnsi="Palatino Linotype" w:cs="Palatino Linotype"/>
          <w:sz w:val="22"/>
          <w:szCs w:val="22"/>
        </w:rPr>
      </w:pPr>
    </w:p>
    <w:p w14:paraId="5AC04EEE" w14:textId="77777777" w:rsidR="00844E25" w:rsidRPr="00A36F3D" w:rsidRDefault="00844E25">
      <w:pPr>
        <w:spacing w:before="240" w:after="240" w:line="360" w:lineRule="auto"/>
        <w:jc w:val="both"/>
        <w:rPr>
          <w:rFonts w:ascii="Palatino Linotype" w:eastAsia="Palatino Linotype" w:hAnsi="Palatino Linotype" w:cs="Palatino Linotype"/>
          <w:sz w:val="22"/>
          <w:szCs w:val="22"/>
        </w:rPr>
      </w:pPr>
    </w:p>
    <w:p w14:paraId="2237E303" w14:textId="77777777" w:rsidR="00F11CC6" w:rsidRPr="00A36F3D" w:rsidRDefault="00C019B0">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A36F3D">
        <w:rPr>
          <w:rFonts w:ascii="Palatino Linotype" w:eastAsia="Palatino Linotype" w:hAnsi="Palatino Linotype" w:cs="Palatino Linotype"/>
          <w:b/>
          <w:sz w:val="22"/>
          <w:szCs w:val="22"/>
        </w:rPr>
        <w:t>R E S U E L V E:</w:t>
      </w:r>
    </w:p>
    <w:p w14:paraId="550CB82A" w14:textId="77777777" w:rsidR="00F11CC6" w:rsidRPr="00A36F3D" w:rsidRDefault="00C019B0">
      <w:pPr>
        <w:spacing w:before="240" w:after="240" w:line="360" w:lineRule="auto"/>
        <w:jc w:val="both"/>
        <w:rPr>
          <w:rFonts w:ascii="Palatino Linotype" w:eastAsia="Palatino Linotype" w:hAnsi="Palatino Linotype" w:cs="Palatino Linotype"/>
          <w:b/>
          <w:sz w:val="22"/>
          <w:szCs w:val="22"/>
        </w:rPr>
      </w:pPr>
      <w:r w:rsidRPr="00A36F3D">
        <w:rPr>
          <w:rFonts w:ascii="Palatino Linotype" w:eastAsia="Palatino Linotype" w:hAnsi="Palatino Linotype" w:cs="Palatino Linotype"/>
          <w:b/>
          <w:sz w:val="22"/>
          <w:szCs w:val="22"/>
        </w:rPr>
        <w:t xml:space="preserve">Primero. </w:t>
      </w:r>
      <w:r w:rsidRPr="00A36F3D">
        <w:rPr>
          <w:rFonts w:ascii="Palatino Linotype" w:eastAsia="Palatino Linotype" w:hAnsi="Palatino Linotype" w:cs="Palatino Linotype"/>
          <w:sz w:val="22"/>
          <w:szCs w:val="22"/>
        </w:rPr>
        <w:t>Resultan</w:t>
      </w:r>
      <w:r w:rsidRPr="00A36F3D">
        <w:rPr>
          <w:rFonts w:ascii="Palatino Linotype" w:eastAsia="Palatino Linotype" w:hAnsi="Palatino Linotype" w:cs="Palatino Linotype"/>
          <w:b/>
          <w:sz w:val="22"/>
          <w:szCs w:val="22"/>
        </w:rPr>
        <w:t xml:space="preserve"> fundados </w:t>
      </w:r>
      <w:r w:rsidRPr="00A36F3D">
        <w:rPr>
          <w:rFonts w:ascii="Palatino Linotype" w:eastAsia="Palatino Linotype" w:hAnsi="Palatino Linotype" w:cs="Palatino Linotype"/>
          <w:sz w:val="22"/>
          <w:szCs w:val="22"/>
        </w:rPr>
        <w:t xml:space="preserve">los motivos de inconformidad hechos valer por </w:t>
      </w:r>
      <w:r w:rsidRPr="00A36F3D">
        <w:rPr>
          <w:rFonts w:ascii="Palatino Linotype" w:eastAsia="Palatino Linotype" w:hAnsi="Palatino Linotype" w:cs="Palatino Linotype"/>
          <w:b/>
          <w:sz w:val="22"/>
          <w:szCs w:val="22"/>
        </w:rPr>
        <w:t>la parte Recurrente</w:t>
      </w:r>
      <w:r w:rsidRPr="00A36F3D">
        <w:rPr>
          <w:rFonts w:ascii="Palatino Linotype" w:eastAsia="Palatino Linotype" w:hAnsi="Palatino Linotype" w:cs="Palatino Linotype"/>
          <w:sz w:val="22"/>
          <w:szCs w:val="22"/>
        </w:rPr>
        <w:t xml:space="preserve"> en el Recurso de Revisión</w:t>
      </w:r>
      <w:r w:rsidRPr="00A36F3D">
        <w:rPr>
          <w:rFonts w:ascii="Palatino Linotype" w:eastAsia="Palatino Linotype" w:hAnsi="Palatino Linotype" w:cs="Palatino Linotype"/>
          <w:b/>
          <w:sz w:val="22"/>
          <w:szCs w:val="22"/>
        </w:rPr>
        <w:t xml:space="preserve"> 10269/INFOEM/IP/RR/2025, </w:t>
      </w:r>
      <w:r w:rsidRPr="00A36F3D">
        <w:rPr>
          <w:rFonts w:ascii="Palatino Linotype" w:eastAsia="Palatino Linotype" w:hAnsi="Palatino Linotype" w:cs="Palatino Linotype"/>
          <w:sz w:val="22"/>
          <w:szCs w:val="22"/>
        </w:rPr>
        <w:t>por lo que</w:t>
      </w:r>
      <w:r w:rsidRPr="00A36F3D">
        <w:rPr>
          <w:rFonts w:ascii="Palatino Linotype" w:eastAsia="Palatino Linotype" w:hAnsi="Palatino Linotype" w:cs="Palatino Linotype"/>
          <w:b/>
          <w:sz w:val="22"/>
          <w:szCs w:val="22"/>
        </w:rPr>
        <w:t xml:space="preserve">, en términos del Considerando Cuarto </w:t>
      </w:r>
      <w:r w:rsidRPr="00A36F3D">
        <w:rPr>
          <w:rFonts w:ascii="Palatino Linotype" w:eastAsia="Palatino Linotype" w:hAnsi="Palatino Linotype" w:cs="Palatino Linotype"/>
          <w:sz w:val="22"/>
          <w:szCs w:val="22"/>
        </w:rPr>
        <w:t>de la presente resolución</w:t>
      </w:r>
      <w:r w:rsidRPr="00A36F3D">
        <w:rPr>
          <w:rFonts w:ascii="Palatino Linotype" w:eastAsia="Palatino Linotype" w:hAnsi="Palatino Linotype" w:cs="Palatino Linotype"/>
          <w:b/>
          <w:sz w:val="22"/>
          <w:szCs w:val="22"/>
        </w:rPr>
        <w:t>, se REVOCA l</w:t>
      </w:r>
      <w:r w:rsidRPr="00A36F3D">
        <w:rPr>
          <w:rFonts w:ascii="Palatino Linotype" w:eastAsia="Palatino Linotype" w:hAnsi="Palatino Linotype" w:cs="Palatino Linotype"/>
          <w:sz w:val="22"/>
          <w:szCs w:val="22"/>
        </w:rPr>
        <w:t>a respuesta del</w:t>
      </w:r>
      <w:r w:rsidRPr="00A36F3D">
        <w:rPr>
          <w:rFonts w:ascii="Palatino Linotype" w:eastAsia="Palatino Linotype" w:hAnsi="Palatino Linotype" w:cs="Palatino Linotype"/>
          <w:b/>
          <w:sz w:val="22"/>
          <w:szCs w:val="22"/>
        </w:rPr>
        <w:t xml:space="preserve"> Sujeto Obligado.</w:t>
      </w:r>
    </w:p>
    <w:p w14:paraId="6402076F" w14:textId="65A2A84C" w:rsidR="00F11CC6" w:rsidRPr="00A36F3D" w:rsidRDefault="00C019B0">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A36F3D">
        <w:rPr>
          <w:rFonts w:ascii="Palatino Linotype" w:eastAsia="Palatino Linotype" w:hAnsi="Palatino Linotype" w:cs="Palatino Linotype"/>
          <w:b/>
          <w:sz w:val="22"/>
          <w:szCs w:val="22"/>
        </w:rPr>
        <w:t xml:space="preserve">Segundo. Se Ordena al Sujeto Obligado </w:t>
      </w:r>
      <w:r w:rsidRPr="00A36F3D">
        <w:rPr>
          <w:rFonts w:ascii="Palatino Linotype" w:eastAsia="Palatino Linotype" w:hAnsi="Palatino Linotype" w:cs="Palatino Linotype"/>
          <w:sz w:val="22"/>
          <w:szCs w:val="22"/>
        </w:rPr>
        <w:t>que en términos de los</w:t>
      </w:r>
      <w:r w:rsidRPr="00A36F3D">
        <w:rPr>
          <w:rFonts w:ascii="Palatino Linotype" w:eastAsia="Palatino Linotype" w:hAnsi="Palatino Linotype" w:cs="Palatino Linotype"/>
          <w:b/>
          <w:sz w:val="22"/>
          <w:szCs w:val="22"/>
        </w:rPr>
        <w:t xml:space="preserve"> Considerandos Cuarto y Quinto </w:t>
      </w:r>
      <w:r w:rsidRPr="00A36F3D">
        <w:rPr>
          <w:rFonts w:ascii="Palatino Linotype" w:eastAsia="Palatino Linotype" w:hAnsi="Palatino Linotype" w:cs="Palatino Linotype"/>
          <w:sz w:val="22"/>
          <w:szCs w:val="22"/>
        </w:rPr>
        <w:t xml:space="preserve">de esta resolución, haga entrega a </w:t>
      </w:r>
      <w:r w:rsidRPr="00A36F3D">
        <w:rPr>
          <w:rFonts w:ascii="Palatino Linotype" w:eastAsia="Palatino Linotype" w:hAnsi="Palatino Linotype" w:cs="Palatino Linotype"/>
          <w:b/>
          <w:sz w:val="22"/>
          <w:szCs w:val="22"/>
        </w:rPr>
        <w:t>la parte Recurrente a través del SAIMEX previa búsqueda exhaustiva y razonable, en versión pública,</w:t>
      </w:r>
      <w:r w:rsidRPr="00A36F3D">
        <w:rPr>
          <w:rFonts w:ascii="Palatino Linotype" w:eastAsia="Palatino Linotype" w:hAnsi="Palatino Linotype" w:cs="Palatino Linotype"/>
          <w:sz w:val="22"/>
          <w:szCs w:val="22"/>
        </w:rPr>
        <w:t xml:space="preserve"> la siguiente información:</w:t>
      </w:r>
    </w:p>
    <w:p w14:paraId="3CE427E8" w14:textId="07390F20" w:rsidR="00F11CC6" w:rsidRPr="00A36F3D" w:rsidRDefault="00C019B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36F3D">
        <w:rPr>
          <w:rFonts w:ascii="Palatino Linotype" w:eastAsia="Palatino Linotype" w:hAnsi="Palatino Linotype" w:cs="Palatino Linotype"/>
          <w:b/>
          <w:sz w:val="22"/>
          <w:szCs w:val="22"/>
        </w:rPr>
        <w:t>Expediente de adquisición del camión equipado para Bomberos referido en la solicitud</w:t>
      </w:r>
      <w:r w:rsidR="00844E25" w:rsidRPr="00A36F3D">
        <w:rPr>
          <w:rFonts w:ascii="Palatino Linotype" w:eastAsia="Palatino Linotype" w:hAnsi="Palatino Linotype" w:cs="Palatino Linotype"/>
          <w:b/>
          <w:sz w:val="22"/>
          <w:szCs w:val="22"/>
        </w:rPr>
        <w:t xml:space="preserve"> al dieciocho de agosto de dos mil veinticinco</w:t>
      </w:r>
      <w:r w:rsidRPr="00A36F3D">
        <w:rPr>
          <w:rFonts w:ascii="Palatino Linotype" w:eastAsia="Palatino Linotype" w:hAnsi="Palatino Linotype" w:cs="Palatino Linotype"/>
          <w:b/>
          <w:sz w:val="22"/>
          <w:szCs w:val="22"/>
        </w:rPr>
        <w:t>;</w:t>
      </w:r>
      <w:r w:rsidR="00844E25" w:rsidRPr="00A36F3D">
        <w:rPr>
          <w:rFonts w:ascii="Palatino Linotype" w:eastAsia="Palatino Linotype" w:hAnsi="Palatino Linotype" w:cs="Palatino Linotype"/>
          <w:b/>
          <w:sz w:val="22"/>
          <w:szCs w:val="22"/>
        </w:rPr>
        <w:t xml:space="preserve"> y,</w:t>
      </w:r>
    </w:p>
    <w:p w14:paraId="17DBCF6B" w14:textId="40421D48" w:rsidR="00F11CC6" w:rsidRPr="00A36F3D" w:rsidRDefault="00C019B0">
      <w:pPr>
        <w:numPr>
          <w:ilvl w:val="0"/>
          <w:numId w:val="7"/>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A36F3D">
        <w:rPr>
          <w:rFonts w:ascii="Palatino Linotype" w:eastAsia="Palatino Linotype" w:hAnsi="Palatino Linotype" w:cs="Palatino Linotype"/>
          <w:b/>
          <w:sz w:val="22"/>
          <w:szCs w:val="22"/>
        </w:rPr>
        <w:t>Gastos de viáticos generados, a mayor grado de desagregación, por la Adquisición del camión equipado para Bomberos en el extranjero</w:t>
      </w:r>
      <w:r w:rsidR="00844E25" w:rsidRPr="00A36F3D">
        <w:rPr>
          <w:rFonts w:ascii="Palatino Linotype" w:eastAsia="Palatino Linotype" w:hAnsi="Palatino Linotype" w:cs="Palatino Linotype"/>
          <w:b/>
          <w:sz w:val="22"/>
          <w:szCs w:val="22"/>
        </w:rPr>
        <w:t xml:space="preserve"> al dieciocho de agosto de dos mil veinticinco</w:t>
      </w:r>
      <w:r w:rsidRPr="00A36F3D">
        <w:rPr>
          <w:rFonts w:ascii="Palatino Linotype" w:eastAsia="Palatino Linotype" w:hAnsi="Palatino Linotype" w:cs="Palatino Linotype"/>
          <w:b/>
          <w:sz w:val="22"/>
          <w:szCs w:val="22"/>
        </w:rPr>
        <w:t>.</w:t>
      </w:r>
    </w:p>
    <w:p w14:paraId="66B0F111" w14:textId="77777777" w:rsidR="00F11CC6" w:rsidRPr="00A36F3D" w:rsidRDefault="00C019B0">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2D1D1808" w14:textId="77777777" w:rsidR="00F11CC6" w:rsidRPr="00A36F3D" w:rsidRDefault="00F11CC6">
      <w:pPr>
        <w:pBdr>
          <w:top w:val="nil"/>
          <w:left w:val="nil"/>
          <w:bottom w:val="nil"/>
          <w:right w:val="nil"/>
          <w:between w:val="nil"/>
        </w:pBdr>
        <w:ind w:left="567" w:right="560"/>
        <w:jc w:val="both"/>
        <w:rPr>
          <w:rFonts w:ascii="Palatino Linotype" w:eastAsia="Palatino Linotype" w:hAnsi="Palatino Linotype" w:cs="Palatino Linotype"/>
          <w:i/>
          <w:sz w:val="22"/>
          <w:szCs w:val="22"/>
        </w:rPr>
      </w:pPr>
    </w:p>
    <w:p w14:paraId="2F27DED9" w14:textId="77777777" w:rsidR="00F11CC6" w:rsidRPr="00A36F3D" w:rsidRDefault="00C019B0">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Si no se cuenta con el expediente de adquisición referido en el inciso 1), se debe emitir el acuerdo del Comité de Transparencia mediante el cual se declare formalmente la inexistencia de la información, en términos de los artículos 19, 49, fracciones II y XIII, 169 y 170 de la Ley de Transparencia y Acceso a la Información Pública del Estado de México y Municipios. </w:t>
      </w:r>
    </w:p>
    <w:p w14:paraId="06E129D1" w14:textId="77777777" w:rsidR="00844E25" w:rsidRPr="00A36F3D" w:rsidRDefault="00844E25">
      <w:pPr>
        <w:pBdr>
          <w:top w:val="nil"/>
          <w:left w:val="nil"/>
          <w:bottom w:val="nil"/>
          <w:right w:val="nil"/>
          <w:between w:val="nil"/>
        </w:pBdr>
        <w:ind w:left="567" w:right="560"/>
        <w:jc w:val="both"/>
        <w:rPr>
          <w:rFonts w:ascii="Palatino Linotype" w:eastAsia="Palatino Linotype" w:hAnsi="Palatino Linotype" w:cs="Palatino Linotype"/>
          <w:i/>
          <w:sz w:val="22"/>
          <w:szCs w:val="22"/>
        </w:rPr>
      </w:pPr>
    </w:p>
    <w:p w14:paraId="3D30D438" w14:textId="77777777" w:rsidR="00844E25" w:rsidRPr="00A36F3D" w:rsidRDefault="00844E25" w:rsidP="00844E25">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A36F3D">
        <w:rPr>
          <w:rFonts w:ascii="Palatino Linotype" w:eastAsia="Palatino Linotype" w:hAnsi="Palatino Linotype" w:cs="Palatino Linotype"/>
          <w:i/>
          <w:sz w:val="22"/>
          <w:szCs w:val="22"/>
        </w:rPr>
        <w:t>De ser el caso de que no se cuente con la información que se ordena en el numeral 2) por no haberse generado,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 </w:t>
      </w:r>
    </w:p>
    <w:p w14:paraId="49ACFB7D"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 xml:space="preserve">Tercero.  Notifíquese vía SAIMEX, </w:t>
      </w:r>
      <w:r w:rsidRPr="00A36F3D">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C38CFF1" w14:textId="77777777" w:rsidR="00F11CC6" w:rsidRPr="00A36F3D" w:rsidRDefault="00C019B0">
      <w:pPr>
        <w:spacing w:before="240" w:after="240" w:line="360" w:lineRule="auto"/>
        <w:jc w:val="both"/>
        <w:rPr>
          <w:rFonts w:ascii="Palatino Linotype" w:eastAsia="Palatino Linotype" w:hAnsi="Palatino Linotype" w:cs="Palatino Linotype"/>
          <w:sz w:val="22"/>
          <w:szCs w:val="22"/>
        </w:rPr>
      </w:pPr>
      <w:r w:rsidRPr="00A36F3D">
        <w:rPr>
          <w:rFonts w:ascii="Palatino Linotype" w:eastAsia="Palatino Linotype" w:hAnsi="Palatino Linotype" w:cs="Palatino Linotype"/>
          <w:b/>
          <w:sz w:val="22"/>
          <w:szCs w:val="22"/>
        </w:rPr>
        <w:t xml:space="preserve">Cuarto. </w:t>
      </w:r>
      <w:r w:rsidRPr="00A36F3D">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A36F3D">
        <w:rPr>
          <w:rFonts w:ascii="Palatino Linotype" w:eastAsia="Palatino Linotype" w:hAnsi="Palatino Linotype" w:cs="Palatino Linotype"/>
          <w:b/>
          <w:sz w:val="22"/>
          <w:szCs w:val="22"/>
        </w:rPr>
        <w:t>Sujeto Obligado</w:t>
      </w:r>
      <w:r w:rsidRPr="00A36F3D">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A8E08BE" w14:textId="77777777" w:rsidR="00F11CC6" w:rsidRPr="00A36F3D" w:rsidRDefault="00C019B0">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A36F3D">
        <w:rPr>
          <w:rFonts w:ascii="Palatino Linotype" w:eastAsia="Palatino Linotype" w:hAnsi="Palatino Linotype" w:cs="Palatino Linotype"/>
          <w:b/>
          <w:sz w:val="22"/>
          <w:szCs w:val="22"/>
        </w:rPr>
        <w:t xml:space="preserve">Quinto. Notifíquese vía SAIMEX, </w:t>
      </w:r>
      <w:r w:rsidRPr="00A36F3D">
        <w:rPr>
          <w:rFonts w:ascii="Palatino Linotype" w:eastAsia="Palatino Linotype" w:hAnsi="Palatino Linotype" w:cs="Palatino Linotype"/>
          <w:sz w:val="22"/>
          <w:szCs w:val="22"/>
        </w:rPr>
        <w:t>a</w:t>
      </w:r>
      <w:r w:rsidRPr="00A36F3D">
        <w:rPr>
          <w:rFonts w:ascii="Palatino Linotype" w:eastAsia="Palatino Linotype" w:hAnsi="Palatino Linotype" w:cs="Palatino Linotype"/>
          <w:b/>
          <w:sz w:val="22"/>
          <w:szCs w:val="22"/>
        </w:rPr>
        <w:t xml:space="preserve"> la parte Recurrente</w:t>
      </w:r>
      <w:r w:rsidRPr="00A36F3D">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35F26A11" w14:textId="77777777" w:rsidR="00F11CC6" w:rsidRPr="00A36F3D" w:rsidRDefault="00F11CC6">
      <w:pPr>
        <w:spacing w:line="360" w:lineRule="auto"/>
        <w:jc w:val="both"/>
        <w:rPr>
          <w:rFonts w:ascii="Palatino Linotype" w:eastAsia="Palatino Linotype" w:hAnsi="Palatino Linotype" w:cs="Palatino Linotype"/>
          <w:b/>
          <w:sz w:val="22"/>
          <w:szCs w:val="22"/>
        </w:rPr>
      </w:pPr>
    </w:p>
    <w:p w14:paraId="2FDBF08F" w14:textId="77777777" w:rsidR="00F11CC6" w:rsidRPr="00903D5D" w:rsidRDefault="00C019B0">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A36F3D">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CINCO DE NOVIEMBRE DE DOS MIL VEINTICINCO, ANTE EL SECRETARIO TÉCNICO DEL PLENO ALEXIS TAPIA RAMÍREZ.</w:t>
      </w:r>
    </w:p>
    <w:p w14:paraId="23A86462" w14:textId="77777777" w:rsidR="00F11CC6" w:rsidRPr="00903D5D" w:rsidRDefault="00F11CC6">
      <w:pPr>
        <w:spacing w:line="360" w:lineRule="auto"/>
        <w:ind w:right="-93"/>
        <w:jc w:val="both"/>
        <w:rPr>
          <w:rFonts w:ascii="Palatino Linotype" w:eastAsia="Palatino Linotype" w:hAnsi="Palatino Linotype" w:cs="Palatino Linotype"/>
          <w:sz w:val="22"/>
          <w:szCs w:val="22"/>
        </w:rPr>
      </w:pPr>
    </w:p>
    <w:p w14:paraId="0E1FD38E" w14:textId="77777777" w:rsidR="00F11CC6" w:rsidRPr="00903D5D" w:rsidRDefault="00F11CC6">
      <w:pPr>
        <w:spacing w:line="360" w:lineRule="auto"/>
        <w:ind w:right="-93"/>
        <w:jc w:val="both"/>
        <w:rPr>
          <w:rFonts w:ascii="Palatino Linotype" w:eastAsia="Palatino Linotype" w:hAnsi="Palatino Linotype" w:cs="Palatino Linotype"/>
          <w:sz w:val="22"/>
          <w:szCs w:val="22"/>
        </w:rPr>
      </w:pPr>
    </w:p>
    <w:p w14:paraId="76039ACA" w14:textId="77777777" w:rsidR="00F11CC6" w:rsidRPr="00903D5D" w:rsidRDefault="00F11CC6">
      <w:pPr>
        <w:spacing w:line="360" w:lineRule="auto"/>
        <w:ind w:right="-93"/>
        <w:jc w:val="both"/>
        <w:rPr>
          <w:rFonts w:ascii="Palatino Linotype" w:eastAsia="Palatino Linotype" w:hAnsi="Palatino Linotype" w:cs="Palatino Linotype"/>
          <w:sz w:val="22"/>
          <w:szCs w:val="22"/>
        </w:rPr>
      </w:pPr>
    </w:p>
    <w:p w14:paraId="03563E08" w14:textId="77777777" w:rsidR="00F11CC6" w:rsidRPr="00903D5D" w:rsidRDefault="00F11CC6">
      <w:pPr>
        <w:spacing w:line="360" w:lineRule="auto"/>
        <w:ind w:right="-93"/>
        <w:jc w:val="both"/>
        <w:rPr>
          <w:rFonts w:ascii="Palatino Linotype" w:eastAsia="Palatino Linotype" w:hAnsi="Palatino Linotype" w:cs="Palatino Linotype"/>
          <w:sz w:val="22"/>
          <w:szCs w:val="22"/>
        </w:rPr>
      </w:pPr>
    </w:p>
    <w:p w14:paraId="1E967C1F" w14:textId="77777777" w:rsidR="00F11CC6" w:rsidRPr="00903D5D" w:rsidRDefault="00F11CC6">
      <w:pPr>
        <w:spacing w:line="360" w:lineRule="auto"/>
        <w:ind w:right="-93"/>
        <w:jc w:val="both"/>
        <w:rPr>
          <w:rFonts w:ascii="Palatino Linotype" w:eastAsia="Palatino Linotype" w:hAnsi="Palatino Linotype" w:cs="Palatino Linotype"/>
          <w:sz w:val="22"/>
          <w:szCs w:val="22"/>
        </w:rPr>
      </w:pPr>
    </w:p>
    <w:p w14:paraId="0E24621E" w14:textId="77777777" w:rsidR="00F11CC6" w:rsidRPr="00903D5D" w:rsidRDefault="00F11CC6">
      <w:pPr>
        <w:spacing w:line="360" w:lineRule="auto"/>
        <w:ind w:right="49"/>
        <w:jc w:val="both"/>
        <w:rPr>
          <w:rFonts w:ascii="Palatino Linotype" w:eastAsia="Palatino Linotype" w:hAnsi="Palatino Linotype" w:cs="Palatino Linotype"/>
          <w:sz w:val="22"/>
          <w:szCs w:val="22"/>
        </w:rPr>
      </w:pPr>
    </w:p>
    <w:p w14:paraId="123685EB"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50BC4E5A"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6316C58F"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7BA5EA3E"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271850EC"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6AE54613"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78BE26A8"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31DE00A1"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2CCAF53C"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012EC2FC"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79FAFC42"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2CAC7175"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6E894FB8"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24C44B38"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1986631C"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5394F2C0"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143197D4"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4D9A5EF4"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3639A6A9"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5CBB6A13"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1CE13C16"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07CAE206"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0D4DC558"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7B98672E"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p w14:paraId="20BB41FB" w14:textId="77777777" w:rsidR="00903D5D" w:rsidRPr="00903D5D" w:rsidRDefault="00903D5D">
      <w:pPr>
        <w:spacing w:line="360" w:lineRule="auto"/>
        <w:ind w:right="49"/>
        <w:jc w:val="both"/>
        <w:rPr>
          <w:rFonts w:ascii="Palatino Linotype" w:eastAsia="Palatino Linotype" w:hAnsi="Palatino Linotype" w:cs="Palatino Linotype"/>
          <w:sz w:val="22"/>
          <w:szCs w:val="22"/>
        </w:rPr>
      </w:pPr>
    </w:p>
    <w:sectPr w:rsidR="00903D5D" w:rsidRPr="00903D5D">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5966F" w14:textId="77777777" w:rsidR="00127DFA" w:rsidRDefault="00127DFA">
      <w:r>
        <w:separator/>
      </w:r>
    </w:p>
  </w:endnote>
  <w:endnote w:type="continuationSeparator" w:id="0">
    <w:p w14:paraId="30FA6308" w14:textId="77777777" w:rsidR="00127DFA" w:rsidRDefault="00127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D8E6FAA9-C238-422E-A684-AE8AADD95DCB}"/>
  </w:font>
  <w:font w:name="Palatino Linotype">
    <w:panose1 w:val="02040502050505030304"/>
    <w:charset w:val="00"/>
    <w:family w:val="roman"/>
    <w:pitch w:val="variable"/>
    <w:sig w:usb0="E0000287" w:usb1="40000013" w:usb2="00000000" w:usb3="00000000" w:csb0="0000019F" w:csb1="00000000"/>
    <w:embedRegular r:id="rId2" w:fontKey="{583DCBAE-F256-43FD-8CE2-267738E49880}"/>
    <w:embedBold r:id="rId3" w:fontKey="{7423F231-1448-435F-8639-C59D693E2C1B}"/>
    <w:embedItalic r:id="rId4" w:fontKey="{0C3E1784-6515-45F9-A5A6-7497352E732B}"/>
    <w:embedBoldItalic r:id="rId5" w:fontKey="{324F25E5-127C-4AA4-9078-F2FA83E8A67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92A6F2D3-9504-4DC8-8CD8-424D9E4D5283}"/>
    <w:embedBold r:id="rId7" w:fontKey="{9CB6F2D2-7E76-43D1-A1FE-1312588A98FB}"/>
  </w:font>
  <w:font w:name="Bookman Old Style">
    <w:panose1 w:val="02050604050505020204"/>
    <w:charset w:val="00"/>
    <w:family w:val="roman"/>
    <w:pitch w:val="variable"/>
    <w:sig w:usb0="00000287" w:usb1="00000000" w:usb2="00000000" w:usb3="00000000" w:csb0="0000009F" w:csb1="00000000"/>
    <w:embedRegular r:id="rId8" w:fontKey="{6B074EF1-81B2-476E-8FF8-E734C2DF5D40}"/>
  </w:font>
  <w:font w:name="Georgia">
    <w:panose1 w:val="02040502050405020303"/>
    <w:charset w:val="00"/>
    <w:family w:val="roman"/>
    <w:pitch w:val="variable"/>
    <w:sig w:usb0="00000287" w:usb1="00000000" w:usb2="00000000" w:usb3="00000000" w:csb0="0000009F" w:csb1="00000000"/>
    <w:embedRegular r:id="rId9" w:fontKey="{A5953E91-7160-4C4D-8D3E-F129C7E05D6E}"/>
    <w:embedItalic r:id="rId10" w:fontKey="{A9F22186-2726-48F2-9C00-C2F647A62A90}"/>
  </w:font>
  <w:font w:name="Calibri Light">
    <w:panose1 w:val="020F0302020204030204"/>
    <w:charset w:val="00"/>
    <w:family w:val="swiss"/>
    <w:pitch w:val="variable"/>
    <w:sig w:usb0="E4002EFF" w:usb1="C200247B" w:usb2="00000009" w:usb3="00000000" w:csb0="000001FF" w:csb1="00000000"/>
    <w:embedRegular r:id="rId11" w:fontKey="{587D55F6-877D-4D01-94E0-3D2305B6C4B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A3768" w14:textId="2F38E153" w:rsidR="00F11CC6" w:rsidRDefault="00C019B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315CA">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315CA">
      <w:rPr>
        <w:b/>
        <w:noProof/>
        <w:color w:val="000000"/>
      </w:rPr>
      <w:t>49</w:t>
    </w:r>
    <w:r>
      <w:rPr>
        <w:b/>
        <w:color w:val="000000"/>
      </w:rPr>
      <w:fldChar w:fldCharType="end"/>
    </w:r>
  </w:p>
  <w:p w14:paraId="128C52CC" w14:textId="77777777" w:rsidR="00F11CC6" w:rsidRDefault="00F11CC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0406A" w14:textId="3EE4EFAF" w:rsidR="00F11CC6" w:rsidRDefault="00C019B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315CA">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315CA">
      <w:rPr>
        <w:b/>
        <w:noProof/>
        <w:color w:val="000000"/>
      </w:rPr>
      <w:t>49</w:t>
    </w:r>
    <w:r>
      <w:rPr>
        <w:b/>
        <w:color w:val="000000"/>
      </w:rPr>
      <w:fldChar w:fldCharType="end"/>
    </w:r>
  </w:p>
  <w:p w14:paraId="5233E531" w14:textId="77777777" w:rsidR="00F11CC6" w:rsidRDefault="00F11CC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18269" w14:textId="77777777" w:rsidR="00127DFA" w:rsidRDefault="00127DFA">
      <w:r>
        <w:separator/>
      </w:r>
    </w:p>
  </w:footnote>
  <w:footnote w:type="continuationSeparator" w:id="0">
    <w:p w14:paraId="1A30D5AC" w14:textId="77777777" w:rsidR="00127DFA" w:rsidRDefault="00127D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ABB91" w14:textId="77777777" w:rsidR="00F11CC6" w:rsidRDefault="00C019B0">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3C94E2AF" wp14:editId="36C92D57">
          <wp:simplePos x="0" y="0"/>
          <wp:positionH relativeFrom="column">
            <wp:posOffset>0</wp:posOffset>
          </wp:positionH>
          <wp:positionV relativeFrom="paragraph">
            <wp:posOffset>-401953</wp:posOffset>
          </wp:positionV>
          <wp:extent cx="7809876" cy="10165823"/>
          <wp:effectExtent l="0" t="0" r="0" b="0"/>
          <wp:wrapNone/>
          <wp:docPr id="3906129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F11CC6" w14:paraId="3D833A4D" w14:textId="77777777">
      <w:tc>
        <w:tcPr>
          <w:tcW w:w="2551" w:type="dxa"/>
          <w:vAlign w:val="center"/>
        </w:tcPr>
        <w:p w14:paraId="79CA5F06" w14:textId="77777777" w:rsidR="00F11CC6" w:rsidRDefault="00C019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63AC4F9B" w14:textId="77777777" w:rsidR="00F11CC6" w:rsidRDefault="00F11C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6476D2D6" w14:textId="77777777" w:rsidR="00F11CC6" w:rsidRDefault="00C019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10269/INFOEM/IP/RR/2025</w:t>
          </w:r>
        </w:p>
      </w:tc>
    </w:tr>
    <w:tr w:rsidR="00F11CC6" w14:paraId="01306C4A" w14:textId="77777777">
      <w:trPr>
        <w:trHeight w:val="217"/>
      </w:trPr>
      <w:tc>
        <w:tcPr>
          <w:tcW w:w="2551" w:type="dxa"/>
          <w:vAlign w:val="center"/>
        </w:tcPr>
        <w:p w14:paraId="6E607EA7" w14:textId="77777777" w:rsidR="00F11CC6" w:rsidRDefault="00C019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06E7AEFA" w14:textId="77777777" w:rsidR="00F11CC6" w:rsidRDefault="00C019B0">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1"/>
              <w:szCs w:val="21"/>
            </w:rPr>
            <w:t>Ayuntamiento de Teoloyucan</w:t>
          </w:r>
        </w:p>
      </w:tc>
    </w:tr>
    <w:tr w:rsidR="00F11CC6" w14:paraId="25B0A8FE" w14:textId="77777777">
      <w:tc>
        <w:tcPr>
          <w:tcW w:w="2551" w:type="dxa"/>
          <w:vAlign w:val="center"/>
        </w:tcPr>
        <w:p w14:paraId="39B70097" w14:textId="77777777" w:rsidR="00F11CC6" w:rsidRDefault="00C019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3C9E730E" w14:textId="77777777" w:rsidR="00F11CC6" w:rsidRDefault="00C019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054FE800" w14:textId="77777777" w:rsidR="00F11CC6" w:rsidRDefault="00F11CC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51D7C" w14:textId="77777777" w:rsidR="00F11CC6" w:rsidRDefault="00C019B0">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5EDD2D4F" wp14:editId="66200D35">
          <wp:simplePos x="0" y="0"/>
          <wp:positionH relativeFrom="column">
            <wp:posOffset>-929004</wp:posOffset>
          </wp:positionH>
          <wp:positionV relativeFrom="paragraph">
            <wp:posOffset>-644524</wp:posOffset>
          </wp:positionV>
          <wp:extent cx="7809865" cy="10165715"/>
          <wp:effectExtent l="0" t="0" r="0" b="0"/>
          <wp:wrapNone/>
          <wp:docPr id="3906129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F11CC6" w14:paraId="46FEF0A8" w14:textId="77777777">
      <w:tc>
        <w:tcPr>
          <w:tcW w:w="2343" w:type="dxa"/>
          <w:vAlign w:val="center"/>
        </w:tcPr>
        <w:p w14:paraId="2278E83A" w14:textId="77777777" w:rsidR="00F11CC6" w:rsidRDefault="00C019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1371CC2B" w14:textId="77777777" w:rsidR="00F11CC6" w:rsidRDefault="00F11C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0FB251F5" w14:textId="77777777" w:rsidR="00F11CC6" w:rsidRDefault="00C019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10269/INFOEM/IP/RR/2025</w:t>
          </w:r>
        </w:p>
      </w:tc>
    </w:tr>
    <w:tr w:rsidR="00F11CC6" w14:paraId="0409CD23" w14:textId="77777777">
      <w:tc>
        <w:tcPr>
          <w:tcW w:w="2343" w:type="dxa"/>
          <w:vAlign w:val="center"/>
        </w:tcPr>
        <w:p w14:paraId="3D632FE7" w14:textId="77777777" w:rsidR="00F11CC6" w:rsidRDefault="00C019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213186B7" w14:textId="77777777" w:rsidR="00F11CC6" w:rsidRDefault="00F11C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F11CC6" w14:paraId="4669C5BC" w14:textId="77777777">
      <w:trPr>
        <w:trHeight w:val="152"/>
      </w:trPr>
      <w:tc>
        <w:tcPr>
          <w:tcW w:w="2343" w:type="dxa"/>
          <w:vAlign w:val="center"/>
        </w:tcPr>
        <w:p w14:paraId="070F631A" w14:textId="77777777" w:rsidR="00F11CC6" w:rsidRDefault="00C019B0">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74599670" w14:textId="77777777" w:rsidR="00F11CC6" w:rsidRDefault="00F11CC6">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2BED3728" w14:textId="77777777" w:rsidR="00F11CC6" w:rsidRDefault="00C019B0">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Ayuntamiento de Teoloyucan</w:t>
          </w:r>
        </w:p>
      </w:tc>
    </w:tr>
    <w:tr w:rsidR="00F11CC6" w14:paraId="366C8F8E" w14:textId="77777777">
      <w:tc>
        <w:tcPr>
          <w:tcW w:w="2343" w:type="dxa"/>
          <w:vAlign w:val="center"/>
        </w:tcPr>
        <w:p w14:paraId="62D38CB8" w14:textId="77777777" w:rsidR="00F11CC6" w:rsidRDefault="00C019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68CA5D5C" w14:textId="77777777" w:rsidR="00F11CC6" w:rsidRDefault="00C019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7DCBFB19" w14:textId="77777777" w:rsidR="00F11CC6" w:rsidRDefault="00C019B0">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323CF"/>
    <w:multiLevelType w:val="multilevel"/>
    <w:tmpl w:val="FB9C1AE8"/>
    <w:lvl w:ilvl="0">
      <w:start w:val="1"/>
      <w:numFmt w:val="lowerLetter"/>
      <w:lvlText w:val="%1)"/>
      <w:lvlJc w:val="left"/>
      <w:pPr>
        <w:ind w:left="1818" w:hanging="40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 w15:restartNumberingAfterBreak="0">
    <w:nsid w:val="1F51248E"/>
    <w:multiLevelType w:val="multilevel"/>
    <w:tmpl w:val="11484940"/>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30671D16"/>
    <w:multiLevelType w:val="multilevel"/>
    <w:tmpl w:val="1E1EBD4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3DD5B17"/>
    <w:multiLevelType w:val="multilevel"/>
    <w:tmpl w:val="935A4888"/>
    <w:lvl w:ilvl="0">
      <w:start w:val="2"/>
      <w:numFmt w:val="bullet"/>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64E11F0"/>
    <w:multiLevelType w:val="multilevel"/>
    <w:tmpl w:val="ACDAB48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8717A16"/>
    <w:multiLevelType w:val="multilevel"/>
    <w:tmpl w:val="FE0A5F92"/>
    <w:lvl w:ilvl="0">
      <w:numFmt w:val="lowerLetter"/>
      <w:pStyle w:val="Listaconvietas"/>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9082A0B"/>
    <w:multiLevelType w:val="multilevel"/>
    <w:tmpl w:val="458A4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E34129F"/>
    <w:multiLevelType w:val="multilevel"/>
    <w:tmpl w:val="22100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3"/>
  </w:num>
  <w:num w:numId="3">
    <w:abstractNumId w:val="11"/>
  </w:num>
  <w:num w:numId="4">
    <w:abstractNumId w:val="8"/>
  </w:num>
  <w:num w:numId="5">
    <w:abstractNumId w:val="5"/>
  </w:num>
  <w:num w:numId="6">
    <w:abstractNumId w:val="7"/>
  </w:num>
  <w:num w:numId="7">
    <w:abstractNumId w:val="1"/>
  </w:num>
  <w:num w:numId="8">
    <w:abstractNumId w:val="10"/>
  </w:num>
  <w:num w:numId="9">
    <w:abstractNumId w:val="9"/>
  </w:num>
  <w:num w:numId="10">
    <w:abstractNumId w:val="6"/>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CC6"/>
    <w:rsid w:val="00127DFA"/>
    <w:rsid w:val="004E1DE3"/>
    <w:rsid w:val="006B1A52"/>
    <w:rsid w:val="00844E25"/>
    <w:rsid w:val="009036A5"/>
    <w:rsid w:val="00903D5D"/>
    <w:rsid w:val="00A36F3D"/>
    <w:rsid w:val="00AD0F71"/>
    <w:rsid w:val="00C019B0"/>
    <w:rsid w:val="00F11CC6"/>
    <w:rsid w:val="00F315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730DF"/>
  <w15:docId w15:val="{FDC55045-0CA4-42EC-B7DB-AFE247D52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customStyle="1" w:styleId="p1">
    <w:name w:val="p1"/>
    <w:basedOn w:val="Normal"/>
    <w:rsid w:val="006F0EE5"/>
    <w:rPr>
      <w:rFonts w:ascii="Bookman Old Style" w:hAnsi="Bookman Old Style"/>
      <w:color w:val="000000"/>
      <w:sz w:val="15"/>
      <w:szCs w:val="15"/>
      <w:lang w:val="es-ES" w:eastAsia="es-ES_tradnl"/>
    </w:rPr>
  </w:style>
  <w:style w:type="character" w:customStyle="1" w:styleId="UnresolvedMention">
    <w:name w:val="Unresolved Mention"/>
    <w:basedOn w:val="Fuentedeprrafopredeter"/>
    <w:uiPriority w:val="99"/>
    <w:semiHidden/>
    <w:unhideWhenUsed/>
    <w:rsid w:val="000240A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mexiquensenoticias.com/teoloyucan-incorpora-su-primer-camion-de-bombero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0SWNsUuWVmvAJdnu4Kc04mrzug==">CgMxLjAyCWguM3pueXNoNzIOaC5qM3BweXh3bGIxczIyCGgudHlqY3d0Mg1oLmpsMGRsYXNvdDRmOAByITF5aVkyeUFNTFRTQzd1cFVVem55RnVzQTJvUzZ1R1BIaw==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13117</Words>
  <Characters>72147</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2025-11-14T19:04:00Z</cp:lastPrinted>
  <dcterms:created xsi:type="dcterms:W3CDTF">2025-12-10T23:31:00Z</dcterms:created>
  <dcterms:modified xsi:type="dcterms:W3CDTF">2025-12-10T23:31:00Z</dcterms:modified>
</cp:coreProperties>
</file>