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62DE4A05" w:rsidR="00A50615" w:rsidRPr="00A633E9" w:rsidRDefault="00C04044" w:rsidP="00C04044">
          <w:pPr>
            <w:pStyle w:val="TtuloTDC"/>
            <w:spacing w:before="0" w:line="360" w:lineRule="auto"/>
            <w:jc w:val="center"/>
            <w:rPr>
              <w:rFonts w:ascii="Palatino Linotype" w:hAnsi="Palatino Linotype"/>
              <w:color w:val="auto"/>
              <w:sz w:val="22"/>
              <w:szCs w:val="22"/>
            </w:rPr>
          </w:pPr>
          <w:r w:rsidRPr="00A633E9">
            <w:rPr>
              <w:rFonts w:ascii="Palatino Linotype" w:hAnsi="Palatino Linotype"/>
              <w:color w:val="auto"/>
              <w:sz w:val="22"/>
              <w:szCs w:val="22"/>
              <w:lang w:val="es-ES"/>
            </w:rPr>
            <w:t xml:space="preserve">RESOLUCIÓN DEL RECURSO DE REVISIÓN </w:t>
          </w:r>
          <w:r w:rsidRPr="00A633E9">
            <w:rPr>
              <w:rFonts w:ascii="Palatino Linotype" w:hAnsi="Palatino Linotype"/>
              <w:color w:val="auto"/>
              <w:sz w:val="22"/>
              <w:szCs w:val="22"/>
            </w:rPr>
            <w:t>0</w:t>
          </w:r>
          <w:r w:rsidR="00656D23" w:rsidRPr="00A633E9">
            <w:rPr>
              <w:rFonts w:ascii="Palatino Linotype" w:hAnsi="Palatino Linotype"/>
              <w:color w:val="auto"/>
              <w:sz w:val="22"/>
              <w:szCs w:val="22"/>
            </w:rPr>
            <w:t>0756</w:t>
          </w:r>
          <w:r w:rsidRPr="00A633E9">
            <w:rPr>
              <w:rFonts w:ascii="Palatino Linotype" w:hAnsi="Palatino Linotype"/>
              <w:color w:val="auto"/>
              <w:sz w:val="22"/>
              <w:szCs w:val="22"/>
            </w:rPr>
            <w:t>/INFOEM/IP/RR/202</w:t>
          </w:r>
          <w:r w:rsidR="005F757D" w:rsidRPr="00A633E9">
            <w:rPr>
              <w:rFonts w:ascii="Palatino Linotype" w:hAnsi="Palatino Linotype"/>
              <w:color w:val="auto"/>
              <w:sz w:val="22"/>
              <w:szCs w:val="22"/>
            </w:rPr>
            <w:t>5</w:t>
          </w:r>
        </w:p>
        <w:p w14:paraId="139DEA85" w14:textId="77777777" w:rsidR="0012600D" w:rsidRPr="00A633E9" w:rsidRDefault="00A50615">
          <w:pPr>
            <w:pStyle w:val="TDC1"/>
            <w:tabs>
              <w:tab w:val="right" w:leader="dot" w:pos="9204"/>
            </w:tabs>
            <w:rPr>
              <w:rFonts w:asciiTheme="minorHAnsi" w:eastAsiaTheme="minorEastAsia" w:hAnsiTheme="minorHAnsi" w:cstheme="minorBidi"/>
              <w:noProof/>
              <w:color w:val="auto"/>
            </w:rPr>
          </w:pPr>
          <w:r w:rsidRPr="00A633E9">
            <w:fldChar w:fldCharType="begin"/>
          </w:r>
          <w:r w:rsidRPr="00A633E9">
            <w:instrText xml:space="preserve"> TOC \o "1-3" \h \z \u </w:instrText>
          </w:r>
          <w:r w:rsidRPr="00A633E9">
            <w:fldChar w:fldCharType="separate"/>
          </w:r>
          <w:hyperlink w:anchor="_Toc198822014" w:history="1">
            <w:r w:rsidR="0012600D" w:rsidRPr="00A633E9">
              <w:rPr>
                <w:rStyle w:val="Hipervnculo"/>
                <w:noProof/>
                <w:lang w:eastAsia="en-US"/>
              </w:rPr>
              <w:t>A N T E C E D E N T E S</w:t>
            </w:r>
            <w:r w:rsidR="0012600D" w:rsidRPr="00A633E9">
              <w:rPr>
                <w:noProof/>
                <w:webHidden/>
              </w:rPr>
              <w:tab/>
            </w:r>
            <w:r w:rsidR="0012600D" w:rsidRPr="00A633E9">
              <w:rPr>
                <w:noProof/>
                <w:webHidden/>
              </w:rPr>
              <w:fldChar w:fldCharType="begin"/>
            </w:r>
            <w:r w:rsidR="0012600D" w:rsidRPr="00A633E9">
              <w:rPr>
                <w:noProof/>
                <w:webHidden/>
              </w:rPr>
              <w:instrText xml:space="preserve"> PAGEREF _Toc198822014 \h </w:instrText>
            </w:r>
            <w:r w:rsidR="0012600D" w:rsidRPr="00A633E9">
              <w:rPr>
                <w:noProof/>
                <w:webHidden/>
              </w:rPr>
            </w:r>
            <w:r w:rsidR="0012600D" w:rsidRPr="00A633E9">
              <w:rPr>
                <w:noProof/>
                <w:webHidden/>
              </w:rPr>
              <w:fldChar w:fldCharType="separate"/>
            </w:r>
            <w:r w:rsidR="004632CE">
              <w:rPr>
                <w:noProof/>
                <w:webHidden/>
              </w:rPr>
              <w:t>2</w:t>
            </w:r>
            <w:r w:rsidR="0012600D" w:rsidRPr="00A633E9">
              <w:rPr>
                <w:noProof/>
                <w:webHidden/>
              </w:rPr>
              <w:fldChar w:fldCharType="end"/>
            </w:r>
          </w:hyperlink>
        </w:p>
        <w:p w14:paraId="2C3ABB8C" w14:textId="77777777" w:rsidR="0012600D" w:rsidRPr="00A633E9" w:rsidRDefault="0012600D">
          <w:pPr>
            <w:pStyle w:val="TDC1"/>
            <w:tabs>
              <w:tab w:val="right" w:leader="dot" w:pos="9204"/>
            </w:tabs>
            <w:rPr>
              <w:rFonts w:asciiTheme="minorHAnsi" w:eastAsiaTheme="minorEastAsia" w:hAnsiTheme="minorHAnsi" w:cstheme="minorBidi"/>
              <w:noProof/>
              <w:color w:val="auto"/>
            </w:rPr>
          </w:pPr>
          <w:hyperlink w:anchor="_Toc198822015" w:history="1">
            <w:r w:rsidRPr="00A633E9">
              <w:rPr>
                <w:rStyle w:val="Hipervnculo"/>
                <w:noProof/>
                <w:lang w:eastAsia="es-ES"/>
              </w:rPr>
              <w:t>I. Presentación de la solicitud de información</w:t>
            </w:r>
            <w:r w:rsidRPr="00A633E9">
              <w:rPr>
                <w:noProof/>
                <w:webHidden/>
              </w:rPr>
              <w:tab/>
            </w:r>
            <w:r w:rsidRPr="00A633E9">
              <w:rPr>
                <w:noProof/>
                <w:webHidden/>
              </w:rPr>
              <w:fldChar w:fldCharType="begin"/>
            </w:r>
            <w:r w:rsidRPr="00A633E9">
              <w:rPr>
                <w:noProof/>
                <w:webHidden/>
              </w:rPr>
              <w:instrText xml:space="preserve"> PAGEREF _Toc198822015 \h </w:instrText>
            </w:r>
            <w:r w:rsidRPr="00A633E9">
              <w:rPr>
                <w:noProof/>
                <w:webHidden/>
              </w:rPr>
            </w:r>
            <w:r w:rsidRPr="00A633E9">
              <w:rPr>
                <w:noProof/>
                <w:webHidden/>
              </w:rPr>
              <w:fldChar w:fldCharType="separate"/>
            </w:r>
            <w:r w:rsidR="004632CE">
              <w:rPr>
                <w:noProof/>
                <w:webHidden/>
              </w:rPr>
              <w:t>2</w:t>
            </w:r>
            <w:r w:rsidRPr="00A633E9">
              <w:rPr>
                <w:noProof/>
                <w:webHidden/>
              </w:rPr>
              <w:fldChar w:fldCharType="end"/>
            </w:r>
          </w:hyperlink>
        </w:p>
        <w:p w14:paraId="6439AB6B" w14:textId="77777777" w:rsidR="0012600D" w:rsidRPr="00A633E9" w:rsidRDefault="0012600D">
          <w:pPr>
            <w:pStyle w:val="TDC1"/>
            <w:tabs>
              <w:tab w:val="right" w:leader="dot" w:pos="9204"/>
            </w:tabs>
            <w:rPr>
              <w:rFonts w:asciiTheme="minorHAnsi" w:eastAsiaTheme="minorEastAsia" w:hAnsiTheme="minorHAnsi" w:cstheme="minorBidi"/>
              <w:noProof/>
              <w:color w:val="auto"/>
            </w:rPr>
          </w:pPr>
          <w:hyperlink w:anchor="_Toc198822016" w:history="1">
            <w:r w:rsidRPr="00A633E9">
              <w:rPr>
                <w:rStyle w:val="Hipervnculo"/>
                <w:noProof/>
                <w:lang w:eastAsia="es-ES"/>
              </w:rPr>
              <w:t>II. Respuesta del Sujeto Obligado</w:t>
            </w:r>
            <w:r w:rsidRPr="00A633E9">
              <w:rPr>
                <w:noProof/>
                <w:webHidden/>
              </w:rPr>
              <w:tab/>
            </w:r>
            <w:r w:rsidRPr="00A633E9">
              <w:rPr>
                <w:noProof/>
                <w:webHidden/>
              </w:rPr>
              <w:fldChar w:fldCharType="begin"/>
            </w:r>
            <w:r w:rsidRPr="00A633E9">
              <w:rPr>
                <w:noProof/>
                <w:webHidden/>
              </w:rPr>
              <w:instrText xml:space="preserve"> PAGEREF _Toc198822016 \h </w:instrText>
            </w:r>
            <w:r w:rsidRPr="00A633E9">
              <w:rPr>
                <w:noProof/>
                <w:webHidden/>
              </w:rPr>
            </w:r>
            <w:r w:rsidRPr="00A633E9">
              <w:rPr>
                <w:noProof/>
                <w:webHidden/>
              </w:rPr>
              <w:fldChar w:fldCharType="separate"/>
            </w:r>
            <w:r w:rsidR="004632CE">
              <w:rPr>
                <w:noProof/>
                <w:webHidden/>
              </w:rPr>
              <w:t>3</w:t>
            </w:r>
            <w:r w:rsidRPr="00A633E9">
              <w:rPr>
                <w:noProof/>
                <w:webHidden/>
              </w:rPr>
              <w:fldChar w:fldCharType="end"/>
            </w:r>
          </w:hyperlink>
        </w:p>
        <w:p w14:paraId="1372259B" w14:textId="77777777" w:rsidR="0012600D" w:rsidRPr="00A633E9" w:rsidRDefault="0012600D">
          <w:pPr>
            <w:pStyle w:val="TDC1"/>
            <w:tabs>
              <w:tab w:val="right" w:leader="dot" w:pos="9204"/>
            </w:tabs>
            <w:rPr>
              <w:rFonts w:asciiTheme="minorHAnsi" w:eastAsiaTheme="minorEastAsia" w:hAnsiTheme="minorHAnsi" w:cstheme="minorBidi"/>
              <w:noProof/>
              <w:color w:val="auto"/>
            </w:rPr>
          </w:pPr>
          <w:hyperlink w:anchor="_Toc198822017" w:history="1">
            <w:r w:rsidRPr="00A633E9">
              <w:rPr>
                <w:rStyle w:val="Hipervnculo"/>
                <w:noProof/>
                <w:lang w:eastAsia="en-US"/>
              </w:rPr>
              <w:t>III. Interposición del Recurso de Revisión</w:t>
            </w:r>
            <w:r w:rsidRPr="00A633E9">
              <w:rPr>
                <w:noProof/>
                <w:webHidden/>
              </w:rPr>
              <w:tab/>
            </w:r>
            <w:r w:rsidRPr="00A633E9">
              <w:rPr>
                <w:noProof/>
                <w:webHidden/>
              </w:rPr>
              <w:fldChar w:fldCharType="begin"/>
            </w:r>
            <w:r w:rsidRPr="00A633E9">
              <w:rPr>
                <w:noProof/>
                <w:webHidden/>
              </w:rPr>
              <w:instrText xml:space="preserve"> PAGEREF _Toc198822017 \h </w:instrText>
            </w:r>
            <w:r w:rsidRPr="00A633E9">
              <w:rPr>
                <w:noProof/>
                <w:webHidden/>
              </w:rPr>
            </w:r>
            <w:r w:rsidRPr="00A633E9">
              <w:rPr>
                <w:noProof/>
                <w:webHidden/>
              </w:rPr>
              <w:fldChar w:fldCharType="separate"/>
            </w:r>
            <w:r w:rsidR="004632CE">
              <w:rPr>
                <w:noProof/>
                <w:webHidden/>
              </w:rPr>
              <w:t>3</w:t>
            </w:r>
            <w:r w:rsidRPr="00A633E9">
              <w:rPr>
                <w:noProof/>
                <w:webHidden/>
              </w:rPr>
              <w:fldChar w:fldCharType="end"/>
            </w:r>
          </w:hyperlink>
        </w:p>
        <w:p w14:paraId="1D1956D8" w14:textId="77777777" w:rsidR="0012600D" w:rsidRPr="00A633E9" w:rsidRDefault="0012600D">
          <w:pPr>
            <w:pStyle w:val="TDC1"/>
            <w:tabs>
              <w:tab w:val="right" w:leader="dot" w:pos="9204"/>
            </w:tabs>
            <w:rPr>
              <w:rFonts w:asciiTheme="minorHAnsi" w:eastAsiaTheme="minorEastAsia" w:hAnsiTheme="minorHAnsi" w:cstheme="minorBidi"/>
              <w:noProof/>
              <w:color w:val="auto"/>
            </w:rPr>
          </w:pPr>
          <w:hyperlink w:anchor="_Toc198822018" w:history="1">
            <w:r w:rsidRPr="00A633E9">
              <w:rPr>
                <w:rStyle w:val="Hipervnculo"/>
                <w:rFonts w:eastAsiaTheme="minorHAnsi"/>
                <w:noProof/>
                <w:lang w:eastAsia="en-US"/>
              </w:rPr>
              <w:t xml:space="preserve">V. </w:t>
            </w:r>
            <w:r w:rsidRPr="00A633E9">
              <w:rPr>
                <w:rStyle w:val="Hipervnculo"/>
                <w:noProof/>
                <w:lang w:eastAsia="en-US"/>
              </w:rPr>
              <w:t xml:space="preserve">Trámite del </w:t>
            </w:r>
            <w:r w:rsidRPr="00A633E9">
              <w:rPr>
                <w:rStyle w:val="Hipervnculo"/>
                <w:rFonts w:eastAsiaTheme="minorHAnsi"/>
                <w:noProof/>
                <w:lang w:eastAsia="en-US"/>
              </w:rPr>
              <w:t xml:space="preserve">Recurso de Revisión </w:t>
            </w:r>
            <w:r w:rsidRPr="00A633E9">
              <w:rPr>
                <w:rStyle w:val="Hipervnculo"/>
                <w:noProof/>
                <w:lang w:eastAsia="en-US"/>
              </w:rPr>
              <w:t>ante este Instituto</w:t>
            </w:r>
            <w:r w:rsidRPr="00A633E9">
              <w:rPr>
                <w:noProof/>
                <w:webHidden/>
              </w:rPr>
              <w:tab/>
            </w:r>
            <w:r w:rsidRPr="00A633E9">
              <w:rPr>
                <w:noProof/>
                <w:webHidden/>
              </w:rPr>
              <w:fldChar w:fldCharType="begin"/>
            </w:r>
            <w:r w:rsidRPr="00A633E9">
              <w:rPr>
                <w:noProof/>
                <w:webHidden/>
              </w:rPr>
              <w:instrText xml:space="preserve"> PAGEREF _Toc198822018 \h </w:instrText>
            </w:r>
            <w:r w:rsidRPr="00A633E9">
              <w:rPr>
                <w:noProof/>
                <w:webHidden/>
              </w:rPr>
            </w:r>
            <w:r w:rsidRPr="00A633E9">
              <w:rPr>
                <w:noProof/>
                <w:webHidden/>
              </w:rPr>
              <w:fldChar w:fldCharType="separate"/>
            </w:r>
            <w:r w:rsidR="004632CE">
              <w:rPr>
                <w:noProof/>
                <w:webHidden/>
              </w:rPr>
              <w:t>3</w:t>
            </w:r>
            <w:r w:rsidRPr="00A633E9">
              <w:rPr>
                <w:noProof/>
                <w:webHidden/>
              </w:rPr>
              <w:fldChar w:fldCharType="end"/>
            </w:r>
          </w:hyperlink>
        </w:p>
        <w:p w14:paraId="70256466" w14:textId="77777777" w:rsidR="0012600D" w:rsidRPr="00A633E9" w:rsidRDefault="0012600D">
          <w:pPr>
            <w:pStyle w:val="TDC1"/>
            <w:tabs>
              <w:tab w:val="right" w:leader="dot" w:pos="9204"/>
            </w:tabs>
            <w:rPr>
              <w:rFonts w:asciiTheme="minorHAnsi" w:eastAsiaTheme="minorEastAsia" w:hAnsiTheme="minorHAnsi" w:cstheme="minorBidi"/>
              <w:noProof/>
              <w:color w:val="auto"/>
            </w:rPr>
          </w:pPr>
          <w:hyperlink w:anchor="_Toc198822019" w:history="1">
            <w:r w:rsidRPr="00A633E9">
              <w:rPr>
                <w:rStyle w:val="Hipervnculo"/>
                <w:noProof/>
                <w:lang w:val="es-ES" w:eastAsia="en-US"/>
              </w:rPr>
              <w:t>CONSIDERANDOS</w:t>
            </w:r>
            <w:r w:rsidRPr="00A633E9">
              <w:rPr>
                <w:noProof/>
                <w:webHidden/>
              </w:rPr>
              <w:tab/>
            </w:r>
            <w:r w:rsidRPr="00A633E9">
              <w:rPr>
                <w:noProof/>
                <w:webHidden/>
              </w:rPr>
              <w:fldChar w:fldCharType="begin"/>
            </w:r>
            <w:r w:rsidRPr="00A633E9">
              <w:rPr>
                <w:noProof/>
                <w:webHidden/>
              </w:rPr>
              <w:instrText xml:space="preserve"> PAGEREF _Toc198822019 \h </w:instrText>
            </w:r>
            <w:r w:rsidRPr="00A633E9">
              <w:rPr>
                <w:noProof/>
                <w:webHidden/>
              </w:rPr>
            </w:r>
            <w:r w:rsidRPr="00A633E9">
              <w:rPr>
                <w:noProof/>
                <w:webHidden/>
              </w:rPr>
              <w:fldChar w:fldCharType="separate"/>
            </w:r>
            <w:r w:rsidR="004632CE">
              <w:rPr>
                <w:noProof/>
                <w:webHidden/>
              </w:rPr>
              <w:t>5</w:t>
            </w:r>
            <w:r w:rsidRPr="00A633E9">
              <w:rPr>
                <w:noProof/>
                <w:webHidden/>
              </w:rPr>
              <w:fldChar w:fldCharType="end"/>
            </w:r>
          </w:hyperlink>
        </w:p>
        <w:p w14:paraId="65898547" w14:textId="77777777" w:rsidR="0012600D" w:rsidRPr="00A633E9" w:rsidRDefault="0012600D">
          <w:pPr>
            <w:pStyle w:val="TDC1"/>
            <w:tabs>
              <w:tab w:val="right" w:leader="dot" w:pos="9204"/>
            </w:tabs>
            <w:rPr>
              <w:rFonts w:asciiTheme="minorHAnsi" w:eastAsiaTheme="minorEastAsia" w:hAnsiTheme="minorHAnsi" w:cstheme="minorBidi"/>
              <w:noProof/>
              <w:color w:val="auto"/>
            </w:rPr>
          </w:pPr>
          <w:hyperlink w:anchor="_Toc198822020" w:history="1">
            <w:r w:rsidRPr="00A633E9">
              <w:rPr>
                <w:rStyle w:val="Hipervnculo"/>
                <w:rFonts w:eastAsia="Calibri"/>
                <w:noProof/>
                <w:lang w:val="es-ES"/>
              </w:rPr>
              <w:t xml:space="preserve">PRIMERO. </w:t>
            </w:r>
            <w:r w:rsidRPr="00A633E9">
              <w:rPr>
                <w:rStyle w:val="Hipervnculo"/>
                <w:noProof/>
                <w:lang w:val="es-ES" w:eastAsia="en-US"/>
              </w:rPr>
              <w:t>Competencia</w:t>
            </w:r>
            <w:r w:rsidRPr="00A633E9">
              <w:rPr>
                <w:noProof/>
                <w:webHidden/>
              </w:rPr>
              <w:tab/>
            </w:r>
            <w:r w:rsidRPr="00A633E9">
              <w:rPr>
                <w:noProof/>
                <w:webHidden/>
              </w:rPr>
              <w:fldChar w:fldCharType="begin"/>
            </w:r>
            <w:r w:rsidRPr="00A633E9">
              <w:rPr>
                <w:noProof/>
                <w:webHidden/>
              </w:rPr>
              <w:instrText xml:space="preserve"> PAGEREF _Toc198822020 \h </w:instrText>
            </w:r>
            <w:r w:rsidRPr="00A633E9">
              <w:rPr>
                <w:noProof/>
                <w:webHidden/>
              </w:rPr>
            </w:r>
            <w:r w:rsidRPr="00A633E9">
              <w:rPr>
                <w:noProof/>
                <w:webHidden/>
              </w:rPr>
              <w:fldChar w:fldCharType="separate"/>
            </w:r>
            <w:r w:rsidR="004632CE">
              <w:rPr>
                <w:noProof/>
                <w:webHidden/>
              </w:rPr>
              <w:t>5</w:t>
            </w:r>
            <w:r w:rsidRPr="00A633E9">
              <w:rPr>
                <w:noProof/>
                <w:webHidden/>
              </w:rPr>
              <w:fldChar w:fldCharType="end"/>
            </w:r>
          </w:hyperlink>
        </w:p>
        <w:p w14:paraId="67CAE81B" w14:textId="77777777" w:rsidR="0012600D" w:rsidRPr="00A633E9" w:rsidRDefault="0012600D">
          <w:pPr>
            <w:pStyle w:val="TDC2"/>
            <w:tabs>
              <w:tab w:val="right" w:leader="dot" w:pos="9204"/>
            </w:tabs>
            <w:rPr>
              <w:rFonts w:asciiTheme="minorHAnsi" w:eastAsiaTheme="minorEastAsia" w:hAnsiTheme="minorHAnsi" w:cstheme="minorBidi"/>
              <w:noProof/>
              <w:color w:val="auto"/>
            </w:rPr>
          </w:pPr>
          <w:hyperlink w:anchor="_Toc198822021" w:history="1">
            <w:r w:rsidRPr="00A633E9">
              <w:rPr>
                <w:rStyle w:val="Hipervnculo"/>
                <w:noProof/>
              </w:rPr>
              <w:t>SEGUNDO. Causales de improcedencia y sobreseimiento</w:t>
            </w:r>
            <w:r w:rsidRPr="00A633E9">
              <w:rPr>
                <w:noProof/>
                <w:webHidden/>
              </w:rPr>
              <w:tab/>
            </w:r>
            <w:r w:rsidRPr="00A633E9">
              <w:rPr>
                <w:noProof/>
                <w:webHidden/>
              </w:rPr>
              <w:fldChar w:fldCharType="begin"/>
            </w:r>
            <w:r w:rsidRPr="00A633E9">
              <w:rPr>
                <w:noProof/>
                <w:webHidden/>
              </w:rPr>
              <w:instrText xml:space="preserve"> PAGEREF _Toc198822021 \h </w:instrText>
            </w:r>
            <w:r w:rsidRPr="00A633E9">
              <w:rPr>
                <w:noProof/>
                <w:webHidden/>
              </w:rPr>
            </w:r>
            <w:r w:rsidRPr="00A633E9">
              <w:rPr>
                <w:noProof/>
                <w:webHidden/>
              </w:rPr>
              <w:fldChar w:fldCharType="separate"/>
            </w:r>
            <w:r w:rsidR="004632CE">
              <w:rPr>
                <w:noProof/>
                <w:webHidden/>
              </w:rPr>
              <w:t>5</w:t>
            </w:r>
            <w:r w:rsidRPr="00A633E9">
              <w:rPr>
                <w:noProof/>
                <w:webHidden/>
              </w:rPr>
              <w:fldChar w:fldCharType="end"/>
            </w:r>
          </w:hyperlink>
        </w:p>
        <w:p w14:paraId="6E37428D" w14:textId="77777777" w:rsidR="0012600D" w:rsidRPr="00A633E9" w:rsidRDefault="0012600D">
          <w:pPr>
            <w:pStyle w:val="TDC2"/>
            <w:tabs>
              <w:tab w:val="right" w:leader="dot" w:pos="9204"/>
            </w:tabs>
            <w:rPr>
              <w:rFonts w:asciiTheme="minorHAnsi" w:eastAsiaTheme="minorEastAsia" w:hAnsiTheme="minorHAnsi" w:cstheme="minorBidi"/>
              <w:noProof/>
              <w:color w:val="auto"/>
            </w:rPr>
          </w:pPr>
          <w:hyperlink w:anchor="_Toc198822022" w:history="1">
            <w:r w:rsidRPr="00A633E9">
              <w:rPr>
                <w:rStyle w:val="Hipervnculo"/>
                <w:noProof/>
              </w:rPr>
              <w:t>TERCERO. Determinación de la Controversia</w:t>
            </w:r>
            <w:r w:rsidRPr="00A633E9">
              <w:rPr>
                <w:noProof/>
                <w:webHidden/>
              </w:rPr>
              <w:tab/>
            </w:r>
            <w:r w:rsidRPr="00A633E9">
              <w:rPr>
                <w:noProof/>
                <w:webHidden/>
              </w:rPr>
              <w:fldChar w:fldCharType="begin"/>
            </w:r>
            <w:r w:rsidRPr="00A633E9">
              <w:rPr>
                <w:noProof/>
                <w:webHidden/>
              </w:rPr>
              <w:instrText xml:space="preserve"> PAGEREF _Toc198822022 \h </w:instrText>
            </w:r>
            <w:r w:rsidRPr="00A633E9">
              <w:rPr>
                <w:noProof/>
                <w:webHidden/>
              </w:rPr>
            </w:r>
            <w:r w:rsidRPr="00A633E9">
              <w:rPr>
                <w:noProof/>
                <w:webHidden/>
              </w:rPr>
              <w:fldChar w:fldCharType="separate"/>
            </w:r>
            <w:r w:rsidR="004632CE">
              <w:rPr>
                <w:noProof/>
                <w:webHidden/>
              </w:rPr>
              <w:t>9</w:t>
            </w:r>
            <w:r w:rsidRPr="00A633E9">
              <w:rPr>
                <w:noProof/>
                <w:webHidden/>
              </w:rPr>
              <w:fldChar w:fldCharType="end"/>
            </w:r>
          </w:hyperlink>
        </w:p>
        <w:p w14:paraId="590106E5" w14:textId="77777777" w:rsidR="0012600D" w:rsidRPr="00A633E9" w:rsidRDefault="0012600D">
          <w:pPr>
            <w:pStyle w:val="TDC2"/>
            <w:tabs>
              <w:tab w:val="right" w:leader="dot" w:pos="9204"/>
            </w:tabs>
            <w:rPr>
              <w:rFonts w:asciiTheme="minorHAnsi" w:eastAsiaTheme="minorEastAsia" w:hAnsiTheme="minorHAnsi" w:cstheme="minorBidi"/>
              <w:noProof/>
              <w:color w:val="auto"/>
            </w:rPr>
          </w:pPr>
          <w:hyperlink w:anchor="_Toc198822023" w:history="1">
            <w:r w:rsidRPr="00A633E9">
              <w:rPr>
                <w:rStyle w:val="Hipervnculo"/>
                <w:noProof/>
              </w:rPr>
              <w:t>CUARTO. Marco normativo aplicable en materia de transparencia y acceso a la información pública</w:t>
            </w:r>
            <w:r w:rsidRPr="00A633E9">
              <w:rPr>
                <w:noProof/>
                <w:webHidden/>
              </w:rPr>
              <w:tab/>
            </w:r>
            <w:r w:rsidRPr="00A633E9">
              <w:rPr>
                <w:noProof/>
                <w:webHidden/>
              </w:rPr>
              <w:fldChar w:fldCharType="begin"/>
            </w:r>
            <w:r w:rsidRPr="00A633E9">
              <w:rPr>
                <w:noProof/>
                <w:webHidden/>
              </w:rPr>
              <w:instrText xml:space="preserve"> PAGEREF _Toc198822023 \h </w:instrText>
            </w:r>
            <w:r w:rsidRPr="00A633E9">
              <w:rPr>
                <w:noProof/>
                <w:webHidden/>
              </w:rPr>
            </w:r>
            <w:r w:rsidRPr="00A633E9">
              <w:rPr>
                <w:noProof/>
                <w:webHidden/>
              </w:rPr>
              <w:fldChar w:fldCharType="separate"/>
            </w:r>
            <w:r w:rsidR="004632CE">
              <w:rPr>
                <w:noProof/>
                <w:webHidden/>
              </w:rPr>
              <w:t>10</w:t>
            </w:r>
            <w:r w:rsidRPr="00A633E9">
              <w:rPr>
                <w:noProof/>
                <w:webHidden/>
              </w:rPr>
              <w:fldChar w:fldCharType="end"/>
            </w:r>
          </w:hyperlink>
        </w:p>
        <w:p w14:paraId="177259C8" w14:textId="77777777" w:rsidR="0012600D" w:rsidRPr="00A633E9" w:rsidRDefault="0012600D">
          <w:pPr>
            <w:pStyle w:val="TDC2"/>
            <w:tabs>
              <w:tab w:val="right" w:leader="dot" w:pos="9204"/>
            </w:tabs>
            <w:rPr>
              <w:rFonts w:asciiTheme="minorHAnsi" w:eastAsiaTheme="minorEastAsia" w:hAnsiTheme="minorHAnsi" w:cstheme="minorBidi"/>
              <w:noProof/>
              <w:color w:val="auto"/>
            </w:rPr>
          </w:pPr>
          <w:hyperlink w:anchor="_Toc198822024" w:history="1">
            <w:r w:rsidRPr="00A633E9">
              <w:rPr>
                <w:rStyle w:val="Hipervnculo"/>
                <w:noProof/>
              </w:rPr>
              <w:t>QUINTO. Estudio de Fondo</w:t>
            </w:r>
            <w:r w:rsidRPr="00A633E9">
              <w:rPr>
                <w:noProof/>
                <w:webHidden/>
              </w:rPr>
              <w:tab/>
            </w:r>
            <w:r w:rsidRPr="00A633E9">
              <w:rPr>
                <w:noProof/>
                <w:webHidden/>
              </w:rPr>
              <w:fldChar w:fldCharType="begin"/>
            </w:r>
            <w:r w:rsidRPr="00A633E9">
              <w:rPr>
                <w:noProof/>
                <w:webHidden/>
              </w:rPr>
              <w:instrText xml:space="preserve"> PAGEREF _Toc198822024 \h </w:instrText>
            </w:r>
            <w:r w:rsidRPr="00A633E9">
              <w:rPr>
                <w:noProof/>
                <w:webHidden/>
              </w:rPr>
            </w:r>
            <w:r w:rsidRPr="00A633E9">
              <w:rPr>
                <w:noProof/>
                <w:webHidden/>
              </w:rPr>
              <w:fldChar w:fldCharType="separate"/>
            </w:r>
            <w:r w:rsidR="004632CE">
              <w:rPr>
                <w:noProof/>
                <w:webHidden/>
              </w:rPr>
              <w:t>11</w:t>
            </w:r>
            <w:r w:rsidRPr="00A633E9">
              <w:rPr>
                <w:noProof/>
                <w:webHidden/>
              </w:rPr>
              <w:fldChar w:fldCharType="end"/>
            </w:r>
          </w:hyperlink>
        </w:p>
        <w:p w14:paraId="18EB184A" w14:textId="77777777" w:rsidR="0012600D" w:rsidRPr="00A633E9" w:rsidRDefault="0012600D">
          <w:pPr>
            <w:pStyle w:val="TDC1"/>
            <w:tabs>
              <w:tab w:val="right" w:leader="dot" w:pos="9204"/>
            </w:tabs>
            <w:rPr>
              <w:rFonts w:asciiTheme="minorHAnsi" w:eastAsiaTheme="minorEastAsia" w:hAnsiTheme="minorHAnsi" w:cstheme="minorBidi"/>
              <w:noProof/>
              <w:color w:val="auto"/>
            </w:rPr>
          </w:pPr>
          <w:hyperlink w:anchor="_Toc198822025" w:history="1">
            <w:r w:rsidRPr="00A633E9">
              <w:rPr>
                <w:rStyle w:val="Hipervnculo"/>
                <w:noProof/>
                <w:lang w:eastAsia="es-ES"/>
              </w:rPr>
              <w:t>R E S U E L V E</w:t>
            </w:r>
            <w:r w:rsidRPr="00A633E9">
              <w:rPr>
                <w:noProof/>
                <w:webHidden/>
              </w:rPr>
              <w:tab/>
            </w:r>
            <w:r w:rsidRPr="00A633E9">
              <w:rPr>
                <w:noProof/>
                <w:webHidden/>
              </w:rPr>
              <w:fldChar w:fldCharType="begin"/>
            </w:r>
            <w:r w:rsidRPr="00A633E9">
              <w:rPr>
                <w:noProof/>
                <w:webHidden/>
              </w:rPr>
              <w:instrText xml:space="preserve"> PAGEREF _Toc198822025 \h </w:instrText>
            </w:r>
            <w:r w:rsidRPr="00A633E9">
              <w:rPr>
                <w:noProof/>
                <w:webHidden/>
              </w:rPr>
            </w:r>
            <w:r w:rsidRPr="00A633E9">
              <w:rPr>
                <w:noProof/>
                <w:webHidden/>
              </w:rPr>
              <w:fldChar w:fldCharType="separate"/>
            </w:r>
            <w:r w:rsidR="004632CE">
              <w:rPr>
                <w:noProof/>
                <w:webHidden/>
              </w:rPr>
              <w:t>16</w:t>
            </w:r>
            <w:r w:rsidRPr="00A633E9">
              <w:rPr>
                <w:noProof/>
                <w:webHidden/>
              </w:rPr>
              <w:fldChar w:fldCharType="end"/>
            </w:r>
          </w:hyperlink>
        </w:p>
        <w:p w14:paraId="47B63EDE" w14:textId="793B3E95" w:rsidR="00A50615" w:rsidRPr="00A633E9" w:rsidRDefault="00A50615" w:rsidP="00C04044">
          <w:pPr>
            <w:spacing w:after="0" w:line="360" w:lineRule="auto"/>
          </w:pPr>
          <w:r w:rsidRPr="00A633E9">
            <w:rPr>
              <w:bCs/>
              <w:lang w:val="es-ES"/>
            </w:rPr>
            <w:fldChar w:fldCharType="end"/>
          </w:r>
        </w:p>
      </w:sdtContent>
    </w:sdt>
    <w:p w14:paraId="696D2B71" w14:textId="62AE22F0" w:rsidR="00CE58A5" w:rsidRPr="00A633E9" w:rsidRDefault="00C04044" w:rsidP="00C04044">
      <w:pPr>
        <w:spacing w:after="0" w:line="360" w:lineRule="auto"/>
      </w:pPr>
      <w:r w:rsidRPr="00A633E9">
        <w:br w:type="column"/>
      </w:r>
    </w:p>
    <w:p w14:paraId="1C288FC1" w14:textId="64E514C9" w:rsidR="00CE58A5" w:rsidRPr="00A633E9" w:rsidRDefault="00CE4466" w:rsidP="00C04044">
      <w:pPr>
        <w:spacing w:after="0" w:line="360" w:lineRule="auto"/>
      </w:pPr>
      <w:r w:rsidRPr="00A633E9">
        <w:t xml:space="preserve">Resolución del Pleno del Instituto de Transparencia, Acceso a la Información Pública y Protección de Datos Personales del Estado de México y Municipios, con domicilio en Metepec, Estado de México, de fecha </w:t>
      </w:r>
      <w:r w:rsidR="00661F5A" w:rsidRPr="00A633E9">
        <w:t>cuatro de junio</w:t>
      </w:r>
      <w:r w:rsidR="005F757D" w:rsidRPr="00A633E9">
        <w:t xml:space="preserve"> de dos mil veinticinco</w:t>
      </w:r>
      <w:r w:rsidRPr="00A633E9">
        <w:t>.</w:t>
      </w:r>
    </w:p>
    <w:p w14:paraId="5B1FA2B3" w14:textId="77777777" w:rsidR="00CE58A5" w:rsidRPr="00A633E9" w:rsidRDefault="00CE58A5" w:rsidP="00C04044">
      <w:pPr>
        <w:spacing w:after="0" w:line="360" w:lineRule="auto"/>
        <w:rPr>
          <w:b/>
        </w:rPr>
      </w:pPr>
    </w:p>
    <w:p w14:paraId="520C8E67" w14:textId="19AB8455" w:rsidR="00570D21" w:rsidRPr="00A633E9" w:rsidRDefault="00570D21" w:rsidP="00570D21">
      <w:pPr>
        <w:spacing w:after="0" w:line="360" w:lineRule="auto"/>
        <w:contextualSpacing/>
        <w:rPr>
          <w:rFonts w:eastAsiaTheme="minorHAnsi" w:cs="Tahoma"/>
          <w:bCs/>
          <w:lang w:eastAsia="en-US"/>
        </w:rPr>
      </w:pPr>
      <w:r w:rsidRPr="00A633E9">
        <w:rPr>
          <w:rFonts w:eastAsiaTheme="minorHAnsi" w:cs="Tahoma"/>
          <w:b/>
          <w:bCs/>
          <w:lang w:eastAsia="en-US"/>
        </w:rPr>
        <w:t xml:space="preserve">VISTO </w:t>
      </w:r>
      <w:r w:rsidRPr="00A633E9">
        <w:rPr>
          <w:rFonts w:eastAsiaTheme="minorHAnsi" w:cs="Tahoma"/>
          <w:bCs/>
          <w:lang w:eastAsia="en-US"/>
        </w:rPr>
        <w:t xml:space="preserve">el expediente conformado con motivo del Recurso de Revisión </w:t>
      </w:r>
      <w:r w:rsidRPr="00E83E35">
        <w:rPr>
          <w:rFonts w:eastAsiaTheme="minorHAnsi" w:cstheme="minorBidi"/>
          <w:b/>
          <w:lang w:eastAsia="en-US"/>
        </w:rPr>
        <w:t>00756/INFOEM/IP/RR/2025</w:t>
      </w:r>
      <w:r w:rsidRPr="00E83E35">
        <w:rPr>
          <w:rFonts w:eastAsiaTheme="minorHAnsi" w:cs="Tahoma"/>
          <w:b/>
          <w:lang w:eastAsia="en-US"/>
        </w:rPr>
        <w:t>,</w:t>
      </w:r>
      <w:r w:rsidRPr="00A633E9">
        <w:rPr>
          <w:rFonts w:eastAsiaTheme="minorHAnsi" w:cs="Tahoma"/>
          <w:lang w:eastAsia="en-US"/>
        </w:rPr>
        <w:t xml:space="preserve"> interpuesto por </w:t>
      </w:r>
      <w:r w:rsidR="007B4A81" w:rsidRPr="007B4A81">
        <w:rPr>
          <w:rFonts w:eastAsiaTheme="minorHAnsi" w:cs="Tahoma"/>
          <w:b/>
          <w:highlight w:val="black"/>
          <w:lang w:eastAsia="en-US"/>
        </w:rPr>
        <w:t>XXXXX</w:t>
      </w:r>
      <w:r w:rsidRPr="00A633E9">
        <w:rPr>
          <w:rFonts w:eastAsiaTheme="minorHAnsi" w:cs="Tahoma"/>
          <w:lang w:eastAsia="en-US"/>
        </w:rPr>
        <w:t xml:space="preserve">, en adelante el Recurrente o Particular, en contra de la respuesta del Sujeto Obligado, </w:t>
      </w:r>
      <w:r w:rsidR="00656D23" w:rsidRPr="00E83E35">
        <w:rPr>
          <w:rFonts w:eastAsiaTheme="minorHAnsi" w:cstheme="minorBidi"/>
          <w:b/>
          <w:color w:val="000000"/>
          <w:lang w:eastAsia="en-US"/>
        </w:rPr>
        <w:t>Sistema Municipal para el Desarrollo Integral de la Familia de Acambay</w:t>
      </w:r>
      <w:r w:rsidRPr="00E83E35">
        <w:rPr>
          <w:rFonts w:eastAsiaTheme="minorHAnsi" w:cs="Tahoma"/>
          <w:b/>
          <w:lang w:eastAsia="en-US"/>
        </w:rPr>
        <w:t xml:space="preserve">, </w:t>
      </w:r>
      <w:r w:rsidRPr="00A633E9">
        <w:rPr>
          <w:rFonts w:eastAsiaTheme="minorHAnsi" w:cs="Tahoma"/>
          <w:lang w:eastAsia="en-US"/>
        </w:rPr>
        <w:t xml:space="preserve">a la solicitud de información con número </w:t>
      </w:r>
      <w:r w:rsidR="00656D23" w:rsidRPr="00A633E9">
        <w:rPr>
          <w:rFonts w:eastAsiaTheme="minorHAnsi" w:cstheme="minorBidi"/>
          <w:color w:val="auto"/>
          <w:lang w:eastAsia="en-US"/>
        </w:rPr>
        <w:t>00005/DIFACAMBAY/IP/2025</w:t>
      </w:r>
      <w:r w:rsidRPr="00A633E9">
        <w:rPr>
          <w:rFonts w:eastAsiaTheme="minorHAnsi" w:cs="Tahoma"/>
          <w:lang w:eastAsia="en-US"/>
        </w:rPr>
        <w:t>, se emite la presente Resolución, con base en los Antecedentes y Considerandos que</w:t>
      </w:r>
      <w:r w:rsidRPr="00A633E9">
        <w:rPr>
          <w:rFonts w:eastAsiaTheme="minorHAnsi" w:cs="Tahoma"/>
          <w:bCs/>
          <w:lang w:eastAsia="en-US"/>
        </w:rPr>
        <w:t xml:space="preserve"> se exponen a continuación:</w:t>
      </w:r>
    </w:p>
    <w:p w14:paraId="46BFF403" w14:textId="77777777" w:rsidR="00570D21" w:rsidRPr="00A633E9" w:rsidRDefault="00570D21" w:rsidP="00570D21">
      <w:pPr>
        <w:tabs>
          <w:tab w:val="left" w:pos="6735"/>
        </w:tabs>
        <w:spacing w:after="0" w:line="360" w:lineRule="auto"/>
        <w:contextualSpacing/>
        <w:rPr>
          <w:rFonts w:eastAsiaTheme="minorHAnsi" w:cs="Tahoma"/>
          <w:lang w:eastAsia="en-US"/>
        </w:rPr>
      </w:pPr>
    </w:p>
    <w:p w14:paraId="38BD2569" w14:textId="7CE6A2DA" w:rsidR="00570D21" w:rsidRPr="00A633E9" w:rsidRDefault="0012600D" w:rsidP="0012600D">
      <w:pPr>
        <w:pStyle w:val="Ttulo1"/>
        <w:rPr>
          <w:sz w:val="22"/>
          <w:szCs w:val="22"/>
          <w:lang w:eastAsia="en-US"/>
        </w:rPr>
      </w:pPr>
      <w:bookmarkStart w:id="0" w:name="_Toc198822014"/>
      <w:r w:rsidRPr="00A633E9">
        <w:rPr>
          <w:sz w:val="22"/>
          <w:szCs w:val="22"/>
          <w:lang w:eastAsia="en-US"/>
        </w:rPr>
        <w:t>A N T E C E D E N T E S</w:t>
      </w:r>
      <w:bookmarkEnd w:id="0"/>
    </w:p>
    <w:p w14:paraId="4B50F00E" w14:textId="51C3C50D" w:rsidR="00570D21" w:rsidRPr="00A633E9" w:rsidRDefault="00570D21" w:rsidP="0012600D">
      <w:pPr>
        <w:pStyle w:val="Ttulo1"/>
        <w:jc w:val="both"/>
        <w:rPr>
          <w:sz w:val="22"/>
          <w:szCs w:val="22"/>
          <w:lang w:eastAsia="es-ES"/>
        </w:rPr>
      </w:pPr>
      <w:bookmarkStart w:id="1" w:name="_Toc198822015"/>
      <w:r w:rsidRPr="00A633E9">
        <w:rPr>
          <w:sz w:val="22"/>
          <w:szCs w:val="22"/>
          <w:lang w:eastAsia="es-ES"/>
        </w:rPr>
        <w:t>I. Presentación de la solicitud de información</w:t>
      </w:r>
      <w:bookmarkEnd w:id="1"/>
    </w:p>
    <w:p w14:paraId="7B162ACA" w14:textId="77777777" w:rsidR="00570D21" w:rsidRPr="00A633E9" w:rsidRDefault="00570D21" w:rsidP="00570D21">
      <w:pPr>
        <w:tabs>
          <w:tab w:val="left" w:pos="567"/>
        </w:tabs>
        <w:spacing w:after="0" w:line="360" w:lineRule="auto"/>
        <w:contextualSpacing/>
        <w:rPr>
          <w:rFonts w:eastAsia="Times New Roman" w:cs="Tahoma"/>
          <w:kern w:val="2"/>
          <w:lang w:eastAsia="es-ES"/>
          <w14:ligatures w14:val="standardContextual"/>
        </w:rPr>
      </w:pPr>
    </w:p>
    <w:p w14:paraId="1C748231" w14:textId="2F298D75" w:rsidR="00570D21" w:rsidRPr="00A633E9" w:rsidRDefault="00570D21" w:rsidP="00570D21">
      <w:pPr>
        <w:tabs>
          <w:tab w:val="left" w:pos="567"/>
        </w:tabs>
        <w:spacing w:after="0" w:line="360" w:lineRule="auto"/>
        <w:ind w:right="-28"/>
        <w:contextualSpacing/>
        <w:rPr>
          <w:rFonts w:eastAsiaTheme="minorHAnsi" w:cs="Tahoma"/>
          <w:lang w:eastAsia="en-US"/>
        </w:rPr>
      </w:pPr>
      <w:r w:rsidRPr="00A633E9">
        <w:rPr>
          <w:rFonts w:eastAsiaTheme="minorHAnsi" w:cs="Tahoma"/>
          <w:lang w:eastAsia="en-US"/>
        </w:rPr>
        <w:t xml:space="preserve">Con fecha </w:t>
      </w:r>
      <w:r w:rsidR="00656D23" w:rsidRPr="00A633E9">
        <w:rPr>
          <w:rFonts w:eastAsiaTheme="minorHAnsi" w:cs="Tahoma"/>
          <w:lang w:eastAsia="en-US"/>
        </w:rPr>
        <w:t xml:space="preserve">quince de enero de dos mil </w:t>
      </w:r>
      <w:r w:rsidR="008E0E2D" w:rsidRPr="00A633E9">
        <w:rPr>
          <w:rFonts w:eastAsiaTheme="minorHAnsi" w:cs="Tahoma"/>
          <w:lang w:eastAsia="en-US"/>
        </w:rPr>
        <w:t>veinticinco</w:t>
      </w:r>
      <w:r w:rsidRPr="00A633E9">
        <w:rPr>
          <w:rFonts w:eastAsiaTheme="minorHAnsi" w:cs="Tahoma"/>
          <w:lang w:eastAsia="en-US"/>
        </w:rPr>
        <w:t xml:space="preserve">, el Particular presentó una solicitud de acceso a la información pública, a través del Sistema de Acceso a la Información Mexiquense </w:t>
      </w:r>
      <w:r w:rsidRPr="00A633E9">
        <w:rPr>
          <w:rFonts w:eastAsiaTheme="minorHAnsi" w:cs="Tahoma"/>
          <w:lang w:val="es-ES" w:eastAsia="en-US"/>
        </w:rPr>
        <w:t>(SAIMEX)</w:t>
      </w:r>
      <w:r w:rsidRPr="00A633E9">
        <w:rPr>
          <w:rFonts w:eastAsiaTheme="minorHAnsi" w:cs="Tahoma"/>
          <w:lang w:eastAsia="en-US"/>
        </w:rPr>
        <w:t>, ante el Sujeto Obligado, en los siguientes términos:</w:t>
      </w:r>
    </w:p>
    <w:p w14:paraId="3CB3608D" w14:textId="77777777" w:rsidR="00570D21" w:rsidRPr="00A633E9" w:rsidRDefault="00570D21" w:rsidP="00570D21">
      <w:pPr>
        <w:tabs>
          <w:tab w:val="left" w:pos="4667"/>
        </w:tabs>
        <w:spacing w:after="0" w:line="360" w:lineRule="auto"/>
        <w:ind w:left="567" w:right="567"/>
        <w:contextualSpacing/>
        <w:rPr>
          <w:rFonts w:eastAsiaTheme="minorHAnsi" w:cs="Tahoma"/>
          <w:b/>
          <w:bCs/>
          <w:i/>
          <w:sz w:val="20"/>
          <w:szCs w:val="20"/>
          <w:lang w:eastAsia="en-US"/>
        </w:rPr>
      </w:pPr>
    </w:p>
    <w:p w14:paraId="488BD764" w14:textId="77777777" w:rsidR="00570D21" w:rsidRPr="00A633E9" w:rsidRDefault="00570D21" w:rsidP="00570D21">
      <w:pPr>
        <w:tabs>
          <w:tab w:val="left" w:pos="4667"/>
        </w:tabs>
        <w:spacing w:after="0" w:line="360" w:lineRule="auto"/>
        <w:ind w:left="567" w:right="567"/>
        <w:contextualSpacing/>
        <w:rPr>
          <w:rFonts w:eastAsiaTheme="minorHAnsi" w:cs="Tahoma"/>
          <w:b/>
          <w:bCs/>
          <w:i/>
          <w:sz w:val="20"/>
          <w:szCs w:val="20"/>
          <w:lang w:eastAsia="en-US"/>
        </w:rPr>
      </w:pPr>
      <w:r w:rsidRPr="00A633E9">
        <w:rPr>
          <w:rFonts w:eastAsiaTheme="minorHAnsi" w:cs="Tahoma"/>
          <w:b/>
          <w:bCs/>
          <w:i/>
          <w:sz w:val="20"/>
          <w:szCs w:val="20"/>
          <w:lang w:eastAsia="en-US"/>
        </w:rPr>
        <w:t>“DESCRIPCIÓN CLARA Y PRECISA DE LA INFORMACIÓN SOLICITADA</w:t>
      </w:r>
    </w:p>
    <w:p w14:paraId="37D2ECD2" w14:textId="3C0375A8" w:rsidR="00570D21" w:rsidRPr="00A633E9" w:rsidRDefault="008E0E2D" w:rsidP="00570D21">
      <w:pPr>
        <w:spacing w:after="0" w:line="360" w:lineRule="auto"/>
        <w:ind w:left="567" w:right="567"/>
        <w:contextualSpacing/>
        <w:rPr>
          <w:rFonts w:eastAsiaTheme="minorHAnsi" w:cs="Tahoma"/>
          <w:bCs/>
          <w:i/>
          <w:sz w:val="20"/>
          <w:szCs w:val="20"/>
          <w:lang w:eastAsia="en-US"/>
        </w:rPr>
      </w:pPr>
      <w:r w:rsidRPr="00A633E9">
        <w:rPr>
          <w:rFonts w:eastAsia="Times New Roman" w:cs="Times New Roman"/>
          <w:i/>
          <w:color w:val="auto"/>
          <w:sz w:val="20"/>
          <w:szCs w:val="20"/>
        </w:rPr>
        <w:t>LISTDO DE TODO EL PERSONAL DADO DE BAJA DEL 1 AL 15 DE ENERO DEL 2025</w:t>
      </w:r>
      <w:r w:rsidR="00570D21" w:rsidRPr="00A633E9">
        <w:rPr>
          <w:rFonts w:eastAsiaTheme="minorHAnsi" w:cs="Tahoma"/>
          <w:bCs/>
          <w:i/>
          <w:sz w:val="20"/>
          <w:szCs w:val="20"/>
          <w:lang w:eastAsia="en-US"/>
        </w:rPr>
        <w:t>”</w:t>
      </w:r>
      <w:r w:rsidRPr="00A633E9">
        <w:rPr>
          <w:rFonts w:eastAsiaTheme="minorHAnsi" w:cs="Tahoma"/>
          <w:bCs/>
          <w:i/>
          <w:sz w:val="20"/>
          <w:szCs w:val="20"/>
          <w:lang w:eastAsia="en-US"/>
        </w:rPr>
        <w:t>.</w:t>
      </w:r>
      <w:r w:rsidRPr="00A633E9">
        <w:rPr>
          <w:rFonts w:eastAsia="Times New Roman" w:cs="Arial"/>
          <w:bCs/>
          <w:i/>
          <w:sz w:val="20"/>
          <w:szCs w:val="20"/>
          <w:lang w:eastAsia="es-ES"/>
        </w:rPr>
        <w:t xml:space="preserve"> (</w:t>
      </w:r>
      <w:r w:rsidR="00570D21" w:rsidRPr="00A633E9">
        <w:rPr>
          <w:rFonts w:eastAsia="Times New Roman" w:cs="Arial"/>
          <w:bCs/>
          <w:i/>
          <w:sz w:val="20"/>
          <w:szCs w:val="20"/>
          <w:lang w:eastAsia="es-ES"/>
        </w:rPr>
        <w:t>Sic)</w:t>
      </w:r>
    </w:p>
    <w:p w14:paraId="31D417CC" w14:textId="77777777" w:rsidR="00570D21" w:rsidRPr="00A633E9" w:rsidRDefault="00570D21" w:rsidP="00570D21">
      <w:pPr>
        <w:tabs>
          <w:tab w:val="left" w:pos="4667"/>
        </w:tabs>
        <w:spacing w:after="0" w:line="360" w:lineRule="auto"/>
        <w:ind w:left="567" w:right="567"/>
        <w:contextualSpacing/>
        <w:rPr>
          <w:rFonts w:eastAsiaTheme="minorHAnsi" w:cs="Tahoma"/>
          <w:bCs/>
          <w:i/>
          <w:sz w:val="20"/>
          <w:szCs w:val="20"/>
          <w:lang w:eastAsia="en-US"/>
        </w:rPr>
      </w:pPr>
    </w:p>
    <w:p w14:paraId="30A1A8FA" w14:textId="77777777" w:rsidR="00570D21" w:rsidRPr="00A633E9" w:rsidRDefault="00570D21" w:rsidP="00570D21">
      <w:pPr>
        <w:tabs>
          <w:tab w:val="left" w:pos="4667"/>
        </w:tabs>
        <w:spacing w:after="0" w:line="360" w:lineRule="auto"/>
        <w:ind w:left="567" w:right="567"/>
        <w:contextualSpacing/>
        <w:rPr>
          <w:rFonts w:eastAsia="Times New Roman" w:cs="Tahoma"/>
          <w:b/>
          <w:bCs/>
          <w:i/>
          <w:sz w:val="20"/>
          <w:szCs w:val="20"/>
          <w:lang w:eastAsia="es-ES"/>
        </w:rPr>
      </w:pPr>
      <w:r w:rsidRPr="00A633E9">
        <w:rPr>
          <w:rFonts w:eastAsia="Times New Roman" w:cs="Tahoma"/>
          <w:b/>
          <w:bCs/>
          <w:i/>
          <w:sz w:val="20"/>
          <w:szCs w:val="20"/>
          <w:lang w:eastAsia="es-ES"/>
        </w:rPr>
        <w:t>“MODALIDAD DE ENTREGA</w:t>
      </w:r>
    </w:p>
    <w:p w14:paraId="44DC5DAE" w14:textId="77777777" w:rsidR="00570D21" w:rsidRPr="00A633E9" w:rsidRDefault="00570D21" w:rsidP="00570D21">
      <w:pPr>
        <w:spacing w:after="0" w:line="360" w:lineRule="auto"/>
        <w:ind w:left="567" w:right="567"/>
        <w:contextualSpacing/>
        <w:rPr>
          <w:rFonts w:eastAsia="Times New Roman" w:cs="Arial"/>
          <w:bCs/>
          <w:i/>
          <w:sz w:val="20"/>
          <w:szCs w:val="20"/>
          <w:lang w:eastAsia="es-ES"/>
        </w:rPr>
      </w:pPr>
      <w:r w:rsidRPr="00A633E9">
        <w:rPr>
          <w:rFonts w:eastAsia="Times New Roman" w:cs="Arial"/>
          <w:bCs/>
          <w:i/>
          <w:sz w:val="20"/>
          <w:szCs w:val="20"/>
          <w:lang w:eastAsia="es-ES"/>
        </w:rPr>
        <w:t>A través del SAIMEX”</w:t>
      </w:r>
    </w:p>
    <w:p w14:paraId="5502B467" w14:textId="77777777" w:rsidR="00570D21" w:rsidRPr="00A633E9" w:rsidRDefault="00570D21" w:rsidP="00570D21">
      <w:pPr>
        <w:tabs>
          <w:tab w:val="left" w:pos="567"/>
        </w:tabs>
        <w:spacing w:after="0" w:line="360" w:lineRule="auto"/>
        <w:contextualSpacing/>
        <w:rPr>
          <w:rFonts w:eastAsia="Calibri" w:cs="Tahoma"/>
          <w:b/>
          <w:bCs/>
          <w:i/>
          <w:iCs/>
          <w:lang w:eastAsia="en-US"/>
        </w:rPr>
      </w:pPr>
    </w:p>
    <w:p w14:paraId="63CFA53D" w14:textId="5E6B5CE3" w:rsidR="00570D21" w:rsidRPr="00A633E9" w:rsidRDefault="00570D21" w:rsidP="0012600D">
      <w:pPr>
        <w:pStyle w:val="Ttulo1"/>
        <w:jc w:val="both"/>
        <w:rPr>
          <w:sz w:val="22"/>
          <w:szCs w:val="22"/>
          <w:lang w:eastAsia="es-ES"/>
        </w:rPr>
      </w:pPr>
      <w:bookmarkStart w:id="2" w:name="_Toc198822016"/>
      <w:r w:rsidRPr="00A633E9">
        <w:rPr>
          <w:sz w:val="22"/>
          <w:szCs w:val="22"/>
          <w:lang w:eastAsia="es-ES"/>
        </w:rPr>
        <w:t>II. Respuesta del Sujeto Obligado</w:t>
      </w:r>
      <w:bookmarkEnd w:id="2"/>
    </w:p>
    <w:p w14:paraId="6DDFD4D5" w14:textId="77777777" w:rsidR="00A959F6" w:rsidRPr="00A633E9" w:rsidRDefault="00A959F6" w:rsidP="00570D21">
      <w:pPr>
        <w:tabs>
          <w:tab w:val="left" w:pos="4667"/>
        </w:tabs>
        <w:spacing w:after="0" w:line="360" w:lineRule="auto"/>
        <w:ind w:right="567"/>
        <w:contextualSpacing/>
        <w:rPr>
          <w:rFonts w:eastAsia="Times New Roman" w:cs="Tahoma"/>
          <w:b/>
          <w:bCs/>
          <w:color w:val="auto"/>
          <w:szCs w:val="24"/>
          <w:lang w:eastAsia="es-ES"/>
        </w:rPr>
      </w:pPr>
    </w:p>
    <w:p w14:paraId="7D9D0D64" w14:textId="6D38B7EA" w:rsidR="00570D21" w:rsidRPr="00A633E9" w:rsidRDefault="00570D21" w:rsidP="00570D21">
      <w:pPr>
        <w:autoSpaceDE w:val="0"/>
        <w:autoSpaceDN w:val="0"/>
        <w:adjustRightInd w:val="0"/>
        <w:spacing w:after="0" w:line="360" w:lineRule="auto"/>
        <w:contextualSpacing/>
        <w:rPr>
          <w:rFonts w:eastAsiaTheme="minorHAnsi" w:cs="Tahoma"/>
          <w:lang w:eastAsia="en-US"/>
        </w:rPr>
      </w:pPr>
      <w:r w:rsidRPr="00A633E9">
        <w:rPr>
          <w:rFonts w:eastAsiaTheme="minorHAnsi" w:cs="Tahoma"/>
          <w:bCs/>
          <w:lang w:eastAsia="en-US"/>
        </w:rPr>
        <w:t xml:space="preserve">Con fecha </w:t>
      </w:r>
      <w:r w:rsidR="008E0E2D" w:rsidRPr="00A633E9">
        <w:rPr>
          <w:rFonts w:eastAsiaTheme="minorHAnsi" w:cs="Tahoma"/>
          <w:bCs/>
          <w:lang w:eastAsia="en-US"/>
        </w:rPr>
        <w:t>seis de febrero de dos mil veinticinco</w:t>
      </w:r>
      <w:r w:rsidRPr="00A633E9">
        <w:rPr>
          <w:rFonts w:eastAsiaTheme="minorHAnsi" w:cs="Tahoma"/>
          <w:bCs/>
          <w:lang w:eastAsia="en-US"/>
        </w:rPr>
        <w:t>, el</w:t>
      </w:r>
      <w:r w:rsidRPr="00A633E9">
        <w:rPr>
          <w:rFonts w:eastAsiaTheme="minorHAnsi" w:cs="Tahoma"/>
          <w:b/>
          <w:lang w:eastAsia="en-US"/>
        </w:rPr>
        <w:t xml:space="preserve"> </w:t>
      </w:r>
      <w:r w:rsidRPr="00A633E9">
        <w:rPr>
          <w:rFonts w:eastAsiaTheme="minorHAnsi" w:cs="Tahoma"/>
          <w:lang w:eastAsia="en-US"/>
        </w:rPr>
        <w:t xml:space="preserve">Sujeto Obligado dio respuesta a la solicitud de acceso a la información, a través del Sistema de Acceso a la Información Mexiquense (SAIMEX), por medio del oficio </w:t>
      </w:r>
      <w:r w:rsidR="00D74B9D" w:rsidRPr="00A633E9">
        <w:rPr>
          <w:rFonts w:eastAsiaTheme="minorHAnsi" w:cs="Tahoma"/>
          <w:lang w:eastAsia="en-US"/>
        </w:rPr>
        <w:t>del Tesorero</w:t>
      </w:r>
      <w:r w:rsidR="008E0E2D" w:rsidRPr="00A633E9">
        <w:rPr>
          <w:rFonts w:eastAsiaTheme="minorHAnsi" w:cs="Tahoma"/>
          <w:lang w:eastAsia="en-US"/>
        </w:rPr>
        <w:t>, donde remitió el listado del personal dado de baja en el periodo primero al quince de enero de dos mil veinticinco.</w:t>
      </w:r>
    </w:p>
    <w:p w14:paraId="0D17A832" w14:textId="7A2A99EB" w:rsidR="00570D21" w:rsidRPr="00A633E9" w:rsidRDefault="00570D21" w:rsidP="0012600D">
      <w:pPr>
        <w:pStyle w:val="Ttulo1"/>
        <w:jc w:val="both"/>
        <w:rPr>
          <w:sz w:val="22"/>
          <w:szCs w:val="22"/>
          <w:lang w:eastAsia="en-US"/>
        </w:rPr>
      </w:pPr>
      <w:bookmarkStart w:id="3" w:name="_Toc198822017"/>
      <w:r w:rsidRPr="00A633E9">
        <w:rPr>
          <w:sz w:val="22"/>
          <w:szCs w:val="22"/>
          <w:lang w:eastAsia="en-US"/>
        </w:rPr>
        <w:t>III. Interposición del Recurso de Revisión</w:t>
      </w:r>
      <w:bookmarkEnd w:id="3"/>
    </w:p>
    <w:p w14:paraId="5F9C4B2C" w14:textId="77777777" w:rsidR="00570D21" w:rsidRPr="00A633E9" w:rsidRDefault="00570D21" w:rsidP="00570D21">
      <w:pPr>
        <w:autoSpaceDE w:val="0"/>
        <w:autoSpaceDN w:val="0"/>
        <w:adjustRightInd w:val="0"/>
        <w:spacing w:after="0" w:line="360" w:lineRule="auto"/>
        <w:contextualSpacing/>
        <w:rPr>
          <w:rFonts w:eastAsiaTheme="minorHAnsi" w:cs="Tahoma"/>
          <w:b/>
          <w:lang w:eastAsia="en-US"/>
        </w:rPr>
      </w:pPr>
    </w:p>
    <w:p w14:paraId="09FCBBFE" w14:textId="77CDB136" w:rsidR="00570D21" w:rsidRPr="00A633E9" w:rsidRDefault="00570D21" w:rsidP="00570D21">
      <w:pPr>
        <w:spacing w:after="0" w:line="360" w:lineRule="auto"/>
        <w:contextualSpacing/>
        <w:rPr>
          <w:rFonts w:eastAsia="Times New Roman" w:cs="Tahoma"/>
          <w:bCs/>
          <w:color w:val="auto"/>
          <w:lang w:val="es-ES" w:eastAsia="es-ES"/>
        </w:rPr>
      </w:pPr>
      <w:r w:rsidRPr="00A633E9">
        <w:rPr>
          <w:rFonts w:eastAsia="Calibri" w:cs="Times New Roman"/>
          <w:bCs/>
          <w:lang w:eastAsia="en-US"/>
        </w:rPr>
        <w:t xml:space="preserve">Con fecha </w:t>
      </w:r>
      <w:r w:rsidR="008E0E2D" w:rsidRPr="00A633E9">
        <w:rPr>
          <w:rFonts w:eastAsia="Calibri" w:cs="Times New Roman"/>
          <w:bCs/>
          <w:lang w:eastAsia="en-US"/>
        </w:rPr>
        <w:t>seis de febrero de dos mil veinticinco</w:t>
      </w:r>
      <w:r w:rsidRPr="00A633E9">
        <w:rPr>
          <w:rFonts w:eastAsia="Calibri" w:cs="Times New Roman"/>
          <w:bCs/>
          <w:lang w:eastAsia="en-US"/>
        </w:rPr>
        <w:t xml:space="preserve">, </w:t>
      </w:r>
      <w:r w:rsidRPr="00A633E9">
        <w:rPr>
          <w:rFonts w:eastAsia="Calibri" w:cs="Times New Roman"/>
          <w:bCs/>
          <w:lang w:val="es-ES" w:eastAsia="en-US"/>
        </w:rPr>
        <w:t>se recibió en este Instituto, a través del Sistema de Acceso a la Información Mexiquense (SAIMEX), Recurso de Revisión interpuesto por la parte Recurrente, en contra de la respuesta del Sujeto Obligado,</w:t>
      </w:r>
      <w:r w:rsidRPr="00A633E9">
        <w:rPr>
          <w:rFonts w:eastAsia="Calibri" w:cs="Times New Roman"/>
          <w:b/>
          <w:bCs/>
          <w:lang w:eastAsia="en-US"/>
        </w:rPr>
        <w:t xml:space="preserve"> </w:t>
      </w:r>
      <w:r w:rsidRPr="00A633E9">
        <w:rPr>
          <w:rFonts w:eastAsia="Times New Roman" w:cs="Tahoma"/>
          <w:bCs/>
          <w:color w:val="auto"/>
          <w:lang w:val="es-ES" w:eastAsia="es-ES"/>
        </w:rPr>
        <w:t>en los siguientes términos:</w:t>
      </w:r>
    </w:p>
    <w:p w14:paraId="3FC4AD0E" w14:textId="77777777" w:rsidR="00570D21" w:rsidRPr="00A633E9" w:rsidRDefault="00570D21" w:rsidP="00570D21">
      <w:pPr>
        <w:widowControl w:val="0"/>
        <w:spacing w:after="0" w:line="360" w:lineRule="auto"/>
        <w:contextualSpacing/>
        <w:rPr>
          <w:rFonts w:eastAsia="Times New Roman" w:cs="Tahoma"/>
          <w:bCs/>
          <w:color w:val="auto"/>
          <w:lang w:val="es-ES" w:eastAsia="es-ES"/>
        </w:rPr>
      </w:pPr>
    </w:p>
    <w:p w14:paraId="772FCB3F" w14:textId="77777777" w:rsidR="00570D21" w:rsidRPr="00A633E9" w:rsidRDefault="00570D21" w:rsidP="00570D21">
      <w:pPr>
        <w:tabs>
          <w:tab w:val="left" w:pos="4667"/>
        </w:tabs>
        <w:spacing w:after="0" w:line="360" w:lineRule="auto"/>
        <w:ind w:left="567" w:right="567"/>
        <w:contextualSpacing/>
        <w:rPr>
          <w:rFonts w:eastAsiaTheme="minorHAnsi" w:cs="Tahoma"/>
          <w:bCs/>
          <w:i/>
          <w:sz w:val="20"/>
          <w:szCs w:val="20"/>
          <w:lang w:eastAsia="en-US"/>
        </w:rPr>
      </w:pPr>
      <w:r w:rsidRPr="00A633E9">
        <w:rPr>
          <w:rFonts w:eastAsiaTheme="minorHAnsi" w:cs="Tahoma"/>
          <w:b/>
          <w:bCs/>
          <w:i/>
          <w:sz w:val="20"/>
          <w:szCs w:val="20"/>
          <w:lang w:eastAsia="en-US"/>
        </w:rPr>
        <w:t>“ACTO IMPUGNADO</w:t>
      </w:r>
    </w:p>
    <w:p w14:paraId="7F9535EE" w14:textId="3A9CC15D" w:rsidR="00570D21" w:rsidRPr="00A633E9" w:rsidRDefault="008E0E2D" w:rsidP="00570D21">
      <w:pPr>
        <w:spacing w:after="0" w:line="360" w:lineRule="auto"/>
        <w:ind w:left="567" w:right="567"/>
        <w:contextualSpacing/>
        <w:rPr>
          <w:rFonts w:eastAsia="Times New Roman" w:cs="Times New Roman"/>
          <w:i/>
          <w:color w:val="auto"/>
          <w:sz w:val="20"/>
          <w:szCs w:val="20"/>
        </w:rPr>
      </w:pPr>
      <w:r w:rsidRPr="00A633E9">
        <w:rPr>
          <w:rFonts w:eastAsia="Times New Roman" w:cs="Times New Roman"/>
          <w:i/>
          <w:color w:val="auto"/>
          <w:sz w:val="20"/>
          <w:szCs w:val="20"/>
        </w:rPr>
        <w:t xml:space="preserve">la </w:t>
      </w:r>
      <w:proofErr w:type="spellStart"/>
      <w:r w:rsidRPr="00A633E9">
        <w:rPr>
          <w:rFonts w:eastAsia="Times New Roman" w:cs="Times New Roman"/>
          <w:i/>
          <w:color w:val="auto"/>
          <w:sz w:val="20"/>
          <w:szCs w:val="20"/>
        </w:rPr>
        <w:t>informacion</w:t>
      </w:r>
      <w:proofErr w:type="spellEnd"/>
      <w:r w:rsidRPr="00A633E9">
        <w:rPr>
          <w:rFonts w:eastAsia="Times New Roman" w:cs="Times New Roman"/>
          <w:i/>
          <w:color w:val="auto"/>
          <w:sz w:val="20"/>
          <w:szCs w:val="20"/>
        </w:rPr>
        <w:t xml:space="preserve"> parce no </w:t>
      </w:r>
      <w:proofErr w:type="spellStart"/>
      <w:r w:rsidRPr="00A633E9">
        <w:rPr>
          <w:rFonts w:eastAsia="Times New Roman" w:cs="Times New Roman"/>
          <w:i/>
          <w:color w:val="auto"/>
          <w:sz w:val="20"/>
          <w:szCs w:val="20"/>
        </w:rPr>
        <w:t>veridica</w:t>
      </w:r>
      <w:proofErr w:type="spellEnd"/>
      <w:r w:rsidR="00570D21" w:rsidRPr="00A633E9">
        <w:rPr>
          <w:rFonts w:eastAsiaTheme="minorHAnsi" w:cstheme="minorBidi"/>
          <w:i/>
          <w:color w:val="000000"/>
          <w:sz w:val="20"/>
          <w:szCs w:val="20"/>
          <w:lang w:eastAsia="en-US"/>
        </w:rPr>
        <w:t>.</w:t>
      </w:r>
      <w:r w:rsidR="00570D21" w:rsidRPr="00A633E9">
        <w:rPr>
          <w:rFonts w:eastAsiaTheme="minorHAnsi" w:cstheme="minorBidi"/>
          <w:i/>
          <w:sz w:val="20"/>
          <w:szCs w:val="20"/>
          <w:lang w:eastAsia="en-US"/>
        </w:rPr>
        <w:t>”</w:t>
      </w:r>
      <w:r w:rsidR="00570D21" w:rsidRPr="00A633E9">
        <w:rPr>
          <w:rFonts w:eastAsiaTheme="minorHAnsi" w:cs="Tahoma"/>
          <w:i/>
          <w:sz w:val="20"/>
          <w:szCs w:val="20"/>
          <w:lang w:eastAsia="en-US"/>
        </w:rPr>
        <w:t xml:space="preserve"> (Sic.)</w:t>
      </w:r>
    </w:p>
    <w:p w14:paraId="1A42EA04" w14:textId="77777777" w:rsidR="00570D21" w:rsidRPr="00A633E9" w:rsidRDefault="00570D21" w:rsidP="00570D21">
      <w:pPr>
        <w:autoSpaceDE w:val="0"/>
        <w:autoSpaceDN w:val="0"/>
        <w:adjustRightInd w:val="0"/>
        <w:spacing w:after="0" w:line="360" w:lineRule="auto"/>
        <w:ind w:left="567" w:right="567"/>
        <w:contextualSpacing/>
        <w:rPr>
          <w:rFonts w:eastAsiaTheme="minorHAnsi" w:cs="Tahoma"/>
          <w:i/>
          <w:sz w:val="20"/>
          <w:szCs w:val="20"/>
          <w:lang w:eastAsia="en-US"/>
        </w:rPr>
      </w:pPr>
    </w:p>
    <w:p w14:paraId="14186D5A" w14:textId="77777777" w:rsidR="00570D21" w:rsidRPr="00A633E9" w:rsidRDefault="00570D21" w:rsidP="00570D21">
      <w:pPr>
        <w:autoSpaceDE w:val="0"/>
        <w:autoSpaceDN w:val="0"/>
        <w:adjustRightInd w:val="0"/>
        <w:spacing w:after="0" w:line="360" w:lineRule="auto"/>
        <w:ind w:left="567" w:right="567"/>
        <w:contextualSpacing/>
        <w:rPr>
          <w:rFonts w:eastAsiaTheme="minorHAnsi" w:cs="Tahoma"/>
          <w:b/>
          <w:i/>
          <w:sz w:val="20"/>
          <w:szCs w:val="20"/>
          <w:lang w:eastAsia="en-US"/>
        </w:rPr>
      </w:pPr>
      <w:r w:rsidRPr="00A633E9">
        <w:rPr>
          <w:rFonts w:eastAsiaTheme="minorHAnsi" w:cs="Tahoma"/>
          <w:b/>
          <w:i/>
          <w:sz w:val="20"/>
          <w:szCs w:val="20"/>
          <w:lang w:eastAsia="en-US"/>
        </w:rPr>
        <w:t>“RAZONES O MOTIVOS DE LA INCONFORMIDAD</w:t>
      </w:r>
    </w:p>
    <w:p w14:paraId="7C6E2B59" w14:textId="3C4F6A0D" w:rsidR="00570D21" w:rsidRPr="00A633E9" w:rsidRDefault="008E0E2D" w:rsidP="0012600D">
      <w:pPr>
        <w:spacing w:after="0" w:line="360" w:lineRule="auto"/>
        <w:ind w:left="567" w:right="567"/>
        <w:contextualSpacing/>
        <w:rPr>
          <w:rFonts w:eastAsia="Times New Roman" w:cs="Times New Roman"/>
          <w:i/>
          <w:color w:val="auto"/>
          <w:sz w:val="20"/>
          <w:szCs w:val="20"/>
        </w:rPr>
      </w:pPr>
      <w:bookmarkStart w:id="4" w:name="_Hlk184903277"/>
      <w:r w:rsidRPr="00A633E9">
        <w:rPr>
          <w:rFonts w:eastAsiaTheme="minorHAnsi" w:cstheme="minorBidi"/>
          <w:i/>
          <w:color w:val="000000"/>
          <w:sz w:val="20"/>
          <w:szCs w:val="20"/>
          <w:lang w:eastAsia="en-US"/>
        </w:rPr>
        <w:t xml:space="preserve">el oficio de </w:t>
      </w:r>
      <w:proofErr w:type="spellStart"/>
      <w:r w:rsidRPr="00A633E9">
        <w:rPr>
          <w:rFonts w:eastAsiaTheme="minorHAnsi" w:cstheme="minorBidi"/>
          <w:i/>
          <w:color w:val="000000"/>
          <w:sz w:val="20"/>
          <w:szCs w:val="20"/>
          <w:lang w:eastAsia="en-US"/>
        </w:rPr>
        <w:t>contestacion</w:t>
      </w:r>
      <w:proofErr w:type="spellEnd"/>
      <w:r w:rsidRPr="00A633E9">
        <w:rPr>
          <w:rFonts w:eastAsiaTheme="minorHAnsi" w:cstheme="minorBidi"/>
          <w:i/>
          <w:color w:val="000000"/>
          <w:sz w:val="20"/>
          <w:szCs w:val="20"/>
          <w:lang w:eastAsia="en-US"/>
        </w:rPr>
        <w:t xml:space="preserve"> dice que se anexa listado en </w:t>
      </w:r>
      <w:proofErr w:type="spellStart"/>
      <w:r w:rsidRPr="00A633E9">
        <w:rPr>
          <w:rFonts w:eastAsiaTheme="minorHAnsi" w:cstheme="minorBidi"/>
          <w:i/>
          <w:color w:val="000000"/>
          <w:sz w:val="20"/>
          <w:szCs w:val="20"/>
          <w:lang w:eastAsia="en-US"/>
        </w:rPr>
        <w:t>version</w:t>
      </w:r>
      <w:proofErr w:type="spellEnd"/>
      <w:r w:rsidRPr="00A633E9">
        <w:rPr>
          <w:rFonts w:eastAsiaTheme="minorHAnsi" w:cstheme="minorBidi"/>
          <w:i/>
          <w:color w:val="000000"/>
          <w:sz w:val="20"/>
          <w:szCs w:val="20"/>
          <w:lang w:eastAsia="en-US"/>
        </w:rPr>
        <w:t xml:space="preserve"> publica y yo no veo ninguna </w:t>
      </w:r>
      <w:proofErr w:type="spellStart"/>
      <w:r w:rsidRPr="00A633E9">
        <w:rPr>
          <w:rFonts w:eastAsiaTheme="minorHAnsi" w:cstheme="minorBidi"/>
          <w:i/>
          <w:color w:val="000000"/>
          <w:sz w:val="20"/>
          <w:szCs w:val="20"/>
          <w:lang w:eastAsia="en-US"/>
        </w:rPr>
        <w:t>version</w:t>
      </w:r>
      <w:proofErr w:type="spellEnd"/>
      <w:r w:rsidRPr="00A633E9">
        <w:rPr>
          <w:rFonts w:eastAsiaTheme="minorHAnsi" w:cstheme="minorBidi"/>
          <w:i/>
          <w:color w:val="000000"/>
          <w:sz w:val="20"/>
          <w:szCs w:val="20"/>
          <w:lang w:eastAsia="en-US"/>
        </w:rPr>
        <w:t xml:space="preserve"> publica ni el acta del </w:t>
      </w:r>
      <w:proofErr w:type="spellStart"/>
      <w:r w:rsidRPr="00A633E9">
        <w:rPr>
          <w:rFonts w:eastAsiaTheme="minorHAnsi" w:cstheme="minorBidi"/>
          <w:i/>
          <w:color w:val="000000"/>
          <w:sz w:val="20"/>
          <w:szCs w:val="20"/>
          <w:lang w:eastAsia="en-US"/>
        </w:rPr>
        <w:t>comite</w:t>
      </w:r>
      <w:proofErr w:type="spellEnd"/>
      <w:r w:rsidR="00570D21" w:rsidRPr="00A633E9">
        <w:rPr>
          <w:rFonts w:eastAsiaTheme="minorHAnsi" w:cstheme="minorBidi"/>
          <w:i/>
          <w:color w:val="000000"/>
          <w:sz w:val="20"/>
          <w:szCs w:val="20"/>
          <w:lang w:eastAsia="en-US"/>
        </w:rPr>
        <w:t>.</w:t>
      </w:r>
      <w:r w:rsidR="00570D21" w:rsidRPr="00A633E9">
        <w:rPr>
          <w:rFonts w:eastAsiaTheme="minorHAnsi" w:cs="Tahoma"/>
          <w:i/>
          <w:sz w:val="20"/>
          <w:szCs w:val="20"/>
          <w:lang w:eastAsia="en-US"/>
        </w:rPr>
        <w:t>” (Sic.)</w:t>
      </w:r>
    </w:p>
    <w:p w14:paraId="2981E893" w14:textId="43D6F1DA" w:rsidR="00570D21" w:rsidRPr="00A633E9" w:rsidRDefault="00570D21" w:rsidP="0012600D">
      <w:pPr>
        <w:pStyle w:val="Ttulo1"/>
        <w:jc w:val="both"/>
        <w:rPr>
          <w:sz w:val="22"/>
          <w:szCs w:val="22"/>
          <w:lang w:eastAsia="en-US"/>
        </w:rPr>
      </w:pPr>
      <w:bookmarkStart w:id="5" w:name="_Toc198822018"/>
      <w:bookmarkEnd w:id="4"/>
      <w:r w:rsidRPr="00A633E9">
        <w:rPr>
          <w:rFonts w:eastAsiaTheme="minorHAnsi"/>
          <w:sz w:val="22"/>
          <w:szCs w:val="22"/>
          <w:lang w:eastAsia="en-US"/>
        </w:rPr>
        <w:t xml:space="preserve">V. </w:t>
      </w:r>
      <w:r w:rsidRPr="00A633E9">
        <w:rPr>
          <w:sz w:val="22"/>
          <w:szCs w:val="22"/>
          <w:lang w:eastAsia="en-US"/>
        </w:rPr>
        <w:t xml:space="preserve">Trámite del </w:t>
      </w:r>
      <w:r w:rsidRPr="00A633E9">
        <w:rPr>
          <w:rFonts w:eastAsiaTheme="minorHAnsi"/>
          <w:sz w:val="22"/>
          <w:szCs w:val="22"/>
          <w:lang w:eastAsia="en-US"/>
        </w:rPr>
        <w:t xml:space="preserve">Recurso de Revisión </w:t>
      </w:r>
      <w:r w:rsidR="0012600D" w:rsidRPr="00A633E9">
        <w:rPr>
          <w:sz w:val="22"/>
          <w:szCs w:val="22"/>
          <w:lang w:eastAsia="en-US"/>
        </w:rPr>
        <w:t>ante este Instituto</w:t>
      </w:r>
      <w:bookmarkEnd w:id="5"/>
    </w:p>
    <w:p w14:paraId="77C410F6" w14:textId="77777777" w:rsidR="00570D21" w:rsidRPr="00A633E9" w:rsidRDefault="00570D21" w:rsidP="00570D21">
      <w:pPr>
        <w:spacing w:after="0" w:line="360" w:lineRule="auto"/>
        <w:contextualSpacing/>
        <w:rPr>
          <w:rFonts w:eastAsia="Batang" w:cs="Tahoma"/>
          <w:b/>
          <w:bCs/>
          <w:lang w:eastAsia="en-US"/>
        </w:rPr>
      </w:pPr>
    </w:p>
    <w:p w14:paraId="37CBAB19" w14:textId="58FECBD0" w:rsidR="00570D21" w:rsidRPr="00A633E9" w:rsidRDefault="00570D21" w:rsidP="00570D21">
      <w:pPr>
        <w:spacing w:after="0" w:line="360" w:lineRule="auto"/>
        <w:contextualSpacing/>
        <w:rPr>
          <w:rFonts w:eastAsia="Batang" w:cs="Tahoma"/>
          <w:bCs/>
          <w:lang w:eastAsia="en-US"/>
        </w:rPr>
      </w:pPr>
      <w:r w:rsidRPr="00A633E9">
        <w:rPr>
          <w:rFonts w:eastAsia="Batang" w:cs="Tahoma"/>
          <w:b/>
          <w:bCs/>
          <w:lang w:eastAsia="en-US"/>
        </w:rPr>
        <w:t xml:space="preserve">a) Turno del Medio de Impugnación. </w:t>
      </w:r>
      <w:r w:rsidRPr="00A633E9">
        <w:rPr>
          <w:rFonts w:eastAsia="Batang" w:cs="Tahoma"/>
          <w:bCs/>
          <w:lang w:eastAsia="en-US"/>
        </w:rPr>
        <w:t xml:space="preserve">El </w:t>
      </w:r>
      <w:r w:rsidR="008E0E2D" w:rsidRPr="00A633E9">
        <w:rPr>
          <w:rFonts w:eastAsia="Batang" w:cs="Tahoma"/>
          <w:bCs/>
          <w:lang w:eastAsia="en-US"/>
        </w:rPr>
        <w:t>seis de febrero de dos mil veinticinco</w:t>
      </w:r>
      <w:r w:rsidRPr="00A633E9">
        <w:rPr>
          <w:rFonts w:eastAsia="Batang" w:cs="Tahoma"/>
          <w:bCs/>
          <w:lang w:eastAsia="en-US"/>
        </w:rPr>
        <w:t xml:space="preserve">, el </w:t>
      </w:r>
      <w:r w:rsidRPr="00A633E9">
        <w:rPr>
          <w:rFonts w:eastAsiaTheme="minorHAnsi" w:cs="Tahoma"/>
          <w:lang w:val="es-ES" w:eastAsia="en-US"/>
        </w:rPr>
        <w:t>Sistema de Acceso a la Información Mexiquense (SAIMEX),</w:t>
      </w:r>
      <w:r w:rsidRPr="00A633E9">
        <w:rPr>
          <w:rFonts w:eastAsia="Batang" w:cs="Tahoma"/>
          <w:bCs/>
          <w:lang w:eastAsia="en-US"/>
        </w:rPr>
        <w:t xml:space="preserve"> asignó el número de expediente </w:t>
      </w:r>
      <w:r w:rsidR="000F7BEA" w:rsidRPr="00A633E9">
        <w:rPr>
          <w:rFonts w:eastAsiaTheme="minorHAnsi" w:cstheme="minorBidi"/>
          <w:b/>
          <w:bCs/>
          <w:lang w:eastAsia="en-US"/>
        </w:rPr>
        <w:lastRenderedPageBreak/>
        <w:t>00756/INFOEM/IP/RR/2025</w:t>
      </w:r>
      <w:r w:rsidRPr="00A633E9">
        <w:rPr>
          <w:rFonts w:eastAsia="Batang" w:cs="Tahoma"/>
          <w:bCs/>
          <w:lang w:eastAsia="en-US"/>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1B6FB022" w14:textId="77777777" w:rsidR="00570D21" w:rsidRPr="00A633E9" w:rsidRDefault="00570D21" w:rsidP="00570D21">
      <w:pPr>
        <w:spacing w:after="0" w:line="360" w:lineRule="auto"/>
        <w:contextualSpacing/>
        <w:rPr>
          <w:rFonts w:eastAsia="Batang" w:cs="Tahoma"/>
          <w:bCs/>
          <w:lang w:eastAsia="en-US"/>
        </w:rPr>
      </w:pPr>
    </w:p>
    <w:p w14:paraId="26C4B7DC" w14:textId="60CAA66F" w:rsidR="00570D21" w:rsidRPr="00A633E9" w:rsidRDefault="00570D21" w:rsidP="00570D21">
      <w:pPr>
        <w:spacing w:after="0" w:line="360" w:lineRule="auto"/>
        <w:contextualSpacing/>
        <w:rPr>
          <w:rFonts w:eastAsia="Times New Roman" w:cs="Tahoma"/>
          <w:b/>
          <w:lang w:eastAsia="en-US"/>
        </w:rPr>
      </w:pPr>
      <w:r w:rsidRPr="00A633E9">
        <w:rPr>
          <w:rFonts w:eastAsia="Batang" w:cs="Tahoma"/>
          <w:b/>
          <w:bCs/>
          <w:lang w:eastAsia="en-US"/>
        </w:rPr>
        <w:t xml:space="preserve">b) Admisión del </w:t>
      </w:r>
      <w:r w:rsidRPr="00A633E9">
        <w:rPr>
          <w:rFonts w:eastAsiaTheme="minorHAnsi" w:cs="Tahoma"/>
          <w:b/>
          <w:lang w:eastAsia="en-US"/>
        </w:rPr>
        <w:t>Recurso de Revisión</w:t>
      </w:r>
      <w:r w:rsidRPr="00A633E9">
        <w:rPr>
          <w:rFonts w:eastAsia="Batang" w:cs="Tahoma"/>
          <w:b/>
          <w:bCs/>
          <w:lang w:val="es-ES_tradnl" w:eastAsia="en-US"/>
        </w:rPr>
        <w:t xml:space="preserve">. </w:t>
      </w:r>
      <w:r w:rsidRPr="00A633E9">
        <w:rPr>
          <w:rFonts w:eastAsia="Batang" w:cs="Tahoma"/>
          <w:bCs/>
          <w:lang w:val="es-ES_tradnl" w:eastAsia="en-US"/>
        </w:rPr>
        <w:t xml:space="preserve">El </w:t>
      </w:r>
      <w:r w:rsidR="000F7BEA" w:rsidRPr="00A633E9">
        <w:rPr>
          <w:rFonts w:eastAsia="Batang" w:cs="Tahoma"/>
          <w:bCs/>
          <w:lang w:val="es-ES_tradnl" w:eastAsia="en-US"/>
        </w:rPr>
        <w:t>once de febrero de dos mil veinticinco</w:t>
      </w:r>
      <w:r w:rsidRPr="00A633E9">
        <w:rPr>
          <w:rFonts w:eastAsia="Batang" w:cs="Tahoma"/>
          <w:bCs/>
          <w:lang w:val="es-ES_tradnl" w:eastAsia="en-U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63CE2C8A" w14:textId="77777777" w:rsidR="00570D21" w:rsidRPr="00A633E9" w:rsidRDefault="00570D21" w:rsidP="00570D21">
      <w:pPr>
        <w:spacing w:after="0" w:line="360" w:lineRule="auto"/>
        <w:contextualSpacing/>
        <w:rPr>
          <w:rFonts w:eastAsiaTheme="minorHAnsi" w:cs="Tahoma"/>
          <w:bCs/>
          <w:lang w:eastAsia="en-US"/>
        </w:rPr>
      </w:pPr>
    </w:p>
    <w:p w14:paraId="778F9E1E" w14:textId="1B8E51DF" w:rsidR="00570D21" w:rsidRPr="00A633E9" w:rsidRDefault="00570D21" w:rsidP="00570D21">
      <w:pPr>
        <w:spacing w:after="0" w:line="360" w:lineRule="auto"/>
        <w:contextualSpacing/>
        <w:rPr>
          <w:rFonts w:eastAsiaTheme="minorHAnsi" w:cs="Tahoma"/>
          <w:bCs/>
          <w:lang w:val="es-ES_tradnl" w:eastAsia="en-US"/>
        </w:rPr>
      </w:pPr>
      <w:r w:rsidRPr="00A633E9">
        <w:rPr>
          <w:rFonts w:eastAsiaTheme="minorHAnsi" w:cs="Tahoma"/>
          <w:b/>
          <w:lang w:eastAsia="en-US"/>
        </w:rPr>
        <w:t>c)</w:t>
      </w:r>
      <w:r w:rsidRPr="00A633E9">
        <w:rPr>
          <w:rFonts w:eastAsiaTheme="minorHAnsi" w:cs="Tahoma"/>
          <w:b/>
          <w:bCs/>
          <w:lang w:eastAsia="en-US"/>
        </w:rPr>
        <w:t xml:space="preserve"> </w:t>
      </w:r>
      <w:r w:rsidRPr="00A633E9">
        <w:rPr>
          <w:rFonts w:eastAsiaTheme="minorHAnsi" w:cs="Tahoma"/>
          <w:b/>
          <w:lang w:val="es-ES_tradnl" w:eastAsia="en-US"/>
        </w:rPr>
        <w:t xml:space="preserve">Informe Justificado. </w:t>
      </w:r>
      <w:r w:rsidR="000F7BEA" w:rsidRPr="00A633E9">
        <w:rPr>
          <w:rFonts w:eastAsiaTheme="minorHAnsi" w:cs="Tahoma"/>
          <w:bCs/>
          <w:lang w:val="es-ES_tradnl" w:eastAsia="en-US"/>
        </w:rPr>
        <w:t>Las partes fueron omisas en rendir su informe justificado o manifestaciones.</w:t>
      </w:r>
    </w:p>
    <w:p w14:paraId="5BB1EBFE" w14:textId="77777777" w:rsidR="00570D21" w:rsidRPr="00A633E9" w:rsidRDefault="00570D21" w:rsidP="00570D21">
      <w:pPr>
        <w:spacing w:after="0" w:line="360" w:lineRule="auto"/>
        <w:contextualSpacing/>
        <w:rPr>
          <w:rFonts w:eastAsiaTheme="minorHAnsi" w:cs="Tahoma"/>
          <w:bCs/>
          <w:lang w:val="es-ES_tradnl" w:eastAsia="en-US"/>
        </w:rPr>
      </w:pPr>
    </w:p>
    <w:p w14:paraId="53B75C4B" w14:textId="12249C45" w:rsidR="00570D21" w:rsidRPr="00A633E9" w:rsidRDefault="00570D21" w:rsidP="00570D21">
      <w:pPr>
        <w:spacing w:after="0" w:line="360" w:lineRule="auto"/>
        <w:contextualSpacing/>
        <w:rPr>
          <w:rFonts w:eastAsiaTheme="minorHAnsi" w:cs="Tahoma"/>
          <w:lang w:eastAsia="en-US"/>
        </w:rPr>
      </w:pPr>
      <w:r w:rsidRPr="00A633E9">
        <w:rPr>
          <w:rFonts w:eastAsiaTheme="minorHAnsi" w:cs="Tahoma"/>
          <w:b/>
          <w:bCs/>
          <w:lang w:eastAsia="en-US"/>
        </w:rPr>
        <w:t>d) Cierre de instrucción.</w:t>
      </w:r>
      <w:r w:rsidRPr="00A633E9">
        <w:rPr>
          <w:rFonts w:eastAsiaTheme="minorHAnsi" w:cs="Tahoma"/>
          <w:lang w:eastAsia="en-US"/>
        </w:rPr>
        <w:t xml:space="preserve">  El </w:t>
      </w:r>
      <w:r w:rsidR="000F7BEA" w:rsidRPr="00A633E9">
        <w:rPr>
          <w:rFonts w:eastAsiaTheme="minorHAnsi" w:cs="Tahoma"/>
          <w:lang w:eastAsia="en-US"/>
        </w:rPr>
        <w:t>veinticinco de febrero de</w:t>
      </w:r>
      <w:r w:rsidRPr="00A633E9">
        <w:rPr>
          <w:rFonts w:eastAsiaTheme="minorHAnsi" w:cs="Tahoma"/>
          <w:lang w:eastAsia="en-US"/>
        </w:rPr>
        <w:t xml:space="preserv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A633E9">
        <w:rPr>
          <w:rFonts w:eastAsiaTheme="minorHAnsi" w:cs="Tahoma"/>
          <w:lang w:val="es-ES" w:eastAsia="en-US"/>
        </w:rPr>
        <w:t>Sistema de Acceso a la Información Mexiquense (SAIMEX), el mismo día</w:t>
      </w:r>
      <w:r w:rsidRPr="00A633E9">
        <w:rPr>
          <w:rFonts w:eastAsiaTheme="minorHAnsi" w:cs="Tahoma"/>
          <w:lang w:eastAsia="en-US"/>
        </w:rPr>
        <w:t xml:space="preserve">. </w:t>
      </w:r>
    </w:p>
    <w:p w14:paraId="26F90F04" w14:textId="77777777" w:rsidR="00A959F6" w:rsidRPr="00A633E9" w:rsidRDefault="00A959F6" w:rsidP="00570D21">
      <w:pPr>
        <w:spacing w:after="0" w:line="360" w:lineRule="auto"/>
        <w:contextualSpacing/>
        <w:rPr>
          <w:rFonts w:eastAsiaTheme="minorHAnsi" w:cs="Tahoma"/>
          <w:lang w:eastAsia="en-US"/>
        </w:rPr>
      </w:pPr>
    </w:p>
    <w:p w14:paraId="55D74EFF" w14:textId="39C47D46" w:rsidR="00A959F6" w:rsidRPr="00A633E9" w:rsidRDefault="00A959F6" w:rsidP="00A959F6">
      <w:pPr>
        <w:spacing w:after="0" w:line="360" w:lineRule="auto"/>
        <w:ind w:right="-28"/>
        <w:rPr>
          <w:rFonts w:eastAsia="Times New Roman" w:cs="Times New Roman"/>
          <w:color w:val="auto"/>
          <w:lang w:eastAsia="es-ES"/>
        </w:rPr>
      </w:pPr>
      <w:r w:rsidRPr="00A633E9">
        <w:rPr>
          <w:rFonts w:eastAsiaTheme="minorHAnsi" w:cs="Tahoma"/>
          <w:b/>
          <w:bCs/>
          <w:lang w:eastAsia="en-US"/>
        </w:rPr>
        <w:t xml:space="preserve">e) </w:t>
      </w:r>
      <w:r w:rsidRPr="00A633E9">
        <w:rPr>
          <w:rFonts w:eastAsia="Times New Roman" w:cs="Times New Roman"/>
          <w:b/>
          <w:lang w:eastAsia="es-ES"/>
        </w:rPr>
        <w:t xml:space="preserve">Ampliación del plazo para resolver. </w:t>
      </w:r>
      <w:r w:rsidRPr="00A633E9">
        <w:rPr>
          <w:rFonts w:eastAsia="Times New Roman" w:cs="Times New Roman"/>
          <w:lang w:eastAsia="es-ES"/>
        </w:rPr>
        <w:t xml:space="preserve">El catorce de mayo de dos mil veinticinco, el Comisionado Ponente, con fundamento en lo dispuesto por el artículo 181, párrafo tercero, de la Ley de Transparencia y Acceso a la Información Pública del Estado de México y Municipios, acordó ampliar por un plazo razonable, el plazo para resolver el recurso de revisión que nos </w:t>
      </w:r>
      <w:r w:rsidRPr="00A633E9">
        <w:rPr>
          <w:rFonts w:eastAsia="Times New Roman" w:cs="Times New Roman"/>
          <w:lang w:eastAsia="es-ES"/>
        </w:rPr>
        <w:lastRenderedPageBreak/>
        <w:t>ocupa; acto que fue notificado a las partes, mediante el Sistema de Acceso a la Información Mexiquense (SAIMEX)</w:t>
      </w:r>
      <w:r w:rsidR="0012600D" w:rsidRPr="00A633E9">
        <w:rPr>
          <w:rFonts w:eastAsia="Times New Roman" w:cs="Times New Roman"/>
          <w:lang w:eastAsia="es-ES"/>
        </w:rPr>
        <w:t>, el quince de dicho mes y año</w:t>
      </w:r>
      <w:r w:rsidRPr="00A633E9">
        <w:rPr>
          <w:rFonts w:eastAsia="Times New Roman" w:cs="Times New Roman"/>
          <w:lang w:eastAsia="es-ES"/>
        </w:rPr>
        <w:t>.</w:t>
      </w:r>
    </w:p>
    <w:p w14:paraId="45C441A7" w14:textId="77777777" w:rsidR="00570D21" w:rsidRPr="00A633E9" w:rsidRDefault="00570D21" w:rsidP="00570D21">
      <w:pPr>
        <w:spacing w:after="0" w:line="360" w:lineRule="auto"/>
        <w:contextualSpacing/>
        <w:rPr>
          <w:rFonts w:eastAsiaTheme="minorHAnsi" w:cs="Tahoma"/>
          <w:lang w:eastAsia="en-US"/>
        </w:rPr>
      </w:pPr>
      <w:r w:rsidRPr="00A633E9">
        <w:rPr>
          <w:rFonts w:eastAsiaTheme="minorHAnsi" w:cs="Tahoma"/>
          <w:lang w:eastAsia="en-US"/>
        </w:rPr>
        <w:t xml:space="preserve">En razón de que fue debidamente sustanciado el expediente electrónico y no existe diligencia pendiente de desahogo, se emite la resolución que conforme a Derecho proceda, de acuerdo a los siguientes: </w:t>
      </w:r>
    </w:p>
    <w:p w14:paraId="6176ED2A" w14:textId="77777777" w:rsidR="00A959F6" w:rsidRPr="00A633E9" w:rsidRDefault="00A959F6" w:rsidP="00570D21">
      <w:pPr>
        <w:spacing w:after="0" w:line="360" w:lineRule="auto"/>
        <w:contextualSpacing/>
        <w:rPr>
          <w:rFonts w:eastAsiaTheme="minorHAnsi" w:cs="Tahoma"/>
          <w:b/>
          <w:bCs/>
          <w:lang w:eastAsia="en-US"/>
        </w:rPr>
      </w:pPr>
    </w:p>
    <w:p w14:paraId="425908D6" w14:textId="5EC94CA3" w:rsidR="00570D21" w:rsidRPr="00A633E9" w:rsidRDefault="0012600D" w:rsidP="0012600D">
      <w:pPr>
        <w:pStyle w:val="Ttulo1"/>
        <w:rPr>
          <w:sz w:val="22"/>
          <w:szCs w:val="22"/>
          <w:lang w:val="es-ES" w:eastAsia="en-US"/>
        </w:rPr>
      </w:pPr>
      <w:bookmarkStart w:id="6" w:name="_Toc198822019"/>
      <w:r w:rsidRPr="00A633E9">
        <w:rPr>
          <w:sz w:val="22"/>
          <w:szCs w:val="22"/>
          <w:lang w:val="es-ES" w:eastAsia="en-US"/>
        </w:rPr>
        <w:t>CONSIDERANDOS</w:t>
      </w:r>
      <w:bookmarkEnd w:id="6"/>
    </w:p>
    <w:p w14:paraId="6CB4D8E6" w14:textId="2E8D8E42" w:rsidR="00570D21" w:rsidRPr="00A633E9" w:rsidRDefault="00570D21" w:rsidP="0012600D">
      <w:pPr>
        <w:pStyle w:val="Ttulo1"/>
        <w:jc w:val="left"/>
        <w:rPr>
          <w:sz w:val="22"/>
          <w:szCs w:val="22"/>
          <w:lang w:val="es-ES" w:eastAsia="en-US"/>
        </w:rPr>
      </w:pPr>
      <w:bookmarkStart w:id="7" w:name="_Toc198822020"/>
      <w:r w:rsidRPr="00A633E9">
        <w:rPr>
          <w:rFonts w:eastAsia="Calibri"/>
          <w:sz w:val="22"/>
          <w:szCs w:val="22"/>
          <w:lang w:val="es-ES"/>
        </w:rPr>
        <w:t xml:space="preserve">PRIMERO. </w:t>
      </w:r>
      <w:r w:rsidR="0012600D" w:rsidRPr="00A633E9">
        <w:rPr>
          <w:sz w:val="22"/>
          <w:szCs w:val="22"/>
          <w:lang w:val="es-ES" w:eastAsia="en-US"/>
        </w:rPr>
        <w:t>Competencia</w:t>
      </w:r>
      <w:bookmarkEnd w:id="7"/>
    </w:p>
    <w:p w14:paraId="70F1E39E" w14:textId="77777777" w:rsidR="00570D21" w:rsidRPr="00A633E9" w:rsidRDefault="00570D21" w:rsidP="00570D21">
      <w:pPr>
        <w:autoSpaceDE w:val="0"/>
        <w:autoSpaceDN w:val="0"/>
        <w:adjustRightInd w:val="0"/>
        <w:spacing w:after="0" w:line="360" w:lineRule="auto"/>
        <w:contextualSpacing/>
        <w:rPr>
          <w:rFonts w:eastAsiaTheme="minorHAnsi" w:cs="Tahoma"/>
          <w:b/>
          <w:lang w:val="es-ES" w:eastAsia="en-US"/>
        </w:rPr>
      </w:pPr>
    </w:p>
    <w:p w14:paraId="0AB60C2D" w14:textId="486C2F73" w:rsidR="00570D21" w:rsidRPr="00A633E9" w:rsidRDefault="00570D21" w:rsidP="00570D21">
      <w:pPr>
        <w:spacing w:after="0" w:line="360" w:lineRule="auto"/>
        <w:contextualSpacing/>
        <w:rPr>
          <w:rFonts w:eastAsiaTheme="minorHAnsi" w:cs="Times New Roman"/>
          <w:lang w:eastAsia="en-US"/>
        </w:rPr>
      </w:pPr>
      <w:r w:rsidRPr="00A633E9">
        <w:rPr>
          <w:rFonts w:eastAsiaTheme="minorHAnsi" w:cstheme="minorBidi"/>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w:t>
      </w:r>
      <w:r w:rsidR="00A959F6" w:rsidRPr="00A633E9">
        <w:rPr>
          <w:rFonts w:eastAsiaTheme="minorHAnsi" w:cstheme="minorBidi"/>
          <w:lang w:eastAsia="en-US"/>
        </w:rPr>
        <w:t xml:space="preserve"> séptimo</w:t>
      </w:r>
      <w:r w:rsidRPr="00A633E9">
        <w:rPr>
          <w:rFonts w:eastAsiaTheme="minorHAnsi" w:cstheme="minorBidi"/>
          <w:lang w:eastAsia="en-US"/>
        </w:rPr>
        <w:t xml:space="preserve">, trigésimo </w:t>
      </w:r>
      <w:r w:rsidR="00A959F6" w:rsidRPr="00A633E9">
        <w:rPr>
          <w:rFonts w:eastAsiaTheme="minorHAnsi" w:cstheme="minorBidi"/>
          <w:lang w:eastAsia="en-US"/>
        </w:rPr>
        <w:t>octavo</w:t>
      </w:r>
      <w:r w:rsidRPr="00A633E9">
        <w:rPr>
          <w:rFonts w:eastAsiaTheme="minorHAnsi" w:cstheme="minorBidi"/>
          <w:lang w:eastAsia="en-US"/>
        </w:rPr>
        <w:t xml:space="preserve"> y trigésimo </w:t>
      </w:r>
      <w:r w:rsidR="00A959F6" w:rsidRPr="00A633E9">
        <w:rPr>
          <w:rFonts w:eastAsiaTheme="minorHAnsi" w:cstheme="minorBidi"/>
          <w:lang w:eastAsia="en-US"/>
        </w:rPr>
        <w:t>noveno</w:t>
      </w:r>
      <w:r w:rsidRPr="00A633E9">
        <w:rPr>
          <w:rFonts w:eastAsiaTheme="minorHAnsi" w:cstheme="minorBidi"/>
          <w:lang w:eastAsia="en-US"/>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65A8A65" w14:textId="77777777" w:rsidR="00570D21" w:rsidRPr="00A633E9" w:rsidRDefault="00570D21" w:rsidP="00570D21">
      <w:pPr>
        <w:autoSpaceDE w:val="0"/>
        <w:autoSpaceDN w:val="0"/>
        <w:adjustRightInd w:val="0"/>
        <w:spacing w:after="0" w:line="360" w:lineRule="auto"/>
        <w:contextualSpacing/>
        <w:rPr>
          <w:rFonts w:eastAsia="Calibri" w:cs="Tahoma"/>
          <w:lang w:val="es-ES"/>
        </w:rPr>
      </w:pPr>
    </w:p>
    <w:p w14:paraId="00CEF12A" w14:textId="77777777" w:rsidR="00F616E9" w:rsidRPr="00A633E9" w:rsidRDefault="00F616E9" w:rsidP="00F616E9">
      <w:pPr>
        <w:keepNext/>
        <w:keepLines/>
        <w:spacing w:after="0" w:line="360" w:lineRule="auto"/>
        <w:outlineLvl w:val="1"/>
        <w:rPr>
          <w:b/>
          <w:color w:val="auto"/>
        </w:rPr>
      </w:pPr>
      <w:bookmarkStart w:id="8" w:name="_Toc193315337"/>
      <w:bookmarkStart w:id="9" w:name="_Toc198822021"/>
      <w:r w:rsidRPr="00A633E9">
        <w:rPr>
          <w:b/>
          <w:color w:val="auto"/>
        </w:rPr>
        <w:t>SEGUNDO. Causales de improcedencia y sobreseimiento</w:t>
      </w:r>
      <w:bookmarkEnd w:id="8"/>
      <w:bookmarkEnd w:id="9"/>
    </w:p>
    <w:p w14:paraId="1E0697E0" w14:textId="77777777" w:rsidR="00F616E9" w:rsidRPr="00A633E9" w:rsidRDefault="00F616E9" w:rsidP="00F616E9">
      <w:pPr>
        <w:spacing w:after="0" w:line="360" w:lineRule="auto"/>
        <w:rPr>
          <w:color w:val="auto"/>
        </w:rPr>
      </w:pPr>
    </w:p>
    <w:p w14:paraId="7DFD2804" w14:textId="77777777" w:rsidR="00F616E9" w:rsidRPr="00A633E9" w:rsidRDefault="00F616E9" w:rsidP="00F616E9">
      <w:pPr>
        <w:spacing w:after="0" w:line="360" w:lineRule="auto"/>
        <w:rPr>
          <w:color w:val="auto"/>
        </w:rPr>
      </w:pPr>
      <w:r w:rsidRPr="00A633E9">
        <w:rPr>
          <w:color w:val="auto"/>
        </w:rPr>
        <w:t xml:space="preserve">De las constancias que forma parte del Recurso de Revisión que se analiza, se advierte que previo al estudio del fondo de la </w:t>
      </w:r>
      <w:r w:rsidRPr="00A633E9">
        <w:rPr>
          <w:i/>
          <w:color w:val="auto"/>
        </w:rPr>
        <w:t>litis</w:t>
      </w:r>
      <w:r w:rsidRPr="00A633E9">
        <w:rPr>
          <w:color w:val="auto"/>
        </w:rPr>
        <w:t>, es necesario estudiar las causales de improcedencia y sobreseimiento que se adviertan, para determinar lo que en Derecho proceda.</w:t>
      </w:r>
    </w:p>
    <w:p w14:paraId="73F51D45" w14:textId="77777777" w:rsidR="00F616E9" w:rsidRPr="00A633E9" w:rsidRDefault="00F616E9" w:rsidP="00F616E9">
      <w:pPr>
        <w:spacing w:after="0" w:line="360" w:lineRule="auto"/>
        <w:rPr>
          <w:color w:val="auto"/>
        </w:rPr>
      </w:pPr>
    </w:p>
    <w:p w14:paraId="1D70D362" w14:textId="77777777" w:rsidR="00F616E9" w:rsidRPr="00A633E9" w:rsidRDefault="00F616E9" w:rsidP="00F616E9">
      <w:pPr>
        <w:spacing w:after="0" w:line="360" w:lineRule="auto"/>
        <w:rPr>
          <w:b/>
          <w:color w:val="auto"/>
        </w:rPr>
      </w:pPr>
      <w:r w:rsidRPr="00A633E9">
        <w:rPr>
          <w:b/>
          <w:color w:val="auto"/>
        </w:rPr>
        <w:t>Causales de improcedencia</w:t>
      </w:r>
    </w:p>
    <w:p w14:paraId="0C6A1F10" w14:textId="77777777" w:rsidR="00F616E9" w:rsidRPr="00A633E9" w:rsidRDefault="00F616E9" w:rsidP="00F616E9">
      <w:pPr>
        <w:spacing w:after="0" w:line="360" w:lineRule="auto"/>
        <w:rPr>
          <w:color w:val="auto"/>
        </w:rPr>
      </w:pPr>
    </w:p>
    <w:p w14:paraId="5E364EBA" w14:textId="77777777" w:rsidR="00F616E9" w:rsidRPr="00A633E9" w:rsidRDefault="00F616E9" w:rsidP="00F616E9">
      <w:pPr>
        <w:spacing w:after="0" w:line="360" w:lineRule="auto"/>
        <w:rPr>
          <w:color w:val="auto"/>
        </w:rPr>
      </w:pPr>
      <w:r w:rsidRPr="00A633E9">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770BF6" w14:textId="77777777" w:rsidR="00F616E9" w:rsidRPr="00A633E9" w:rsidRDefault="00F616E9" w:rsidP="00F616E9">
      <w:pPr>
        <w:spacing w:after="0" w:line="360" w:lineRule="auto"/>
        <w:rPr>
          <w:color w:val="auto"/>
        </w:rPr>
      </w:pPr>
      <w:r w:rsidRPr="00A633E9">
        <w:rPr>
          <w:color w:val="auto"/>
        </w:rPr>
        <w:t>En el presente caso, </w:t>
      </w:r>
      <w:r w:rsidRPr="00A633E9">
        <w:rPr>
          <w:b/>
          <w:color w:val="auto"/>
        </w:rPr>
        <w:t>no se actualiza ninguna de las causales de improcedencia</w:t>
      </w:r>
      <w:r w:rsidRPr="00A633E9">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4612C6C4" w14:textId="77777777" w:rsidR="00F616E9" w:rsidRPr="00A633E9" w:rsidRDefault="00F616E9" w:rsidP="00F616E9">
      <w:pPr>
        <w:spacing w:after="0" w:line="360" w:lineRule="auto"/>
        <w:rPr>
          <w:color w:val="auto"/>
        </w:rPr>
      </w:pPr>
    </w:p>
    <w:p w14:paraId="59602458" w14:textId="1A6780C8" w:rsidR="00F616E9" w:rsidRPr="00A633E9" w:rsidRDefault="00F616E9" w:rsidP="00F616E9">
      <w:pPr>
        <w:spacing w:after="0" w:line="360" w:lineRule="auto"/>
        <w:rPr>
          <w:color w:val="auto"/>
        </w:rPr>
      </w:pPr>
      <w:r w:rsidRPr="00A633E9">
        <w:rPr>
          <w:color w:val="auto"/>
        </w:rPr>
        <w:t xml:space="preserve">Por lo cual, se actualiza la causal de procedencia del Recurso de Revisión señalada en el artículo 179, fracción VI, de la Ley en cita, pues la persona Recurrente se inconformó de la entrega de información que no corresponde con lo solicitado. </w:t>
      </w:r>
    </w:p>
    <w:p w14:paraId="5AA2B54B" w14:textId="77777777" w:rsidR="00570D21" w:rsidRPr="00A633E9" w:rsidRDefault="00570D21" w:rsidP="00570D21">
      <w:pPr>
        <w:spacing w:after="0" w:line="360" w:lineRule="auto"/>
        <w:contextualSpacing/>
        <w:rPr>
          <w:rFonts w:eastAsiaTheme="minorHAnsi" w:cs="Tahoma"/>
          <w:lang w:val="es-ES" w:eastAsia="en-US"/>
        </w:rPr>
      </w:pPr>
    </w:p>
    <w:p w14:paraId="2F11E02E" w14:textId="5C4DF39A" w:rsidR="00570D21" w:rsidRPr="00A633E9" w:rsidRDefault="0012600D" w:rsidP="00570D21">
      <w:pPr>
        <w:spacing w:after="0" w:line="360" w:lineRule="auto"/>
        <w:contextualSpacing/>
        <w:rPr>
          <w:rFonts w:eastAsiaTheme="minorHAnsi" w:cs="Tahoma"/>
          <w:lang w:eastAsia="en-US"/>
        </w:rPr>
      </w:pPr>
      <w:r w:rsidRPr="00A633E9">
        <w:rPr>
          <w:rFonts w:eastAsiaTheme="minorHAnsi" w:cs="Tahoma"/>
          <w:b/>
          <w:bCs/>
          <w:lang w:eastAsia="en-US"/>
        </w:rPr>
        <w:t>Causales de sobreseimiento</w:t>
      </w:r>
    </w:p>
    <w:p w14:paraId="5BD207B2" w14:textId="77777777" w:rsidR="00570D21" w:rsidRPr="00A633E9" w:rsidRDefault="00570D21" w:rsidP="00570D21">
      <w:pPr>
        <w:spacing w:after="0" w:line="360" w:lineRule="auto"/>
        <w:contextualSpacing/>
        <w:rPr>
          <w:rFonts w:eastAsiaTheme="minorHAnsi" w:cs="Tahoma"/>
          <w:lang w:eastAsia="en-US"/>
        </w:rPr>
      </w:pPr>
    </w:p>
    <w:p w14:paraId="237E2057" w14:textId="77777777" w:rsidR="00570D21" w:rsidRPr="00A633E9" w:rsidRDefault="00570D21" w:rsidP="00570D21">
      <w:pPr>
        <w:spacing w:after="0" w:line="360" w:lineRule="auto"/>
        <w:contextualSpacing/>
        <w:rPr>
          <w:rFonts w:eastAsiaTheme="minorHAnsi" w:cs="Tahoma"/>
          <w:lang w:eastAsia="en-US"/>
        </w:rPr>
      </w:pPr>
      <w:r w:rsidRPr="00A633E9">
        <w:rPr>
          <w:rFonts w:eastAsiaTheme="minorHAnsi" w:cs="Tahoma"/>
          <w:lang w:eastAsia="en-US"/>
        </w:rPr>
        <w:t>Por ser de previo y especial pronunciamiento, este Instituto analiza si se actualiza alguna causal de sobreseimiento.</w:t>
      </w:r>
    </w:p>
    <w:p w14:paraId="38AB79EE" w14:textId="77777777" w:rsidR="00570D21" w:rsidRPr="00A633E9" w:rsidRDefault="00570D21" w:rsidP="00570D21">
      <w:pPr>
        <w:spacing w:after="0" w:line="360" w:lineRule="auto"/>
        <w:contextualSpacing/>
        <w:rPr>
          <w:rFonts w:eastAsiaTheme="minorHAnsi" w:cs="Tahoma"/>
          <w:lang w:eastAsia="en-US"/>
        </w:rPr>
      </w:pPr>
    </w:p>
    <w:p w14:paraId="25716E83" w14:textId="77777777" w:rsidR="00570D21" w:rsidRPr="00A633E9" w:rsidRDefault="00570D21" w:rsidP="00570D21">
      <w:pPr>
        <w:widowControl w:val="0"/>
        <w:spacing w:after="0" w:line="360" w:lineRule="auto"/>
        <w:contextualSpacing/>
        <w:rPr>
          <w:rFonts w:eastAsia="Calibri" w:cs="Tahoma"/>
          <w:color w:val="auto"/>
          <w:lang w:eastAsia="es-ES_tradnl"/>
        </w:rPr>
      </w:pPr>
      <w:r w:rsidRPr="00A633E9">
        <w:rPr>
          <w:rFonts w:eastAsiaTheme="minorHAnsi" w:cs="Tahoma"/>
          <w:lang w:eastAsia="en-US"/>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w:t>
      </w:r>
      <w:r w:rsidRPr="00A633E9">
        <w:rPr>
          <w:rFonts w:eastAsia="Calibri" w:cs="Tahoma"/>
          <w:color w:val="auto"/>
          <w:lang w:eastAsia="es-ES_tradnl"/>
        </w:rPr>
        <w:t>se advierte que</w:t>
      </w:r>
      <w:r w:rsidRPr="00A633E9">
        <w:rPr>
          <w:rFonts w:eastAsia="Calibri" w:cs="Tahoma"/>
          <w:b/>
          <w:color w:val="auto"/>
          <w:lang w:eastAsia="es-ES_tradnl"/>
        </w:rPr>
        <w:t xml:space="preserve"> no se configuran las causales establecidas en las fracciones I, II, III, y V, </w:t>
      </w:r>
      <w:r w:rsidRPr="00A633E9">
        <w:rPr>
          <w:rFonts w:eastAsia="Calibri" w:cs="Tahoma"/>
          <w:color w:val="auto"/>
          <w:lang w:eastAsia="es-ES_tradnl"/>
        </w:rPr>
        <w:t>toda vez que no hay constancias en el expediente en que se actúa, de que el Recurrente se haya desistido, fallecido, que el Sujeto Obligado hubiese modificado o revocado el acto impugnado o bien, haya quedado sin materia.</w:t>
      </w:r>
    </w:p>
    <w:p w14:paraId="0BA96345" w14:textId="77777777" w:rsidR="00570D21" w:rsidRPr="00A633E9" w:rsidRDefault="00570D21" w:rsidP="00570D21">
      <w:pPr>
        <w:spacing w:after="0" w:line="360" w:lineRule="auto"/>
        <w:contextualSpacing/>
        <w:rPr>
          <w:rFonts w:eastAsia="Calibri" w:cs="Tahoma"/>
          <w:b/>
          <w:color w:val="auto"/>
          <w:lang w:eastAsia="es-ES_tradnl"/>
        </w:rPr>
      </w:pPr>
    </w:p>
    <w:p w14:paraId="5E309577" w14:textId="3B2B28FB" w:rsidR="00570D21" w:rsidRPr="00A633E9" w:rsidRDefault="00570D21" w:rsidP="00F77AFE">
      <w:pPr>
        <w:spacing w:after="0" w:line="360" w:lineRule="auto"/>
        <w:contextualSpacing/>
        <w:rPr>
          <w:rFonts w:eastAsia="Calibri" w:cs="Tahoma"/>
          <w:bCs/>
          <w:color w:val="auto"/>
          <w:lang w:val="es-ES" w:eastAsia="es-ES_tradnl"/>
        </w:rPr>
      </w:pPr>
      <w:r w:rsidRPr="00A633E9">
        <w:rPr>
          <w:rFonts w:eastAsia="Calibri" w:cs="Tahoma"/>
          <w:color w:val="auto"/>
          <w:lang w:eastAsia="es-ES_tradnl"/>
        </w:rPr>
        <w:t xml:space="preserve">No obstante, por lo que hace a la hipótesis prevista en </w:t>
      </w:r>
      <w:r w:rsidRPr="00A633E9">
        <w:rPr>
          <w:rFonts w:eastAsia="Calibri" w:cs="Tahoma"/>
          <w:b/>
          <w:bCs/>
          <w:color w:val="auto"/>
          <w:lang w:eastAsia="es-ES_tradnl"/>
        </w:rPr>
        <w:t>la fracción IV,</w:t>
      </w:r>
      <w:r w:rsidRPr="00A633E9">
        <w:rPr>
          <w:rFonts w:eastAsia="Calibri" w:cs="Tahoma"/>
          <w:color w:val="auto"/>
          <w:lang w:eastAsia="es-ES_tradnl"/>
        </w:rPr>
        <w:t xml:space="preserve"> a saber, que, una vez admitido el Recurso de Revisión, aparezca alguna causal de improcedencia en términos de la presente Ley, </w:t>
      </w:r>
      <w:r w:rsidRPr="00A633E9">
        <w:rPr>
          <w:rFonts w:eastAsia="Calibri" w:cs="Tahoma"/>
          <w:bCs/>
          <w:color w:val="auto"/>
          <w:lang w:eastAsia="es-ES_tradnl"/>
        </w:rPr>
        <w:t>resulta necesario traer a colación</w:t>
      </w:r>
      <w:r w:rsidR="00F77AFE" w:rsidRPr="00A633E9">
        <w:rPr>
          <w:rFonts w:eastAsia="Calibri" w:cs="Tahoma"/>
          <w:bCs/>
          <w:color w:val="auto"/>
          <w:lang w:val="es-ES" w:eastAsia="es-ES_tradnl"/>
        </w:rPr>
        <w:t xml:space="preserve"> el artículo 191, </w:t>
      </w:r>
      <w:r w:rsidR="00F616E9" w:rsidRPr="00A633E9">
        <w:rPr>
          <w:rFonts w:eastAsia="Calibri" w:cs="Tahoma"/>
          <w:bCs/>
          <w:color w:val="auto"/>
          <w:lang w:val="es-ES" w:eastAsia="es-ES_tradnl"/>
        </w:rPr>
        <w:t>fracción V</w:t>
      </w:r>
      <w:r w:rsidRPr="00A633E9">
        <w:rPr>
          <w:rFonts w:eastAsia="Calibri" w:cs="Tahoma"/>
          <w:bCs/>
          <w:color w:val="auto"/>
          <w:lang w:val="es-ES" w:eastAsia="es-ES_tradnl"/>
        </w:rPr>
        <w:t xml:space="preserve">, de dicho ordenamiento jurídico, que establece que el Recurso de Revisión será desechado por improcedente, </w:t>
      </w:r>
      <w:r w:rsidR="00F77AFE" w:rsidRPr="00A633E9">
        <w:rPr>
          <w:rFonts w:eastAsia="Calibri" w:cs="Tahoma"/>
          <w:bCs/>
          <w:color w:val="auto"/>
          <w:lang w:val="es-ES" w:eastAsia="es-ES_tradnl"/>
        </w:rPr>
        <w:t>cuando se impugne la veracidad de la información proporcionada</w:t>
      </w:r>
      <w:r w:rsidR="00F616E9" w:rsidRPr="00A633E9">
        <w:rPr>
          <w:rFonts w:eastAsia="Calibri" w:cs="Tahoma"/>
          <w:bCs/>
          <w:color w:val="auto"/>
          <w:lang w:val="es-ES" w:eastAsia="es-ES_tradnl"/>
        </w:rPr>
        <w:t>.</w:t>
      </w:r>
    </w:p>
    <w:p w14:paraId="539DBB3C" w14:textId="77777777" w:rsidR="00F616E9" w:rsidRPr="00A633E9" w:rsidRDefault="00F616E9" w:rsidP="00F77AFE">
      <w:pPr>
        <w:spacing w:after="0" w:line="360" w:lineRule="auto"/>
        <w:contextualSpacing/>
        <w:rPr>
          <w:rFonts w:eastAsiaTheme="minorHAnsi" w:cs="Arial"/>
          <w:bCs/>
          <w:i/>
          <w:sz w:val="20"/>
          <w:szCs w:val="20"/>
          <w:lang w:eastAsia="en-US"/>
        </w:rPr>
      </w:pPr>
    </w:p>
    <w:p w14:paraId="2FF76D5D" w14:textId="63F48957" w:rsidR="00F310AD" w:rsidRPr="00A633E9" w:rsidRDefault="00F310AD" w:rsidP="00F310AD">
      <w:pPr>
        <w:widowControl w:val="0"/>
        <w:spacing w:after="0" w:line="360" w:lineRule="auto"/>
        <w:rPr>
          <w:rFonts w:eastAsia="Times New Roman" w:cs="Arial"/>
          <w:b/>
          <w:bCs/>
          <w:color w:val="000000"/>
          <w:lang w:eastAsia="es-ES"/>
        </w:rPr>
      </w:pPr>
      <w:r w:rsidRPr="00A633E9">
        <w:rPr>
          <w:rFonts w:eastAsia="Times New Roman" w:cs="Arial"/>
          <w:bCs/>
          <w:color w:val="000000"/>
          <w:lang w:eastAsia="es-ES"/>
        </w:rPr>
        <w:t>En ese contexto, el Solicitante interpuso Recurso de Revisión e indicó cómo acto reclamado “</w:t>
      </w:r>
      <w:r w:rsidRPr="00A633E9">
        <w:rPr>
          <w:rFonts w:eastAsia="Times New Roman" w:cs="Arial"/>
          <w:bCs/>
          <w:i/>
          <w:color w:val="000000"/>
          <w:lang w:eastAsia="es-ES"/>
        </w:rPr>
        <w:t xml:space="preserve">la </w:t>
      </w:r>
      <w:proofErr w:type="spellStart"/>
      <w:r w:rsidRPr="00A633E9">
        <w:rPr>
          <w:rFonts w:eastAsia="Times New Roman" w:cs="Arial"/>
          <w:bCs/>
          <w:i/>
          <w:color w:val="000000"/>
          <w:lang w:eastAsia="es-ES"/>
        </w:rPr>
        <w:t>informacion</w:t>
      </w:r>
      <w:proofErr w:type="spellEnd"/>
      <w:r w:rsidRPr="00A633E9">
        <w:rPr>
          <w:rFonts w:eastAsia="Times New Roman" w:cs="Arial"/>
          <w:bCs/>
          <w:i/>
          <w:color w:val="000000"/>
          <w:lang w:eastAsia="es-ES"/>
        </w:rPr>
        <w:t xml:space="preserve"> parce no </w:t>
      </w:r>
      <w:proofErr w:type="spellStart"/>
      <w:r w:rsidRPr="00A633E9">
        <w:rPr>
          <w:rFonts w:eastAsia="Times New Roman" w:cs="Arial"/>
          <w:bCs/>
          <w:i/>
          <w:color w:val="000000"/>
          <w:lang w:eastAsia="es-ES"/>
        </w:rPr>
        <w:t>veridica</w:t>
      </w:r>
      <w:proofErr w:type="spellEnd"/>
      <w:r w:rsidRPr="00A633E9">
        <w:rPr>
          <w:rFonts w:eastAsia="Times New Roman" w:cs="Arial"/>
          <w:bCs/>
          <w:i/>
          <w:color w:val="000000"/>
          <w:lang w:eastAsia="es-ES"/>
        </w:rPr>
        <w:t>”</w:t>
      </w:r>
      <w:r w:rsidRPr="00A633E9">
        <w:rPr>
          <w:rFonts w:eastAsia="Times New Roman" w:cs="Arial"/>
          <w:bCs/>
          <w:color w:val="000000"/>
          <w:lang w:eastAsia="es-ES"/>
        </w:rPr>
        <w:t xml:space="preserve">; lo cual, no puede constituir materia de estudio del presente Recurso de Revisión, dado que dichas manifestaciones no corresponden a ninguna de las causales de procedencia establecidas en el artículo 179 de la Ley de Transparencia y Acceso a la Información Pública del Estado de México y Municipios, pues </w:t>
      </w:r>
      <w:r w:rsidRPr="00A633E9">
        <w:rPr>
          <w:rFonts w:eastAsia="Times New Roman" w:cs="Arial"/>
          <w:b/>
          <w:bCs/>
          <w:color w:val="000000"/>
          <w:lang w:eastAsia="es-ES"/>
        </w:rPr>
        <w:t xml:space="preserve">únicamente precisa que </w:t>
      </w:r>
      <w:r w:rsidR="00724945" w:rsidRPr="00A633E9">
        <w:rPr>
          <w:rFonts w:eastAsia="Times New Roman" w:cs="Arial"/>
          <w:b/>
          <w:bCs/>
          <w:color w:val="000000"/>
          <w:lang w:eastAsia="es-ES"/>
        </w:rPr>
        <w:t>el listado era</w:t>
      </w:r>
      <w:r w:rsidRPr="00A633E9">
        <w:rPr>
          <w:rFonts w:eastAsia="Times New Roman" w:cs="Arial"/>
          <w:b/>
          <w:bCs/>
          <w:color w:val="000000"/>
          <w:lang w:eastAsia="es-ES"/>
        </w:rPr>
        <w:t xml:space="preserve"> falso, </w:t>
      </w:r>
      <w:r w:rsidRPr="00A633E9">
        <w:rPr>
          <w:rFonts w:eastAsia="Times New Roman" w:cs="Arial"/>
          <w:bCs/>
          <w:color w:val="000000"/>
          <w:lang w:eastAsia="es-ES"/>
        </w:rPr>
        <w:t>esto es, que no era vera</w:t>
      </w:r>
      <w:r w:rsidR="00724945" w:rsidRPr="00A633E9">
        <w:rPr>
          <w:rFonts w:eastAsia="Times New Roman" w:cs="Arial"/>
          <w:bCs/>
          <w:color w:val="000000"/>
          <w:lang w:eastAsia="es-ES"/>
        </w:rPr>
        <w:t>z</w:t>
      </w:r>
      <w:r w:rsidRPr="00A633E9">
        <w:rPr>
          <w:rFonts w:eastAsia="Times New Roman" w:cs="Arial"/>
          <w:bCs/>
          <w:color w:val="000000"/>
          <w:lang w:eastAsia="es-ES"/>
        </w:rPr>
        <w:t xml:space="preserve">, </w:t>
      </w:r>
      <w:r w:rsidR="00724945" w:rsidRPr="00A633E9">
        <w:rPr>
          <w:rFonts w:eastAsia="Times New Roman" w:cs="Arial"/>
          <w:bCs/>
          <w:color w:val="000000"/>
          <w:lang w:eastAsia="es-ES"/>
        </w:rPr>
        <w:t>por lo que</w:t>
      </w:r>
      <w:r w:rsidRPr="00A633E9">
        <w:rPr>
          <w:rFonts w:eastAsia="Times New Roman" w:cs="Arial"/>
          <w:b/>
          <w:bCs/>
          <w:color w:val="000000"/>
          <w:lang w:eastAsia="es-ES"/>
        </w:rPr>
        <w:t>,</w:t>
      </w:r>
      <w:r w:rsidR="00724945" w:rsidRPr="00A633E9">
        <w:rPr>
          <w:rFonts w:eastAsia="Times New Roman" w:cs="Arial"/>
          <w:b/>
          <w:bCs/>
          <w:color w:val="000000"/>
          <w:lang w:eastAsia="es-ES"/>
        </w:rPr>
        <w:t xml:space="preserve"> el acto reclamado</w:t>
      </w:r>
      <w:r w:rsidRPr="00A633E9">
        <w:rPr>
          <w:rFonts w:eastAsia="Times New Roman" w:cs="Arial"/>
          <w:b/>
          <w:bCs/>
          <w:color w:val="000000"/>
          <w:lang w:eastAsia="es-ES"/>
        </w:rPr>
        <w:t xml:space="preserve"> únicamente</w:t>
      </w:r>
      <w:r w:rsidR="00724945" w:rsidRPr="00A633E9">
        <w:rPr>
          <w:rFonts w:eastAsia="Times New Roman" w:cs="Arial"/>
          <w:b/>
          <w:bCs/>
          <w:color w:val="000000"/>
          <w:lang w:eastAsia="es-ES"/>
        </w:rPr>
        <w:t xml:space="preserve"> se inconforma</w:t>
      </w:r>
      <w:r w:rsidRPr="00A633E9">
        <w:rPr>
          <w:rFonts w:eastAsia="Times New Roman" w:cs="Arial"/>
          <w:b/>
          <w:bCs/>
          <w:color w:val="000000"/>
          <w:lang w:eastAsia="es-ES"/>
        </w:rPr>
        <w:t xml:space="preserve"> de la veracidad de la respuesta proporcionada por el Sujeto Obligado.</w:t>
      </w:r>
    </w:p>
    <w:p w14:paraId="422B4C5F" w14:textId="77777777" w:rsidR="00F310AD" w:rsidRPr="00A633E9" w:rsidRDefault="00F310AD" w:rsidP="00F310AD">
      <w:pPr>
        <w:spacing w:after="0" w:line="360" w:lineRule="auto"/>
        <w:rPr>
          <w:rFonts w:eastAsia="Times New Roman" w:cs="Arial"/>
          <w:bCs/>
          <w:color w:val="000000"/>
          <w:lang w:eastAsia="es-ES"/>
        </w:rPr>
      </w:pPr>
    </w:p>
    <w:p w14:paraId="121DAC36" w14:textId="22D0BB43" w:rsidR="00F310AD" w:rsidRPr="00A633E9" w:rsidRDefault="00F310AD" w:rsidP="00F310AD">
      <w:pPr>
        <w:spacing w:after="0" w:line="360" w:lineRule="auto"/>
        <w:rPr>
          <w:rFonts w:eastAsia="Times New Roman" w:cs="Arial"/>
          <w:bCs/>
          <w:color w:val="000000"/>
          <w:lang w:val="es-ES" w:eastAsia="es-ES"/>
        </w:rPr>
      </w:pPr>
      <w:r w:rsidRPr="00A633E9">
        <w:rPr>
          <w:rFonts w:eastAsia="Times New Roman" w:cs="Arial"/>
          <w:bCs/>
          <w:color w:val="000000"/>
          <w:lang w:eastAsia="es-ES"/>
        </w:rPr>
        <w:t xml:space="preserve">En ese orden de ideas, cabe precisar que este Instituto, carece de facultades y atribuciones para pronunciarse respecto de la veracidad de las respuestas que emiten los sujetos obligados; dicha situación, se robustece con el Criterio </w:t>
      </w:r>
      <w:r w:rsidR="00724945" w:rsidRPr="00A633E9">
        <w:rPr>
          <w:rFonts w:eastAsia="Times New Roman" w:cs="Arial"/>
          <w:bCs/>
          <w:color w:val="000000"/>
          <w:lang w:eastAsia="es-ES"/>
        </w:rPr>
        <w:t>Orientador</w:t>
      </w:r>
      <w:r w:rsidRPr="00A633E9">
        <w:rPr>
          <w:rFonts w:eastAsia="Times New Roman" w:cs="Arial"/>
          <w:bCs/>
          <w:color w:val="000000"/>
          <w:lang w:eastAsia="es-ES"/>
        </w:rPr>
        <w:t xml:space="preserve">, con clave de control SO/031/2010, emitido por el Pleno del entonces </w:t>
      </w:r>
      <w:r w:rsidRPr="00A633E9">
        <w:rPr>
          <w:rFonts w:eastAsia="Times New Roman" w:cs="Arial"/>
          <w:bCs/>
          <w:color w:val="000000"/>
          <w:lang w:val="es-ES" w:eastAsia="es-ES"/>
        </w:rPr>
        <w:t>Instituto Federal de Acceso a la Información y Protección de Datos</w:t>
      </w:r>
      <w:r w:rsidR="00724945" w:rsidRPr="00A633E9">
        <w:rPr>
          <w:rFonts w:eastAsia="Times New Roman" w:cs="Arial"/>
          <w:bCs/>
          <w:color w:val="000000"/>
          <w:lang w:val="es-ES" w:eastAsia="es-ES"/>
        </w:rPr>
        <w:t>, vigente a la fecha de la solicitud</w:t>
      </w:r>
      <w:r w:rsidRPr="00A633E9">
        <w:rPr>
          <w:rFonts w:eastAsia="Times New Roman" w:cs="Arial"/>
          <w:bCs/>
          <w:color w:val="000000"/>
          <w:lang w:val="es-ES" w:eastAsia="es-ES"/>
        </w:rPr>
        <w:t>, a continuación:</w:t>
      </w:r>
    </w:p>
    <w:p w14:paraId="176442FA" w14:textId="77777777" w:rsidR="00F310AD" w:rsidRPr="00A633E9" w:rsidRDefault="00F310AD" w:rsidP="00F310AD">
      <w:pPr>
        <w:spacing w:after="0" w:line="360" w:lineRule="auto"/>
        <w:rPr>
          <w:rFonts w:eastAsia="Times New Roman" w:cs="Arial"/>
          <w:bCs/>
          <w:color w:val="000000"/>
          <w:lang w:val="es-ES" w:eastAsia="es-ES"/>
        </w:rPr>
      </w:pPr>
    </w:p>
    <w:p w14:paraId="7C6A1C80" w14:textId="77777777" w:rsidR="00F310AD" w:rsidRPr="00A633E9" w:rsidRDefault="00F310AD" w:rsidP="00F310AD">
      <w:pPr>
        <w:spacing w:after="0" w:line="360" w:lineRule="auto"/>
        <w:ind w:left="567" w:right="567"/>
        <w:rPr>
          <w:rFonts w:eastAsia="Times New Roman" w:cs="Arial"/>
          <w:bCs/>
          <w:i/>
          <w:color w:val="000000"/>
          <w:sz w:val="20"/>
          <w:szCs w:val="20"/>
          <w:lang w:eastAsia="es-ES"/>
        </w:rPr>
      </w:pPr>
      <w:r w:rsidRPr="00A633E9">
        <w:rPr>
          <w:rFonts w:eastAsia="Times New Roman" w:cs="Arial"/>
          <w:b/>
          <w:bCs/>
          <w:i/>
          <w:color w:val="000000"/>
          <w:sz w:val="20"/>
          <w:szCs w:val="20"/>
          <w:lang w:eastAsia="es-ES"/>
        </w:rPr>
        <w:lastRenderedPageBreak/>
        <w:t>“El Instituto Federal de Acceso a la Información y Protección de Datos no cuenta con facultades para pronunciarse respecto de la veracidad de los documentos proporcionados por los sujetos obligados.</w:t>
      </w:r>
      <w:r w:rsidRPr="00A633E9">
        <w:rPr>
          <w:rFonts w:eastAsia="Times New Roman" w:cs="Arial"/>
          <w:bCs/>
          <w:i/>
          <w:color w:val="000000"/>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D456BC" w14:textId="77777777" w:rsidR="00F310AD" w:rsidRPr="00A633E9" w:rsidRDefault="00F310AD" w:rsidP="00F310AD">
      <w:pPr>
        <w:spacing w:after="0" w:line="360" w:lineRule="auto"/>
        <w:rPr>
          <w:rFonts w:eastAsia="Times New Roman" w:cs="Arial"/>
          <w:bCs/>
          <w:color w:val="000000"/>
          <w:lang w:eastAsia="es-ES"/>
        </w:rPr>
      </w:pPr>
    </w:p>
    <w:p w14:paraId="26102412" w14:textId="77777777" w:rsidR="00F310AD" w:rsidRPr="00A633E9" w:rsidRDefault="00F310AD" w:rsidP="00F310AD">
      <w:pPr>
        <w:spacing w:after="0" w:line="360" w:lineRule="auto"/>
        <w:rPr>
          <w:rFonts w:eastAsia="Times New Roman" w:cs="Arial"/>
          <w:bCs/>
          <w:color w:val="000000"/>
          <w:lang w:eastAsia="es-ES"/>
        </w:rPr>
      </w:pPr>
      <w:r w:rsidRPr="00A633E9">
        <w:rPr>
          <w:rFonts w:eastAsia="Times New Roman" w:cs="Arial"/>
          <w:bCs/>
          <w:color w:val="000000"/>
          <w:lang w:eastAsia="es-ES"/>
        </w:rPr>
        <w:t>Del citado criterio, se puede colegir que el Instituto de Transparencia, Acceso a la Información Pública y Protección de Datos Personales del Estado de México y Municipios, carece de facultades para pronunciarse respecto a la veracidad de los documentos proporcionados por los sujetos obligados.</w:t>
      </w:r>
    </w:p>
    <w:p w14:paraId="54447BBD" w14:textId="77777777" w:rsidR="00F310AD" w:rsidRPr="00A633E9" w:rsidRDefault="00F310AD" w:rsidP="00724945">
      <w:pPr>
        <w:spacing w:after="0" w:line="360" w:lineRule="auto"/>
        <w:rPr>
          <w:rFonts w:eastAsia="Times New Roman" w:cs="Times New Roman"/>
          <w:bCs/>
          <w:color w:val="222222"/>
        </w:rPr>
      </w:pPr>
    </w:p>
    <w:p w14:paraId="624BDA26" w14:textId="210F2E3D" w:rsidR="00F310AD" w:rsidRPr="00A633E9" w:rsidRDefault="00F310AD" w:rsidP="00724945">
      <w:pPr>
        <w:spacing w:after="0" w:line="360" w:lineRule="auto"/>
        <w:rPr>
          <w:rFonts w:eastAsia="Times New Roman" w:cs="Arial"/>
          <w:bCs/>
          <w:color w:val="000000"/>
          <w:lang w:eastAsia="es-ES"/>
        </w:rPr>
      </w:pPr>
      <w:r w:rsidRPr="00A633E9">
        <w:rPr>
          <w:rFonts w:eastAsia="Times New Roman" w:cs="Arial"/>
          <w:bCs/>
          <w:color w:val="000000"/>
          <w:lang w:eastAsia="es-ES"/>
        </w:rPr>
        <w:t>Conforme a lo expuesto, se considera que el</w:t>
      </w:r>
      <w:r w:rsidR="00724945" w:rsidRPr="00A633E9">
        <w:rPr>
          <w:rFonts w:eastAsia="Times New Roman" w:cs="Arial"/>
          <w:bCs/>
          <w:color w:val="000000"/>
          <w:lang w:eastAsia="es-ES"/>
        </w:rPr>
        <w:t xml:space="preserve"> Acto Reclamado del</w:t>
      </w:r>
      <w:r w:rsidRPr="00A633E9">
        <w:rPr>
          <w:rFonts w:eastAsia="Times New Roman" w:cs="Arial"/>
          <w:bCs/>
          <w:color w:val="000000"/>
          <w:lang w:eastAsia="es-ES"/>
        </w:rPr>
        <w:t xml:space="preserve"> Recurso de Revisión resulta improcedente, pues el Particular se está inconformando de la veracidad de la información proporcionada por el </w:t>
      </w:r>
      <w:r w:rsidR="00724945" w:rsidRPr="00A633E9">
        <w:rPr>
          <w:rFonts w:eastAsia="Times New Roman" w:cs="Arial"/>
          <w:bCs/>
          <w:color w:val="000000"/>
          <w:lang w:eastAsia="es-ES"/>
        </w:rPr>
        <w:t>Sujeto Obligado</w:t>
      </w:r>
      <w:r w:rsidRPr="00A633E9">
        <w:rPr>
          <w:rFonts w:eastAsia="Times New Roman" w:cs="Arial"/>
          <w:bCs/>
          <w:color w:val="000000"/>
          <w:lang w:eastAsia="es-ES"/>
        </w:rPr>
        <w:t xml:space="preserve">, lo cual no puede ser materia de análisis por parte de este Instituto, al carecer de facultadas para pronunciarse de dicha situación. </w:t>
      </w:r>
    </w:p>
    <w:p w14:paraId="12FCD181" w14:textId="77777777" w:rsidR="00F310AD" w:rsidRPr="00A633E9" w:rsidRDefault="00F310AD" w:rsidP="00724945">
      <w:pPr>
        <w:spacing w:after="0" w:line="360" w:lineRule="auto"/>
        <w:rPr>
          <w:rFonts w:eastAsia="Times New Roman" w:cs="Arial"/>
          <w:bCs/>
          <w:color w:val="000000"/>
          <w:lang w:eastAsia="es-ES"/>
        </w:rPr>
      </w:pPr>
    </w:p>
    <w:p w14:paraId="797461A9" w14:textId="5250C076" w:rsidR="00724945" w:rsidRPr="00A633E9" w:rsidRDefault="00724945" w:rsidP="00724945">
      <w:pPr>
        <w:spacing w:after="0" w:line="360" w:lineRule="auto"/>
        <w:rPr>
          <w:color w:val="0D0D0D"/>
        </w:rPr>
      </w:pPr>
      <w:r w:rsidRPr="00A633E9">
        <w:rPr>
          <w:color w:val="0D0D0D"/>
        </w:rPr>
        <w:t xml:space="preserve">Por lo tanto, dado que en el Medio de Impugnación, la parte Recurrente al plantear su inconformidad, se inconformó de la veracidad de la información solicitada, el Recurso de Revisión </w:t>
      </w:r>
      <w:r w:rsidRPr="00A633E9">
        <w:rPr>
          <w:b/>
          <w:color w:val="0D0D0D"/>
        </w:rPr>
        <w:t xml:space="preserve">actualiza la causal de desechamiento establecida en el artículo 191, fracción V, de la Ley de Transparencia y Acceso a la Información Pública del Estado de México y Municipios, únicamente por lo que, al Acto Reclamado; </w:t>
      </w:r>
      <w:r w:rsidRPr="00A633E9">
        <w:rPr>
          <w:color w:val="0D0D0D"/>
        </w:rPr>
        <w:t xml:space="preserve"> no obstante toda vez que, fue necesario admitir el </w:t>
      </w:r>
      <w:r w:rsidRPr="00A633E9">
        <w:rPr>
          <w:color w:val="0D0D0D"/>
        </w:rPr>
        <w:lastRenderedPageBreak/>
        <w:t xml:space="preserve">Recurso, en virtud de que </w:t>
      </w:r>
      <w:r w:rsidRPr="00A633E9">
        <w:rPr>
          <w:color w:val="000000"/>
        </w:rPr>
        <w:t>la persona</w:t>
      </w:r>
      <w:r w:rsidRPr="00A633E9">
        <w:rPr>
          <w:color w:val="0D0D0D"/>
        </w:rPr>
        <w:t xml:space="preserve"> Recurrente se inconformó de la entrega de información que no corresponde con lo solicitado, lo procedente es </w:t>
      </w:r>
      <w:r w:rsidRPr="00A633E9">
        <w:rPr>
          <w:b/>
          <w:color w:val="0D0D0D"/>
        </w:rPr>
        <w:t xml:space="preserve">SOBRESEER PARCIALMENTE </w:t>
      </w:r>
      <w:r w:rsidRPr="00A633E9">
        <w:rPr>
          <w:color w:val="0D0D0D"/>
        </w:rPr>
        <w:t>el Recurso de Revisión, al actualizarse el supuesto previsto en el artículo 192, fracción IV, en relación con el diverso 186, fracción I, de ese ordenamiento legal.</w:t>
      </w:r>
    </w:p>
    <w:p w14:paraId="3F09B79D" w14:textId="77777777" w:rsidR="00724945" w:rsidRPr="00A633E9" w:rsidRDefault="00724945" w:rsidP="00724945">
      <w:pPr>
        <w:spacing w:after="0" w:line="360" w:lineRule="auto"/>
        <w:rPr>
          <w:rFonts w:eastAsia="Times New Roman" w:cs="Arial"/>
          <w:bCs/>
          <w:color w:val="000000"/>
          <w:lang w:eastAsia="es-ES"/>
        </w:rPr>
      </w:pPr>
    </w:p>
    <w:p w14:paraId="1304DDDD" w14:textId="77777777" w:rsidR="00724945" w:rsidRPr="00A633E9" w:rsidRDefault="00724945" w:rsidP="00724945">
      <w:pPr>
        <w:spacing w:after="0" w:line="360" w:lineRule="auto"/>
        <w:rPr>
          <w:b/>
          <w:color w:val="auto"/>
        </w:rPr>
      </w:pPr>
      <w:r w:rsidRPr="00A633E9">
        <w:rPr>
          <w:color w:val="0D0D0D"/>
        </w:rPr>
        <w:t>En ese orden de ideas, toda vez que no ha quedado por completo sin materia el Recurso de Revisión, se considera procedente entrar al fondo del presente asunto, al no quedar sin materia.</w:t>
      </w:r>
    </w:p>
    <w:p w14:paraId="0D63CAEB" w14:textId="77777777" w:rsidR="00F310AD" w:rsidRPr="00A633E9" w:rsidRDefault="00F310AD" w:rsidP="00570D21">
      <w:pPr>
        <w:spacing w:after="0" w:line="360" w:lineRule="auto"/>
        <w:contextualSpacing/>
        <w:rPr>
          <w:rFonts w:eastAsiaTheme="minorHAnsi" w:cstheme="minorBidi"/>
          <w:color w:val="auto"/>
          <w:lang w:eastAsia="en-US"/>
        </w:rPr>
      </w:pPr>
    </w:p>
    <w:p w14:paraId="6C5289E5" w14:textId="77777777" w:rsidR="00464F00" w:rsidRPr="00A633E9" w:rsidRDefault="00464F00" w:rsidP="00464F00">
      <w:pPr>
        <w:keepNext/>
        <w:keepLines/>
        <w:spacing w:after="0" w:line="360" w:lineRule="auto"/>
        <w:outlineLvl w:val="1"/>
        <w:rPr>
          <w:b/>
          <w:color w:val="auto"/>
        </w:rPr>
      </w:pPr>
      <w:bookmarkStart w:id="10" w:name="_Toc193315338"/>
      <w:bookmarkStart w:id="11" w:name="_Toc198822022"/>
      <w:r w:rsidRPr="00A633E9">
        <w:rPr>
          <w:b/>
          <w:color w:val="auto"/>
        </w:rPr>
        <w:t>TERCERO. Determinación de la Controversia</w:t>
      </w:r>
      <w:bookmarkEnd w:id="10"/>
      <w:bookmarkEnd w:id="11"/>
    </w:p>
    <w:p w14:paraId="3580FD12" w14:textId="77777777" w:rsidR="00464F00" w:rsidRPr="00A633E9" w:rsidRDefault="00464F00" w:rsidP="00464F00">
      <w:pPr>
        <w:spacing w:after="0" w:line="360" w:lineRule="auto"/>
        <w:rPr>
          <w:b/>
          <w:color w:val="auto"/>
        </w:rPr>
      </w:pPr>
    </w:p>
    <w:p w14:paraId="30795E27" w14:textId="699E9A96" w:rsidR="00464F00" w:rsidRPr="00A633E9" w:rsidRDefault="00464F00" w:rsidP="00464F00">
      <w:pPr>
        <w:spacing w:after="0" w:line="360" w:lineRule="auto"/>
        <w:rPr>
          <w:rFonts w:cs="Tahoma"/>
          <w:color w:val="auto"/>
        </w:rPr>
      </w:pPr>
      <w:r w:rsidRPr="00A633E9">
        <w:rPr>
          <w:rFonts w:cs="Tahoma"/>
          <w:color w:val="auto"/>
        </w:rPr>
        <w:t>Con el objetivo de ilustrar la controversia planteada, resulta conveniente precisar, que una vez realizado el estudio de las constancias que integran el expediente en el que se actúa, se desprende que el Particular requirió un listado de los servidores públicos dados de bajas del primero al quinen de enero de dos mil veinticinco.</w:t>
      </w:r>
    </w:p>
    <w:p w14:paraId="3B1DC400" w14:textId="77777777" w:rsidR="00464F00" w:rsidRPr="00A633E9" w:rsidRDefault="00464F00" w:rsidP="00464F00">
      <w:pPr>
        <w:spacing w:after="0" w:line="360" w:lineRule="auto"/>
        <w:rPr>
          <w:rFonts w:cs="Tahoma"/>
          <w:color w:val="auto"/>
        </w:rPr>
      </w:pPr>
    </w:p>
    <w:p w14:paraId="7F925DA6" w14:textId="0022FD4D" w:rsidR="00464F00" w:rsidRPr="00A633E9" w:rsidRDefault="00464F00" w:rsidP="00464F00">
      <w:pPr>
        <w:spacing w:after="0" w:line="360" w:lineRule="auto"/>
        <w:rPr>
          <w:color w:val="auto"/>
        </w:rPr>
      </w:pPr>
      <w:bookmarkStart w:id="12" w:name="_Hlk193313324"/>
      <w:r w:rsidRPr="00A633E9">
        <w:rPr>
          <w:color w:val="auto"/>
        </w:rPr>
        <w:t xml:space="preserve">En respuesta, el Sujeto Obligado, a través Tesorero, proporcionó el listado de los servidores públicos dados de baja dentro de la temporalidad solicitada; ante </w:t>
      </w:r>
      <w:r w:rsidRPr="00A633E9">
        <w:rPr>
          <w:rFonts w:cs="Tahoma"/>
          <w:color w:val="auto"/>
          <w:lang w:val="es-ES"/>
        </w:rPr>
        <w:t xml:space="preserve">dicha circunstancia, el Particular se inconformó de la entrega de información que no corresponde con lo solicitado, al referir que le entregaban un listado, que no venía en versión pública y Acuerdo de Comité de Transparencia, lo cual </w:t>
      </w:r>
      <w:r w:rsidRPr="00A633E9">
        <w:rPr>
          <w:rFonts w:eastAsia="Calibri" w:cs="Tahoma"/>
          <w:color w:val="auto"/>
        </w:rPr>
        <w:t xml:space="preserve">actualiza las causales de procedencia previstas en la fracción VI, del artículo </w:t>
      </w:r>
      <w:r w:rsidRPr="00A633E9">
        <w:rPr>
          <w:color w:val="auto"/>
        </w:rPr>
        <w:t xml:space="preserve">179 de la Ley </w:t>
      </w:r>
      <w:r w:rsidRPr="00A633E9">
        <w:rPr>
          <w:rFonts w:eastAsia="Calibri" w:cs="Tahoma"/>
          <w:color w:val="auto"/>
        </w:rPr>
        <w:t>de Transparencia y Acceso a la Información Pública del Estado de México y Municipios</w:t>
      </w:r>
      <w:r w:rsidRPr="00A633E9">
        <w:rPr>
          <w:color w:val="auto"/>
        </w:rPr>
        <w:t xml:space="preserve">. </w:t>
      </w:r>
      <w:r w:rsidRPr="00A633E9">
        <w:rPr>
          <w:rFonts w:eastAsia="Calibri" w:cs="Tahoma"/>
          <w:color w:val="auto"/>
        </w:rPr>
        <w:t>Así, las cosas, una vez admitido y notificado el Recurso de Revisión a las partes estas fueron omisas en emitir manifestaciones o alegatos.</w:t>
      </w:r>
    </w:p>
    <w:p w14:paraId="2D1F96A0" w14:textId="77777777" w:rsidR="00464F00" w:rsidRPr="00A633E9" w:rsidRDefault="00464F00" w:rsidP="00464F00">
      <w:pPr>
        <w:spacing w:after="0" w:line="360" w:lineRule="auto"/>
        <w:rPr>
          <w:color w:val="FF0000"/>
        </w:rPr>
      </w:pPr>
    </w:p>
    <w:p w14:paraId="2FE25291" w14:textId="4341B469" w:rsidR="00464F00" w:rsidRPr="00A633E9" w:rsidRDefault="00464F00" w:rsidP="00464F00">
      <w:pPr>
        <w:tabs>
          <w:tab w:val="left" w:pos="4962"/>
        </w:tabs>
        <w:spacing w:after="0" w:line="360" w:lineRule="auto"/>
        <w:rPr>
          <w:rFonts w:eastAsia="Calibri" w:cs="Tahoma"/>
          <w:bCs/>
          <w:color w:val="auto"/>
        </w:rPr>
      </w:pPr>
      <w:r w:rsidRPr="00A633E9">
        <w:rPr>
          <w:rFonts w:eastAsia="Calibri" w:cs="Tahoma"/>
          <w:iCs/>
          <w:color w:val="auto"/>
          <w:lang w:val="es-ES" w:eastAsia="es-ES_tradnl"/>
        </w:rPr>
        <w:t xml:space="preserve">Lo anterior, se desprende de las documentales que obran en el expediente de referencia, materia de la presente resolución, consistente en: la solicitud de acceso a la información, la respuesta del Sujeto Obligado y </w:t>
      </w:r>
      <w:r w:rsidRPr="00A633E9">
        <w:rPr>
          <w:rFonts w:eastAsia="Calibri" w:cs="Tahoma"/>
          <w:iCs/>
          <w:color w:val="auto"/>
          <w:lang w:eastAsia="es-ES_tradnl"/>
        </w:rPr>
        <w:t xml:space="preserve">el escrito recursal; </w:t>
      </w:r>
      <w:r w:rsidRPr="00A633E9">
        <w:rPr>
          <w:rFonts w:eastAsia="Calibri" w:cs="Tahoma"/>
          <w:bCs/>
          <w:color w:val="auto"/>
        </w:rPr>
        <w:t xml:space="preserve">instrumentales que se toman en cuenta a efecto de resolver </w:t>
      </w:r>
      <w:r w:rsidRPr="00A633E9">
        <w:rPr>
          <w:rFonts w:eastAsia="Calibri" w:cs="Tahoma"/>
          <w:bCs/>
          <w:color w:val="auto"/>
        </w:rPr>
        <w:lastRenderedPageBreak/>
        <w:t>el presente medio de impugnación, conforme a lo dispuesto por el artículo 185, fracción IV, de la Ley de Transparencia y Acceso a la Información Pública del Estado de México y Municipios.</w:t>
      </w:r>
    </w:p>
    <w:p w14:paraId="718691EE" w14:textId="77777777" w:rsidR="00464F00" w:rsidRPr="00A633E9" w:rsidRDefault="00464F00" w:rsidP="00464F00">
      <w:pPr>
        <w:keepNext/>
        <w:keepLines/>
        <w:spacing w:after="0" w:line="360" w:lineRule="auto"/>
        <w:outlineLvl w:val="1"/>
        <w:rPr>
          <w:b/>
          <w:color w:val="auto"/>
        </w:rPr>
      </w:pPr>
      <w:bookmarkStart w:id="13" w:name="_Toc193315339"/>
      <w:bookmarkStart w:id="14" w:name="_Toc198822023"/>
      <w:bookmarkEnd w:id="12"/>
      <w:r w:rsidRPr="00A633E9">
        <w:rPr>
          <w:b/>
          <w:color w:val="auto"/>
        </w:rPr>
        <w:t>CUARTO. Marco normativo aplicable en materia de transparencia y acceso a la información pública</w:t>
      </w:r>
      <w:bookmarkEnd w:id="13"/>
      <w:bookmarkEnd w:id="14"/>
    </w:p>
    <w:p w14:paraId="52994F0C" w14:textId="77777777" w:rsidR="00464F00" w:rsidRPr="00A633E9" w:rsidRDefault="00464F00" w:rsidP="00464F00">
      <w:pPr>
        <w:spacing w:after="0" w:line="360" w:lineRule="auto"/>
        <w:rPr>
          <w:color w:val="auto"/>
        </w:rPr>
      </w:pPr>
    </w:p>
    <w:p w14:paraId="5E7A554D" w14:textId="77777777" w:rsidR="00464F00" w:rsidRPr="00A633E9" w:rsidRDefault="00464F00" w:rsidP="00464F00">
      <w:pPr>
        <w:spacing w:after="0" w:line="360" w:lineRule="auto"/>
        <w:rPr>
          <w:color w:val="auto"/>
        </w:rPr>
      </w:pPr>
      <w:r w:rsidRPr="00A633E9">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62751ED" w14:textId="77777777" w:rsidR="00464F00" w:rsidRPr="00A633E9" w:rsidRDefault="00464F00" w:rsidP="00464F00">
      <w:pPr>
        <w:spacing w:after="0" w:line="360" w:lineRule="auto"/>
        <w:rPr>
          <w:color w:val="auto"/>
        </w:rPr>
      </w:pPr>
    </w:p>
    <w:p w14:paraId="7D7EBA99" w14:textId="77777777" w:rsidR="00464F00" w:rsidRPr="00A633E9" w:rsidRDefault="00464F00" w:rsidP="00464F00">
      <w:pPr>
        <w:spacing w:after="0" w:line="360" w:lineRule="auto"/>
        <w:rPr>
          <w:color w:val="auto"/>
        </w:rPr>
      </w:pPr>
      <w:r w:rsidRPr="00A633E9">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1C9870E" w14:textId="77777777" w:rsidR="00464F00" w:rsidRPr="00A633E9" w:rsidRDefault="00464F00" w:rsidP="00464F00">
      <w:pPr>
        <w:spacing w:after="0" w:line="360" w:lineRule="auto"/>
        <w:rPr>
          <w:color w:val="auto"/>
        </w:rPr>
      </w:pPr>
    </w:p>
    <w:p w14:paraId="2B4EE726" w14:textId="77777777" w:rsidR="00464F00" w:rsidRPr="00A633E9" w:rsidRDefault="00464F00" w:rsidP="00464F00">
      <w:pPr>
        <w:spacing w:after="0" w:line="360" w:lineRule="auto"/>
        <w:rPr>
          <w:color w:val="auto"/>
        </w:rPr>
      </w:pPr>
      <w:r w:rsidRPr="00A633E9">
        <w:rPr>
          <w:color w:val="auto"/>
        </w:rPr>
        <w:t>Por su parte, la Ley de Transparencia y Acceso a la Información Pública del Estado de México y Municipios (Reglamentaria del artículo 5° de la Constitución Local), establece lo siguiente:</w:t>
      </w:r>
    </w:p>
    <w:p w14:paraId="0D066617" w14:textId="77777777" w:rsidR="00464F00" w:rsidRPr="00A633E9" w:rsidRDefault="00464F00" w:rsidP="00464F00">
      <w:pPr>
        <w:spacing w:after="0" w:line="360" w:lineRule="auto"/>
        <w:rPr>
          <w:color w:val="auto"/>
        </w:rPr>
      </w:pPr>
    </w:p>
    <w:p w14:paraId="49873D32" w14:textId="77777777" w:rsidR="00464F00" w:rsidRPr="00A633E9" w:rsidRDefault="00464F00" w:rsidP="00464F00">
      <w:pPr>
        <w:spacing w:after="0" w:line="360" w:lineRule="auto"/>
        <w:rPr>
          <w:color w:val="auto"/>
        </w:rPr>
      </w:pPr>
      <w:r w:rsidRPr="00A633E9">
        <w:rPr>
          <w:color w:val="auto"/>
        </w:rPr>
        <w:t>El artículo 12, que, quienes generen, recopilen, administren, manejen, procesen, archiven o conserven información pública serán responsables de la misma.</w:t>
      </w:r>
    </w:p>
    <w:p w14:paraId="644393E2" w14:textId="77777777" w:rsidR="00464F00" w:rsidRPr="00A633E9" w:rsidRDefault="00464F00" w:rsidP="00464F00">
      <w:pPr>
        <w:spacing w:after="0" w:line="360" w:lineRule="auto"/>
        <w:rPr>
          <w:color w:val="auto"/>
        </w:rPr>
      </w:pPr>
    </w:p>
    <w:p w14:paraId="0F8D3473" w14:textId="77777777" w:rsidR="00464F00" w:rsidRPr="00A633E9" w:rsidRDefault="00464F00" w:rsidP="00464F00">
      <w:pPr>
        <w:widowControl w:val="0"/>
        <w:spacing w:after="0" w:line="360" w:lineRule="auto"/>
        <w:rPr>
          <w:color w:val="auto"/>
        </w:rPr>
      </w:pPr>
      <w:r w:rsidRPr="00A633E9">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3721D01B" w14:textId="77777777" w:rsidR="00464F00" w:rsidRPr="00A633E9" w:rsidRDefault="00464F00" w:rsidP="00464F00">
      <w:pPr>
        <w:widowControl w:val="0"/>
        <w:spacing w:after="0" w:line="360" w:lineRule="auto"/>
        <w:rPr>
          <w:color w:val="auto"/>
        </w:rPr>
      </w:pPr>
    </w:p>
    <w:p w14:paraId="27397BB8" w14:textId="77777777" w:rsidR="00464F00" w:rsidRPr="00A633E9" w:rsidRDefault="00464F00" w:rsidP="00464F00">
      <w:pPr>
        <w:spacing w:after="0" w:line="360" w:lineRule="auto"/>
        <w:rPr>
          <w:color w:val="auto"/>
        </w:rPr>
      </w:pPr>
      <w:r w:rsidRPr="00A633E9">
        <w:rPr>
          <w:color w:val="auto"/>
        </w:rPr>
        <w:t xml:space="preserve">El artículo 19, que, se presume que la información debe existir si se refiere a las facultades, competencias y funciones que los ordenamientos jurídicos aplicables otorgan a los sujetos </w:t>
      </w:r>
      <w:r w:rsidRPr="00A633E9">
        <w:rPr>
          <w:color w:val="auto"/>
        </w:rPr>
        <w:lastRenderedPageBreak/>
        <w:t>obligados y en caso de que dichas facultades no se hayan ejercido, se deberá motivar la respuesta en función de las causas que motivaron tal circunstancia.</w:t>
      </w:r>
    </w:p>
    <w:p w14:paraId="634C0880" w14:textId="77777777" w:rsidR="00464F00" w:rsidRPr="00A633E9" w:rsidRDefault="00464F00" w:rsidP="00464F00">
      <w:pPr>
        <w:spacing w:after="0" w:line="360" w:lineRule="auto"/>
        <w:rPr>
          <w:color w:val="auto"/>
        </w:rPr>
      </w:pPr>
    </w:p>
    <w:p w14:paraId="76EEFB5A" w14:textId="77777777" w:rsidR="00464F00" w:rsidRPr="00A633E9" w:rsidRDefault="00464F00" w:rsidP="00464F00">
      <w:pPr>
        <w:keepNext/>
        <w:keepLines/>
        <w:spacing w:after="0" w:line="360" w:lineRule="auto"/>
        <w:outlineLvl w:val="1"/>
        <w:rPr>
          <w:b/>
          <w:color w:val="auto"/>
        </w:rPr>
      </w:pPr>
      <w:bookmarkStart w:id="15" w:name="_Toc193315340"/>
      <w:bookmarkStart w:id="16" w:name="_Toc198822024"/>
      <w:r w:rsidRPr="00A633E9">
        <w:rPr>
          <w:b/>
          <w:color w:val="auto"/>
        </w:rPr>
        <w:t>QUINTO. Estudio de Fondo</w:t>
      </w:r>
      <w:bookmarkEnd w:id="15"/>
      <w:bookmarkEnd w:id="16"/>
    </w:p>
    <w:p w14:paraId="4D94F396" w14:textId="77777777" w:rsidR="00464F00" w:rsidRPr="00A633E9" w:rsidRDefault="00464F00" w:rsidP="00464F00">
      <w:pPr>
        <w:keepNext/>
        <w:keepLines/>
        <w:spacing w:after="0" w:line="360" w:lineRule="auto"/>
        <w:outlineLvl w:val="1"/>
        <w:rPr>
          <w:b/>
          <w:color w:val="auto"/>
        </w:rPr>
      </w:pPr>
    </w:p>
    <w:p w14:paraId="75374A2F" w14:textId="77777777" w:rsidR="00464F00" w:rsidRPr="00A633E9" w:rsidRDefault="00464F00" w:rsidP="00464F00">
      <w:pPr>
        <w:spacing w:after="0" w:line="360" w:lineRule="auto"/>
        <w:rPr>
          <w:rFonts w:eastAsia="Times New Roman" w:cs="Tahoma"/>
          <w:bCs/>
          <w:iCs/>
          <w:color w:val="auto"/>
          <w:lang w:eastAsia="es-ES"/>
        </w:rPr>
      </w:pPr>
      <w:r w:rsidRPr="00A633E9">
        <w:rPr>
          <w:color w:val="auto"/>
        </w:rPr>
        <w:t xml:space="preserve">Expuestas las posturas de las partes, se procede al análisis de los agravios hechos valer por la persona Recurrente, concerniente a la entrega de información que no corresponde con lo solicitado, </w:t>
      </w:r>
      <w:r w:rsidRPr="00A633E9">
        <w:rPr>
          <w:rFonts w:eastAsia="Times New Roman" w:cs="Tahoma"/>
          <w:bCs/>
          <w:iCs/>
          <w:color w:val="auto"/>
          <w:lang w:eastAsia="es-ES"/>
        </w:rPr>
        <w:t>por lo que, en principio es necesario contextualizar la solicitud de información.</w:t>
      </w:r>
    </w:p>
    <w:p w14:paraId="67D3B4D4" w14:textId="77777777" w:rsidR="00724945" w:rsidRPr="00A633E9" w:rsidRDefault="00724945" w:rsidP="00570D21">
      <w:pPr>
        <w:spacing w:after="0" w:line="360" w:lineRule="auto"/>
        <w:contextualSpacing/>
        <w:rPr>
          <w:rFonts w:eastAsiaTheme="minorHAnsi" w:cstheme="minorBidi"/>
          <w:color w:val="auto"/>
          <w:lang w:eastAsia="en-US"/>
        </w:rPr>
      </w:pPr>
    </w:p>
    <w:p w14:paraId="3C5948C5" w14:textId="69B76B14" w:rsidR="00BE39B4" w:rsidRPr="00A633E9" w:rsidRDefault="00BE39B4" w:rsidP="00BE39B4">
      <w:pPr>
        <w:spacing w:after="0" w:line="360" w:lineRule="auto"/>
        <w:rPr>
          <w:rFonts w:eastAsia="Times New Roman" w:cs="Tahoma"/>
          <w:iCs/>
          <w:color w:val="auto"/>
          <w:lang w:eastAsia="es-ES"/>
        </w:rPr>
      </w:pPr>
      <w:r w:rsidRPr="00A633E9">
        <w:rPr>
          <w:bCs/>
          <w:color w:val="000000"/>
        </w:rPr>
        <w:t xml:space="preserve">Sobre el tema, </w:t>
      </w:r>
      <w:r w:rsidRPr="00A633E9">
        <w:rPr>
          <w:rFonts w:eastAsia="Times New Roman" w:cs="Tahoma"/>
          <w:bCs/>
          <w:iCs/>
          <w:color w:val="auto"/>
          <w:lang w:eastAsia="es-ES"/>
        </w:rPr>
        <w:t xml:space="preserve">las altas y bajas de personal, la </w:t>
      </w:r>
      <w:r w:rsidRPr="00A633E9">
        <w:rPr>
          <w:rFonts w:eastAsia="Times New Roman" w:cs="Tahoma"/>
          <w:b/>
          <w:bCs/>
          <w:iCs/>
          <w:color w:val="auto"/>
          <w:lang w:eastAsia="es-ES"/>
        </w:rPr>
        <w:t xml:space="preserve">Guía técnica 07 “La administración del personal municipal” </w:t>
      </w:r>
      <w:r w:rsidRPr="00A633E9">
        <w:rPr>
          <w:rFonts w:eastAsia="Calibri" w:cs="Tahoma"/>
          <w:bCs/>
          <w:color w:val="auto"/>
          <w:lang w:eastAsia="es-ES"/>
        </w:rPr>
        <w:t xml:space="preserve">del Instituto Nacional de Administración Pública establece que, dentro de las actividades básicas de la administración de personal, se encuentran la </w:t>
      </w:r>
      <w:r w:rsidRPr="00A633E9">
        <w:rPr>
          <w:rFonts w:eastAsia="Times New Roman" w:cs="Tahoma"/>
          <w:b/>
          <w:bCs/>
          <w:iCs/>
          <w:color w:val="auto"/>
          <w:lang w:eastAsia="es-ES"/>
        </w:rPr>
        <w:t xml:space="preserve">Terminación de la relación laboral </w:t>
      </w:r>
      <w:r w:rsidRPr="00A633E9">
        <w:rPr>
          <w:rFonts w:eastAsia="Times New Roman" w:cs="Tahoma"/>
          <w:iCs/>
          <w:color w:val="auto"/>
          <w:lang w:eastAsia="es-ES"/>
        </w:rPr>
        <w:t xml:space="preserve">que sucede cuando un empleado puede dejar de prestar sus servicios al municipio por diferentes casusas, como son: jubilación, renuncia, terminación, suspensión o rescisión del contrato. </w:t>
      </w:r>
    </w:p>
    <w:p w14:paraId="48497BB7" w14:textId="77777777" w:rsidR="00BE39B4" w:rsidRPr="00A633E9" w:rsidRDefault="00BE39B4" w:rsidP="00BE39B4">
      <w:pPr>
        <w:spacing w:after="0" w:line="360" w:lineRule="auto"/>
        <w:rPr>
          <w:rFonts w:eastAsia="Times New Roman" w:cs="Tahoma"/>
          <w:iCs/>
          <w:color w:val="auto"/>
          <w:lang w:eastAsia="es-ES"/>
        </w:rPr>
      </w:pPr>
    </w:p>
    <w:p w14:paraId="461C06A1" w14:textId="6CAA7C54" w:rsidR="00BE39B4" w:rsidRPr="00A633E9" w:rsidRDefault="00BE39B4" w:rsidP="00BE39B4">
      <w:pPr>
        <w:spacing w:after="0" w:line="360" w:lineRule="auto"/>
        <w:rPr>
          <w:rFonts w:eastAsia="Times New Roman" w:cs="Tahoma"/>
          <w:iCs/>
          <w:color w:val="auto"/>
          <w:lang w:val="es-ES" w:eastAsia="es-ES"/>
        </w:rPr>
      </w:pPr>
      <w:r w:rsidRPr="00A633E9">
        <w:rPr>
          <w:rFonts w:eastAsia="Times New Roman" w:cs="Tahoma"/>
          <w:iCs/>
          <w:color w:val="auto"/>
          <w:lang w:eastAsia="es-ES"/>
        </w:rPr>
        <w:t xml:space="preserve">En ese contexto, al artículo 89 de la </w:t>
      </w:r>
      <w:r w:rsidRPr="00A633E9">
        <w:rPr>
          <w:rFonts w:eastAsia="Times New Roman" w:cs="Tahoma"/>
          <w:iCs/>
          <w:color w:val="auto"/>
          <w:lang w:val="es-ES" w:eastAsia="es-ES"/>
        </w:rPr>
        <w:t xml:space="preserve">Ley del Trabajo de los Servidores Públicos del Estado y Municipios, precisa que son causas de terminación de la relación laboral sin responsabilidad para las instituciones públicas las siguientes: la renuncia del servidor público, el mutuo acuerdo de las partes, el vencimiento del término o conclusión de la administración en la cual fue contratado, la muerte del servidor público y la incapacidad permanente del servidor público. </w:t>
      </w:r>
    </w:p>
    <w:p w14:paraId="3C371E96" w14:textId="77777777" w:rsidR="00BE39B4" w:rsidRPr="00A633E9" w:rsidRDefault="00BE39B4" w:rsidP="00BE39B4">
      <w:pPr>
        <w:spacing w:after="0" w:line="360" w:lineRule="auto"/>
        <w:rPr>
          <w:rFonts w:eastAsia="Times New Roman" w:cs="Tahoma"/>
          <w:iCs/>
          <w:color w:val="auto"/>
          <w:lang w:val="es-ES" w:eastAsia="es-ES"/>
        </w:rPr>
      </w:pPr>
    </w:p>
    <w:p w14:paraId="395F6307" w14:textId="6BAC6493" w:rsidR="00310C61" w:rsidRPr="00A633E9" w:rsidRDefault="00BE39B4" w:rsidP="00310C61">
      <w:pPr>
        <w:spacing w:after="0" w:line="360" w:lineRule="auto"/>
        <w:rPr>
          <w:rFonts w:eastAsia="Calibri" w:cs="Tahoma"/>
          <w:bCs/>
          <w:color w:val="auto"/>
          <w:lang w:eastAsia="en-US"/>
        </w:rPr>
      </w:pPr>
      <w:r w:rsidRPr="00A633E9">
        <w:rPr>
          <w:rFonts w:eastAsia="Times New Roman" w:cs="Tahoma"/>
          <w:iCs/>
          <w:color w:val="auto"/>
          <w:lang w:val="es-ES" w:eastAsia="es-ES"/>
        </w:rPr>
        <w:t xml:space="preserve">Así, se advierte que derivado de las </w:t>
      </w:r>
      <w:r w:rsidRPr="00A633E9">
        <w:rPr>
          <w:rFonts w:eastAsia="Calibri" w:cs="Tahoma"/>
          <w:bCs/>
          <w:color w:val="auto"/>
          <w:lang w:eastAsia="es-ES"/>
        </w:rPr>
        <w:t xml:space="preserve">actividades básicas de la administración de personal, las Instituciones Públicas realizan diversos actos por medio de los cuales se da cuenta </w:t>
      </w:r>
      <w:r w:rsidR="00310C61" w:rsidRPr="00A633E9">
        <w:rPr>
          <w:rFonts w:eastAsia="Calibri" w:cs="Tahoma"/>
          <w:bCs/>
          <w:color w:val="auto"/>
          <w:lang w:eastAsia="es-ES"/>
        </w:rPr>
        <w:t>de la</w:t>
      </w:r>
      <w:r w:rsidRPr="00A633E9">
        <w:rPr>
          <w:rFonts w:eastAsia="Calibri" w:cs="Tahoma"/>
          <w:bCs/>
          <w:color w:val="auto"/>
          <w:lang w:eastAsia="es-ES"/>
        </w:rPr>
        <w:t xml:space="preserve"> terminación de la relación laboral con los servidores públicos</w:t>
      </w:r>
      <w:r w:rsidR="00310C61" w:rsidRPr="00A633E9">
        <w:rPr>
          <w:rFonts w:eastAsia="Calibri" w:cs="Tahoma"/>
          <w:bCs/>
          <w:color w:val="auto"/>
          <w:lang w:eastAsia="es-ES"/>
        </w:rPr>
        <w:t>; tan es así,</w:t>
      </w:r>
      <w:r w:rsidR="00310C61" w:rsidRPr="00A633E9">
        <w:rPr>
          <w:rFonts w:eastAsia="Calibri" w:cs="Tahoma"/>
          <w:bCs/>
          <w:lang w:eastAsia="en-US"/>
        </w:rPr>
        <w:t xml:space="preserve"> el Manual de Procedimientos para la afiliación y credencialización de los derechohabientes del ISSEMYM, que establece, que el servidor público designado por la institución pública, que incluye a los </w:t>
      </w:r>
      <w:r w:rsidR="00310C61" w:rsidRPr="00A633E9">
        <w:rPr>
          <w:rFonts w:eastAsia="Calibri" w:cs="Tahoma"/>
          <w:bCs/>
          <w:lang w:eastAsia="en-US"/>
        </w:rPr>
        <w:lastRenderedPageBreak/>
        <w:t xml:space="preserve">Municipios (Usuario Autorizado), será el responsable de generar y entregar con oportunidad a los trabajadores, </w:t>
      </w:r>
      <w:r w:rsidR="00310C61" w:rsidRPr="00A633E9">
        <w:rPr>
          <w:rFonts w:eastAsia="Calibri" w:cs="Tahoma"/>
          <w:b/>
          <w:bCs/>
          <w:lang w:eastAsia="en-US"/>
        </w:rPr>
        <w:t xml:space="preserve">los Avisos de Movimiento (Alta y Baja), </w:t>
      </w:r>
      <w:r w:rsidR="00310C61" w:rsidRPr="00A633E9">
        <w:rPr>
          <w:rFonts w:eastAsia="Calibri" w:cs="Tahoma"/>
          <w:bCs/>
          <w:lang w:eastAsia="en-US"/>
        </w:rPr>
        <w:t>para realizar sus respectivos trámites ante el Instituto de Seguridad Social del Estado de México y Municipios.</w:t>
      </w:r>
    </w:p>
    <w:p w14:paraId="6D56C4A0" w14:textId="77777777" w:rsidR="00310C61" w:rsidRPr="00A633E9" w:rsidRDefault="00310C61" w:rsidP="00310C61">
      <w:pPr>
        <w:spacing w:after="0" w:line="360" w:lineRule="auto"/>
        <w:rPr>
          <w:rFonts w:eastAsia="Times New Roman" w:cs="Times New Roman"/>
          <w:color w:val="auto"/>
          <w:lang w:eastAsia="es-ES"/>
        </w:rPr>
      </w:pPr>
    </w:p>
    <w:p w14:paraId="34C211C8" w14:textId="71E1E8C0" w:rsidR="00310C61" w:rsidRPr="00A633E9" w:rsidRDefault="00310C61" w:rsidP="00310C61">
      <w:pPr>
        <w:spacing w:after="0" w:line="360" w:lineRule="auto"/>
        <w:ind w:right="-28"/>
        <w:contextualSpacing/>
        <w:rPr>
          <w:color w:val="auto"/>
          <w:lang w:eastAsia="es-ES"/>
        </w:rPr>
      </w:pPr>
      <w:r w:rsidRPr="00A633E9">
        <w:rPr>
          <w:color w:val="auto"/>
          <w:lang w:eastAsia="es-ES"/>
        </w:rPr>
        <w:t>Establecida dicha circunstancia, se procede analizar la respuesta entregada, para lo cual, es de señalar que de las constancias que de las constancias que obran en el expediente, se logra vislumbrar que el Sujeto Obligado turno la solicitud de información a la Tesorería;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1430EF9D" w14:textId="77777777" w:rsidR="00310C61" w:rsidRPr="00A633E9" w:rsidRDefault="00310C61" w:rsidP="00310C61">
      <w:pPr>
        <w:spacing w:after="0" w:line="360" w:lineRule="auto"/>
        <w:ind w:right="-28"/>
        <w:contextualSpacing/>
        <w:rPr>
          <w:color w:val="auto"/>
          <w:lang w:eastAsia="es-ES"/>
        </w:rPr>
      </w:pPr>
    </w:p>
    <w:p w14:paraId="1FF7D350" w14:textId="19536A81" w:rsidR="00310C61" w:rsidRPr="00A633E9" w:rsidRDefault="00310C61" w:rsidP="00310C61">
      <w:pPr>
        <w:spacing w:after="0" w:line="360" w:lineRule="auto"/>
        <w:rPr>
          <w:rFonts w:cs="Tahoma"/>
          <w:bCs/>
          <w:iCs/>
        </w:rPr>
      </w:pPr>
      <w:r w:rsidRPr="00A633E9">
        <w:rPr>
          <w:color w:val="auto"/>
          <w:lang w:eastAsia="es-ES"/>
        </w:rPr>
        <w:t xml:space="preserve">Así, es necesario traer al estudio el artículo </w:t>
      </w:r>
      <w:r w:rsidRPr="00A633E9">
        <w:rPr>
          <w:rFonts w:cs="Tahoma"/>
          <w:bCs/>
          <w:iCs/>
        </w:rPr>
        <w:t xml:space="preserve">15 de la </w:t>
      </w:r>
      <w:r w:rsidRPr="00A633E9">
        <w:t xml:space="preserve">Ley que Crea los Organismos Públicos Descentralizados de Asistencia Social, de Carácter Municipal, denominados "Sistemas Municipales para el Desarrollo Integral de la Familia", precisa que la Tesorería será la encargada de administrar los recursos humanos. </w:t>
      </w:r>
    </w:p>
    <w:p w14:paraId="125FE2E7" w14:textId="01725C1D" w:rsidR="00310C61" w:rsidRPr="00A633E9" w:rsidRDefault="00310C61" w:rsidP="00310C61">
      <w:pPr>
        <w:spacing w:after="0" w:line="360" w:lineRule="auto"/>
        <w:ind w:right="-28"/>
        <w:contextualSpacing/>
        <w:rPr>
          <w:color w:val="auto"/>
          <w:lang w:eastAsia="es-ES"/>
        </w:rPr>
      </w:pPr>
    </w:p>
    <w:p w14:paraId="52B8D9FE" w14:textId="526D80C7" w:rsidR="00310C61" w:rsidRPr="00A633E9" w:rsidRDefault="00310C61" w:rsidP="00310C61">
      <w:pPr>
        <w:spacing w:after="0" w:line="360" w:lineRule="auto"/>
        <w:rPr>
          <w:rFonts w:eastAsia="Calibri"/>
          <w:bCs/>
          <w:lang w:val="es-ES_tradnl"/>
        </w:rPr>
      </w:pPr>
      <w:r w:rsidRPr="00A633E9">
        <w:rPr>
          <w:rFonts w:eastAsia="Calibri"/>
          <w:bCs/>
          <w:lang w:val="es-ES_tradnl"/>
        </w:rPr>
        <w:t xml:space="preserve">De tal circunstancia, se logra colegir que el Sujeto Obligado cumplió con el procedimiento de búsqueda establecido en el artículo 162 de la Ley de Transparencia y Acceso a la Información Pública del Estado de México y Municipios, pues turnó la solicitud de acceso a la información al área correspondiente. </w:t>
      </w:r>
    </w:p>
    <w:p w14:paraId="55CE1ADD" w14:textId="77777777" w:rsidR="00310C61" w:rsidRPr="00A633E9" w:rsidRDefault="00310C61" w:rsidP="00310C61">
      <w:pPr>
        <w:spacing w:after="0" w:line="360" w:lineRule="auto"/>
        <w:ind w:right="-28"/>
        <w:contextualSpacing/>
        <w:rPr>
          <w:color w:val="auto"/>
          <w:lang w:eastAsia="es-ES"/>
        </w:rPr>
      </w:pPr>
    </w:p>
    <w:p w14:paraId="3CDB10D0" w14:textId="39EC80D3" w:rsidR="00310C61" w:rsidRPr="00A633E9" w:rsidRDefault="00310C61" w:rsidP="00310C61">
      <w:pPr>
        <w:spacing w:after="0" w:line="360" w:lineRule="auto"/>
        <w:ind w:right="-28"/>
        <w:contextualSpacing/>
        <w:rPr>
          <w:color w:val="auto"/>
          <w:lang w:eastAsia="es-ES"/>
        </w:rPr>
      </w:pPr>
      <w:r w:rsidRPr="00A633E9">
        <w:rPr>
          <w:color w:val="auto"/>
          <w:lang w:eastAsia="es-ES"/>
        </w:rPr>
        <w:t xml:space="preserve">Ahora bien, dicha área por una parte, indicó que proporcionaba la versión pública de lo peticionado y por otra parte, proporcionó un listado </w:t>
      </w:r>
      <w:r w:rsidRPr="00A633E9">
        <w:rPr>
          <w:i/>
          <w:iCs/>
          <w:color w:val="auto"/>
          <w:lang w:eastAsia="es-ES"/>
        </w:rPr>
        <w:t xml:space="preserve">ad hoc </w:t>
      </w:r>
      <w:r w:rsidRPr="00A633E9">
        <w:rPr>
          <w:color w:val="auto"/>
          <w:lang w:eastAsia="es-ES"/>
        </w:rPr>
        <w:t xml:space="preserve">con el nombre de los servidores </w:t>
      </w:r>
      <w:r w:rsidRPr="00A633E9">
        <w:rPr>
          <w:color w:val="auto"/>
          <w:lang w:eastAsia="es-ES"/>
        </w:rPr>
        <w:lastRenderedPageBreak/>
        <w:t xml:space="preserve">públicos que habían sido dados de baja </w:t>
      </w:r>
      <w:r w:rsidR="008036C5" w:rsidRPr="00A633E9">
        <w:rPr>
          <w:color w:val="auto"/>
          <w:lang w:eastAsia="es-ES"/>
        </w:rPr>
        <w:t>del primero al quince de enero de dos mil veinticinco, tal como se muestra a continuación:</w:t>
      </w:r>
    </w:p>
    <w:p w14:paraId="283F5758" w14:textId="77777777" w:rsidR="008036C5" w:rsidRPr="00A633E9" w:rsidRDefault="008036C5" w:rsidP="00310C61">
      <w:pPr>
        <w:spacing w:after="0" w:line="360" w:lineRule="auto"/>
        <w:ind w:right="-28"/>
        <w:contextualSpacing/>
        <w:rPr>
          <w:color w:val="auto"/>
          <w:lang w:eastAsia="es-ES"/>
        </w:rPr>
      </w:pPr>
    </w:p>
    <w:p w14:paraId="162FB369" w14:textId="48B1FE5F" w:rsidR="008036C5" w:rsidRPr="00A633E9" w:rsidRDefault="008036C5" w:rsidP="00310C61">
      <w:pPr>
        <w:spacing w:after="0" w:line="360" w:lineRule="auto"/>
        <w:ind w:right="-28"/>
        <w:contextualSpacing/>
        <w:rPr>
          <w:color w:val="auto"/>
          <w:lang w:eastAsia="es-ES"/>
        </w:rPr>
      </w:pPr>
      <w:r w:rsidRPr="00A633E9">
        <w:rPr>
          <w:noProof/>
          <w:color w:val="auto"/>
        </w:rPr>
        <w:drawing>
          <wp:inline distT="0" distB="0" distL="0" distR="0" wp14:anchorId="6F786E55" wp14:editId="4A598663">
            <wp:extent cx="5850890" cy="1079500"/>
            <wp:effectExtent l="0" t="0" r="0" b="6350"/>
            <wp:docPr id="19893668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66879" name=""/>
                    <pic:cNvPicPr/>
                  </pic:nvPicPr>
                  <pic:blipFill>
                    <a:blip r:embed="rId9"/>
                    <a:stretch>
                      <a:fillRect/>
                    </a:stretch>
                  </pic:blipFill>
                  <pic:spPr>
                    <a:xfrm>
                      <a:off x="0" y="0"/>
                      <a:ext cx="5850890" cy="1079500"/>
                    </a:xfrm>
                    <a:prstGeom prst="rect">
                      <a:avLst/>
                    </a:prstGeom>
                  </pic:spPr>
                </pic:pic>
              </a:graphicData>
            </a:graphic>
          </wp:inline>
        </w:drawing>
      </w:r>
    </w:p>
    <w:p w14:paraId="255F39C5" w14:textId="006710CA" w:rsidR="00310C61" w:rsidRPr="00A633E9" w:rsidRDefault="00310C61" w:rsidP="00310C61">
      <w:pPr>
        <w:spacing w:after="0" w:line="360" w:lineRule="auto"/>
        <w:ind w:right="-28"/>
        <w:contextualSpacing/>
        <w:rPr>
          <w:color w:val="auto"/>
          <w:lang w:eastAsia="es-ES"/>
        </w:rPr>
      </w:pPr>
    </w:p>
    <w:p w14:paraId="789B169F" w14:textId="77777777" w:rsidR="008036C5" w:rsidRPr="00A633E9" w:rsidRDefault="008036C5" w:rsidP="008036C5">
      <w:pPr>
        <w:spacing w:line="360" w:lineRule="auto"/>
        <w:contextualSpacing/>
        <w:rPr>
          <w:noProof/>
          <w:color w:val="000000"/>
        </w:rPr>
      </w:pPr>
      <w:r w:rsidRPr="00A633E9">
        <w:rPr>
          <w:color w:val="auto"/>
          <w:lang w:eastAsia="es-ES"/>
        </w:rPr>
        <w:t xml:space="preserve">Conforme a lo anterior, se logra vislumbrar que el Sujeto Obligado proporcionó la información que obraba en sus archivos y da cuenta de lo peticionado; </w:t>
      </w:r>
      <w:r w:rsidRPr="00A633E9">
        <w:rPr>
          <w:noProof/>
          <w:color w:val="000000"/>
        </w:rPr>
        <w:t>d</w:t>
      </w:r>
      <w:r w:rsidRPr="00A633E9">
        <w:rPr>
          <w:rFonts w:cs="Tahoma"/>
          <w:bCs/>
          <w:iCs/>
          <w:noProof/>
          <w:color w:val="000000"/>
        </w:rPr>
        <w:t>icha situación toma sustento en</w:t>
      </w:r>
      <w:r w:rsidRPr="00A633E9">
        <w:rPr>
          <w:rFonts w:cs="Tahoma"/>
          <w:bCs/>
          <w:noProof/>
          <w:color w:val="000000"/>
        </w:rPr>
        <w:t xml:space="preserve"> el</w:t>
      </w:r>
      <w:r w:rsidRPr="00A633E9">
        <w:rPr>
          <w:rFonts w:cs="Tahoma"/>
          <w:noProof/>
          <w:color w:val="000000"/>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esta, ni presentarla conforme al interés del Solicitante.</w:t>
      </w:r>
    </w:p>
    <w:p w14:paraId="70BFC8F8" w14:textId="77777777" w:rsidR="008036C5" w:rsidRPr="00A633E9" w:rsidRDefault="008036C5" w:rsidP="008036C5">
      <w:pPr>
        <w:spacing w:line="360" w:lineRule="auto"/>
        <w:contextualSpacing/>
        <w:rPr>
          <w:rFonts w:cs="Tahoma"/>
          <w:bCs/>
          <w:iCs/>
          <w:noProof/>
          <w:color w:val="000000"/>
        </w:rPr>
      </w:pPr>
    </w:p>
    <w:p w14:paraId="088DD200" w14:textId="77777777" w:rsidR="008036C5" w:rsidRPr="00A633E9" w:rsidRDefault="008036C5" w:rsidP="008036C5">
      <w:pPr>
        <w:tabs>
          <w:tab w:val="left" w:pos="4962"/>
        </w:tabs>
        <w:spacing w:line="360" w:lineRule="auto"/>
        <w:contextualSpacing/>
        <w:rPr>
          <w:rFonts w:cs="Tahoma"/>
          <w:noProof/>
          <w:color w:val="000000"/>
        </w:rPr>
      </w:pPr>
      <w:r w:rsidRPr="00A633E9">
        <w:rPr>
          <w:rFonts w:cs="Tahoma"/>
          <w:noProof/>
          <w:color w:val="000000"/>
        </w:rPr>
        <w:t xml:space="preserve">De esta manera, el derecho de acceso a la información pública se satisface en aquellos casos en que se entregue el soporte documental en el que conste la información solicitada, sin necesidad de elaborar documentos </w:t>
      </w:r>
      <w:r w:rsidRPr="00A633E9">
        <w:rPr>
          <w:rFonts w:cs="Tahoma"/>
          <w:i/>
          <w:noProof/>
          <w:color w:val="000000"/>
        </w:rPr>
        <w:t>ad hoc</w:t>
      </w:r>
      <w:r w:rsidRPr="00A633E9">
        <w:rPr>
          <w:rFonts w:cs="Tahoma"/>
          <w:noProof/>
          <w:color w:val="000000"/>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3BDFFE0" w14:textId="77777777" w:rsidR="008036C5" w:rsidRPr="00A633E9" w:rsidRDefault="008036C5" w:rsidP="008036C5">
      <w:pPr>
        <w:spacing w:after="0" w:line="360" w:lineRule="auto"/>
        <w:rPr>
          <w:rFonts w:cs="Tahoma"/>
          <w:noProof/>
          <w:color w:val="000000"/>
        </w:rPr>
      </w:pPr>
    </w:p>
    <w:p w14:paraId="6BBD16F8" w14:textId="4E7F8313" w:rsidR="008036C5" w:rsidRPr="00A633E9" w:rsidRDefault="008036C5" w:rsidP="008036C5">
      <w:pPr>
        <w:spacing w:after="0" w:line="360" w:lineRule="auto"/>
        <w:ind w:right="-28"/>
        <w:contextualSpacing/>
        <w:rPr>
          <w:rFonts w:cs="Tahoma"/>
          <w:noProof/>
          <w:color w:val="000000"/>
        </w:rPr>
      </w:pPr>
      <w:r w:rsidRPr="00A633E9">
        <w:rPr>
          <w:rFonts w:cs="Tahoma"/>
          <w:noProof/>
          <w:color w:val="000000"/>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sin embargo, esta situación, no es una prohibición para que los Sujetos Obligados generen documentos </w:t>
      </w:r>
      <w:r w:rsidRPr="00A633E9">
        <w:rPr>
          <w:rFonts w:cs="Tahoma"/>
          <w:i/>
          <w:iCs/>
          <w:noProof/>
          <w:color w:val="000000"/>
        </w:rPr>
        <w:t xml:space="preserve">ad hoc, </w:t>
      </w:r>
      <w:r w:rsidRPr="00A633E9">
        <w:rPr>
          <w:rFonts w:cs="Tahoma"/>
          <w:noProof/>
          <w:color w:val="000000"/>
        </w:rPr>
        <w:lastRenderedPageBreak/>
        <w:t>sobre todo si es para simplificar la información que da cuenta de lo solicitado o bien, para atender el requerimiento de la mejor manera, lo cual aconteció en el presente caso.</w:t>
      </w:r>
    </w:p>
    <w:p w14:paraId="4A316C42" w14:textId="77777777" w:rsidR="008036C5" w:rsidRPr="00A633E9" w:rsidRDefault="008036C5" w:rsidP="008036C5">
      <w:pPr>
        <w:spacing w:after="0" w:line="360" w:lineRule="auto"/>
        <w:ind w:right="-28"/>
        <w:contextualSpacing/>
        <w:rPr>
          <w:rFonts w:cs="Tahoma"/>
          <w:noProof/>
          <w:color w:val="000000"/>
        </w:rPr>
      </w:pPr>
    </w:p>
    <w:p w14:paraId="2736F3DF" w14:textId="13F89B1D" w:rsidR="008036C5" w:rsidRPr="00A633E9" w:rsidRDefault="008036C5" w:rsidP="008036C5">
      <w:pPr>
        <w:spacing w:after="0" w:line="360" w:lineRule="auto"/>
        <w:ind w:right="-28"/>
        <w:contextualSpacing/>
        <w:rPr>
          <w:rFonts w:cs="Tahoma"/>
          <w:noProof/>
          <w:color w:val="000000"/>
        </w:rPr>
      </w:pPr>
      <w:r w:rsidRPr="00A633E9">
        <w:rPr>
          <w:rFonts w:cs="Tahoma"/>
          <w:noProof/>
          <w:color w:val="000000"/>
        </w:rPr>
        <w:t xml:space="preserve">En ese contexto, se logra vislumbrar que en el presente caso, la Tesorería emitió un documento </w:t>
      </w:r>
      <w:r w:rsidRPr="00A633E9">
        <w:rPr>
          <w:rFonts w:cs="Tahoma"/>
          <w:i/>
          <w:iCs/>
          <w:noProof/>
          <w:color w:val="000000"/>
        </w:rPr>
        <w:t xml:space="preserve">ad hoc, </w:t>
      </w:r>
      <w:r w:rsidRPr="00A633E9">
        <w:rPr>
          <w:rFonts w:cs="Tahoma"/>
          <w:noProof/>
          <w:color w:val="000000"/>
        </w:rPr>
        <w:t>con la información requerida por el Solicitante, al contener el nombre y cargo de los servidores públicos dados de baja del primero al quince de enero de dos mil veinticinco, por lo que cumplió con lo establecido en los artículos 12 y 160 de la Ley de Transparencia y Acceso a la Información Pública.</w:t>
      </w:r>
    </w:p>
    <w:p w14:paraId="55B892FC" w14:textId="77777777" w:rsidR="008036C5" w:rsidRPr="00A633E9" w:rsidRDefault="008036C5" w:rsidP="008036C5">
      <w:pPr>
        <w:spacing w:after="0" w:line="360" w:lineRule="auto"/>
        <w:ind w:right="-28"/>
        <w:contextualSpacing/>
        <w:rPr>
          <w:rFonts w:cs="Tahoma"/>
          <w:noProof/>
          <w:color w:val="000000"/>
        </w:rPr>
      </w:pPr>
    </w:p>
    <w:p w14:paraId="48CF38FC" w14:textId="3FE86682" w:rsidR="00622E14" w:rsidRPr="00A633E9" w:rsidRDefault="008036C5" w:rsidP="00622E14">
      <w:pPr>
        <w:spacing w:after="0" w:line="360" w:lineRule="auto"/>
        <w:rPr>
          <w:rFonts w:cs="Tahoma"/>
          <w:bCs/>
          <w:lang w:val="es-ES"/>
        </w:rPr>
      </w:pPr>
      <w:r w:rsidRPr="00A633E9">
        <w:rPr>
          <w:rFonts w:cs="Tahoma"/>
          <w:noProof/>
          <w:color w:val="000000"/>
        </w:rPr>
        <w:t xml:space="preserve">Ahora bien, </w:t>
      </w:r>
      <w:r w:rsidR="00622E14" w:rsidRPr="00A633E9">
        <w:rPr>
          <w:rFonts w:cs="Tahoma"/>
          <w:noProof/>
          <w:color w:val="000000"/>
        </w:rPr>
        <w:t xml:space="preserve">es necesario señalar que la Tesorera señaló en el oficio de respuesta, que remitía la versión pública de la información solicitada; </w:t>
      </w:r>
      <w:r w:rsidR="00622E14" w:rsidRPr="00A633E9">
        <w:rPr>
          <w:rFonts w:cs="Tahoma"/>
          <w:bCs/>
          <w:lang w:val="es-ES"/>
        </w:rPr>
        <w:t>sobre el tema, los artículos 3°, fracción XXI y 111 de la Ley General de Transparencia y Acceso a la Información</w:t>
      </w:r>
      <w:proofErr w:type="spellStart"/>
      <w:r w:rsidR="00622E14" w:rsidRPr="00A633E9">
        <w:rPr>
          <w:rFonts w:cs="Tahoma"/>
          <w:bCs/>
          <w:lang w:val="x-none"/>
        </w:rPr>
        <w:t>ón</w:t>
      </w:r>
      <w:proofErr w:type="spellEnd"/>
      <w:r w:rsidR="00622E14" w:rsidRPr="00A633E9">
        <w:rPr>
          <w:rFonts w:cs="Tahoma"/>
          <w:bCs/>
          <w:lang w:val="es-ES"/>
        </w:rPr>
        <w:t>, 3°, fracción XLV, y 137 de la Ley de Transparencia y Acceso a la Información Pública del Estado de México y Municipios y los numerales Segundo, fracción XVIII, y Quincuagésimo sexto de los Lineamientos Generales,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017B3BE1" w14:textId="50C9E700" w:rsidR="008036C5" w:rsidRPr="00A633E9" w:rsidRDefault="008036C5" w:rsidP="008036C5">
      <w:pPr>
        <w:spacing w:after="0" w:line="360" w:lineRule="auto"/>
        <w:ind w:right="-28"/>
        <w:contextualSpacing/>
        <w:rPr>
          <w:rFonts w:cs="Tahoma"/>
          <w:noProof/>
          <w:color w:val="000000"/>
        </w:rPr>
      </w:pPr>
    </w:p>
    <w:p w14:paraId="1E042B69" w14:textId="70B40180" w:rsidR="00622E14" w:rsidRPr="00A633E9" w:rsidRDefault="00622E14" w:rsidP="008036C5">
      <w:pPr>
        <w:spacing w:after="0" w:line="360" w:lineRule="auto"/>
        <w:ind w:right="-28"/>
        <w:contextualSpacing/>
        <w:rPr>
          <w:rFonts w:cs="Tahoma"/>
          <w:noProof/>
          <w:color w:val="000000"/>
        </w:rPr>
      </w:pPr>
      <w:r w:rsidRPr="00A633E9">
        <w:rPr>
          <w:rFonts w:cs="Tahoma"/>
          <w:noProof/>
          <w:color w:val="000000"/>
        </w:rPr>
        <w:t xml:space="preserve">Conforme a lo anterior, se logra vislumbrar, que si bien de manera incorrecta la Tesorería señaló que remitía un documento en versión pública, lo cierto </w:t>
      </w:r>
      <w:r w:rsidR="00EF51A3" w:rsidRPr="00A633E9">
        <w:rPr>
          <w:rFonts w:cs="Tahoma"/>
          <w:noProof/>
          <w:color w:val="000000"/>
        </w:rPr>
        <w:t xml:space="preserve">es que entregó el documento con la información solicitada, pues de su revisión, se logra vislumbrar que no fue testado, ni contiene datos clasificados o clasificables, pues inclusive al ser un documento </w:t>
      </w:r>
      <w:r w:rsidR="00EF51A3" w:rsidRPr="00A633E9">
        <w:rPr>
          <w:rFonts w:cs="Tahoma"/>
          <w:i/>
          <w:iCs/>
          <w:noProof/>
          <w:color w:val="000000"/>
        </w:rPr>
        <w:t xml:space="preserve">ad hoc, </w:t>
      </w:r>
      <w:r w:rsidR="00EF51A3" w:rsidRPr="00A633E9">
        <w:rPr>
          <w:rFonts w:cs="Tahoma"/>
          <w:noProof/>
          <w:color w:val="000000"/>
        </w:rPr>
        <w:t>únicamente cuenta con los datos necesarios para dar atención a la solicitud.</w:t>
      </w:r>
    </w:p>
    <w:p w14:paraId="5C6279DC" w14:textId="77777777" w:rsidR="00EF51A3" w:rsidRPr="00A633E9" w:rsidRDefault="00EF51A3" w:rsidP="008036C5">
      <w:pPr>
        <w:spacing w:after="0" w:line="360" w:lineRule="auto"/>
        <w:ind w:right="-28"/>
        <w:contextualSpacing/>
        <w:rPr>
          <w:rFonts w:cs="Tahoma"/>
          <w:noProof/>
          <w:color w:val="000000"/>
        </w:rPr>
      </w:pPr>
    </w:p>
    <w:p w14:paraId="4D7D815D" w14:textId="18C63157" w:rsidR="00EF51A3" w:rsidRPr="00A633E9" w:rsidRDefault="00EF51A3" w:rsidP="008036C5">
      <w:pPr>
        <w:spacing w:after="0" w:line="360" w:lineRule="auto"/>
        <w:ind w:right="-28"/>
        <w:contextualSpacing/>
        <w:rPr>
          <w:rFonts w:cs="Tahoma"/>
          <w:noProof/>
          <w:color w:val="000000"/>
        </w:rPr>
      </w:pPr>
      <w:r w:rsidRPr="00A633E9">
        <w:rPr>
          <w:rFonts w:cs="Tahoma"/>
          <w:noProof/>
          <w:color w:val="000000"/>
        </w:rPr>
        <w:lastRenderedPageBreak/>
        <w:t>En otras palabras, el documento proporcionado no corresponde a una versión pública y, por lo tanto, tampoco debió validarlo el Comité de Transparencia, conforme al procedimeinto establecido en el artículo 168, de la Ley de Transparencia y Acceso a la Información Pública del Estado de México y Municipios.</w:t>
      </w:r>
    </w:p>
    <w:p w14:paraId="15FC3C4C" w14:textId="77777777" w:rsidR="00310C61" w:rsidRPr="00A633E9" w:rsidRDefault="00310C61" w:rsidP="00570D21">
      <w:pPr>
        <w:spacing w:after="0" w:line="360" w:lineRule="auto"/>
        <w:contextualSpacing/>
        <w:rPr>
          <w:rFonts w:eastAsiaTheme="minorHAnsi" w:cstheme="minorBidi"/>
          <w:color w:val="auto"/>
          <w:lang w:eastAsia="en-US"/>
        </w:rPr>
      </w:pPr>
    </w:p>
    <w:p w14:paraId="73245DCA" w14:textId="517CA548" w:rsidR="00F310AD" w:rsidRPr="00A633E9" w:rsidRDefault="00EF51A3" w:rsidP="00570D21">
      <w:pPr>
        <w:spacing w:after="0" w:line="360" w:lineRule="auto"/>
        <w:contextualSpacing/>
        <w:rPr>
          <w:rFonts w:eastAsiaTheme="minorHAnsi" w:cstheme="minorBidi"/>
          <w:color w:val="auto"/>
          <w:lang w:eastAsia="en-US"/>
        </w:rPr>
      </w:pPr>
      <w:r w:rsidRPr="00A633E9">
        <w:rPr>
          <w:rFonts w:eastAsiaTheme="minorHAnsi" w:cstheme="minorBidi"/>
          <w:color w:val="auto"/>
          <w:lang w:eastAsia="en-US"/>
        </w:rPr>
        <w:t xml:space="preserve">De tales consideraciones, si bien la Tesorería se equivocó de término, para dar respuesta a la solicitud, lo cierto es que proporcionó el documento que daba cuenta de lo peticionado, tal como se precisó en párrafos anteriores, con lo cual dio cumplimiento de los artículos 12 y 160 de la Ley de Transparencia y Acceso a la Información Pública del Estado de México y Municipios; por lo que, este Instituto considera que el agravio resulta </w:t>
      </w:r>
      <w:r w:rsidRPr="00A633E9">
        <w:rPr>
          <w:rFonts w:eastAsiaTheme="minorHAnsi" w:cstheme="minorBidi"/>
          <w:b/>
          <w:bCs/>
          <w:color w:val="auto"/>
          <w:lang w:eastAsia="en-US"/>
        </w:rPr>
        <w:t>INFUNDADO,</w:t>
      </w:r>
      <w:r w:rsidRPr="00A633E9">
        <w:rPr>
          <w:rFonts w:eastAsiaTheme="minorHAnsi" w:cstheme="minorBidi"/>
          <w:color w:val="auto"/>
          <w:lang w:eastAsia="en-US"/>
        </w:rPr>
        <w:t xml:space="preserve"> pues el Solicitante ya obtuvo la información solicitada, es decir, un listado con el nombre y cargo de </w:t>
      </w:r>
      <w:proofErr w:type="spellStart"/>
      <w:r w:rsidRPr="00A633E9">
        <w:rPr>
          <w:rFonts w:eastAsiaTheme="minorHAnsi" w:cstheme="minorBidi"/>
          <w:color w:val="auto"/>
          <w:lang w:eastAsia="en-US"/>
        </w:rPr>
        <w:t>lo</w:t>
      </w:r>
      <w:proofErr w:type="spellEnd"/>
      <w:r w:rsidRPr="00A633E9">
        <w:rPr>
          <w:rFonts w:eastAsiaTheme="minorHAnsi" w:cstheme="minorBidi"/>
          <w:color w:val="auto"/>
          <w:lang w:eastAsia="en-US"/>
        </w:rPr>
        <w:t xml:space="preserve"> servidores públicos dados de baja del primero al quince de enero de dos mil veinticinco.</w:t>
      </w:r>
    </w:p>
    <w:p w14:paraId="3B6AAEFC" w14:textId="77777777" w:rsidR="00EF51A3" w:rsidRPr="00A633E9" w:rsidRDefault="00EF51A3" w:rsidP="00570D21">
      <w:pPr>
        <w:spacing w:after="0" w:line="360" w:lineRule="auto"/>
        <w:contextualSpacing/>
        <w:rPr>
          <w:rFonts w:eastAsiaTheme="minorHAnsi" w:cstheme="minorBidi"/>
          <w:color w:val="auto"/>
          <w:lang w:eastAsia="en-US"/>
        </w:rPr>
      </w:pPr>
    </w:p>
    <w:p w14:paraId="2CB4038F" w14:textId="21F4D2AE" w:rsidR="00570D21" w:rsidRPr="00A633E9" w:rsidRDefault="0012600D" w:rsidP="00570D21">
      <w:pPr>
        <w:spacing w:after="0" w:line="360" w:lineRule="auto"/>
        <w:contextualSpacing/>
        <w:rPr>
          <w:rFonts w:eastAsia="Times New Roman" w:cs="Tahoma"/>
          <w:b/>
          <w:color w:val="auto"/>
          <w:lang w:val="es-ES" w:eastAsia="es-ES"/>
        </w:rPr>
      </w:pPr>
      <w:r w:rsidRPr="00A633E9">
        <w:rPr>
          <w:rFonts w:eastAsia="Times New Roman" w:cs="Tahoma"/>
          <w:b/>
          <w:color w:val="auto"/>
          <w:lang w:val="es-ES" w:eastAsia="es-ES"/>
        </w:rPr>
        <w:t>CUARTO. Decisión</w:t>
      </w:r>
      <w:r w:rsidR="00570D21" w:rsidRPr="00A633E9">
        <w:rPr>
          <w:rFonts w:eastAsia="Times New Roman" w:cs="Tahoma"/>
          <w:b/>
          <w:color w:val="auto"/>
          <w:lang w:val="es-ES" w:eastAsia="es-ES"/>
        </w:rPr>
        <w:t xml:space="preserve"> </w:t>
      </w:r>
    </w:p>
    <w:p w14:paraId="10F9495D" w14:textId="77777777" w:rsidR="00570D21" w:rsidRPr="00A633E9" w:rsidRDefault="00570D21" w:rsidP="00570D21">
      <w:pPr>
        <w:spacing w:after="0" w:line="360" w:lineRule="auto"/>
        <w:contextualSpacing/>
        <w:rPr>
          <w:rFonts w:eastAsia="Times New Roman" w:cs="Tahoma"/>
          <w:b/>
          <w:color w:val="auto"/>
          <w:lang w:val="es-ES" w:eastAsia="es-ES"/>
        </w:rPr>
      </w:pPr>
    </w:p>
    <w:p w14:paraId="4794C4FD" w14:textId="77777777" w:rsidR="00C166F3" w:rsidRPr="00A633E9" w:rsidRDefault="00C166F3" w:rsidP="00C166F3">
      <w:pPr>
        <w:spacing w:after="0" w:line="360" w:lineRule="auto"/>
        <w:ind w:right="-28"/>
      </w:pPr>
      <w:r w:rsidRPr="00A633E9">
        <w:t>Con fundamento en el artículo 186, fracción II, de la Ley de Transparencia y Acceso a la Información Pública del Estado de México y Municipios, este Instituto considera procedente</w:t>
      </w:r>
    </w:p>
    <w:p w14:paraId="3155F14E" w14:textId="77777777" w:rsidR="00C166F3" w:rsidRPr="00A633E9" w:rsidRDefault="00C166F3" w:rsidP="00C166F3">
      <w:pPr>
        <w:spacing w:after="0" w:line="360" w:lineRule="auto"/>
        <w:ind w:right="-28"/>
      </w:pPr>
      <w:r w:rsidRPr="00A633E9">
        <w:rPr>
          <w:b/>
          <w:bCs/>
        </w:rPr>
        <w:t>CONFIRMAR</w:t>
      </w:r>
      <w:r w:rsidRPr="00A633E9">
        <w:t xml:space="preserve"> la respuesta otorgada por el Sujeto Obligado.</w:t>
      </w:r>
    </w:p>
    <w:p w14:paraId="13150118" w14:textId="77777777" w:rsidR="00432B90" w:rsidRPr="00A633E9" w:rsidRDefault="00432B90" w:rsidP="00570D21">
      <w:pPr>
        <w:autoSpaceDE w:val="0"/>
        <w:autoSpaceDN w:val="0"/>
        <w:adjustRightInd w:val="0"/>
        <w:spacing w:after="0" w:line="360" w:lineRule="auto"/>
        <w:contextualSpacing/>
        <w:rPr>
          <w:rFonts w:eastAsia="Calibri" w:cs="Tahoma"/>
          <w:b/>
          <w:bCs/>
          <w:iCs/>
          <w:color w:val="auto"/>
          <w:lang w:val="es-ES" w:eastAsia="en-US"/>
        </w:rPr>
      </w:pPr>
    </w:p>
    <w:p w14:paraId="66564B8D" w14:textId="541FB0DA" w:rsidR="00570D21" w:rsidRPr="00A633E9" w:rsidRDefault="00570D21" w:rsidP="00570D21">
      <w:pPr>
        <w:autoSpaceDE w:val="0"/>
        <w:autoSpaceDN w:val="0"/>
        <w:adjustRightInd w:val="0"/>
        <w:spacing w:after="0" w:line="360" w:lineRule="auto"/>
        <w:contextualSpacing/>
        <w:rPr>
          <w:rFonts w:eastAsia="Calibri" w:cs="Tahoma"/>
          <w:b/>
          <w:bCs/>
          <w:iCs/>
          <w:color w:val="auto"/>
          <w:lang w:val="es-ES" w:eastAsia="en-US"/>
        </w:rPr>
      </w:pPr>
      <w:r w:rsidRPr="00A633E9">
        <w:rPr>
          <w:rFonts w:eastAsia="Calibri" w:cs="Tahoma"/>
          <w:b/>
          <w:bCs/>
          <w:iCs/>
          <w:color w:val="auto"/>
          <w:lang w:val="es-ES" w:eastAsia="en-US"/>
        </w:rPr>
        <w:t>Términos de la Resolución p</w:t>
      </w:r>
      <w:r w:rsidR="0012600D" w:rsidRPr="00A633E9">
        <w:rPr>
          <w:rFonts w:eastAsia="Calibri" w:cs="Tahoma"/>
          <w:b/>
          <w:bCs/>
          <w:iCs/>
          <w:color w:val="auto"/>
          <w:lang w:val="es-ES" w:eastAsia="en-US"/>
        </w:rPr>
        <w:t>ara conocimiento del Particular</w:t>
      </w:r>
    </w:p>
    <w:p w14:paraId="179D5C15" w14:textId="77777777" w:rsidR="00570D21" w:rsidRPr="00A633E9" w:rsidRDefault="00570D21" w:rsidP="00570D21">
      <w:pPr>
        <w:autoSpaceDE w:val="0"/>
        <w:autoSpaceDN w:val="0"/>
        <w:adjustRightInd w:val="0"/>
        <w:spacing w:after="0" w:line="360" w:lineRule="auto"/>
        <w:contextualSpacing/>
        <w:rPr>
          <w:rFonts w:eastAsia="Calibri" w:cs="Tahoma"/>
          <w:b/>
          <w:bCs/>
          <w:iCs/>
          <w:color w:val="auto"/>
          <w:lang w:val="es-ES" w:eastAsia="en-US"/>
        </w:rPr>
      </w:pPr>
    </w:p>
    <w:p w14:paraId="162219F9" w14:textId="78D3F105" w:rsidR="00570D21" w:rsidRPr="00A633E9" w:rsidRDefault="00C166F3" w:rsidP="00C166F3">
      <w:pPr>
        <w:spacing w:after="0" w:line="360" w:lineRule="auto"/>
        <w:rPr>
          <w:rFonts w:eastAsia="Calibri" w:cs="Tahoma"/>
          <w:bCs/>
          <w:iCs/>
          <w:color w:val="auto"/>
          <w:lang w:val="es-ES_tradnl" w:eastAsia="en-US"/>
        </w:rPr>
      </w:pPr>
      <w:r w:rsidRPr="00A633E9">
        <w:t xml:space="preserve">Se le hace del conocimiento al Particular, que, en el presente caso, no se le da la razón pues el Sujeto Obligado si bien se equivocó de término, para dar respuesta, lo cierto es que desde respuesta le entregó la información que daba cuenta de lo solicitado, mediante un documento </w:t>
      </w:r>
      <w:r w:rsidRPr="00A633E9">
        <w:rPr>
          <w:i/>
          <w:iCs/>
        </w:rPr>
        <w:t xml:space="preserve">ad hoc. </w:t>
      </w:r>
      <w:r w:rsidR="00570D21" w:rsidRPr="00A633E9">
        <w:rPr>
          <w:rFonts w:eastAsia="Calibri" w:cs="Tahoma"/>
          <w:bCs/>
          <w:iCs/>
          <w:color w:val="auto"/>
          <w:lang w:val="es-ES_tradnl" w:eastAsia="en-US"/>
        </w:rPr>
        <w:t>Finalmente, la labor del Instituto, es apoyar a la población a acceder a la información pública y garantizar la protección de los datos personales.</w:t>
      </w:r>
    </w:p>
    <w:p w14:paraId="354B1749" w14:textId="77777777" w:rsidR="00570D21" w:rsidRPr="00A633E9" w:rsidRDefault="00570D21" w:rsidP="00570D21">
      <w:pPr>
        <w:widowControl w:val="0"/>
        <w:spacing w:after="0" w:line="360" w:lineRule="auto"/>
        <w:contextualSpacing/>
        <w:rPr>
          <w:rFonts w:eastAsia="Calibri" w:cs="Tahoma"/>
          <w:bCs/>
          <w:iCs/>
          <w:color w:val="auto"/>
          <w:lang w:val="es-ES_tradnl" w:eastAsia="en-US"/>
        </w:rPr>
      </w:pPr>
    </w:p>
    <w:p w14:paraId="6A7779EE" w14:textId="288FA610" w:rsidR="00570D21" w:rsidRPr="00A633E9" w:rsidRDefault="00570D21" w:rsidP="00570D21">
      <w:pPr>
        <w:autoSpaceDE w:val="0"/>
        <w:autoSpaceDN w:val="0"/>
        <w:adjustRightInd w:val="0"/>
        <w:spacing w:after="0" w:line="360" w:lineRule="auto"/>
        <w:contextualSpacing/>
        <w:rPr>
          <w:rFonts w:eastAsia="Calibri" w:cs="Tahoma"/>
          <w:bCs/>
          <w:iCs/>
          <w:color w:val="auto"/>
          <w:lang w:eastAsia="en-US"/>
        </w:rPr>
      </w:pPr>
      <w:r w:rsidRPr="00A633E9">
        <w:rPr>
          <w:rFonts w:eastAsia="Calibri" w:cs="Tahoma"/>
          <w:bCs/>
          <w:iCs/>
          <w:color w:val="auto"/>
          <w:lang w:eastAsia="en-US"/>
        </w:rPr>
        <w:lastRenderedPageBreak/>
        <w:t>Por lo expuesto y fundado, este Pleno:</w:t>
      </w:r>
    </w:p>
    <w:p w14:paraId="048D8BD0" w14:textId="29EC2FAC" w:rsidR="00570D21" w:rsidRPr="00A633E9" w:rsidRDefault="0012600D" w:rsidP="0012600D">
      <w:pPr>
        <w:pStyle w:val="Ttulo1"/>
        <w:rPr>
          <w:sz w:val="22"/>
          <w:szCs w:val="22"/>
          <w:lang w:eastAsia="es-ES"/>
        </w:rPr>
      </w:pPr>
      <w:bookmarkStart w:id="17" w:name="_Toc198822025"/>
      <w:r w:rsidRPr="00A633E9">
        <w:rPr>
          <w:sz w:val="22"/>
          <w:szCs w:val="22"/>
          <w:lang w:eastAsia="es-ES"/>
        </w:rPr>
        <w:t>R E S U E L V E</w:t>
      </w:r>
      <w:bookmarkEnd w:id="17"/>
    </w:p>
    <w:p w14:paraId="453950B3" w14:textId="77777777" w:rsidR="00570D21" w:rsidRPr="00A633E9" w:rsidRDefault="00570D21" w:rsidP="00570D21">
      <w:pPr>
        <w:spacing w:after="0" w:line="360" w:lineRule="auto"/>
        <w:contextualSpacing/>
        <w:rPr>
          <w:rFonts w:eastAsia="Calibri" w:cs="Tahoma"/>
          <w:color w:val="auto"/>
          <w:lang w:val="es-ES" w:eastAsia="es-ES_tradnl"/>
        </w:rPr>
      </w:pPr>
    </w:p>
    <w:p w14:paraId="57245E2F" w14:textId="3B929EA3" w:rsidR="00C166F3" w:rsidRPr="00A633E9" w:rsidRDefault="00C166F3" w:rsidP="00C166F3">
      <w:pPr>
        <w:spacing w:after="0" w:line="360" w:lineRule="auto"/>
        <w:rPr>
          <w:bCs/>
        </w:rPr>
      </w:pPr>
      <w:r w:rsidRPr="00A633E9">
        <w:rPr>
          <w:b/>
        </w:rPr>
        <w:t>PRIMERO.</w:t>
      </w:r>
      <w:r w:rsidRPr="00A633E9">
        <w:rPr>
          <w:bCs/>
        </w:rPr>
        <w:t xml:space="preserve"> Se </w:t>
      </w:r>
      <w:r w:rsidRPr="00A633E9">
        <w:rPr>
          <w:b/>
        </w:rPr>
        <w:t>CONFIRMA</w:t>
      </w:r>
      <w:r w:rsidRPr="00A633E9">
        <w:rPr>
          <w:bCs/>
        </w:rPr>
        <w:t xml:space="preserve"> la respuesta entregada por el </w:t>
      </w:r>
      <w:r w:rsidR="00907BB7" w:rsidRPr="00A633E9">
        <w:t xml:space="preserve">Sistema Municipal para el Desarrollo Integral de la Familia de Acambay </w:t>
      </w:r>
      <w:r w:rsidRPr="00A633E9">
        <w:rPr>
          <w:bCs/>
        </w:rPr>
        <w:t xml:space="preserve">a la solicitud de acceso a la información </w:t>
      </w:r>
      <w:r w:rsidRPr="00A633E9">
        <w:rPr>
          <w:rFonts w:eastAsiaTheme="minorHAnsi" w:cstheme="minorBidi"/>
          <w:color w:val="auto"/>
          <w:lang w:eastAsia="en-US"/>
        </w:rPr>
        <w:t>00005/DIFACAMBAY/IP/2025</w:t>
      </w:r>
      <w:r w:rsidRPr="00A633E9">
        <w:rPr>
          <w:bCs/>
        </w:rPr>
        <w:t xml:space="preserve">, por resultar </w:t>
      </w:r>
      <w:r w:rsidRPr="00A633E9">
        <w:rPr>
          <w:b/>
        </w:rPr>
        <w:t>INFUNDADAS</w:t>
      </w:r>
      <w:r w:rsidRPr="00A633E9">
        <w:rPr>
          <w:bCs/>
        </w:rPr>
        <w:t xml:space="preserve"> las razones o motivos de inconformidad hechas valer por el Recurrente, en términos de los Considerandos QUINTO y SEXTO de esta Resolución.</w:t>
      </w:r>
    </w:p>
    <w:p w14:paraId="38CD2430" w14:textId="77777777" w:rsidR="00570D21" w:rsidRPr="00A633E9" w:rsidRDefault="00570D21" w:rsidP="00570D21">
      <w:pPr>
        <w:spacing w:after="0" w:line="360" w:lineRule="auto"/>
        <w:contextualSpacing/>
        <w:rPr>
          <w:rFonts w:eastAsia="Times New Roman" w:cs="Tahoma"/>
          <w:bCs/>
          <w:color w:val="auto"/>
          <w:lang w:eastAsia="es-ES"/>
        </w:rPr>
      </w:pPr>
    </w:p>
    <w:p w14:paraId="30F21DB4" w14:textId="0DC40573" w:rsidR="00570D21" w:rsidRPr="00A633E9" w:rsidRDefault="00D559B6" w:rsidP="00570D21">
      <w:pPr>
        <w:spacing w:after="0" w:line="360" w:lineRule="auto"/>
        <w:contextualSpacing/>
        <w:rPr>
          <w:rFonts w:eastAsia="Calibri" w:cs="Tahoma"/>
          <w:bCs/>
          <w:i/>
          <w:iCs/>
          <w:color w:val="auto"/>
          <w:lang w:eastAsia="en-US"/>
        </w:rPr>
      </w:pPr>
      <w:r w:rsidRPr="00A633E9">
        <w:rPr>
          <w:rFonts w:eastAsia="Calibri" w:cs="Tahoma"/>
          <w:b/>
          <w:bCs/>
          <w:iCs/>
          <w:color w:val="auto"/>
          <w:lang w:eastAsia="en-US"/>
        </w:rPr>
        <w:t>SEGUNDO. NOTIFÍQUESE VÍA</w:t>
      </w:r>
      <w:r w:rsidR="00570D21" w:rsidRPr="00A633E9">
        <w:rPr>
          <w:rFonts w:eastAsia="Calibri" w:cs="Tahoma"/>
          <w:b/>
          <w:bCs/>
          <w:iCs/>
          <w:color w:val="auto"/>
          <w:lang w:eastAsia="en-US"/>
        </w:rPr>
        <w:t xml:space="preserve"> SAIMEX </w:t>
      </w:r>
      <w:r w:rsidR="00570D21" w:rsidRPr="00A633E9">
        <w:rPr>
          <w:rFonts w:eastAsia="Calibri" w:cs="Tahoma"/>
          <w:bCs/>
          <w:iCs/>
          <w:color w:val="auto"/>
          <w:lang w:eastAsia="en-US"/>
        </w:rPr>
        <w:t>la presente resolución al Titular de la Unidad de Transparencia del Sujeto Obligado.</w:t>
      </w:r>
    </w:p>
    <w:p w14:paraId="536A5B2E" w14:textId="77777777" w:rsidR="00570D21" w:rsidRPr="00A633E9" w:rsidRDefault="00570D21" w:rsidP="00570D21">
      <w:pPr>
        <w:spacing w:after="0" w:line="360" w:lineRule="auto"/>
        <w:contextualSpacing/>
        <w:rPr>
          <w:rFonts w:eastAsia="Times New Roman" w:cs="Tahoma"/>
          <w:bCs/>
          <w:color w:val="auto"/>
          <w:lang w:eastAsia="es-ES"/>
        </w:rPr>
      </w:pPr>
    </w:p>
    <w:p w14:paraId="3238D6EB" w14:textId="77777777" w:rsidR="00570D21" w:rsidRPr="00A633E9" w:rsidRDefault="00570D21" w:rsidP="00570D21">
      <w:pPr>
        <w:spacing w:after="0" w:line="360" w:lineRule="auto"/>
        <w:contextualSpacing/>
        <w:rPr>
          <w:rFonts w:eastAsia="Times New Roman" w:cs="Tahoma"/>
          <w:b/>
          <w:color w:val="auto"/>
          <w:lang w:eastAsia="es-ES"/>
        </w:rPr>
      </w:pPr>
      <w:r w:rsidRPr="00A633E9">
        <w:rPr>
          <w:rFonts w:eastAsia="Times New Roman" w:cs="Tahoma"/>
          <w:b/>
          <w:color w:val="auto"/>
          <w:lang w:eastAsia="es-ES"/>
        </w:rPr>
        <w:t>TERCERO. NOTIFÍQUESE</w:t>
      </w:r>
      <w:r w:rsidRPr="00A633E9">
        <w:rPr>
          <w:rFonts w:eastAsia="Times New Roman" w:cs="Tahoma"/>
          <w:bCs/>
          <w:color w:val="auto"/>
          <w:lang w:eastAsia="es-ES"/>
        </w:rPr>
        <w:t xml:space="preserve"> </w:t>
      </w:r>
      <w:r w:rsidRPr="00A633E9">
        <w:rPr>
          <w:rFonts w:eastAsia="Times New Roman" w:cs="Tahoma"/>
          <w:b/>
          <w:color w:val="auto"/>
          <w:lang w:eastAsia="es-ES"/>
        </w:rPr>
        <w:t>VÍA SAIMEX</w:t>
      </w:r>
      <w:r w:rsidRPr="00A633E9">
        <w:rPr>
          <w:rFonts w:eastAsia="Times New Roman" w:cs="Tahoma"/>
          <w:bCs/>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999BBBA" w14:textId="77777777" w:rsidR="00570D21" w:rsidRPr="00A633E9" w:rsidRDefault="00570D21" w:rsidP="00570D21">
      <w:pPr>
        <w:spacing w:after="0" w:line="360" w:lineRule="auto"/>
        <w:contextualSpacing/>
        <w:rPr>
          <w:rFonts w:eastAsia="Calibri" w:cs="Tahoma"/>
          <w:color w:val="auto"/>
          <w:lang w:val="es-ES" w:eastAsia="es-ES_tradnl"/>
        </w:rPr>
      </w:pPr>
    </w:p>
    <w:p w14:paraId="3B12E1AE" w14:textId="3FDAA27E" w:rsidR="00CE58A5" w:rsidRDefault="00CE4466" w:rsidP="00C04044">
      <w:pPr>
        <w:spacing w:after="0" w:line="360" w:lineRule="auto"/>
      </w:pPr>
      <w:r w:rsidRPr="00A633E9">
        <w:t xml:space="preserve">ASÍ LO RESUELVE, POR </w:t>
      </w:r>
      <w:r w:rsidRPr="00A633E9">
        <w:rPr>
          <w:b/>
        </w:rPr>
        <w:t>UNANIMIDAD</w:t>
      </w:r>
      <w:r w:rsidRPr="00A633E9">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02E3A" w:rsidRPr="00A633E9">
        <w:t xml:space="preserve">Y GUADALUPE RAMÍREZ PEÑA, EN LA </w:t>
      </w:r>
      <w:r w:rsidR="00661F5A" w:rsidRPr="00A633E9">
        <w:t>VIGÉSIMA</w:t>
      </w:r>
      <w:r w:rsidR="00802E3A" w:rsidRPr="00A633E9">
        <w:t xml:space="preserve"> </w:t>
      </w:r>
      <w:r w:rsidRPr="00A633E9">
        <w:t xml:space="preserve">SESIÓN ORDINARIA, CELEBRADA EL </w:t>
      </w:r>
      <w:r w:rsidR="00661F5A" w:rsidRPr="00A633E9">
        <w:t>CUATRO DE JUNIO</w:t>
      </w:r>
      <w:r w:rsidR="00275206" w:rsidRPr="00A633E9">
        <w:t xml:space="preserve">  DE DOS MIL VEINTICINCO</w:t>
      </w:r>
      <w:r w:rsidR="00802E3A" w:rsidRPr="00A633E9">
        <w:t xml:space="preserve">, ANTE </w:t>
      </w:r>
      <w:r w:rsidRPr="00A633E9">
        <w:t>EL SECRETARIO TÉCNICO DEL PLENO, ALEXIS TAPIA RAMÍREZ.</w:t>
      </w:r>
    </w:p>
    <w:p w14:paraId="5E68A960" w14:textId="77777777" w:rsidR="00CE58A5" w:rsidRDefault="00CE4466" w:rsidP="00C04044">
      <w:pPr>
        <w:spacing w:after="0" w:line="360" w:lineRule="auto"/>
        <w:jc w:val="left"/>
      </w:pPr>
      <w:r>
        <w:br w:type="page"/>
      </w:r>
    </w:p>
    <w:sectPr w:rsidR="00CE58A5" w:rsidSect="00CE4466">
      <w:headerReference w:type="even" r:id="rId10"/>
      <w:headerReference w:type="default" r:id="rId11"/>
      <w:footerReference w:type="even" r:id="rId12"/>
      <w:footerReference w:type="default" r:id="rId13"/>
      <w:headerReference w:type="first" r:id="rId14"/>
      <w:footerReference w:type="first" r:id="rId15"/>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7CF6" w14:textId="77777777" w:rsidR="00556011" w:rsidRDefault="00556011">
      <w:pPr>
        <w:spacing w:after="0" w:line="240" w:lineRule="auto"/>
      </w:pPr>
      <w:r>
        <w:separator/>
      </w:r>
    </w:p>
  </w:endnote>
  <w:endnote w:type="continuationSeparator" w:id="0">
    <w:p w14:paraId="05412F32" w14:textId="77777777" w:rsidR="00556011" w:rsidRDefault="0055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5151" w14:textId="77777777" w:rsidR="00F7215A" w:rsidRDefault="00F7215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32CE">
      <w:rPr>
        <w:b/>
        <w:noProof/>
        <w:color w:val="000000"/>
        <w:sz w:val="24"/>
        <w:szCs w:val="24"/>
      </w:rPr>
      <w:t>17</w:t>
    </w:r>
    <w:r>
      <w:rPr>
        <w:b/>
        <w:color w:val="000000"/>
        <w:sz w:val="24"/>
        <w:szCs w:val="24"/>
      </w:rPr>
      <w:fldChar w:fldCharType="end"/>
    </w:r>
  </w:p>
  <w:p w14:paraId="547C391C" w14:textId="77777777" w:rsidR="00F7215A" w:rsidRDefault="00F7215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D7FE" w14:textId="593A2114" w:rsidR="00F7215A" w:rsidRDefault="00F7215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632CE">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32CE">
      <w:rPr>
        <w:b/>
        <w:noProof/>
        <w:color w:val="000000"/>
        <w:sz w:val="24"/>
        <w:szCs w:val="24"/>
      </w:rPr>
      <w:t>17</w:t>
    </w:r>
    <w:r>
      <w:rPr>
        <w:b/>
        <w:color w:val="000000"/>
        <w:sz w:val="24"/>
        <w:szCs w:val="24"/>
      </w:rPr>
      <w:fldChar w:fldCharType="end"/>
    </w:r>
  </w:p>
  <w:p w14:paraId="021EE9EB" w14:textId="77777777" w:rsidR="00F7215A" w:rsidRDefault="00F7215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3A60" w14:textId="77777777" w:rsidR="00F7215A" w:rsidRDefault="00F7215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632C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32CE">
      <w:rPr>
        <w:b/>
        <w:noProof/>
        <w:color w:val="000000"/>
        <w:sz w:val="24"/>
        <w:szCs w:val="24"/>
      </w:rPr>
      <w:t>17</w:t>
    </w:r>
    <w:r>
      <w:rPr>
        <w:b/>
        <w:color w:val="000000"/>
        <w:sz w:val="24"/>
        <w:szCs w:val="24"/>
      </w:rPr>
      <w:fldChar w:fldCharType="end"/>
    </w:r>
  </w:p>
  <w:p w14:paraId="23D55011" w14:textId="77777777" w:rsidR="00F7215A" w:rsidRDefault="00F7215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CA53" w14:textId="77777777" w:rsidR="00556011" w:rsidRDefault="00556011">
      <w:pPr>
        <w:spacing w:after="0" w:line="240" w:lineRule="auto"/>
      </w:pPr>
      <w:r>
        <w:separator/>
      </w:r>
    </w:p>
  </w:footnote>
  <w:footnote w:type="continuationSeparator" w:id="0">
    <w:p w14:paraId="7B494651" w14:textId="77777777" w:rsidR="00556011" w:rsidRDefault="00556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4C7" w14:textId="77777777" w:rsidR="00F7215A" w:rsidRDefault="00F7215A">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F7215A" w14:paraId="4913F089" w14:textId="77777777">
      <w:trPr>
        <w:trHeight w:val="141"/>
      </w:trPr>
      <w:tc>
        <w:tcPr>
          <w:tcW w:w="2404" w:type="dxa"/>
        </w:tcPr>
        <w:p w14:paraId="1D800919" w14:textId="77777777" w:rsidR="00F7215A" w:rsidRDefault="00F7215A">
          <w:pPr>
            <w:tabs>
              <w:tab w:val="right" w:pos="8838"/>
            </w:tabs>
            <w:ind w:right="-105"/>
            <w:rPr>
              <w:b/>
            </w:rPr>
          </w:pPr>
          <w:r>
            <w:rPr>
              <w:b/>
            </w:rPr>
            <w:t>Recurso de Revisión:</w:t>
          </w:r>
        </w:p>
      </w:tc>
      <w:tc>
        <w:tcPr>
          <w:tcW w:w="3587" w:type="dxa"/>
        </w:tcPr>
        <w:p w14:paraId="53E9BD67" w14:textId="77777777" w:rsidR="00F7215A" w:rsidRDefault="00F7215A">
          <w:pPr>
            <w:tabs>
              <w:tab w:val="right" w:pos="8838"/>
            </w:tabs>
            <w:ind w:left="-28" w:right="683"/>
          </w:pPr>
          <w:r>
            <w:t>04196/INFOEM/IP/RR/2020</w:t>
          </w:r>
        </w:p>
      </w:tc>
    </w:tr>
    <w:tr w:rsidR="00F7215A" w14:paraId="515F523A" w14:textId="77777777">
      <w:trPr>
        <w:trHeight w:val="276"/>
      </w:trPr>
      <w:tc>
        <w:tcPr>
          <w:tcW w:w="2404" w:type="dxa"/>
        </w:tcPr>
        <w:p w14:paraId="1CFF82A0" w14:textId="77777777" w:rsidR="00F7215A" w:rsidRDefault="00F7215A">
          <w:pPr>
            <w:tabs>
              <w:tab w:val="right" w:pos="8838"/>
            </w:tabs>
            <w:ind w:right="-105"/>
            <w:rPr>
              <w:b/>
            </w:rPr>
          </w:pPr>
          <w:r>
            <w:rPr>
              <w:b/>
            </w:rPr>
            <w:t>Sujeto Obligado:</w:t>
          </w:r>
        </w:p>
      </w:tc>
      <w:tc>
        <w:tcPr>
          <w:tcW w:w="3587" w:type="dxa"/>
        </w:tcPr>
        <w:p w14:paraId="1142F936" w14:textId="77777777" w:rsidR="00F7215A" w:rsidRDefault="00F7215A">
          <w:pPr>
            <w:tabs>
              <w:tab w:val="right" w:pos="8838"/>
            </w:tabs>
            <w:ind w:right="116"/>
          </w:pPr>
          <w:r>
            <w:t>Ayuntamiento de Chapultepec</w:t>
          </w:r>
        </w:p>
      </w:tc>
    </w:tr>
    <w:tr w:rsidR="00F7215A" w14:paraId="69080D23" w14:textId="77777777">
      <w:trPr>
        <w:trHeight w:val="276"/>
      </w:trPr>
      <w:tc>
        <w:tcPr>
          <w:tcW w:w="2404" w:type="dxa"/>
        </w:tcPr>
        <w:p w14:paraId="50E24B18" w14:textId="77777777" w:rsidR="00F7215A" w:rsidRDefault="00F7215A">
          <w:pPr>
            <w:tabs>
              <w:tab w:val="right" w:pos="8838"/>
            </w:tabs>
            <w:ind w:right="-105"/>
            <w:rPr>
              <w:b/>
            </w:rPr>
          </w:pPr>
          <w:r>
            <w:rPr>
              <w:b/>
            </w:rPr>
            <w:t>Comisionado Ponente:</w:t>
          </w:r>
        </w:p>
      </w:tc>
      <w:tc>
        <w:tcPr>
          <w:tcW w:w="3587" w:type="dxa"/>
        </w:tcPr>
        <w:p w14:paraId="1467B143" w14:textId="77777777" w:rsidR="00F7215A" w:rsidRDefault="00F7215A">
          <w:pPr>
            <w:tabs>
              <w:tab w:val="right" w:pos="8838"/>
            </w:tabs>
            <w:ind w:right="-32"/>
          </w:pPr>
          <w:r>
            <w:t>Luis Gustavo Parra Noriega</w:t>
          </w:r>
        </w:p>
      </w:tc>
    </w:tr>
  </w:tbl>
  <w:p w14:paraId="74ECE196" w14:textId="77777777" w:rsidR="00F7215A" w:rsidRDefault="00556011">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6FF8" w14:textId="7129126E" w:rsidR="00F7215A" w:rsidRDefault="00556011">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left:0;text-align:left;margin-left:-94pt;margin-top:-123.3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F7215A" w14:paraId="087E2B73" w14:textId="77777777" w:rsidTr="00A959F6">
      <w:trPr>
        <w:trHeight w:val="141"/>
      </w:trPr>
      <w:tc>
        <w:tcPr>
          <w:tcW w:w="2404" w:type="dxa"/>
        </w:tcPr>
        <w:p w14:paraId="44594EC4" w14:textId="77777777" w:rsidR="00F7215A" w:rsidRDefault="00F7215A">
          <w:pPr>
            <w:tabs>
              <w:tab w:val="right" w:pos="8838"/>
            </w:tabs>
            <w:ind w:left="-395" w:right="-105" w:firstLine="395"/>
            <w:rPr>
              <w:b/>
            </w:rPr>
          </w:pPr>
          <w:r>
            <w:rPr>
              <w:b/>
            </w:rPr>
            <w:t>Recurso de Revisión:</w:t>
          </w:r>
        </w:p>
      </w:tc>
      <w:tc>
        <w:tcPr>
          <w:tcW w:w="4684" w:type="dxa"/>
        </w:tcPr>
        <w:p w14:paraId="312F8E98" w14:textId="4D05DB1D" w:rsidR="00F7215A" w:rsidRDefault="00F7215A" w:rsidP="00672439">
          <w:pPr>
            <w:tabs>
              <w:tab w:val="right" w:pos="8838"/>
            </w:tabs>
            <w:ind w:left="-28" w:right="454"/>
          </w:pPr>
          <w:r>
            <w:t>00756/INFOEM/IP/RR/2025</w:t>
          </w:r>
        </w:p>
      </w:tc>
    </w:tr>
    <w:tr w:rsidR="00F7215A" w14:paraId="31D07777" w14:textId="77777777" w:rsidTr="00A959F6">
      <w:trPr>
        <w:trHeight w:val="276"/>
      </w:trPr>
      <w:tc>
        <w:tcPr>
          <w:tcW w:w="2404" w:type="dxa"/>
        </w:tcPr>
        <w:p w14:paraId="6B55802A" w14:textId="77777777" w:rsidR="00F7215A" w:rsidRDefault="00F7215A">
          <w:pPr>
            <w:tabs>
              <w:tab w:val="right" w:pos="8838"/>
            </w:tabs>
            <w:ind w:right="-105"/>
            <w:rPr>
              <w:b/>
            </w:rPr>
          </w:pPr>
          <w:r>
            <w:rPr>
              <w:b/>
            </w:rPr>
            <w:t>Sujeto Obligado:</w:t>
          </w:r>
        </w:p>
      </w:tc>
      <w:tc>
        <w:tcPr>
          <w:tcW w:w="4684" w:type="dxa"/>
        </w:tcPr>
        <w:p w14:paraId="4A22BD99" w14:textId="6C860BF3" w:rsidR="00F7215A" w:rsidRDefault="00F7215A">
          <w:pPr>
            <w:tabs>
              <w:tab w:val="left" w:pos="3158"/>
              <w:tab w:val="left" w:pos="4292"/>
              <w:tab w:val="right" w:pos="8838"/>
            </w:tabs>
            <w:ind w:right="601"/>
          </w:pPr>
          <w:r w:rsidRPr="00656D23">
            <w:t>Sistema Municipal para el Desarrollo Integral de la Familia de Acambay</w:t>
          </w:r>
        </w:p>
      </w:tc>
    </w:tr>
    <w:tr w:rsidR="00F7215A" w14:paraId="161D40C6" w14:textId="77777777" w:rsidTr="00A959F6">
      <w:trPr>
        <w:trHeight w:val="276"/>
      </w:trPr>
      <w:tc>
        <w:tcPr>
          <w:tcW w:w="2404" w:type="dxa"/>
        </w:tcPr>
        <w:p w14:paraId="2583E4C0" w14:textId="77777777" w:rsidR="00F7215A" w:rsidRDefault="00F7215A">
          <w:pPr>
            <w:tabs>
              <w:tab w:val="right" w:pos="8838"/>
            </w:tabs>
            <w:ind w:right="-105"/>
            <w:rPr>
              <w:b/>
            </w:rPr>
          </w:pPr>
          <w:r>
            <w:rPr>
              <w:b/>
            </w:rPr>
            <w:t>Comisionado Ponente:</w:t>
          </w:r>
        </w:p>
      </w:tc>
      <w:tc>
        <w:tcPr>
          <w:tcW w:w="4684" w:type="dxa"/>
        </w:tcPr>
        <w:p w14:paraId="4FEB6F64" w14:textId="77777777" w:rsidR="00F7215A" w:rsidRDefault="00F7215A">
          <w:pPr>
            <w:tabs>
              <w:tab w:val="right" w:pos="8838"/>
            </w:tabs>
            <w:ind w:right="454"/>
          </w:pPr>
          <w:r>
            <w:t>Luis Gustavo Parra Noriega</w:t>
          </w:r>
        </w:p>
      </w:tc>
    </w:tr>
  </w:tbl>
  <w:p w14:paraId="7B4A9F8D" w14:textId="53DD7046" w:rsidR="00F7215A" w:rsidRDefault="00F7215A">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1"/>
      <w:tblW w:w="9214" w:type="dxa"/>
      <w:tblInd w:w="0" w:type="dxa"/>
      <w:tblLayout w:type="fixed"/>
      <w:tblLook w:val="0400" w:firstRow="0" w:lastRow="0" w:firstColumn="0" w:lastColumn="0" w:noHBand="0" w:noVBand="1"/>
    </w:tblPr>
    <w:tblGrid>
      <w:gridCol w:w="2127"/>
      <w:gridCol w:w="7087"/>
    </w:tblGrid>
    <w:tr w:rsidR="00F7215A" w14:paraId="11A312BD" w14:textId="77777777" w:rsidTr="00CE4466">
      <w:trPr>
        <w:trHeight w:val="1546"/>
      </w:trPr>
      <w:tc>
        <w:tcPr>
          <w:tcW w:w="2127" w:type="dxa"/>
        </w:tcPr>
        <w:p w14:paraId="02785A7F" w14:textId="2C71554B" w:rsidR="00F7215A" w:rsidRDefault="00F7215A">
          <w:pPr>
            <w:tabs>
              <w:tab w:val="right" w:pos="4273"/>
            </w:tabs>
            <w:rPr>
              <w:rFonts w:ascii="Garamond" w:eastAsia="Garamond" w:hAnsi="Garamond" w:cs="Garamond"/>
              <w:sz w:val="16"/>
              <w:szCs w:val="16"/>
            </w:rPr>
          </w:pPr>
        </w:p>
      </w:tc>
      <w:tc>
        <w:tcPr>
          <w:tcW w:w="7087" w:type="dxa"/>
        </w:tcPr>
        <w:tbl>
          <w:tblPr>
            <w:tblStyle w:val="a2"/>
            <w:tblW w:w="6379" w:type="dxa"/>
            <w:tblInd w:w="600"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F7215A" w14:paraId="4D093FE8" w14:textId="77777777" w:rsidTr="00A959F6">
            <w:trPr>
              <w:trHeight w:val="141"/>
            </w:trPr>
            <w:tc>
              <w:tcPr>
                <w:tcW w:w="2404" w:type="dxa"/>
                <w:vAlign w:val="bottom"/>
              </w:tcPr>
              <w:p w14:paraId="19B4B05D" w14:textId="77777777" w:rsidR="00F7215A" w:rsidRDefault="00F7215A">
                <w:pPr>
                  <w:tabs>
                    <w:tab w:val="right" w:pos="8838"/>
                  </w:tabs>
                  <w:ind w:right="-105"/>
                  <w:rPr>
                    <w:b/>
                  </w:rPr>
                </w:pPr>
                <w:r>
                  <w:rPr>
                    <w:b/>
                  </w:rPr>
                  <w:t>Recurso de Revisión:</w:t>
                </w:r>
              </w:p>
            </w:tc>
            <w:tc>
              <w:tcPr>
                <w:tcW w:w="3975" w:type="dxa"/>
              </w:tcPr>
              <w:p w14:paraId="43DE950F" w14:textId="50DD2045" w:rsidR="00F7215A" w:rsidRDefault="00D74B9D">
                <w:pPr>
                  <w:tabs>
                    <w:tab w:val="right" w:pos="8838"/>
                  </w:tabs>
                  <w:ind w:left="-28" w:right="-107"/>
                </w:pPr>
                <w:r>
                  <w:t>0756</w:t>
                </w:r>
                <w:r w:rsidR="00F7215A" w:rsidRPr="00E87065">
                  <w:t>/INFOEM/IP/RR/202</w:t>
                </w:r>
                <w:r w:rsidR="00F7215A">
                  <w:t>5</w:t>
                </w:r>
              </w:p>
            </w:tc>
          </w:tr>
          <w:tr w:rsidR="00F7215A" w14:paraId="073EAE42" w14:textId="77777777" w:rsidTr="00A959F6">
            <w:trPr>
              <w:trHeight w:val="141"/>
            </w:trPr>
            <w:tc>
              <w:tcPr>
                <w:tcW w:w="2404" w:type="dxa"/>
              </w:tcPr>
              <w:p w14:paraId="76E590DA" w14:textId="77777777" w:rsidR="00F7215A" w:rsidRDefault="00F7215A">
                <w:pPr>
                  <w:tabs>
                    <w:tab w:val="right" w:pos="8838"/>
                  </w:tabs>
                  <w:ind w:right="-105"/>
                  <w:rPr>
                    <w:b/>
                  </w:rPr>
                </w:pPr>
                <w:r>
                  <w:rPr>
                    <w:b/>
                  </w:rPr>
                  <w:t>Recurrente:</w:t>
                </w:r>
              </w:p>
            </w:tc>
            <w:tc>
              <w:tcPr>
                <w:tcW w:w="3975" w:type="dxa"/>
              </w:tcPr>
              <w:p w14:paraId="5FF2F8C6" w14:textId="30DF6C8C" w:rsidR="00F7215A" w:rsidRDefault="007B4A81">
                <w:pPr>
                  <w:tabs>
                    <w:tab w:val="right" w:pos="8838"/>
                  </w:tabs>
                  <w:ind w:right="-107"/>
                </w:pPr>
                <w:r w:rsidRPr="007B4A81">
                  <w:rPr>
                    <w:highlight w:val="black"/>
                  </w:rPr>
                  <w:t>XXXXX</w:t>
                </w:r>
              </w:p>
            </w:tc>
          </w:tr>
          <w:tr w:rsidR="00F7215A" w14:paraId="009C2510" w14:textId="77777777" w:rsidTr="00A959F6">
            <w:trPr>
              <w:trHeight w:val="276"/>
            </w:trPr>
            <w:tc>
              <w:tcPr>
                <w:tcW w:w="2404" w:type="dxa"/>
              </w:tcPr>
              <w:p w14:paraId="0AAFC3CA" w14:textId="77777777" w:rsidR="00F7215A" w:rsidRDefault="00F7215A">
                <w:pPr>
                  <w:tabs>
                    <w:tab w:val="right" w:pos="8838"/>
                  </w:tabs>
                  <w:ind w:right="-105"/>
                  <w:rPr>
                    <w:b/>
                  </w:rPr>
                </w:pPr>
                <w:r>
                  <w:rPr>
                    <w:b/>
                  </w:rPr>
                  <w:t>Sujeto Obligado:</w:t>
                </w:r>
              </w:p>
            </w:tc>
            <w:tc>
              <w:tcPr>
                <w:tcW w:w="3975" w:type="dxa"/>
              </w:tcPr>
              <w:p w14:paraId="13F6DD80" w14:textId="19CE80B1" w:rsidR="00F7215A" w:rsidRDefault="00F7215A" w:rsidP="00A959F6">
                <w:pPr>
                  <w:tabs>
                    <w:tab w:val="right" w:pos="8838"/>
                  </w:tabs>
                  <w:ind w:right="-109"/>
                </w:pPr>
                <w:r w:rsidRPr="00656D23">
                  <w:t>Sistema Municipal para el Desarrollo Integral de la Familia de Acambay</w:t>
                </w:r>
              </w:p>
            </w:tc>
          </w:tr>
          <w:tr w:rsidR="00F7215A" w14:paraId="7A4EADF6" w14:textId="77777777" w:rsidTr="00A959F6">
            <w:trPr>
              <w:trHeight w:val="276"/>
            </w:trPr>
            <w:tc>
              <w:tcPr>
                <w:tcW w:w="2404" w:type="dxa"/>
              </w:tcPr>
              <w:p w14:paraId="014674B7" w14:textId="77777777" w:rsidR="00F7215A" w:rsidRDefault="00F7215A">
                <w:pPr>
                  <w:tabs>
                    <w:tab w:val="right" w:pos="8838"/>
                  </w:tabs>
                  <w:ind w:right="-105"/>
                  <w:rPr>
                    <w:b/>
                  </w:rPr>
                </w:pPr>
                <w:r>
                  <w:rPr>
                    <w:b/>
                  </w:rPr>
                  <w:t>Comisionado Ponente:</w:t>
                </w:r>
              </w:p>
            </w:tc>
            <w:tc>
              <w:tcPr>
                <w:tcW w:w="3975" w:type="dxa"/>
              </w:tcPr>
              <w:p w14:paraId="06F82FCE" w14:textId="77777777" w:rsidR="00F7215A" w:rsidRDefault="00F7215A">
                <w:pPr>
                  <w:tabs>
                    <w:tab w:val="right" w:pos="8838"/>
                  </w:tabs>
                  <w:ind w:right="-107"/>
                </w:pPr>
                <w:r>
                  <w:t>Luis Gustavo Parra Noriega</w:t>
                </w:r>
              </w:p>
            </w:tc>
          </w:tr>
        </w:tbl>
        <w:p w14:paraId="3774A9CE" w14:textId="77777777" w:rsidR="00F7215A" w:rsidRDefault="00F7215A">
          <w:pPr>
            <w:tabs>
              <w:tab w:val="right" w:pos="8838"/>
            </w:tabs>
            <w:ind w:left="-28"/>
            <w:rPr>
              <w:rFonts w:ascii="Arial" w:eastAsia="Arial" w:hAnsi="Arial" w:cs="Arial"/>
              <w:b/>
            </w:rPr>
          </w:pPr>
        </w:p>
      </w:tc>
    </w:tr>
  </w:tbl>
  <w:p w14:paraId="38129A67" w14:textId="12E1E9C7" w:rsidR="00F7215A" w:rsidRDefault="00556011">
    <w:pPr>
      <w:pBdr>
        <w:top w:val="nil"/>
        <w:left w:val="nil"/>
        <w:bottom w:val="nil"/>
        <w:right w:val="nil"/>
        <w:between w:val="nil"/>
      </w:pBdr>
      <w:tabs>
        <w:tab w:val="center" w:pos="4419"/>
        <w:tab w:val="right" w:pos="8838"/>
      </w:tabs>
      <w:spacing w:after="0" w:line="240" w:lineRule="auto"/>
      <w:rPr>
        <w:color w:val="000000"/>
      </w:rPr>
    </w:pPr>
    <w:r>
      <w:rPr>
        <w:rFonts w:ascii="Garamond" w:eastAsia="Garamond" w:hAnsi="Garamond" w:cs="Garamond"/>
        <w:noProof/>
        <w:sz w:val="16"/>
        <w:szCs w:val="16"/>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MARCA DE AGUA - HOJA RESOLUCIÓN" style="position:absolute;left:0;text-align:left;margin-left:-89.5pt;margin-top:-131.95pt;width:663.5pt;height:12in;z-index:-251656704;mso-wrap-edited:f;mso-width-percent:0;mso-height-percent:0;mso-position-horizontal-relative:margin;mso-position-vertical-relative:margin;mso-width-percent:0;mso-height-percent:0">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8A1CCC"/>
    <w:multiLevelType w:val="multilevel"/>
    <w:tmpl w:val="CCDCC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37B3E18"/>
    <w:multiLevelType w:val="hybridMultilevel"/>
    <w:tmpl w:val="C3EA6E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5E336B3"/>
    <w:multiLevelType w:val="hybridMultilevel"/>
    <w:tmpl w:val="511C1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6054891">
    <w:abstractNumId w:val="23"/>
  </w:num>
  <w:num w:numId="2" w16cid:durableId="7777243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565204">
    <w:abstractNumId w:val="27"/>
  </w:num>
  <w:num w:numId="4" w16cid:durableId="990642970">
    <w:abstractNumId w:val="3"/>
  </w:num>
  <w:num w:numId="5" w16cid:durableId="2009164752">
    <w:abstractNumId w:val="3"/>
  </w:num>
  <w:num w:numId="6" w16cid:durableId="1162818610">
    <w:abstractNumId w:val="26"/>
  </w:num>
  <w:num w:numId="7" w16cid:durableId="1192189581">
    <w:abstractNumId w:val="4"/>
  </w:num>
  <w:num w:numId="8" w16cid:durableId="750933740">
    <w:abstractNumId w:val="15"/>
  </w:num>
  <w:num w:numId="9" w16cid:durableId="2101021688">
    <w:abstractNumId w:val="12"/>
  </w:num>
  <w:num w:numId="10" w16cid:durableId="21831757">
    <w:abstractNumId w:val="16"/>
  </w:num>
  <w:num w:numId="11" w16cid:durableId="835874918">
    <w:abstractNumId w:val="14"/>
  </w:num>
  <w:num w:numId="12" w16cid:durableId="1941182148">
    <w:abstractNumId w:val="5"/>
  </w:num>
  <w:num w:numId="13" w16cid:durableId="2099055864">
    <w:abstractNumId w:val="0"/>
  </w:num>
  <w:num w:numId="14" w16cid:durableId="2089962992">
    <w:abstractNumId w:val="8"/>
  </w:num>
  <w:num w:numId="15" w16cid:durableId="2097818783">
    <w:abstractNumId w:val="10"/>
  </w:num>
  <w:num w:numId="16" w16cid:durableId="1473136379">
    <w:abstractNumId w:val="22"/>
  </w:num>
  <w:num w:numId="17" w16cid:durableId="1035427537">
    <w:abstractNumId w:val="21"/>
  </w:num>
  <w:num w:numId="18" w16cid:durableId="1897206951">
    <w:abstractNumId w:val="7"/>
  </w:num>
  <w:num w:numId="19" w16cid:durableId="94794588">
    <w:abstractNumId w:val="13"/>
  </w:num>
  <w:num w:numId="20" w16cid:durableId="1989550054">
    <w:abstractNumId w:val="20"/>
  </w:num>
  <w:num w:numId="21" w16cid:durableId="1388728062">
    <w:abstractNumId w:val="25"/>
  </w:num>
  <w:num w:numId="22" w16cid:durableId="17300347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9963447">
    <w:abstractNumId w:val="18"/>
  </w:num>
  <w:num w:numId="24" w16cid:durableId="319963302">
    <w:abstractNumId w:val="11"/>
  </w:num>
  <w:num w:numId="25" w16cid:durableId="1512329322">
    <w:abstractNumId w:val="2"/>
  </w:num>
  <w:num w:numId="26" w16cid:durableId="1611283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8442494">
    <w:abstractNumId w:val="6"/>
  </w:num>
  <w:num w:numId="28" w16cid:durableId="523978135">
    <w:abstractNumId w:val="19"/>
  </w:num>
  <w:num w:numId="29" w16cid:durableId="1757700644">
    <w:abstractNumId w:val="9"/>
  </w:num>
  <w:num w:numId="30" w16cid:durableId="20514209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1121A"/>
    <w:rsid w:val="00030A14"/>
    <w:rsid w:val="0003121B"/>
    <w:rsid w:val="000333F3"/>
    <w:rsid w:val="000424C3"/>
    <w:rsid w:val="0006163A"/>
    <w:rsid w:val="00061E62"/>
    <w:rsid w:val="000620C8"/>
    <w:rsid w:val="000662A8"/>
    <w:rsid w:val="000678E8"/>
    <w:rsid w:val="0008574F"/>
    <w:rsid w:val="000973A1"/>
    <w:rsid w:val="000A5247"/>
    <w:rsid w:val="000B34E2"/>
    <w:rsid w:val="000C03C1"/>
    <w:rsid w:val="000C30C0"/>
    <w:rsid w:val="000C455C"/>
    <w:rsid w:val="000E51A2"/>
    <w:rsid w:val="000F1C66"/>
    <w:rsid w:val="000F7BEA"/>
    <w:rsid w:val="00106280"/>
    <w:rsid w:val="00116267"/>
    <w:rsid w:val="00123ED6"/>
    <w:rsid w:val="0012600D"/>
    <w:rsid w:val="00152404"/>
    <w:rsid w:val="001544A8"/>
    <w:rsid w:val="00155DD4"/>
    <w:rsid w:val="0018608F"/>
    <w:rsid w:val="001A043A"/>
    <w:rsid w:val="001A3FA2"/>
    <w:rsid w:val="001A4D72"/>
    <w:rsid w:val="001A518F"/>
    <w:rsid w:val="001A54EF"/>
    <w:rsid w:val="001A6591"/>
    <w:rsid w:val="001B2B90"/>
    <w:rsid w:val="001C3D22"/>
    <w:rsid w:val="001E3BEF"/>
    <w:rsid w:val="001E735A"/>
    <w:rsid w:val="001F1666"/>
    <w:rsid w:val="001F200A"/>
    <w:rsid w:val="001F7131"/>
    <w:rsid w:val="00201106"/>
    <w:rsid w:val="00214680"/>
    <w:rsid w:val="00226312"/>
    <w:rsid w:val="00227BE3"/>
    <w:rsid w:val="00246A31"/>
    <w:rsid w:val="00247679"/>
    <w:rsid w:val="002500D1"/>
    <w:rsid w:val="0026142D"/>
    <w:rsid w:val="00267D04"/>
    <w:rsid w:val="00271EEF"/>
    <w:rsid w:val="0027405F"/>
    <w:rsid w:val="0027513C"/>
    <w:rsid w:val="00275206"/>
    <w:rsid w:val="00281A8C"/>
    <w:rsid w:val="00290E55"/>
    <w:rsid w:val="002A1E5F"/>
    <w:rsid w:val="002A4B9F"/>
    <w:rsid w:val="002B3613"/>
    <w:rsid w:val="002B77FE"/>
    <w:rsid w:val="002C5C66"/>
    <w:rsid w:val="002D0172"/>
    <w:rsid w:val="002D4685"/>
    <w:rsid w:val="002E2C77"/>
    <w:rsid w:val="0030191A"/>
    <w:rsid w:val="0030497A"/>
    <w:rsid w:val="00310C61"/>
    <w:rsid w:val="00313B08"/>
    <w:rsid w:val="00321F56"/>
    <w:rsid w:val="003313D5"/>
    <w:rsid w:val="003376EE"/>
    <w:rsid w:val="00347EC1"/>
    <w:rsid w:val="00352DFA"/>
    <w:rsid w:val="00355945"/>
    <w:rsid w:val="0036623F"/>
    <w:rsid w:val="003715A2"/>
    <w:rsid w:val="00372769"/>
    <w:rsid w:val="0038068D"/>
    <w:rsid w:val="00382344"/>
    <w:rsid w:val="00383F08"/>
    <w:rsid w:val="0038597C"/>
    <w:rsid w:val="003A6BE7"/>
    <w:rsid w:val="003B0222"/>
    <w:rsid w:val="003D1D15"/>
    <w:rsid w:val="003E09A4"/>
    <w:rsid w:val="00400449"/>
    <w:rsid w:val="00403155"/>
    <w:rsid w:val="00416366"/>
    <w:rsid w:val="00417149"/>
    <w:rsid w:val="00432851"/>
    <w:rsid w:val="00432B90"/>
    <w:rsid w:val="0045203D"/>
    <w:rsid w:val="00455030"/>
    <w:rsid w:val="004632CE"/>
    <w:rsid w:val="00464E39"/>
    <w:rsid w:val="00464F00"/>
    <w:rsid w:val="0046624D"/>
    <w:rsid w:val="00473647"/>
    <w:rsid w:val="00480823"/>
    <w:rsid w:val="00482F65"/>
    <w:rsid w:val="004952B7"/>
    <w:rsid w:val="004B2592"/>
    <w:rsid w:val="004B503B"/>
    <w:rsid w:val="004B77C7"/>
    <w:rsid w:val="004C4B87"/>
    <w:rsid w:val="004D37D8"/>
    <w:rsid w:val="004D6AC0"/>
    <w:rsid w:val="004E16CA"/>
    <w:rsid w:val="00500D89"/>
    <w:rsid w:val="005041FF"/>
    <w:rsid w:val="00514FE7"/>
    <w:rsid w:val="00515931"/>
    <w:rsid w:val="00522F93"/>
    <w:rsid w:val="005303CF"/>
    <w:rsid w:val="00543995"/>
    <w:rsid w:val="00556011"/>
    <w:rsid w:val="00565CB9"/>
    <w:rsid w:val="00566667"/>
    <w:rsid w:val="00570D21"/>
    <w:rsid w:val="00580424"/>
    <w:rsid w:val="005A5799"/>
    <w:rsid w:val="005B5E7C"/>
    <w:rsid w:val="005B6629"/>
    <w:rsid w:val="005C4CEA"/>
    <w:rsid w:val="005C6CD7"/>
    <w:rsid w:val="005C6EA6"/>
    <w:rsid w:val="005D7AEB"/>
    <w:rsid w:val="005E1192"/>
    <w:rsid w:val="005F757D"/>
    <w:rsid w:val="00600C74"/>
    <w:rsid w:val="006020E8"/>
    <w:rsid w:val="00603C0C"/>
    <w:rsid w:val="0060513D"/>
    <w:rsid w:val="00622E14"/>
    <w:rsid w:val="006269DD"/>
    <w:rsid w:val="00627EF5"/>
    <w:rsid w:val="00647460"/>
    <w:rsid w:val="0064764C"/>
    <w:rsid w:val="006515E5"/>
    <w:rsid w:val="0065522B"/>
    <w:rsid w:val="00656D23"/>
    <w:rsid w:val="00661F5A"/>
    <w:rsid w:val="00670439"/>
    <w:rsid w:val="00672439"/>
    <w:rsid w:val="00674D7A"/>
    <w:rsid w:val="00675D60"/>
    <w:rsid w:val="006819BC"/>
    <w:rsid w:val="0068258C"/>
    <w:rsid w:val="00687F86"/>
    <w:rsid w:val="00690DEB"/>
    <w:rsid w:val="006C4DBF"/>
    <w:rsid w:val="006D4068"/>
    <w:rsid w:val="006D541A"/>
    <w:rsid w:val="006E46EA"/>
    <w:rsid w:val="006E6C38"/>
    <w:rsid w:val="006F30B7"/>
    <w:rsid w:val="00716B64"/>
    <w:rsid w:val="00724945"/>
    <w:rsid w:val="007417AA"/>
    <w:rsid w:val="00750C88"/>
    <w:rsid w:val="00752F6F"/>
    <w:rsid w:val="00760CA6"/>
    <w:rsid w:val="0076362A"/>
    <w:rsid w:val="00776676"/>
    <w:rsid w:val="0078202B"/>
    <w:rsid w:val="00791585"/>
    <w:rsid w:val="00794055"/>
    <w:rsid w:val="007A54F7"/>
    <w:rsid w:val="007B4A81"/>
    <w:rsid w:val="007C67C5"/>
    <w:rsid w:val="007D30CD"/>
    <w:rsid w:val="007F0973"/>
    <w:rsid w:val="007F198A"/>
    <w:rsid w:val="008022FE"/>
    <w:rsid w:val="00802E3A"/>
    <w:rsid w:val="008036C5"/>
    <w:rsid w:val="008061A1"/>
    <w:rsid w:val="00817669"/>
    <w:rsid w:val="00827EA8"/>
    <w:rsid w:val="00836753"/>
    <w:rsid w:val="00840BF6"/>
    <w:rsid w:val="00850D54"/>
    <w:rsid w:val="00862C79"/>
    <w:rsid w:val="00876057"/>
    <w:rsid w:val="008854E3"/>
    <w:rsid w:val="00887460"/>
    <w:rsid w:val="0089088A"/>
    <w:rsid w:val="00893F1A"/>
    <w:rsid w:val="00895704"/>
    <w:rsid w:val="00897C88"/>
    <w:rsid w:val="008B1792"/>
    <w:rsid w:val="008C369E"/>
    <w:rsid w:val="008D1717"/>
    <w:rsid w:val="008D1D78"/>
    <w:rsid w:val="008D200F"/>
    <w:rsid w:val="008E0E2D"/>
    <w:rsid w:val="00901916"/>
    <w:rsid w:val="0090345F"/>
    <w:rsid w:val="00907BB7"/>
    <w:rsid w:val="00921B80"/>
    <w:rsid w:val="00922619"/>
    <w:rsid w:val="00924A2A"/>
    <w:rsid w:val="00931903"/>
    <w:rsid w:val="00933D31"/>
    <w:rsid w:val="009354C9"/>
    <w:rsid w:val="0093706C"/>
    <w:rsid w:val="009559C4"/>
    <w:rsid w:val="009559E4"/>
    <w:rsid w:val="0098702F"/>
    <w:rsid w:val="009A0999"/>
    <w:rsid w:val="009B468B"/>
    <w:rsid w:val="009C3A65"/>
    <w:rsid w:val="009D1C16"/>
    <w:rsid w:val="009D5DFC"/>
    <w:rsid w:val="009E143C"/>
    <w:rsid w:val="009F177B"/>
    <w:rsid w:val="009F4781"/>
    <w:rsid w:val="00A012C4"/>
    <w:rsid w:val="00A01C44"/>
    <w:rsid w:val="00A07B02"/>
    <w:rsid w:val="00A12A98"/>
    <w:rsid w:val="00A169B3"/>
    <w:rsid w:val="00A31D29"/>
    <w:rsid w:val="00A340DF"/>
    <w:rsid w:val="00A3628B"/>
    <w:rsid w:val="00A36580"/>
    <w:rsid w:val="00A50615"/>
    <w:rsid w:val="00A633E9"/>
    <w:rsid w:val="00A6353E"/>
    <w:rsid w:val="00A7495B"/>
    <w:rsid w:val="00A7651D"/>
    <w:rsid w:val="00A81115"/>
    <w:rsid w:val="00A84D13"/>
    <w:rsid w:val="00A876A7"/>
    <w:rsid w:val="00A959F6"/>
    <w:rsid w:val="00AA681D"/>
    <w:rsid w:val="00AB525A"/>
    <w:rsid w:val="00AC3B0D"/>
    <w:rsid w:val="00AE68DB"/>
    <w:rsid w:val="00AF1546"/>
    <w:rsid w:val="00AF311B"/>
    <w:rsid w:val="00B12E36"/>
    <w:rsid w:val="00B2250B"/>
    <w:rsid w:val="00B27F86"/>
    <w:rsid w:val="00B33D7E"/>
    <w:rsid w:val="00B40CD5"/>
    <w:rsid w:val="00B439A5"/>
    <w:rsid w:val="00B46A70"/>
    <w:rsid w:val="00B574FD"/>
    <w:rsid w:val="00B662E6"/>
    <w:rsid w:val="00B663EA"/>
    <w:rsid w:val="00B87D27"/>
    <w:rsid w:val="00B91BCB"/>
    <w:rsid w:val="00B97C98"/>
    <w:rsid w:val="00BA1C09"/>
    <w:rsid w:val="00BA599A"/>
    <w:rsid w:val="00BA7CA9"/>
    <w:rsid w:val="00BC37F6"/>
    <w:rsid w:val="00BD5CCE"/>
    <w:rsid w:val="00BD76D4"/>
    <w:rsid w:val="00BE2AD3"/>
    <w:rsid w:val="00BE39B4"/>
    <w:rsid w:val="00BF4381"/>
    <w:rsid w:val="00BF74A6"/>
    <w:rsid w:val="00C04044"/>
    <w:rsid w:val="00C13CA5"/>
    <w:rsid w:val="00C166F3"/>
    <w:rsid w:val="00C23341"/>
    <w:rsid w:val="00C4170A"/>
    <w:rsid w:val="00C503C4"/>
    <w:rsid w:val="00C54A79"/>
    <w:rsid w:val="00C6112D"/>
    <w:rsid w:val="00C66931"/>
    <w:rsid w:val="00C70DF5"/>
    <w:rsid w:val="00C74055"/>
    <w:rsid w:val="00C776C5"/>
    <w:rsid w:val="00C80616"/>
    <w:rsid w:val="00C8459B"/>
    <w:rsid w:val="00CA016E"/>
    <w:rsid w:val="00CA52C6"/>
    <w:rsid w:val="00CA79CD"/>
    <w:rsid w:val="00CB5ECD"/>
    <w:rsid w:val="00CC0FDD"/>
    <w:rsid w:val="00CC263D"/>
    <w:rsid w:val="00CE19BD"/>
    <w:rsid w:val="00CE3B03"/>
    <w:rsid w:val="00CE4466"/>
    <w:rsid w:val="00CE58A5"/>
    <w:rsid w:val="00CF024F"/>
    <w:rsid w:val="00CF0C7D"/>
    <w:rsid w:val="00CF0CB5"/>
    <w:rsid w:val="00CF60B9"/>
    <w:rsid w:val="00CF6EC8"/>
    <w:rsid w:val="00D21192"/>
    <w:rsid w:val="00D213E4"/>
    <w:rsid w:val="00D4464F"/>
    <w:rsid w:val="00D44EDE"/>
    <w:rsid w:val="00D457C1"/>
    <w:rsid w:val="00D51406"/>
    <w:rsid w:val="00D52F9F"/>
    <w:rsid w:val="00D559B6"/>
    <w:rsid w:val="00D74B9D"/>
    <w:rsid w:val="00D7798F"/>
    <w:rsid w:val="00D93ABD"/>
    <w:rsid w:val="00DB2DF7"/>
    <w:rsid w:val="00DB2E59"/>
    <w:rsid w:val="00DD7C00"/>
    <w:rsid w:val="00DE3BBD"/>
    <w:rsid w:val="00DF6F15"/>
    <w:rsid w:val="00E03F94"/>
    <w:rsid w:val="00E14CA1"/>
    <w:rsid w:val="00E15E9A"/>
    <w:rsid w:val="00E253AE"/>
    <w:rsid w:val="00E27D46"/>
    <w:rsid w:val="00E4155F"/>
    <w:rsid w:val="00E51F39"/>
    <w:rsid w:val="00E57161"/>
    <w:rsid w:val="00E624D4"/>
    <w:rsid w:val="00E6706F"/>
    <w:rsid w:val="00E73EE5"/>
    <w:rsid w:val="00E763D9"/>
    <w:rsid w:val="00E7669C"/>
    <w:rsid w:val="00E83E35"/>
    <w:rsid w:val="00E87065"/>
    <w:rsid w:val="00E90AFB"/>
    <w:rsid w:val="00E91907"/>
    <w:rsid w:val="00EA18B6"/>
    <w:rsid w:val="00EB25AF"/>
    <w:rsid w:val="00EC2F43"/>
    <w:rsid w:val="00ED280F"/>
    <w:rsid w:val="00EE5144"/>
    <w:rsid w:val="00EF51A3"/>
    <w:rsid w:val="00F01C4C"/>
    <w:rsid w:val="00F03AF0"/>
    <w:rsid w:val="00F04222"/>
    <w:rsid w:val="00F1744F"/>
    <w:rsid w:val="00F310AD"/>
    <w:rsid w:val="00F35C82"/>
    <w:rsid w:val="00F42D47"/>
    <w:rsid w:val="00F44355"/>
    <w:rsid w:val="00F616E9"/>
    <w:rsid w:val="00F64A35"/>
    <w:rsid w:val="00F671A9"/>
    <w:rsid w:val="00F72062"/>
    <w:rsid w:val="00F7215A"/>
    <w:rsid w:val="00F77AFE"/>
    <w:rsid w:val="00F804E5"/>
    <w:rsid w:val="00F84B60"/>
    <w:rsid w:val="00F8647F"/>
    <w:rsid w:val="00FB5127"/>
    <w:rsid w:val="00FB5BD5"/>
    <w:rsid w:val="00FB6A6B"/>
    <w:rsid w:val="00FC037F"/>
    <w:rsid w:val="00FC14F1"/>
    <w:rsid w:val="00FC2523"/>
    <w:rsid w:val="00FC5767"/>
    <w:rsid w:val="00FD0C0D"/>
    <w:rsid w:val="00FE04AF"/>
    <w:rsid w:val="00FE6E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CB5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7216">
      <w:bodyDiv w:val="1"/>
      <w:marLeft w:val="0"/>
      <w:marRight w:val="0"/>
      <w:marTop w:val="0"/>
      <w:marBottom w:val="0"/>
      <w:divBdr>
        <w:top w:val="none" w:sz="0" w:space="0" w:color="auto"/>
        <w:left w:val="none" w:sz="0" w:space="0" w:color="auto"/>
        <w:bottom w:val="none" w:sz="0" w:space="0" w:color="auto"/>
        <w:right w:val="none" w:sz="0" w:space="0" w:color="auto"/>
      </w:divBdr>
    </w:div>
    <w:div w:id="108817388">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435180058">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06295698">
      <w:bodyDiv w:val="1"/>
      <w:marLeft w:val="0"/>
      <w:marRight w:val="0"/>
      <w:marTop w:val="0"/>
      <w:marBottom w:val="0"/>
      <w:divBdr>
        <w:top w:val="none" w:sz="0" w:space="0" w:color="auto"/>
        <w:left w:val="none" w:sz="0" w:space="0" w:color="auto"/>
        <w:bottom w:val="none" w:sz="0" w:space="0" w:color="auto"/>
        <w:right w:val="none" w:sz="0" w:space="0" w:color="auto"/>
      </w:divBdr>
    </w:div>
    <w:div w:id="869681017">
      <w:bodyDiv w:val="1"/>
      <w:marLeft w:val="0"/>
      <w:marRight w:val="0"/>
      <w:marTop w:val="0"/>
      <w:marBottom w:val="0"/>
      <w:divBdr>
        <w:top w:val="none" w:sz="0" w:space="0" w:color="auto"/>
        <w:left w:val="none" w:sz="0" w:space="0" w:color="auto"/>
        <w:bottom w:val="none" w:sz="0" w:space="0" w:color="auto"/>
        <w:right w:val="none" w:sz="0" w:space="0" w:color="auto"/>
      </w:divBdr>
    </w:div>
    <w:div w:id="872310752">
      <w:bodyDiv w:val="1"/>
      <w:marLeft w:val="0"/>
      <w:marRight w:val="0"/>
      <w:marTop w:val="0"/>
      <w:marBottom w:val="0"/>
      <w:divBdr>
        <w:top w:val="none" w:sz="0" w:space="0" w:color="auto"/>
        <w:left w:val="none" w:sz="0" w:space="0" w:color="auto"/>
        <w:bottom w:val="none" w:sz="0" w:space="0" w:color="auto"/>
        <w:right w:val="none" w:sz="0" w:space="0" w:color="auto"/>
      </w:divBdr>
    </w:div>
    <w:div w:id="89982851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089737696">
      <w:bodyDiv w:val="1"/>
      <w:marLeft w:val="0"/>
      <w:marRight w:val="0"/>
      <w:marTop w:val="0"/>
      <w:marBottom w:val="0"/>
      <w:divBdr>
        <w:top w:val="none" w:sz="0" w:space="0" w:color="auto"/>
        <w:left w:val="none" w:sz="0" w:space="0" w:color="auto"/>
        <w:bottom w:val="none" w:sz="0" w:space="0" w:color="auto"/>
        <w:right w:val="none" w:sz="0" w:space="0" w:color="auto"/>
      </w:divBdr>
    </w:div>
    <w:div w:id="1091075912">
      <w:bodyDiv w:val="1"/>
      <w:marLeft w:val="0"/>
      <w:marRight w:val="0"/>
      <w:marTop w:val="0"/>
      <w:marBottom w:val="0"/>
      <w:divBdr>
        <w:top w:val="none" w:sz="0" w:space="0" w:color="auto"/>
        <w:left w:val="none" w:sz="0" w:space="0" w:color="auto"/>
        <w:bottom w:val="none" w:sz="0" w:space="0" w:color="auto"/>
        <w:right w:val="none" w:sz="0" w:space="0" w:color="auto"/>
      </w:divBdr>
    </w:div>
    <w:div w:id="1113552546">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77255963">
      <w:bodyDiv w:val="1"/>
      <w:marLeft w:val="0"/>
      <w:marRight w:val="0"/>
      <w:marTop w:val="0"/>
      <w:marBottom w:val="0"/>
      <w:divBdr>
        <w:top w:val="none" w:sz="0" w:space="0" w:color="auto"/>
        <w:left w:val="none" w:sz="0" w:space="0" w:color="auto"/>
        <w:bottom w:val="none" w:sz="0" w:space="0" w:color="auto"/>
        <w:right w:val="none" w:sz="0" w:space="0" w:color="auto"/>
      </w:divBdr>
    </w:div>
    <w:div w:id="1277903597">
      <w:bodyDiv w:val="1"/>
      <w:marLeft w:val="0"/>
      <w:marRight w:val="0"/>
      <w:marTop w:val="0"/>
      <w:marBottom w:val="0"/>
      <w:divBdr>
        <w:top w:val="none" w:sz="0" w:space="0" w:color="auto"/>
        <w:left w:val="none" w:sz="0" w:space="0" w:color="auto"/>
        <w:bottom w:val="none" w:sz="0" w:space="0" w:color="auto"/>
        <w:right w:val="none" w:sz="0" w:space="0" w:color="auto"/>
      </w:divBdr>
    </w:div>
    <w:div w:id="1519153609">
      <w:bodyDiv w:val="1"/>
      <w:marLeft w:val="0"/>
      <w:marRight w:val="0"/>
      <w:marTop w:val="0"/>
      <w:marBottom w:val="0"/>
      <w:divBdr>
        <w:top w:val="none" w:sz="0" w:space="0" w:color="auto"/>
        <w:left w:val="none" w:sz="0" w:space="0" w:color="auto"/>
        <w:bottom w:val="none" w:sz="0" w:space="0" w:color="auto"/>
        <w:right w:val="none" w:sz="0" w:space="0" w:color="auto"/>
      </w:divBdr>
    </w:div>
    <w:div w:id="1550336167">
      <w:bodyDiv w:val="1"/>
      <w:marLeft w:val="0"/>
      <w:marRight w:val="0"/>
      <w:marTop w:val="0"/>
      <w:marBottom w:val="0"/>
      <w:divBdr>
        <w:top w:val="none" w:sz="0" w:space="0" w:color="auto"/>
        <w:left w:val="none" w:sz="0" w:space="0" w:color="auto"/>
        <w:bottom w:val="none" w:sz="0" w:space="0" w:color="auto"/>
        <w:right w:val="none" w:sz="0" w:space="0" w:color="auto"/>
      </w:divBdr>
    </w:div>
    <w:div w:id="1552689515">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46091128">
      <w:bodyDiv w:val="1"/>
      <w:marLeft w:val="0"/>
      <w:marRight w:val="0"/>
      <w:marTop w:val="0"/>
      <w:marBottom w:val="0"/>
      <w:divBdr>
        <w:top w:val="none" w:sz="0" w:space="0" w:color="auto"/>
        <w:left w:val="none" w:sz="0" w:space="0" w:color="auto"/>
        <w:bottom w:val="none" w:sz="0" w:space="0" w:color="auto"/>
        <w:right w:val="none" w:sz="0" w:space="0" w:color="auto"/>
      </w:divBdr>
    </w:div>
    <w:div w:id="1891846767">
      <w:bodyDiv w:val="1"/>
      <w:marLeft w:val="0"/>
      <w:marRight w:val="0"/>
      <w:marTop w:val="0"/>
      <w:marBottom w:val="0"/>
      <w:divBdr>
        <w:top w:val="none" w:sz="0" w:space="0" w:color="auto"/>
        <w:left w:val="none" w:sz="0" w:space="0" w:color="auto"/>
        <w:bottom w:val="none" w:sz="0" w:space="0" w:color="auto"/>
        <w:right w:val="none" w:sz="0" w:space="0" w:color="auto"/>
      </w:divBdr>
    </w:div>
    <w:div w:id="2025130455">
      <w:bodyDiv w:val="1"/>
      <w:marLeft w:val="0"/>
      <w:marRight w:val="0"/>
      <w:marTop w:val="0"/>
      <w:marBottom w:val="0"/>
      <w:divBdr>
        <w:top w:val="none" w:sz="0" w:space="0" w:color="auto"/>
        <w:left w:val="none" w:sz="0" w:space="0" w:color="auto"/>
        <w:bottom w:val="none" w:sz="0" w:space="0" w:color="auto"/>
        <w:right w:val="none" w:sz="0" w:space="0" w:color="auto"/>
      </w:divBdr>
    </w:div>
    <w:div w:id="211709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Props1.xml><?xml version="1.0" encoding="utf-8"?>
<ds:datastoreItem xmlns:ds="http://schemas.openxmlformats.org/officeDocument/2006/customXml" ds:itemID="{2EA6696D-9C36-4E4E-8927-8E6747D98C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4229</Words>
  <Characters>22016</Characters>
  <Application>Microsoft Office Word</Application>
  <DocSecurity>0</DocSecurity>
  <Lines>407</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Roxana Lechuga</cp:lastModifiedBy>
  <cp:revision>3</cp:revision>
  <cp:lastPrinted>2025-05-23T00:24:00Z</cp:lastPrinted>
  <dcterms:created xsi:type="dcterms:W3CDTF">2026-02-26T00:12:00Z</dcterms:created>
  <dcterms:modified xsi:type="dcterms:W3CDTF">2026-02-26T00:12:00Z</dcterms:modified>
</cp:coreProperties>
</file>