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2BACA" w14:textId="3418E37D" w:rsidR="00AC55F7" w:rsidRPr="00017A3F" w:rsidRDefault="006C736C">
      <w:pPr>
        <w:spacing w:before="240" w:after="240" w:line="360" w:lineRule="auto"/>
        <w:jc w:val="both"/>
        <w:rPr>
          <w:rFonts w:ascii="Palatino Linotype" w:eastAsia="Palatino Linotype" w:hAnsi="Palatino Linotype" w:cs="Palatino Linotype"/>
          <w:sz w:val="22"/>
          <w:szCs w:val="22"/>
        </w:rPr>
      </w:pPr>
      <w:bookmarkStart w:id="0" w:name="_GoBack"/>
      <w:bookmarkEnd w:id="0"/>
      <w:r w:rsidRPr="00017A3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3870EF" w:rsidRPr="00017A3F">
        <w:rPr>
          <w:rFonts w:ascii="Palatino Linotype" w:eastAsia="Palatino Linotype" w:hAnsi="Palatino Linotype" w:cs="Palatino Linotype"/>
          <w:sz w:val="22"/>
          <w:szCs w:val="22"/>
        </w:rPr>
        <w:t>diez</w:t>
      </w:r>
      <w:r w:rsidR="00290DEF" w:rsidRPr="00017A3F">
        <w:rPr>
          <w:rFonts w:ascii="Palatino Linotype" w:eastAsia="Palatino Linotype" w:hAnsi="Palatino Linotype" w:cs="Palatino Linotype"/>
          <w:sz w:val="22"/>
          <w:szCs w:val="22"/>
        </w:rPr>
        <w:t xml:space="preserve"> de diciembre </w:t>
      </w:r>
      <w:r w:rsidRPr="00017A3F">
        <w:rPr>
          <w:rFonts w:ascii="Palatino Linotype" w:eastAsia="Palatino Linotype" w:hAnsi="Palatino Linotype" w:cs="Palatino Linotype"/>
          <w:sz w:val="22"/>
          <w:szCs w:val="22"/>
        </w:rPr>
        <w:t xml:space="preserve">de dos mil veinticinco. </w:t>
      </w:r>
    </w:p>
    <w:p w14:paraId="1AE4C1B6" w14:textId="148A6110" w:rsidR="00AC55F7" w:rsidRPr="00017A3F" w:rsidRDefault="006C736C">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017A3F">
        <w:rPr>
          <w:rFonts w:ascii="Palatino Linotype" w:eastAsia="Palatino Linotype" w:hAnsi="Palatino Linotype" w:cs="Palatino Linotype"/>
          <w:b/>
          <w:bCs/>
          <w:sz w:val="22"/>
          <w:szCs w:val="22"/>
        </w:rPr>
        <w:t>VISTO</w:t>
      </w:r>
      <w:r w:rsidRPr="00017A3F">
        <w:rPr>
          <w:rFonts w:ascii="Palatino Linotype" w:eastAsia="Palatino Linotype" w:hAnsi="Palatino Linotype" w:cs="Palatino Linotype"/>
          <w:sz w:val="22"/>
          <w:szCs w:val="22"/>
        </w:rPr>
        <w:t xml:space="preserve"> el expediente formado con motivo del recurso de revisión </w:t>
      </w:r>
      <w:r w:rsidR="003870EF" w:rsidRPr="00017A3F">
        <w:rPr>
          <w:rFonts w:ascii="Palatino Linotype" w:eastAsia="Palatino Linotype" w:hAnsi="Palatino Linotype" w:cs="Palatino Linotype"/>
          <w:b/>
          <w:bCs/>
          <w:sz w:val="22"/>
          <w:szCs w:val="22"/>
        </w:rPr>
        <w:t>12854</w:t>
      </w:r>
      <w:r w:rsidRPr="00017A3F">
        <w:rPr>
          <w:rFonts w:ascii="Palatino Linotype" w:eastAsia="Palatino Linotype" w:hAnsi="Palatino Linotype" w:cs="Palatino Linotype"/>
          <w:b/>
          <w:bCs/>
          <w:sz w:val="22"/>
          <w:szCs w:val="22"/>
        </w:rPr>
        <w:t>/INFOEM/IP/RR/2025</w:t>
      </w:r>
      <w:r w:rsidRPr="00017A3F">
        <w:rPr>
          <w:rFonts w:ascii="Palatino Linotype" w:eastAsia="Palatino Linotype" w:hAnsi="Palatino Linotype" w:cs="Palatino Linotype"/>
          <w:sz w:val="22"/>
          <w:szCs w:val="22"/>
        </w:rPr>
        <w:t>, interpuesto por</w:t>
      </w:r>
      <w:r w:rsidRPr="00017A3F">
        <w:rPr>
          <w:rFonts w:ascii="Palatino Linotype" w:eastAsia="Palatino Linotype" w:hAnsi="Palatino Linotype" w:cs="Palatino Linotype"/>
          <w:b/>
          <w:bCs/>
          <w:sz w:val="22"/>
          <w:szCs w:val="22"/>
        </w:rPr>
        <w:t xml:space="preserve"> </w:t>
      </w:r>
      <w:r w:rsidR="00371C97" w:rsidRPr="00017A3F">
        <w:rPr>
          <w:rFonts w:ascii="Palatino Linotype" w:eastAsia="Palatino Linotype" w:hAnsi="Palatino Linotype" w:cs="Palatino Linotype"/>
          <w:b/>
          <w:bCs/>
          <w:sz w:val="22"/>
          <w:szCs w:val="22"/>
        </w:rPr>
        <w:t>un particular que no proporcionó nombre</w:t>
      </w:r>
      <w:r w:rsidRPr="00017A3F">
        <w:rPr>
          <w:rFonts w:ascii="Palatino Linotype" w:eastAsia="Palatino Linotype" w:hAnsi="Palatino Linotype" w:cs="Palatino Linotype"/>
          <w:b/>
          <w:bCs/>
          <w:sz w:val="22"/>
          <w:szCs w:val="22"/>
        </w:rPr>
        <w:t>,</w:t>
      </w:r>
      <w:r w:rsidRPr="00017A3F">
        <w:rPr>
          <w:rFonts w:ascii="Palatino Linotype" w:eastAsia="Palatino Linotype" w:hAnsi="Palatino Linotype" w:cs="Palatino Linotype"/>
          <w:sz w:val="22"/>
          <w:szCs w:val="22"/>
        </w:rPr>
        <w:t xml:space="preserve"> en lo sucesivo</w:t>
      </w:r>
      <w:r w:rsidRPr="00017A3F">
        <w:rPr>
          <w:rFonts w:ascii="Palatino Linotype" w:eastAsia="Palatino Linotype" w:hAnsi="Palatino Linotype" w:cs="Palatino Linotype"/>
          <w:b/>
          <w:bCs/>
          <w:sz w:val="22"/>
          <w:szCs w:val="22"/>
        </w:rPr>
        <w:t xml:space="preserve"> </w:t>
      </w:r>
      <w:r w:rsidRPr="00017A3F">
        <w:rPr>
          <w:rFonts w:ascii="Palatino Linotype" w:eastAsia="Palatino Linotype" w:hAnsi="Palatino Linotype" w:cs="Palatino Linotype"/>
          <w:sz w:val="22"/>
          <w:szCs w:val="22"/>
        </w:rPr>
        <w:t xml:space="preserve">la parte </w:t>
      </w:r>
      <w:r w:rsidRPr="00017A3F">
        <w:rPr>
          <w:rFonts w:ascii="Palatino Linotype" w:eastAsia="Palatino Linotype" w:hAnsi="Palatino Linotype" w:cs="Palatino Linotype"/>
          <w:b/>
          <w:bCs/>
          <w:sz w:val="22"/>
          <w:szCs w:val="22"/>
        </w:rPr>
        <w:t>Recurrente,</w:t>
      </w:r>
      <w:r w:rsidRPr="00017A3F">
        <w:rPr>
          <w:rFonts w:ascii="Palatino Linotype" w:eastAsia="Palatino Linotype" w:hAnsi="Palatino Linotype" w:cs="Palatino Linotype"/>
          <w:sz w:val="22"/>
          <w:szCs w:val="22"/>
        </w:rPr>
        <w:t xml:space="preserve"> en contra de la respuesta a la solicitud de información con número de folio</w:t>
      </w:r>
      <w:r w:rsidRPr="00017A3F">
        <w:rPr>
          <w:rFonts w:ascii="Palatino Linotype" w:eastAsia="Palatino Linotype" w:hAnsi="Palatino Linotype" w:cs="Palatino Linotype"/>
          <w:b/>
          <w:bCs/>
          <w:sz w:val="22"/>
          <w:szCs w:val="22"/>
        </w:rPr>
        <w:t xml:space="preserve"> </w:t>
      </w:r>
      <w:r w:rsidR="003870EF" w:rsidRPr="00017A3F">
        <w:rPr>
          <w:rFonts w:ascii="Palatino Linotype" w:eastAsia="Palatino Linotype" w:hAnsi="Palatino Linotype" w:cs="Palatino Linotype"/>
          <w:b/>
          <w:bCs/>
          <w:sz w:val="22"/>
          <w:szCs w:val="22"/>
        </w:rPr>
        <w:t>04791/TOLUCA/IP/2025</w:t>
      </w:r>
      <w:r w:rsidRPr="00017A3F">
        <w:rPr>
          <w:rFonts w:ascii="Palatino Linotype" w:eastAsia="Palatino Linotype" w:hAnsi="Palatino Linotype" w:cs="Palatino Linotype"/>
          <w:b/>
          <w:bCs/>
          <w:sz w:val="22"/>
          <w:szCs w:val="22"/>
        </w:rPr>
        <w:t xml:space="preserve">, </w:t>
      </w:r>
      <w:r w:rsidRPr="00017A3F">
        <w:rPr>
          <w:rFonts w:ascii="Palatino Linotype" w:eastAsia="Palatino Linotype" w:hAnsi="Palatino Linotype" w:cs="Palatino Linotype"/>
          <w:sz w:val="22"/>
          <w:szCs w:val="22"/>
        </w:rPr>
        <w:t xml:space="preserve">por parte del </w:t>
      </w:r>
      <w:r w:rsidRPr="00017A3F">
        <w:rPr>
          <w:rFonts w:ascii="Palatino Linotype" w:eastAsia="Palatino Linotype" w:hAnsi="Palatino Linotype" w:cs="Palatino Linotype"/>
          <w:b/>
          <w:bCs/>
          <w:sz w:val="22"/>
          <w:szCs w:val="22"/>
        </w:rPr>
        <w:t xml:space="preserve">Ayuntamiento de Toluca, </w:t>
      </w:r>
      <w:r w:rsidRPr="00017A3F">
        <w:rPr>
          <w:rFonts w:ascii="Palatino Linotype" w:eastAsia="Palatino Linotype" w:hAnsi="Palatino Linotype" w:cs="Palatino Linotype"/>
          <w:sz w:val="22"/>
          <w:szCs w:val="22"/>
        </w:rPr>
        <w:t xml:space="preserve">en lo sucesivo el </w:t>
      </w:r>
      <w:r w:rsidRPr="00017A3F">
        <w:rPr>
          <w:rFonts w:ascii="Palatino Linotype" w:eastAsia="Palatino Linotype" w:hAnsi="Palatino Linotype" w:cs="Palatino Linotype"/>
          <w:b/>
          <w:bCs/>
          <w:sz w:val="22"/>
          <w:szCs w:val="22"/>
        </w:rPr>
        <w:t xml:space="preserve">Sujeto Obligado, </w:t>
      </w:r>
      <w:r w:rsidRPr="00017A3F">
        <w:rPr>
          <w:rFonts w:ascii="Palatino Linotype" w:eastAsia="Palatino Linotype" w:hAnsi="Palatino Linotype" w:cs="Palatino Linotype"/>
          <w:sz w:val="22"/>
          <w:szCs w:val="22"/>
        </w:rPr>
        <w:t xml:space="preserve">se procede a dictar la presente resolución con base en los siguientes: </w:t>
      </w:r>
    </w:p>
    <w:p w14:paraId="54E81B50" w14:textId="77777777" w:rsidR="00AC55F7" w:rsidRPr="00017A3F" w:rsidRDefault="006C736C">
      <w:pPr>
        <w:spacing w:before="240" w:after="240" w:line="360" w:lineRule="auto"/>
        <w:jc w:val="center"/>
        <w:rPr>
          <w:rFonts w:ascii="Palatino Linotype" w:eastAsia="Palatino Linotype" w:hAnsi="Palatino Linotype" w:cs="Palatino Linotype"/>
          <w:b/>
          <w:bCs/>
          <w:sz w:val="22"/>
          <w:szCs w:val="22"/>
        </w:rPr>
      </w:pPr>
      <w:r w:rsidRPr="00017A3F">
        <w:rPr>
          <w:rFonts w:ascii="Palatino Linotype" w:eastAsia="Palatino Linotype" w:hAnsi="Palatino Linotype" w:cs="Palatino Linotype"/>
          <w:b/>
          <w:bCs/>
          <w:sz w:val="22"/>
          <w:szCs w:val="22"/>
        </w:rPr>
        <w:t>I. A N T E C E D E N T E S</w:t>
      </w:r>
    </w:p>
    <w:p w14:paraId="676CAEBE" w14:textId="44279E3E" w:rsidR="00AC55F7" w:rsidRPr="00017A3F" w:rsidRDefault="006C736C">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017A3F">
        <w:rPr>
          <w:rFonts w:ascii="Palatino Linotype" w:eastAsia="Palatino Linotype" w:hAnsi="Palatino Linotype" w:cs="Palatino Linotype"/>
          <w:b/>
          <w:bCs/>
          <w:sz w:val="22"/>
          <w:szCs w:val="22"/>
        </w:rPr>
        <w:t>1. Solicitud de acceso a la información.</w:t>
      </w:r>
      <w:r w:rsidRPr="00017A3F">
        <w:rPr>
          <w:rFonts w:ascii="Palatino Linotype" w:eastAsia="Palatino Linotype" w:hAnsi="Palatino Linotype" w:cs="Palatino Linotype"/>
          <w:sz w:val="22"/>
          <w:szCs w:val="22"/>
        </w:rPr>
        <w:t xml:space="preserve"> El </w:t>
      </w:r>
      <w:r w:rsidR="003870EF" w:rsidRPr="00017A3F">
        <w:rPr>
          <w:rFonts w:ascii="Palatino Linotype" w:eastAsia="Palatino Linotype" w:hAnsi="Palatino Linotype" w:cs="Palatino Linotype"/>
          <w:b/>
          <w:bCs/>
          <w:sz w:val="22"/>
          <w:szCs w:val="22"/>
        </w:rPr>
        <w:t xml:space="preserve">veintiséis de septiembre </w:t>
      </w:r>
      <w:r w:rsidRPr="00017A3F">
        <w:rPr>
          <w:rFonts w:ascii="Palatino Linotype" w:eastAsia="Palatino Linotype" w:hAnsi="Palatino Linotype" w:cs="Palatino Linotype"/>
          <w:b/>
          <w:bCs/>
          <w:sz w:val="22"/>
          <w:szCs w:val="22"/>
        </w:rPr>
        <w:t>de dos mil veinticinco,</w:t>
      </w:r>
      <w:r w:rsidRPr="00017A3F">
        <w:rPr>
          <w:rFonts w:ascii="Palatino Linotype" w:eastAsia="Palatino Linotype" w:hAnsi="Palatino Linotype" w:cs="Palatino Linotype"/>
          <w:sz w:val="22"/>
          <w:szCs w:val="22"/>
        </w:rPr>
        <w:t xml:space="preserve"> la parte </w:t>
      </w:r>
      <w:r w:rsidRPr="00017A3F">
        <w:rPr>
          <w:rFonts w:ascii="Palatino Linotype" w:eastAsia="Palatino Linotype" w:hAnsi="Palatino Linotype" w:cs="Palatino Linotype"/>
          <w:b/>
          <w:bCs/>
          <w:sz w:val="22"/>
          <w:szCs w:val="22"/>
        </w:rPr>
        <w:t xml:space="preserve">Recurrente </w:t>
      </w:r>
      <w:r w:rsidRPr="00017A3F">
        <w:rPr>
          <w:rFonts w:ascii="Palatino Linotype" w:eastAsia="Palatino Linotype" w:hAnsi="Palatino Linotype" w:cs="Palatino Linotype"/>
          <w:sz w:val="22"/>
          <w:szCs w:val="22"/>
        </w:rPr>
        <w:t xml:space="preserve">presentó la solicitud de acceso a la información pública ante el </w:t>
      </w:r>
      <w:r w:rsidRPr="00017A3F">
        <w:rPr>
          <w:rFonts w:ascii="Palatino Linotype" w:eastAsia="Palatino Linotype" w:hAnsi="Palatino Linotype" w:cs="Palatino Linotype"/>
          <w:b/>
          <w:bCs/>
          <w:sz w:val="22"/>
          <w:szCs w:val="22"/>
        </w:rPr>
        <w:t>Sujeto Obligado</w:t>
      </w:r>
      <w:r w:rsidRPr="00017A3F">
        <w:rPr>
          <w:rFonts w:ascii="Palatino Linotype" w:eastAsia="Palatino Linotype" w:hAnsi="Palatino Linotype" w:cs="Palatino Linotype"/>
          <w:sz w:val="22"/>
          <w:szCs w:val="22"/>
        </w:rPr>
        <w:t xml:space="preserve">, a través del Sistema de Acceso a la Información Mexiquense, en lo subsecuente el </w:t>
      </w:r>
      <w:r w:rsidRPr="00017A3F">
        <w:rPr>
          <w:rFonts w:ascii="Palatino Linotype" w:eastAsia="Palatino Linotype" w:hAnsi="Palatino Linotype" w:cs="Palatino Linotype"/>
          <w:b/>
          <w:bCs/>
          <w:sz w:val="22"/>
          <w:szCs w:val="22"/>
        </w:rPr>
        <w:t>SAIMEX,</w:t>
      </w:r>
      <w:r w:rsidRPr="00017A3F">
        <w:rPr>
          <w:rFonts w:ascii="Palatino Linotype" w:eastAsia="Palatino Linotype" w:hAnsi="Palatino Linotype" w:cs="Palatino Linotype"/>
          <w:sz w:val="22"/>
          <w:szCs w:val="22"/>
        </w:rPr>
        <w:t xml:space="preserve"> mediante la cual requirió lo siguiente:</w:t>
      </w:r>
    </w:p>
    <w:p w14:paraId="4F789154" w14:textId="2C6C659D" w:rsidR="00AC55F7" w:rsidRPr="00017A3F" w:rsidRDefault="006C736C">
      <w:pPr>
        <w:spacing w:before="120" w:after="120"/>
        <w:ind w:left="851" w:right="902"/>
        <w:jc w:val="both"/>
        <w:rPr>
          <w:rFonts w:ascii="Palatino Linotype" w:eastAsia="Palatino Linotype" w:hAnsi="Palatino Linotype" w:cs="Palatino Linotype"/>
          <w:b/>
          <w:bCs/>
          <w:i/>
          <w:iCs/>
          <w:sz w:val="22"/>
          <w:szCs w:val="22"/>
        </w:rPr>
      </w:pPr>
      <w:r w:rsidRPr="00017A3F">
        <w:rPr>
          <w:rFonts w:ascii="Palatino Linotype" w:eastAsia="Palatino Linotype" w:hAnsi="Palatino Linotype" w:cs="Palatino Linotype"/>
          <w:i/>
          <w:iCs/>
          <w:sz w:val="22"/>
          <w:szCs w:val="22"/>
        </w:rPr>
        <w:t xml:space="preserve"> “</w:t>
      </w:r>
      <w:r w:rsidR="003870EF" w:rsidRPr="00017A3F">
        <w:rPr>
          <w:rFonts w:ascii="Palatino Linotype" w:eastAsia="Palatino Linotype" w:hAnsi="Palatino Linotype" w:cs="Palatino Linotype"/>
          <w:i/>
          <w:iCs/>
          <w:sz w:val="22"/>
          <w:szCs w:val="22"/>
        </w:rPr>
        <w:t>Todos los oficios emitidos por la Unidad de Transparencia del 1 de enero a 26 de septiembre de 2025.</w:t>
      </w:r>
      <w:r w:rsidRPr="00017A3F">
        <w:rPr>
          <w:rFonts w:ascii="Palatino Linotype" w:eastAsia="Palatino Linotype" w:hAnsi="Palatino Linotype" w:cs="Palatino Linotype"/>
          <w:b/>
          <w:bCs/>
          <w:i/>
          <w:iCs/>
          <w:sz w:val="22"/>
          <w:szCs w:val="22"/>
        </w:rPr>
        <w:t>”</w:t>
      </w:r>
      <w:r w:rsidRPr="00017A3F">
        <w:rPr>
          <w:rFonts w:ascii="Palatino Linotype" w:eastAsia="Palatino Linotype" w:hAnsi="Palatino Linotype" w:cs="Palatino Linotype"/>
          <w:i/>
          <w:iCs/>
          <w:sz w:val="22"/>
          <w:szCs w:val="22"/>
        </w:rPr>
        <w:t xml:space="preserve"> (sic) </w:t>
      </w:r>
    </w:p>
    <w:p w14:paraId="5F6C2957"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017A3F">
        <w:rPr>
          <w:rFonts w:ascii="Palatino Linotype" w:eastAsia="Palatino Linotype" w:hAnsi="Palatino Linotype" w:cs="Palatino Linotype"/>
          <w:b/>
          <w:bCs/>
          <w:sz w:val="22"/>
          <w:szCs w:val="22"/>
        </w:rPr>
        <w:t>Modalidad de Entrega:</w:t>
      </w:r>
      <w:r w:rsidRPr="00017A3F">
        <w:rPr>
          <w:rFonts w:ascii="Palatino Linotype" w:eastAsia="Palatino Linotype" w:hAnsi="Palatino Linotype" w:cs="Palatino Linotype"/>
          <w:sz w:val="22"/>
          <w:szCs w:val="22"/>
        </w:rPr>
        <w:t xml:space="preserve"> a través del</w:t>
      </w:r>
      <w:r w:rsidRPr="00017A3F">
        <w:rPr>
          <w:rFonts w:ascii="Palatino Linotype" w:eastAsia="Palatino Linotype" w:hAnsi="Palatino Linotype" w:cs="Palatino Linotype"/>
          <w:b/>
          <w:bCs/>
          <w:sz w:val="22"/>
          <w:szCs w:val="22"/>
        </w:rPr>
        <w:t xml:space="preserve"> SAIMEX.</w:t>
      </w:r>
    </w:p>
    <w:p w14:paraId="537AE90A" w14:textId="06887552"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b/>
          <w:bCs/>
          <w:sz w:val="22"/>
          <w:szCs w:val="22"/>
        </w:rPr>
        <w:t xml:space="preserve">2. Respuesta. </w:t>
      </w:r>
      <w:r w:rsidRPr="00017A3F">
        <w:rPr>
          <w:rFonts w:ascii="Palatino Linotype" w:eastAsia="Palatino Linotype" w:hAnsi="Palatino Linotype" w:cs="Palatino Linotype"/>
          <w:sz w:val="22"/>
          <w:szCs w:val="22"/>
        </w:rPr>
        <w:t xml:space="preserve">El </w:t>
      </w:r>
      <w:r w:rsidR="003870EF" w:rsidRPr="00017A3F">
        <w:rPr>
          <w:rFonts w:ascii="Palatino Linotype" w:eastAsia="Palatino Linotype" w:hAnsi="Palatino Linotype" w:cs="Palatino Linotype"/>
          <w:b/>
          <w:bCs/>
          <w:sz w:val="22"/>
          <w:szCs w:val="22"/>
        </w:rPr>
        <w:t>dieciséis de octubre</w:t>
      </w:r>
      <w:r w:rsidRPr="00017A3F">
        <w:rPr>
          <w:rFonts w:ascii="Palatino Linotype" w:eastAsia="Palatino Linotype" w:hAnsi="Palatino Linotype" w:cs="Palatino Linotype"/>
          <w:b/>
          <w:bCs/>
          <w:sz w:val="22"/>
          <w:szCs w:val="22"/>
        </w:rPr>
        <w:t xml:space="preserve"> de dos mil veinticinco,</w:t>
      </w:r>
      <w:r w:rsidRPr="00017A3F">
        <w:rPr>
          <w:rFonts w:ascii="Palatino Linotype" w:eastAsia="Palatino Linotype" w:hAnsi="Palatino Linotype" w:cs="Palatino Linotype"/>
          <w:sz w:val="22"/>
          <w:szCs w:val="22"/>
        </w:rPr>
        <w:t xml:space="preserve"> el </w:t>
      </w:r>
      <w:r w:rsidRPr="00017A3F">
        <w:rPr>
          <w:rFonts w:ascii="Palatino Linotype" w:eastAsia="Palatino Linotype" w:hAnsi="Palatino Linotype" w:cs="Palatino Linotype"/>
          <w:b/>
          <w:bCs/>
          <w:sz w:val="22"/>
          <w:szCs w:val="22"/>
        </w:rPr>
        <w:t xml:space="preserve">Sujeto Obligado </w:t>
      </w:r>
      <w:r w:rsidRPr="00017A3F">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2D4AF6D5" w14:textId="2814003A" w:rsidR="00AC55F7" w:rsidRPr="00017A3F" w:rsidRDefault="006C736C">
      <w:pPr>
        <w:spacing w:before="240" w:after="24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r w:rsidR="003870EF" w:rsidRPr="00017A3F">
        <w:rPr>
          <w:rFonts w:ascii="Palatino Linotype" w:eastAsia="Palatino Linotype" w:hAnsi="Palatino Linotype" w:cs="Palatino Linotype"/>
          <w:i/>
          <w:iCs/>
          <w:sz w:val="22"/>
          <w:szCs w:val="22"/>
        </w:rPr>
        <w:t>En atención a la solicitud con folio 04791/TOLUCA/IP/2025, me permito adjuntar al presente la respuesta correspondiente, Sin más por el momento, reciba un saludo.</w:t>
      </w:r>
      <w:r w:rsidRPr="00017A3F">
        <w:rPr>
          <w:rFonts w:ascii="Palatino Linotype" w:eastAsia="Palatino Linotype" w:hAnsi="Palatino Linotype" w:cs="Palatino Linotype"/>
          <w:i/>
          <w:iCs/>
          <w:sz w:val="22"/>
          <w:szCs w:val="22"/>
        </w:rPr>
        <w:t>..” (sic)</w:t>
      </w:r>
    </w:p>
    <w:p w14:paraId="2FEC06D2" w14:textId="77777777" w:rsidR="00AC55F7" w:rsidRPr="00017A3F" w:rsidRDefault="006C736C">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lastRenderedPageBreak/>
        <w:t xml:space="preserve">El </w:t>
      </w:r>
      <w:r w:rsidRPr="00017A3F">
        <w:rPr>
          <w:rFonts w:ascii="Palatino Linotype" w:eastAsia="Palatino Linotype" w:hAnsi="Palatino Linotype" w:cs="Palatino Linotype"/>
          <w:b/>
          <w:bCs/>
          <w:sz w:val="22"/>
          <w:szCs w:val="22"/>
        </w:rPr>
        <w:t xml:space="preserve">Sujeto Obligado </w:t>
      </w:r>
      <w:r w:rsidRPr="00017A3F">
        <w:rPr>
          <w:rFonts w:ascii="Palatino Linotype" w:eastAsia="Palatino Linotype" w:hAnsi="Palatino Linotype" w:cs="Palatino Linotype"/>
          <w:sz w:val="22"/>
          <w:szCs w:val="22"/>
        </w:rPr>
        <w:t>adjuntó lo siguiente:</w:t>
      </w:r>
    </w:p>
    <w:p w14:paraId="0CCE7E09" w14:textId="7C1DB562" w:rsidR="00EF2EC2" w:rsidRPr="00017A3F" w:rsidRDefault="006C736C">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 </w:t>
      </w:r>
      <w:r w:rsidR="00EF2EC2" w:rsidRPr="00017A3F">
        <w:rPr>
          <w:rFonts w:ascii="Palatino Linotype" w:eastAsia="Palatino Linotype" w:hAnsi="Palatino Linotype" w:cs="Palatino Linotype"/>
          <w:sz w:val="22"/>
          <w:szCs w:val="22"/>
        </w:rPr>
        <w:t xml:space="preserve">Escrito mediante el cual la Unidad de Transparencia </w:t>
      </w:r>
      <w:r w:rsidR="00851555" w:rsidRPr="00017A3F">
        <w:rPr>
          <w:rFonts w:ascii="Palatino Linotype" w:eastAsia="Palatino Linotype" w:hAnsi="Palatino Linotype" w:cs="Palatino Linotype"/>
          <w:sz w:val="22"/>
          <w:szCs w:val="22"/>
        </w:rPr>
        <w:t xml:space="preserve">manifestó que </w:t>
      </w:r>
      <w:r w:rsidR="003870EF" w:rsidRPr="00017A3F">
        <w:rPr>
          <w:rFonts w:ascii="Palatino Linotype" w:eastAsia="Palatino Linotype" w:hAnsi="Palatino Linotype" w:cs="Palatino Linotype"/>
          <w:sz w:val="22"/>
          <w:szCs w:val="22"/>
        </w:rPr>
        <w:t>derivado de una búsqueda exhaustiva y razonable en el archivo a su cargo, anexaba la información solicitada en formato PDF.</w:t>
      </w:r>
    </w:p>
    <w:p w14:paraId="45E7B9D5" w14:textId="24A7A664" w:rsidR="003870EF" w:rsidRPr="00017A3F" w:rsidRDefault="003870EF" w:rsidP="00427001">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 Oficios emitidos por la Unidad de Transparencia </w:t>
      </w:r>
      <w:r w:rsidR="00364378" w:rsidRPr="00017A3F">
        <w:rPr>
          <w:rFonts w:ascii="Palatino Linotype" w:eastAsia="Palatino Linotype" w:hAnsi="Palatino Linotype" w:cs="Palatino Linotype"/>
          <w:sz w:val="22"/>
          <w:szCs w:val="22"/>
        </w:rPr>
        <w:t>del dos al veintiséis d</w:t>
      </w:r>
      <w:r w:rsidRPr="00017A3F">
        <w:rPr>
          <w:rFonts w:ascii="Palatino Linotype" w:eastAsia="Palatino Linotype" w:hAnsi="Palatino Linotype" w:cs="Palatino Linotype"/>
          <w:sz w:val="22"/>
          <w:szCs w:val="22"/>
        </w:rPr>
        <w:t>e septiembre de dos mil veinticinco, divididos en tres archivos, de 430, 490 y 280 hojas respectivamente.</w:t>
      </w:r>
    </w:p>
    <w:p w14:paraId="1D80A24F" w14:textId="2B7819DD" w:rsidR="00AC55F7" w:rsidRPr="00017A3F" w:rsidRDefault="00D018C8" w:rsidP="00D018C8">
      <w:pPr>
        <w:spacing w:before="240" w:after="240" w:line="360" w:lineRule="auto"/>
        <w:ind w:right="51"/>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b/>
          <w:sz w:val="22"/>
          <w:szCs w:val="22"/>
        </w:rPr>
        <w:t>3</w:t>
      </w:r>
      <w:r w:rsidR="006C736C" w:rsidRPr="00017A3F">
        <w:rPr>
          <w:rFonts w:ascii="Palatino Linotype" w:eastAsia="Palatino Linotype" w:hAnsi="Palatino Linotype" w:cs="Palatino Linotype"/>
          <w:b/>
          <w:bCs/>
          <w:sz w:val="22"/>
          <w:szCs w:val="22"/>
        </w:rPr>
        <w:t xml:space="preserve">. Interposición del recurso de revisión. </w:t>
      </w:r>
      <w:r w:rsidR="006C736C" w:rsidRPr="00017A3F">
        <w:rPr>
          <w:rFonts w:ascii="Palatino Linotype" w:eastAsia="Palatino Linotype" w:hAnsi="Palatino Linotype" w:cs="Palatino Linotype"/>
          <w:sz w:val="22"/>
          <w:szCs w:val="22"/>
        </w:rPr>
        <w:t xml:space="preserve">Inconforme con los términos de la respuesta emitida por parte del </w:t>
      </w:r>
      <w:r w:rsidR="006C736C" w:rsidRPr="00017A3F">
        <w:rPr>
          <w:rFonts w:ascii="Palatino Linotype" w:eastAsia="Palatino Linotype" w:hAnsi="Palatino Linotype" w:cs="Palatino Linotype"/>
          <w:b/>
          <w:bCs/>
          <w:sz w:val="22"/>
          <w:szCs w:val="22"/>
        </w:rPr>
        <w:t>Sujeto Obligado</w:t>
      </w:r>
      <w:r w:rsidR="006C736C" w:rsidRPr="00017A3F">
        <w:rPr>
          <w:rFonts w:ascii="Palatino Linotype" w:eastAsia="Palatino Linotype" w:hAnsi="Palatino Linotype" w:cs="Palatino Linotype"/>
          <w:sz w:val="22"/>
          <w:szCs w:val="22"/>
        </w:rPr>
        <w:t xml:space="preserve">, el </w:t>
      </w:r>
      <w:r w:rsidR="003870EF" w:rsidRPr="00017A3F">
        <w:rPr>
          <w:rFonts w:ascii="Palatino Linotype" w:eastAsia="Palatino Linotype" w:hAnsi="Palatino Linotype" w:cs="Palatino Linotype"/>
          <w:b/>
          <w:bCs/>
          <w:sz w:val="22"/>
          <w:szCs w:val="22"/>
        </w:rPr>
        <w:t>seis de noviembre</w:t>
      </w:r>
      <w:r w:rsidR="006C736C" w:rsidRPr="00017A3F">
        <w:rPr>
          <w:rFonts w:ascii="Palatino Linotype" w:eastAsia="Palatino Linotype" w:hAnsi="Palatino Linotype" w:cs="Palatino Linotype"/>
          <w:b/>
          <w:bCs/>
          <w:sz w:val="22"/>
          <w:szCs w:val="22"/>
        </w:rPr>
        <w:t xml:space="preserve"> de dos mil veinticinco,</w:t>
      </w:r>
      <w:r w:rsidR="006C736C" w:rsidRPr="00017A3F">
        <w:rPr>
          <w:rFonts w:ascii="Palatino Linotype" w:eastAsia="Palatino Linotype" w:hAnsi="Palatino Linotype" w:cs="Palatino Linotype"/>
          <w:sz w:val="22"/>
          <w:szCs w:val="22"/>
        </w:rPr>
        <w:t xml:space="preserve"> la parte </w:t>
      </w:r>
      <w:r w:rsidR="006C736C" w:rsidRPr="00017A3F">
        <w:rPr>
          <w:rFonts w:ascii="Palatino Linotype" w:eastAsia="Palatino Linotype" w:hAnsi="Palatino Linotype" w:cs="Palatino Linotype"/>
          <w:b/>
          <w:bCs/>
          <w:sz w:val="22"/>
          <w:szCs w:val="22"/>
        </w:rPr>
        <w:t>Recurrente</w:t>
      </w:r>
      <w:r w:rsidR="006C736C" w:rsidRPr="00017A3F">
        <w:rPr>
          <w:rFonts w:ascii="Palatino Linotype" w:eastAsia="Palatino Linotype" w:hAnsi="Palatino Linotype" w:cs="Palatino Linotype"/>
          <w:sz w:val="22"/>
          <w:szCs w:val="22"/>
        </w:rPr>
        <w:t xml:space="preserve"> interpuso el recurso de revisión a través de </w:t>
      </w:r>
      <w:r w:rsidR="006C736C" w:rsidRPr="00017A3F">
        <w:rPr>
          <w:rFonts w:ascii="Palatino Linotype" w:eastAsia="Palatino Linotype" w:hAnsi="Palatino Linotype" w:cs="Palatino Linotype"/>
          <w:b/>
          <w:bCs/>
          <w:sz w:val="22"/>
          <w:szCs w:val="22"/>
        </w:rPr>
        <w:t xml:space="preserve">SAIMEX, </w:t>
      </w:r>
      <w:r w:rsidR="006C736C" w:rsidRPr="00017A3F">
        <w:rPr>
          <w:rFonts w:ascii="Palatino Linotype" w:eastAsia="Palatino Linotype" w:hAnsi="Palatino Linotype" w:cs="Palatino Linotype"/>
          <w:sz w:val="22"/>
          <w:szCs w:val="22"/>
        </w:rPr>
        <w:t>en donde se manifestó de la siguiente manera:</w:t>
      </w:r>
    </w:p>
    <w:p w14:paraId="1AF85725" w14:textId="77777777" w:rsidR="00AC55F7" w:rsidRPr="00017A3F" w:rsidRDefault="006C736C">
      <w:pPr>
        <w:spacing w:before="240" w:after="240" w:line="360" w:lineRule="auto"/>
        <w:ind w:right="49"/>
        <w:jc w:val="both"/>
        <w:rPr>
          <w:rFonts w:ascii="Palatino Linotype" w:eastAsia="Palatino Linotype" w:hAnsi="Palatino Linotype" w:cs="Palatino Linotype"/>
          <w:b/>
          <w:bCs/>
          <w:sz w:val="22"/>
          <w:szCs w:val="22"/>
        </w:rPr>
      </w:pPr>
      <w:r w:rsidRPr="00017A3F">
        <w:rPr>
          <w:rFonts w:ascii="Palatino Linotype" w:eastAsia="Palatino Linotype" w:hAnsi="Palatino Linotype" w:cs="Palatino Linotype"/>
          <w:b/>
          <w:bCs/>
          <w:sz w:val="22"/>
          <w:szCs w:val="22"/>
        </w:rPr>
        <w:t xml:space="preserve">Acto impugnado: </w:t>
      </w:r>
    </w:p>
    <w:p w14:paraId="4433F557" w14:textId="7EAF8FD8" w:rsidR="00AC55F7" w:rsidRPr="00017A3F" w:rsidRDefault="006C736C" w:rsidP="003870EF">
      <w:pPr>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r w:rsidR="003870EF" w:rsidRPr="00017A3F">
        <w:rPr>
          <w:rFonts w:ascii="Palatino Linotype" w:eastAsia="Palatino Linotype" w:hAnsi="Palatino Linotype" w:cs="Palatino Linotype"/>
          <w:i/>
          <w:iCs/>
          <w:sz w:val="22"/>
          <w:szCs w:val="22"/>
        </w:rPr>
        <w:t xml:space="preserve">LA UNIDAD DEOPACIDAD NO ENTREGA TODA LA INFORMACIÓN </w:t>
      </w:r>
      <w:r w:rsidR="003870EF" w:rsidRPr="00017A3F">
        <w:rPr>
          <w:rFonts w:ascii="Palatino Linotype" w:eastAsia="Palatino Linotype" w:hAnsi="Palatino Linotype" w:cs="Palatino Linotype"/>
          <w:b/>
          <w:bCs/>
          <w:i/>
          <w:iCs/>
          <w:sz w:val="22"/>
          <w:szCs w:val="22"/>
        </w:rPr>
        <w:t>FALTAN OFICIOS SOLO ENTREGA SEPTIEMRE</w:t>
      </w:r>
      <w:r w:rsidR="003870EF" w:rsidRPr="00017A3F">
        <w:rPr>
          <w:rFonts w:ascii="Palatino Linotype" w:eastAsia="Palatino Linotype" w:hAnsi="Palatino Linotype" w:cs="Palatino Linotype"/>
          <w:i/>
          <w:iCs/>
          <w:sz w:val="22"/>
          <w:szCs w:val="22"/>
        </w:rPr>
        <w:t xml:space="preserve"> Y </w:t>
      </w:r>
      <w:r w:rsidR="003870EF" w:rsidRPr="00017A3F">
        <w:rPr>
          <w:rFonts w:ascii="Palatino Linotype" w:eastAsia="Palatino Linotype" w:hAnsi="Palatino Linotype" w:cs="Palatino Linotype"/>
          <w:b/>
          <w:bCs/>
          <w:i/>
          <w:iCs/>
          <w:sz w:val="22"/>
          <w:szCs w:val="22"/>
        </w:rPr>
        <w:t>SE SOLICITA DESDE ENERO</w:t>
      </w:r>
      <w:r w:rsidR="003870EF" w:rsidRPr="00017A3F">
        <w:rPr>
          <w:rFonts w:ascii="Palatino Linotype" w:eastAsia="Palatino Linotype" w:hAnsi="Palatino Linotype" w:cs="Palatino Linotype"/>
          <w:i/>
          <w:iCs/>
          <w:sz w:val="22"/>
          <w:szCs w:val="22"/>
        </w:rPr>
        <w:t xml:space="preserve"> LO HACE CON DOLO POR LOQ UE DEBERIAN SER MULTADOS NO ESTAN COMPLETO Y TAPAN DATOS SI UNA ACTA</w:t>
      </w:r>
      <w:r w:rsidRPr="00017A3F">
        <w:rPr>
          <w:rFonts w:ascii="Palatino Linotype" w:eastAsia="Palatino Linotype" w:hAnsi="Palatino Linotype" w:cs="Palatino Linotype"/>
          <w:i/>
          <w:iCs/>
          <w:sz w:val="22"/>
          <w:szCs w:val="22"/>
        </w:rPr>
        <w:t>” (sic)</w:t>
      </w:r>
    </w:p>
    <w:p w14:paraId="1857EEB6" w14:textId="77777777" w:rsidR="00AC55F7" w:rsidRPr="00017A3F" w:rsidRDefault="006C736C">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017A3F">
        <w:rPr>
          <w:rFonts w:ascii="Palatino Linotype" w:eastAsia="Palatino Linotype" w:hAnsi="Palatino Linotype" w:cs="Palatino Linotype"/>
          <w:b/>
          <w:bCs/>
          <w:sz w:val="22"/>
          <w:szCs w:val="22"/>
        </w:rPr>
        <w:t>Y, Razones o motivos de inconformidad</w:t>
      </w:r>
      <w:r w:rsidRPr="00017A3F">
        <w:rPr>
          <w:rFonts w:ascii="Palatino Linotype" w:eastAsia="Palatino Linotype" w:hAnsi="Palatino Linotype" w:cs="Palatino Linotype"/>
          <w:sz w:val="22"/>
          <w:szCs w:val="22"/>
        </w:rPr>
        <w:t>:</w:t>
      </w:r>
    </w:p>
    <w:p w14:paraId="006D895F" w14:textId="3988709D" w:rsidR="00AC55F7" w:rsidRPr="00017A3F" w:rsidRDefault="006C736C">
      <w:pPr>
        <w:tabs>
          <w:tab w:val="left" w:pos="2745"/>
        </w:tabs>
        <w:spacing w:before="240" w:after="24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r w:rsidR="003870EF" w:rsidRPr="00017A3F">
        <w:rPr>
          <w:rFonts w:ascii="Palatino Linotype" w:eastAsia="Palatino Linotype" w:hAnsi="Palatino Linotype" w:cs="Palatino Linotype"/>
          <w:i/>
          <w:iCs/>
          <w:sz w:val="22"/>
          <w:szCs w:val="22"/>
        </w:rPr>
        <w:t xml:space="preserve">NO ENTREGAN LOS OFICIO COMPLETO </w:t>
      </w:r>
      <w:r w:rsidR="003870EF" w:rsidRPr="00017A3F">
        <w:rPr>
          <w:rFonts w:ascii="Palatino Linotype" w:eastAsia="Palatino Linotype" w:hAnsi="Palatino Linotype" w:cs="Palatino Linotype"/>
          <w:b/>
          <w:bCs/>
          <w:i/>
          <w:iCs/>
          <w:sz w:val="22"/>
          <w:szCs w:val="22"/>
          <w:u w:val="single"/>
        </w:rPr>
        <w:t>FALTA DEL MES DE ENERO A AGOSTO</w:t>
      </w:r>
      <w:r w:rsidR="003870EF" w:rsidRPr="00017A3F">
        <w:rPr>
          <w:rFonts w:ascii="Palatino Linotype" w:eastAsia="Palatino Linotype" w:hAnsi="Palatino Linotype" w:cs="Palatino Linotype"/>
          <w:b/>
          <w:bCs/>
          <w:i/>
          <w:iCs/>
          <w:sz w:val="22"/>
          <w:szCs w:val="22"/>
        </w:rPr>
        <w:t xml:space="preserve"> SOLO ENTREGO SEPTIEMBRE</w:t>
      </w:r>
      <w:r w:rsidR="003870EF" w:rsidRPr="00017A3F">
        <w:rPr>
          <w:rFonts w:ascii="Palatino Linotype" w:eastAsia="Palatino Linotype" w:hAnsi="Palatino Linotype" w:cs="Palatino Linotype"/>
          <w:i/>
          <w:iCs/>
          <w:sz w:val="22"/>
          <w:szCs w:val="22"/>
        </w:rPr>
        <w:t xml:space="preserve"> SON OPACOS CON DOLO DICEN QUE INFOEM YA SE VA</w:t>
      </w:r>
      <w:r w:rsidRPr="00017A3F">
        <w:rPr>
          <w:rFonts w:ascii="Palatino Linotype" w:eastAsia="Palatino Linotype" w:hAnsi="Palatino Linotype" w:cs="Palatino Linotype"/>
          <w:i/>
          <w:iCs/>
          <w:sz w:val="22"/>
          <w:szCs w:val="22"/>
        </w:rPr>
        <w:t>” (sic)</w:t>
      </w:r>
    </w:p>
    <w:p w14:paraId="053BBF68" w14:textId="77777777" w:rsidR="00AC55F7" w:rsidRPr="00017A3F" w:rsidRDefault="006C736C">
      <w:pPr>
        <w:spacing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b/>
          <w:bCs/>
          <w:sz w:val="22"/>
          <w:szCs w:val="22"/>
        </w:rPr>
        <w:t xml:space="preserve">4. Turno. </w:t>
      </w:r>
      <w:r w:rsidRPr="00017A3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17A3F">
        <w:rPr>
          <w:rFonts w:ascii="Palatino Linotype" w:eastAsia="Palatino Linotype" w:hAnsi="Palatino Linotype" w:cs="Palatino Linotype"/>
          <w:b/>
          <w:bCs/>
          <w:sz w:val="22"/>
          <w:szCs w:val="22"/>
        </w:rPr>
        <w:t xml:space="preserve">Guadalupe Ramírez Peña, </w:t>
      </w:r>
      <w:r w:rsidRPr="00017A3F">
        <w:rPr>
          <w:rFonts w:ascii="Palatino Linotype" w:eastAsia="Palatino Linotype" w:hAnsi="Palatino Linotype" w:cs="Palatino Linotype"/>
          <w:sz w:val="22"/>
          <w:szCs w:val="22"/>
        </w:rPr>
        <w:t>a efecto de que analizara sobre su admisión o su desechamiento.</w:t>
      </w:r>
    </w:p>
    <w:p w14:paraId="602AAD9B" w14:textId="633905A9" w:rsidR="00AC55F7" w:rsidRPr="00017A3F" w:rsidRDefault="006C736C">
      <w:pPr>
        <w:spacing w:before="240" w:after="240" w:line="360" w:lineRule="auto"/>
        <w:jc w:val="both"/>
        <w:rPr>
          <w:rFonts w:ascii="Palatino Linotype" w:eastAsia="Palatino Linotype" w:hAnsi="Palatino Linotype" w:cs="Palatino Linotype"/>
          <w:b/>
          <w:bCs/>
          <w:sz w:val="22"/>
          <w:szCs w:val="22"/>
        </w:rPr>
      </w:pPr>
      <w:r w:rsidRPr="00017A3F">
        <w:rPr>
          <w:rFonts w:ascii="Palatino Linotype" w:eastAsia="Palatino Linotype" w:hAnsi="Palatino Linotype" w:cs="Palatino Linotype"/>
          <w:b/>
          <w:bCs/>
          <w:sz w:val="22"/>
          <w:szCs w:val="22"/>
        </w:rPr>
        <w:lastRenderedPageBreak/>
        <w:t>5. Admisión del Recurso de revisión.</w:t>
      </w:r>
      <w:r w:rsidRPr="00017A3F">
        <w:rPr>
          <w:rFonts w:ascii="Palatino Linotype" w:eastAsia="Palatino Linotype" w:hAnsi="Palatino Linotype" w:cs="Palatino Linotype"/>
          <w:sz w:val="22"/>
          <w:szCs w:val="22"/>
        </w:rPr>
        <w:t xml:space="preserve"> El</w:t>
      </w:r>
      <w:r w:rsidRPr="00017A3F">
        <w:rPr>
          <w:rFonts w:ascii="Palatino Linotype" w:eastAsia="Palatino Linotype" w:hAnsi="Palatino Linotype" w:cs="Palatino Linotype"/>
          <w:b/>
          <w:bCs/>
          <w:sz w:val="22"/>
          <w:szCs w:val="22"/>
        </w:rPr>
        <w:t xml:space="preserve"> </w:t>
      </w:r>
      <w:r w:rsidR="00D77A0E" w:rsidRPr="00017A3F">
        <w:rPr>
          <w:rFonts w:ascii="Palatino Linotype" w:eastAsia="Palatino Linotype" w:hAnsi="Palatino Linotype" w:cs="Palatino Linotype"/>
          <w:b/>
          <w:bCs/>
          <w:sz w:val="22"/>
          <w:szCs w:val="22"/>
        </w:rPr>
        <w:t>once de noviembre</w:t>
      </w:r>
      <w:r w:rsidRPr="00017A3F">
        <w:rPr>
          <w:rFonts w:ascii="Palatino Linotype" w:eastAsia="Palatino Linotype" w:hAnsi="Palatino Linotype" w:cs="Palatino Linotype"/>
          <w:b/>
          <w:bCs/>
          <w:sz w:val="22"/>
          <w:szCs w:val="22"/>
        </w:rPr>
        <w:t xml:space="preserve"> de dos mil veinticinco, </w:t>
      </w:r>
      <w:r w:rsidRPr="00017A3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17A3F">
        <w:rPr>
          <w:rFonts w:ascii="Palatino Linotype" w:eastAsia="Palatino Linotype" w:hAnsi="Palatino Linotype" w:cs="Palatino Linotype"/>
          <w:b/>
          <w:bCs/>
          <w:sz w:val="22"/>
          <w:szCs w:val="22"/>
        </w:rPr>
        <w:t xml:space="preserve">Sujeto Obligado </w:t>
      </w:r>
      <w:r w:rsidRPr="00017A3F">
        <w:rPr>
          <w:rFonts w:ascii="Palatino Linotype" w:eastAsia="Palatino Linotype" w:hAnsi="Palatino Linotype" w:cs="Palatino Linotype"/>
          <w:sz w:val="22"/>
          <w:szCs w:val="22"/>
        </w:rPr>
        <w:t>presentara su informe justificado.</w:t>
      </w:r>
    </w:p>
    <w:p w14:paraId="6052FAD1" w14:textId="4ED4541E" w:rsidR="00AC55F7" w:rsidRPr="00017A3F" w:rsidRDefault="006C736C">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017A3F">
        <w:rPr>
          <w:rFonts w:ascii="Palatino Linotype" w:eastAsia="Palatino Linotype" w:hAnsi="Palatino Linotype" w:cs="Palatino Linotype"/>
          <w:b/>
          <w:bCs/>
          <w:sz w:val="22"/>
          <w:szCs w:val="22"/>
        </w:rPr>
        <w:t>6. Manifestaciones</w:t>
      </w:r>
      <w:r w:rsidRPr="00017A3F">
        <w:rPr>
          <w:rFonts w:ascii="Palatino Linotype" w:eastAsia="Palatino Linotype" w:hAnsi="Palatino Linotype" w:cs="Palatino Linotype"/>
          <w:sz w:val="22"/>
          <w:szCs w:val="22"/>
        </w:rPr>
        <w:t xml:space="preserve">. El </w:t>
      </w:r>
      <w:r w:rsidR="00D77A0E" w:rsidRPr="00017A3F">
        <w:rPr>
          <w:rFonts w:ascii="Palatino Linotype" w:eastAsia="Palatino Linotype" w:hAnsi="Palatino Linotype" w:cs="Palatino Linotype"/>
          <w:b/>
          <w:bCs/>
          <w:sz w:val="22"/>
          <w:szCs w:val="22"/>
        </w:rPr>
        <w:t>veintiuno de noviembre</w:t>
      </w:r>
      <w:r w:rsidR="00687DBD" w:rsidRPr="00017A3F">
        <w:rPr>
          <w:rFonts w:ascii="Palatino Linotype" w:eastAsia="Palatino Linotype" w:hAnsi="Palatino Linotype" w:cs="Palatino Linotype"/>
          <w:b/>
          <w:bCs/>
          <w:sz w:val="22"/>
          <w:szCs w:val="22"/>
        </w:rPr>
        <w:t xml:space="preserve"> </w:t>
      </w:r>
      <w:r w:rsidRPr="00017A3F">
        <w:rPr>
          <w:rFonts w:ascii="Palatino Linotype" w:eastAsia="Palatino Linotype" w:hAnsi="Palatino Linotype" w:cs="Palatino Linotype"/>
          <w:b/>
          <w:bCs/>
          <w:sz w:val="22"/>
          <w:szCs w:val="22"/>
        </w:rPr>
        <w:t>de</w:t>
      </w:r>
      <w:r w:rsidRPr="00017A3F">
        <w:rPr>
          <w:rFonts w:ascii="Palatino Linotype" w:eastAsia="Palatino Linotype" w:hAnsi="Palatino Linotype" w:cs="Palatino Linotype"/>
          <w:sz w:val="22"/>
          <w:szCs w:val="22"/>
        </w:rPr>
        <w:t xml:space="preserve"> </w:t>
      </w:r>
      <w:r w:rsidRPr="00017A3F">
        <w:rPr>
          <w:rFonts w:ascii="Palatino Linotype" w:eastAsia="Palatino Linotype" w:hAnsi="Palatino Linotype" w:cs="Palatino Linotype"/>
          <w:b/>
          <w:bCs/>
          <w:sz w:val="22"/>
          <w:szCs w:val="22"/>
        </w:rPr>
        <w:t>dos mil veinticinco</w:t>
      </w:r>
      <w:r w:rsidRPr="00017A3F">
        <w:rPr>
          <w:rFonts w:ascii="Palatino Linotype" w:eastAsia="Palatino Linotype" w:hAnsi="Palatino Linotype" w:cs="Palatino Linotype"/>
          <w:sz w:val="22"/>
          <w:szCs w:val="22"/>
        </w:rPr>
        <w:t xml:space="preserve">, el </w:t>
      </w:r>
      <w:r w:rsidRPr="00017A3F">
        <w:rPr>
          <w:rFonts w:ascii="Palatino Linotype" w:eastAsia="Palatino Linotype" w:hAnsi="Palatino Linotype" w:cs="Palatino Linotype"/>
          <w:b/>
          <w:bCs/>
          <w:sz w:val="22"/>
          <w:szCs w:val="22"/>
        </w:rPr>
        <w:t>Sujeto Obligado</w:t>
      </w:r>
      <w:r w:rsidR="00687DBD" w:rsidRPr="00017A3F">
        <w:rPr>
          <w:rFonts w:ascii="Palatino Linotype" w:eastAsia="Palatino Linotype" w:hAnsi="Palatino Linotype" w:cs="Palatino Linotype"/>
          <w:sz w:val="22"/>
          <w:szCs w:val="22"/>
        </w:rPr>
        <w:t xml:space="preserve"> remitió, a través del SAIMEX el e</w:t>
      </w:r>
      <w:r w:rsidRPr="00017A3F">
        <w:rPr>
          <w:rFonts w:ascii="Palatino Linotype" w:eastAsia="Palatino Linotype" w:hAnsi="Palatino Linotype" w:cs="Palatino Linotype"/>
          <w:sz w:val="22"/>
          <w:szCs w:val="22"/>
        </w:rPr>
        <w:t>scrito mediante el cual el titular</w:t>
      </w:r>
      <w:r w:rsidR="00687DBD" w:rsidRPr="00017A3F">
        <w:rPr>
          <w:rFonts w:ascii="Palatino Linotype" w:eastAsia="Palatino Linotype" w:hAnsi="Palatino Linotype" w:cs="Palatino Linotype"/>
          <w:sz w:val="22"/>
          <w:szCs w:val="22"/>
        </w:rPr>
        <w:t xml:space="preserve"> de la Unidad de Transparencia </w:t>
      </w:r>
      <w:r w:rsidRPr="00017A3F">
        <w:rPr>
          <w:rFonts w:ascii="Palatino Linotype" w:eastAsia="Palatino Linotype" w:hAnsi="Palatino Linotype" w:cs="Palatino Linotype"/>
          <w:sz w:val="22"/>
          <w:szCs w:val="22"/>
        </w:rPr>
        <w:t>ratificó la respuesta proporcionada en primera instancia.</w:t>
      </w:r>
    </w:p>
    <w:p w14:paraId="6A6D06E7"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7341545A" w14:textId="29EBB106" w:rsidR="00290DEF" w:rsidRPr="00017A3F" w:rsidRDefault="00290DEF" w:rsidP="00290DEF">
      <w:pPr>
        <w:widowControl w:val="0"/>
        <w:spacing w:before="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b/>
          <w:sz w:val="22"/>
          <w:szCs w:val="22"/>
        </w:rPr>
        <w:t>7</w:t>
      </w:r>
      <w:r w:rsidR="0030021D" w:rsidRPr="00017A3F">
        <w:rPr>
          <w:rFonts w:ascii="Palatino Linotype" w:eastAsia="Palatino Linotype" w:hAnsi="Palatino Linotype" w:cs="Palatino Linotype"/>
          <w:b/>
          <w:sz w:val="22"/>
          <w:szCs w:val="22"/>
        </w:rPr>
        <w:t>.</w:t>
      </w:r>
      <w:r w:rsidR="00D77A0E" w:rsidRPr="00017A3F">
        <w:rPr>
          <w:rFonts w:ascii="Palatino Linotype" w:eastAsia="Palatino Linotype" w:hAnsi="Palatino Linotype" w:cs="Palatino Linotype"/>
          <w:b/>
          <w:sz w:val="22"/>
          <w:szCs w:val="22"/>
        </w:rPr>
        <w:t xml:space="preserve"> </w:t>
      </w:r>
      <w:r w:rsidRPr="00017A3F">
        <w:rPr>
          <w:rFonts w:ascii="Palatino Linotype" w:eastAsia="Palatino Linotype" w:hAnsi="Palatino Linotype" w:cs="Palatino Linotype"/>
          <w:b/>
          <w:bCs/>
          <w:sz w:val="22"/>
          <w:szCs w:val="22"/>
        </w:rPr>
        <w:t xml:space="preserve">Cierre de instrucción. </w:t>
      </w:r>
      <w:r w:rsidRPr="00017A3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D77A0E" w:rsidRPr="00017A3F">
        <w:rPr>
          <w:rFonts w:ascii="Palatino Linotype" w:eastAsia="Palatino Linotype" w:hAnsi="Palatino Linotype" w:cs="Palatino Linotype"/>
          <w:b/>
          <w:bCs/>
          <w:sz w:val="22"/>
          <w:szCs w:val="22"/>
        </w:rPr>
        <w:t xml:space="preserve">cinco de diciembre </w:t>
      </w:r>
      <w:r w:rsidRPr="00017A3F">
        <w:rPr>
          <w:rFonts w:ascii="Palatino Linotype" w:eastAsia="Palatino Linotype" w:hAnsi="Palatino Linotype" w:cs="Palatino Linotype"/>
          <w:b/>
          <w:bCs/>
          <w:sz w:val="22"/>
          <w:szCs w:val="22"/>
        </w:rPr>
        <w:t>de dos mil veinticinco</w:t>
      </w:r>
      <w:r w:rsidRPr="00017A3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7ACC9F3" w14:textId="14F5D9A4" w:rsidR="00025502"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ACC4FDB" w14:textId="77777777" w:rsidR="00AC55F7" w:rsidRPr="00017A3F" w:rsidRDefault="006C736C">
      <w:pPr>
        <w:widowControl w:val="0"/>
        <w:spacing w:before="240" w:after="240" w:line="360" w:lineRule="auto"/>
        <w:jc w:val="center"/>
        <w:rPr>
          <w:rFonts w:ascii="Palatino Linotype" w:eastAsia="Palatino Linotype" w:hAnsi="Palatino Linotype" w:cs="Palatino Linotype"/>
          <w:b/>
          <w:bCs/>
          <w:sz w:val="22"/>
          <w:szCs w:val="22"/>
        </w:rPr>
      </w:pPr>
      <w:r w:rsidRPr="00017A3F">
        <w:rPr>
          <w:rFonts w:ascii="Palatino Linotype" w:eastAsia="Palatino Linotype" w:hAnsi="Palatino Linotype" w:cs="Palatino Linotype"/>
          <w:b/>
          <w:bCs/>
          <w:sz w:val="22"/>
          <w:szCs w:val="22"/>
        </w:rPr>
        <w:t>II. C O N S I D E R A N D O S</w:t>
      </w:r>
    </w:p>
    <w:p w14:paraId="0B2089EF"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b/>
          <w:bCs/>
          <w:sz w:val="22"/>
          <w:szCs w:val="22"/>
        </w:rPr>
        <w:t>Primero. Competencia.</w:t>
      </w:r>
      <w:r w:rsidRPr="00017A3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A585596"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017A3F">
        <w:rPr>
          <w:rFonts w:ascii="Palatino Linotype" w:eastAsia="Palatino Linotype" w:hAnsi="Palatino Linotype" w:cs="Palatino Linotype"/>
          <w:b/>
          <w:bCs/>
          <w:sz w:val="22"/>
          <w:szCs w:val="22"/>
        </w:rPr>
        <w:t>Segundo. Oportunidad y Procedibilidad del Recurso de Revisión</w:t>
      </w:r>
      <w:r w:rsidRPr="00017A3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9D84B70" w14:textId="72BCABCD"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017A3F">
        <w:rPr>
          <w:rFonts w:ascii="Palatino Linotype" w:eastAsia="Palatino Linotype" w:hAnsi="Palatino Linotype" w:cs="Palatino Linotype"/>
          <w:b/>
          <w:bCs/>
          <w:sz w:val="22"/>
          <w:szCs w:val="22"/>
        </w:rPr>
        <w:t xml:space="preserve">Sujeto Obligado </w:t>
      </w:r>
      <w:r w:rsidRPr="00017A3F">
        <w:rPr>
          <w:rFonts w:ascii="Palatino Linotype" w:eastAsia="Palatino Linotype" w:hAnsi="Palatino Linotype" w:cs="Palatino Linotype"/>
          <w:sz w:val="22"/>
          <w:szCs w:val="22"/>
        </w:rPr>
        <w:t xml:space="preserve">remitió la respuesta a la solicitud de información el día </w:t>
      </w:r>
      <w:r w:rsidR="00D77A0E" w:rsidRPr="00017A3F">
        <w:rPr>
          <w:rFonts w:ascii="Palatino Linotype" w:eastAsia="Palatino Linotype" w:hAnsi="Palatino Linotype" w:cs="Palatino Linotype"/>
          <w:b/>
          <w:bCs/>
          <w:sz w:val="22"/>
          <w:szCs w:val="22"/>
        </w:rPr>
        <w:t>dieciséis de octubre</w:t>
      </w:r>
      <w:r w:rsidRPr="00017A3F">
        <w:rPr>
          <w:rFonts w:ascii="Palatino Linotype" w:eastAsia="Palatino Linotype" w:hAnsi="Palatino Linotype" w:cs="Palatino Linotype"/>
          <w:b/>
          <w:bCs/>
          <w:sz w:val="22"/>
          <w:szCs w:val="22"/>
        </w:rPr>
        <w:t xml:space="preserve"> de dos mil veinticinco, </w:t>
      </w:r>
      <w:r w:rsidRPr="00017A3F">
        <w:rPr>
          <w:rFonts w:ascii="Palatino Linotype" w:eastAsia="Palatino Linotype" w:hAnsi="Palatino Linotype" w:cs="Palatino Linotype"/>
          <w:sz w:val="22"/>
          <w:szCs w:val="22"/>
        </w:rPr>
        <w:t xml:space="preserve">mientras que el recurso de revisión interpuesto por la parte </w:t>
      </w:r>
      <w:r w:rsidRPr="00017A3F">
        <w:rPr>
          <w:rFonts w:ascii="Palatino Linotype" w:eastAsia="Palatino Linotype" w:hAnsi="Palatino Linotype" w:cs="Palatino Linotype"/>
          <w:b/>
          <w:bCs/>
          <w:sz w:val="22"/>
          <w:szCs w:val="22"/>
        </w:rPr>
        <w:t xml:space="preserve">Recurrente, </w:t>
      </w:r>
      <w:r w:rsidRPr="00017A3F">
        <w:rPr>
          <w:rFonts w:ascii="Palatino Linotype" w:eastAsia="Palatino Linotype" w:hAnsi="Palatino Linotype" w:cs="Palatino Linotype"/>
          <w:sz w:val="22"/>
          <w:szCs w:val="22"/>
        </w:rPr>
        <w:t>se tuvo por presentado el día</w:t>
      </w:r>
      <w:r w:rsidRPr="00017A3F">
        <w:rPr>
          <w:rFonts w:ascii="Palatino Linotype" w:eastAsia="Palatino Linotype" w:hAnsi="Palatino Linotype" w:cs="Palatino Linotype"/>
          <w:b/>
          <w:bCs/>
          <w:sz w:val="22"/>
          <w:szCs w:val="22"/>
        </w:rPr>
        <w:t xml:space="preserve"> </w:t>
      </w:r>
      <w:r w:rsidR="00D77A0E" w:rsidRPr="00017A3F">
        <w:rPr>
          <w:rFonts w:ascii="Palatino Linotype" w:eastAsia="Palatino Linotype" w:hAnsi="Palatino Linotype" w:cs="Palatino Linotype"/>
          <w:b/>
          <w:bCs/>
          <w:sz w:val="22"/>
          <w:szCs w:val="22"/>
        </w:rPr>
        <w:t>seis de noviembre</w:t>
      </w:r>
      <w:r w:rsidR="00025502" w:rsidRPr="00017A3F">
        <w:rPr>
          <w:rFonts w:ascii="Palatino Linotype" w:eastAsia="Palatino Linotype" w:hAnsi="Palatino Linotype" w:cs="Palatino Linotype"/>
          <w:b/>
          <w:bCs/>
          <w:sz w:val="22"/>
          <w:szCs w:val="22"/>
        </w:rPr>
        <w:t xml:space="preserve"> </w:t>
      </w:r>
      <w:r w:rsidRPr="00017A3F">
        <w:rPr>
          <w:rFonts w:ascii="Palatino Linotype" w:eastAsia="Palatino Linotype" w:hAnsi="Palatino Linotype" w:cs="Palatino Linotype"/>
          <w:b/>
          <w:bCs/>
          <w:sz w:val="22"/>
          <w:szCs w:val="22"/>
        </w:rPr>
        <w:t xml:space="preserve">de dos mil veinticinco, </w:t>
      </w:r>
      <w:r w:rsidRPr="00017A3F">
        <w:rPr>
          <w:rFonts w:ascii="Palatino Linotype" w:eastAsia="Palatino Linotype" w:hAnsi="Palatino Linotype" w:cs="Palatino Linotype"/>
          <w:sz w:val="22"/>
          <w:szCs w:val="22"/>
        </w:rPr>
        <w:t xml:space="preserve">esto es, al </w:t>
      </w:r>
      <w:r w:rsidR="00D77A0E" w:rsidRPr="00017A3F">
        <w:rPr>
          <w:rFonts w:ascii="Palatino Linotype" w:eastAsia="Palatino Linotype" w:hAnsi="Palatino Linotype" w:cs="Palatino Linotype"/>
          <w:sz w:val="22"/>
          <w:szCs w:val="22"/>
        </w:rPr>
        <w:t>décimo quinto</w:t>
      </w:r>
      <w:r w:rsidRPr="00017A3F">
        <w:rPr>
          <w:rFonts w:ascii="Palatino Linotype" w:eastAsia="Palatino Linotype" w:hAnsi="Palatino Linotype" w:cs="Palatino Linotype"/>
          <w:sz w:val="22"/>
          <w:szCs w:val="22"/>
        </w:rPr>
        <w:t xml:space="preserve"> día hábil posterior a aquel en el que tuvo conocimiento de la respuesta impugnada. En este sentido, se concluye que el presente recurso de revisión se encuentra dentro de los márgenes temporales previstos en las disposiciones legales referidas.</w:t>
      </w:r>
    </w:p>
    <w:p w14:paraId="3A81CC53" w14:textId="77777777" w:rsidR="00364378" w:rsidRPr="00017A3F" w:rsidRDefault="00364378" w:rsidP="00364378">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Además, por cuanto hace a la procedibilidad del recurso de revisión, es de suma importancia señalar que la parte</w:t>
      </w:r>
      <w:r w:rsidRPr="00017A3F">
        <w:rPr>
          <w:rFonts w:ascii="Palatino Linotype" w:eastAsia="Palatino Linotype" w:hAnsi="Palatino Linotype" w:cs="Palatino Linotype"/>
          <w:b/>
          <w:sz w:val="22"/>
          <w:szCs w:val="22"/>
        </w:rPr>
        <w:t xml:space="preserve"> Recurrente</w:t>
      </w:r>
      <w:r w:rsidRPr="00017A3F">
        <w:rPr>
          <w:rFonts w:ascii="Palatino Linotype" w:eastAsia="Palatino Linotype" w:hAnsi="Palatino Linotype" w:cs="Palatino Linotype"/>
          <w:sz w:val="22"/>
          <w:szCs w:val="22"/>
        </w:rPr>
        <w:t xml:space="preserve">, no señaló </w:t>
      </w:r>
      <w:r w:rsidRPr="00017A3F">
        <w:rPr>
          <w:rFonts w:ascii="Palatino Linotype" w:eastAsia="Palatino Linotype" w:hAnsi="Palatino Linotype" w:cs="Palatino Linotype"/>
          <w:b/>
          <w:sz w:val="22"/>
          <w:szCs w:val="22"/>
        </w:rPr>
        <w:t>nombre o seudónimo,</w:t>
      </w:r>
      <w:r w:rsidRPr="00017A3F">
        <w:rPr>
          <w:rFonts w:ascii="Palatino Linotype" w:eastAsia="Palatino Linotype" w:hAnsi="Palatino Linotype" w:cs="Palatino Linotype"/>
          <w:sz w:val="22"/>
          <w:szCs w:val="22"/>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0886C96" w14:textId="77777777" w:rsidR="00364378" w:rsidRPr="00017A3F" w:rsidRDefault="00364378" w:rsidP="00364378">
      <w:pPr>
        <w:spacing w:before="120" w:after="120"/>
        <w:ind w:left="851" w:right="902"/>
        <w:jc w:val="both"/>
        <w:rPr>
          <w:rFonts w:ascii="Palatino Linotype" w:eastAsia="Palatino Linotype" w:hAnsi="Palatino Linotype" w:cs="Palatino Linotype"/>
          <w:i/>
          <w:sz w:val="22"/>
          <w:szCs w:val="22"/>
        </w:rPr>
      </w:pPr>
      <w:r w:rsidRPr="00017A3F">
        <w:rPr>
          <w:rFonts w:ascii="Palatino Linotype" w:eastAsia="Palatino Linotype" w:hAnsi="Palatino Linotype" w:cs="Palatino Linotype"/>
          <w:i/>
          <w:sz w:val="22"/>
          <w:szCs w:val="22"/>
        </w:rPr>
        <w:t>"</w:t>
      </w:r>
      <w:r w:rsidRPr="00017A3F">
        <w:rPr>
          <w:rFonts w:ascii="Palatino Linotype" w:eastAsia="Palatino Linotype" w:hAnsi="Palatino Linotype" w:cs="Palatino Linotype"/>
          <w:b/>
          <w:i/>
          <w:sz w:val="22"/>
          <w:szCs w:val="22"/>
        </w:rPr>
        <w:t>Las solicitudes anónimas</w:t>
      </w:r>
      <w:r w:rsidRPr="00017A3F">
        <w:rPr>
          <w:rFonts w:ascii="Palatino Linotype" w:eastAsia="Palatino Linotype" w:hAnsi="Palatino Linotype" w:cs="Palatino Linotype"/>
          <w:i/>
          <w:sz w:val="22"/>
          <w:szCs w:val="22"/>
        </w:rPr>
        <w:t xml:space="preserve">, con nombre incompleto o </w:t>
      </w:r>
      <w:r w:rsidRPr="00017A3F">
        <w:rPr>
          <w:rFonts w:ascii="Palatino Linotype" w:eastAsia="Palatino Linotype" w:hAnsi="Palatino Linotype" w:cs="Palatino Linotype"/>
          <w:b/>
          <w:i/>
          <w:sz w:val="22"/>
          <w:szCs w:val="22"/>
        </w:rPr>
        <w:t>seudónimo</w:t>
      </w:r>
      <w:r w:rsidRPr="00017A3F">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2CBA8791" w14:textId="77777777" w:rsidR="00364378" w:rsidRPr="00017A3F" w:rsidRDefault="00364378" w:rsidP="00364378">
      <w:pPr>
        <w:spacing w:before="240" w:after="240" w:line="360" w:lineRule="auto"/>
        <w:jc w:val="both"/>
        <w:rPr>
          <w:rFonts w:ascii="Palatino Linotype" w:eastAsia="Palatino Linotype" w:hAnsi="Palatino Linotype" w:cs="Palatino Linotype"/>
          <w:b/>
          <w:sz w:val="22"/>
          <w:szCs w:val="22"/>
        </w:rPr>
      </w:pPr>
      <w:r w:rsidRPr="00017A3F">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017A3F">
        <w:rPr>
          <w:rFonts w:ascii="Palatino Linotype" w:eastAsia="Palatino Linotype" w:hAnsi="Palatino Linotype" w:cs="Palatino Linotype"/>
          <w:b/>
          <w:sz w:val="22"/>
          <w:szCs w:val="22"/>
        </w:rPr>
        <w:t xml:space="preserve"> SAIMEX.</w:t>
      </w:r>
    </w:p>
    <w:p w14:paraId="568AF319" w14:textId="29E523CA"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017A3F">
        <w:rPr>
          <w:rFonts w:ascii="Palatino Linotype" w:eastAsia="Palatino Linotype" w:hAnsi="Palatino Linotype" w:cs="Palatino Linotype"/>
          <w:b/>
          <w:bCs/>
          <w:sz w:val="22"/>
          <w:szCs w:val="22"/>
        </w:rPr>
        <w:t>Recurrente</w:t>
      </w:r>
      <w:r w:rsidRPr="00017A3F">
        <w:rPr>
          <w:rFonts w:ascii="Palatino Linotype" w:eastAsia="Palatino Linotype" w:hAnsi="Palatino Linotype" w:cs="Palatino Linotype"/>
          <w:sz w:val="22"/>
          <w:szCs w:val="22"/>
        </w:rPr>
        <w:t xml:space="preserve"> en sus motivos de inconformidad, de acuerdo al artículo</w:t>
      </w:r>
      <w:r w:rsidR="00025502" w:rsidRPr="00017A3F">
        <w:rPr>
          <w:rFonts w:ascii="Palatino Linotype" w:eastAsia="Palatino Linotype" w:hAnsi="Palatino Linotype" w:cs="Palatino Linotype"/>
          <w:sz w:val="22"/>
          <w:szCs w:val="22"/>
        </w:rPr>
        <w:t xml:space="preserve"> 179, fracción </w:t>
      </w:r>
      <w:r w:rsidR="00364378" w:rsidRPr="00017A3F">
        <w:rPr>
          <w:rFonts w:ascii="Palatino Linotype" w:eastAsia="Palatino Linotype" w:hAnsi="Palatino Linotype" w:cs="Palatino Linotype"/>
          <w:sz w:val="22"/>
          <w:szCs w:val="22"/>
        </w:rPr>
        <w:t>V</w:t>
      </w:r>
      <w:r w:rsidRPr="00017A3F">
        <w:rPr>
          <w:rFonts w:ascii="Palatino Linotype" w:eastAsia="Palatino Linotype" w:hAnsi="Palatino Linotype" w:cs="Palatino Linotype"/>
          <w:sz w:val="22"/>
          <w:szCs w:val="22"/>
        </w:rPr>
        <w:t xml:space="preserve"> del ordenamiento legal citado, que a la letra dice: </w:t>
      </w:r>
    </w:p>
    <w:p w14:paraId="2B9CEDDC" w14:textId="77777777" w:rsidR="00AC55F7" w:rsidRPr="00017A3F" w:rsidRDefault="006C736C">
      <w:pPr>
        <w:tabs>
          <w:tab w:val="left" w:pos="7938"/>
        </w:tabs>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r w:rsidRPr="00017A3F">
        <w:rPr>
          <w:rFonts w:ascii="Palatino Linotype" w:eastAsia="Palatino Linotype" w:hAnsi="Palatino Linotype" w:cs="Palatino Linotype"/>
          <w:b/>
          <w:bCs/>
          <w:i/>
          <w:iCs/>
          <w:sz w:val="22"/>
          <w:szCs w:val="22"/>
        </w:rPr>
        <w:t>Artículo 179.</w:t>
      </w:r>
      <w:r w:rsidRPr="00017A3F">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5AD18790" w14:textId="3930E39F" w:rsidR="00364378" w:rsidRPr="00017A3F" w:rsidRDefault="00364378">
      <w:pPr>
        <w:tabs>
          <w:tab w:val="left" w:pos="7938"/>
        </w:tabs>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p>
    <w:p w14:paraId="3E5DDA5A" w14:textId="6DF63CD6" w:rsidR="00AC55F7" w:rsidRPr="00017A3F" w:rsidRDefault="00364378" w:rsidP="00025502">
      <w:pPr>
        <w:tabs>
          <w:tab w:val="left" w:pos="7938"/>
        </w:tabs>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i/>
          <w:iCs/>
          <w:sz w:val="22"/>
          <w:szCs w:val="22"/>
        </w:rPr>
        <w:t xml:space="preserve">V. </w:t>
      </w:r>
      <w:r w:rsidRPr="00017A3F">
        <w:rPr>
          <w:rFonts w:ascii="Palatino Linotype" w:eastAsia="Palatino Linotype" w:hAnsi="Palatino Linotype" w:cs="Palatino Linotype"/>
          <w:bCs/>
          <w:i/>
          <w:iCs/>
          <w:sz w:val="22"/>
          <w:szCs w:val="22"/>
        </w:rPr>
        <w:t>La entrega de información incompleta</w:t>
      </w:r>
      <w:r w:rsidR="00025502" w:rsidRPr="00017A3F">
        <w:rPr>
          <w:rFonts w:ascii="Palatino Linotype" w:eastAsia="Palatino Linotype" w:hAnsi="Palatino Linotype" w:cs="Palatino Linotype"/>
          <w:bCs/>
          <w:i/>
          <w:iCs/>
          <w:sz w:val="22"/>
          <w:szCs w:val="22"/>
        </w:rPr>
        <w:t>;</w:t>
      </w:r>
      <w:r w:rsidR="006C736C" w:rsidRPr="00017A3F">
        <w:rPr>
          <w:rFonts w:ascii="Palatino Linotype" w:eastAsia="Palatino Linotype" w:hAnsi="Palatino Linotype" w:cs="Palatino Linotype"/>
          <w:bCs/>
          <w:i/>
          <w:iCs/>
          <w:sz w:val="22"/>
          <w:szCs w:val="22"/>
        </w:rPr>
        <w:t>”</w:t>
      </w:r>
    </w:p>
    <w:p w14:paraId="318E88D6" w14:textId="77777777" w:rsidR="00AC55F7" w:rsidRPr="00017A3F" w:rsidRDefault="006C736C">
      <w:pPr>
        <w:spacing w:before="240" w:after="240" w:line="360" w:lineRule="auto"/>
        <w:jc w:val="both"/>
        <w:rPr>
          <w:rFonts w:ascii="Palatino Linotype" w:eastAsia="Palatino Linotype" w:hAnsi="Palatino Linotype" w:cs="Palatino Linotype"/>
          <w:b/>
          <w:bCs/>
          <w:sz w:val="22"/>
          <w:szCs w:val="22"/>
        </w:rPr>
      </w:pPr>
      <w:r w:rsidRPr="00017A3F">
        <w:rPr>
          <w:rFonts w:ascii="Palatino Linotype" w:eastAsia="Palatino Linotype" w:hAnsi="Palatino Linotype" w:cs="Palatino Linotype"/>
          <w:b/>
          <w:bCs/>
          <w:sz w:val="22"/>
          <w:szCs w:val="22"/>
        </w:rPr>
        <w:t xml:space="preserve">Tercero. Materia de la revisión. </w:t>
      </w:r>
      <w:r w:rsidRPr="00017A3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017A3F">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017A3F">
        <w:rPr>
          <w:rFonts w:ascii="Palatino Linotype" w:eastAsia="Palatino Linotype" w:hAnsi="Palatino Linotype" w:cs="Palatino Linotype"/>
          <w:sz w:val="22"/>
          <w:szCs w:val="22"/>
        </w:rPr>
        <w:t xml:space="preserve">de la parte </w:t>
      </w:r>
      <w:r w:rsidRPr="00017A3F">
        <w:rPr>
          <w:rFonts w:ascii="Palatino Linotype" w:eastAsia="Palatino Linotype" w:hAnsi="Palatino Linotype" w:cs="Palatino Linotype"/>
          <w:b/>
          <w:bCs/>
          <w:sz w:val="22"/>
          <w:szCs w:val="22"/>
        </w:rPr>
        <w:t>Recurrente</w:t>
      </w:r>
      <w:r w:rsidRPr="00017A3F">
        <w:rPr>
          <w:rFonts w:ascii="Palatino Linotype" w:eastAsia="Palatino Linotype" w:hAnsi="Palatino Linotype" w:cs="Palatino Linotype"/>
          <w:sz w:val="22"/>
          <w:szCs w:val="22"/>
        </w:rPr>
        <w:t>, o en su defecto, en caso de ser procedente, ordenar la entrega de información.</w:t>
      </w:r>
    </w:p>
    <w:p w14:paraId="442440ED"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017A3F">
        <w:rPr>
          <w:rFonts w:ascii="Palatino Linotype" w:eastAsia="Palatino Linotype" w:hAnsi="Palatino Linotype" w:cs="Palatino Linotype"/>
          <w:b/>
          <w:bCs/>
          <w:sz w:val="22"/>
          <w:szCs w:val="22"/>
        </w:rPr>
        <w:t xml:space="preserve">Cuarto. Estudio del asunto. </w:t>
      </w:r>
      <w:r w:rsidRPr="00017A3F">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DDB8D01"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r w:rsidRPr="00017A3F">
        <w:rPr>
          <w:rFonts w:ascii="Palatino Linotype" w:eastAsia="Palatino Linotype" w:hAnsi="Palatino Linotype" w:cs="Palatino Linotype"/>
          <w:b/>
          <w:bCs/>
          <w:i/>
          <w:iCs/>
          <w:sz w:val="22"/>
          <w:szCs w:val="22"/>
        </w:rPr>
        <w:t>Artículo 4</w:t>
      </w:r>
      <w:r w:rsidRPr="00017A3F">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BD2F17"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017A3F">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C44306"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017A3F">
        <w:rPr>
          <w:rFonts w:ascii="Palatino Linotype" w:eastAsia="Palatino Linotype" w:hAnsi="Palatino Linotype" w:cs="Palatino Linotype"/>
          <w:i/>
          <w:iCs/>
          <w:sz w:val="22"/>
          <w:szCs w:val="22"/>
        </w:rPr>
        <w:t>.”</w:t>
      </w:r>
    </w:p>
    <w:p w14:paraId="224C0377"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92DAE3E"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“Artículo 12.-</w:t>
      </w:r>
      <w:r w:rsidRPr="00017A3F">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8825B56"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017A3F">
        <w:rPr>
          <w:rFonts w:ascii="Palatino Linotype" w:eastAsia="Palatino Linotype" w:hAnsi="Palatino Linotype" w:cs="Palatino Linotype"/>
          <w:i/>
          <w:iCs/>
          <w:sz w:val="22"/>
          <w:szCs w:val="22"/>
        </w:rPr>
        <w:t xml:space="preserve">. </w:t>
      </w:r>
      <w:r w:rsidRPr="00017A3F">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BF6D1C6" w14:textId="77777777" w:rsidR="00AC55F7" w:rsidRPr="00017A3F" w:rsidRDefault="006C736C">
      <w:pPr>
        <w:spacing w:before="240" w:after="240" w:line="360" w:lineRule="auto"/>
        <w:ind w:right="-93"/>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6DA8979" w14:textId="23990F06" w:rsidR="00AC55F7" w:rsidRPr="00017A3F" w:rsidRDefault="006C736C">
      <w:pPr>
        <w:spacing w:before="240" w:after="240" w:line="360" w:lineRule="auto"/>
        <w:jc w:val="both"/>
        <w:rPr>
          <w:rFonts w:ascii="Palatino Linotype" w:eastAsia="Palatino Linotype" w:hAnsi="Palatino Linotype" w:cs="Palatino Linotype"/>
          <w:b/>
          <w:bCs/>
          <w:sz w:val="22"/>
          <w:szCs w:val="22"/>
        </w:rPr>
      </w:pPr>
      <w:r w:rsidRPr="00017A3F">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w:t>
      </w:r>
      <w:r w:rsidR="00364378" w:rsidRPr="00017A3F">
        <w:rPr>
          <w:rFonts w:ascii="Palatino Linotype" w:eastAsia="Palatino Linotype" w:hAnsi="Palatino Linotype" w:cs="Palatino Linotype"/>
          <w:sz w:val="22"/>
          <w:szCs w:val="22"/>
        </w:rPr>
        <w:t>,</w:t>
      </w:r>
      <w:r w:rsidRPr="00017A3F">
        <w:rPr>
          <w:rFonts w:ascii="Palatino Linotype" w:eastAsia="Palatino Linotype" w:hAnsi="Palatino Linotype" w:cs="Palatino Linotype"/>
          <w:sz w:val="22"/>
          <w:szCs w:val="22"/>
        </w:rPr>
        <w:t xml:space="preserve"> por rubro y texto, dispone lo siguiente:</w:t>
      </w:r>
      <w:r w:rsidRPr="00017A3F">
        <w:rPr>
          <w:rFonts w:ascii="Palatino Linotype" w:eastAsia="Palatino Linotype" w:hAnsi="Palatino Linotype" w:cs="Palatino Linotype"/>
          <w:b/>
          <w:bCs/>
          <w:sz w:val="22"/>
          <w:szCs w:val="22"/>
        </w:rPr>
        <w:t xml:space="preserve"> </w:t>
      </w:r>
    </w:p>
    <w:p w14:paraId="18D8BA0E" w14:textId="77777777" w:rsidR="00AC55F7" w:rsidRPr="00017A3F" w:rsidRDefault="006C736C">
      <w:pPr>
        <w:spacing w:before="120" w:after="120"/>
        <w:ind w:left="1134"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 xml:space="preserve"> “</w:t>
      </w:r>
      <w:r w:rsidRPr="00017A3F">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017A3F">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D666F6C" w14:textId="77777777" w:rsidR="00AC55F7" w:rsidRPr="00017A3F" w:rsidRDefault="006C736C">
      <w:pPr>
        <w:spacing w:before="120" w:after="12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DCD4EE2" w14:textId="77777777" w:rsidR="00AC55F7" w:rsidRPr="00017A3F" w:rsidRDefault="006C736C">
      <w:pPr>
        <w:spacing w:before="120" w:after="12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582D55"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r w:rsidRPr="00017A3F">
        <w:rPr>
          <w:rFonts w:ascii="Palatino Linotype" w:eastAsia="Palatino Linotype" w:hAnsi="Palatino Linotype" w:cs="Palatino Linotype"/>
          <w:b/>
          <w:bCs/>
          <w:i/>
          <w:iCs/>
          <w:sz w:val="22"/>
          <w:szCs w:val="22"/>
        </w:rPr>
        <w:t xml:space="preserve">Artículo 3. </w:t>
      </w:r>
      <w:r w:rsidRPr="00017A3F">
        <w:rPr>
          <w:rFonts w:ascii="Palatino Linotype" w:eastAsia="Palatino Linotype" w:hAnsi="Palatino Linotype" w:cs="Palatino Linotype"/>
          <w:i/>
          <w:iCs/>
          <w:sz w:val="22"/>
          <w:szCs w:val="22"/>
        </w:rPr>
        <w:t>Para los efectos de la presente Ley se entenderá por:</w:t>
      </w:r>
    </w:p>
    <w:p w14:paraId="69D0122F"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p>
    <w:p w14:paraId="6E567C19"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XI. Documento:</w:t>
      </w:r>
      <w:r w:rsidRPr="00017A3F">
        <w:rPr>
          <w:rFonts w:ascii="Palatino Linotype" w:eastAsia="Palatino Linotype" w:hAnsi="Palatino Linotype" w:cs="Palatino Linotype"/>
          <w:i/>
          <w:iCs/>
          <w:sz w:val="22"/>
          <w:szCs w:val="22"/>
        </w:rPr>
        <w:t xml:space="preserve"> Los expedientes, reportes, estudios, actas</w:t>
      </w:r>
      <w:r w:rsidRPr="00017A3F">
        <w:rPr>
          <w:rFonts w:ascii="Palatino Linotype" w:eastAsia="Palatino Linotype" w:hAnsi="Palatino Linotype" w:cs="Palatino Linotype"/>
          <w:b/>
          <w:bCs/>
          <w:i/>
          <w:iCs/>
          <w:sz w:val="22"/>
          <w:szCs w:val="22"/>
        </w:rPr>
        <w:t>,</w:t>
      </w:r>
      <w:r w:rsidRPr="00017A3F">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6E3C1EC"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A933181"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sz w:val="22"/>
          <w:szCs w:val="22"/>
        </w:rPr>
        <w:t>“</w:t>
      </w:r>
      <w:r w:rsidRPr="00017A3F">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017A3F">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DF199A"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28E5E677"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16C71B94"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6F79C704"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2DD4E4E2" w14:textId="77777777" w:rsidR="00AC55F7" w:rsidRPr="00017A3F" w:rsidRDefault="006C736C">
      <w:pPr>
        <w:spacing w:before="240" w:after="240" w:line="360" w:lineRule="auto"/>
        <w:ind w:right="51"/>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B5D7277"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AFD1A32" w14:textId="77777777" w:rsidR="00AC55F7" w:rsidRPr="00017A3F" w:rsidRDefault="006C736C">
      <w:pPr>
        <w:spacing w:before="240" w:after="240" w:line="360" w:lineRule="auto"/>
        <w:ind w:right="51"/>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017A3F">
        <w:rPr>
          <w:rFonts w:ascii="Palatino Linotype" w:eastAsia="Palatino Linotype" w:hAnsi="Palatino Linotype" w:cs="Palatino Linotype"/>
          <w:b/>
          <w:bCs/>
          <w:sz w:val="22"/>
          <w:szCs w:val="22"/>
        </w:rPr>
        <w:t>Recurrente</w:t>
      </w:r>
      <w:r w:rsidRPr="00017A3F">
        <w:rPr>
          <w:rFonts w:ascii="Palatino Linotype" w:eastAsia="Palatino Linotype" w:hAnsi="Palatino Linotype" w:cs="Palatino Linotype"/>
          <w:sz w:val="22"/>
          <w:szCs w:val="22"/>
        </w:rPr>
        <w:t xml:space="preserve"> requirió al </w:t>
      </w:r>
      <w:r w:rsidRPr="00017A3F">
        <w:rPr>
          <w:rFonts w:ascii="Palatino Linotype" w:eastAsia="Palatino Linotype" w:hAnsi="Palatino Linotype" w:cs="Palatino Linotype"/>
          <w:b/>
          <w:bCs/>
          <w:sz w:val="22"/>
          <w:szCs w:val="22"/>
        </w:rPr>
        <w:t xml:space="preserve">Sujeto Obligado </w:t>
      </w:r>
      <w:r w:rsidRPr="00017A3F">
        <w:rPr>
          <w:rFonts w:ascii="Palatino Linotype" w:eastAsia="Palatino Linotype" w:hAnsi="Palatino Linotype" w:cs="Palatino Linotype"/>
          <w:sz w:val="22"/>
          <w:szCs w:val="22"/>
        </w:rPr>
        <w:t>le proporcione, información consistente en lo siguiente:</w:t>
      </w:r>
    </w:p>
    <w:p w14:paraId="769DBA5D" w14:textId="4B150385" w:rsidR="003461CE" w:rsidRPr="00017A3F" w:rsidRDefault="003461CE" w:rsidP="00364378">
      <w:pPr>
        <w:pBdr>
          <w:top w:val="nil"/>
          <w:left w:val="nil"/>
          <w:bottom w:val="nil"/>
          <w:right w:val="nil"/>
          <w:between w:val="nil"/>
        </w:pBdr>
        <w:spacing w:before="280" w:after="280" w:line="360" w:lineRule="auto"/>
        <w:ind w:left="284"/>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1. </w:t>
      </w:r>
      <w:r w:rsidR="00364378" w:rsidRPr="00017A3F">
        <w:rPr>
          <w:rFonts w:ascii="Palatino Linotype" w:eastAsia="Palatino Linotype" w:hAnsi="Palatino Linotype" w:cs="Palatino Linotype"/>
          <w:sz w:val="22"/>
          <w:szCs w:val="22"/>
        </w:rPr>
        <w:t>Todos los oficios emitidos por la Unidad de Transparencia del uno de enero al veintiséis de septiembre de dos mil veinticinco.</w:t>
      </w:r>
    </w:p>
    <w:p w14:paraId="6170BA7A" w14:textId="7EC398C5" w:rsidR="00DE3BC0" w:rsidRPr="00017A3F" w:rsidRDefault="00364378" w:rsidP="00DE3BC0">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Es de </w:t>
      </w:r>
      <w:r w:rsidR="00DE3BC0" w:rsidRPr="00017A3F">
        <w:rPr>
          <w:rFonts w:ascii="Palatino Linotype" w:eastAsia="Palatino Linotype" w:hAnsi="Palatino Linotype" w:cs="Palatino Linotype"/>
          <w:sz w:val="22"/>
          <w:szCs w:val="22"/>
        </w:rPr>
        <w:t>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3CAEB6C8" w14:textId="77777777" w:rsidR="00DE3BC0" w:rsidRPr="00017A3F" w:rsidRDefault="00DE3BC0" w:rsidP="00DE3BC0">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5A6F60B" w14:textId="77777777" w:rsidR="00DE3BC0" w:rsidRPr="00017A3F" w:rsidRDefault="00DE3BC0" w:rsidP="00DE3BC0">
      <w:pPr>
        <w:spacing w:before="240" w:after="240" w:line="360" w:lineRule="auto"/>
        <w:ind w:right="51"/>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4139C03D" w14:textId="77777777" w:rsidR="00DE3BC0" w:rsidRPr="00017A3F" w:rsidRDefault="00DE3BC0" w:rsidP="00DE3BC0">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5F90BF7F" w14:textId="00CBBD09" w:rsidR="00DE3BC0" w:rsidRPr="00017A3F" w:rsidRDefault="00DE3BC0" w:rsidP="00DE3BC0">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Al respecto, es de suma importancia mencionar que, derivado del análisis de las constancias que obran en el expediente electrónico en el que se actúa, se advirtió que la Unidad de Transparencia dio atención al requerimiento de información al ser de su competencia de conformidad con el artículo 53 de la Ley de Transparencia y Acceso a la Información Pública del Estado de México y Municipios,  que</w:t>
      </w:r>
      <w:r w:rsidR="00DD1D2F" w:rsidRPr="00017A3F">
        <w:rPr>
          <w:rFonts w:ascii="Palatino Linotype" w:eastAsia="Palatino Linotype" w:hAnsi="Palatino Linotype" w:cs="Palatino Linotype"/>
          <w:sz w:val="22"/>
          <w:szCs w:val="22"/>
        </w:rPr>
        <w:t xml:space="preserve"> en su parte conducente dispone lo siguiente: </w:t>
      </w:r>
    </w:p>
    <w:p w14:paraId="4F0F5516" w14:textId="77777777" w:rsidR="00DE3BC0" w:rsidRPr="00017A3F" w:rsidRDefault="00DE3BC0" w:rsidP="00DE3BC0">
      <w:pPr>
        <w:spacing w:before="120" w:after="120"/>
        <w:ind w:left="851" w:right="902"/>
        <w:jc w:val="both"/>
        <w:rPr>
          <w:rFonts w:ascii="Palatino Linotype" w:hAnsi="Palatino Linotype"/>
          <w:i/>
          <w:sz w:val="22"/>
          <w:szCs w:val="22"/>
        </w:rPr>
      </w:pPr>
      <w:r w:rsidRPr="00017A3F">
        <w:rPr>
          <w:rFonts w:ascii="Palatino Linotype" w:eastAsia="Palatino Linotype" w:hAnsi="Palatino Linotype" w:cs="Palatino Linotype"/>
          <w:i/>
          <w:sz w:val="22"/>
          <w:szCs w:val="22"/>
        </w:rPr>
        <w:t>“</w:t>
      </w:r>
      <w:r w:rsidRPr="00017A3F">
        <w:rPr>
          <w:rFonts w:ascii="Palatino Linotype" w:hAnsi="Palatino Linotype"/>
          <w:b/>
          <w:i/>
          <w:sz w:val="22"/>
          <w:szCs w:val="22"/>
        </w:rPr>
        <w:t>Artículo 53</w:t>
      </w:r>
      <w:r w:rsidRPr="00017A3F">
        <w:rPr>
          <w:rFonts w:ascii="Palatino Linotype" w:hAnsi="Palatino Linotype"/>
          <w:i/>
          <w:sz w:val="22"/>
          <w:szCs w:val="22"/>
        </w:rPr>
        <w:t>. Las Unidades de Transparencia tendrán las siguientes funciones:</w:t>
      </w:r>
    </w:p>
    <w:p w14:paraId="1A4000B1" w14:textId="77777777" w:rsidR="00DD1D2F" w:rsidRPr="00017A3F" w:rsidRDefault="00DD1D2F" w:rsidP="00DE3BC0">
      <w:pPr>
        <w:spacing w:before="120" w:after="120"/>
        <w:ind w:left="851" w:right="902"/>
        <w:jc w:val="both"/>
        <w:rPr>
          <w:rFonts w:ascii="Palatino Linotype" w:hAnsi="Palatino Linotype"/>
          <w:b/>
          <w:i/>
          <w:sz w:val="22"/>
          <w:szCs w:val="22"/>
        </w:rPr>
      </w:pPr>
      <w:r w:rsidRPr="00017A3F">
        <w:rPr>
          <w:rFonts w:ascii="Palatino Linotype" w:hAnsi="Palatino Linotype"/>
          <w:b/>
          <w:i/>
          <w:sz w:val="22"/>
          <w:szCs w:val="22"/>
        </w:rPr>
        <w:t>...</w:t>
      </w:r>
    </w:p>
    <w:p w14:paraId="246735A8" w14:textId="77777777" w:rsidR="00DE3BC0" w:rsidRPr="00017A3F" w:rsidRDefault="00DE3BC0" w:rsidP="00DE3BC0">
      <w:pPr>
        <w:spacing w:before="120" w:after="120"/>
        <w:ind w:left="851" w:right="902"/>
        <w:jc w:val="both"/>
        <w:rPr>
          <w:rFonts w:ascii="Palatino Linotype" w:hAnsi="Palatino Linotype"/>
          <w:i/>
          <w:sz w:val="22"/>
          <w:szCs w:val="22"/>
        </w:rPr>
      </w:pPr>
      <w:r w:rsidRPr="00017A3F">
        <w:rPr>
          <w:rFonts w:ascii="Palatino Linotype" w:hAnsi="Palatino Linotype"/>
          <w:b/>
          <w:i/>
          <w:sz w:val="22"/>
          <w:szCs w:val="22"/>
        </w:rPr>
        <w:t>II.</w:t>
      </w:r>
      <w:r w:rsidRPr="00017A3F">
        <w:rPr>
          <w:rFonts w:ascii="Palatino Linotype" w:hAnsi="Palatino Linotype"/>
          <w:i/>
          <w:sz w:val="22"/>
          <w:szCs w:val="22"/>
        </w:rPr>
        <w:t xml:space="preserve"> Recibir, tramitar y dar respuesta a las solicitudes de acceso a la información;</w:t>
      </w:r>
    </w:p>
    <w:p w14:paraId="26824014" w14:textId="77777777" w:rsidR="00DE3BC0" w:rsidRPr="00017A3F" w:rsidRDefault="00DE3BC0" w:rsidP="00DE3BC0">
      <w:pPr>
        <w:spacing w:before="120" w:after="120"/>
        <w:ind w:left="851" w:right="902"/>
        <w:jc w:val="both"/>
        <w:rPr>
          <w:rFonts w:ascii="Palatino Linotype" w:hAnsi="Palatino Linotype"/>
          <w:i/>
          <w:sz w:val="22"/>
          <w:szCs w:val="22"/>
        </w:rPr>
      </w:pPr>
      <w:r w:rsidRPr="00017A3F">
        <w:rPr>
          <w:rFonts w:ascii="Palatino Linotype" w:hAnsi="Palatino Linotype"/>
          <w:i/>
          <w:sz w:val="22"/>
          <w:szCs w:val="22"/>
        </w:rPr>
        <w:t>...</w:t>
      </w:r>
    </w:p>
    <w:p w14:paraId="6DE11522" w14:textId="77777777" w:rsidR="00DE3BC0" w:rsidRPr="00017A3F" w:rsidRDefault="00DE3BC0" w:rsidP="00DE3BC0">
      <w:pPr>
        <w:spacing w:before="120" w:after="120"/>
        <w:ind w:left="851" w:right="902"/>
        <w:jc w:val="both"/>
        <w:rPr>
          <w:rFonts w:ascii="Palatino Linotype" w:hAnsi="Palatino Linotype"/>
          <w:i/>
          <w:sz w:val="22"/>
          <w:szCs w:val="22"/>
        </w:rPr>
      </w:pPr>
      <w:r w:rsidRPr="00017A3F">
        <w:rPr>
          <w:rFonts w:ascii="Palatino Linotype" w:hAnsi="Palatino Linotype"/>
          <w:b/>
          <w:i/>
          <w:sz w:val="22"/>
          <w:szCs w:val="22"/>
        </w:rPr>
        <w:t>IV.</w:t>
      </w:r>
      <w:r w:rsidRPr="00017A3F">
        <w:rPr>
          <w:rFonts w:ascii="Palatino Linotype" w:hAnsi="Palatino Linotype"/>
          <w:i/>
          <w:sz w:val="22"/>
          <w:szCs w:val="22"/>
        </w:rPr>
        <w:t xml:space="preserve"> Realizar, con efectividad, los trámites internos necesarios para la atención de las solicitudes de acceso a la información;</w:t>
      </w:r>
    </w:p>
    <w:p w14:paraId="6EF49955" w14:textId="77777777" w:rsidR="00DE3BC0" w:rsidRPr="00017A3F" w:rsidRDefault="00DE3BC0" w:rsidP="00DE3BC0">
      <w:pPr>
        <w:spacing w:before="120" w:after="120"/>
        <w:ind w:left="851" w:right="902"/>
        <w:jc w:val="both"/>
        <w:rPr>
          <w:rFonts w:ascii="Palatino Linotype" w:hAnsi="Palatino Linotype"/>
          <w:i/>
          <w:sz w:val="22"/>
          <w:szCs w:val="22"/>
        </w:rPr>
      </w:pPr>
      <w:r w:rsidRPr="00017A3F">
        <w:rPr>
          <w:rFonts w:ascii="Palatino Linotype" w:hAnsi="Palatino Linotype"/>
          <w:b/>
          <w:i/>
          <w:sz w:val="22"/>
          <w:szCs w:val="22"/>
        </w:rPr>
        <w:t>V</w:t>
      </w:r>
      <w:r w:rsidRPr="00017A3F">
        <w:rPr>
          <w:rFonts w:ascii="Palatino Linotype" w:hAnsi="Palatino Linotype"/>
          <w:i/>
          <w:sz w:val="22"/>
          <w:szCs w:val="22"/>
        </w:rPr>
        <w:t xml:space="preserve">. Entregar, en su caso, a los particulares la información solicitada; </w:t>
      </w:r>
    </w:p>
    <w:p w14:paraId="38AB45F2" w14:textId="571F9EB0" w:rsidR="00DE3BC0" w:rsidRPr="00017A3F" w:rsidRDefault="00DE3BC0" w:rsidP="00DE3BC0">
      <w:pPr>
        <w:spacing w:before="120" w:after="120"/>
        <w:ind w:left="851" w:right="902"/>
        <w:jc w:val="both"/>
        <w:rPr>
          <w:rFonts w:ascii="Palatino Linotype" w:hAnsi="Palatino Linotype"/>
          <w:i/>
          <w:sz w:val="22"/>
          <w:szCs w:val="22"/>
        </w:rPr>
      </w:pPr>
      <w:r w:rsidRPr="00017A3F">
        <w:rPr>
          <w:rFonts w:ascii="Palatino Linotype" w:hAnsi="Palatino Linotype"/>
          <w:b/>
          <w:i/>
          <w:sz w:val="22"/>
          <w:szCs w:val="22"/>
        </w:rPr>
        <w:t>VI</w:t>
      </w:r>
      <w:r w:rsidRPr="00017A3F">
        <w:rPr>
          <w:rFonts w:ascii="Palatino Linotype" w:hAnsi="Palatino Linotype"/>
          <w:i/>
          <w:sz w:val="22"/>
          <w:szCs w:val="22"/>
        </w:rPr>
        <w:t>. Efectuar las notificaciones a los solicitantes;</w:t>
      </w:r>
      <w:r w:rsidR="00364378" w:rsidRPr="00017A3F">
        <w:rPr>
          <w:rFonts w:ascii="Palatino Linotype" w:hAnsi="Palatino Linotype"/>
          <w:i/>
          <w:sz w:val="22"/>
          <w:szCs w:val="22"/>
        </w:rPr>
        <w:t>”</w:t>
      </w:r>
    </w:p>
    <w:p w14:paraId="1D08EE2F" w14:textId="77777777" w:rsidR="00154FCC" w:rsidRPr="00017A3F" w:rsidRDefault="006C736C" w:rsidP="00154FCC">
      <w:pPr>
        <w:tabs>
          <w:tab w:val="left" w:pos="3544"/>
        </w:tabs>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Como logra vislumbrarse, la </w:t>
      </w:r>
      <w:r w:rsidR="00154FCC" w:rsidRPr="00017A3F">
        <w:rPr>
          <w:rFonts w:ascii="Palatino Linotype" w:eastAsia="Palatino Linotype" w:hAnsi="Palatino Linotype" w:cs="Palatino Linotype"/>
          <w:sz w:val="22"/>
          <w:szCs w:val="22"/>
        </w:rPr>
        <w:t>Unidad de Transparencia es</w:t>
      </w:r>
      <w:r w:rsidRPr="00017A3F">
        <w:rPr>
          <w:rFonts w:ascii="Palatino Linotype" w:eastAsia="Palatino Linotype" w:hAnsi="Palatino Linotype" w:cs="Palatino Linotype"/>
          <w:sz w:val="22"/>
          <w:szCs w:val="22"/>
        </w:rPr>
        <w:t xml:space="preserve"> la instancia competente para dar atención a la solicitud, </w:t>
      </w:r>
      <w:r w:rsidR="00154FCC" w:rsidRPr="00017A3F">
        <w:rPr>
          <w:rFonts w:ascii="Palatino Linotype" w:eastAsia="Palatino Linotype" w:hAnsi="Palatino Linotype" w:cs="Palatino Linotype"/>
          <w:sz w:val="22"/>
          <w:szCs w:val="22"/>
        </w:rPr>
        <w:t xml:space="preserve">por consiguiente se </w:t>
      </w:r>
      <w:r w:rsidR="00154FCC" w:rsidRPr="00017A3F">
        <w:rPr>
          <w:rFonts w:ascii="Palatino Linotype" w:eastAsia="Calibri" w:hAnsi="Palatino Linotype" w:cs="Tahoma"/>
          <w:bCs/>
          <w:iCs/>
          <w:sz w:val="22"/>
          <w:szCs w:val="22"/>
          <w:lang w:eastAsia="es-ES_tradnl"/>
        </w:rPr>
        <w:t xml:space="preserve">cumplió el </w:t>
      </w:r>
      <w:r w:rsidR="00154FCC" w:rsidRPr="00017A3F">
        <w:rPr>
          <w:rFonts w:ascii="Palatino Linotype" w:eastAsia="Palatino Linotype" w:hAnsi="Palatino Linotype" w:cs="Palatino Linotype"/>
          <w:sz w:val="22"/>
          <w:szCs w:val="22"/>
        </w:rPr>
        <w:t>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67BC74FC" w14:textId="237C0569" w:rsidR="00607413" w:rsidRPr="00017A3F" w:rsidRDefault="00406BC0" w:rsidP="00154FCC">
      <w:pPr>
        <w:tabs>
          <w:tab w:val="left" w:pos="3544"/>
        </w:tabs>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E</w:t>
      </w:r>
      <w:r w:rsidR="00607413" w:rsidRPr="00017A3F">
        <w:rPr>
          <w:rFonts w:ascii="Palatino Linotype" w:eastAsia="Palatino Linotype" w:hAnsi="Palatino Linotype" w:cs="Palatino Linotype"/>
          <w:sz w:val="22"/>
          <w:szCs w:val="22"/>
        </w:rPr>
        <w:t xml:space="preserve">n </w:t>
      </w:r>
      <w:r w:rsidR="00154FCC" w:rsidRPr="00017A3F">
        <w:rPr>
          <w:rFonts w:ascii="Palatino Linotype" w:eastAsia="Palatino Linotype" w:hAnsi="Palatino Linotype" w:cs="Palatino Linotype"/>
          <w:sz w:val="22"/>
          <w:szCs w:val="22"/>
        </w:rPr>
        <w:t>respuesta a la solicitud, la persona servidora pública habilitada</w:t>
      </w:r>
      <w:r w:rsidR="00607413" w:rsidRPr="00017A3F">
        <w:rPr>
          <w:rFonts w:ascii="Palatino Linotype" w:eastAsia="Palatino Linotype" w:hAnsi="Palatino Linotype" w:cs="Palatino Linotype"/>
          <w:sz w:val="22"/>
          <w:szCs w:val="22"/>
        </w:rPr>
        <w:t xml:space="preserve"> hizo entrega de los oficios emitidos por la Unidad de Transparencia del dos al veintiséis de septiembre de dos mil veinticinco.</w:t>
      </w:r>
    </w:p>
    <w:p w14:paraId="574E1F8A" w14:textId="4882C76E" w:rsidR="00406BC0" w:rsidRPr="00017A3F" w:rsidRDefault="00406BC0" w:rsidP="00406BC0">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Sin embargo, al no estar conforme con los términos de la respuesta proporcionada, la parte </w:t>
      </w:r>
      <w:r w:rsidRPr="00017A3F">
        <w:rPr>
          <w:rFonts w:ascii="Palatino Linotype" w:eastAsia="Palatino Linotype" w:hAnsi="Palatino Linotype" w:cs="Palatino Linotype"/>
          <w:b/>
          <w:sz w:val="22"/>
          <w:szCs w:val="22"/>
        </w:rPr>
        <w:t xml:space="preserve">Recurrente </w:t>
      </w:r>
      <w:r w:rsidRPr="00017A3F">
        <w:rPr>
          <w:rFonts w:ascii="Palatino Linotype" w:eastAsia="Palatino Linotype" w:hAnsi="Palatino Linotype" w:cs="Palatino Linotype"/>
          <w:sz w:val="22"/>
          <w:szCs w:val="22"/>
        </w:rPr>
        <w:t>presentó el recurso de revisión que nos ocupa, donde señaló como motivo de inconformidad que únicamente se hizo entrega de los oficios correspondientes al mes de septiembre, faltando aquellos que se emitieron de enero a agosto de dos mil veinticinco.</w:t>
      </w:r>
    </w:p>
    <w:p w14:paraId="32C72C6C" w14:textId="77777777" w:rsidR="002B44C3" w:rsidRPr="00017A3F" w:rsidRDefault="002B44C3" w:rsidP="002B44C3">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Es de señalar que de la lectura del motivo de inconformidad de la parte </w:t>
      </w:r>
      <w:r w:rsidRPr="00017A3F">
        <w:rPr>
          <w:rFonts w:ascii="Palatino Linotype" w:eastAsia="Palatino Linotype" w:hAnsi="Palatino Linotype" w:cs="Palatino Linotype"/>
          <w:b/>
          <w:sz w:val="22"/>
          <w:szCs w:val="22"/>
        </w:rPr>
        <w:t xml:space="preserve">Recurrente, </w:t>
      </w:r>
      <w:r w:rsidRPr="00017A3F">
        <w:rPr>
          <w:rFonts w:ascii="Palatino Linotype" w:eastAsia="Palatino Linotype" w:hAnsi="Palatino Linotype" w:cs="Palatino Linotype"/>
          <w:sz w:val="22"/>
          <w:szCs w:val="22"/>
        </w:rPr>
        <w:t xml:space="preserve">se advierte que este no versa sobre la información proporcionada por el </w:t>
      </w:r>
      <w:r w:rsidRPr="00017A3F">
        <w:rPr>
          <w:rFonts w:ascii="Palatino Linotype" w:eastAsia="Palatino Linotype" w:hAnsi="Palatino Linotype" w:cs="Palatino Linotype"/>
          <w:b/>
          <w:sz w:val="22"/>
          <w:szCs w:val="22"/>
        </w:rPr>
        <w:t>Sujeto Obligado</w:t>
      </w:r>
      <w:r w:rsidRPr="00017A3F">
        <w:rPr>
          <w:rFonts w:ascii="Palatino Linotype" w:eastAsia="Palatino Linotype" w:hAnsi="Palatino Linotype" w:cs="Palatino Linotype"/>
          <w:sz w:val="22"/>
          <w:szCs w:val="22"/>
        </w:rPr>
        <w:t>, por tanto, la respuesta, al no haber sido impugnada, debe declararse consentida, ya que al no haber realizado manifestaciones de inconformidad al respecto, no pueden producirse efectos jurídicos tendentes a revocar, confirmar o modificar el acto, pues en el caso concreto se infiere que la información proporcionada, satisface la solicitud presentada respecto de los requerimientos que no fueron combatidos.</w:t>
      </w:r>
    </w:p>
    <w:p w14:paraId="1DFFF903" w14:textId="77777777" w:rsidR="002B44C3" w:rsidRPr="00017A3F" w:rsidRDefault="002B44C3" w:rsidP="002B44C3">
      <w:pPr>
        <w:spacing w:before="240" w:after="36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Lo anterior es así, debido a que cuando la parte </w:t>
      </w:r>
      <w:r w:rsidRPr="00017A3F">
        <w:rPr>
          <w:rFonts w:ascii="Palatino Linotype" w:eastAsia="Palatino Linotype" w:hAnsi="Palatino Linotype" w:cs="Palatino Linotype"/>
          <w:b/>
          <w:sz w:val="22"/>
          <w:szCs w:val="22"/>
        </w:rPr>
        <w:t>Recurrente</w:t>
      </w:r>
      <w:r w:rsidRPr="00017A3F">
        <w:rPr>
          <w:rFonts w:ascii="Palatino Linotype" w:eastAsia="Palatino Linotype" w:hAnsi="Palatino Linotype" w:cs="Palatino Linotype"/>
          <w:sz w:val="22"/>
          <w:szCs w:val="22"/>
        </w:rPr>
        <w:t xml:space="preserve"> impugna la respuesta del </w:t>
      </w:r>
      <w:r w:rsidRPr="00017A3F">
        <w:rPr>
          <w:rFonts w:ascii="Palatino Linotype" w:eastAsia="Palatino Linotype" w:hAnsi="Palatino Linotype" w:cs="Palatino Linotype"/>
          <w:b/>
          <w:sz w:val="22"/>
          <w:szCs w:val="22"/>
        </w:rPr>
        <w:t>Sujeto Obligado</w:t>
      </w:r>
      <w:r w:rsidRPr="00017A3F">
        <w:rPr>
          <w:rFonts w:ascii="Palatino Linotype" w:eastAsia="Palatino Linotype" w:hAnsi="Palatino Linotype" w:cs="Palatino Linotype"/>
          <w:sz w:val="22"/>
          <w:szCs w:val="22"/>
        </w:rPr>
        <w:t xml:space="preserve">, y éste no expresa razón o motivo de inconformidad en contra de todos los rubros solicitados, dichos rubros deben declararse atendidos, pues se entiende que ésta conforme con la información entregada al no contravenir la misma. </w:t>
      </w:r>
    </w:p>
    <w:p w14:paraId="0000B066" w14:textId="77777777" w:rsidR="002B44C3" w:rsidRPr="00017A3F" w:rsidRDefault="002B44C3" w:rsidP="002B44C3">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Sirve de apoyo a lo anterior, lo plasmado en el criterio orientador con clave de control SO/001/2020, emitido por el entonces Instituto Nacional de Transparencia, Acceso a la Información, y Protección de Datos Personales, INAI, que lleva por rubro y texto, lo siguiente: </w:t>
      </w:r>
    </w:p>
    <w:p w14:paraId="357BF765" w14:textId="77777777" w:rsidR="002B44C3" w:rsidRPr="00017A3F" w:rsidRDefault="002B44C3" w:rsidP="002B44C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017A3F">
        <w:rPr>
          <w:rFonts w:ascii="Palatino Linotype" w:eastAsia="Palatino Linotype" w:hAnsi="Palatino Linotype" w:cs="Palatino Linotype"/>
          <w:i/>
          <w:sz w:val="22"/>
          <w:szCs w:val="22"/>
        </w:rPr>
        <w:t>“</w:t>
      </w:r>
      <w:r w:rsidRPr="00017A3F">
        <w:rPr>
          <w:rFonts w:ascii="Palatino Linotype" w:eastAsia="Palatino Linotype" w:hAnsi="Palatino Linotype" w:cs="Palatino Linotype"/>
          <w:b/>
          <w:i/>
          <w:sz w:val="22"/>
          <w:szCs w:val="22"/>
        </w:rPr>
        <w:t xml:space="preserve">Actos consentidos tácitamente. Improcedencia de su análisis. </w:t>
      </w:r>
      <w:r w:rsidRPr="00017A3F">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FCEBC53" w14:textId="77777777" w:rsidR="002B44C3" w:rsidRPr="00017A3F" w:rsidRDefault="002B44C3" w:rsidP="002B44C3">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691BB396" w14:textId="77777777" w:rsidR="002B44C3" w:rsidRPr="00017A3F" w:rsidRDefault="002B44C3" w:rsidP="002B44C3">
      <w:pPr>
        <w:ind w:left="851" w:right="900"/>
        <w:jc w:val="both"/>
        <w:rPr>
          <w:rFonts w:ascii="Palatino Linotype" w:eastAsia="Palatino Linotype" w:hAnsi="Palatino Linotype" w:cs="Palatino Linotype"/>
          <w:i/>
          <w:sz w:val="22"/>
          <w:szCs w:val="22"/>
        </w:rPr>
      </w:pPr>
      <w:r w:rsidRPr="00017A3F">
        <w:rPr>
          <w:rFonts w:ascii="Palatino Linotype" w:eastAsia="Palatino Linotype" w:hAnsi="Palatino Linotype" w:cs="Palatino Linotype"/>
          <w:b/>
          <w:i/>
          <w:smallCaps/>
          <w:sz w:val="22"/>
          <w:szCs w:val="22"/>
        </w:rPr>
        <w:t xml:space="preserve">“ACTOS CONSENTIDOS. SON LOS QUE NO SE IMPUGNAN MEDIANTE EL RECURSO IDÓNEO. </w:t>
      </w:r>
      <w:r w:rsidRPr="00017A3F">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6C57002" w14:textId="3AC0398D" w:rsidR="002B44C3" w:rsidRPr="00017A3F" w:rsidRDefault="002B44C3" w:rsidP="002B44C3">
      <w:pPr>
        <w:spacing w:before="240" w:after="240" w:line="360" w:lineRule="auto"/>
        <w:jc w:val="both"/>
        <w:rPr>
          <w:rFonts w:ascii="Palatino Linotype" w:hAnsi="Palatino Linotype" w:cs="Arial"/>
          <w:sz w:val="22"/>
          <w:szCs w:val="22"/>
        </w:rPr>
      </w:pPr>
      <w:r w:rsidRPr="00017A3F">
        <w:rPr>
          <w:rFonts w:ascii="Palatino Linotype" w:eastAsia="Palatino Linotype" w:hAnsi="Palatino Linotype" w:cs="Palatino Linotype"/>
          <w:sz w:val="22"/>
          <w:szCs w:val="22"/>
        </w:rPr>
        <w:t>En consecuencia, se insiste, ante la falta de impugnación eficaz, la respuesta entregada debe declararse consentida por la persona solicitante, y, p</w:t>
      </w:r>
      <w:r w:rsidRPr="00017A3F">
        <w:rPr>
          <w:rFonts w:ascii="Palatino Linotype" w:hAnsi="Palatino Linotype" w:cs="Arial"/>
          <w:sz w:val="22"/>
          <w:szCs w:val="22"/>
        </w:rPr>
        <w:t>or consiguiente, no es procedente el análisis de fondo en la resolución.</w:t>
      </w:r>
    </w:p>
    <w:p w14:paraId="70F733D8" w14:textId="4C807722" w:rsidR="00406BC0" w:rsidRPr="00017A3F" w:rsidRDefault="00406BC0" w:rsidP="002B44C3">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En la etapa de manifestaciones el </w:t>
      </w:r>
      <w:r w:rsidRPr="00017A3F">
        <w:rPr>
          <w:rFonts w:ascii="Palatino Linotype" w:eastAsia="Palatino Linotype" w:hAnsi="Palatino Linotype" w:cs="Palatino Linotype"/>
          <w:b/>
          <w:sz w:val="22"/>
          <w:szCs w:val="22"/>
        </w:rPr>
        <w:t xml:space="preserve">Sujeto Obligado </w:t>
      </w:r>
      <w:r w:rsidRPr="00017A3F">
        <w:rPr>
          <w:rFonts w:ascii="Palatino Linotype" w:eastAsia="Palatino Linotype" w:hAnsi="Palatino Linotype" w:cs="Palatino Linotype"/>
          <w:sz w:val="22"/>
          <w:szCs w:val="22"/>
        </w:rPr>
        <w:t xml:space="preserve">ratificó en lo sustancial la respuesta proporcionada en primera instancia, mientras que la parte </w:t>
      </w:r>
      <w:r w:rsidRPr="00017A3F">
        <w:rPr>
          <w:rFonts w:ascii="Palatino Linotype" w:eastAsia="Palatino Linotype" w:hAnsi="Palatino Linotype" w:cs="Palatino Linotype"/>
          <w:b/>
          <w:sz w:val="22"/>
          <w:szCs w:val="22"/>
        </w:rPr>
        <w:t xml:space="preserve">Recurrente, </w:t>
      </w:r>
      <w:r w:rsidRPr="00017A3F">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61F88BB9" w14:textId="77777777" w:rsidR="002B44C3" w:rsidRPr="00017A3F" w:rsidRDefault="002B44C3" w:rsidP="002B44C3">
      <w:pPr>
        <w:spacing w:before="280" w:after="28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017A3F">
        <w:rPr>
          <w:rFonts w:ascii="Palatino Linotype" w:eastAsia="Palatino Linotype" w:hAnsi="Palatino Linotype" w:cs="Palatino Linotype"/>
          <w:b/>
          <w:sz w:val="22"/>
          <w:szCs w:val="22"/>
        </w:rPr>
        <w:t xml:space="preserve">Sujeto Obligado, </w:t>
      </w:r>
      <w:r w:rsidRPr="00017A3F">
        <w:rPr>
          <w:rFonts w:ascii="Palatino Linotype" w:eastAsia="Palatino Linotype" w:hAnsi="Palatino Linotype" w:cs="Palatino Linotype"/>
          <w:sz w:val="22"/>
          <w:szCs w:val="22"/>
        </w:rPr>
        <w:t xml:space="preserve">en contraposición con el motivo de inconformidad alegado por la parte </w:t>
      </w:r>
      <w:r w:rsidRPr="00017A3F">
        <w:rPr>
          <w:rFonts w:ascii="Palatino Linotype" w:eastAsia="Palatino Linotype" w:hAnsi="Palatino Linotype" w:cs="Palatino Linotype"/>
          <w:b/>
          <w:sz w:val="22"/>
          <w:szCs w:val="22"/>
        </w:rPr>
        <w:t xml:space="preserve">Recurrente, </w:t>
      </w:r>
      <w:r w:rsidRPr="00017A3F">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128DBBE6" w14:textId="087893EC" w:rsidR="00607413" w:rsidRPr="00017A3F" w:rsidRDefault="002B44C3" w:rsidP="0022002D">
      <w:pPr>
        <w:spacing w:before="240" w:after="240" w:line="360" w:lineRule="auto"/>
        <w:ind w:right="49"/>
        <w:jc w:val="both"/>
        <w:rPr>
          <w:rFonts w:ascii="Palatino Linotype" w:eastAsia="Palatino Linotype" w:hAnsi="Palatino Linotype" w:cs="Palatino Linotype"/>
          <w:b/>
          <w:bCs/>
          <w:sz w:val="22"/>
          <w:szCs w:val="22"/>
          <w:u w:val="single"/>
        </w:rPr>
      </w:pPr>
      <w:r w:rsidRPr="00017A3F">
        <w:rPr>
          <w:rFonts w:ascii="Palatino Linotype" w:eastAsia="Palatino Linotype" w:hAnsi="Palatino Linotype" w:cs="Palatino Linotype"/>
          <w:sz w:val="22"/>
          <w:szCs w:val="22"/>
        </w:rPr>
        <w:t>Ahora bien, por lo que se refiere a la inconformidad planteada,</w:t>
      </w:r>
      <w:r w:rsidR="002735BE" w:rsidRPr="00017A3F">
        <w:rPr>
          <w:rFonts w:ascii="Palatino Linotype" w:eastAsia="Palatino Linotype" w:hAnsi="Palatino Linotype" w:cs="Palatino Linotype"/>
          <w:sz w:val="22"/>
          <w:szCs w:val="22"/>
        </w:rPr>
        <w:t xml:space="preserve"> es de señalar que del análisis efectuado </w:t>
      </w:r>
      <w:r w:rsidR="0022002D" w:rsidRPr="00017A3F">
        <w:rPr>
          <w:rFonts w:ascii="Palatino Linotype" w:eastAsia="Palatino Linotype" w:hAnsi="Palatino Linotype" w:cs="Palatino Linotype"/>
          <w:sz w:val="22"/>
          <w:szCs w:val="22"/>
        </w:rPr>
        <w:t xml:space="preserve">por este Organismo Garante se concluyó que el motivo de inconformidad alegado por la persona solicitante </w:t>
      </w:r>
      <w:r w:rsidR="0036404A" w:rsidRPr="00017A3F">
        <w:rPr>
          <w:rFonts w:ascii="Palatino Linotype" w:eastAsia="Palatino Linotype" w:hAnsi="Palatino Linotype" w:cs="Palatino Linotype"/>
          <w:sz w:val="22"/>
          <w:szCs w:val="22"/>
        </w:rPr>
        <w:t xml:space="preserve">deviene fundado, en virtud de que </w:t>
      </w:r>
      <w:r w:rsidR="0036404A" w:rsidRPr="00017A3F">
        <w:rPr>
          <w:rFonts w:ascii="Palatino Linotype" w:eastAsia="Palatino Linotype" w:hAnsi="Palatino Linotype" w:cs="Palatino Linotype"/>
          <w:b/>
          <w:bCs/>
          <w:sz w:val="22"/>
          <w:szCs w:val="22"/>
        </w:rPr>
        <w:t xml:space="preserve">el Sujeto Obligado omitió hacer entrega de los oficios emitidos por la Unidad de Transparencia </w:t>
      </w:r>
      <w:r w:rsidR="0036404A" w:rsidRPr="00017A3F">
        <w:rPr>
          <w:rFonts w:ascii="Palatino Linotype" w:eastAsia="Palatino Linotype" w:hAnsi="Palatino Linotype" w:cs="Palatino Linotype"/>
          <w:b/>
          <w:bCs/>
          <w:sz w:val="22"/>
          <w:szCs w:val="22"/>
          <w:u w:val="single"/>
        </w:rPr>
        <w:t>de enero a agosto de dos mil veinticinco.</w:t>
      </w:r>
    </w:p>
    <w:p w14:paraId="746376E2" w14:textId="052C7F6E" w:rsidR="0036404A" w:rsidRPr="00017A3F" w:rsidRDefault="0036404A" w:rsidP="0022002D">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Por consiguiente, </w:t>
      </w:r>
      <w:r w:rsidR="00530E67" w:rsidRPr="00017A3F">
        <w:rPr>
          <w:rFonts w:ascii="Palatino Linotype" w:eastAsia="Palatino Linotype" w:hAnsi="Palatino Linotype" w:cs="Palatino Linotype"/>
          <w:sz w:val="22"/>
          <w:szCs w:val="22"/>
        </w:rPr>
        <w:t>toda vez que la Unidad de Transparencia, en respuesta a la solicitud, no negó contar con la información solicitada, sino por el contrario refirió que</w:t>
      </w:r>
      <w:r w:rsidR="00122B8E" w:rsidRPr="00017A3F">
        <w:rPr>
          <w:rFonts w:ascii="Palatino Linotype" w:eastAsia="Palatino Linotype" w:hAnsi="Palatino Linotype" w:cs="Palatino Linotype"/>
          <w:sz w:val="22"/>
          <w:szCs w:val="22"/>
        </w:rPr>
        <w:t>,</w:t>
      </w:r>
      <w:r w:rsidR="00530E67" w:rsidRPr="00017A3F">
        <w:rPr>
          <w:rFonts w:ascii="Palatino Linotype" w:eastAsia="Palatino Linotype" w:hAnsi="Palatino Linotype" w:cs="Palatino Linotype"/>
          <w:sz w:val="22"/>
          <w:szCs w:val="22"/>
        </w:rPr>
        <w:t xml:space="preserve"> de la búsqueda exhaustiva y razonable </w:t>
      </w:r>
      <w:r w:rsidR="00122B8E" w:rsidRPr="00017A3F">
        <w:rPr>
          <w:rFonts w:ascii="Palatino Linotype" w:eastAsia="Palatino Linotype" w:hAnsi="Palatino Linotype" w:cs="Palatino Linotype"/>
          <w:sz w:val="22"/>
          <w:szCs w:val="22"/>
        </w:rPr>
        <w:t>en los archivos a su cargo, remitía la información solicitada, se estima que para tener por satisfecho el Derecho de acceso de la persona solicitante, es necesario que se haga entrega de los oficios faltantes, en versión pública de ser procedente, de conformidad con el considerando siguiente.</w:t>
      </w:r>
    </w:p>
    <w:p w14:paraId="71224621" w14:textId="5386AE0A" w:rsidR="002C4203" w:rsidRPr="00017A3F" w:rsidRDefault="002C4203" w:rsidP="002C4203">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No obstante, para el caso de que no se llegaran a localizar oficios en algún día del periodo referido por haberse cancelado,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AE9479D" w14:textId="77777777" w:rsidR="002C4203" w:rsidRPr="00017A3F" w:rsidRDefault="002C4203" w:rsidP="002C4203">
      <w:pPr>
        <w:spacing w:before="120" w:after="120"/>
        <w:ind w:left="851" w:right="902"/>
        <w:jc w:val="both"/>
        <w:rPr>
          <w:rFonts w:ascii="Palatino Linotype" w:eastAsia="Palatino Linotype" w:hAnsi="Palatino Linotype" w:cs="Palatino Linotype"/>
          <w:i/>
          <w:sz w:val="22"/>
          <w:szCs w:val="22"/>
        </w:rPr>
      </w:pPr>
      <w:r w:rsidRPr="00017A3F">
        <w:rPr>
          <w:rFonts w:ascii="Palatino Linotype" w:eastAsia="Palatino Linotype" w:hAnsi="Palatino Linotype" w:cs="Palatino Linotype"/>
          <w:i/>
          <w:sz w:val="22"/>
          <w:szCs w:val="22"/>
        </w:rPr>
        <w:t>“</w:t>
      </w:r>
      <w:r w:rsidRPr="00017A3F">
        <w:rPr>
          <w:rFonts w:ascii="Palatino Linotype" w:eastAsia="Palatino Linotype" w:hAnsi="Palatino Linotype" w:cs="Palatino Linotype"/>
          <w:b/>
          <w:i/>
          <w:sz w:val="22"/>
          <w:szCs w:val="22"/>
        </w:rPr>
        <w:t>Artículo 19</w:t>
      </w:r>
      <w:r w:rsidRPr="00017A3F">
        <w:rPr>
          <w:rFonts w:ascii="Palatino Linotype" w:eastAsia="Palatino Linotype" w:hAnsi="Palatino Linotype" w:cs="Palatino Linotype"/>
          <w:i/>
          <w:sz w:val="22"/>
          <w:szCs w:val="22"/>
        </w:rPr>
        <w:t>…</w:t>
      </w:r>
    </w:p>
    <w:p w14:paraId="726D33F7" w14:textId="77777777" w:rsidR="002C4203" w:rsidRPr="00017A3F" w:rsidRDefault="002C4203" w:rsidP="002C4203">
      <w:pPr>
        <w:spacing w:before="120" w:after="120"/>
        <w:ind w:left="851" w:right="902"/>
        <w:jc w:val="both"/>
        <w:rPr>
          <w:rFonts w:ascii="Palatino Linotype" w:eastAsia="Palatino Linotype" w:hAnsi="Palatino Linotype" w:cs="Palatino Linotype"/>
          <w:i/>
          <w:sz w:val="22"/>
          <w:szCs w:val="22"/>
        </w:rPr>
      </w:pPr>
      <w:r w:rsidRPr="00017A3F">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FFF52B7" w14:textId="77777777" w:rsidR="00B323BA" w:rsidRPr="00017A3F" w:rsidRDefault="00B323BA" w:rsidP="00B323BA">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De lo hasta aquí expuesto, se concluye que los motivos de inconformidad de la parte </w:t>
      </w:r>
      <w:r w:rsidRPr="00017A3F">
        <w:rPr>
          <w:rFonts w:ascii="Palatino Linotype" w:eastAsia="Palatino Linotype" w:hAnsi="Palatino Linotype" w:cs="Palatino Linotype"/>
          <w:b/>
          <w:sz w:val="22"/>
          <w:szCs w:val="22"/>
        </w:rPr>
        <w:t xml:space="preserve">Recurrente </w:t>
      </w:r>
      <w:r w:rsidRPr="00017A3F">
        <w:rPr>
          <w:rFonts w:ascii="Palatino Linotype" w:eastAsia="Palatino Linotype" w:hAnsi="Palatino Linotype" w:cs="Palatino Linotype"/>
          <w:sz w:val="22"/>
          <w:szCs w:val="22"/>
        </w:rPr>
        <w:t xml:space="preserve">devienen fundados, siendo procedente </w:t>
      </w:r>
      <w:r w:rsidRPr="00017A3F">
        <w:rPr>
          <w:rFonts w:ascii="Palatino Linotype" w:eastAsia="Palatino Linotype" w:hAnsi="Palatino Linotype" w:cs="Palatino Linotype"/>
          <w:i/>
          <w:sz w:val="22"/>
          <w:szCs w:val="22"/>
        </w:rPr>
        <w:t xml:space="preserve">Modificar </w:t>
      </w:r>
      <w:r w:rsidRPr="00017A3F">
        <w:rPr>
          <w:rFonts w:ascii="Palatino Linotype" w:eastAsia="Palatino Linotype" w:hAnsi="Palatino Linotype" w:cs="Palatino Linotype"/>
          <w:sz w:val="22"/>
          <w:szCs w:val="22"/>
        </w:rPr>
        <w:t xml:space="preserve">las respuestas proporcionadas por el </w:t>
      </w:r>
      <w:r w:rsidRPr="00017A3F">
        <w:rPr>
          <w:rFonts w:ascii="Palatino Linotype" w:eastAsia="Palatino Linotype" w:hAnsi="Palatino Linotype" w:cs="Palatino Linotype"/>
          <w:b/>
          <w:sz w:val="22"/>
          <w:szCs w:val="22"/>
        </w:rPr>
        <w:t xml:space="preserve">Sujeto Obligado </w:t>
      </w:r>
      <w:r w:rsidRPr="00017A3F">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4D6B7710" w14:textId="77777777" w:rsidR="00AC55F7" w:rsidRPr="00017A3F" w:rsidRDefault="006C736C">
      <w:pPr>
        <w:spacing w:before="240" w:after="240" w:line="360" w:lineRule="auto"/>
        <w:ind w:right="51"/>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b/>
          <w:bCs/>
          <w:sz w:val="22"/>
          <w:szCs w:val="22"/>
        </w:rPr>
        <w:t xml:space="preserve">Quinto. Versión Pública. </w:t>
      </w:r>
      <w:r w:rsidRPr="00017A3F">
        <w:rPr>
          <w:rFonts w:ascii="Palatino Linotype" w:eastAsia="Palatino Linotype" w:hAnsi="Palatino Linotype" w:cs="Palatino Linotype"/>
          <w:sz w:val="22"/>
          <w:szCs w:val="22"/>
        </w:rPr>
        <w:t>Como fue debidamente apuntado, el </w:t>
      </w:r>
      <w:r w:rsidRPr="00017A3F">
        <w:rPr>
          <w:rFonts w:ascii="Palatino Linotype" w:eastAsia="Palatino Linotype" w:hAnsi="Palatino Linotype" w:cs="Palatino Linotype"/>
          <w:b/>
          <w:bCs/>
          <w:sz w:val="22"/>
          <w:szCs w:val="22"/>
        </w:rPr>
        <w:t>Sujeto Obligado</w:t>
      </w:r>
      <w:r w:rsidRPr="00017A3F">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EC36D17" w14:textId="77777777" w:rsidR="00AC55F7" w:rsidRPr="00017A3F" w:rsidRDefault="006C736C">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A3CE1C0" w14:textId="77777777" w:rsidR="00AC55F7" w:rsidRPr="00017A3F" w:rsidRDefault="006C736C">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CAD46C9" w14:textId="77777777" w:rsidR="00AC55F7" w:rsidRPr="00017A3F" w:rsidRDefault="006C736C">
      <w:pPr>
        <w:spacing w:before="240" w:after="240" w:line="360" w:lineRule="auto"/>
        <w:ind w:right="49"/>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0E81642A"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sz w:val="22"/>
          <w:szCs w:val="22"/>
        </w:rPr>
        <w:t> </w:t>
      </w:r>
      <w:r w:rsidRPr="00017A3F">
        <w:rPr>
          <w:rFonts w:ascii="Palatino Linotype" w:eastAsia="Palatino Linotype" w:hAnsi="Palatino Linotype" w:cs="Palatino Linotype"/>
          <w:i/>
          <w:iCs/>
          <w:sz w:val="22"/>
          <w:szCs w:val="22"/>
        </w:rPr>
        <w:t>“</w:t>
      </w:r>
      <w:r w:rsidRPr="00017A3F">
        <w:rPr>
          <w:rFonts w:ascii="Palatino Linotype" w:eastAsia="Palatino Linotype" w:hAnsi="Palatino Linotype" w:cs="Palatino Linotype"/>
          <w:b/>
          <w:bCs/>
          <w:i/>
          <w:iCs/>
          <w:sz w:val="22"/>
          <w:szCs w:val="22"/>
        </w:rPr>
        <w:t>Artículo 3.</w:t>
      </w:r>
      <w:r w:rsidRPr="00017A3F">
        <w:rPr>
          <w:rFonts w:ascii="Palatino Linotype" w:eastAsia="Palatino Linotype" w:hAnsi="Palatino Linotype" w:cs="Palatino Linotype"/>
          <w:i/>
          <w:iCs/>
          <w:sz w:val="22"/>
          <w:szCs w:val="22"/>
        </w:rPr>
        <w:t xml:space="preserve"> Para los efectos de la presente Ley se entenderá por:</w:t>
      </w:r>
    </w:p>
    <w:p w14:paraId="14EC5C41" w14:textId="77777777" w:rsidR="00AC55F7" w:rsidRPr="00017A3F"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p>
    <w:p w14:paraId="4A9BD78B" w14:textId="77777777" w:rsidR="00AC55F7" w:rsidRPr="00017A3F"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IX. Datos personales</w:t>
      </w:r>
      <w:r w:rsidRPr="00017A3F">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57A8D699" w14:textId="77777777" w:rsidR="00AC55F7" w:rsidRPr="00017A3F"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p>
    <w:p w14:paraId="033D8307" w14:textId="77777777" w:rsidR="00AC55F7" w:rsidRPr="00017A3F"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XX. Información clasificada</w:t>
      </w:r>
      <w:r w:rsidRPr="00017A3F">
        <w:rPr>
          <w:rFonts w:ascii="Palatino Linotype" w:eastAsia="Palatino Linotype" w:hAnsi="Palatino Linotype" w:cs="Palatino Linotype"/>
          <w:i/>
          <w:iCs/>
          <w:sz w:val="22"/>
          <w:szCs w:val="22"/>
        </w:rPr>
        <w:t>: Aquella considerada por la presente Ley como reservada o confidencial;</w:t>
      </w:r>
    </w:p>
    <w:p w14:paraId="69D8560B" w14:textId="77777777" w:rsidR="00AC55F7" w:rsidRPr="00017A3F"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XXI. Información confidencial</w:t>
      </w:r>
      <w:r w:rsidRPr="00017A3F">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B69CE2C" w14:textId="77777777" w:rsidR="00AC55F7" w:rsidRPr="00017A3F"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p>
    <w:p w14:paraId="1517473A" w14:textId="77777777" w:rsidR="00AC55F7" w:rsidRPr="00017A3F"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XXXII. Protección de Datos Personales</w:t>
      </w:r>
      <w:r w:rsidRPr="00017A3F">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39143C5C" w14:textId="77777777" w:rsidR="00AC55F7" w:rsidRPr="00017A3F"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p>
    <w:p w14:paraId="585C696A" w14:textId="77777777" w:rsidR="00AC55F7" w:rsidRPr="00017A3F"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XLV. Versión pública</w:t>
      </w:r>
      <w:r w:rsidRPr="00017A3F">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6C44F919"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 Artículo 6</w:t>
      </w:r>
      <w:r w:rsidRPr="00017A3F">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D151C02"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p>
    <w:p w14:paraId="1DE0502C"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Artículo 91.</w:t>
      </w:r>
      <w:r w:rsidRPr="00017A3F">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017A3F">
        <w:rPr>
          <w:rFonts w:ascii="Palatino Linotype" w:eastAsia="Palatino Linotype" w:hAnsi="Palatino Linotype" w:cs="Palatino Linotype"/>
          <w:i/>
          <w:iCs/>
          <w:sz w:val="22"/>
          <w:szCs w:val="22"/>
        </w:rPr>
        <w:br/>
        <w:t>…</w:t>
      </w:r>
    </w:p>
    <w:p w14:paraId="41705A7C"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Artículo 132.</w:t>
      </w:r>
      <w:r w:rsidRPr="00017A3F">
        <w:rPr>
          <w:rFonts w:ascii="Palatino Linotype" w:eastAsia="Palatino Linotype" w:hAnsi="Palatino Linotype" w:cs="Palatino Linotype"/>
          <w:i/>
          <w:iCs/>
          <w:sz w:val="22"/>
          <w:szCs w:val="22"/>
        </w:rPr>
        <w:t xml:space="preserve"> La clasificación de la información se llevará a cabo en el momento en que:</w:t>
      </w:r>
    </w:p>
    <w:p w14:paraId="0E4C3139"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w:t>
      </w:r>
      <w:r w:rsidRPr="00017A3F">
        <w:rPr>
          <w:rFonts w:ascii="Palatino Linotype" w:eastAsia="Palatino Linotype" w:hAnsi="Palatino Linotype" w:cs="Palatino Linotype"/>
          <w:i/>
          <w:iCs/>
          <w:sz w:val="22"/>
          <w:szCs w:val="22"/>
        </w:rPr>
        <w:t>. Se reciba una solicitud de acceso a la información;</w:t>
      </w:r>
    </w:p>
    <w:p w14:paraId="1C0919F2"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II.</w:t>
      </w:r>
      <w:r w:rsidRPr="00017A3F">
        <w:rPr>
          <w:rFonts w:ascii="Palatino Linotype" w:eastAsia="Palatino Linotype" w:hAnsi="Palatino Linotype" w:cs="Palatino Linotype"/>
          <w:i/>
          <w:iCs/>
          <w:sz w:val="22"/>
          <w:szCs w:val="22"/>
        </w:rPr>
        <w:t xml:space="preserve"> Se determine mediante resolución de autoridad competente; o</w:t>
      </w:r>
    </w:p>
    <w:p w14:paraId="24352245"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III.</w:t>
      </w:r>
      <w:r w:rsidRPr="00017A3F">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2570843D"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w:t>
      </w:r>
    </w:p>
    <w:p w14:paraId="688DE376"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Artículo 137.</w:t>
      </w:r>
      <w:r w:rsidRPr="00017A3F">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65C14C3"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 Artículo 143.</w:t>
      </w:r>
      <w:r w:rsidRPr="00017A3F">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35955016"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w:t>
      </w:r>
      <w:r w:rsidRPr="00017A3F">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3C2E2E44" w14:textId="77777777" w:rsidR="00AC55F7" w:rsidRPr="00017A3F" w:rsidRDefault="006C736C">
      <w:pPr>
        <w:spacing w:before="240" w:after="240" w:line="360" w:lineRule="auto"/>
        <w:ind w:right="50"/>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17A3F">
        <w:rPr>
          <w:rFonts w:ascii="Palatino Linotype" w:eastAsia="Palatino Linotype" w:hAnsi="Palatino Linotype" w:cs="Palatino Linotype"/>
          <w:b/>
          <w:bCs/>
          <w:sz w:val="22"/>
          <w:szCs w:val="22"/>
        </w:rPr>
        <w:t>Sujeto Obligado</w:t>
      </w:r>
      <w:r w:rsidRPr="00017A3F">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2B1AB1D" w14:textId="77777777" w:rsidR="00AC55F7" w:rsidRPr="00017A3F" w:rsidRDefault="006C736C">
      <w:pPr>
        <w:spacing w:before="240" w:after="240" w:line="360" w:lineRule="auto"/>
        <w:ind w:right="50"/>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A537597" w14:textId="362388F6" w:rsidR="00AC55F7" w:rsidRPr="00017A3F" w:rsidRDefault="004D5386">
      <w:pPr>
        <w:spacing w:before="240" w:after="240" w:line="360" w:lineRule="auto"/>
        <w:ind w:right="50"/>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E</w:t>
      </w:r>
      <w:r w:rsidR="006C736C" w:rsidRPr="00017A3F">
        <w:rPr>
          <w:rFonts w:ascii="Palatino Linotype" w:eastAsia="Palatino Linotype" w:hAnsi="Palatino Linotype" w:cs="Palatino Linotype"/>
          <w:sz w:val="22"/>
          <w:szCs w:val="22"/>
        </w:rPr>
        <w:t>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ED316F9"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“Artículo 49.</w:t>
      </w:r>
      <w:r w:rsidRPr="00017A3F">
        <w:rPr>
          <w:rFonts w:ascii="Palatino Linotype" w:eastAsia="Palatino Linotype" w:hAnsi="Palatino Linotype" w:cs="Palatino Linotype"/>
          <w:i/>
          <w:iCs/>
          <w:sz w:val="22"/>
          <w:szCs w:val="22"/>
        </w:rPr>
        <w:t xml:space="preserve"> </w:t>
      </w:r>
      <w:r w:rsidRPr="00017A3F">
        <w:rPr>
          <w:rFonts w:ascii="Palatino Linotype" w:eastAsia="Palatino Linotype" w:hAnsi="Palatino Linotype" w:cs="Palatino Linotype"/>
          <w:b/>
          <w:bCs/>
          <w:i/>
          <w:iCs/>
          <w:sz w:val="22"/>
          <w:szCs w:val="22"/>
        </w:rPr>
        <w:t>Los Comités de Transparencia</w:t>
      </w:r>
      <w:r w:rsidRPr="00017A3F">
        <w:rPr>
          <w:rFonts w:ascii="Palatino Linotype" w:eastAsia="Palatino Linotype" w:hAnsi="Palatino Linotype" w:cs="Palatino Linotype"/>
          <w:i/>
          <w:iCs/>
          <w:sz w:val="22"/>
          <w:szCs w:val="22"/>
        </w:rPr>
        <w:t xml:space="preserve"> tendrán las siguientes atribuciones:</w:t>
      </w:r>
    </w:p>
    <w:p w14:paraId="2324FE43"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VIII. Aprobar, modificar o revocar la clasificación de la información</w:t>
      </w:r>
      <w:r w:rsidRPr="00017A3F">
        <w:rPr>
          <w:rFonts w:ascii="Palatino Linotype" w:eastAsia="Palatino Linotype" w:hAnsi="Palatino Linotype" w:cs="Palatino Linotype"/>
          <w:i/>
          <w:iCs/>
          <w:sz w:val="22"/>
          <w:szCs w:val="22"/>
        </w:rPr>
        <w:t>…”</w:t>
      </w:r>
    </w:p>
    <w:p w14:paraId="5D3B25D5"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r w:rsidRPr="00017A3F">
        <w:rPr>
          <w:rFonts w:ascii="Palatino Linotype" w:eastAsia="Palatino Linotype" w:hAnsi="Palatino Linotype" w:cs="Palatino Linotype"/>
          <w:b/>
          <w:bCs/>
          <w:i/>
          <w:iCs/>
          <w:sz w:val="22"/>
          <w:szCs w:val="22"/>
        </w:rPr>
        <w:t>Artículo 53.</w:t>
      </w:r>
      <w:r w:rsidRPr="00017A3F">
        <w:rPr>
          <w:rFonts w:ascii="Palatino Linotype" w:eastAsia="Palatino Linotype" w:hAnsi="Palatino Linotype" w:cs="Palatino Linotype"/>
          <w:i/>
          <w:iCs/>
          <w:sz w:val="22"/>
          <w:szCs w:val="22"/>
        </w:rPr>
        <w:t xml:space="preserve"> Las </w:t>
      </w:r>
      <w:r w:rsidRPr="00017A3F">
        <w:rPr>
          <w:rFonts w:ascii="Palatino Linotype" w:eastAsia="Palatino Linotype" w:hAnsi="Palatino Linotype" w:cs="Palatino Linotype"/>
          <w:b/>
          <w:bCs/>
          <w:i/>
          <w:iCs/>
          <w:sz w:val="22"/>
          <w:szCs w:val="22"/>
        </w:rPr>
        <w:t>Unidades de Transparencia</w:t>
      </w:r>
      <w:r w:rsidRPr="00017A3F">
        <w:rPr>
          <w:rFonts w:ascii="Palatino Linotype" w:eastAsia="Palatino Linotype" w:hAnsi="Palatino Linotype" w:cs="Palatino Linotype"/>
          <w:i/>
          <w:iCs/>
          <w:sz w:val="22"/>
          <w:szCs w:val="22"/>
        </w:rPr>
        <w:t xml:space="preserve"> tendrán las siguientes </w:t>
      </w:r>
      <w:r w:rsidRPr="00017A3F">
        <w:rPr>
          <w:rFonts w:ascii="Palatino Linotype" w:eastAsia="Palatino Linotype" w:hAnsi="Palatino Linotype" w:cs="Palatino Linotype"/>
          <w:b/>
          <w:bCs/>
          <w:i/>
          <w:iCs/>
          <w:sz w:val="22"/>
          <w:szCs w:val="22"/>
        </w:rPr>
        <w:t>funciones</w:t>
      </w:r>
      <w:r w:rsidRPr="00017A3F">
        <w:rPr>
          <w:rFonts w:ascii="Palatino Linotype" w:eastAsia="Palatino Linotype" w:hAnsi="Palatino Linotype" w:cs="Palatino Linotype"/>
          <w:i/>
          <w:iCs/>
          <w:sz w:val="22"/>
          <w:szCs w:val="22"/>
        </w:rPr>
        <w:t>:</w:t>
      </w:r>
    </w:p>
    <w:p w14:paraId="41273FE2"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X. Presentar ante el Comité, el proyecto de clasificación de información</w:t>
      </w:r>
      <w:r w:rsidRPr="00017A3F">
        <w:rPr>
          <w:rFonts w:ascii="Palatino Linotype" w:eastAsia="Palatino Linotype" w:hAnsi="Palatino Linotype" w:cs="Palatino Linotype"/>
          <w:i/>
          <w:iCs/>
          <w:sz w:val="22"/>
          <w:szCs w:val="22"/>
        </w:rPr>
        <w:t xml:space="preserve">…” </w:t>
      </w:r>
    </w:p>
    <w:p w14:paraId="19CAA356"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“Artículo 59.</w:t>
      </w:r>
      <w:r w:rsidRPr="00017A3F">
        <w:rPr>
          <w:rFonts w:ascii="Palatino Linotype" w:eastAsia="Palatino Linotype" w:hAnsi="Palatino Linotype" w:cs="Palatino Linotype"/>
          <w:i/>
          <w:iCs/>
          <w:sz w:val="22"/>
          <w:szCs w:val="22"/>
        </w:rPr>
        <w:t xml:space="preserve"> Los </w:t>
      </w:r>
      <w:r w:rsidRPr="00017A3F">
        <w:rPr>
          <w:rFonts w:ascii="Palatino Linotype" w:eastAsia="Palatino Linotype" w:hAnsi="Palatino Linotype" w:cs="Palatino Linotype"/>
          <w:b/>
          <w:bCs/>
          <w:i/>
          <w:iCs/>
          <w:sz w:val="22"/>
          <w:szCs w:val="22"/>
        </w:rPr>
        <w:t>servidores públicos habilitados</w:t>
      </w:r>
      <w:r w:rsidRPr="00017A3F">
        <w:rPr>
          <w:rFonts w:ascii="Palatino Linotype" w:eastAsia="Palatino Linotype" w:hAnsi="Palatino Linotype" w:cs="Palatino Linotype"/>
          <w:i/>
          <w:iCs/>
          <w:sz w:val="22"/>
          <w:szCs w:val="22"/>
        </w:rPr>
        <w:t xml:space="preserve"> tendrán las </w:t>
      </w:r>
      <w:r w:rsidRPr="00017A3F">
        <w:rPr>
          <w:rFonts w:ascii="Palatino Linotype" w:eastAsia="Palatino Linotype" w:hAnsi="Palatino Linotype" w:cs="Palatino Linotype"/>
          <w:b/>
          <w:bCs/>
          <w:i/>
          <w:iCs/>
          <w:sz w:val="22"/>
          <w:szCs w:val="22"/>
        </w:rPr>
        <w:t>funciones</w:t>
      </w:r>
      <w:r w:rsidRPr="00017A3F">
        <w:rPr>
          <w:rFonts w:ascii="Palatino Linotype" w:eastAsia="Palatino Linotype" w:hAnsi="Palatino Linotype" w:cs="Palatino Linotype"/>
          <w:i/>
          <w:iCs/>
          <w:sz w:val="22"/>
          <w:szCs w:val="22"/>
        </w:rPr>
        <w:t xml:space="preserve"> siguientes:</w:t>
      </w:r>
    </w:p>
    <w:p w14:paraId="0DE8D2BE"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017A3F">
        <w:rPr>
          <w:rFonts w:ascii="Palatino Linotype" w:eastAsia="Palatino Linotype" w:hAnsi="Palatino Linotype" w:cs="Palatino Linotype"/>
          <w:i/>
          <w:iCs/>
          <w:sz w:val="22"/>
          <w:szCs w:val="22"/>
        </w:rPr>
        <w:t>, la cual tendrá los fundamentos y argumentos en que se basa dicha propuesta…”</w:t>
      </w:r>
    </w:p>
    <w:p w14:paraId="37E974DA"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234A105"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811FDC8"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r w:rsidRPr="00017A3F">
        <w:rPr>
          <w:rFonts w:ascii="Palatino Linotype" w:eastAsia="Palatino Linotype" w:hAnsi="Palatino Linotype" w:cs="Palatino Linotype"/>
          <w:b/>
          <w:bCs/>
          <w:i/>
          <w:iCs/>
          <w:sz w:val="22"/>
          <w:szCs w:val="22"/>
        </w:rPr>
        <w:t>Artículo 149.</w:t>
      </w:r>
      <w:r w:rsidRPr="00017A3F">
        <w:rPr>
          <w:rFonts w:ascii="Palatino Linotype" w:eastAsia="Palatino Linotype" w:hAnsi="Palatino Linotype" w:cs="Palatino Linotype"/>
          <w:i/>
          <w:iCs/>
          <w:sz w:val="22"/>
          <w:szCs w:val="22"/>
        </w:rPr>
        <w:t xml:space="preserve"> El </w:t>
      </w:r>
      <w:r w:rsidRPr="00017A3F">
        <w:rPr>
          <w:rFonts w:ascii="Palatino Linotype" w:eastAsia="Palatino Linotype" w:hAnsi="Palatino Linotype" w:cs="Palatino Linotype"/>
          <w:b/>
          <w:bCs/>
          <w:i/>
          <w:iCs/>
          <w:sz w:val="22"/>
          <w:szCs w:val="22"/>
        </w:rPr>
        <w:t>acuerdo que clasifique la información como confidencial</w:t>
      </w:r>
      <w:r w:rsidRPr="00017A3F">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3541A7A4" w14:textId="77777777" w:rsidR="00AC55F7" w:rsidRPr="00017A3F" w:rsidRDefault="006C736C">
      <w:pPr>
        <w:spacing w:before="240" w:after="240" w:line="360" w:lineRule="auto"/>
        <w:ind w:right="51"/>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Es decir, el </w:t>
      </w:r>
      <w:r w:rsidRPr="00017A3F">
        <w:rPr>
          <w:rFonts w:ascii="Palatino Linotype" w:eastAsia="Palatino Linotype" w:hAnsi="Palatino Linotype" w:cs="Palatino Linotype"/>
          <w:b/>
          <w:bCs/>
          <w:sz w:val="22"/>
          <w:szCs w:val="22"/>
        </w:rPr>
        <w:t>Sujeto Obligado</w:t>
      </w:r>
      <w:r w:rsidRPr="00017A3F">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32C90B15" w14:textId="77777777" w:rsidR="00AC55F7" w:rsidRPr="00017A3F" w:rsidRDefault="006C736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017A3F">
        <w:rPr>
          <w:rFonts w:ascii="Palatino Linotype" w:eastAsia="Palatino Linotype" w:hAnsi="Palatino Linotype" w:cs="Palatino Linotype"/>
          <w:b/>
          <w:bCs/>
          <w:sz w:val="22"/>
          <w:szCs w:val="22"/>
        </w:rPr>
        <w:t>Sujeto Obligado</w:t>
      </w:r>
      <w:r w:rsidRPr="00017A3F">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65BAE990"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 xml:space="preserve"> “Quincuagésimo. </w:t>
      </w:r>
      <w:r w:rsidRPr="00017A3F">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E9F1759"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 xml:space="preserve">Quincuagésimo primero. </w:t>
      </w:r>
      <w:r w:rsidRPr="00017A3F">
        <w:rPr>
          <w:rFonts w:ascii="Palatino Linotype" w:eastAsia="Palatino Linotype" w:hAnsi="Palatino Linotype" w:cs="Palatino Linotype"/>
          <w:i/>
          <w:iCs/>
          <w:sz w:val="22"/>
          <w:szCs w:val="22"/>
        </w:rPr>
        <w:t xml:space="preserve">Toda acta del Comité de Transparencia deberá contener: </w:t>
      </w:r>
    </w:p>
    <w:p w14:paraId="484F8999"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w:t>
      </w:r>
      <w:r w:rsidRPr="00017A3F">
        <w:rPr>
          <w:rFonts w:ascii="Palatino Linotype" w:eastAsia="Palatino Linotype" w:hAnsi="Palatino Linotype" w:cs="Palatino Linotype"/>
          <w:i/>
          <w:iCs/>
          <w:sz w:val="22"/>
          <w:szCs w:val="22"/>
        </w:rPr>
        <w:t xml:space="preserve"> El número de sesión y fecha; </w:t>
      </w:r>
    </w:p>
    <w:p w14:paraId="2E5E8B60"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II</w:t>
      </w:r>
      <w:r w:rsidRPr="00017A3F">
        <w:rPr>
          <w:rFonts w:ascii="Palatino Linotype" w:eastAsia="Palatino Linotype" w:hAnsi="Palatino Linotype" w:cs="Palatino Linotype"/>
          <w:i/>
          <w:iCs/>
          <w:sz w:val="22"/>
          <w:szCs w:val="22"/>
        </w:rPr>
        <w:t xml:space="preserve">. El nombre del área que solicitó la clasificación de información; </w:t>
      </w:r>
    </w:p>
    <w:p w14:paraId="7C159EB7"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III</w:t>
      </w:r>
      <w:r w:rsidRPr="00017A3F">
        <w:rPr>
          <w:rFonts w:ascii="Palatino Linotype" w:eastAsia="Palatino Linotype" w:hAnsi="Palatino Linotype" w:cs="Palatino Linotype"/>
          <w:i/>
          <w:iCs/>
          <w:sz w:val="22"/>
          <w:szCs w:val="22"/>
        </w:rPr>
        <w:t xml:space="preserve">. La fundamentación legal y motivación correspondiente; </w:t>
      </w:r>
    </w:p>
    <w:p w14:paraId="6476BF33"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IV</w:t>
      </w:r>
      <w:r w:rsidRPr="00017A3F">
        <w:rPr>
          <w:rFonts w:ascii="Palatino Linotype" w:eastAsia="Palatino Linotype" w:hAnsi="Palatino Linotype" w:cs="Palatino Linotype"/>
          <w:i/>
          <w:iCs/>
          <w:sz w:val="22"/>
          <w:szCs w:val="22"/>
        </w:rPr>
        <w:t xml:space="preserve">. La resolución o resoluciones aprobadas; y </w:t>
      </w:r>
    </w:p>
    <w:p w14:paraId="3A91F6F2"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V</w:t>
      </w:r>
      <w:r w:rsidRPr="00017A3F">
        <w:rPr>
          <w:rFonts w:ascii="Palatino Linotype" w:eastAsia="Palatino Linotype" w:hAnsi="Palatino Linotype" w:cs="Palatino Linotype"/>
          <w:i/>
          <w:iCs/>
          <w:sz w:val="22"/>
          <w:szCs w:val="22"/>
        </w:rPr>
        <w:t xml:space="preserve">. La rúbrica o firma digital de cada integrante del Comité de Transparencia. </w:t>
      </w:r>
    </w:p>
    <w:p w14:paraId="0CBB7F94"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101A0631"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w:t>
      </w:r>
      <w:r w:rsidRPr="00017A3F">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516C4CD5"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017A3F">
        <w:rPr>
          <w:rFonts w:ascii="Palatino Linotype" w:eastAsia="Palatino Linotype" w:hAnsi="Palatino Linotype" w:cs="Palatino Linotype"/>
          <w:b/>
          <w:bCs/>
          <w:i/>
          <w:iCs/>
          <w:sz w:val="22"/>
          <w:szCs w:val="22"/>
        </w:rPr>
        <w:t>II</w:t>
      </w:r>
      <w:r w:rsidRPr="00017A3F">
        <w:rPr>
          <w:rFonts w:ascii="Palatino Linotype" w:eastAsia="Palatino Linotype" w:hAnsi="Palatino Linotype" w:cs="Palatino Linotype"/>
          <w:i/>
          <w:iCs/>
          <w:sz w:val="22"/>
          <w:szCs w:val="22"/>
        </w:rPr>
        <w:t>. Descripción de las partes o secciones reservadas, en caso de clasificación parcial</w:t>
      </w:r>
      <w:r w:rsidRPr="00017A3F">
        <w:rPr>
          <w:rFonts w:ascii="Palatino Linotype" w:eastAsia="Palatino Linotype" w:hAnsi="Palatino Linotype" w:cs="Palatino Linotype"/>
          <w:b/>
          <w:bCs/>
          <w:i/>
          <w:iCs/>
          <w:sz w:val="22"/>
          <w:szCs w:val="22"/>
        </w:rPr>
        <w:t xml:space="preserve">; </w:t>
      </w:r>
    </w:p>
    <w:p w14:paraId="42CC68B6"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III.</w:t>
      </w:r>
      <w:r w:rsidRPr="00017A3F">
        <w:rPr>
          <w:rFonts w:ascii="Palatino Linotype" w:eastAsia="Palatino Linotype" w:hAnsi="Palatino Linotype" w:cs="Palatino Linotype"/>
          <w:i/>
          <w:iCs/>
          <w:sz w:val="22"/>
          <w:szCs w:val="22"/>
        </w:rPr>
        <w:t xml:space="preserve"> El periodo por el que mantendrá su clasificación y fecha de expiración; y </w:t>
      </w:r>
    </w:p>
    <w:p w14:paraId="36D9E615"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IV.</w:t>
      </w:r>
      <w:r w:rsidRPr="00017A3F">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605C96E8"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5B1635F8" w14:textId="77777777" w:rsidR="00AC55F7" w:rsidRPr="00017A3F"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E215650"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5FF9387E"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r w:rsidRPr="00017A3F">
        <w:rPr>
          <w:rFonts w:ascii="Palatino Linotype" w:eastAsia="Palatino Linotype" w:hAnsi="Palatino Linotype" w:cs="Palatino Linotype"/>
          <w:b/>
          <w:bCs/>
          <w:i/>
          <w:iCs/>
          <w:sz w:val="22"/>
          <w:szCs w:val="22"/>
        </w:rPr>
        <w:t>Quincuagésimo segundo</w:t>
      </w:r>
      <w:r w:rsidRPr="00017A3F">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6F9164F"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4CD9BB0D"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w:t>
      </w:r>
      <w:r w:rsidRPr="00017A3F">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57E9C05B"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II.</w:t>
      </w:r>
      <w:r w:rsidRPr="00017A3F">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3D854CB5"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III.</w:t>
      </w:r>
      <w:r w:rsidRPr="00017A3F">
        <w:rPr>
          <w:rFonts w:ascii="Palatino Linotype" w:eastAsia="Palatino Linotype" w:hAnsi="Palatino Linotype" w:cs="Palatino Linotype"/>
          <w:i/>
          <w:iCs/>
          <w:sz w:val="22"/>
          <w:szCs w:val="22"/>
        </w:rPr>
        <w:t xml:space="preserve"> Señalar las personas o instancias autorizadas a acceder a la información clasificada.</w:t>
      </w:r>
    </w:p>
    <w:p w14:paraId="3DDC99F0" w14:textId="77777777" w:rsidR="00AC55F7" w:rsidRPr="00017A3F" w:rsidRDefault="006C736C">
      <w:pP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530A7264" w14:textId="77777777" w:rsidR="00AC55F7" w:rsidRPr="00017A3F" w:rsidRDefault="006C736C">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w:t>
      </w:r>
    </w:p>
    <w:p w14:paraId="52D336E0" w14:textId="77777777" w:rsidR="00AC55F7" w:rsidRPr="00017A3F" w:rsidRDefault="006C736C">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017A3F">
        <w:rPr>
          <w:rFonts w:ascii="Palatino Linotype" w:eastAsia="Palatino Linotype" w:hAnsi="Palatino Linotype" w:cs="Palatino Linotype"/>
          <w:b/>
          <w:bCs/>
          <w:i/>
          <w:iCs/>
          <w:sz w:val="22"/>
          <w:szCs w:val="22"/>
        </w:rPr>
        <w:t xml:space="preserve">Quincuagésimo cuarto. </w:t>
      </w:r>
      <w:r w:rsidRPr="00017A3F">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017A3F">
        <w:rPr>
          <w:rFonts w:ascii="Palatino Linotype" w:eastAsia="Palatino Linotype" w:hAnsi="Palatino Linotype" w:cs="Palatino Linotype"/>
          <w:b/>
          <w:bCs/>
          <w:i/>
          <w:iCs/>
          <w:sz w:val="22"/>
          <w:szCs w:val="22"/>
        </w:rPr>
        <w:t xml:space="preserve"> </w:t>
      </w:r>
    </w:p>
    <w:p w14:paraId="0BED1355"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 xml:space="preserve">Quincuagésimo quinto. </w:t>
      </w:r>
      <w:r w:rsidRPr="00017A3F">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10B6332" w14:textId="77777777" w:rsidR="00AC55F7" w:rsidRPr="00017A3F" w:rsidRDefault="006C736C">
      <w:pPr>
        <w:spacing w:before="120" w:after="120"/>
        <w:ind w:left="851" w:right="902"/>
        <w:jc w:val="both"/>
        <w:rPr>
          <w:rFonts w:ascii="Palatino Linotype" w:eastAsia="Palatino Linotype" w:hAnsi="Palatino Linotype" w:cs="Palatino Linotype"/>
          <w:b/>
          <w:bCs/>
          <w:i/>
          <w:iCs/>
          <w:sz w:val="22"/>
          <w:szCs w:val="22"/>
        </w:rPr>
      </w:pPr>
      <w:r w:rsidRPr="00017A3F">
        <w:rPr>
          <w:rFonts w:ascii="Palatino Linotype" w:eastAsia="Palatino Linotype" w:hAnsi="Palatino Linotype" w:cs="Palatino Linotype"/>
          <w:b/>
          <w:bCs/>
          <w:i/>
          <w:iCs/>
          <w:sz w:val="22"/>
          <w:szCs w:val="22"/>
        </w:rPr>
        <w:t>...</w:t>
      </w:r>
    </w:p>
    <w:p w14:paraId="4CE93B4C"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Quincuagésimo séptimo</w:t>
      </w:r>
      <w:r w:rsidRPr="00017A3F">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2A94AD0D"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w:t>
      </w:r>
      <w:r w:rsidRPr="00017A3F">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24BF886B"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II.</w:t>
      </w:r>
      <w:r w:rsidRPr="00017A3F">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2E1294A"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III</w:t>
      </w:r>
      <w:r w:rsidRPr="00017A3F">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2F9F377"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79FE1889" w14:textId="77777777" w:rsidR="00AC55F7" w:rsidRPr="00017A3F" w:rsidRDefault="006C736C">
      <w:pPr>
        <w:spacing w:before="120" w:after="120"/>
        <w:ind w:left="851" w:right="902"/>
        <w:jc w:val="both"/>
        <w:rPr>
          <w:rFonts w:ascii="Palatino Linotype" w:eastAsia="Palatino Linotype" w:hAnsi="Palatino Linotype" w:cs="Palatino Linotype"/>
          <w:i/>
          <w:iCs/>
          <w:sz w:val="22"/>
          <w:szCs w:val="22"/>
        </w:rPr>
      </w:pPr>
      <w:r w:rsidRPr="00017A3F">
        <w:rPr>
          <w:rFonts w:ascii="Palatino Linotype" w:eastAsia="Palatino Linotype" w:hAnsi="Palatino Linotype" w:cs="Palatino Linotype"/>
          <w:b/>
          <w:bCs/>
          <w:i/>
          <w:iCs/>
          <w:sz w:val="22"/>
          <w:szCs w:val="22"/>
        </w:rPr>
        <w:t>Quincuagésimo octavo</w:t>
      </w:r>
      <w:r w:rsidRPr="00017A3F">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40026CC"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Así, con fundamento en lo prescrito en los artículos 5 párrafos cuadragésimo cuarto, cuadragésimo quinto y cuadragésimo sexto,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14:paraId="34DD30A9" w14:textId="77777777" w:rsidR="00AC55F7" w:rsidRPr="00017A3F" w:rsidRDefault="006C736C">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017A3F">
        <w:rPr>
          <w:rFonts w:ascii="Palatino Linotype" w:eastAsia="Palatino Linotype" w:hAnsi="Palatino Linotype" w:cs="Palatino Linotype"/>
          <w:b/>
          <w:bCs/>
          <w:sz w:val="22"/>
          <w:szCs w:val="22"/>
        </w:rPr>
        <w:t>III. R E S U E L V E</w:t>
      </w:r>
    </w:p>
    <w:p w14:paraId="24A080FD" w14:textId="106716D3" w:rsidR="00AC55F7" w:rsidRPr="00017A3F" w:rsidRDefault="006C736C">
      <w:pPr>
        <w:spacing w:before="240" w:after="240" w:line="360" w:lineRule="auto"/>
        <w:jc w:val="both"/>
        <w:rPr>
          <w:rFonts w:ascii="Palatino Linotype" w:eastAsia="Palatino Linotype" w:hAnsi="Palatino Linotype" w:cs="Palatino Linotype"/>
          <w:sz w:val="22"/>
          <w:szCs w:val="22"/>
        </w:rPr>
      </w:pPr>
      <w:bookmarkStart w:id="8" w:name="_heading=h.26in1rg" w:colFirst="0" w:colLast="0"/>
      <w:bookmarkEnd w:id="8"/>
      <w:r w:rsidRPr="00017A3F">
        <w:rPr>
          <w:rFonts w:ascii="Palatino Linotype" w:eastAsia="Palatino Linotype" w:hAnsi="Palatino Linotype" w:cs="Palatino Linotype"/>
          <w:b/>
          <w:bCs/>
          <w:sz w:val="22"/>
          <w:szCs w:val="22"/>
        </w:rPr>
        <w:t xml:space="preserve">Primero. </w:t>
      </w:r>
      <w:r w:rsidRPr="00017A3F">
        <w:rPr>
          <w:rFonts w:ascii="Palatino Linotype" w:eastAsia="Palatino Linotype" w:hAnsi="Palatino Linotype" w:cs="Palatino Linotype"/>
          <w:sz w:val="22"/>
          <w:szCs w:val="22"/>
        </w:rPr>
        <w:t>Resultan</w:t>
      </w:r>
      <w:r w:rsidRPr="00017A3F">
        <w:rPr>
          <w:rFonts w:ascii="Palatino Linotype" w:eastAsia="Palatino Linotype" w:hAnsi="Palatino Linotype" w:cs="Palatino Linotype"/>
          <w:b/>
          <w:bCs/>
          <w:sz w:val="22"/>
          <w:szCs w:val="22"/>
        </w:rPr>
        <w:t xml:space="preserve"> parcialmente fundadas</w:t>
      </w:r>
      <w:r w:rsidRPr="00017A3F">
        <w:rPr>
          <w:rFonts w:ascii="Palatino Linotype" w:eastAsia="Palatino Linotype" w:hAnsi="Palatino Linotype" w:cs="Palatino Linotype"/>
          <w:sz w:val="22"/>
          <w:szCs w:val="22"/>
        </w:rPr>
        <w:t xml:space="preserve"> las razones o motivos de inconformidad hechos valer por la parte</w:t>
      </w:r>
      <w:r w:rsidRPr="00017A3F">
        <w:rPr>
          <w:rFonts w:ascii="Palatino Linotype" w:eastAsia="Palatino Linotype" w:hAnsi="Palatino Linotype" w:cs="Palatino Linotype"/>
          <w:b/>
          <w:bCs/>
          <w:sz w:val="22"/>
          <w:szCs w:val="22"/>
        </w:rPr>
        <w:t xml:space="preserve"> Recurrente</w:t>
      </w:r>
      <w:r w:rsidRPr="00017A3F">
        <w:rPr>
          <w:rFonts w:ascii="Palatino Linotype" w:eastAsia="Palatino Linotype" w:hAnsi="Palatino Linotype" w:cs="Palatino Linotype"/>
          <w:sz w:val="22"/>
          <w:szCs w:val="22"/>
        </w:rPr>
        <w:t xml:space="preserve"> en el recurso de revisión </w:t>
      </w:r>
      <w:r w:rsidR="002C4203" w:rsidRPr="00017A3F">
        <w:rPr>
          <w:rFonts w:ascii="Palatino Linotype" w:eastAsia="Palatino Linotype" w:hAnsi="Palatino Linotype" w:cs="Palatino Linotype"/>
          <w:b/>
          <w:bCs/>
          <w:sz w:val="22"/>
          <w:szCs w:val="22"/>
        </w:rPr>
        <w:t>12854</w:t>
      </w:r>
      <w:r w:rsidRPr="00017A3F">
        <w:rPr>
          <w:rFonts w:ascii="Palatino Linotype" w:eastAsia="Palatino Linotype" w:hAnsi="Palatino Linotype" w:cs="Palatino Linotype"/>
          <w:b/>
          <w:bCs/>
          <w:sz w:val="22"/>
          <w:szCs w:val="22"/>
        </w:rPr>
        <w:t>/INFOEM/IP/RR/2025</w:t>
      </w:r>
      <w:r w:rsidRPr="00017A3F">
        <w:rPr>
          <w:rFonts w:ascii="Palatino Linotype" w:eastAsia="Palatino Linotype" w:hAnsi="Palatino Linotype" w:cs="Palatino Linotype"/>
          <w:sz w:val="22"/>
          <w:szCs w:val="22"/>
        </w:rPr>
        <w:t xml:space="preserve">; por lo que, en términos del </w:t>
      </w:r>
      <w:r w:rsidRPr="00017A3F">
        <w:rPr>
          <w:rFonts w:ascii="Palatino Linotype" w:eastAsia="Palatino Linotype" w:hAnsi="Palatino Linotype" w:cs="Palatino Linotype"/>
          <w:b/>
          <w:bCs/>
          <w:sz w:val="22"/>
          <w:szCs w:val="22"/>
        </w:rPr>
        <w:t>Considerando</w:t>
      </w:r>
      <w:r w:rsidRPr="00017A3F">
        <w:rPr>
          <w:rFonts w:ascii="Palatino Linotype" w:eastAsia="Palatino Linotype" w:hAnsi="Palatino Linotype" w:cs="Palatino Linotype"/>
          <w:sz w:val="22"/>
          <w:szCs w:val="22"/>
        </w:rPr>
        <w:t xml:space="preserve"> </w:t>
      </w:r>
      <w:r w:rsidRPr="00017A3F">
        <w:rPr>
          <w:rFonts w:ascii="Palatino Linotype" w:eastAsia="Palatino Linotype" w:hAnsi="Palatino Linotype" w:cs="Palatino Linotype"/>
          <w:b/>
          <w:bCs/>
          <w:sz w:val="22"/>
          <w:szCs w:val="22"/>
        </w:rPr>
        <w:t xml:space="preserve">Cuarto </w:t>
      </w:r>
      <w:r w:rsidRPr="00017A3F">
        <w:rPr>
          <w:rFonts w:ascii="Palatino Linotype" w:eastAsia="Palatino Linotype" w:hAnsi="Palatino Linotype" w:cs="Palatino Linotype"/>
          <w:sz w:val="22"/>
          <w:szCs w:val="22"/>
        </w:rPr>
        <w:t xml:space="preserve">de esta resolución, se </w:t>
      </w:r>
      <w:r w:rsidR="000F66F0" w:rsidRPr="00017A3F">
        <w:rPr>
          <w:rFonts w:ascii="Palatino Linotype" w:eastAsia="Palatino Linotype" w:hAnsi="Palatino Linotype" w:cs="Palatino Linotype"/>
          <w:b/>
          <w:bCs/>
          <w:sz w:val="22"/>
          <w:szCs w:val="22"/>
        </w:rPr>
        <w:t>Modifica</w:t>
      </w:r>
      <w:r w:rsidRPr="00017A3F">
        <w:rPr>
          <w:rFonts w:ascii="Palatino Linotype" w:eastAsia="Palatino Linotype" w:hAnsi="Palatino Linotype" w:cs="Palatino Linotype"/>
          <w:b/>
          <w:bCs/>
          <w:sz w:val="22"/>
          <w:szCs w:val="22"/>
        </w:rPr>
        <w:t xml:space="preserve"> </w:t>
      </w:r>
      <w:r w:rsidRPr="00017A3F">
        <w:rPr>
          <w:rFonts w:ascii="Palatino Linotype" w:eastAsia="Palatino Linotype" w:hAnsi="Palatino Linotype" w:cs="Palatino Linotype"/>
          <w:sz w:val="22"/>
          <w:szCs w:val="22"/>
        </w:rPr>
        <w:t xml:space="preserve">la respuesta emitida por el </w:t>
      </w:r>
      <w:r w:rsidRPr="00017A3F">
        <w:rPr>
          <w:rFonts w:ascii="Palatino Linotype" w:eastAsia="Palatino Linotype" w:hAnsi="Palatino Linotype" w:cs="Palatino Linotype"/>
          <w:b/>
          <w:bCs/>
          <w:sz w:val="22"/>
          <w:szCs w:val="22"/>
        </w:rPr>
        <w:t xml:space="preserve">Sujeto Obligado. </w:t>
      </w:r>
    </w:p>
    <w:p w14:paraId="3C81293A" w14:textId="62D746EE"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b/>
          <w:bCs/>
          <w:sz w:val="22"/>
          <w:szCs w:val="22"/>
        </w:rPr>
        <w:t xml:space="preserve">Segundo. </w:t>
      </w:r>
      <w:r w:rsidRPr="00017A3F">
        <w:rPr>
          <w:rFonts w:ascii="Palatino Linotype" w:eastAsia="Palatino Linotype" w:hAnsi="Palatino Linotype" w:cs="Palatino Linotype"/>
          <w:sz w:val="22"/>
          <w:szCs w:val="22"/>
        </w:rPr>
        <w:t xml:space="preserve">Se </w:t>
      </w:r>
      <w:r w:rsidRPr="00017A3F">
        <w:rPr>
          <w:rFonts w:ascii="Palatino Linotype" w:eastAsia="Palatino Linotype" w:hAnsi="Palatino Linotype" w:cs="Palatino Linotype"/>
          <w:b/>
          <w:bCs/>
          <w:sz w:val="22"/>
          <w:szCs w:val="22"/>
        </w:rPr>
        <w:t>Ordena</w:t>
      </w:r>
      <w:r w:rsidRPr="00017A3F">
        <w:rPr>
          <w:rFonts w:ascii="Palatino Linotype" w:eastAsia="Palatino Linotype" w:hAnsi="Palatino Linotype" w:cs="Palatino Linotype"/>
          <w:sz w:val="22"/>
          <w:szCs w:val="22"/>
        </w:rPr>
        <w:t xml:space="preserve"> al </w:t>
      </w:r>
      <w:r w:rsidRPr="00017A3F">
        <w:rPr>
          <w:rFonts w:ascii="Palatino Linotype" w:eastAsia="Palatino Linotype" w:hAnsi="Palatino Linotype" w:cs="Palatino Linotype"/>
          <w:b/>
          <w:bCs/>
          <w:sz w:val="22"/>
          <w:szCs w:val="22"/>
        </w:rPr>
        <w:t>Sujeto Obligado</w:t>
      </w:r>
      <w:r w:rsidRPr="00017A3F">
        <w:rPr>
          <w:rFonts w:ascii="Palatino Linotype" w:eastAsia="Palatino Linotype" w:hAnsi="Palatino Linotype" w:cs="Palatino Linotype"/>
          <w:sz w:val="22"/>
          <w:szCs w:val="22"/>
        </w:rPr>
        <w:t xml:space="preserve">, en términos de los Considerandos </w:t>
      </w:r>
      <w:r w:rsidRPr="00017A3F">
        <w:rPr>
          <w:rFonts w:ascii="Palatino Linotype" w:eastAsia="Palatino Linotype" w:hAnsi="Palatino Linotype" w:cs="Palatino Linotype"/>
          <w:b/>
          <w:bCs/>
          <w:sz w:val="22"/>
          <w:szCs w:val="22"/>
        </w:rPr>
        <w:t xml:space="preserve">Cuarto </w:t>
      </w:r>
      <w:r w:rsidRPr="00017A3F">
        <w:rPr>
          <w:rFonts w:ascii="Palatino Linotype" w:eastAsia="Palatino Linotype" w:hAnsi="Palatino Linotype" w:cs="Palatino Linotype"/>
          <w:sz w:val="22"/>
          <w:szCs w:val="22"/>
        </w:rPr>
        <w:t xml:space="preserve">y </w:t>
      </w:r>
      <w:r w:rsidRPr="00017A3F">
        <w:rPr>
          <w:rFonts w:ascii="Palatino Linotype" w:eastAsia="Palatino Linotype" w:hAnsi="Palatino Linotype" w:cs="Palatino Linotype"/>
          <w:b/>
          <w:bCs/>
          <w:sz w:val="22"/>
          <w:szCs w:val="22"/>
        </w:rPr>
        <w:t xml:space="preserve">Quinto </w:t>
      </w:r>
      <w:r w:rsidRPr="00017A3F">
        <w:rPr>
          <w:rFonts w:ascii="Palatino Linotype" w:eastAsia="Palatino Linotype" w:hAnsi="Palatino Linotype" w:cs="Palatino Linotype"/>
          <w:sz w:val="22"/>
          <w:szCs w:val="22"/>
        </w:rPr>
        <w:t xml:space="preserve">de esta resolución, haga entrega, vía </w:t>
      </w:r>
      <w:r w:rsidRPr="00017A3F">
        <w:rPr>
          <w:rFonts w:ascii="Palatino Linotype" w:eastAsia="Palatino Linotype" w:hAnsi="Palatino Linotype" w:cs="Palatino Linotype"/>
          <w:b/>
          <w:bCs/>
          <w:sz w:val="22"/>
          <w:szCs w:val="22"/>
        </w:rPr>
        <w:t>SAIMEX</w:t>
      </w:r>
      <w:r w:rsidRPr="00017A3F">
        <w:rPr>
          <w:rFonts w:ascii="Palatino Linotype" w:eastAsia="Palatino Linotype" w:hAnsi="Palatino Linotype" w:cs="Palatino Linotype"/>
          <w:sz w:val="22"/>
          <w:szCs w:val="22"/>
        </w:rPr>
        <w:t>, en versión pública</w:t>
      </w:r>
      <w:r w:rsidR="002C4203" w:rsidRPr="00017A3F">
        <w:rPr>
          <w:rFonts w:ascii="Palatino Linotype" w:eastAsia="Palatino Linotype" w:hAnsi="Palatino Linotype" w:cs="Palatino Linotype"/>
          <w:sz w:val="22"/>
          <w:szCs w:val="22"/>
        </w:rPr>
        <w:t xml:space="preserve"> de ser procedente</w:t>
      </w:r>
      <w:r w:rsidRPr="00017A3F">
        <w:rPr>
          <w:rFonts w:ascii="Palatino Linotype" w:eastAsia="Palatino Linotype" w:hAnsi="Palatino Linotype" w:cs="Palatino Linotype"/>
          <w:sz w:val="22"/>
          <w:szCs w:val="22"/>
        </w:rPr>
        <w:t>, de lo siguiente:</w:t>
      </w:r>
    </w:p>
    <w:p w14:paraId="63B4F017" w14:textId="39C909E4" w:rsidR="00B323BA" w:rsidRPr="00017A3F" w:rsidRDefault="00B323BA" w:rsidP="002C4203">
      <w:pPr>
        <w:spacing w:before="120" w:after="120" w:line="360" w:lineRule="auto"/>
        <w:ind w:left="284"/>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1. Oficios emitidos por la Unidad de Transparencia del uno de enero al treinta y uno de agosto de dos mil veinticinco.</w:t>
      </w:r>
    </w:p>
    <w:p w14:paraId="495AA692" w14:textId="73501EA7" w:rsidR="00AC55F7" w:rsidRPr="00017A3F" w:rsidRDefault="006C736C" w:rsidP="002C4203">
      <w:pPr>
        <w:spacing w:before="120" w:after="120"/>
        <w:ind w:left="284"/>
        <w:jc w:val="both"/>
        <w:rPr>
          <w:rFonts w:ascii="Palatino Linotype" w:eastAsia="Palatino Linotype" w:hAnsi="Palatino Linotype" w:cs="Palatino Linotype"/>
          <w:i/>
          <w:iCs/>
          <w:sz w:val="20"/>
          <w:szCs w:val="20"/>
        </w:rPr>
      </w:pPr>
      <w:r w:rsidRPr="00017A3F">
        <w:rPr>
          <w:rFonts w:ascii="Palatino Linotype" w:eastAsia="Palatino Linotype" w:hAnsi="Palatino Linotype" w:cs="Palatino Linotype"/>
          <w:i/>
          <w:iCs/>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7645A538" w14:textId="3A9D7DA7" w:rsidR="00756A7D" w:rsidRPr="00017A3F" w:rsidRDefault="00756A7D" w:rsidP="002C4203">
      <w:pPr>
        <w:spacing w:before="120" w:after="120"/>
        <w:ind w:left="284"/>
        <w:jc w:val="both"/>
        <w:rPr>
          <w:rFonts w:ascii="Palatino Linotype" w:eastAsia="Palatino Linotype" w:hAnsi="Palatino Linotype" w:cs="Palatino Linotype"/>
          <w:i/>
          <w:sz w:val="20"/>
          <w:szCs w:val="20"/>
        </w:rPr>
      </w:pPr>
      <w:r w:rsidRPr="00017A3F">
        <w:rPr>
          <w:rFonts w:ascii="Palatino Linotype" w:eastAsia="Palatino Linotype" w:hAnsi="Palatino Linotype" w:cs="Palatino Linotype"/>
          <w:i/>
          <w:sz w:val="20"/>
          <w:szCs w:val="20"/>
        </w:rPr>
        <w:t xml:space="preserve">En el supuesto que no obren oficios en los archivos del </w:t>
      </w:r>
      <w:r w:rsidRPr="00017A3F">
        <w:rPr>
          <w:rFonts w:ascii="Palatino Linotype" w:eastAsia="Palatino Linotype" w:hAnsi="Palatino Linotype" w:cs="Palatino Linotype"/>
          <w:b/>
          <w:bCs/>
          <w:i/>
          <w:sz w:val="20"/>
          <w:szCs w:val="20"/>
        </w:rPr>
        <w:t>Sujeto Obligado</w:t>
      </w:r>
      <w:r w:rsidRPr="00017A3F">
        <w:rPr>
          <w:rFonts w:ascii="Palatino Linotype" w:eastAsia="Palatino Linotype" w:hAnsi="Palatino Linotype" w:cs="Palatino Linotype"/>
          <w:i/>
          <w:sz w:val="20"/>
          <w:szCs w:val="20"/>
        </w:rPr>
        <w:t xml:space="preserve"> en alguno de los días</w:t>
      </w:r>
      <w:r w:rsidR="002C4203" w:rsidRPr="00017A3F">
        <w:rPr>
          <w:rFonts w:ascii="Palatino Linotype" w:eastAsia="Palatino Linotype" w:hAnsi="Palatino Linotype" w:cs="Palatino Linotype"/>
          <w:i/>
          <w:sz w:val="20"/>
          <w:szCs w:val="20"/>
        </w:rPr>
        <w:t xml:space="preserve"> del periodo</w:t>
      </w:r>
      <w:r w:rsidRPr="00017A3F">
        <w:rPr>
          <w:rFonts w:ascii="Palatino Linotype" w:eastAsia="Palatino Linotype" w:hAnsi="Palatino Linotype" w:cs="Palatino Linotype"/>
          <w:i/>
          <w:sz w:val="20"/>
          <w:szCs w:val="20"/>
        </w:rPr>
        <w:t xml:space="preserve"> referido por haberse cancelado, bastará con que así lo haga del conocimiento de la parte </w:t>
      </w:r>
      <w:r w:rsidRPr="00017A3F">
        <w:rPr>
          <w:rFonts w:ascii="Palatino Linotype" w:eastAsia="Palatino Linotype" w:hAnsi="Palatino Linotype" w:cs="Palatino Linotype"/>
          <w:b/>
          <w:bCs/>
          <w:i/>
          <w:sz w:val="20"/>
          <w:szCs w:val="20"/>
        </w:rPr>
        <w:t>Recurrente</w:t>
      </w:r>
      <w:r w:rsidRPr="00017A3F">
        <w:rPr>
          <w:rFonts w:ascii="Palatino Linotype" w:eastAsia="Palatino Linotype" w:hAnsi="Palatino Linotype" w:cs="Palatino Linotype"/>
          <w:i/>
          <w:sz w:val="20"/>
          <w:szCs w:val="20"/>
        </w:rPr>
        <w:t>, de manera fundada y motivada, en términos del artículo 19, párrafo segundo de la Ley de Transparencia y Acceso a la Información Pública del Estado de México y Municipios, para tener por colmado el requerimiento de información.</w:t>
      </w:r>
    </w:p>
    <w:p w14:paraId="35B50DD3"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b/>
          <w:bCs/>
          <w:sz w:val="22"/>
          <w:szCs w:val="22"/>
        </w:rPr>
        <w:t xml:space="preserve">Tercero. Notifíquese, </w:t>
      </w:r>
      <w:r w:rsidRPr="00017A3F">
        <w:rPr>
          <w:rFonts w:ascii="Palatino Linotype" w:eastAsia="Palatino Linotype" w:hAnsi="Palatino Linotype" w:cs="Palatino Linotype"/>
          <w:sz w:val="22"/>
          <w:szCs w:val="22"/>
        </w:rPr>
        <w:t xml:space="preserve">vía </w:t>
      </w:r>
      <w:r w:rsidRPr="00017A3F">
        <w:rPr>
          <w:rFonts w:ascii="Palatino Linotype" w:eastAsia="Palatino Linotype" w:hAnsi="Palatino Linotype" w:cs="Palatino Linotype"/>
          <w:b/>
          <w:bCs/>
          <w:sz w:val="22"/>
          <w:szCs w:val="22"/>
        </w:rPr>
        <w:t>SAIMEX</w:t>
      </w:r>
      <w:r w:rsidRPr="00017A3F">
        <w:rPr>
          <w:rFonts w:ascii="Palatino Linotype" w:eastAsia="Palatino Linotype" w:hAnsi="Palatino Linotype" w:cs="Palatino Linotype"/>
          <w:sz w:val="22"/>
          <w:szCs w:val="22"/>
        </w:rPr>
        <w:t xml:space="preserve">, al Titular de la Unidad de Transparencia del </w:t>
      </w:r>
      <w:r w:rsidRPr="00017A3F">
        <w:rPr>
          <w:rFonts w:ascii="Palatino Linotype" w:eastAsia="Palatino Linotype" w:hAnsi="Palatino Linotype" w:cs="Palatino Linotype"/>
          <w:b/>
          <w:bCs/>
          <w:sz w:val="22"/>
          <w:szCs w:val="22"/>
        </w:rPr>
        <w:t>Sujeto Obligado,</w:t>
      </w:r>
      <w:r w:rsidRPr="00017A3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DE028DF"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r w:rsidRPr="00017A3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017A3F">
        <w:rPr>
          <w:rFonts w:ascii="Palatino Linotype" w:eastAsia="Palatino Linotype" w:hAnsi="Palatino Linotype" w:cs="Palatino Linotype"/>
          <w:b/>
          <w:bCs/>
          <w:sz w:val="22"/>
          <w:szCs w:val="22"/>
        </w:rPr>
        <w:t>Sujeto Obligado</w:t>
      </w:r>
      <w:r w:rsidRPr="00017A3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B8CEF52" w14:textId="77777777" w:rsidR="00AC55F7" w:rsidRPr="00017A3F" w:rsidRDefault="006C736C">
      <w:pPr>
        <w:spacing w:before="240" w:after="240" w:line="360" w:lineRule="auto"/>
        <w:jc w:val="both"/>
        <w:rPr>
          <w:rFonts w:ascii="Palatino Linotype" w:eastAsia="Palatino Linotype" w:hAnsi="Palatino Linotype" w:cs="Palatino Linotype"/>
          <w:sz w:val="22"/>
          <w:szCs w:val="22"/>
        </w:rPr>
      </w:pPr>
      <w:bookmarkStart w:id="9" w:name="_heading=h.17dp8vu" w:colFirst="0" w:colLast="0"/>
      <w:bookmarkEnd w:id="9"/>
      <w:r w:rsidRPr="00017A3F">
        <w:rPr>
          <w:rFonts w:ascii="Palatino Linotype" w:eastAsia="Palatino Linotype" w:hAnsi="Palatino Linotype" w:cs="Palatino Linotype"/>
          <w:b/>
          <w:bCs/>
          <w:sz w:val="22"/>
          <w:szCs w:val="22"/>
        </w:rPr>
        <w:t xml:space="preserve">Cuarto.  Notifíquese, </w:t>
      </w:r>
      <w:r w:rsidRPr="00017A3F">
        <w:rPr>
          <w:rFonts w:ascii="Palatino Linotype" w:eastAsia="Palatino Linotype" w:hAnsi="Palatino Linotype" w:cs="Palatino Linotype"/>
          <w:sz w:val="22"/>
          <w:szCs w:val="22"/>
        </w:rPr>
        <w:t xml:space="preserve">vía </w:t>
      </w:r>
      <w:r w:rsidRPr="00017A3F">
        <w:rPr>
          <w:rFonts w:ascii="Palatino Linotype" w:eastAsia="Palatino Linotype" w:hAnsi="Palatino Linotype" w:cs="Palatino Linotype"/>
          <w:b/>
          <w:bCs/>
          <w:sz w:val="22"/>
          <w:szCs w:val="22"/>
        </w:rPr>
        <w:t>SAIMEX</w:t>
      </w:r>
      <w:r w:rsidRPr="00017A3F">
        <w:rPr>
          <w:rFonts w:ascii="Palatino Linotype" w:eastAsia="Palatino Linotype" w:hAnsi="Palatino Linotype" w:cs="Palatino Linotype"/>
          <w:sz w:val="22"/>
          <w:szCs w:val="22"/>
        </w:rPr>
        <w:t xml:space="preserve">, a la parte </w:t>
      </w:r>
      <w:r w:rsidRPr="00017A3F">
        <w:rPr>
          <w:rFonts w:ascii="Palatino Linotype" w:eastAsia="Palatino Linotype" w:hAnsi="Palatino Linotype" w:cs="Palatino Linotype"/>
          <w:b/>
          <w:bCs/>
          <w:sz w:val="22"/>
          <w:szCs w:val="22"/>
        </w:rPr>
        <w:t>Recurrente</w:t>
      </w:r>
      <w:r w:rsidRPr="00017A3F">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8C5DD75" w14:textId="47847836" w:rsidR="00AC55F7" w:rsidRPr="00B47578" w:rsidRDefault="006C736C">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0" w:name="_heading=h.lnxbz9" w:colFirst="0" w:colLast="0"/>
      <w:bookmarkEnd w:id="10"/>
      <w:r w:rsidRPr="00017A3F">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3870EF" w:rsidRPr="00017A3F">
        <w:rPr>
          <w:rFonts w:ascii="Palatino Linotype" w:eastAsia="Palatino Linotype" w:hAnsi="Palatino Linotype" w:cs="Palatino Linotype"/>
          <w:sz w:val="22"/>
          <w:szCs w:val="22"/>
        </w:rPr>
        <w:t>CUARTA</w:t>
      </w:r>
      <w:r w:rsidRPr="00017A3F">
        <w:rPr>
          <w:rFonts w:ascii="Palatino Linotype" w:eastAsia="Palatino Linotype" w:hAnsi="Palatino Linotype" w:cs="Palatino Linotype"/>
          <w:sz w:val="22"/>
          <w:szCs w:val="22"/>
        </w:rPr>
        <w:t xml:space="preserve"> SESIÓN ORDINARIA CELEBRADA EL </w:t>
      </w:r>
      <w:r w:rsidR="003870EF" w:rsidRPr="00017A3F">
        <w:rPr>
          <w:rFonts w:ascii="Palatino Linotype" w:eastAsia="Palatino Linotype" w:hAnsi="Palatino Linotype" w:cs="Palatino Linotype"/>
          <w:sz w:val="22"/>
          <w:szCs w:val="22"/>
        </w:rPr>
        <w:t>DIEZ</w:t>
      </w:r>
      <w:r w:rsidR="00290DEF" w:rsidRPr="00017A3F">
        <w:rPr>
          <w:rFonts w:ascii="Palatino Linotype" w:eastAsia="Palatino Linotype" w:hAnsi="Palatino Linotype" w:cs="Palatino Linotype"/>
          <w:sz w:val="22"/>
          <w:szCs w:val="22"/>
        </w:rPr>
        <w:t xml:space="preserve"> DE DICIEMBRE</w:t>
      </w:r>
      <w:r w:rsidRPr="00017A3F">
        <w:rPr>
          <w:rFonts w:ascii="Palatino Linotype" w:eastAsia="Palatino Linotype" w:hAnsi="Palatino Linotype" w:cs="Palatino Linotype"/>
          <w:sz w:val="22"/>
          <w:szCs w:val="22"/>
        </w:rPr>
        <w:t xml:space="preserve"> DE DOS MIL VEINTICINCO, ANTE EL SECRETARIO TÉCNICO DEL PLENO ALEXIS TAPIA RAMÍREZ.</w:t>
      </w:r>
    </w:p>
    <w:p w14:paraId="29CD7B9E" w14:textId="77777777" w:rsidR="00AC55F7" w:rsidRPr="00B47578" w:rsidRDefault="00AC55F7">
      <w:pPr>
        <w:spacing w:line="360" w:lineRule="auto"/>
        <w:jc w:val="both"/>
        <w:rPr>
          <w:rFonts w:ascii="Palatino Linotype" w:eastAsia="Palatino Linotype" w:hAnsi="Palatino Linotype" w:cs="Palatino Linotype"/>
          <w:sz w:val="22"/>
          <w:szCs w:val="22"/>
        </w:rPr>
      </w:pPr>
    </w:p>
    <w:p w14:paraId="4B0C1305" w14:textId="77777777" w:rsidR="00AC55F7" w:rsidRPr="00B47578" w:rsidRDefault="00AC55F7">
      <w:pPr>
        <w:spacing w:line="360" w:lineRule="auto"/>
        <w:jc w:val="center"/>
        <w:rPr>
          <w:rFonts w:ascii="Palatino Linotype" w:eastAsia="Palatino Linotype" w:hAnsi="Palatino Linotype" w:cs="Palatino Linotype"/>
          <w:sz w:val="22"/>
          <w:szCs w:val="22"/>
        </w:rPr>
      </w:pPr>
    </w:p>
    <w:p w14:paraId="2942909E" w14:textId="77777777" w:rsidR="00AC55F7" w:rsidRPr="00B47578" w:rsidRDefault="00AC55F7">
      <w:pPr>
        <w:spacing w:line="360" w:lineRule="auto"/>
        <w:jc w:val="both"/>
        <w:rPr>
          <w:rFonts w:ascii="Palatino Linotype" w:eastAsia="Palatino Linotype" w:hAnsi="Palatino Linotype" w:cs="Palatino Linotype"/>
          <w:sz w:val="22"/>
          <w:szCs w:val="22"/>
        </w:rPr>
      </w:pPr>
    </w:p>
    <w:p w14:paraId="79B2C327" w14:textId="77777777" w:rsidR="00AC55F7" w:rsidRPr="00B47578" w:rsidRDefault="00AC55F7">
      <w:pPr>
        <w:spacing w:line="360" w:lineRule="auto"/>
        <w:jc w:val="both"/>
        <w:rPr>
          <w:rFonts w:ascii="Palatino Linotype" w:eastAsia="Palatino Linotype" w:hAnsi="Palatino Linotype" w:cs="Palatino Linotype"/>
          <w:sz w:val="22"/>
          <w:szCs w:val="22"/>
        </w:rPr>
      </w:pPr>
    </w:p>
    <w:p w14:paraId="59F5B37D" w14:textId="77777777" w:rsidR="00AC55F7" w:rsidRPr="00B47578" w:rsidRDefault="00AC55F7">
      <w:pPr>
        <w:spacing w:line="360" w:lineRule="auto"/>
        <w:jc w:val="both"/>
        <w:rPr>
          <w:rFonts w:ascii="Palatino Linotype" w:eastAsia="Palatino Linotype" w:hAnsi="Palatino Linotype" w:cs="Palatino Linotype"/>
          <w:sz w:val="22"/>
          <w:szCs w:val="22"/>
        </w:rPr>
      </w:pPr>
    </w:p>
    <w:p w14:paraId="41F3BA38" w14:textId="77777777" w:rsidR="00AC55F7" w:rsidRPr="00B47578" w:rsidRDefault="00AC55F7">
      <w:pPr>
        <w:spacing w:line="360" w:lineRule="auto"/>
        <w:jc w:val="both"/>
        <w:rPr>
          <w:rFonts w:ascii="Palatino Linotype" w:eastAsia="Palatino Linotype" w:hAnsi="Palatino Linotype" w:cs="Palatino Linotype"/>
          <w:sz w:val="22"/>
          <w:szCs w:val="22"/>
        </w:rPr>
      </w:pPr>
    </w:p>
    <w:p w14:paraId="3E3BE131" w14:textId="77777777" w:rsidR="00AC55F7" w:rsidRPr="00B47578" w:rsidRDefault="00AC55F7">
      <w:pPr>
        <w:spacing w:line="360" w:lineRule="auto"/>
        <w:jc w:val="both"/>
        <w:rPr>
          <w:rFonts w:ascii="Palatino Linotype" w:eastAsia="Palatino Linotype" w:hAnsi="Palatino Linotype" w:cs="Palatino Linotype"/>
          <w:sz w:val="22"/>
          <w:szCs w:val="22"/>
        </w:rPr>
      </w:pPr>
    </w:p>
    <w:p w14:paraId="1A3AEF64" w14:textId="77777777" w:rsidR="00AC55F7" w:rsidRPr="00B47578" w:rsidRDefault="00AC55F7">
      <w:pPr>
        <w:spacing w:line="360" w:lineRule="auto"/>
        <w:jc w:val="both"/>
        <w:rPr>
          <w:rFonts w:ascii="Palatino Linotype" w:eastAsia="Palatino Linotype" w:hAnsi="Palatino Linotype" w:cs="Palatino Linotype"/>
          <w:sz w:val="22"/>
          <w:szCs w:val="22"/>
        </w:rPr>
      </w:pPr>
    </w:p>
    <w:p w14:paraId="61FE99F4" w14:textId="267694D6" w:rsidR="00AC55F7" w:rsidRPr="00B47578" w:rsidRDefault="00AC55F7">
      <w:pPr>
        <w:spacing w:line="360" w:lineRule="auto"/>
        <w:jc w:val="both"/>
        <w:rPr>
          <w:rFonts w:ascii="Palatino Linotype" w:eastAsia="Palatino Linotype" w:hAnsi="Palatino Linotype" w:cs="Palatino Linotype"/>
          <w:sz w:val="22"/>
          <w:szCs w:val="22"/>
        </w:rPr>
      </w:pPr>
    </w:p>
    <w:p w14:paraId="2E38A398" w14:textId="4DE8CD7E" w:rsidR="00B47578" w:rsidRPr="00B47578" w:rsidRDefault="00B47578">
      <w:pPr>
        <w:spacing w:line="360" w:lineRule="auto"/>
        <w:jc w:val="both"/>
        <w:rPr>
          <w:rFonts w:ascii="Palatino Linotype" w:eastAsia="Palatino Linotype" w:hAnsi="Palatino Linotype" w:cs="Palatino Linotype"/>
          <w:sz w:val="22"/>
          <w:szCs w:val="22"/>
        </w:rPr>
      </w:pPr>
    </w:p>
    <w:p w14:paraId="77203B5A" w14:textId="2A91F112" w:rsidR="00B47578" w:rsidRPr="00B47578" w:rsidRDefault="00B47578">
      <w:pPr>
        <w:spacing w:line="360" w:lineRule="auto"/>
        <w:jc w:val="both"/>
        <w:rPr>
          <w:rFonts w:ascii="Palatino Linotype" w:eastAsia="Palatino Linotype" w:hAnsi="Palatino Linotype" w:cs="Palatino Linotype"/>
          <w:sz w:val="22"/>
          <w:szCs w:val="22"/>
        </w:rPr>
      </w:pPr>
    </w:p>
    <w:p w14:paraId="3BD9FF4E" w14:textId="35241CEB" w:rsidR="00B47578" w:rsidRPr="00B47578" w:rsidRDefault="00B47578">
      <w:pPr>
        <w:spacing w:line="360" w:lineRule="auto"/>
        <w:jc w:val="both"/>
        <w:rPr>
          <w:rFonts w:ascii="Palatino Linotype" w:eastAsia="Palatino Linotype" w:hAnsi="Palatino Linotype" w:cs="Palatino Linotype"/>
          <w:sz w:val="22"/>
          <w:szCs w:val="22"/>
        </w:rPr>
      </w:pPr>
    </w:p>
    <w:p w14:paraId="45762515" w14:textId="60797BEE" w:rsidR="00B47578" w:rsidRPr="00B47578" w:rsidRDefault="00B47578">
      <w:pPr>
        <w:spacing w:line="360" w:lineRule="auto"/>
        <w:jc w:val="both"/>
        <w:rPr>
          <w:rFonts w:ascii="Palatino Linotype" w:eastAsia="Palatino Linotype" w:hAnsi="Palatino Linotype" w:cs="Palatino Linotype"/>
          <w:sz w:val="22"/>
          <w:szCs w:val="22"/>
        </w:rPr>
      </w:pPr>
    </w:p>
    <w:p w14:paraId="2F94497B" w14:textId="66D3BC5D" w:rsidR="00B47578" w:rsidRPr="00B47578" w:rsidRDefault="00B47578">
      <w:pPr>
        <w:spacing w:line="360" w:lineRule="auto"/>
        <w:jc w:val="both"/>
        <w:rPr>
          <w:rFonts w:ascii="Palatino Linotype" w:eastAsia="Palatino Linotype" w:hAnsi="Palatino Linotype" w:cs="Palatino Linotype"/>
          <w:sz w:val="22"/>
          <w:szCs w:val="22"/>
        </w:rPr>
      </w:pPr>
    </w:p>
    <w:p w14:paraId="63EE1CF7" w14:textId="40DA2020" w:rsidR="00B47578" w:rsidRPr="00B47578" w:rsidRDefault="00B47578">
      <w:pPr>
        <w:spacing w:line="360" w:lineRule="auto"/>
        <w:jc w:val="both"/>
        <w:rPr>
          <w:rFonts w:ascii="Palatino Linotype" w:eastAsia="Palatino Linotype" w:hAnsi="Palatino Linotype" w:cs="Palatino Linotype"/>
          <w:sz w:val="22"/>
          <w:szCs w:val="22"/>
        </w:rPr>
      </w:pPr>
    </w:p>
    <w:p w14:paraId="0B0F30CA" w14:textId="60CF5B98" w:rsidR="00B47578" w:rsidRPr="00B47578" w:rsidRDefault="00B47578">
      <w:pPr>
        <w:spacing w:line="360" w:lineRule="auto"/>
        <w:jc w:val="both"/>
        <w:rPr>
          <w:rFonts w:ascii="Palatino Linotype" w:eastAsia="Palatino Linotype" w:hAnsi="Palatino Linotype" w:cs="Palatino Linotype"/>
          <w:sz w:val="22"/>
          <w:szCs w:val="22"/>
        </w:rPr>
      </w:pPr>
    </w:p>
    <w:p w14:paraId="0DF9C87D" w14:textId="77777777" w:rsidR="00B47578" w:rsidRPr="00B47578" w:rsidRDefault="00B47578">
      <w:pPr>
        <w:spacing w:line="360" w:lineRule="auto"/>
        <w:jc w:val="both"/>
        <w:rPr>
          <w:rFonts w:ascii="Palatino Linotype" w:eastAsia="Palatino Linotype" w:hAnsi="Palatino Linotype" w:cs="Palatino Linotype"/>
          <w:sz w:val="22"/>
          <w:szCs w:val="22"/>
        </w:rPr>
      </w:pPr>
    </w:p>
    <w:sectPr w:rsidR="00B47578" w:rsidRPr="00B47578">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89850" w14:textId="77777777" w:rsidR="00FF58B3" w:rsidRDefault="00FF58B3">
      <w:r>
        <w:separator/>
      </w:r>
    </w:p>
  </w:endnote>
  <w:endnote w:type="continuationSeparator" w:id="0">
    <w:p w14:paraId="0E84A4B0" w14:textId="77777777" w:rsidR="00FF58B3" w:rsidRDefault="00FF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0330C4F-1522-4BEA-8CA6-D6F894BF7C16}"/>
    <w:embedBold r:id="rId2" w:fontKey="{8E26B74F-A1F6-463D-8149-1D77448F1233}"/>
  </w:font>
  <w:font w:name="Cambria">
    <w:panose1 w:val="02040503050406030204"/>
    <w:charset w:val="00"/>
    <w:family w:val="roman"/>
    <w:pitch w:val="variable"/>
    <w:sig w:usb0="E00006FF" w:usb1="420024FF" w:usb2="02000000" w:usb3="00000000" w:csb0="0000019F" w:csb1="00000000"/>
    <w:embedRegular r:id="rId3" w:fontKey="{4C24BD50-6327-4BD7-B3EF-89D0597A4C79}"/>
    <w:embedBold r:id="rId4" w:fontKey="{EA33D98E-EEA5-464C-97B9-838F277ACC41}"/>
    <w:embedBoldItalic r:id="rId5" w:fontKey="{99630BF7-3D06-482E-A2E9-22EE99B557B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E9A872E-9A5D-470A-9CAB-6BAC73070FDC}"/>
  </w:font>
  <w:font w:name="Georgia">
    <w:panose1 w:val="02040502050405020303"/>
    <w:charset w:val="00"/>
    <w:family w:val="roman"/>
    <w:pitch w:val="variable"/>
    <w:sig w:usb0="00000287" w:usb1="00000000" w:usb2="00000000" w:usb3="00000000" w:csb0="0000009F" w:csb1="00000000"/>
    <w:embedItalic r:id="rId7" w:fontKey="{F08B11A9-7D66-4BBD-8C7B-CFC2F450A343}"/>
  </w:font>
  <w:font w:name="Palatino Linotype">
    <w:panose1 w:val="02040502050505030304"/>
    <w:charset w:val="00"/>
    <w:family w:val="roman"/>
    <w:pitch w:val="variable"/>
    <w:sig w:usb0="E0000287" w:usb1="40000013" w:usb2="00000000" w:usb3="00000000" w:csb0="0000019F" w:csb1="00000000"/>
    <w:embedRegular r:id="rId8" w:fontKey="{EF2C6E79-FFB7-4F85-9531-2DD506B81939}"/>
    <w:embedBold r:id="rId9" w:fontKey="{3688926B-7F27-47E8-AABF-60B52A44B0F6}"/>
    <w:embedItalic r:id="rId10" w:fontKey="{17FCA535-B373-4216-92A2-911CEBF4077C}"/>
    <w:embedBoldItalic r:id="rId11" w:fontKey="{A88411CF-96D7-49B0-A46D-813DF3879428}"/>
  </w:font>
  <w:font w:name="Tahoma">
    <w:panose1 w:val="020B0604030504040204"/>
    <w:charset w:val="00"/>
    <w:family w:val="swiss"/>
    <w:pitch w:val="variable"/>
    <w:sig w:usb0="E1002EFF" w:usb1="C000605B" w:usb2="00000029" w:usb3="00000000" w:csb0="000101FF" w:csb1="00000000"/>
    <w:embedBoldItalic r:id="rId12" w:fontKey="{ADC701EB-4B29-4A4D-B60F-3549F42822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6E353" w14:textId="6A9AFC2A" w:rsidR="00DC0BE3" w:rsidRDefault="00DC0BE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B8592C">
      <w:rPr>
        <w:rFonts w:ascii="Palatino Linotype" w:eastAsia="Palatino Linotype" w:hAnsi="Palatino Linotype" w:cs="Palatino Linotype"/>
        <w:b/>
        <w:bCs/>
        <w:noProof/>
        <w:color w:val="000000"/>
        <w:sz w:val="20"/>
        <w:szCs w:val="20"/>
      </w:rPr>
      <w:t>18</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B8592C">
      <w:rPr>
        <w:rFonts w:ascii="Palatino Linotype" w:eastAsia="Palatino Linotype" w:hAnsi="Palatino Linotype" w:cs="Palatino Linotype"/>
        <w:b/>
        <w:bCs/>
        <w:noProof/>
        <w:color w:val="000000"/>
        <w:sz w:val="20"/>
        <w:szCs w:val="20"/>
      </w:rPr>
      <w:t>25</w:t>
    </w:r>
    <w:r>
      <w:rPr>
        <w:rFonts w:ascii="Palatino Linotype" w:eastAsia="Palatino Linotype" w:hAnsi="Palatino Linotype" w:cs="Palatino Linotype"/>
        <w:b/>
        <w:bCs/>
        <w:color w:val="000000"/>
        <w:sz w:val="20"/>
        <w:szCs w:val="20"/>
      </w:rPr>
      <w:fldChar w:fldCharType="end"/>
    </w:r>
  </w:p>
  <w:p w14:paraId="4F8BAF28" w14:textId="77777777" w:rsidR="00DC0BE3" w:rsidRDefault="00DC0BE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BC1EC" w14:textId="0BD5C081" w:rsidR="00DC0BE3" w:rsidRDefault="00DC0BE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B8592C">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B8592C">
      <w:rPr>
        <w:rFonts w:ascii="Palatino Linotype" w:eastAsia="Palatino Linotype" w:hAnsi="Palatino Linotype" w:cs="Palatino Linotype"/>
        <w:b/>
        <w:bCs/>
        <w:noProof/>
        <w:color w:val="000000"/>
        <w:sz w:val="20"/>
        <w:szCs w:val="20"/>
      </w:rPr>
      <w:t>25</w:t>
    </w:r>
    <w:r>
      <w:rPr>
        <w:rFonts w:ascii="Palatino Linotype" w:eastAsia="Palatino Linotype" w:hAnsi="Palatino Linotype" w:cs="Palatino Linotype"/>
        <w:b/>
        <w:bCs/>
        <w:color w:val="000000"/>
        <w:sz w:val="20"/>
        <w:szCs w:val="20"/>
      </w:rPr>
      <w:fldChar w:fldCharType="end"/>
    </w:r>
  </w:p>
  <w:p w14:paraId="7D4B4F40" w14:textId="77777777" w:rsidR="00DC0BE3" w:rsidRDefault="00DC0BE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6E19E" w14:textId="77777777" w:rsidR="00FF58B3" w:rsidRDefault="00FF58B3">
      <w:r>
        <w:separator/>
      </w:r>
    </w:p>
  </w:footnote>
  <w:footnote w:type="continuationSeparator" w:id="0">
    <w:p w14:paraId="6EDA3BD2" w14:textId="77777777" w:rsidR="00FF58B3" w:rsidRDefault="00FF58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048F7" w14:textId="77777777" w:rsidR="00DC0BE3" w:rsidRDefault="00DC0BE3">
    <w:pPr>
      <w:rPr>
        <w:rFonts w:ascii="Cambria" w:eastAsia="Cambria" w:hAnsi="Cambria" w:cs="Cambria"/>
        <w:color w:val="000000"/>
      </w:rPr>
    </w:pPr>
    <w:r>
      <w:rPr>
        <w:noProof/>
      </w:rPr>
      <w:drawing>
        <wp:anchor distT="0" distB="0" distL="0" distR="0" simplePos="0" relativeHeight="251658240" behindDoc="1" locked="0" layoutInCell="1" hidden="0" allowOverlap="1" wp14:anchorId="51BA5BF2" wp14:editId="75662E66">
          <wp:simplePos x="0" y="0"/>
          <wp:positionH relativeFrom="column">
            <wp:posOffset>-1080089</wp:posOffset>
          </wp:positionH>
          <wp:positionV relativeFrom="paragraph">
            <wp:posOffset>-488259</wp:posOffset>
          </wp:positionV>
          <wp:extent cx="7809865" cy="10165715"/>
          <wp:effectExtent l="0" t="0" r="0" b="0"/>
          <wp:wrapNone/>
          <wp:docPr id="19520825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953" w:type="dxa"/>
      <w:tblInd w:w="3261" w:type="dxa"/>
      <w:tblLayout w:type="fixed"/>
      <w:tblLook w:val="0400" w:firstRow="0" w:lastRow="0" w:firstColumn="0" w:lastColumn="0" w:noHBand="0" w:noVBand="1"/>
    </w:tblPr>
    <w:tblGrid>
      <w:gridCol w:w="2489"/>
      <w:gridCol w:w="3464"/>
    </w:tblGrid>
    <w:tr w:rsidR="00DC0BE3" w14:paraId="65CBE3D7" w14:textId="77777777">
      <w:tc>
        <w:tcPr>
          <w:tcW w:w="2489" w:type="dxa"/>
        </w:tcPr>
        <w:p w14:paraId="268C13BC" w14:textId="77777777" w:rsidR="00DC0BE3" w:rsidRDefault="00DC0B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66DDCB44" w14:textId="440B0A44" w:rsidR="00DC0BE3" w:rsidRDefault="003870EF" w:rsidP="00371C9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12854</w:t>
          </w:r>
          <w:r w:rsidR="00DC0BE3">
            <w:rPr>
              <w:rFonts w:ascii="Palatino Linotype" w:eastAsia="Palatino Linotype" w:hAnsi="Palatino Linotype" w:cs="Palatino Linotype"/>
              <w:b/>
              <w:bCs/>
              <w:sz w:val="22"/>
              <w:szCs w:val="22"/>
            </w:rPr>
            <w:t>/INFOEM/IP/RR/2025</w:t>
          </w:r>
        </w:p>
      </w:tc>
    </w:tr>
    <w:tr w:rsidR="00DC0BE3" w14:paraId="2FCFBA7D" w14:textId="77777777">
      <w:trPr>
        <w:trHeight w:val="228"/>
      </w:trPr>
      <w:tc>
        <w:tcPr>
          <w:tcW w:w="2489" w:type="dxa"/>
          <w:vAlign w:val="center"/>
        </w:tcPr>
        <w:p w14:paraId="59F09DC6" w14:textId="77777777" w:rsidR="00DC0BE3" w:rsidRDefault="00DC0B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7EE199A1" w14:textId="77777777" w:rsidR="00DC0BE3" w:rsidRDefault="00DC0BE3">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DC0BE3" w14:paraId="596B86EC" w14:textId="77777777">
      <w:tc>
        <w:tcPr>
          <w:tcW w:w="2489" w:type="dxa"/>
          <w:vAlign w:val="center"/>
        </w:tcPr>
        <w:p w14:paraId="4F3210C5" w14:textId="77777777" w:rsidR="00DC0BE3" w:rsidRDefault="00DC0BE3">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4EBA3AB8" w14:textId="77777777" w:rsidR="00DC0BE3" w:rsidRDefault="00DC0BE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0D240306" w14:textId="77777777" w:rsidR="00DC0BE3" w:rsidRDefault="00DC0BE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62853" w14:textId="77777777" w:rsidR="00DC0BE3" w:rsidRDefault="00DC0BE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C0EF6F0" wp14:editId="15244702">
          <wp:simplePos x="0" y="0"/>
          <wp:positionH relativeFrom="column">
            <wp:posOffset>-1080134</wp:posOffset>
          </wp:positionH>
          <wp:positionV relativeFrom="paragraph">
            <wp:posOffset>-369890</wp:posOffset>
          </wp:positionV>
          <wp:extent cx="7809865" cy="10165715"/>
          <wp:effectExtent l="0" t="0" r="0" b="0"/>
          <wp:wrapNone/>
          <wp:docPr id="19520825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DC0BE3" w14:paraId="7F09F47E" w14:textId="77777777">
      <w:tc>
        <w:tcPr>
          <w:tcW w:w="2489" w:type="dxa"/>
        </w:tcPr>
        <w:p w14:paraId="7B15E04D" w14:textId="77777777" w:rsidR="00DC0BE3" w:rsidRDefault="00DC0B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114AD63F" w14:textId="12E2E6CC" w:rsidR="00DC0BE3" w:rsidRDefault="003870EF" w:rsidP="00371C9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12854</w:t>
          </w:r>
          <w:r w:rsidR="00DC0BE3">
            <w:rPr>
              <w:rFonts w:ascii="Palatino Linotype" w:eastAsia="Palatino Linotype" w:hAnsi="Palatino Linotype" w:cs="Palatino Linotype"/>
              <w:b/>
              <w:bCs/>
              <w:sz w:val="22"/>
              <w:szCs w:val="22"/>
            </w:rPr>
            <w:t>/INFOEM/IP/RR/2025</w:t>
          </w:r>
        </w:p>
      </w:tc>
    </w:tr>
    <w:tr w:rsidR="00DC0BE3" w14:paraId="1702207D" w14:textId="77777777">
      <w:tc>
        <w:tcPr>
          <w:tcW w:w="2489" w:type="dxa"/>
        </w:tcPr>
        <w:p w14:paraId="3BF57C29" w14:textId="77777777" w:rsidR="00DC0BE3" w:rsidRDefault="00DC0B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53A90A6F" w14:textId="77777777" w:rsidR="00DC0BE3" w:rsidRDefault="00DC0BE3">
          <w:pPr>
            <w:ind w:right="175"/>
            <w:jc w:val="both"/>
            <w:rPr>
              <w:rFonts w:ascii="Palatino Linotype" w:eastAsia="Palatino Linotype" w:hAnsi="Palatino Linotype" w:cs="Palatino Linotype"/>
              <w:b/>
              <w:bCs/>
              <w:sz w:val="22"/>
              <w:szCs w:val="22"/>
              <w:highlight w:val="yellow"/>
            </w:rPr>
          </w:pPr>
        </w:p>
      </w:tc>
    </w:tr>
    <w:tr w:rsidR="00DC0BE3" w14:paraId="2BA458B5" w14:textId="77777777">
      <w:trPr>
        <w:trHeight w:val="228"/>
      </w:trPr>
      <w:tc>
        <w:tcPr>
          <w:tcW w:w="2489" w:type="dxa"/>
          <w:vAlign w:val="center"/>
        </w:tcPr>
        <w:p w14:paraId="47A51EEC" w14:textId="77777777" w:rsidR="00DC0BE3" w:rsidRDefault="00DC0B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24A01077" w14:textId="77777777" w:rsidR="00DC0BE3" w:rsidRDefault="00DC0BE3">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DC0BE3" w14:paraId="2EDF5F23" w14:textId="77777777">
      <w:tc>
        <w:tcPr>
          <w:tcW w:w="2489" w:type="dxa"/>
          <w:vAlign w:val="center"/>
        </w:tcPr>
        <w:p w14:paraId="5AEBE96D" w14:textId="77777777" w:rsidR="00DC0BE3" w:rsidRDefault="00DC0BE3">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2766D3FD" w14:textId="77777777" w:rsidR="00DC0BE3" w:rsidRDefault="00DC0BE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4A518D78" w14:textId="77777777" w:rsidR="00DC0BE3" w:rsidRDefault="00DC0BE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079D8"/>
    <w:multiLevelType w:val="multilevel"/>
    <w:tmpl w:val="3196C92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4FE1369"/>
    <w:multiLevelType w:val="multilevel"/>
    <w:tmpl w:val="C5E691B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5F7"/>
    <w:rsid w:val="00006928"/>
    <w:rsid w:val="000152B4"/>
    <w:rsid w:val="00017A3F"/>
    <w:rsid w:val="00025502"/>
    <w:rsid w:val="000A2413"/>
    <w:rsid w:val="000E665D"/>
    <w:rsid w:val="000F66F0"/>
    <w:rsid w:val="0010088D"/>
    <w:rsid w:val="00122B8E"/>
    <w:rsid w:val="00126450"/>
    <w:rsid w:val="00154FCC"/>
    <w:rsid w:val="001710B4"/>
    <w:rsid w:val="001917F4"/>
    <w:rsid w:val="001D7C5B"/>
    <w:rsid w:val="002176DD"/>
    <w:rsid w:val="0022002D"/>
    <w:rsid w:val="002571E5"/>
    <w:rsid w:val="002735BE"/>
    <w:rsid w:val="00282024"/>
    <w:rsid w:val="00290DEF"/>
    <w:rsid w:val="002B0C1E"/>
    <w:rsid w:val="002B44C3"/>
    <w:rsid w:val="002C4203"/>
    <w:rsid w:val="0030021D"/>
    <w:rsid w:val="00306CA3"/>
    <w:rsid w:val="003461CE"/>
    <w:rsid w:val="0036404A"/>
    <w:rsid w:val="00364378"/>
    <w:rsid w:val="00371C97"/>
    <w:rsid w:val="003870EF"/>
    <w:rsid w:val="003B73B0"/>
    <w:rsid w:val="003D1193"/>
    <w:rsid w:val="00405481"/>
    <w:rsid w:val="00406BC0"/>
    <w:rsid w:val="00407E3E"/>
    <w:rsid w:val="00427001"/>
    <w:rsid w:val="004D5386"/>
    <w:rsid w:val="004D714D"/>
    <w:rsid w:val="004D7A93"/>
    <w:rsid w:val="00530E67"/>
    <w:rsid w:val="00563779"/>
    <w:rsid w:val="00572958"/>
    <w:rsid w:val="00572E97"/>
    <w:rsid w:val="005F3241"/>
    <w:rsid w:val="00607413"/>
    <w:rsid w:val="00687DBD"/>
    <w:rsid w:val="006C736C"/>
    <w:rsid w:val="007179A1"/>
    <w:rsid w:val="00756A7D"/>
    <w:rsid w:val="007E0CA7"/>
    <w:rsid w:val="007E5767"/>
    <w:rsid w:val="008302A4"/>
    <w:rsid w:val="00851555"/>
    <w:rsid w:val="00854B65"/>
    <w:rsid w:val="00912AD2"/>
    <w:rsid w:val="00930214"/>
    <w:rsid w:val="00945975"/>
    <w:rsid w:val="009A0751"/>
    <w:rsid w:val="00A0127A"/>
    <w:rsid w:val="00A47169"/>
    <w:rsid w:val="00A65ED1"/>
    <w:rsid w:val="00AC55F7"/>
    <w:rsid w:val="00AE45F0"/>
    <w:rsid w:val="00AF72B6"/>
    <w:rsid w:val="00B323BA"/>
    <w:rsid w:val="00B4249E"/>
    <w:rsid w:val="00B47578"/>
    <w:rsid w:val="00B53B35"/>
    <w:rsid w:val="00B71C8A"/>
    <w:rsid w:val="00B8592C"/>
    <w:rsid w:val="00B91805"/>
    <w:rsid w:val="00B92261"/>
    <w:rsid w:val="00BA45F4"/>
    <w:rsid w:val="00BA59B4"/>
    <w:rsid w:val="00BB1C82"/>
    <w:rsid w:val="00BF6C7E"/>
    <w:rsid w:val="00BF6DE4"/>
    <w:rsid w:val="00C40577"/>
    <w:rsid w:val="00C40CFE"/>
    <w:rsid w:val="00C44FD9"/>
    <w:rsid w:val="00C52714"/>
    <w:rsid w:val="00C76762"/>
    <w:rsid w:val="00C857FE"/>
    <w:rsid w:val="00CD49A5"/>
    <w:rsid w:val="00CF60FB"/>
    <w:rsid w:val="00D018C8"/>
    <w:rsid w:val="00D12BB5"/>
    <w:rsid w:val="00D52E8D"/>
    <w:rsid w:val="00D77A0E"/>
    <w:rsid w:val="00D967AA"/>
    <w:rsid w:val="00DB7C74"/>
    <w:rsid w:val="00DC0BE3"/>
    <w:rsid w:val="00DD1D2F"/>
    <w:rsid w:val="00DE3BC0"/>
    <w:rsid w:val="00E744B5"/>
    <w:rsid w:val="00EB71DA"/>
    <w:rsid w:val="00EC0999"/>
    <w:rsid w:val="00EF2EC2"/>
    <w:rsid w:val="00F132FC"/>
    <w:rsid w:val="00F25B58"/>
    <w:rsid w:val="00F36A2B"/>
    <w:rsid w:val="00FF58B3"/>
    <w:rsid w:val="00FF7E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81987"/>
  <w15:docId w15:val="{39EC1674-FFDB-4F21-998F-BAE62223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6">
    <w:name w:val="Table Normal1"/>
    <w:tblPr>
      <w:tblCellMar>
        <w:top w:w="0" w:type="dxa"/>
        <w:left w:w="0" w:type="dxa"/>
        <w:bottom w:w="0" w:type="dxa"/>
        <w:right w:w="0" w:type="dxa"/>
      </w:tblCellMar>
    </w:tblPr>
  </w:style>
  <w:style w:type="table" w:customStyle="1" w:styleId="47">
    <w:name w:val="47"/>
    <w:basedOn w:val="TableNormal16"/>
    <w:tblPr>
      <w:tblStyleRowBandSize w:val="1"/>
      <w:tblStyleColBandSize w:val="1"/>
      <w:tblCellMar>
        <w:left w:w="115" w:type="dxa"/>
        <w:right w:w="115" w:type="dxa"/>
      </w:tblCellMar>
    </w:tblPr>
  </w:style>
  <w:style w:type="table" w:customStyle="1" w:styleId="46">
    <w:name w:val="46"/>
    <w:basedOn w:val="TableNormal1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45">
    <w:name w:val="45"/>
    <w:basedOn w:val="TableNormal16"/>
    <w:tblPr>
      <w:tblStyleRowBandSize w:val="1"/>
      <w:tblStyleColBandSize w:val="1"/>
      <w:tblCellMar>
        <w:left w:w="115" w:type="dxa"/>
        <w:right w:w="115" w:type="dxa"/>
      </w:tblCellMar>
    </w:tblPr>
  </w:style>
  <w:style w:type="table" w:customStyle="1" w:styleId="44">
    <w:name w:val="44"/>
    <w:basedOn w:val="TableNormal1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41">
    <w:name w:val="41"/>
    <w:basedOn w:val="TableNormal30"/>
    <w:tblPr>
      <w:tblStyleRowBandSize w:val="1"/>
      <w:tblStyleColBandSize w:val="1"/>
      <w:tblCellMar>
        <w:left w:w="108" w:type="dxa"/>
        <w:right w:w="108" w:type="dxa"/>
      </w:tblCellMar>
    </w:tblPr>
  </w:style>
  <w:style w:type="table" w:customStyle="1" w:styleId="40">
    <w:name w:val="40"/>
    <w:basedOn w:val="TableNormal30"/>
    <w:tblPr>
      <w:tblStyleRowBandSize w:val="1"/>
      <w:tblStyleColBandSize w:val="1"/>
      <w:tblCellMar>
        <w:left w:w="108" w:type="dxa"/>
        <w:right w:w="108" w:type="dxa"/>
      </w:tblCellMar>
    </w:tblPr>
  </w:style>
  <w:style w:type="table" w:customStyle="1" w:styleId="39">
    <w:name w:val="39"/>
    <w:basedOn w:val="TableNormal30"/>
    <w:tblPr>
      <w:tblStyleRowBandSize w:val="1"/>
      <w:tblStyleColBandSize w:val="1"/>
      <w:tblCellMar>
        <w:left w:w="108" w:type="dxa"/>
        <w:right w:w="108" w:type="dxa"/>
      </w:tblCellMar>
    </w:tblPr>
  </w:style>
  <w:style w:type="table" w:customStyle="1" w:styleId="38">
    <w:name w:val="38"/>
    <w:basedOn w:val="TableNormal30"/>
    <w:tblPr>
      <w:tblStyleRowBandSize w:val="1"/>
      <w:tblStyleColBandSize w:val="1"/>
      <w:tblCellMar>
        <w:left w:w="108" w:type="dxa"/>
        <w:right w:w="108" w:type="dxa"/>
      </w:tblCellMar>
    </w:tblPr>
  </w:style>
  <w:style w:type="table" w:customStyle="1" w:styleId="37">
    <w:name w:val="37"/>
    <w:basedOn w:val="TableNormal30"/>
    <w:tblPr>
      <w:tblStyleRowBandSize w:val="1"/>
      <w:tblStyleColBandSize w:val="1"/>
      <w:tblCellMar>
        <w:left w:w="108" w:type="dxa"/>
        <w:right w:w="108" w:type="dxa"/>
      </w:tblCellMar>
    </w:tblPr>
  </w:style>
  <w:style w:type="table" w:customStyle="1" w:styleId="36">
    <w:name w:val="36"/>
    <w:basedOn w:val="TableNormal30"/>
    <w:tblPr>
      <w:tblStyleRowBandSize w:val="1"/>
      <w:tblStyleColBandSize w:val="1"/>
      <w:tblCellMar>
        <w:left w:w="115" w:type="dxa"/>
        <w:right w:w="115" w:type="dxa"/>
      </w:tblCellMar>
    </w:tblPr>
  </w:style>
  <w:style w:type="table" w:customStyle="1" w:styleId="35">
    <w:name w:val="35"/>
    <w:basedOn w:val="TableNormal30"/>
    <w:tblPr>
      <w:tblStyleRowBandSize w:val="1"/>
      <w:tblStyleColBandSize w:val="1"/>
      <w:tblCellMar>
        <w:left w:w="115" w:type="dxa"/>
        <w:right w:w="115" w:type="dxa"/>
      </w:tblCellMar>
    </w:tblPr>
  </w:style>
  <w:style w:type="table" w:customStyle="1" w:styleId="34">
    <w:name w:val="34"/>
    <w:basedOn w:val="TableNormal40"/>
    <w:tblPr>
      <w:tblStyleRowBandSize w:val="1"/>
      <w:tblStyleColBandSize w:val="1"/>
      <w:tblCellMar>
        <w:left w:w="108" w:type="dxa"/>
        <w:right w:w="108" w:type="dxa"/>
      </w:tblCellMar>
    </w:tblPr>
  </w:style>
  <w:style w:type="table" w:customStyle="1" w:styleId="33">
    <w:name w:val="33"/>
    <w:basedOn w:val="TableNormal40"/>
    <w:tblPr>
      <w:tblStyleRowBandSize w:val="1"/>
      <w:tblStyleColBandSize w:val="1"/>
      <w:tblCellMar>
        <w:left w:w="115" w:type="dxa"/>
        <w:right w:w="115" w:type="dxa"/>
      </w:tblCellMar>
    </w:tblPr>
  </w:style>
  <w:style w:type="table" w:customStyle="1" w:styleId="32">
    <w:name w:val="32"/>
    <w:basedOn w:val="TableNormal40"/>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tblPr>
      <w:tblStyleRowBandSize w:val="1"/>
      <w:tblStyleColBandSize w:val="1"/>
      <w:tblCellMar>
        <w:left w:w="115" w:type="dxa"/>
        <w:right w:w="115" w:type="dxa"/>
      </w:tblCellMar>
    </w:tblPr>
  </w:style>
  <w:style w:type="table" w:customStyle="1" w:styleId="28">
    <w:name w:val="28"/>
    <w:basedOn w:val="TableNormal6"/>
    <w:tblPr>
      <w:tblStyleRowBandSize w:val="1"/>
      <w:tblStyleColBandSize w:val="1"/>
      <w:tblCellMar>
        <w:left w:w="115" w:type="dxa"/>
        <w:right w:w="115" w:type="dxa"/>
      </w:tblCellMar>
    </w:tblPr>
  </w:style>
  <w:style w:type="table" w:customStyle="1" w:styleId="27">
    <w:name w:val="27"/>
    <w:basedOn w:val="TableNormal6"/>
    <w:tblPr>
      <w:tblStyleRowBandSize w:val="1"/>
      <w:tblStyleColBandSize w:val="1"/>
      <w:tblCellMar>
        <w:left w:w="115" w:type="dxa"/>
        <w:right w:w="115" w:type="dxa"/>
      </w:tblCellMar>
    </w:tblPr>
  </w:style>
  <w:style w:type="table" w:customStyle="1" w:styleId="26">
    <w:name w:val="26"/>
    <w:basedOn w:val="TableNormal7"/>
    <w:tblPr>
      <w:tblStyleRowBandSize w:val="1"/>
      <w:tblStyleColBandSize w:val="1"/>
      <w:tblCellMar>
        <w:left w:w="115" w:type="dxa"/>
        <w:right w:w="115" w:type="dxa"/>
      </w:tblCellMar>
    </w:tblPr>
  </w:style>
  <w:style w:type="table" w:customStyle="1" w:styleId="25">
    <w:name w:val="25"/>
    <w:basedOn w:val="TableNormal7"/>
    <w:tblPr>
      <w:tblStyleRowBandSize w:val="1"/>
      <w:tblStyleColBandSize w:val="1"/>
      <w:tblCellMar>
        <w:left w:w="115" w:type="dxa"/>
        <w:right w:w="115" w:type="dxa"/>
      </w:tblCellMar>
    </w:tblPr>
  </w:style>
  <w:style w:type="table" w:customStyle="1" w:styleId="24">
    <w:name w:val="24"/>
    <w:basedOn w:val="TableNormal8"/>
    <w:tblPr>
      <w:tblStyleRowBandSize w:val="1"/>
      <w:tblStyleColBandSize w:val="1"/>
      <w:tblCellMar>
        <w:left w:w="115" w:type="dxa"/>
        <w:right w:w="115" w:type="dxa"/>
      </w:tblCellMar>
    </w:tblPr>
  </w:style>
  <w:style w:type="table" w:customStyle="1" w:styleId="23">
    <w:name w:val="23"/>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1"/>
    <w:tblPr>
      <w:tblStyleRowBandSize w:val="1"/>
      <w:tblStyleColBandSize w:val="1"/>
      <w:tblCellMar>
        <w:left w:w="115" w:type="dxa"/>
        <w:right w:w="115" w:type="dxa"/>
      </w:tblCellMar>
    </w:tblPr>
  </w:style>
  <w:style w:type="table" w:customStyle="1" w:styleId="17">
    <w:name w:val="17"/>
    <w:basedOn w:val="TableNormal11"/>
    <w:tblPr>
      <w:tblStyleRowBandSize w:val="1"/>
      <w:tblStyleColBandSize w:val="1"/>
      <w:tblCellMar>
        <w:left w:w="115" w:type="dxa"/>
        <w:right w:w="115"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table" w:customStyle="1" w:styleId="14">
    <w:name w:val="14"/>
    <w:basedOn w:val="TableNormal13"/>
    <w:tblPr>
      <w:tblStyleRowBandSize w:val="1"/>
      <w:tblStyleColBandSize w:val="1"/>
      <w:tblCellMar>
        <w:left w:w="115" w:type="dxa"/>
        <w:right w:w="115" w:type="dxa"/>
      </w:tblCellMar>
    </w:tblPr>
  </w:style>
  <w:style w:type="table" w:customStyle="1" w:styleId="13">
    <w:name w:val="13"/>
    <w:basedOn w:val="TableNormal13"/>
    <w:tblPr>
      <w:tblStyleRowBandSize w:val="1"/>
      <w:tblStyleColBandSize w:val="1"/>
      <w:tblCellMar>
        <w:left w:w="115" w:type="dxa"/>
        <w:right w:w="115" w:type="dxa"/>
      </w:tblCellMar>
    </w:tblPr>
  </w:style>
  <w:style w:type="table" w:customStyle="1" w:styleId="12">
    <w:name w:val="12"/>
    <w:basedOn w:val="TableNormal14"/>
    <w:tblPr>
      <w:tblStyleRowBandSize w:val="1"/>
      <w:tblStyleColBandSize w:val="1"/>
      <w:tblCellMar>
        <w:left w:w="115" w:type="dxa"/>
        <w:right w:w="115" w:type="dxa"/>
      </w:tblCellMar>
    </w:tblPr>
  </w:style>
  <w:style w:type="table" w:customStyle="1" w:styleId="11">
    <w:name w:val="11"/>
    <w:basedOn w:val="TableNormal14"/>
    <w:tblPr>
      <w:tblStyleRowBandSize w:val="1"/>
      <w:tblStyleColBandSize w:val="1"/>
      <w:tblCellMar>
        <w:left w:w="115" w:type="dxa"/>
        <w:right w:w="115" w:type="dxa"/>
      </w:tblCellMar>
    </w:tblPr>
  </w:style>
  <w:style w:type="table" w:customStyle="1" w:styleId="10">
    <w:name w:val="10"/>
    <w:basedOn w:val="TableNormal15"/>
    <w:tblPr>
      <w:tblStyleRowBandSize w:val="1"/>
      <w:tblStyleColBandSize w:val="1"/>
      <w:tblCellMar>
        <w:left w:w="115" w:type="dxa"/>
        <w:right w:w="115" w:type="dxa"/>
      </w:tblCellMar>
    </w:tblPr>
  </w:style>
  <w:style w:type="table" w:customStyle="1" w:styleId="9">
    <w:name w:val="9"/>
    <w:basedOn w:val="TableNormal15"/>
    <w:tblPr>
      <w:tblStyleRowBandSize w:val="1"/>
      <w:tblStyleColBandSize w:val="1"/>
      <w:tblCellMar>
        <w:left w:w="115" w:type="dxa"/>
        <w:right w:w="115" w:type="dxa"/>
      </w:tblCellMar>
    </w:tbl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tabs>
        <w:tab w:val="num" w:pos="720"/>
      </w:tabs>
      <w:ind w:left="720" w:hanging="720"/>
      <w:contextualSpacing/>
    </w:pPr>
  </w:style>
  <w:style w:type="paragraph" w:styleId="Listaconvietas2">
    <w:name w:val="List Bullet 2"/>
    <w:basedOn w:val="Normal"/>
    <w:uiPriority w:val="99"/>
    <w:unhideWhenUsed/>
    <w:rsid w:val="0076259D"/>
    <w:pPr>
      <w:tabs>
        <w:tab w:val="num" w:pos="720"/>
      </w:tabs>
      <w:ind w:left="720" w:hanging="720"/>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071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SttmQmaxTd8jlw12NjIsNev+tA==">CgMxLjAyDmguZGFqM2oyeG82cTY2MghoLmdqZGd4czIJaC4zZHk2dmttMgloLjMwajB6bGwyCWguMnM4ZXlvMTIIaC50eWpjd3QyCWguMmV0OTJwMDINaC4xcDRseXJuN3BpMjIJaC4zNW5rdW4yMgloLjFrc3Y0dXYyDmguNnp4cmF4YjQ0cTN2MgloLjI2aW4xcmcyCWguMTdkcDh2dTIIaC5sbnhiejk4AHIhMTZFdWh4SkMwU1dnT1h3RjIzZ0dvWkd2dlRTZWs3aFZN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7062</Words>
  <Characters>38846</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2025-12-12T17:17:00Z</cp:lastPrinted>
  <dcterms:created xsi:type="dcterms:W3CDTF">2026-01-20T19:24:00Z</dcterms:created>
  <dcterms:modified xsi:type="dcterms:W3CDTF">2026-01-20T19:24:00Z</dcterms:modified>
</cp:coreProperties>
</file>