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80" w:rsidRDefault="00907180">
      <w:pPr>
        <w:widowControl w:val="0"/>
        <w:pBdr>
          <w:top w:val="nil"/>
          <w:left w:val="nil"/>
          <w:bottom w:val="nil"/>
          <w:right w:val="nil"/>
          <w:between w:val="nil"/>
        </w:pBdr>
        <w:spacing w:line="276" w:lineRule="auto"/>
      </w:pPr>
    </w:p>
    <w:p w:rsidR="00907180" w:rsidRPr="006D30D1" w:rsidRDefault="007C2B39">
      <w:pPr>
        <w:tabs>
          <w:tab w:val="left" w:pos="3465"/>
        </w:tabs>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907180" w:rsidRPr="006D30D1" w:rsidRDefault="00907180">
      <w:pPr>
        <w:tabs>
          <w:tab w:val="left" w:pos="3465"/>
        </w:tabs>
        <w:spacing w:line="360" w:lineRule="auto"/>
        <w:ind w:right="-929"/>
        <w:jc w:val="both"/>
        <w:rPr>
          <w:rFonts w:ascii="Palatino Linotype" w:eastAsia="Palatino Linotype" w:hAnsi="Palatino Linotype" w:cs="Palatino Linotype"/>
        </w:rPr>
      </w:pPr>
    </w:p>
    <w:p w:rsidR="00907180" w:rsidRPr="006D30D1" w:rsidRDefault="007C2B39">
      <w:pPr>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b/>
        </w:rPr>
        <w:t xml:space="preserve">VISTAS </w:t>
      </w:r>
      <w:r w:rsidRPr="006D30D1">
        <w:rPr>
          <w:rFonts w:ascii="Palatino Linotype" w:eastAsia="Palatino Linotype" w:hAnsi="Palatino Linotype" w:cs="Palatino Linotype"/>
        </w:rPr>
        <w:t xml:space="preserve">las constancias para resolver </w:t>
      </w:r>
      <w:r w:rsidRPr="006D30D1">
        <w:rPr>
          <w:rFonts w:ascii="Palatino Linotype" w:eastAsia="Palatino Linotype" w:hAnsi="Palatino Linotype" w:cs="Palatino Linotype"/>
          <w:color w:val="000000"/>
        </w:rPr>
        <w:t xml:space="preserve">el Recurso de Revisión </w:t>
      </w:r>
      <w:r w:rsidRPr="006D30D1">
        <w:rPr>
          <w:rFonts w:ascii="Palatino Linotype" w:eastAsia="Palatino Linotype" w:hAnsi="Palatino Linotype" w:cs="Palatino Linotype"/>
          <w:b/>
          <w:color w:val="000000"/>
        </w:rPr>
        <w:t>04143/INFOEM/IP/RR/2024</w:t>
      </w:r>
      <w:r w:rsidRPr="006D30D1">
        <w:rPr>
          <w:rFonts w:ascii="Palatino Linotype" w:eastAsia="Palatino Linotype" w:hAnsi="Palatino Linotype" w:cs="Palatino Linotype"/>
          <w:color w:val="000000"/>
        </w:rPr>
        <w:t xml:space="preserve">, promovido por un usuario que se </w:t>
      </w:r>
      <w:r w:rsidRPr="006D30D1">
        <w:rPr>
          <w:rFonts w:ascii="Palatino Linotype" w:eastAsia="Palatino Linotype" w:hAnsi="Palatino Linotype" w:cs="Palatino Linotype"/>
        </w:rPr>
        <w:t>registró</w:t>
      </w:r>
      <w:r w:rsidRPr="006D30D1">
        <w:rPr>
          <w:rFonts w:ascii="Palatino Linotype" w:eastAsia="Palatino Linotype" w:hAnsi="Palatino Linotype" w:cs="Palatino Linotype"/>
          <w:color w:val="000000"/>
        </w:rPr>
        <w:t xml:space="preserve"> como </w:t>
      </w:r>
      <w:r w:rsidR="000359D4">
        <w:rPr>
          <w:rFonts w:ascii="Palatino Linotype" w:eastAsia="Palatino Linotype" w:hAnsi="Palatino Linotype" w:cs="Palatino Linotype"/>
          <w:b/>
          <w:color w:val="000000"/>
        </w:rPr>
        <w:t>XXXX</w:t>
      </w:r>
      <w:r w:rsidRPr="006D30D1">
        <w:rPr>
          <w:rFonts w:ascii="Palatino Linotype" w:eastAsia="Palatino Linotype" w:hAnsi="Palatino Linotype" w:cs="Palatino Linotype"/>
          <w:color w:val="000000"/>
        </w:rPr>
        <w:t>,</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a quien en lo sucesivo se denominará el</w:t>
      </w:r>
      <w:r w:rsidRPr="006D30D1">
        <w:rPr>
          <w:rFonts w:ascii="Palatino Linotype" w:eastAsia="Palatino Linotype" w:hAnsi="Palatino Linotype" w:cs="Palatino Linotype"/>
          <w:b/>
        </w:rPr>
        <w:t xml:space="preserve"> RECURRENTE</w:t>
      </w:r>
      <w:r w:rsidRPr="006D30D1">
        <w:rPr>
          <w:rFonts w:ascii="Palatino Linotype" w:eastAsia="Palatino Linotype" w:hAnsi="Palatino Linotype" w:cs="Palatino Linotype"/>
        </w:rPr>
        <w:t xml:space="preserve">, en contra de la respuesta otorgada a la solicitud de información </w:t>
      </w:r>
      <w:r w:rsidRPr="006D30D1">
        <w:rPr>
          <w:rFonts w:ascii="Palatino Linotype" w:eastAsia="Palatino Linotype" w:hAnsi="Palatino Linotype" w:cs="Palatino Linotype"/>
          <w:b/>
        </w:rPr>
        <w:t>00041/MORELOS/IP/2024</w:t>
      </w:r>
      <w:r w:rsidRPr="006D30D1">
        <w:rPr>
          <w:rFonts w:ascii="Palatino Linotype" w:eastAsia="Palatino Linotype" w:hAnsi="Palatino Linotype" w:cs="Palatino Linotype"/>
        </w:rPr>
        <w:t xml:space="preserve">, por parte del </w:t>
      </w:r>
      <w:r w:rsidRPr="006D30D1">
        <w:rPr>
          <w:rFonts w:ascii="Palatino Linotype" w:eastAsia="Palatino Linotype" w:hAnsi="Palatino Linotype" w:cs="Palatino Linotype"/>
          <w:b/>
        </w:rPr>
        <w:t xml:space="preserve">Ayuntamiento de Morelos, </w:t>
      </w:r>
      <w:r w:rsidRPr="006D30D1">
        <w:rPr>
          <w:rFonts w:ascii="Palatino Linotype" w:eastAsia="Palatino Linotype" w:hAnsi="Palatino Linotype" w:cs="Palatino Linotype"/>
        </w:rPr>
        <w:t xml:space="preserve">en adelante el </w:t>
      </w:r>
      <w:r w:rsidRPr="006D30D1">
        <w:rPr>
          <w:rFonts w:ascii="Palatino Linotype" w:eastAsia="Palatino Linotype" w:hAnsi="Palatino Linotype" w:cs="Palatino Linotype"/>
          <w:b/>
        </w:rPr>
        <w:t>SUJETO OBLIGADO</w:t>
      </w:r>
      <w:r w:rsidRPr="006D30D1">
        <w:rPr>
          <w:rFonts w:ascii="Palatino Linotype" w:eastAsia="Palatino Linotype" w:hAnsi="Palatino Linotype" w:cs="Palatino Linotype"/>
        </w:rPr>
        <w:t>, se emite la presente resolución con base en los siguientes:</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pStyle w:val="Ttulo1"/>
        <w:spacing w:before="0" w:line="360" w:lineRule="auto"/>
        <w:ind w:right="-929"/>
        <w:jc w:val="center"/>
        <w:rPr>
          <w:rFonts w:ascii="Palatino Linotype" w:eastAsia="Palatino Linotype" w:hAnsi="Palatino Linotype" w:cs="Palatino Linotype"/>
          <w:b/>
          <w:color w:val="000000"/>
          <w:sz w:val="24"/>
          <w:szCs w:val="24"/>
        </w:rPr>
      </w:pPr>
      <w:bookmarkStart w:id="0" w:name="_heading=h.gjdgxs" w:colFirst="0" w:colLast="0"/>
      <w:bookmarkEnd w:id="0"/>
      <w:r w:rsidRPr="006D30D1">
        <w:rPr>
          <w:rFonts w:ascii="Palatino Linotype" w:eastAsia="Palatino Linotype" w:hAnsi="Palatino Linotype" w:cs="Palatino Linotype"/>
          <w:b/>
          <w:color w:val="000000"/>
          <w:sz w:val="24"/>
          <w:szCs w:val="24"/>
        </w:rPr>
        <w:t>A N T E C E D E N T E S</w:t>
      </w:r>
    </w:p>
    <w:p w:rsidR="00907180" w:rsidRPr="006D30D1" w:rsidRDefault="00907180">
      <w:pPr>
        <w:pBdr>
          <w:top w:val="nil"/>
          <w:left w:val="nil"/>
          <w:bottom w:val="nil"/>
          <w:right w:val="nil"/>
          <w:between w:val="nil"/>
        </w:pBdr>
        <w:spacing w:line="360" w:lineRule="auto"/>
        <w:ind w:left="720" w:right="-929"/>
        <w:jc w:val="both"/>
        <w:rPr>
          <w:rFonts w:ascii="Palatino Linotype" w:eastAsia="Palatino Linotype" w:hAnsi="Palatino Linotype" w:cs="Palatino Linotype"/>
          <w:b/>
          <w:color w:val="000000"/>
          <w:u w:val="single"/>
        </w:rPr>
      </w:pPr>
    </w:p>
    <w:p w:rsidR="00907180" w:rsidRPr="006D30D1" w:rsidRDefault="007C2B39">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El </w:t>
      </w:r>
      <w:r w:rsidRPr="006D30D1">
        <w:rPr>
          <w:rFonts w:ascii="Palatino Linotype" w:eastAsia="Palatino Linotype" w:hAnsi="Palatino Linotype" w:cs="Palatino Linotype"/>
          <w:b/>
          <w:color w:val="000000"/>
        </w:rPr>
        <w:t>diez de junio de dos mil veinticuatro</w:t>
      </w:r>
      <w:r w:rsidRPr="006D30D1">
        <w:rPr>
          <w:rFonts w:ascii="Palatino Linotype" w:eastAsia="Palatino Linotype" w:hAnsi="Palatino Linotype" w:cs="Palatino Linotype"/>
          <w:color w:val="000000"/>
        </w:rPr>
        <w:t>,</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color w:val="000000"/>
        </w:rPr>
        <w:t>se presentó ante el Sujeto Obligado a través del Sistema de Acceso a la Información Mexiquense (SAIMEX), la siguiente solicitud de información pública:</w:t>
      </w:r>
    </w:p>
    <w:p w:rsidR="00907180" w:rsidRPr="006D30D1" w:rsidRDefault="00907180">
      <w:pPr>
        <w:pBdr>
          <w:top w:val="nil"/>
          <w:left w:val="nil"/>
          <w:bottom w:val="nil"/>
          <w:right w:val="nil"/>
          <w:between w:val="nil"/>
        </w:pBdr>
        <w:ind w:right="-929"/>
        <w:jc w:val="both"/>
        <w:rPr>
          <w:rFonts w:ascii="Palatino Linotype" w:eastAsia="Palatino Linotype" w:hAnsi="Palatino Linotype" w:cs="Palatino Linotype"/>
          <w:color w:val="000000"/>
        </w:rPr>
      </w:pPr>
    </w:p>
    <w:p w:rsidR="00907180" w:rsidRPr="006D30D1" w:rsidRDefault="007C2B39">
      <w:pPr>
        <w:pBdr>
          <w:top w:val="nil"/>
          <w:left w:val="nil"/>
          <w:bottom w:val="nil"/>
          <w:right w:val="nil"/>
          <w:between w:val="nil"/>
        </w:pBdr>
        <w:ind w:left="567" w:right="-929"/>
        <w:jc w:val="both"/>
        <w:rPr>
          <w:rFonts w:ascii="Palatino Linotype" w:eastAsia="Palatino Linotype" w:hAnsi="Palatino Linotype" w:cs="Palatino Linotype"/>
          <w:i/>
          <w:color w:val="000000"/>
        </w:rPr>
      </w:pPr>
      <w:r w:rsidRPr="006D30D1">
        <w:rPr>
          <w:rFonts w:ascii="Palatino Linotype" w:eastAsia="Palatino Linotype" w:hAnsi="Palatino Linotype" w:cs="Palatino Linotype"/>
          <w:i/>
          <w:color w:val="000000"/>
        </w:rPr>
        <w:t>“SOLICITO LA SIGUIENTE INFORMACIÓN: CATALOGO DE PROVEEDORES DEL AYUNTAMIENTO DE MORELOS ACTUALIZADO AL EJERCICIO 2024. ACTAS DEL COMITE DE ADQUISICIONES Y SERVICIOS DE LOS EJERCICIOS FISCALES 2022, 2023 Y 2024 HASTA LA FECHA DE LA SOLICITUD DE LA INFORMACIÓN. ACTAS DEL COMITE DE ARREDAMIENTOS, ADQUISICIÓN DE INMUEBLES Y ENAJENACIONES DE LOS EJERCICIOS FISCALES 2022, 2023 Y 2024 HASTA LA FECHA DE LA SOLICITUD DE LA INFORMACIÓN. ACTAS DEL COMITE DE OBRA PUBLICA DE LOS EJERCICIOS FISCALES 2022, 2023 Y 2024 HASTA LA FECHA DE LA SOLICITUD DE LA INFOR</w:t>
      </w:r>
      <w:bookmarkStart w:id="1" w:name="_GoBack"/>
      <w:bookmarkEnd w:id="1"/>
      <w:r w:rsidRPr="006D30D1">
        <w:rPr>
          <w:rFonts w:ascii="Palatino Linotype" w:eastAsia="Palatino Linotype" w:hAnsi="Palatino Linotype" w:cs="Palatino Linotype"/>
          <w:i/>
          <w:color w:val="000000"/>
        </w:rPr>
        <w:t>MACIÓN.” (Sic)</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8"/>
        </w:numPr>
        <w:pBdr>
          <w:top w:val="nil"/>
          <w:left w:val="nil"/>
          <w:bottom w:val="nil"/>
          <w:right w:val="nil"/>
          <w:between w:val="nil"/>
        </w:pBdr>
        <w:tabs>
          <w:tab w:val="left" w:pos="0"/>
        </w:tabs>
        <w:spacing w:line="360" w:lineRule="auto"/>
        <w:ind w:left="709" w:right="-929"/>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Se eligió como modalidad de entrega de la información: A través del </w:t>
      </w:r>
      <w:r w:rsidRPr="006D30D1">
        <w:rPr>
          <w:rFonts w:ascii="Palatino Linotype" w:eastAsia="Palatino Linotype" w:hAnsi="Palatino Linotype" w:cs="Palatino Linotype"/>
          <w:b/>
          <w:color w:val="000000"/>
        </w:rPr>
        <w:t>SAIMEX.</w:t>
      </w:r>
    </w:p>
    <w:p w:rsidR="00907180" w:rsidRPr="006D30D1" w:rsidRDefault="00907180">
      <w:pPr>
        <w:pBdr>
          <w:top w:val="nil"/>
          <w:left w:val="nil"/>
          <w:bottom w:val="nil"/>
          <w:right w:val="nil"/>
          <w:between w:val="nil"/>
        </w:pBdr>
        <w:tabs>
          <w:tab w:val="left" w:pos="0"/>
        </w:tabs>
        <w:spacing w:line="360" w:lineRule="auto"/>
        <w:ind w:left="709"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sidRPr="006D30D1">
        <w:rPr>
          <w:rFonts w:ascii="Palatino Linotype" w:eastAsia="Palatino Linotype" w:hAnsi="Palatino Linotype" w:cs="Palatino Linotype"/>
          <w:color w:val="000000"/>
        </w:rPr>
        <w:t>El</w:t>
      </w:r>
      <w:r w:rsidRPr="006D30D1">
        <w:rPr>
          <w:rFonts w:ascii="Palatino Linotype" w:eastAsia="Palatino Linotype" w:hAnsi="Palatino Linotype" w:cs="Palatino Linotype"/>
          <w:b/>
          <w:color w:val="000000"/>
        </w:rPr>
        <w:t xml:space="preserve"> uno de julio de dos mil veinticuatro</w:t>
      </w:r>
      <w:r w:rsidRPr="006D30D1">
        <w:rPr>
          <w:rFonts w:ascii="Palatino Linotype" w:eastAsia="Palatino Linotype" w:hAnsi="Palatino Linotype" w:cs="Palatino Linotype"/>
          <w:color w:val="000000"/>
        </w:rPr>
        <w:t>, el Sujeto Obligado</w:t>
      </w:r>
      <w:r w:rsidRPr="006D30D1">
        <w:rPr>
          <w:rFonts w:ascii="Palatino Linotype" w:eastAsia="Palatino Linotype" w:hAnsi="Palatino Linotype" w:cs="Palatino Linotype"/>
          <w:b/>
          <w:color w:val="000000"/>
        </w:rPr>
        <w:t>,</w:t>
      </w:r>
      <w:r w:rsidRPr="006D30D1">
        <w:rPr>
          <w:rFonts w:ascii="Palatino Linotype" w:eastAsia="Palatino Linotype" w:hAnsi="Palatino Linotype" w:cs="Palatino Linotype"/>
          <w:color w:val="000000"/>
        </w:rPr>
        <w:t xml:space="preserve"> dio respuesta a través del archivo digital siguiente:</w:t>
      </w:r>
    </w:p>
    <w:p w:rsidR="00907180" w:rsidRPr="006D30D1" w:rsidRDefault="007C2B39">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Respuesta solicitud 41.pdf</w:t>
      </w:r>
    </w:p>
    <w:p w:rsidR="00907180" w:rsidRPr="006D30D1" w:rsidRDefault="007C2B39">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Oficio TAI/122/V/2024 de fecha 01 de julio de 2024, firmado por el responsable de Transparencia y Acceso a la Información, señalando que la solicitud se turnó al Servidor Público Habilitado de la Dirección de Administración y de la Dirección de Obras Públicas, Servicios Públicos, Alumbrado Público y Agua Potable, remitiendo la respuesta que se adjunta.</w:t>
      </w:r>
    </w:p>
    <w:p w:rsidR="00907180" w:rsidRPr="006D30D1" w:rsidRDefault="00907180">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907180" w:rsidRPr="006D30D1" w:rsidRDefault="007C2B39">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Oficio DOP/00887/VI/2024 de fecha 28 de junio de 2024, firmado por el Director de Obras Públicas, Servicios Públicos, Alumbrado Público y Agua Potable, a través del cual informa que derivado de la revisión exhaustiva en los archivos de esta Dirección, no se cuenta con la información solicitada.</w:t>
      </w:r>
    </w:p>
    <w:p w:rsidR="00907180" w:rsidRPr="006D30D1" w:rsidRDefault="00907180">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907180" w:rsidRPr="006D30D1" w:rsidRDefault="007C2B39">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Oficio AD/VII/271/2024 de fecha 01 de julio de 2024, firmado por la Directora de Administración, a través del cual informa que el catálogo de proveedores se encuentra publicado en el portal de IPOMEX, señalando un link en dato cerrado.</w:t>
      </w:r>
    </w:p>
    <w:p w:rsidR="00907180" w:rsidRPr="006D30D1" w:rsidRDefault="00907180">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907180" w:rsidRPr="006D30D1" w:rsidRDefault="007C2B39">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En referencia a las actas de adquisiciones y servicios, actas del comité de arrendamientos, adquisición de inmuebles y enajenaciones, no existen actas bajo la denominación del requerimiento, por lo que no es posible proporcionar la información requerida. </w:t>
      </w:r>
    </w:p>
    <w:p w:rsidR="00907180" w:rsidRPr="006D30D1" w:rsidRDefault="00907180">
      <w:pPr>
        <w:pBdr>
          <w:top w:val="nil"/>
          <w:left w:val="nil"/>
          <w:bottom w:val="nil"/>
          <w:right w:val="nil"/>
          <w:between w:val="nil"/>
        </w:pBdr>
        <w:tabs>
          <w:tab w:val="left" w:pos="567"/>
        </w:tabs>
        <w:ind w:left="567" w:right="-929"/>
        <w:jc w:val="both"/>
        <w:rPr>
          <w:rFonts w:ascii="Palatino Linotype" w:eastAsia="Palatino Linotype" w:hAnsi="Palatino Linotype" w:cs="Palatino Linotype"/>
          <w:color w:val="000000"/>
        </w:rPr>
      </w:pPr>
    </w:p>
    <w:p w:rsidR="00907180" w:rsidRPr="006D30D1" w:rsidRDefault="00907180">
      <w:pPr>
        <w:pBdr>
          <w:top w:val="nil"/>
          <w:left w:val="nil"/>
          <w:bottom w:val="nil"/>
          <w:right w:val="nil"/>
          <w:between w:val="nil"/>
        </w:pBdr>
        <w:tabs>
          <w:tab w:val="left" w:pos="567"/>
        </w:tabs>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sidRPr="006D30D1">
        <w:rPr>
          <w:rFonts w:ascii="Palatino Linotype" w:eastAsia="Palatino Linotype" w:hAnsi="Palatino Linotype" w:cs="Palatino Linotype"/>
          <w:color w:val="000000"/>
        </w:rPr>
        <w:t>El</w:t>
      </w:r>
      <w:r w:rsidRPr="006D30D1">
        <w:rPr>
          <w:rFonts w:ascii="Palatino Linotype" w:eastAsia="Palatino Linotype" w:hAnsi="Palatino Linotype" w:cs="Palatino Linotype"/>
          <w:b/>
          <w:color w:val="000000"/>
        </w:rPr>
        <w:t xml:space="preserve"> cinco de julio de dos mil veinticuatro</w:t>
      </w:r>
      <w:r w:rsidRPr="006D30D1">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907180" w:rsidRPr="006D30D1" w:rsidRDefault="007C2B39">
      <w:pPr>
        <w:numPr>
          <w:ilvl w:val="0"/>
          <w:numId w:val="7"/>
        </w:numPr>
        <w:pBdr>
          <w:top w:val="nil"/>
          <w:left w:val="nil"/>
          <w:bottom w:val="nil"/>
          <w:right w:val="nil"/>
          <w:between w:val="nil"/>
        </w:pBdr>
        <w:ind w:left="850" w:right="-79"/>
        <w:jc w:val="both"/>
        <w:rPr>
          <w:rFonts w:ascii="Palatino Linotype" w:eastAsia="Palatino Linotype" w:hAnsi="Palatino Linotype" w:cs="Palatino Linotype"/>
          <w:i/>
          <w:color w:val="000000"/>
          <w:sz w:val="22"/>
          <w:szCs w:val="22"/>
        </w:rPr>
      </w:pPr>
      <w:bookmarkStart w:id="2" w:name="_heading=h.30j0zll" w:colFirst="0" w:colLast="0"/>
      <w:bookmarkEnd w:id="2"/>
      <w:r w:rsidRPr="006D30D1">
        <w:rPr>
          <w:rFonts w:ascii="Palatino Linotype" w:eastAsia="Palatino Linotype" w:hAnsi="Palatino Linotype" w:cs="Palatino Linotype"/>
          <w:b/>
          <w:color w:val="000000"/>
          <w:sz w:val="22"/>
          <w:szCs w:val="22"/>
        </w:rPr>
        <w:t xml:space="preserve">Acto impugnado: </w:t>
      </w:r>
    </w:p>
    <w:p w:rsidR="00907180" w:rsidRPr="006D30D1" w:rsidRDefault="007C2B39">
      <w:pPr>
        <w:pBdr>
          <w:top w:val="nil"/>
          <w:left w:val="nil"/>
          <w:bottom w:val="nil"/>
          <w:right w:val="nil"/>
          <w:between w:val="nil"/>
        </w:pBdr>
        <w:ind w:left="850" w:right="-79" w:hanging="36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“LA NEGATIVA DE LA INFORMACIÓN.” (Sic)</w:t>
      </w:r>
    </w:p>
    <w:p w:rsidR="00907180" w:rsidRPr="006D30D1" w:rsidRDefault="00907180">
      <w:pPr>
        <w:pBdr>
          <w:top w:val="nil"/>
          <w:left w:val="nil"/>
          <w:bottom w:val="nil"/>
          <w:right w:val="nil"/>
          <w:between w:val="nil"/>
        </w:pBdr>
        <w:ind w:left="850" w:right="-79" w:hanging="360"/>
        <w:jc w:val="both"/>
        <w:rPr>
          <w:rFonts w:ascii="Palatino Linotype" w:eastAsia="Palatino Linotype" w:hAnsi="Palatino Linotype" w:cs="Palatino Linotype"/>
          <w:i/>
          <w:color w:val="000000"/>
          <w:sz w:val="22"/>
          <w:szCs w:val="22"/>
        </w:rPr>
      </w:pPr>
    </w:p>
    <w:p w:rsidR="00907180" w:rsidRPr="006D30D1" w:rsidRDefault="007C2B39">
      <w:pPr>
        <w:numPr>
          <w:ilvl w:val="0"/>
          <w:numId w:val="7"/>
        </w:numPr>
        <w:pBdr>
          <w:top w:val="nil"/>
          <w:left w:val="nil"/>
          <w:bottom w:val="nil"/>
          <w:right w:val="nil"/>
          <w:between w:val="nil"/>
        </w:pBdr>
        <w:ind w:left="850" w:right="-79"/>
        <w:jc w:val="both"/>
        <w:rPr>
          <w:rFonts w:ascii="Palatino Linotype" w:eastAsia="Palatino Linotype" w:hAnsi="Palatino Linotype" w:cs="Palatino Linotype"/>
          <w:i/>
          <w:color w:val="000000"/>
          <w:sz w:val="22"/>
          <w:szCs w:val="22"/>
        </w:rPr>
      </w:pPr>
      <w:bookmarkStart w:id="3" w:name="_heading=h.1fob9te" w:colFirst="0" w:colLast="0"/>
      <w:bookmarkEnd w:id="3"/>
      <w:r w:rsidRPr="006D30D1">
        <w:rPr>
          <w:rFonts w:ascii="Palatino Linotype" w:eastAsia="Palatino Linotype" w:hAnsi="Palatino Linotype" w:cs="Palatino Linotype"/>
          <w:b/>
          <w:color w:val="000000"/>
          <w:sz w:val="22"/>
          <w:szCs w:val="22"/>
        </w:rPr>
        <w:t>Razones o Motivos de inconformidad:</w:t>
      </w:r>
    </w:p>
    <w:p w:rsidR="00907180" w:rsidRPr="006D30D1" w:rsidRDefault="007C2B39">
      <w:pPr>
        <w:pBdr>
          <w:top w:val="nil"/>
          <w:left w:val="nil"/>
          <w:bottom w:val="nil"/>
          <w:right w:val="nil"/>
          <w:between w:val="nil"/>
        </w:pBdr>
        <w:ind w:left="850" w:right="-79" w:hanging="36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“EL SUJETO OBLIGADO MANIFIESTA QUE NO EXISTE LA INFORMACIÓN SOLICITADA A PESAR DE QUE LA LEY DE CONTRATACIÓN PUBLICA DEL ESTADO DE MÉXICO Y MUNICIPIOS Y SU REGLAMENTO OBLIGAN AL AYUNTAMIENTO A TENER DICHOS COMITES Y CONTAR CON LA </w:t>
      </w:r>
      <w:r w:rsidRPr="006D30D1">
        <w:rPr>
          <w:rFonts w:ascii="Palatino Linotype" w:eastAsia="Palatino Linotype" w:hAnsi="Palatino Linotype" w:cs="Palatino Linotype"/>
          <w:i/>
          <w:color w:val="000000"/>
          <w:sz w:val="22"/>
          <w:szCs w:val="22"/>
        </w:rPr>
        <w:lastRenderedPageBreak/>
        <w:t>INFORMACIÓN QUE SE SOLICITA. DE LA MISMA MANERA EL LIBRO DECIMO SEGUNDO DEL CÓDIGO ADMINISTRATIVO DEL ESTADO DE MÉXICO Y SU REGLAMENTO, OBLIGAN AL AYUNTAMIENTO A TENER LA INFORMACIÓN SOLICITADA. EN RELACIÓN AL LINK QUE SE PROPORCIONA, SE INFORMA QUE NO SE SOLICITO NINGUN LINK, SINO MAS BIEN LA INFORMACIÓN EN PDF. ADEMAS SE SOLICITA AL IPOMEX QUE VERIFIQUE LA LIGA PROPORCIONADA TODA VEZ QUE EN ELLINK NO EXISTE LA INFORMACIÓN QUE SE MENCIONA.” (Sic)</w:t>
      </w:r>
    </w:p>
    <w:p w:rsidR="00907180" w:rsidRPr="006D30D1" w:rsidRDefault="00907180">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907180" w:rsidRPr="006D30D1" w:rsidRDefault="007C2B39">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6D30D1">
        <w:rPr>
          <w:rFonts w:ascii="Palatino Linotype" w:eastAsia="Palatino Linotype" w:hAnsi="Palatino Linotype" w:cs="Palatino Linotype"/>
          <w:b/>
          <w:color w:val="000000"/>
        </w:rPr>
        <w:t xml:space="preserve">acuerdo de admisión </w:t>
      </w:r>
      <w:r w:rsidRPr="006D30D1">
        <w:rPr>
          <w:rFonts w:ascii="Palatino Linotype" w:eastAsia="Palatino Linotype" w:hAnsi="Palatino Linotype" w:cs="Palatino Linotype"/>
          <w:color w:val="000000"/>
        </w:rPr>
        <w:t xml:space="preserve">de fecha </w:t>
      </w:r>
      <w:r w:rsidRPr="006D30D1">
        <w:rPr>
          <w:rFonts w:ascii="Palatino Linotype" w:eastAsia="Palatino Linotype" w:hAnsi="Palatino Linotype" w:cs="Palatino Linotype"/>
          <w:b/>
          <w:color w:val="000000"/>
        </w:rPr>
        <w:t xml:space="preserve">once de julio de dos mil veinticuatro, </w:t>
      </w:r>
      <w:r w:rsidRPr="006D30D1">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6D30D1">
        <w:rPr>
          <w:rFonts w:ascii="Palatino Linotype" w:eastAsia="Palatino Linotype" w:hAnsi="Palatino Linotype" w:cs="Palatino Linotype"/>
        </w:rPr>
        <w:t>manifestara</w:t>
      </w:r>
      <w:r w:rsidRPr="006D30D1">
        <w:rPr>
          <w:rFonts w:ascii="Palatino Linotype" w:eastAsia="Palatino Linotype" w:hAnsi="Palatino Linotype" w:cs="Palatino Linotype"/>
          <w:color w:val="000000"/>
        </w:rPr>
        <w:t xml:space="preserve"> lo que a su derecho conviniera, </w:t>
      </w:r>
      <w:r w:rsidRPr="006D30D1">
        <w:rPr>
          <w:rFonts w:ascii="Palatino Linotype" w:eastAsia="Palatino Linotype" w:hAnsi="Palatino Linotype" w:cs="Palatino Linotype"/>
        </w:rPr>
        <w:t>ofreciera</w:t>
      </w:r>
      <w:r w:rsidRPr="006D30D1">
        <w:rPr>
          <w:rFonts w:ascii="Palatino Linotype" w:eastAsia="Palatino Linotype" w:hAnsi="Palatino Linotype" w:cs="Palatino Linotype"/>
          <w:color w:val="000000"/>
        </w:rPr>
        <w:t xml:space="preserve"> pruebas y alegatos según corresponda al caso concreto, de esta forma para que el </w:t>
      </w:r>
      <w:r w:rsidRPr="006D30D1">
        <w:rPr>
          <w:rFonts w:ascii="Palatino Linotype" w:eastAsia="Palatino Linotype" w:hAnsi="Palatino Linotype" w:cs="Palatino Linotype"/>
          <w:b/>
          <w:color w:val="000000"/>
        </w:rPr>
        <w:t xml:space="preserve">SUJETO OBLIGADO </w:t>
      </w:r>
      <w:r w:rsidRPr="006D30D1">
        <w:rPr>
          <w:rFonts w:ascii="Palatino Linotype" w:eastAsia="Palatino Linotype" w:hAnsi="Palatino Linotype" w:cs="Palatino Linotype"/>
        </w:rPr>
        <w:t>presentará</w:t>
      </w:r>
      <w:r w:rsidRPr="006D30D1">
        <w:rPr>
          <w:rFonts w:ascii="Palatino Linotype" w:eastAsia="Palatino Linotype" w:hAnsi="Palatino Linotype" w:cs="Palatino Linotype"/>
          <w:color w:val="000000"/>
        </w:rPr>
        <w:t xml:space="preserve"> el Informe Justificado procedente.</w:t>
      </w:r>
    </w:p>
    <w:p w:rsidR="00907180" w:rsidRPr="006D30D1" w:rsidRDefault="00907180">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r w:rsidRPr="006D30D1">
        <w:rPr>
          <w:rFonts w:ascii="Palatino Linotype" w:eastAsia="Palatino Linotype" w:hAnsi="Palatino Linotype" w:cs="Palatino Linotype"/>
          <w:color w:val="000000"/>
        </w:rPr>
        <w:t>El Recurrente</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color w:val="000000"/>
        </w:rPr>
        <w:t>dejó de realizar manifestaciones que a su derecho conviniera y asistiera. Por su parte, el Sujeto Obligado,</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color w:val="000000"/>
        </w:rPr>
        <w:t>tampoco rindió Informe Justificado, tal como se muestra en la siguiente captura de pantalla:</w:t>
      </w:r>
    </w:p>
    <w:p w:rsidR="00907180" w:rsidRPr="006D30D1" w:rsidRDefault="007C2B39">
      <w:pPr>
        <w:pBdr>
          <w:top w:val="nil"/>
          <w:left w:val="nil"/>
          <w:bottom w:val="nil"/>
          <w:right w:val="nil"/>
          <w:between w:val="nil"/>
        </w:pBdr>
        <w:ind w:left="567" w:right="-929"/>
        <w:jc w:val="center"/>
        <w:rPr>
          <w:rFonts w:ascii="Palatino Linotype" w:eastAsia="Palatino Linotype" w:hAnsi="Palatino Linotype" w:cs="Palatino Linotype"/>
          <w:color w:val="000000"/>
        </w:rPr>
      </w:pPr>
      <w:r w:rsidRPr="006D30D1">
        <w:rPr>
          <w:rFonts w:ascii="Palatino Linotype" w:eastAsia="Palatino Linotype" w:hAnsi="Palatino Linotype" w:cs="Palatino Linotype"/>
          <w:noProof/>
          <w:color w:val="000000"/>
          <w:lang w:val="es-MX" w:eastAsia="es-MX"/>
        </w:rPr>
        <w:drawing>
          <wp:inline distT="0" distB="0" distL="0" distR="0">
            <wp:extent cx="4163152" cy="1054212"/>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63152" cy="1054212"/>
                    </a:xfrm>
                    <a:prstGeom prst="rect">
                      <a:avLst/>
                    </a:prstGeom>
                    <a:ln/>
                  </pic:spPr>
                </pic:pic>
              </a:graphicData>
            </a:graphic>
          </wp:inline>
        </w:drawing>
      </w:r>
    </w:p>
    <w:p w:rsidR="00907180" w:rsidRPr="006D30D1" w:rsidRDefault="00907180">
      <w:pPr>
        <w:pBdr>
          <w:top w:val="nil"/>
          <w:left w:val="nil"/>
          <w:bottom w:val="nil"/>
          <w:right w:val="nil"/>
          <w:between w:val="nil"/>
        </w:pBdr>
        <w:ind w:left="567" w:right="-929"/>
        <w:jc w:val="center"/>
        <w:rPr>
          <w:rFonts w:ascii="Palatino Linotype" w:eastAsia="Palatino Linotype" w:hAnsi="Palatino Linotype" w:cs="Palatino Linotyp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b/>
          <w:color w:val="000000"/>
        </w:rPr>
        <w:lastRenderedPageBreak/>
        <w:t>diecinueve de febrero de dos mil veinticinco</w:t>
      </w:r>
      <w:r w:rsidRPr="006D30D1">
        <w:rPr>
          <w:rFonts w:ascii="Palatino Linotype" w:eastAsia="Palatino Linotype" w:hAnsi="Palatino Linotype" w:cs="Palatino Linotype"/>
          <w:color w:val="000000"/>
        </w:rPr>
        <w:t xml:space="preserve"> se acordó ampliar el término para resolver el presente asunto.</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907180" w:rsidRPr="006D30D1" w:rsidRDefault="00907180">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07180" w:rsidRPr="006D30D1" w:rsidRDefault="00907180">
      <w:pPr>
        <w:pBdr>
          <w:top w:val="nil"/>
          <w:left w:val="nil"/>
          <w:bottom w:val="nil"/>
          <w:right w:val="nil"/>
          <w:between w:val="nil"/>
        </w:pBdr>
        <w:ind w:left="720"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07180" w:rsidRPr="006D30D1" w:rsidRDefault="00907180">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907180" w:rsidRPr="006D30D1" w:rsidRDefault="007C2B39">
      <w:pPr>
        <w:numPr>
          <w:ilvl w:val="0"/>
          <w:numId w:val="9"/>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Complejidad del </w:t>
      </w:r>
      <w:r w:rsidRPr="006D30D1">
        <w:rPr>
          <w:rFonts w:ascii="Palatino Linotype" w:eastAsia="Palatino Linotype" w:hAnsi="Palatino Linotype" w:cs="Palatino Linotype"/>
          <w:sz w:val="22"/>
          <w:szCs w:val="22"/>
        </w:rPr>
        <w:t>asunto</w:t>
      </w:r>
      <w:r w:rsidRPr="006D30D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907180" w:rsidRPr="006D30D1" w:rsidRDefault="007C2B39">
      <w:pPr>
        <w:numPr>
          <w:ilvl w:val="0"/>
          <w:numId w:val="9"/>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lastRenderedPageBreak/>
        <w:t>Actividad Procesal del interesado. Acciones u omisiones del interesado.</w:t>
      </w:r>
    </w:p>
    <w:p w:rsidR="00907180" w:rsidRPr="006D30D1" w:rsidRDefault="007C2B39">
      <w:pPr>
        <w:numPr>
          <w:ilvl w:val="0"/>
          <w:numId w:val="9"/>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907180" w:rsidRPr="006D30D1" w:rsidRDefault="007C2B39">
      <w:pPr>
        <w:spacing w:line="360" w:lineRule="auto"/>
        <w:ind w:left="851" w:right="-220" w:hanging="284"/>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907180" w:rsidRPr="006D30D1" w:rsidRDefault="00907180">
      <w:pPr>
        <w:spacing w:line="360" w:lineRule="auto"/>
        <w:ind w:left="851" w:right="-929" w:hanging="284"/>
        <w:jc w:val="both"/>
        <w:rPr>
          <w:rFonts w:ascii="Palatino Linotype" w:eastAsia="Palatino Linotype" w:hAnsi="Palatino Linotype" w:cs="Palatino Linotyp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07180" w:rsidRPr="006D30D1" w:rsidRDefault="00907180">
      <w:pPr>
        <w:pBdr>
          <w:top w:val="nil"/>
          <w:left w:val="nil"/>
          <w:bottom w:val="nil"/>
          <w:right w:val="nil"/>
          <w:between w:val="nil"/>
        </w:pBdr>
        <w:spacing w:line="360" w:lineRule="auto"/>
        <w:ind w:right="-929"/>
        <w:jc w:val="both"/>
        <w:rPr>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r w:rsidRPr="006D30D1">
        <w:rPr>
          <w:rFonts w:ascii="Palatino Linotype" w:eastAsia="Palatino Linotype" w:hAnsi="Palatino Linotype" w:cs="Palatino Linotype"/>
          <w:color w:val="000000"/>
        </w:rPr>
        <w:t>Argumento que encuentra sustento en la jurisprudencia P</w:t>
      </w:r>
      <w:proofErr w:type="gramStart"/>
      <w:r w:rsidRPr="006D30D1">
        <w:rPr>
          <w:rFonts w:ascii="Palatino Linotype" w:eastAsia="Palatino Linotype" w:hAnsi="Palatino Linotype" w:cs="Palatino Linotype"/>
          <w:color w:val="000000"/>
        </w:rPr>
        <w:t>./</w:t>
      </w:r>
      <w:proofErr w:type="gramEnd"/>
      <w:r w:rsidRPr="006D30D1">
        <w:rPr>
          <w:rFonts w:ascii="Palatino Linotype" w:eastAsia="Palatino Linotype" w:hAnsi="Palatino Linotype" w:cs="Palatino Linotype"/>
          <w:color w:val="000000"/>
        </w:rPr>
        <w:t xml:space="preserve">J. 32/92 emitida por el Pleno de la Suprema Corte de Justicia de la Nación </w:t>
      </w:r>
      <w:r w:rsidRPr="006D30D1">
        <w:rPr>
          <w:rFonts w:ascii="Palatino Linotype" w:eastAsia="Palatino Linotype" w:hAnsi="Palatino Linotype" w:cs="Palatino Linotype"/>
        </w:rPr>
        <w:t>del rubro</w:t>
      </w:r>
      <w:r w:rsidRPr="006D30D1">
        <w:rPr>
          <w:rFonts w:ascii="Palatino Linotype" w:eastAsia="Palatino Linotype" w:hAnsi="Palatino Linotype" w:cs="Palatino Linotype"/>
          <w:color w:val="000000"/>
        </w:rPr>
        <w:t xml:space="preserve"> </w:t>
      </w:r>
      <w:r w:rsidRPr="006D30D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6D30D1">
        <w:rPr>
          <w:rFonts w:ascii="Palatino Linotype" w:eastAsia="Palatino Linotype" w:hAnsi="Palatino Linotype" w:cs="Palatino Linotype"/>
          <w:color w:val="000000"/>
        </w:rPr>
        <w:t xml:space="preserve">, visible en la Gaceta del </w:t>
      </w:r>
      <w:r w:rsidRPr="006D30D1">
        <w:rPr>
          <w:rFonts w:ascii="Palatino Linotype" w:eastAsia="Palatino Linotype" w:hAnsi="Palatino Linotype" w:cs="Palatino Linotype"/>
        </w:rPr>
        <w:t>Semanario</w:t>
      </w:r>
      <w:r w:rsidRPr="006D30D1">
        <w:rPr>
          <w:rFonts w:ascii="Palatino Linotype" w:eastAsia="Palatino Linotype" w:hAnsi="Palatino Linotype" w:cs="Palatino Linotype"/>
          <w:color w:val="000000"/>
        </w:rPr>
        <w:t xml:space="preserve"> Judicial de la Federación con el registro digital 205635.</w:t>
      </w:r>
    </w:p>
    <w:p w:rsidR="00907180" w:rsidRPr="006D30D1" w:rsidRDefault="00907180">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bookmarkStart w:id="4" w:name="_heading=h.3znysh7" w:colFirst="0" w:colLast="0"/>
      <w:bookmarkEnd w:id="4"/>
      <w:r w:rsidRPr="006D30D1">
        <w:rPr>
          <w:rFonts w:ascii="Palatino Linotype" w:eastAsia="Palatino Linotype" w:hAnsi="Palatino Linotype" w:cs="Palatino Linotype"/>
          <w:color w:val="000000"/>
        </w:rPr>
        <w:t xml:space="preserve">Seguidamente, en fecha </w:t>
      </w:r>
      <w:r w:rsidRPr="006D30D1">
        <w:rPr>
          <w:rFonts w:ascii="Palatino Linotype" w:eastAsia="Palatino Linotype" w:hAnsi="Palatino Linotype" w:cs="Palatino Linotype"/>
          <w:b/>
          <w:color w:val="000000"/>
        </w:rPr>
        <w:t>diecinueve de febrero de dos mil veinticinco</w:t>
      </w:r>
      <w:r w:rsidRPr="006D30D1">
        <w:rPr>
          <w:rFonts w:ascii="Palatino Linotype" w:eastAsia="Palatino Linotype" w:hAnsi="Palatino Linotype" w:cs="Palatino Linotype"/>
          <w:color w:val="000000"/>
        </w:rPr>
        <w:t xml:space="preserve">, la Comisionada Ponente dictó el </w:t>
      </w:r>
      <w:r w:rsidRPr="006D30D1">
        <w:rPr>
          <w:rFonts w:ascii="Palatino Linotype" w:eastAsia="Palatino Linotype" w:hAnsi="Palatino Linotype" w:cs="Palatino Linotype"/>
          <w:b/>
          <w:color w:val="000000"/>
        </w:rPr>
        <w:t>cierre del periodo de instrucción</w:t>
      </w:r>
      <w:r w:rsidRPr="006D30D1">
        <w:rPr>
          <w:rFonts w:ascii="Palatino Linotype" w:eastAsia="Palatino Linotype" w:hAnsi="Palatino Linotype" w:cs="Palatino Linotype"/>
          <w:color w:val="000000"/>
        </w:rPr>
        <w:t xml:space="preserve"> y, ordenó la resolución que conforme a Derecho proceda.</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rsidR="00907180" w:rsidRPr="006D30D1" w:rsidRDefault="007C2B39">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6D30D1">
        <w:rPr>
          <w:rFonts w:ascii="Palatino Linotype" w:eastAsia="Palatino Linotype" w:hAnsi="Palatino Linotype" w:cs="Palatino Linotype"/>
          <w:b/>
          <w:color w:val="000000"/>
        </w:rPr>
        <w:t>C O N S I D E R A C I O N E S</w:t>
      </w:r>
    </w:p>
    <w:p w:rsidR="00907180" w:rsidRPr="006D30D1" w:rsidRDefault="00907180">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rsidR="00907180" w:rsidRPr="006D30D1" w:rsidRDefault="007C2B39">
      <w:pPr>
        <w:pStyle w:val="Ttulo2"/>
        <w:spacing w:before="0" w:line="360" w:lineRule="auto"/>
        <w:ind w:right="-929"/>
        <w:rPr>
          <w:rFonts w:ascii="Palatino Linotype" w:eastAsia="Palatino Linotype" w:hAnsi="Palatino Linotype" w:cs="Palatino Linotype"/>
          <w:b/>
          <w:color w:val="000000"/>
          <w:sz w:val="24"/>
          <w:szCs w:val="24"/>
        </w:rPr>
      </w:pPr>
      <w:bookmarkStart w:id="5" w:name="_heading=h.2et92p0" w:colFirst="0" w:colLast="0"/>
      <w:bookmarkEnd w:id="5"/>
      <w:r w:rsidRPr="006D30D1">
        <w:rPr>
          <w:rFonts w:ascii="Palatino Linotype" w:eastAsia="Palatino Linotype" w:hAnsi="Palatino Linotype" w:cs="Palatino Linotype"/>
          <w:b/>
          <w:color w:val="000000"/>
          <w:sz w:val="24"/>
          <w:szCs w:val="24"/>
        </w:rPr>
        <w:lastRenderedPageBreak/>
        <w:t>PRIMERA. Competencia</w:t>
      </w: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rsidR="00907180" w:rsidRPr="006D30D1" w:rsidRDefault="007C2B39">
      <w:pPr>
        <w:pStyle w:val="Ttulo2"/>
        <w:spacing w:before="0" w:line="360" w:lineRule="auto"/>
        <w:ind w:right="-929"/>
        <w:rPr>
          <w:rFonts w:ascii="Palatino Linotype" w:eastAsia="Palatino Linotype" w:hAnsi="Palatino Linotype" w:cs="Palatino Linotype"/>
          <w:b/>
          <w:color w:val="000000"/>
          <w:sz w:val="24"/>
          <w:szCs w:val="24"/>
        </w:rPr>
      </w:pPr>
      <w:bookmarkStart w:id="6" w:name="_heading=h.tyjcwt" w:colFirst="0" w:colLast="0"/>
      <w:bookmarkEnd w:id="6"/>
      <w:r w:rsidRPr="006D30D1">
        <w:rPr>
          <w:rFonts w:ascii="Palatino Linotype" w:eastAsia="Palatino Linotype" w:hAnsi="Palatino Linotype" w:cs="Palatino Linotype"/>
          <w:b/>
          <w:color w:val="000000"/>
          <w:sz w:val="24"/>
          <w:szCs w:val="24"/>
        </w:rPr>
        <w:t>SEGUNDA. Procedencia</w:t>
      </w: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 xml:space="preserve">Este Órgano Garante considera que el medio de impugnación reúne los requisitos de procedencia </w:t>
      </w:r>
      <w:r w:rsidRPr="006D30D1">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907180" w:rsidRPr="006D30D1" w:rsidRDefault="00907180">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rsidR="00907180" w:rsidRPr="006D30D1" w:rsidRDefault="007C2B39">
      <w:pPr>
        <w:pStyle w:val="Ttulo1"/>
        <w:spacing w:before="0" w:line="360" w:lineRule="auto"/>
        <w:ind w:right="-929"/>
        <w:rPr>
          <w:rFonts w:ascii="Palatino Linotype" w:eastAsia="Palatino Linotype" w:hAnsi="Palatino Linotype" w:cs="Palatino Linotype"/>
          <w:b/>
          <w:color w:val="000000"/>
          <w:sz w:val="24"/>
          <w:szCs w:val="24"/>
        </w:rPr>
      </w:pPr>
      <w:bookmarkStart w:id="7" w:name="_heading=h.3dy6vkm" w:colFirst="0" w:colLast="0"/>
      <w:bookmarkEnd w:id="7"/>
      <w:r w:rsidRPr="006D30D1">
        <w:rPr>
          <w:rFonts w:ascii="Palatino Linotype" w:eastAsia="Palatino Linotype" w:hAnsi="Palatino Linotype" w:cs="Palatino Linotype"/>
          <w:b/>
          <w:color w:val="000000"/>
          <w:sz w:val="24"/>
          <w:szCs w:val="24"/>
        </w:rPr>
        <w:t>TERCERA. Descripción de hechos y planteamiento de la controversia.</w:t>
      </w: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Se solicitó tener acceso, a la información que a continuación se describe:</w:t>
      </w:r>
    </w:p>
    <w:p w:rsidR="00907180" w:rsidRPr="006D30D1" w:rsidRDefault="007C2B39">
      <w:pPr>
        <w:numPr>
          <w:ilvl w:val="0"/>
          <w:numId w:val="4"/>
        </w:numPr>
        <w:pBdr>
          <w:top w:val="nil"/>
          <w:left w:val="nil"/>
          <w:bottom w:val="nil"/>
          <w:right w:val="nil"/>
          <w:between w:val="nil"/>
        </w:pBdr>
        <w:spacing w:line="360" w:lineRule="auto"/>
        <w:ind w:left="1276" w:right="-79"/>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Catálogo de proveedores vigente al 10 de junio de 2024.</w:t>
      </w:r>
    </w:p>
    <w:p w:rsidR="00907180" w:rsidRPr="006D30D1" w:rsidRDefault="007C2B39">
      <w:pPr>
        <w:pBdr>
          <w:top w:val="nil"/>
          <w:left w:val="nil"/>
          <w:bottom w:val="nil"/>
          <w:right w:val="nil"/>
          <w:between w:val="nil"/>
        </w:pBdr>
        <w:spacing w:line="360" w:lineRule="auto"/>
        <w:ind w:left="916" w:right="-79"/>
        <w:jc w:val="both"/>
        <w:rPr>
          <w:rFonts w:ascii="Palatino Linotype" w:eastAsia="Palatino Linotype" w:hAnsi="Palatino Linotype" w:cs="Palatino Linotype"/>
          <w:i/>
          <w:color w:val="000000"/>
          <w:sz w:val="22"/>
          <w:szCs w:val="22"/>
          <w:u w:val="single"/>
        </w:rPr>
      </w:pPr>
      <w:r w:rsidRPr="006D30D1">
        <w:rPr>
          <w:rFonts w:ascii="Palatino Linotype" w:eastAsia="Palatino Linotype" w:hAnsi="Palatino Linotype" w:cs="Palatino Linotype"/>
          <w:i/>
          <w:color w:val="000000"/>
          <w:sz w:val="22"/>
          <w:szCs w:val="22"/>
          <w:u w:val="single"/>
        </w:rPr>
        <w:t>De los ejercicios fiscales 2022, 2023 y 2024 (del 01 de enero al 10 de junio de 2024).</w:t>
      </w:r>
    </w:p>
    <w:p w:rsidR="00907180" w:rsidRPr="006D30D1" w:rsidRDefault="007C2B39">
      <w:pPr>
        <w:numPr>
          <w:ilvl w:val="0"/>
          <w:numId w:val="4"/>
        </w:numPr>
        <w:pBdr>
          <w:top w:val="nil"/>
          <w:left w:val="nil"/>
          <w:bottom w:val="nil"/>
          <w:right w:val="nil"/>
          <w:between w:val="nil"/>
        </w:pBdr>
        <w:spacing w:line="360" w:lineRule="auto"/>
        <w:ind w:left="1276" w:right="-79"/>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Actas del comité de adquisiciones y servicios.</w:t>
      </w:r>
    </w:p>
    <w:p w:rsidR="00907180" w:rsidRPr="006D30D1" w:rsidRDefault="007C2B39">
      <w:pPr>
        <w:numPr>
          <w:ilvl w:val="0"/>
          <w:numId w:val="4"/>
        </w:numPr>
        <w:pBdr>
          <w:top w:val="nil"/>
          <w:left w:val="nil"/>
          <w:bottom w:val="nil"/>
          <w:right w:val="nil"/>
          <w:between w:val="nil"/>
        </w:pBdr>
        <w:spacing w:line="360" w:lineRule="auto"/>
        <w:ind w:left="1276" w:right="-79"/>
        <w:jc w:val="both"/>
        <w:rPr>
          <w:rFonts w:ascii="Palatino Linotype" w:eastAsia="Palatino Linotype" w:hAnsi="Palatino Linotype" w:cs="Palatino Linotype"/>
          <w:b/>
          <w:color w:val="000000"/>
          <w:sz w:val="22"/>
          <w:szCs w:val="22"/>
        </w:rPr>
      </w:pPr>
      <w:r w:rsidRPr="006D30D1">
        <w:rPr>
          <w:rFonts w:ascii="Palatino Linotype" w:eastAsia="Palatino Linotype" w:hAnsi="Palatino Linotype" w:cs="Palatino Linotype"/>
          <w:i/>
          <w:color w:val="000000"/>
          <w:sz w:val="22"/>
          <w:szCs w:val="22"/>
        </w:rPr>
        <w:t xml:space="preserve">Actas del comité de arredramientos, adquisición de inmuebles y enajenaciones. </w:t>
      </w:r>
    </w:p>
    <w:p w:rsidR="00907180" w:rsidRPr="006D30D1" w:rsidRDefault="007C2B39">
      <w:pPr>
        <w:numPr>
          <w:ilvl w:val="0"/>
          <w:numId w:val="4"/>
        </w:numPr>
        <w:pBdr>
          <w:top w:val="nil"/>
          <w:left w:val="nil"/>
          <w:bottom w:val="nil"/>
          <w:right w:val="nil"/>
          <w:between w:val="nil"/>
        </w:pBdr>
        <w:spacing w:line="360" w:lineRule="auto"/>
        <w:ind w:left="1276" w:right="-79"/>
        <w:jc w:val="both"/>
        <w:rPr>
          <w:rFonts w:ascii="Palatino Linotype" w:eastAsia="Palatino Linotype" w:hAnsi="Palatino Linotype" w:cs="Palatino Linotype"/>
          <w:b/>
          <w:color w:val="000000"/>
          <w:sz w:val="22"/>
          <w:szCs w:val="22"/>
        </w:rPr>
      </w:pPr>
      <w:r w:rsidRPr="006D30D1">
        <w:rPr>
          <w:rFonts w:ascii="Palatino Linotype" w:eastAsia="Palatino Linotype" w:hAnsi="Palatino Linotype" w:cs="Palatino Linotype"/>
          <w:i/>
          <w:color w:val="000000"/>
          <w:sz w:val="22"/>
          <w:szCs w:val="22"/>
        </w:rPr>
        <w:t>Actas del comité de obra pública.</w:t>
      </w:r>
    </w:p>
    <w:p w:rsidR="00907180" w:rsidRPr="006D30D1" w:rsidRDefault="00907180">
      <w:pPr>
        <w:pBdr>
          <w:top w:val="nil"/>
          <w:left w:val="nil"/>
          <w:bottom w:val="nil"/>
          <w:right w:val="nil"/>
          <w:between w:val="nil"/>
        </w:pBdr>
        <w:spacing w:line="360" w:lineRule="auto"/>
        <w:ind w:left="1276" w:right="-929"/>
        <w:jc w:val="both"/>
        <w:rPr>
          <w:rFonts w:ascii="Palatino Linotype" w:eastAsia="Palatino Linotype" w:hAnsi="Palatino Linotype" w:cs="Palatino Linotype"/>
          <w:b/>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rPr>
        <w:t>En respuesta, el Sujeto Obligado</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remitió los archivos ya descritos en el anterior párrafo 2, inconforme con la respuesta, se interpuso Recurso de Revisión argumentando la negativa de la información.</w:t>
      </w:r>
    </w:p>
    <w:p w:rsidR="00907180" w:rsidRPr="006D30D1" w:rsidRDefault="00907180">
      <w:pPr>
        <w:spacing w:line="360" w:lineRule="auto"/>
        <w:ind w:right="-929"/>
        <w:jc w:val="both"/>
        <w:rPr>
          <w:rFonts w:ascii="Palatino Linotype" w:eastAsia="Palatino Linotype" w:hAnsi="Palatino Linotype" w:cs="Palatino Linotype"/>
          <w:i/>
          <w:color w:val="000000"/>
        </w:rPr>
      </w:pP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de la Ley de Transparencia y Acceso a la Información Pública del Estado de</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México</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y</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 xml:space="preserve">Municipios; </w:t>
      </w:r>
      <w:r w:rsidRPr="006D30D1">
        <w:rPr>
          <w:rFonts w:ascii="Palatino Linotype" w:eastAsia="Palatino Linotype" w:hAnsi="Palatino Linotype" w:cs="Palatino Linotype"/>
          <w:color w:val="000000"/>
        </w:rPr>
        <w:t xml:space="preserve">fracción que determina la hipótesis relativa a la negativa a la información solicitada; </w:t>
      </w:r>
      <w:r w:rsidRPr="006D30D1">
        <w:rPr>
          <w:rFonts w:ascii="Palatino Linotype" w:eastAsia="Palatino Linotype" w:hAnsi="Palatino Linotype" w:cs="Palatino Linotype"/>
        </w:rPr>
        <w:t>contexto del cual se dolió el Recurrente al momento de impugnar el acto.</w:t>
      </w:r>
      <w:r w:rsidRPr="006D30D1">
        <w:rPr>
          <w:rFonts w:ascii="Palatino Linotype" w:eastAsia="Palatino Linotype" w:hAnsi="Palatino Linotype" w:cs="Palatino Linotype"/>
          <w:color w:val="000000"/>
        </w:rPr>
        <w:t xml:space="preserve"> De modo tal que el presente recurso de revisión se </w:t>
      </w:r>
      <w:r w:rsidRPr="006D30D1">
        <w:rPr>
          <w:rFonts w:ascii="Palatino Linotype" w:eastAsia="Palatino Linotype" w:hAnsi="Palatino Linotype" w:cs="Palatino Linotype"/>
        </w:rPr>
        <w:t>abocará</w:t>
      </w:r>
      <w:r w:rsidRPr="006D30D1">
        <w:rPr>
          <w:rFonts w:ascii="Palatino Linotype" w:eastAsia="Palatino Linotype" w:hAnsi="Palatino Linotype" w:cs="Palatino Linotype"/>
          <w:color w:val="000000"/>
        </w:rPr>
        <w:t xml:space="preserve"> en determinar si el Sujeto Obligado con su respuesta ciertamente actualiza la causal de procedencia</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color w:val="000000"/>
        </w:rPr>
        <w:t xml:space="preserve">señalada. </w:t>
      </w:r>
    </w:p>
    <w:p w:rsidR="00907180" w:rsidRPr="006D30D1" w:rsidRDefault="00907180">
      <w:pPr>
        <w:spacing w:line="360" w:lineRule="auto"/>
        <w:ind w:right="-929"/>
        <w:rPr>
          <w:rFonts w:ascii="Palatino Linotype" w:eastAsia="Palatino Linotype" w:hAnsi="Palatino Linotype" w:cs="Palatino Linotype"/>
        </w:rPr>
      </w:pPr>
    </w:p>
    <w:p w:rsidR="00907180" w:rsidRPr="006D30D1" w:rsidRDefault="007C2B39">
      <w:pPr>
        <w:pStyle w:val="Ttulo2"/>
        <w:spacing w:before="0" w:line="360" w:lineRule="auto"/>
        <w:ind w:right="-929"/>
        <w:rPr>
          <w:rFonts w:ascii="Palatino Linotype" w:eastAsia="Palatino Linotype" w:hAnsi="Palatino Linotype" w:cs="Palatino Linotype"/>
          <w:b/>
          <w:color w:val="000000"/>
          <w:sz w:val="24"/>
          <w:szCs w:val="24"/>
        </w:rPr>
      </w:pPr>
      <w:bookmarkStart w:id="8" w:name="_heading=h.1t3h5sf" w:colFirst="0" w:colLast="0"/>
      <w:bookmarkEnd w:id="8"/>
      <w:r w:rsidRPr="006D30D1">
        <w:rPr>
          <w:rFonts w:ascii="Palatino Linotype" w:eastAsia="Palatino Linotype" w:hAnsi="Palatino Linotype" w:cs="Palatino Linotype"/>
          <w:b/>
          <w:color w:val="000000"/>
          <w:sz w:val="24"/>
          <w:szCs w:val="24"/>
        </w:rPr>
        <w:t>CUARTA. Estudio de la controversia.</w:t>
      </w: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w:t>
      </w:r>
      <w:r w:rsidRPr="006D30D1">
        <w:rPr>
          <w:rFonts w:ascii="Palatino Linotype" w:eastAsia="Palatino Linotype" w:hAnsi="Palatino Linotype" w:cs="Palatino Linotype"/>
        </w:rPr>
        <w:lastRenderedPageBreak/>
        <w:t>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07180" w:rsidRPr="006D30D1" w:rsidRDefault="00907180">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5"/>
        </w:numPr>
        <w:pBdr>
          <w:top w:val="nil"/>
          <w:left w:val="nil"/>
          <w:bottom w:val="nil"/>
          <w:right w:val="nil"/>
          <w:between w:val="nil"/>
        </w:pBdr>
        <w:spacing w:line="360" w:lineRule="auto"/>
        <w:ind w:right="-929"/>
        <w:rPr>
          <w:rFonts w:ascii="Palatino Linotype" w:eastAsia="Palatino Linotype" w:hAnsi="Palatino Linotype" w:cs="Palatino Linotype"/>
          <w:b/>
          <w:color w:val="000000"/>
        </w:rPr>
      </w:pPr>
      <w:r w:rsidRPr="006D30D1">
        <w:rPr>
          <w:rFonts w:ascii="Palatino Linotype" w:eastAsia="Palatino Linotype" w:hAnsi="Palatino Linotype" w:cs="Palatino Linotype"/>
          <w:b/>
          <w:color w:val="000000"/>
        </w:rPr>
        <w:lastRenderedPageBreak/>
        <w:t>Del Sujeto Obligado.</w:t>
      </w: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Conforme al Bando Municipal 2024, artículo 92, numerales 4 y 5, dentro de las Dependencias Administrativas que integran la Administración Pública Municipal, se encuentran la Dirección de Administración y la Dirección de Obras Públicas, Servicios Públicos, Alumbrado Público y Agua Potable.</w:t>
      </w:r>
    </w:p>
    <w:p w:rsidR="00907180" w:rsidRPr="006D30D1" w:rsidRDefault="00907180">
      <w:pPr>
        <w:spacing w:line="360" w:lineRule="auto"/>
        <w:ind w:right="-929"/>
        <w:jc w:val="both"/>
      </w:pPr>
    </w:p>
    <w:p w:rsidR="00907180" w:rsidRPr="006D30D1" w:rsidRDefault="007C2B39">
      <w:pPr>
        <w:numPr>
          <w:ilvl w:val="0"/>
          <w:numId w:val="1"/>
        </w:numPr>
        <w:spacing w:line="360" w:lineRule="auto"/>
        <w:ind w:left="0" w:right="-929" w:firstLine="0"/>
        <w:jc w:val="both"/>
      </w:pPr>
      <w:r w:rsidRPr="006D30D1">
        <w:rPr>
          <w:rFonts w:ascii="Palatino Linotype" w:eastAsia="Palatino Linotype" w:hAnsi="Palatino Linotype" w:cs="Palatino Linotype"/>
        </w:rPr>
        <w:t>A la Dirección de Administración le corresponde “suministrar y controlar los recursos humanos y materiales, así como los servicios generales e informáticos que requiera el Gobierno Municipal y las diferentes dependencias administrativas”, y tiene dentro de sus atribuciones las siguientes, conforme al Bando Municipal 2024, artículos 133 y 134:</w:t>
      </w:r>
    </w:p>
    <w:p w:rsidR="00907180" w:rsidRPr="006D30D1" w:rsidRDefault="007C2B39">
      <w:pPr>
        <w:ind w:left="1134" w:right="-220"/>
        <w:jc w:val="center"/>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i/>
          <w:sz w:val="22"/>
          <w:szCs w:val="22"/>
        </w:rPr>
        <w:t>Bando Municipal 2024</w:t>
      </w:r>
    </w:p>
    <w:p w:rsidR="00907180" w:rsidRPr="006D30D1" w:rsidRDefault="00907180">
      <w:pPr>
        <w:ind w:left="1134" w:right="-220"/>
        <w:jc w:val="center"/>
        <w:rPr>
          <w:rFonts w:ascii="Palatino Linotype" w:eastAsia="Palatino Linotype" w:hAnsi="Palatino Linotype" w:cs="Palatino Linotype"/>
          <w:b/>
          <w:i/>
          <w:sz w:val="22"/>
          <w:szCs w:val="22"/>
        </w:rPr>
      </w:pP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t xml:space="preserve">Artículo 134.- </w:t>
      </w:r>
      <w:r w:rsidRPr="006D30D1">
        <w:rPr>
          <w:rFonts w:ascii="Palatino Linotype" w:eastAsia="Palatino Linotype" w:hAnsi="Palatino Linotype" w:cs="Palatino Linotype"/>
          <w:i/>
          <w:sz w:val="22"/>
          <w:szCs w:val="22"/>
        </w:rPr>
        <w:t>La persona titular de la Dirección de Administración, tiene las siguientes atribuciones:</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I. Organizar, coordinar y dirigir los sistemas de reclutamiento, selección, contratación y desarrollo de personal, adquisiciones, guarda y distribución de bienes materiales y servicios generales;</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VII. Coordinar la elaboración del programa anual de adquisiciones del Ayuntamiento, con base en los lineamientos establecidos para tal efecto;</w:t>
      </w:r>
    </w:p>
    <w:p w:rsidR="00907180" w:rsidRPr="006D30D1" w:rsidRDefault="00907180">
      <w:pPr>
        <w:spacing w:line="360" w:lineRule="auto"/>
        <w:ind w:right="-929"/>
        <w:jc w:val="both"/>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La Dirección de Obras Públicas, Servicios Públicos, Alumbrado Público y Agua Potable, planeará, programará, presupuestará, adjudicará, contratará, ejecutará y controlará la obra pública y servicios relacionados con la misma, en coordinación armónica con su personal adscrito a la Dirección, y cuenta con diversas atribuciones, entre ellas las siguientes, conforme a lo establecido en el artículo 137 del Bando Municipal 2024:</w:t>
      </w:r>
    </w:p>
    <w:p w:rsidR="00907180" w:rsidRPr="006D30D1" w:rsidRDefault="007C2B39">
      <w:pPr>
        <w:ind w:left="708" w:right="-220"/>
        <w:jc w:val="center"/>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i/>
          <w:sz w:val="22"/>
          <w:szCs w:val="22"/>
        </w:rPr>
        <w:t>Bando Municipal 2024</w:t>
      </w:r>
    </w:p>
    <w:p w:rsidR="00907180" w:rsidRPr="006D30D1" w:rsidRDefault="00907180">
      <w:pPr>
        <w:ind w:left="708" w:right="-220"/>
        <w:jc w:val="center"/>
        <w:rPr>
          <w:rFonts w:ascii="Palatino Linotype" w:eastAsia="Palatino Linotype" w:hAnsi="Palatino Linotype" w:cs="Palatino Linotype"/>
          <w:b/>
          <w:i/>
          <w:sz w:val="22"/>
          <w:szCs w:val="22"/>
        </w:rPr>
      </w:pPr>
    </w:p>
    <w:p w:rsidR="00907180" w:rsidRPr="006D30D1" w:rsidRDefault="007C2B39">
      <w:pPr>
        <w:spacing w:line="360" w:lineRule="auto"/>
        <w:ind w:left="708"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lastRenderedPageBreak/>
        <w:t xml:space="preserve">Artículo 137.- </w:t>
      </w:r>
      <w:r w:rsidRPr="006D30D1">
        <w:rPr>
          <w:rFonts w:ascii="Palatino Linotype" w:eastAsia="Palatino Linotype" w:hAnsi="Palatino Linotype" w:cs="Palatino Linotype"/>
          <w:i/>
          <w:sz w:val="22"/>
          <w:szCs w:val="22"/>
        </w:rPr>
        <w:t>Las atribuciones que tiene el titular de la Dirección de Obras Públicas, Servicios Públicos, alumbrado Público y Agua Potable, en términos del presente Bando y demás disposiciones legales son:</w:t>
      </w:r>
    </w:p>
    <w:p w:rsidR="00907180" w:rsidRPr="006D30D1" w:rsidRDefault="007C2B39">
      <w:pPr>
        <w:spacing w:line="360" w:lineRule="auto"/>
        <w:ind w:left="708"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I. Administrar y ejercer en el ámbito de su competencia y de manera coordinada con otras áreas del Ayuntamiento, los Recursos Públicos, sean estos Federales, los cuales estarán normados por la Ley de Obras Públicas y Servicios, relacionados con la misma y su reglamento correspondiente, Estatales y Recursos Propios, los cuales estarán normados por el Libro Décimo Segundo y su Reglamento, y así cumplir la normatividad aplicable, también ser congruentes con los planes, programas, especificaciones técnicas, controles y procedimientos administrativos vigentes;</w:t>
      </w:r>
    </w:p>
    <w:p w:rsidR="00907180" w:rsidRPr="006D30D1" w:rsidRDefault="007C2B39">
      <w:pPr>
        <w:spacing w:line="360" w:lineRule="auto"/>
        <w:ind w:left="708"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w:t>
      </w:r>
    </w:p>
    <w:p w:rsidR="00907180" w:rsidRPr="006D30D1" w:rsidRDefault="007C2B39">
      <w:pPr>
        <w:spacing w:line="360" w:lineRule="auto"/>
        <w:ind w:left="708"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VI. Cuidar que, en la etapa de adjudicación y contratación, se integren todos los documentos que la normatividad nos indica, sea por adjudicación directa, Invitación Restringida o Licitación Pública;</w:t>
      </w:r>
    </w:p>
    <w:p w:rsidR="00907180" w:rsidRPr="006D30D1" w:rsidRDefault="007C2B39">
      <w:pPr>
        <w:spacing w:line="360" w:lineRule="auto"/>
        <w:ind w:left="708"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w:t>
      </w:r>
    </w:p>
    <w:p w:rsidR="00907180" w:rsidRPr="006D30D1" w:rsidRDefault="007C2B39">
      <w:pPr>
        <w:spacing w:line="360" w:lineRule="auto"/>
        <w:ind w:left="708"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XII. Todo aquello que se relacione con la obra pública.</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El ayuntamiento para el eficaz desempeño de sus funciones podrá auxiliarse de consejos, comités o cualquier otro órgano, conforme a lo establecido en los artículos 63 y 65 del Bando Municipal 2024:</w:t>
      </w:r>
    </w:p>
    <w:p w:rsidR="00907180" w:rsidRPr="006D30D1" w:rsidRDefault="007C2B39">
      <w:pPr>
        <w:tabs>
          <w:tab w:val="left" w:pos="7938"/>
        </w:tabs>
        <w:ind w:left="566" w:right="-79"/>
        <w:jc w:val="center"/>
        <w:rPr>
          <w:rFonts w:ascii="Palatino Linotype" w:eastAsia="Palatino Linotype" w:hAnsi="Palatino Linotype" w:cs="Palatino Linotype"/>
          <w:b/>
          <w:i/>
        </w:rPr>
      </w:pPr>
      <w:r w:rsidRPr="006D30D1">
        <w:rPr>
          <w:rFonts w:ascii="Palatino Linotype" w:eastAsia="Palatino Linotype" w:hAnsi="Palatino Linotype" w:cs="Palatino Linotype"/>
          <w:b/>
          <w:i/>
        </w:rPr>
        <w:t>Bando Municipal 2024</w:t>
      </w:r>
    </w:p>
    <w:p w:rsidR="00907180" w:rsidRPr="006D30D1" w:rsidRDefault="00907180">
      <w:pPr>
        <w:tabs>
          <w:tab w:val="left" w:pos="7938"/>
        </w:tabs>
        <w:ind w:left="566" w:right="-79"/>
        <w:jc w:val="center"/>
        <w:rPr>
          <w:rFonts w:ascii="Palatino Linotype" w:eastAsia="Palatino Linotype" w:hAnsi="Palatino Linotype" w:cs="Palatino Linotype"/>
          <w:b/>
          <w:i/>
        </w:rPr>
      </w:pP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b/>
          <w:i/>
        </w:rPr>
        <w:t>Artículo 63.- Para el despacho de los asuntos competencia del Municipio la Presidenta Municipal podrá constituir</w:t>
      </w:r>
      <w:r w:rsidRPr="006D30D1">
        <w:rPr>
          <w:rFonts w:ascii="Palatino Linotype" w:eastAsia="Palatino Linotype" w:hAnsi="Palatino Linotype" w:cs="Palatino Linotype"/>
          <w:i/>
        </w:rPr>
        <w:t xml:space="preserve"> consejos, comisiones, </w:t>
      </w:r>
      <w:r w:rsidRPr="006D30D1">
        <w:rPr>
          <w:rFonts w:ascii="Palatino Linotype" w:eastAsia="Palatino Linotype" w:hAnsi="Palatino Linotype" w:cs="Palatino Linotype"/>
          <w:b/>
          <w:i/>
        </w:rPr>
        <w:t>comités</w:t>
      </w:r>
      <w:r w:rsidRPr="006D30D1">
        <w:rPr>
          <w:rFonts w:ascii="Palatino Linotype" w:eastAsia="Palatino Linotype" w:hAnsi="Palatino Linotype" w:cs="Palatino Linotype"/>
          <w:i/>
        </w:rPr>
        <w:t xml:space="preserve"> o cualquier otro órgano a propuesta de los titulares de las dependencias u organizaciones civiles, </w:t>
      </w:r>
      <w:r w:rsidRPr="006D30D1">
        <w:rPr>
          <w:rFonts w:ascii="Palatino Linotype" w:eastAsia="Palatino Linotype" w:hAnsi="Palatino Linotype" w:cs="Palatino Linotype"/>
          <w:b/>
          <w:i/>
        </w:rPr>
        <w:t>pudiendo ser permanentes o transitorios</w:t>
      </w:r>
      <w:r w:rsidRPr="006D30D1">
        <w:rPr>
          <w:rFonts w:ascii="Palatino Linotype" w:eastAsia="Palatino Linotype" w:hAnsi="Palatino Linotype" w:cs="Palatino Linotype"/>
          <w:i/>
        </w:rPr>
        <w:t>, atendiendo en todo momento el marco normativo que regule dichos consejos, comisiones, comités o cualquier otro órgano.</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w:t>
      </w:r>
    </w:p>
    <w:p w:rsidR="00907180" w:rsidRPr="006D30D1" w:rsidRDefault="00907180">
      <w:pPr>
        <w:tabs>
          <w:tab w:val="left" w:pos="7938"/>
        </w:tabs>
        <w:ind w:left="566" w:right="-79"/>
        <w:jc w:val="both"/>
        <w:rPr>
          <w:rFonts w:ascii="Palatino Linotype" w:eastAsia="Palatino Linotype" w:hAnsi="Palatino Linotype" w:cs="Palatino Linotype"/>
          <w:i/>
        </w:rPr>
      </w:pP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Artículo 65.- </w:t>
      </w:r>
      <w:r w:rsidRPr="006D30D1">
        <w:rPr>
          <w:rFonts w:ascii="Palatino Linotype" w:eastAsia="Palatino Linotype" w:hAnsi="Palatino Linotype" w:cs="Palatino Linotype"/>
          <w:b/>
          <w:i/>
        </w:rPr>
        <w:t>Además, de las comisiones que instalará y delegará</w:t>
      </w:r>
      <w:r w:rsidRPr="006D30D1">
        <w:rPr>
          <w:rFonts w:ascii="Palatino Linotype" w:eastAsia="Palatino Linotype" w:hAnsi="Palatino Linotype" w:cs="Palatino Linotype"/>
          <w:i/>
        </w:rPr>
        <w:t xml:space="preserve"> el Ayuntamiento y de los Consejos de Participación Ciudadana, tanto en la Cabecera Municipal, como en cada una de las localidades</w:t>
      </w:r>
      <w:r w:rsidRPr="006D30D1">
        <w:rPr>
          <w:rFonts w:ascii="Palatino Linotype" w:eastAsia="Palatino Linotype" w:hAnsi="Palatino Linotype" w:cs="Palatino Linotype"/>
          <w:b/>
          <w:i/>
        </w:rPr>
        <w:t>, el Ayuntamiento promoverá y validará la creación y funcionamiento, por lo menos de los siguientes comités</w:t>
      </w:r>
      <w:r w:rsidRPr="006D30D1">
        <w:rPr>
          <w:rFonts w:ascii="Palatino Linotype" w:eastAsia="Palatino Linotype" w:hAnsi="Palatino Linotype" w:cs="Palatino Linotype"/>
          <w:i/>
        </w:rPr>
        <w:t xml:space="preserve"> o consejos </w:t>
      </w:r>
      <w:r w:rsidRPr="006D30D1">
        <w:rPr>
          <w:rFonts w:ascii="Palatino Linotype" w:eastAsia="Palatino Linotype" w:hAnsi="Palatino Linotype" w:cs="Palatino Linotype"/>
          <w:b/>
          <w:i/>
        </w:rPr>
        <w:t>municipales</w:t>
      </w:r>
      <w:r w:rsidRPr="006D30D1">
        <w:rPr>
          <w:rFonts w:ascii="Palatino Linotype" w:eastAsia="Palatino Linotype" w:hAnsi="Palatino Linotype" w:cs="Palatino Linotype"/>
          <w:i/>
        </w:rPr>
        <w:t xml:space="preserve">: </w:t>
      </w:r>
    </w:p>
    <w:p w:rsidR="00907180" w:rsidRPr="006D30D1" w:rsidRDefault="00907180">
      <w:pPr>
        <w:tabs>
          <w:tab w:val="left" w:pos="7938"/>
        </w:tabs>
        <w:ind w:left="566" w:right="-79"/>
        <w:jc w:val="both"/>
        <w:rPr>
          <w:rFonts w:ascii="Palatino Linotype" w:eastAsia="Palatino Linotype" w:hAnsi="Palatino Linotype" w:cs="Palatino Linotype"/>
          <w:i/>
        </w:rPr>
      </w:pP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1. Consejo de Seguridad Pública;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2. Consejo de Protección Civil;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3. Consejo de Protección a la Biodiversidad;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4. Consejo de Planeación para el Desarrollo Económico;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5. Consejo para el Desarrollo Rural Sustentable;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6. Comisión de Mejora Regulatoria;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7. Consejo de Planeación y Desarrollo Urbano;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8. Consejo de Prevención y Control de Crecimiento Urbano;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9. Consejo Municipal para la Prevención del Delito;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10. Consejo de Población;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11. Comité de Transparencia; </w:t>
      </w:r>
    </w:p>
    <w:p w:rsidR="00907180" w:rsidRPr="006D30D1" w:rsidRDefault="007C2B39">
      <w:pPr>
        <w:tabs>
          <w:tab w:val="left" w:pos="7938"/>
        </w:tabs>
        <w:ind w:left="566" w:right="-79"/>
        <w:jc w:val="both"/>
        <w:rPr>
          <w:rFonts w:ascii="Palatino Linotype" w:eastAsia="Palatino Linotype" w:hAnsi="Palatino Linotype" w:cs="Palatino Linotype"/>
          <w:b/>
          <w:i/>
        </w:rPr>
      </w:pPr>
      <w:r w:rsidRPr="006D30D1">
        <w:rPr>
          <w:rFonts w:ascii="Palatino Linotype" w:eastAsia="Palatino Linotype" w:hAnsi="Palatino Linotype" w:cs="Palatino Linotype"/>
          <w:b/>
          <w:i/>
        </w:rPr>
        <w:t xml:space="preserve">12. Comité de Bienes Muebles e Inmuebles; </w:t>
      </w:r>
    </w:p>
    <w:p w:rsidR="00907180" w:rsidRPr="006D30D1" w:rsidRDefault="007C2B39">
      <w:pPr>
        <w:tabs>
          <w:tab w:val="left" w:pos="7938"/>
        </w:tabs>
        <w:ind w:left="566" w:right="-79"/>
        <w:jc w:val="both"/>
        <w:rPr>
          <w:rFonts w:ascii="Palatino Linotype" w:eastAsia="Palatino Linotype" w:hAnsi="Palatino Linotype" w:cs="Palatino Linotype"/>
          <w:b/>
          <w:i/>
        </w:rPr>
      </w:pPr>
      <w:r w:rsidRPr="006D30D1">
        <w:rPr>
          <w:rFonts w:ascii="Palatino Linotype" w:eastAsia="Palatino Linotype" w:hAnsi="Palatino Linotype" w:cs="Palatino Linotype"/>
          <w:b/>
          <w:i/>
        </w:rPr>
        <w:t xml:space="preserve">13. Comité de Obra Pública; </w:t>
      </w:r>
    </w:p>
    <w:p w:rsidR="00907180" w:rsidRPr="006D30D1" w:rsidRDefault="007C2B39">
      <w:pPr>
        <w:tabs>
          <w:tab w:val="left" w:pos="7938"/>
        </w:tabs>
        <w:ind w:left="566" w:right="-79"/>
        <w:jc w:val="both"/>
        <w:rPr>
          <w:rFonts w:ascii="Palatino Linotype" w:eastAsia="Palatino Linotype" w:hAnsi="Palatino Linotype" w:cs="Palatino Linotype"/>
          <w:b/>
          <w:i/>
        </w:rPr>
      </w:pPr>
      <w:r w:rsidRPr="006D30D1">
        <w:rPr>
          <w:rFonts w:ascii="Palatino Linotype" w:eastAsia="Palatino Linotype" w:hAnsi="Palatino Linotype" w:cs="Palatino Linotype"/>
          <w:b/>
          <w:i/>
        </w:rPr>
        <w:t xml:space="preserve">14. Comité de Adquisiciones y de Servicios;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 xml:space="preserve">15. Comité de Planeación para el Desarrollo Municipal; y </w:t>
      </w:r>
    </w:p>
    <w:p w:rsidR="00907180" w:rsidRPr="006D30D1" w:rsidRDefault="007C2B39">
      <w:pPr>
        <w:tabs>
          <w:tab w:val="left" w:pos="7938"/>
        </w:tabs>
        <w:ind w:left="566" w:right="-79"/>
        <w:jc w:val="both"/>
        <w:rPr>
          <w:rFonts w:ascii="Palatino Linotype" w:eastAsia="Palatino Linotype" w:hAnsi="Palatino Linotype" w:cs="Palatino Linotype"/>
          <w:i/>
        </w:rPr>
      </w:pPr>
      <w:r w:rsidRPr="006D30D1">
        <w:rPr>
          <w:rFonts w:ascii="Palatino Linotype" w:eastAsia="Palatino Linotype" w:hAnsi="Palatino Linotype" w:cs="Palatino Linotype"/>
          <w:i/>
        </w:rPr>
        <w:t>16. Todos los demás que juzgue necesarios para atender y resolver los asuntos de su competencia.</w:t>
      </w:r>
    </w:p>
    <w:p w:rsidR="00907180" w:rsidRPr="006D30D1" w:rsidRDefault="00907180">
      <w:pPr>
        <w:tabs>
          <w:tab w:val="left" w:pos="7938"/>
        </w:tabs>
        <w:ind w:left="1134" w:right="-929"/>
        <w:jc w:val="both"/>
        <w:rPr>
          <w:rFonts w:ascii="Palatino Linotype" w:eastAsia="Palatino Linotype" w:hAnsi="Palatino Linotype" w:cs="Palatino Linotype"/>
          <w:b/>
          <w:i/>
        </w:rPr>
      </w:pPr>
    </w:p>
    <w:p w:rsidR="00907180" w:rsidRPr="006D30D1" w:rsidRDefault="00907180">
      <w:pPr>
        <w:tabs>
          <w:tab w:val="left" w:pos="7938"/>
        </w:tabs>
        <w:ind w:left="1134" w:right="-929"/>
        <w:jc w:val="both"/>
        <w:rPr>
          <w:rFonts w:ascii="Palatino Linotype" w:eastAsia="Palatino Linotype" w:hAnsi="Palatino Linotype" w:cs="Palatino Linotype"/>
          <w:b/>
          <w:i/>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De lo expuesto, se presume que la información debe existir, ya que se refiere a facultades, competencias y funciones que los ordenamientos jurídicos otorgan al Sujeto Obligado. </w:t>
      </w: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Es de recordar que el Sujeto Obligado en respuesta inicial emite pronunciamiento a través de unidades administrativas competentes, como lo son la Dirección de Administración y de la Dirección de Obras Públicas, Servicios Públicos, Alumbrado Público y Agua Potable, por lo que podemos advertir que </w:t>
      </w:r>
      <w:r w:rsidRPr="006D30D1">
        <w:rPr>
          <w:rFonts w:ascii="Palatino Linotype" w:eastAsia="Palatino Linotype" w:hAnsi="Palatino Linotype" w:cs="Palatino Linotype"/>
          <w:b/>
        </w:rPr>
        <w:t xml:space="preserve">EL SUJETO OBLIGADO </w:t>
      </w:r>
      <w:r w:rsidRPr="006D30D1">
        <w:rPr>
          <w:rFonts w:ascii="Palatino Linotype" w:eastAsia="Palatino Linotype" w:hAnsi="Palatino Linotype" w:cs="Palatino Linotype"/>
        </w:rPr>
        <w:t xml:space="preserve">siguió el procedimiento inmerso en la normatividad aplicable, ya que turnó los requerimientos de información a las unidades </w:t>
      </w:r>
      <w:r w:rsidRPr="006D30D1">
        <w:rPr>
          <w:rFonts w:ascii="Palatino Linotype" w:eastAsia="Palatino Linotype" w:hAnsi="Palatino Linotype" w:cs="Palatino Linotype"/>
        </w:rPr>
        <w:lastRenderedPageBreak/>
        <w:t>administrativas competentes,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t>XXXIX.</w:t>
      </w:r>
      <w:r w:rsidRPr="006D30D1">
        <w:rPr>
          <w:rFonts w:ascii="Palatino Linotype" w:eastAsia="Palatino Linotype" w:hAnsi="Palatino Linotype" w:cs="Palatino Linotype"/>
          <w:i/>
          <w:sz w:val="22"/>
          <w:szCs w:val="22"/>
        </w:rPr>
        <w:t xml:space="preserve"> </w:t>
      </w:r>
      <w:r w:rsidRPr="006D30D1">
        <w:rPr>
          <w:rFonts w:ascii="Palatino Linotype" w:eastAsia="Palatino Linotype" w:hAnsi="Palatino Linotype" w:cs="Palatino Linotype"/>
          <w:b/>
          <w:i/>
          <w:sz w:val="22"/>
          <w:szCs w:val="22"/>
        </w:rPr>
        <w:t>Servidor público habilitado</w:t>
      </w:r>
      <w:r w:rsidRPr="006D30D1">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w:t>
      </w:r>
      <w:r w:rsidRPr="006D30D1">
        <w:rPr>
          <w:rFonts w:ascii="Palatino Linotype" w:eastAsia="Palatino Linotype" w:hAnsi="Palatino Linotype" w:cs="Palatino Linotype"/>
          <w:b/>
          <w:i/>
          <w:sz w:val="22"/>
          <w:szCs w:val="22"/>
        </w:rPr>
        <w:t>Artículo 162.</w:t>
      </w:r>
      <w:r w:rsidRPr="006D30D1">
        <w:rPr>
          <w:rFonts w:ascii="Palatino Linotype" w:eastAsia="Palatino Linotype" w:hAnsi="Palatino Linotype" w:cs="Palatino Linotype"/>
          <w:i/>
          <w:sz w:val="22"/>
          <w:szCs w:val="22"/>
        </w:rPr>
        <w:t xml:space="preserve"> Las unidades de transparencia deberán garantizar que las solicitudes se turnen a </w:t>
      </w:r>
      <w:r w:rsidRPr="006D30D1">
        <w:rPr>
          <w:rFonts w:ascii="Palatino Linotype" w:eastAsia="Palatino Linotype" w:hAnsi="Palatino Linotype" w:cs="Palatino Linotype"/>
          <w:b/>
          <w:i/>
          <w:sz w:val="22"/>
          <w:szCs w:val="22"/>
        </w:rPr>
        <w:t>todas las Áreas competentes</w:t>
      </w:r>
      <w:r w:rsidRPr="006D30D1">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Es de señalar que de la respuesta emitida por las unidades administrativas competentes el particular se dolió argumentando la negativa de la información solicitada; posteriormente, tanto el recurrente como el Sujeto Obligado omitieron realizar manifestaciones que a su derecho conviniera y asistiera, así como rendir Informe Justificado.</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En lo que respecta al punto de solicitud referente al </w:t>
      </w:r>
      <w:r w:rsidRPr="006D30D1">
        <w:rPr>
          <w:rFonts w:ascii="Palatino Linotype" w:eastAsia="Palatino Linotype" w:hAnsi="Palatino Linotype" w:cs="Palatino Linotype"/>
          <w:b/>
        </w:rPr>
        <w:t>catálogo de proveedores</w:t>
      </w:r>
      <w:r w:rsidRPr="006D30D1">
        <w:rPr>
          <w:rFonts w:ascii="Palatino Linotype" w:eastAsia="Palatino Linotype" w:hAnsi="Palatino Linotype" w:cs="Palatino Linotype"/>
        </w:rPr>
        <w:t>, el Sujeto Obligado respondió que él mismo se encuentra publicado en el portal de IPOMEX, señalando un link en dato cerrado, tal como se muestra en la imagen siguiente:</w:t>
      </w:r>
    </w:p>
    <w:p w:rsidR="00907180" w:rsidRPr="006D30D1" w:rsidRDefault="007C2B39">
      <w:pPr>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noProof/>
          <w:lang w:val="es-MX" w:eastAsia="es-MX"/>
        </w:rPr>
        <w:lastRenderedPageBreak/>
        <w:drawing>
          <wp:inline distT="0" distB="0" distL="0" distR="0">
            <wp:extent cx="5612130" cy="19431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943100"/>
                    </a:xfrm>
                    <a:prstGeom prst="rect">
                      <a:avLst/>
                    </a:prstGeom>
                    <a:ln/>
                  </pic:spPr>
                </pic:pic>
              </a:graphicData>
            </a:graphic>
          </wp:inline>
        </w:drawing>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Derivado de ello, el particular se inconformó mencionado que en dicho link no existe la información al respecto.</w:t>
      </w:r>
    </w:p>
    <w:p w:rsidR="00907180" w:rsidRPr="006D30D1" w:rsidRDefault="00907180">
      <w:pP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b/>
          <w:color w:val="000000"/>
        </w:rPr>
      </w:pPr>
      <w:r w:rsidRPr="006D30D1">
        <w:rPr>
          <w:rFonts w:ascii="Palatino Linotype" w:eastAsia="Palatino Linotype" w:hAnsi="Palatino Linotype" w:cs="Palatino Linotype"/>
          <w:b/>
          <w:color w:val="000000"/>
        </w:rPr>
        <w:t xml:space="preserve">EL SUJETO OBLIGADO,  </w:t>
      </w:r>
      <w:r w:rsidRPr="006D30D1">
        <w:rPr>
          <w:rFonts w:ascii="Palatino Linotype" w:eastAsia="Palatino Linotype" w:hAnsi="Palatino Linotype" w:cs="Palatino Linotype"/>
          <w:color w:val="000000"/>
        </w:rPr>
        <w:t xml:space="preserve">proporcionó la liga para obtener la información relativa al catálogo de proveedores en </w:t>
      </w:r>
      <w:r w:rsidRPr="006D30D1">
        <w:rPr>
          <w:rFonts w:ascii="Palatino Linotype" w:eastAsia="Palatino Linotype" w:hAnsi="Palatino Linotype" w:cs="Palatino Linotype"/>
          <w:b/>
          <w:color w:val="000000"/>
          <w:u w:val="single"/>
        </w:rPr>
        <w:t>formato cerrado</w:t>
      </w:r>
      <w:r w:rsidRPr="006D30D1">
        <w:rPr>
          <w:rFonts w:ascii="Palatino Linotype" w:eastAsia="Palatino Linotype" w:hAnsi="Palatino Linotype" w:cs="Palatino Linotype"/>
          <w:color w:val="000000"/>
        </w:rPr>
        <w:t xml:space="preserve">; es decir, que implica que se digite dato por dato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Pr="006D30D1">
        <w:rPr>
          <w:rFonts w:ascii="Palatino Linotype" w:eastAsia="Palatino Linotype" w:hAnsi="Palatino Linotype" w:cs="Palatino Linotype"/>
          <w:b/>
          <w:color w:val="000000"/>
        </w:rPr>
        <w:t>en formatos abiertos, con los efectos de facilitar la reutilización de la información.</w:t>
      </w: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Lo anterior, en acatamiento a lo estipulado en el 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sidRPr="006D30D1">
        <w:rPr>
          <w:rFonts w:ascii="Palatino Linotype" w:eastAsia="Palatino Linotype" w:hAnsi="Palatino Linotype" w:cs="Palatino Linotype"/>
          <w:b/>
          <w:color w:val="000000"/>
          <w:u w:val="single"/>
        </w:rPr>
        <w:t xml:space="preserve">se le hará saber por el medio requerido por el solicitante la fuente, el lugar y la forma en que puede consultar, reproducir o adquirir dicha información en un plazo no mayor a cinco días hábiles. La </w:t>
      </w:r>
      <w:r w:rsidRPr="006D30D1">
        <w:rPr>
          <w:rFonts w:ascii="Palatino Linotype" w:eastAsia="Palatino Linotype" w:hAnsi="Palatino Linotype" w:cs="Palatino Linotype"/>
          <w:b/>
          <w:color w:val="000000"/>
          <w:u w:val="single"/>
        </w:rPr>
        <w:lastRenderedPageBreak/>
        <w:t>fuente deberá ser precisa y concreta y no debe implicar que el solicitante realice la búsqueda en toda la información que se encuentre disponible.</w:t>
      </w:r>
    </w:p>
    <w:p w:rsidR="00907180" w:rsidRPr="006D30D1" w:rsidRDefault="00907180">
      <w:pPr>
        <w:spacing w:line="360" w:lineRule="auto"/>
        <w:ind w:right="-929"/>
        <w:jc w:val="both"/>
        <w:rPr>
          <w:rFonts w:ascii="Palatino Linotype" w:eastAsia="Palatino Linotype" w:hAnsi="Palatino Linotype" w:cs="Palatino Linotype"/>
          <w:color w:val="000000"/>
        </w:rPr>
      </w:pPr>
    </w:p>
    <w:p w:rsidR="00907180" w:rsidRPr="006D30D1" w:rsidRDefault="007C2B39" w:rsidP="005C76B0">
      <w:pPr>
        <w:numPr>
          <w:ilvl w:val="0"/>
          <w:numId w:val="1"/>
        </w:numPr>
        <w:spacing w:line="360" w:lineRule="auto"/>
        <w:ind w:left="0" w:right="-929" w:firstLine="0"/>
        <w:jc w:val="both"/>
        <w:rPr>
          <w:rFonts w:ascii="Palatino Linotype" w:eastAsia="Palatino Linotype" w:hAnsi="Palatino Linotype" w:cs="Palatino Linotype"/>
          <w:color w:val="0563C1"/>
          <w:u w:val="single"/>
          <w:lang w:val="es-MX"/>
        </w:rPr>
      </w:pPr>
      <w:r w:rsidRPr="006D30D1">
        <w:rPr>
          <w:rFonts w:ascii="Palatino Linotype" w:eastAsia="Palatino Linotype" w:hAnsi="Palatino Linotype" w:cs="Palatino Linotype"/>
          <w:color w:val="000000"/>
        </w:rPr>
        <w:t xml:space="preserve">Ahora bien, al digitar manualmente en el buscador el link </w:t>
      </w:r>
      <w:hyperlink r:id="rId10" w:history="1">
        <w:r w:rsidR="005C76B0" w:rsidRPr="006D30D1">
          <w:rPr>
            <w:rStyle w:val="Hipervnculo"/>
            <w:rFonts w:ascii="Palatino Linotype" w:eastAsia="Palatino Linotype" w:hAnsi="Palatino Linotype" w:cs="Palatino Linotype"/>
            <w:lang w:val="es-MX"/>
          </w:rPr>
          <w:t>https://www.ipomex.org.mx/ipo3/lgt/indice/MORELOS/art_92_xxxvi.web?token=03AFcWeA6WgCMsszCQXWnkUGI3H5qQgsFLBxOfGojVrdV_gZfK8_bWpfz26M7IQHBHHfmLo1Bhhr8vi9L9Lw98IYJXYjwM-cAe93OhoBQ3oZ7JdpYwta8bysoCDeOEFkbxZ5PeTPGT1kU1XT7-qjkOHDm_k6cT9-cEXeaMwisA2_K2xt2aEzIFiFcuQJyTYxVYQ203V5-QvGpyx6p_-SWvb3P72KT6u1iQdbFbwFfHHhHE5MHbAEauvKiNIIp0jbaxSwK2saTGeACj_P0P4sxran-hP5A7GiWZTr7eCgUep3jRLqMQMpVWh21sE6imFurUNsc3R1BWPva-5qy01wBWk3TqKW7nXYEZ-0moDP1i0GaPW2wTqPrAqEHYJDEJiGDiOgEiaC3dUDQbvfmHaQPo8LGIm0W4qvES6j-GGBiv5OQc0fiLoUfKqMiCbTjjdWC5-MNY6-9Ss7UtXaBT6oPC056osX3Y5nknN24CMyhe7aAKBTZBIJKmgur_6JXWnPO1ddZJ5OQz73RMvjDgnljjADSgO85_Bb4GBNLi0yeb3P6LJhQaqilMeNkiF6Vuelul41D8PJNBtEz9n6iMgrHRUny1PLMpJ_VoD7QyWnAynEl9i3_aaOw2rt_kwRwKYKtO9kits7ld1QhWWREhgx-LUBwa8EifriV7vNPu39E0ITCms37weDDLsEI</w:t>
        </w:r>
      </w:hyperlink>
      <w:r w:rsidR="005C76B0" w:rsidRPr="006D30D1">
        <w:rPr>
          <w:rFonts w:ascii="Palatino Linotype" w:eastAsia="Palatino Linotype" w:hAnsi="Palatino Linotype" w:cs="Palatino Linotype"/>
          <w:color w:val="0563C1"/>
          <w:u w:val="single"/>
          <w:lang w:val="es-MX"/>
        </w:rPr>
        <w:t xml:space="preserve"> </w:t>
      </w:r>
      <w:r w:rsidRPr="006D30D1">
        <w:rPr>
          <w:rFonts w:ascii="Palatino Linotype" w:eastAsia="Palatino Linotype" w:hAnsi="Palatino Linotype" w:cs="Palatino Linotype"/>
          <w:color w:val="000000"/>
        </w:rPr>
        <w:t xml:space="preserve">, se despliega </w:t>
      </w:r>
      <w:r w:rsidR="005C76B0" w:rsidRPr="006D30D1">
        <w:rPr>
          <w:rFonts w:ascii="Palatino Linotype" w:eastAsia="Palatino Linotype" w:hAnsi="Palatino Linotype" w:cs="Palatino Linotype"/>
          <w:color w:val="000000"/>
        </w:rPr>
        <w:t>una</w:t>
      </w:r>
      <w:r w:rsidRPr="006D30D1">
        <w:rPr>
          <w:rFonts w:ascii="Palatino Linotype" w:eastAsia="Palatino Linotype" w:hAnsi="Palatino Linotype" w:cs="Palatino Linotype"/>
          <w:color w:val="000000"/>
        </w:rPr>
        <w:t xml:space="preserve"> ventana</w:t>
      </w:r>
      <w:r w:rsidR="005C76B0" w:rsidRPr="006D30D1">
        <w:rPr>
          <w:rFonts w:ascii="Palatino Linotype" w:eastAsia="Palatino Linotype" w:hAnsi="Palatino Linotype" w:cs="Palatino Linotype"/>
          <w:color w:val="000000"/>
        </w:rPr>
        <w:t xml:space="preserve"> de la página Web de Información Pública de oficio mexiquense (IPOMEX), del Ayuntamiento de Morelos, en la que se </w:t>
      </w:r>
      <w:r w:rsidR="00806F41" w:rsidRPr="006D30D1">
        <w:rPr>
          <w:rFonts w:ascii="Palatino Linotype" w:eastAsia="Palatino Linotype" w:hAnsi="Palatino Linotype" w:cs="Palatino Linotype"/>
          <w:color w:val="000000"/>
        </w:rPr>
        <w:t>muestra</w:t>
      </w:r>
      <w:r w:rsidR="005C76B0" w:rsidRPr="006D30D1">
        <w:rPr>
          <w:rFonts w:ascii="Palatino Linotype" w:eastAsia="Palatino Linotype" w:hAnsi="Palatino Linotype" w:cs="Palatino Linotype"/>
          <w:color w:val="000000"/>
        </w:rPr>
        <w:t xml:space="preserve"> el Padrón</w:t>
      </w:r>
      <w:r w:rsidR="00806F41" w:rsidRPr="006D30D1">
        <w:rPr>
          <w:rFonts w:ascii="Palatino Linotype" w:eastAsia="Palatino Linotype" w:hAnsi="Palatino Linotype" w:cs="Palatino Linotype"/>
          <w:color w:val="000000"/>
        </w:rPr>
        <w:t xml:space="preserve"> de proveedores y contratistas</w:t>
      </w:r>
      <w:r w:rsidR="005C76B0" w:rsidRPr="006D30D1">
        <w:rPr>
          <w:rFonts w:ascii="Palatino Linotype" w:eastAsia="Palatino Linotype" w:hAnsi="Palatino Linotype" w:cs="Palatino Linotype"/>
          <w:color w:val="000000"/>
        </w:rPr>
        <w:t xml:space="preserve"> de las anualidades 2018 a 2023, tal como se muestra en la siguiente captura de pantalla</w:t>
      </w:r>
      <w:r w:rsidRPr="006D30D1">
        <w:rPr>
          <w:rFonts w:ascii="Palatino Linotype" w:eastAsia="Palatino Linotype" w:hAnsi="Palatino Linotype" w:cs="Palatino Linotype"/>
          <w:color w:val="000000"/>
        </w:rPr>
        <w:t>:</w:t>
      </w:r>
    </w:p>
    <w:p w:rsidR="00907180" w:rsidRPr="006D30D1" w:rsidRDefault="005C76B0" w:rsidP="007C2B39">
      <w:pPr>
        <w:spacing w:line="360" w:lineRule="auto"/>
        <w:ind w:right="-929"/>
        <w:jc w:val="center"/>
        <w:rPr>
          <w:rFonts w:ascii="Palatino Linotype" w:eastAsia="Palatino Linotype" w:hAnsi="Palatino Linotype" w:cs="Palatino Linotype"/>
          <w:color w:val="000000"/>
        </w:rPr>
      </w:pPr>
      <w:r w:rsidRPr="006D30D1">
        <w:rPr>
          <w:rFonts w:ascii="Palatino Linotype" w:eastAsia="Palatino Linotype" w:hAnsi="Palatino Linotype" w:cs="Palatino Linotype"/>
          <w:noProof/>
          <w:color w:val="000000"/>
          <w:lang w:val="es-MX" w:eastAsia="es-MX"/>
        </w:rPr>
        <w:lastRenderedPageBreak/>
        <w:drawing>
          <wp:inline distT="0" distB="0" distL="0" distR="0" wp14:anchorId="7A1440A1" wp14:editId="235F5E21">
            <wp:extent cx="5612130" cy="3608070"/>
            <wp:effectExtent l="152400" t="152400" r="369570" b="3543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608070"/>
                    </a:xfrm>
                    <a:prstGeom prst="rect">
                      <a:avLst/>
                    </a:prstGeom>
                    <a:ln>
                      <a:noFill/>
                    </a:ln>
                    <a:effectLst>
                      <a:outerShdw blurRad="292100" dist="139700" dir="2700000" algn="tl" rotWithShape="0">
                        <a:srgbClr val="333333">
                          <a:alpha val="65000"/>
                        </a:srgbClr>
                      </a:outerShdw>
                    </a:effectLst>
                  </pic:spPr>
                </pic:pic>
              </a:graphicData>
            </a:graphic>
          </wp:inline>
        </w:drawing>
      </w:r>
    </w:p>
    <w:p w:rsidR="007C2B39" w:rsidRPr="006D30D1" w:rsidRDefault="007C2B39" w:rsidP="007C2B39">
      <w:pPr>
        <w:spacing w:line="360" w:lineRule="auto"/>
        <w:ind w:right="-929"/>
        <w:jc w:val="center"/>
        <w:rPr>
          <w:rFonts w:ascii="Palatino Linotype" w:eastAsia="Palatino Linotype" w:hAnsi="Palatino Linotype" w:cs="Palatino Linotype"/>
          <w:color w:val="000000"/>
        </w:rPr>
      </w:pPr>
    </w:p>
    <w:p w:rsidR="005C76B0" w:rsidRPr="006D30D1" w:rsidRDefault="00806F41">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De lo anterior,</w:t>
      </w:r>
      <w:r w:rsidR="005C76B0" w:rsidRPr="006D30D1">
        <w:rPr>
          <w:rFonts w:ascii="Palatino Linotype" w:eastAsia="Palatino Linotype" w:hAnsi="Palatino Linotype" w:cs="Palatino Linotype"/>
        </w:rPr>
        <w:t xml:space="preserve"> </w:t>
      </w:r>
      <w:r w:rsidR="004252DF" w:rsidRPr="006D30D1">
        <w:rPr>
          <w:rFonts w:ascii="Palatino Linotype" w:eastAsia="Palatino Linotype" w:hAnsi="Palatino Linotype" w:cs="Palatino Linotype"/>
        </w:rPr>
        <w:t xml:space="preserve">se advierte que </w:t>
      </w:r>
      <w:r w:rsidR="005C76B0" w:rsidRPr="006D30D1">
        <w:rPr>
          <w:rFonts w:ascii="Palatino Linotype" w:eastAsia="Palatino Linotype" w:hAnsi="Palatino Linotype" w:cs="Palatino Linotype"/>
        </w:rPr>
        <w:t xml:space="preserve">la misma no se encuentra actualizada, por lo que es dable ordenar al Sujeto Obligado la información relativa a este punto, actualizada a la fecha de la solicitud de información. </w:t>
      </w:r>
    </w:p>
    <w:p w:rsidR="005C76B0" w:rsidRPr="006D30D1" w:rsidRDefault="005C76B0" w:rsidP="005C76B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En relación al </w:t>
      </w:r>
      <w:r w:rsidRPr="006D30D1">
        <w:rPr>
          <w:rFonts w:ascii="Palatino Linotype" w:eastAsia="Palatino Linotype" w:hAnsi="Palatino Linotype" w:cs="Palatino Linotype"/>
          <w:b/>
        </w:rPr>
        <w:t>catálogo de proveedores</w:t>
      </w:r>
      <w:r w:rsidRPr="006D30D1">
        <w:rPr>
          <w:rFonts w:ascii="Palatino Linotype" w:eastAsia="Palatino Linotype" w:hAnsi="Palatino Linotype" w:cs="Palatino Linotype"/>
        </w:rPr>
        <w:t>, se atrae al estudio el artículo 21, de la Ley de Contratación Pública del Estado de México y Municipios, que a la letra, señala:</w:t>
      </w:r>
    </w:p>
    <w:p w:rsidR="00907180" w:rsidRPr="006D30D1" w:rsidRDefault="007C2B39">
      <w:pPr>
        <w:ind w:left="1134" w:right="-220"/>
        <w:jc w:val="center"/>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i/>
          <w:sz w:val="22"/>
          <w:szCs w:val="22"/>
        </w:rPr>
        <w:t>Ley de Contratación Pública del Estado de México y Municipios</w:t>
      </w:r>
    </w:p>
    <w:p w:rsidR="00907180" w:rsidRPr="006D30D1" w:rsidRDefault="00907180">
      <w:pPr>
        <w:ind w:left="1134" w:right="-220"/>
        <w:jc w:val="center"/>
        <w:rPr>
          <w:rFonts w:ascii="Palatino Linotype" w:eastAsia="Palatino Linotype" w:hAnsi="Palatino Linotype" w:cs="Palatino Linotype"/>
          <w:b/>
          <w:i/>
          <w:sz w:val="22"/>
          <w:szCs w:val="22"/>
        </w:rPr>
      </w:pPr>
    </w:p>
    <w:p w:rsidR="00907180" w:rsidRPr="006D30D1" w:rsidRDefault="007C2B39">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b/>
          <w:i/>
          <w:color w:val="000000"/>
          <w:sz w:val="22"/>
          <w:szCs w:val="22"/>
        </w:rPr>
        <w:t xml:space="preserve">Artículo 21.- </w:t>
      </w:r>
      <w:r w:rsidRPr="006D30D1">
        <w:rPr>
          <w:rFonts w:ascii="Palatino Linotype" w:eastAsia="Palatino Linotype" w:hAnsi="Palatino Linotype" w:cs="Palatino Linotype"/>
          <w:i/>
          <w:color w:val="000000"/>
          <w:sz w:val="22"/>
          <w:szCs w:val="22"/>
        </w:rPr>
        <w:t xml:space="preserve">A fin de conocer la capacidad administrativa, financiera, legal y técnica de las fuentes de suministro, la Oficialía Mayor y </w:t>
      </w:r>
      <w:r w:rsidRPr="006D30D1">
        <w:rPr>
          <w:rFonts w:ascii="Palatino Linotype" w:eastAsia="Palatino Linotype" w:hAnsi="Palatino Linotype" w:cs="Palatino Linotype"/>
          <w:b/>
          <w:i/>
          <w:color w:val="000000"/>
          <w:sz w:val="22"/>
          <w:szCs w:val="22"/>
        </w:rPr>
        <w:t>los ayuntamientos integrarán un catálogo de proveedores y de prestadores de servicios</w:t>
      </w:r>
      <w:r w:rsidRPr="006D30D1">
        <w:rPr>
          <w:rFonts w:ascii="Palatino Linotype" w:eastAsia="Palatino Linotype" w:hAnsi="Palatino Linotype" w:cs="Palatino Linotype"/>
          <w:i/>
          <w:color w:val="000000"/>
          <w:sz w:val="22"/>
          <w:szCs w:val="22"/>
        </w:rPr>
        <w:t xml:space="preserve">. </w:t>
      </w:r>
    </w:p>
    <w:p w:rsidR="00907180" w:rsidRPr="006D30D1" w:rsidRDefault="00907180">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lastRenderedPageBreak/>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Gobierno Digital, los proveedores y prestadores de servicios que deseen participar en los procedimientos que deban desahogarse por conducto del COMPRAMEX. </w:t>
      </w:r>
    </w:p>
    <w:p w:rsidR="00907180" w:rsidRPr="006D30D1" w:rsidRDefault="00907180">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La falta de inscripción en dicho catálogo no limitará la libre concurrencia de los interesados a los procedimientos adquisitivos regulados por esta Ley.</w:t>
      </w:r>
    </w:p>
    <w:p w:rsidR="00907180" w:rsidRPr="006D30D1" w:rsidRDefault="00907180">
      <w:pPr>
        <w:pBdr>
          <w:top w:val="nil"/>
          <w:left w:val="nil"/>
          <w:bottom w:val="nil"/>
          <w:right w:val="nil"/>
          <w:between w:val="nil"/>
        </w:pBdr>
        <w:ind w:left="1134" w:right="-220"/>
        <w:jc w:val="both"/>
        <w:rPr>
          <w:rFonts w:ascii="Palatino Linotype" w:eastAsia="Palatino Linotype" w:hAnsi="Palatino Linotype" w:cs="Palatino Linotype"/>
          <w:i/>
          <w:sz w:val="22"/>
          <w:szCs w:val="22"/>
        </w:rPr>
      </w:pPr>
    </w:p>
    <w:p w:rsidR="00907180" w:rsidRPr="006D30D1" w:rsidRDefault="00907180">
      <w:pPr>
        <w:pBdr>
          <w:top w:val="nil"/>
          <w:left w:val="nil"/>
          <w:bottom w:val="nil"/>
          <w:right w:val="nil"/>
          <w:between w:val="nil"/>
        </w:pBdr>
        <w:ind w:left="567" w:right="-929"/>
        <w:jc w:val="both"/>
        <w:rPr>
          <w:rFonts w:ascii="Palatino Linotype" w:eastAsia="Palatino Linotype" w:hAnsi="Palatino Linotype" w:cs="Palatino Linotype"/>
          <w:b/>
          <w:i/>
          <w:color w:val="000000"/>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Como se advierte, la finalidad del catálogo de consiste en proporcionar a los entes públicos la posibilidad de conocer la capacidad administrativa, financiera, legal y técnica de las fuentes de suministro o los proveedores de bienes y servicios, no obstante, la inscripción a dicho catálogo es prerrogativa de los interesados, y la falta de ésta, no es una limitante para que puedan concurrir a los procedimientos adquisitivos.</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Adicionalmente, el artículo 92, fracción XXXVI, de la </w:t>
      </w:r>
      <w:r w:rsidR="00CD176B" w:rsidRPr="006D30D1">
        <w:rPr>
          <w:rFonts w:ascii="Palatino Linotype" w:eastAsia="Palatino Linotype" w:hAnsi="Palatino Linotype" w:cs="Palatino Linotype"/>
        </w:rPr>
        <w:t xml:space="preserve">Ley de Transparencia y Acceso a la Información Pública del Estado de México y Municipios </w:t>
      </w:r>
      <w:r w:rsidRPr="006D30D1">
        <w:rPr>
          <w:rFonts w:ascii="Palatino Linotype" w:eastAsia="Palatino Linotype" w:hAnsi="Palatino Linotype" w:cs="Palatino Linotype"/>
        </w:rPr>
        <w:t xml:space="preserve">señala la información correspondiente al </w:t>
      </w:r>
      <w:r w:rsidRPr="006D30D1">
        <w:rPr>
          <w:rFonts w:ascii="Palatino Linotype" w:eastAsia="Palatino Linotype" w:hAnsi="Palatino Linotype" w:cs="Palatino Linotype"/>
          <w:b/>
        </w:rPr>
        <w:t xml:space="preserve">Padrón de proveedores y contratistas, </w:t>
      </w:r>
      <w:r w:rsidRPr="006D30D1">
        <w:rPr>
          <w:rFonts w:ascii="Palatino Linotype" w:eastAsia="Palatino Linotype" w:hAnsi="Palatino Linotype" w:cs="Palatino Linotype"/>
        </w:rPr>
        <w:t>como una obligación de transparencia común.</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De la normatividad en cita, la integración del catálogo de proveedores y de prestadores de servicios, es una obligación para los Ayuntamientos; por lo que, el Sujeto Obligado, se encuentra constreñido a generar el documento solicitado.</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En relación a las </w:t>
      </w:r>
      <w:r w:rsidRPr="006D30D1">
        <w:rPr>
          <w:rFonts w:ascii="Palatino Linotype" w:eastAsia="Palatino Linotype" w:hAnsi="Palatino Linotype" w:cs="Palatino Linotype"/>
          <w:b/>
        </w:rPr>
        <w:t xml:space="preserve">actas de los </w:t>
      </w:r>
      <w:r w:rsidRPr="006D30D1">
        <w:rPr>
          <w:rFonts w:ascii="Palatino Linotype" w:eastAsia="Palatino Linotype" w:hAnsi="Palatino Linotype" w:cs="Palatino Linotype"/>
          <w:b/>
          <w:i/>
        </w:rPr>
        <w:t>Comités de</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b/>
          <w:i/>
          <w:color w:val="000000"/>
        </w:rPr>
        <w:t>adquisiciones y servicios; de arredramientos, adquisición de inmuebles y enajenaciones; y de obra pública</w:t>
      </w:r>
      <w:r w:rsidRPr="006D30D1">
        <w:rPr>
          <w:rFonts w:ascii="Palatino Linotype" w:eastAsia="Palatino Linotype" w:hAnsi="Palatino Linotype" w:cs="Palatino Linotype"/>
          <w:color w:val="000000"/>
        </w:rPr>
        <w:t xml:space="preserve">, la Dirección de Obras Públicas, Servicios Públicos, Alumbrado Público y Agua Potable, informa que derivado de la revisión </w:t>
      </w:r>
      <w:r w:rsidRPr="006D30D1">
        <w:rPr>
          <w:rFonts w:ascii="Palatino Linotype" w:eastAsia="Palatino Linotype" w:hAnsi="Palatino Linotype" w:cs="Palatino Linotype"/>
          <w:color w:val="000000"/>
        </w:rPr>
        <w:lastRenderedPageBreak/>
        <w:t>exhaustiva en sus archivos, no se cuenta con la información solicitada; la Dirección de Administración señaló que no existen actas bajo la denominación del requerimiento, por lo que no es posible proporcionar la información requerida.</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Es importante señalar lo que establece la Ley de Contratación Pública del Estado de México y Municipios y su Reglamento, en relación al comité de adquisiciones y de servicios y al comité de arrendamientos, adquisiciones de inmuebles y enajenaciones, lo siguiente:</w:t>
      </w:r>
    </w:p>
    <w:p w:rsidR="00907180" w:rsidRPr="006D30D1" w:rsidRDefault="007C2B39">
      <w:pPr>
        <w:ind w:left="566" w:right="-220"/>
        <w:jc w:val="center"/>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Ley de Contratación Pública del Estado de México y Municipios</w:t>
      </w:r>
    </w:p>
    <w:p w:rsidR="00907180" w:rsidRPr="006D30D1" w:rsidRDefault="007C2B39">
      <w:pPr>
        <w:ind w:left="566" w:right="-220"/>
        <w:jc w:val="center"/>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CAPÍTULO QUINTO</w:t>
      </w:r>
    </w:p>
    <w:p w:rsidR="00907180" w:rsidRPr="006D30D1" w:rsidRDefault="007C2B39">
      <w:pPr>
        <w:ind w:left="566" w:right="-220"/>
        <w:jc w:val="center"/>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DE LA INTEGRACIÓN Y FUNCIONES DE LOS COMITÉS</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Artículo 22.- </w:t>
      </w:r>
      <w:r w:rsidRPr="006D30D1">
        <w:rPr>
          <w:rFonts w:ascii="Palatino Linotype" w:eastAsia="Palatino Linotype" w:hAnsi="Palatino Linotype" w:cs="Palatino Linotype"/>
          <w:b/>
          <w:i/>
          <w:color w:val="000000"/>
          <w:sz w:val="22"/>
          <w:szCs w:val="22"/>
        </w:rPr>
        <w:t>Los comités son órganos colegiados con facultades de opinión, que tienen por objeto auxiliar a</w:t>
      </w:r>
      <w:r w:rsidRPr="006D30D1">
        <w:rPr>
          <w:rFonts w:ascii="Palatino Linotype" w:eastAsia="Palatino Linotype" w:hAnsi="Palatino Linotype" w:cs="Palatino Linotype"/>
          <w:i/>
          <w:color w:val="000000"/>
          <w:sz w:val="22"/>
          <w:szCs w:val="22"/>
        </w:rPr>
        <w:t xml:space="preserve"> la Oficialía Mayor, entidades, tribunales administrativos y </w:t>
      </w:r>
      <w:r w:rsidRPr="006D30D1">
        <w:rPr>
          <w:rFonts w:ascii="Palatino Linotype" w:eastAsia="Palatino Linotype" w:hAnsi="Palatino Linotype" w:cs="Palatino Linotype"/>
          <w:b/>
          <w:i/>
          <w:color w:val="000000"/>
          <w:sz w:val="22"/>
          <w:szCs w:val="22"/>
        </w:rPr>
        <w:t>ayuntamientos</w:t>
      </w:r>
      <w:r w:rsidRPr="006D30D1">
        <w:rPr>
          <w:rFonts w:ascii="Palatino Linotype" w:eastAsia="Palatino Linotype" w:hAnsi="Palatino Linotype" w:cs="Palatino Linotype"/>
          <w:i/>
          <w:color w:val="000000"/>
          <w:sz w:val="22"/>
          <w:szCs w:val="22"/>
        </w:rPr>
        <w:t xml:space="preserve">, en la substanciación de los procedimientos de adquisiciones y de servicios, de conformidad con el Reglamento y los manuales de operación. </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En la Oficialía Mayor, </w:t>
      </w:r>
      <w:r w:rsidRPr="006D30D1">
        <w:rPr>
          <w:rFonts w:ascii="Palatino Linotype" w:eastAsia="Palatino Linotype" w:hAnsi="Palatino Linotype" w:cs="Palatino Linotype"/>
          <w:b/>
          <w:i/>
          <w:color w:val="000000"/>
          <w:sz w:val="22"/>
          <w:szCs w:val="22"/>
        </w:rPr>
        <w:t>en cada</w:t>
      </w:r>
      <w:r w:rsidRPr="006D30D1">
        <w:rPr>
          <w:rFonts w:ascii="Palatino Linotype" w:eastAsia="Palatino Linotype" w:hAnsi="Palatino Linotype" w:cs="Palatino Linotype"/>
          <w:i/>
          <w:color w:val="000000"/>
          <w:sz w:val="22"/>
          <w:szCs w:val="22"/>
        </w:rPr>
        <w:t xml:space="preserve"> entidad, tribunal administrativo y </w:t>
      </w:r>
      <w:r w:rsidRPr="006D30D1">
        <w:rPr>
          <w:rFonts w:ascii="Palatino Linotype" w:eastAsia="Palatino Linotype" w:hAnsi="Palatino Linotype" w:cs="Palatino Linotype"/>
          <w:b/>
          <w:i/>
          <w:color w:val="000000"/>
          <w:sz w:val="22"/>
          <w:szCs w:val="22"/>
        </w:rPr>
        <w:t>ayuntamiento se constituirá un comité de adquisiciones y servicios</w:t>
      </w:r>
      <w:r w:rsidRPr="006D30D1">
        <w:rPr>
          <w:rFonts w:ascii="Palatino Linotype" w:eastAsia="Palatino Linotype" w:hAnsi="Palatino Linotype" w:cs="Palatino Linotype"/>
          <w:i/>
          <w:color w:val="000000"/>
          <w:sz w:val="22"/>
          <w:szCs w:val="22"/>
        </w:rPr>
        <w:t xml:space="preserve">. </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i/>
          <w:color w:val="000000"/>
          <w:sz w:val="22"/>
          <w:szCs w:val="22"/>
        </w:rPr>
        <w:t xml:space="preserve">La Oficialía Mayor, las entidades, los tribunales administrativos y </w:t>
      </w:r>
      <w:r w:rsidRPr="006D30D1">
        <w:rPr>
          <w:rFonts w:ascii="Palatino Linotype" w:eastAsia="Palatino Linotype" w:hAnsi="Palatino Linotype" w:cs="Palatino Linotype"/>
          <w:b/>
          <w:i/>
          <w:color w:val="000000"/>
          <w:sz w:val="22"/>
          <w:szCs w:val="22"/>
        </w:rPr>
        <w:t>los ayuntamientos se auxiliarán de un comité de arrendamientos, adquisiciones de inmuebles y enajenaciones.</w:t>
      </w:r>
    </w:p>
    <w:p w:rsidR="00907180" w:rsidRPr="006D30D1" w:rsidRDefault="00907180">
      <w:pPr>
        <w:pBdr>
          <w:top w:val="nil"/>
          <w:left w:val="nil"/>
          <w:bottom w:val="nil"/>
          <w:right w:val="nil"/>
          <w:between w:val="nil"/>
        </w:pBdr>
        <w:ind w:left="566" w:right="-220"/>
        <w:jc w:val="both"/>
        <w:rPr>
          <w:rFonts w:ascii="Palatino Linotype" w:eastAsia="Palatino Linotype" w:hAnsi="Palatino Linotype" w:cs="Palatino Linotype"/>
          <w:b/>
          <w:i/>
          <w:color w:val="000000"/>
          <w:sz w:val="22"/>
          <w:szCs w:val="22"/>
        </w:rPr>
      </w:pPr>
    </w:p>
    <w:p w:rsidR="00907180" w:rsidRPr="006D30D1" w:rsidRDefault="00907180">
      <w:pPr>
        <w:pBdr>
          <w:top w:val="nil"/>
          <w:left w:val="nil"/>
          <w:bottom w:val="nil"/>
          <w:right w:val="nil"/>
          <w:between w:val="nil"/>
        </w:pBdr>
        <w:ind w:left="566" w:right="-220"/>
        <w:jc w:val="both"/>
        <w:rPr>
          <w:rFonts w:ascii="Palatino Linotype" w:eastAsia="Palatino Linotype" w:hAnsi="Palatino Linotype" w:cs="Palatino Linotype"/>
          <w:b/>
          <w:i/>
          <w:color w:val="000000"/>
          <w:sz w:val="22"/>
          <w:szCs w:val="22"/>
        </w:rPr>
      </w:pPr>
    </w:p>
    <w:p w:rsidR="00907180" w:rsidRPr="006D30D1" w:rsidRDefault="007C2B39">
      <w:pPr>
        <w:ind w:left="566" w:right="-220"/>
        <w:jc w:val="center"/>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Reglamento de la Ley de Contratación Pública del Estado de México y Municipios</w:t>
      </w:r>
    </w:p>
    <w:p w:rsidR="00907180" w:rsidRPr="006D30D1" w:rsidRDefault="00907180">
      <w:pPr>
        <w:ind w:left="566" w:right="-220"/>
        <w:jc w:val="center"/>
        <w:rPr>
          <w:rFonts w:ascii="Palatino Linotype" w:eastAsia="Palatino Linotype" w:hAnsi="Palatino Linotype" w:cs="Palatino Linotype"/>
          <w:b/>
          <w:i/>
          <w:color w:val="000000"/>
          <w:sz w:val="22"/>
          <w:szCs w:val="22"/>
        </w:rPr>
      </w:pPr>
    </w:p>
    <w:p w:rsidR="00907180" w:rsidRPr="006D30D1" w:rsidRDefault="007C2B39">
      <w:pPr>
        <w:ind w:left="566" w:right="-220"/>
        <w:jc w:val="center"/>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CAPÍTULO PRIMERO</w:t>
      </w:r>
    </w:p>
    <w:p w:rsidR="00907180" w:rsidRPr="006D30D1" w:rsidRDefault="007C2B39">
      <w:pPr>
        <w:ind w:left="566" w:right="-220"/>
        <w:jc w:val="center"/>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DEL COMITÉ DE ADQUISICIONES Y SERVICIOS</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Artículo 43.- La Secretaría, organismos auxiliares, tribunales administrativos y </w:t>
      </w:r>
      <w:r w:rsidRPr="006D30D1">
        <w:rPr>
          <w:rFonts w:ascii="Palatino Linotype" w:eastAsia="Palatino Linotype" w:hAnsi="Palatino Linotype" w:cs="Palatino Linotype"/>
          <w:b/>
          <w:i/>
          <w:color w:val="000000"/>
          <w:sz w:val="22"/>
          <w:szCs w:val="22"/>
        </w:rPr>
        <w:t>municipios</w:t>
      </w:r>
      <w:r w:rsidRPr="006D30D1">
        <w:rPr>
          <w:rFonts w:ascii="Palatino Linotype" w:eastAsia="Palatino Linotype" w:hAnsi="Palatino Linotype" w:cs="Palatino Linotype"/>
          <w:i/>
          <w:color w:val="000000"/>
          <w:sz w:val="22"/>
          <w:szCs w:val="22"/>
        </w:rPr>
        <w:t xml:space="preserve">, </w:t>
      </w:r>
      <w:r w:rsidRPr="006D30D1">
        <w:rPr>
          <w:rFonts w:ascii="Palatino Linotype" w:eastAsia="Palatino Linotype" w:hAnsi="Palatino Linotype" w:cs="Palatino Linotype"/>
          <w:b/>
          <w:i/>
          <w:color w:val="000000"/>
          <w:sz w:val="22"/>
          <w:szCs w:val="22"/>
        </w:rPr>
        <w:t>se auxiliarán de un Comité de Adquisiciones y Servicios</w:t>
      </w:r>
      <w:r w:rsidRPr="006D30D1">
        <w:rPr>
          <w:rFonts w:ascii="Palatino Linotype" w:eastAsia="Palatino Linotype" w:hAnsi="Palatino Linotype" w:cs="Palatino Linotype"/>
          <w:i/>
          <w:color w:val="000000"/>
          <w:sz w:val="22"/>
          <w:szCs w:val="22"/>
        </w:rPr>
        <w:t>, para la substanciación de los procedimientos de adquisición regulados en la Ley.</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47.- El comité sesionará cuando sea convocado por el presidente, o cuando lo solicite alguno de sus integrantes.</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i/>
          <w:color w:val="000000"/>
          <w:sz w:val="22"/>
          <w:szCs w:val="22"/>
        </w:rPr>
        <w:lastRenderedPageBreak/>
        <w:t xml:space="preserve">Artículo 48.- </w:t>
      </w:r>
      <w:r w:rsidRPr="006D30D1">
        <w:rPr>
          <w:rFonts w:ascii="Palatino Linotype" w:eastAsia="Palatino Linotype" w:hAnsi="Palatino Linotype" w:cs="Palatino Linotype"/>
          <w:b/>
          <w:i/>
          <w:color w:val="000000"/>
          <w:sz w:val="22"/>
          <w:szCs w:val="22"/>
        </w:rPr>
        <w:t xml:space="preserve">Las sesiones del comité se desarrollarán de la siguiente forma: </w:t>
      </w:r>
    </w:p>
    <w:p w:rsidR="00907180" w:rsidRPr="006D30D1" w:rsidRDefault="007C2B39">
      <w:pP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 xml:space="preserve">I. Ordinarias, por lo menos cada quince días, salvo que no existan asuntos por tratar; </w:t>
      </w:r>
    </w:p>
    <w:p w:rsidR="00907180" w:rsidRPr="006D30D1" w:rsidRDefault="007C2B39">
      <w:pP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II. Extraordinarias, cuando se requieran;</w:t>
      </w: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VII. 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rsidR="00907180" w:rsidRPr="006D30D1" w:rsidRDefault="00907180">
      <w:pPr>
        <w:ind w:left="566" w:right="-220"/>
        <w:jc w:val="both"/>
        <w:rPr>
          <w:rFonts w:ascii="Palatino Linotype" w:eastAsia="Palatino Linotype" w:hAnsi="Palatino Linotype" w:cs="Palatino Linotype"/>
          <w:color w:val="000000"/>
          <w:sz w:val="22"/>
          <w:szCs w:val="22"/>
        </w:rPr>
      </w:pPr>
    </w:p>
    <w:p w:rsidR="00907180" w:rsidRPr="006D30D1" w:rsidRDefault="007C2B39">
      <w:pPr>
        <w:ind w:left="566" w:right="-220"/>
        <w:jc w:val="center"/>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CAPÍTULO SEGUNDO</w:t>
      </w:r>
    </w:p>
    <w:p w:rsidR="00907180" w:rsidRPr="006D30D1" w:rsidRDefault="007C2B39">
      <w:pPr>
        <w:ind w:left="566" w:right="-220"/>
        <w:jc w:val="center"/>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DEL COMITÉ DE ARRENDAMIENTOS, ADQUISICIONES DE INMUEBLES Y ENAJENACIONES</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Artículo 51.- La Secretaría, organismos auxiliares, tribunales administrativos y </w:t>
      </w:r>
      <w:r w:rsidRPr="006D30D1">
        <w:rPr>
          <w:rFonts w:ascii="Palatino Linotype" w:eastAsia="Palatino Linotype" w:hAnsi="Palatino Linotype" w:cs="Palatino Linotype"/>
          <w:b/>
          <w:i/>
          <w:color w:val="000000"/>
          <w:sz w:val="22"/>
          <w:szCs w:val="22"/>
        </w:rPr>
        <w:t>municipios</w:t>
      </w:r>
      <w:r w:rsidRPr="006D30D1">
        <w:rPr>
          <w:rFonts w:ascii="Palatino Linotype" w:eastAsia="Palatino Linotype" w:hAnsi="Palatino Linotype" w:cs="Palatino Linotype"/>
          <w:i/>
          <w:color w:val="000000"/>
          <w:sz w:val="22"/>
          <w:szCs w:val="22"/>
        </w:rPr>
        <w:t xml:space="preserve">, </w:t>
      </w:r>
      <w:r w:rsidRPr="006D30D1">
        <w:rPr>
          <w:rFonts w:ascii="Palatino Linotype" w:eastAsia="Palatino Linotype" w:hAnsi="Palatino Linotype" w:cs="Palatino Linotype"/>
          <w:b/>
          <w:i/>
          <w:color w:val="000000"/>
          <w:sz w:val="22"/>
          <w:szCs w:val="22"/>
        </w:rPr>
        <w:t>se auxiliarán de un Comité de Arrendamientos, Adquisiciones de Inmuebles y Enajenaciones</w:t>
      </w:r>
      <w:r w:rsidRPr="006D30D1">
        <w:rPr>
          <w:rFonts w:ascii="Palatino Linotype" w:eastAsia="Palatino Linotype" w:hAnsi="Palatino Linotype" w:cs="Palatino Linotype"/>
          <w:i/>
          <w:color w:val="000000"/>
          <w:sz w:val="22"/>
          <w:szCs w:val="22"/>
        </w:rPr>
        <w:t>, para el desahogo de sus procedimientos, con arreglo a lo establecido en la Ley.</w:t>
      </w:r>
    </w:p>
    <w:p w:rsidR="00907180" w:rsidRPr="006D30D1" w:rsidRDefault="00907180">
      <w:pPr>
        <w:ind w:left="566" w:right="-220"/>
        <w:jc w:val="both"/>
        <w:rPr>
          <w:rFonts w:ascii="Palatino Linotype" w:eastAsia="Palatino Linotype" w:hAnsi="Palatino Linotype" w:cs="Palatino Linotype"/>
          <w:i/>
          <w:color w:val="000000"/>
          <w:sz w:val="22"/>
          <w:szCs w:val="22"/>
        </w:rPr>
      </w:pP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57.- El comité sesionará conforme al calendario oficial de sesiones ordinarias; cuando sea convocado por el presidente y, en forma extraordinaria, cuando lo solicite alguno de sus integrantes.</w:t>
      </w:r>
    </w:p>
    <w:p w:rsidR="00907180" w:rsidRPr="006D30D1" w:rsidRDefault="007C2B39">
      <w:pP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i/>
          <w:color w:val="000000"/>
          <w:sz w:val="22"/>
          <w:szCs w:val="22"/>
        </w:rPr>
        <w:t xml:space="preserve"> Artículo 58.- </w:t>
      </w:r>
      <w:r w:rsidRPr="006D30D1">
        <w:rPr>
          <w:rFonts w:ascii="Palatino Linotype" w:eastAsia="Palatino Linotype" w:hAnsi="Palatino Linotype" w:cs="Palatino Linotype"/>
          <w:b/>
          <w:i/>
          <w:color w:val="000000"/>
          <w:sz w:val="22"/>
          <w:szCs w:val="22"/>
        </w:rPr>
        <w:t xml:space="preserve">Las sesiones del comité se desarrollarán de la siguiente forma: </w:t>
      </w:r>
    </w:p>
    <w:p w:rsidR="00907180" w:rsidRPr="006D30D1" w:rsidRDefault="007C2B39">
      <w:pP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 xml:space="preserve">I. Ordinarias, por lo menos cada dos meses, salvo que no existan asuntos por tratar; </w:t>
      </w:r>
    </w:p>
    <w:p w:rsidR="00907180" w:rsidRPr="006D30D1" w:rsidRDefault="007C2B39">
      <w:pPr>
        <w:ind w:left="566" w:right="-220"/>
        <w:jc w:val="both"/>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II. Extraordinarias, cuando se requieran;</w:t>
      </w:r>
    </w:p>
    <w:p w:rsidR="00907180" w:rsidRPr="006D30D1" w:rsidRDefault="007C2B39">
      <w:pP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7C2B39">
      <w:pPr>
        <w:pBdr>
          <w:top w:val="nil"/>
          <w:left w:val="nil"/>
          <w:bottom w:val="nil"/>
          <w:right w:val="nil"/>
          <w:between w:val="nil"/>
        </w:pBdr>
        <w:ind w:left="566"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XI. En la Primera Sesión de cada ejercicio fiscal se presentará a consideración del Comité el Calendario Oficial de Sesiones Ordinarias, y el Volumen Anual autorizado para arrendamientos y para la adquisición de bienes inmuebles</w:t>
      </w:r>
    </w:p>
    <w:p w:rsidR="00907180" w:rsidRPr="006D30D1" w:rsidRDefault="00907180">
      <w:pPr>
        <w:pBdr>
          <w:top w:val="nil"/>
          <w:left w:val="nil"/>
          <w:bottom w:val="nil"/>
          <w:right w:val="nil"/>
          <w:between w:val="nil"/>
        </w:pBdr>
        <w:ind w:left="1134"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De lo establecido se desprende que los Comités de adquisiciones y servicios son órganos colegiados con facultades de opinión con el objeto de auxiliar en la substanciación de procedimientos de adquisiciones y de servicios, y  se </w:t>
      </w:r>
      <w:r w:rsidRPr="006D30D1">
        <w:rPr>
          <w:rFonts w:ascii="Palatino Linotype" w:eastAsia="Palatino Linotype" w:hAnsi="Palatino Linotype" w:cs="Palatino Linotype"/>
        </w:rPr>
        <w:t>auxiliará</w:t>
      </w:r>
      <w:r w:rsidRPr="006D30D1">
        <w:rPr>
          <w:rFonts w:ascii="Palatino Linotype" w:eastAsia="Palatino Linotype" w:hAnsi="Palatino Linotype" w:cs="Palatino Linotype"/>
          <w:color w:val="000000"/>
        </w:rPr>
        <w:t xml:space="preserve"> de un comité de arrendamientos, adquisiciones de inmuebles y enajenaciones.</w:t>
      </w:r>
    </w:p>
    <w:p w:rsidR="00907180" w:rsidRPr="006D30D1" w:rsidRDefault="00907180">
      <w:pP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En lo que respecta al Comité de Adquisiciones y Servicios sesionará por lo menos cada quince días y con la salvedad que no existan asuntos por tratar, y en la primera sesión de </w:t>
      </w:r>
      <w:r w:rsidRPr="006D30D1">
        <w:rPr>
          <w:rFonts w:ascii="Palatino Linotype" w:eastAsia="Palatino Linotype" w:hAnsi="Palatino Linotype" w:cs="Palatino Linotype"/>
          <w:color w:val="000000"/>
        </w:rPr>
        <w:lastRenderedPageBreak/>
        <w:t>cada ejercicio fiscal se presentará el calendario de sesiones ordinarias, en relación  las sesiones extraordinarias se llevarán a cabo cuando se requieran.</w:t>
      </w:r>
    </w:p>
    <w:p w:rsidR="00907180" w:rsidRPr="006D30D1" w:rsidRDefault="00907180">
      <w:pP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Referente al Comité de Arrendamiento, Adquisiciones de Inmuebles y Enajenaciones, la sesiones ordinarias se celebrarán por lo menos cada dos meses, con la salvedad de no existir asuntos por tratar, y las extraordinarias cuando se requieran, en la primera sesión de cada ejercicio fiscal se presentará el calendario de sesiones ordinarias.</w:t>
      </w:r>
    </w:p>
    <w:p w:rsidR="00907180" w:rsidRPr="006D30D1" w:rsidRDefault="00907180">
      <w:pP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En lo que respecta al Comité de Obra Pública, la legislación en materia de obra pública, se encuentra dispuesta en el Libro Décimo Segundo del Código Administrativo del Estado de México, el cual refiere:</w:t>
      </w:r>
    </w:p>
    <w:p w:rsidR="00907180" w:rsidRPr="006D30D1" w:rsidRDefault="007C2B39">
      <w:pPr>
        <w:ind w:left="1134" w:right="-220"/>
        <w:jc w:val="center"/>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i/>
          <w:sz w:val="22"/>
          <w:szCs w:val="22"/>
        </w:rPr>
        <w:t>Código Administrativo del Estado de México</w:t>
      </w:r>
    </w:p>
    <w:p w:rsidR="00907180" w:rsidRPr="006D30D1" w:rsidRDefault="00907180">
      <w:pPr>
        <w:ind w:left="1134" w:right="-220"/>
        <w:jc w:val="center"/>
        <w:rPr>
          <w:rFonts w:ascii="Palatino Linotype" w:eastAsia="Palatino Linotype" w:hAnsi="Palatino Linotype" w:cs="Palatino Linotype"/>
          <w:b/>
          <w:i/>
          <w:sz w:val="22"/>
          <w:szCs w:val="22"/>
        </w:rPr>
      </w:pP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12.1.- Este Libro tiene por objeto regular los actos relativos a la planeación, programación,</w:t>
      </w:r>
      <w:r w:rsidRPr="006D30D1">
        <w:rPr>
          <w:sz w:val="22"/>
          <w:szCs w:val="22"/>
        </w:rPr>
        <w:t xml:space="preserve"> </w:t>
      </w:r>
      <w:r w:rsidRPr="006D30D1">
        <w:rPr>
          <w:rFonts w:ascii="Palatino Linotype" w:eastAsia="Palatino Linotype" w:hAnsi="Palatino Linotype" w:cs="Palatino Linotype"/>
          <w:i/>
          <w:color w:val="000000"/>
          <w:sz w:val="22"/>
          <w:szCs w:val="22"/>
        </w:rPr>
        <w:t>presupuestación, adjudicación, contratación, ejecución y control de la obra pública, así como los servicios relacionados con la misma que, por sí o por conducto de terceros, realicen:</w:t>
      </w: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III. Los ayuntamientos de los municipios del Estado;</w:t>
      </w: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907180">
      <w:pPr>
        <w:ind w:left="1134" w:right="-220"/>
        <w:jc w:val="both"/>
        <w:rPr>
          <w:rFonts w:ascii="Palatino Linotype" w:eastAsia="Palatino Linotype" w:hAnsi="Palatino Linotype" w:cs="Palatino Linotype"/>
          <w:i/>
          <w:color w:val="000000"/>
          <w:sz w:val="22"/>
          <w:szCs w:val="22"/>
        </w:rPr>
      </w:pP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rsidR="00907180" w:rsidRPr="006D30D1" w:rsidRDefault="00907180">
      <w:pPr>
        <w:ind w:left="1134" w:right="-220"/>
        <w:jc w:val="both"/>
        <w:rPr>
          <w:rFonts w:ascii="Palatino Linotype" w:eastAsia="Palatino Linotype" w:hAnsi="Palatino Linotype" w:cs="Palatino Linotype"/>
          <w:i/>
          <w:color w:val="000000"/>
          <w:sz w:val="22"/>
          <w:szCs w:val="22"/>
        </w:rPr>
      </w:pP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12.4.- Se considera obra pública todo trabajo que tenga por objeto principal construir, instalar, ampliar, adecuar, remodelar, restaurar, conservar, mantener, modificar o demoler bienes inmuebles propiedad del Estado, de sus dependencias y entidades y de los municipios y sus organismos con cargo a recursos públicos estatales o municipales.</w:t>
      </w:r>
    </w:p>
    <w:p w:rsidR="00907180" w:rsidRPr="006D30D1" w:rsidRDefault="00907180">
      <w:pPr>
        <w:ind w:left="1134" w:right="-220"/>
        <w:jc w:val="both"/>
        <w:rPr>
          <w:rFonts w:ascii="Palatino Linotype" w:eastAsia="Palatino Linotype" w:hAnsi="Palatino Linotype" w:cs="Palatino Linotype"/>
          <w:i/>
          <w:color w:val="000000"/>
          <w:sz w:val="22"/>
          <w:szCs w:val="22"/>
        </w:rPr>
      </w:pP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lastRenderedPageBreak/>
        <w:t>Artículo 12.5.- Se consideran servicios relacionados con la obra pública, los trabajos que tengan por objeto concebir, diseñar y calcular los elementos que integran un proyecto de obra pública; las investigaciones, estudios, asesorías y consultorías que se vinculen con los actos que regula este Libro; la dirección y supervisión de la ejecución de las obras y los estudios que tengan por objeto principal rehabilitar, corregir o incrementar la eficiencia de las instalaciones con excepción de los trabajos regulados por el Libro Décimo Sexto de este Código.</w:t>
      </w:r>
    </w:p>
    <w:p w:rsidR="00907180" w:rsidRPr="006D30D1" w:rsidRDefault="00907180">
      <w:pPr>
        <w:pBdr>
          <w:top w:val="nil"/>
          <w:left w:val="nil"/>
          <w:bottom w:val="nil"/>
          <w:right w:val="nil"/>
          <w:between w:val="nil"/>
        </w:pBdr>
        <w:ind w:right="-929"/>
        <w:jc w:val="both"/>
        <w:rPr>
          <w:rFonts w:ascii="Palatino Linotype" w:eastAsia="Palatino Linotype" w:hAnsi="Palatino Linotype" w:cs="Palatino Linotype"/>
          <w:color w:val="000000"/>
        </w:rPr>
      </w:pP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El Reglamento del Libro Décimo Segundo del Código Administrativo del Estado de México, en relación a los Comités Internos de Obra Pública señala lo siguiente:</w:t>
      </w:r>
    </w:p>
    <w:p w:rsidR="00907180" w:rsidRPr="006D30D1" w:rsidRDefault="007C2B39">
      <w:pPr>
        <w:pBdr>
          <w:top w:val="nil"/>
          <w:left w:val="nil"/>
          <w:bottom w:val="nil"/>
          <w:right w:val="nil"/>
          <w:between w:val="nil"/>
        </w:pBdr>
        <w:ind w:left="708" w:right="-220"/>
        <w:jc w:val="center"/>
        <w:rPr>
          <w:rFonts w:ascii="Palatino Linotype" w:eastAsia="Palatino Linotype" w:hAnsi="Palatino Linotype" w:cs="Palatino Linotype"/>
          <w:b/>
          <w:i/>
          <w:color w:val="000000"/>
          <w:sz w:val="22"/>
          <w:szCs w:val="22"/>
        </w:rPr>
      </w:pPr>
      <w:r w:rsidRPr="006D30D1">
        <w:rPr>
          <w:rFonts w:ascii="Palatino Linotype" w:eastAsia="Palatino Linotype" w:hAnsi="Palatino Linotype" w:cs="Palatino Linotype"/>
          <w:b/>
          <w:i/>
          <w:color w:val="000000"/>
          <w:sz w:val="22"/>
          <w:szCs w:val="22"/>
        </w:rPr>
        <w:t>Reglamento del Libro Décimo Segundo del Código Administrativo del Estado de México</w:t>
      </w:r>
    </w:p>
    <w:p w:rsidR="00907180" w:rsidRPr="006D30D1" w:rsidRDefault="00907180">
      <w:pPr>
        <w:pBdr>
          <w:top w:val="nil"/>
          <w:left w:val="nil"/>
          <w:bottom w:val="nil"/>
          <w:right w:val="nil"/>
          <w:between w:val="nil"/>
        </w:pBdr>
        <w:ind w:left="708" w:right="-220"/>
        <w:jc w:val="center"/>
        <w:rPr>
          <w:rFonts w:ascii="Palatino Linotype" w:eastAsia="Palatino Linotype" w:hAnsi="Palatino Linotype" w:cs="Palatino Linotype"/>
          <w:b/>
          <w:i/>
          <w:color w:val="000000"/>
          <w:sz w:val="22"/>
          <w:szCs w:val="22"/>
        </w:rPr>
      </w:pP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b/>
          <w:i/>
          <w:color w:val="000000"/>
          <w:sz w:val="22"/>
          <w:szCs w:val="22"/>
        </w:rPr>
        <w:t>Artículo 21.- Los Comités Internos de Obra Pública son una instancia interna auxiliar</w:t>
      </w:r>
      <w:r w:rsidRPr="006D30D1">
        <w:rPr>
          <w:rFonts w:ascii="Palatino Linotype" w:eastAsia="Palatino Linotype" w:hAnsi="Palatino Linotype" w:cs="Palatino Linotype"/>
          <w:i/>
          <w:color w:val="000000"/>
          <w:sz w:val="22"/>
          <w:szCs w:val="22"/>
        </w:rPr>
        <w:t xml:space="preserve"> de los titulares de las dependencias y los órganos de gobierno de las entidades en los procesos de contratación de obra pública y servicios, así como </w:t>
      </w:r>
      <w:r w:rsidRPr="006D30D1">
        <w:rPr>
          <w:rFonts w:ascii="Palatino Linotype" w:eastAsia="Palatino Linotype" w:hAnsi="Palatino Linotype" w:cs="Palatino Linotype"/>
          <w:b/>
          <w:i/>
          <w:color w:val="000000"/>
          <w:sz w:val="22"/>
          <w:szCs w:val="22"/>
        </w:rPr>
        <w:t>de los ayuntamientos</w:t>
      </w:r>
      <w:r w:rsidRPr="006D30D1">
        <w:rPr>
          <w:rFonts w:ascii="Palatino Linotype" w:eastAsia="Palatino Linotype" w:hAnsi="Palatino Linotype" w:cs="Palatino Linotype"/>
          <w:i/>
          <w:color w:val="000000"/>
          <w:sz w:val="22"/>
          <w:szCs w:val="22"/>
        </w:rPr>
        <w:t>.</w:t>
      </w:r>
    </w:p>
    <w:p w:rsidR="00907180" w:rsidRPr="006D30D1" w:rsidRDefault="00907180">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22.- Es propósito de los Comités Internos de Obra Pública es contribuir a garantizar la transparencia, equidad y eficacia en los procesos de contratación de obra pública y servicios.</w:t>
      </w:r>
    </w:p>
    <w:p w:rsidR="00907180" w:rsidRPr="006D30D1" w:rsidRDefault="00907180">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Artículo 24- Los Comités Internos de Obra Pública se integrarán con el número de miembros que, de acuerdo a las necesidades de la dependencia, entidad o ayuntamiento, se requiera para garantizar un trabajo eficiente. No tendrán menos de cinco ni más de quince. </w:t>
      </w:r>
    </w:p>
    <w:p w:rsidR="00907180" w:rsidRPr="006D30D1" w:rsidRDefault="00907180">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El Comité Interno de Obra Pública tendrá la siguiente estructura: </w:t>
      </w:r>
    </w:p>
    <w:p w:rsidR="00907180" w:rsidRPr="006D30D1" w:rsidRDefault="00907180">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I. Un presidente: El Titular de la dependencia, entidad o el presidente municipal.</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II. Un secretario ejecutivo: El titular del área responsable de la administración de los recursos humanos, materiales y financieros o su equivalente.</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III. Un secretario técnico: El designado por el presidente.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IV. Vocales:</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 a. El titular del área responsable de la programación y presupuesto o su equivalente.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b. Los titulares de otras áreas que tengan relación con la obra pública.</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907180">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Artículo 25.- Para las reuniones de los comités, deberá tomarse en cuenta lo siguiente:</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lastRenderedPageBreak/>
        <w:t xml:space="preserve">I. El quorum mínimo será la mitad más uno de los miembros con derecho a voto;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II. Las decisiones se tomarán por unanimidad o por mayoría de votos. En este último, en el acta de la reunión, se hará constar el nombre de quién y en qué sentido emitió el voto y, en su caso, los argumentos que lo sustenten. En caso de empate, quien presida tendrá voto de calidad;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III. En ausencia del presidente o de su suplente, las reuniones no se llevarán a cabo;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IV. La convocatoria a una reunión ordinaria, incluyendo el orden del día y la documentación correspondiente, deberá entregarse a los miembros del comité con tres días hábiles de anticipación. En las reuniones extraordinarias, el plazo se determinará de acuerdo con las circunstancias;</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V. En el orden del día de las reuniones ordinarias, se incluirá invariablemente el apartado de seguimiento a los acuerdos adoptados en reuniones anteriores.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VI. En el de asuntos generales, sólo se incluirán asuntos de carácter informativo. En el orden del día de las reuniones extraordinarias, sólo se incluirán los casos a dictaminar y no se podrá tratar ningún otro asunto;</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 xml:space="preserve">IX. Se levantará acta de la reunión, en ella, se registrarán los acuerdos tomados por los miembros con derecho a voto, indicando quiénes votaron y el sentido de su voto, así como los comentarios relevantes de cada caso. El acta se aprobará en la reunión ordinaria inmediata posterior o en caso necesario se recabarán las firmas correspondientes; </w:t>
      </w:r>
    </w:p>
    <w:p w:rsidR="00907180" w:rsidRPr="006D30D1" w:rsidRDefault="007C2B39">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X. En la primera reunión de cada ejercicio fiscal, el comité autorizará el calendario de reuniones ordinarias.</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b/>
          <w:i/>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De lo anterior se precisa que los Comités Internos de Obra Pública son una instancia interna auxiliar de los Ayuntamientos en los procesos de contratación de obra pública y servicios, con el propósito de contribuir a garantizar la transparencia, equidad y eficacia en dichos procesos. </w:t>
      </w:r>
    </w:p>
    <w:p w:rsidR="00907180" w:rsidRPr="006D30D1" w:rsidRDefault="00907180">
      <w:pPr>
        <w:pBdr>
          <w:top w:val="nil"/>
          <w:left w:val="nil"/>
          <w:bottom w:val="nil"/>
          <w:right w:val="nil"/>
          <w:between w:val="nil"/>
        </w:pBdr>
        <w:spacing w:line="360" w:lineRule="auto"/>
        <w:ind w:right="-929"/>
        <w:jc w:val="both"/>
        <w:rPr>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De todo lo anteriormente expuesto se presume que la información debe existir ya que se refiere a facultades, competencias y funciones que los ordenamientos jurídicos ya antes citados otorgan al Ayuntamiento.</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Ahora bien, es de recordar que el Sujeto Obligado señaló en respuesta </w:t>
      </w:r>
      <w:r w:rsidRPr="006D30D1">
        <w:rPr>
          <w:rFonts w:ascii="Palatino Linotype" w:eastAsia="Palatino Linotype" w:hAnsi="Palatino Linotype" w:cs="Palatino Linotype"/>
          <w:i/>
          <w:color w:val="000000"/>
        </w:rPr>
        <w:t xml:space="preserve">“En referencia a las actas de adquisiciones y servicios, actas del comité de arrendamientos, adquisición de inmuebles y </w:t>
      </w:r>
      <w:r w:rsidRPr="006D30D1">
        <w:rPr>
          <w:rFonts w:ascii="Palatino Linotype" w:eastAsia="Palatino Linotype" w:hAnsi="Palatino Linotype" w:cs="Palatino Linotype"/>
          <w:i/>
          <w:color w:val="000000"/>
        </w:rPr>
        <w:lastRenderedPageBreak/>
        <w:t>enajenaciones, no existen actas bajo la denominación de su requerimiento, por lo que no es posible proporcionar la información requerida”</w:t>
      </w:r>
      <w:r w:rsidRPr="006D30D1">
        <w:rPr>
          <w:rFonts w:ascii="Palatino Linotype" w:eastAsia="Palatino Linotype" w:hAnsi="Palatino Linotype" w:cs="Palatino Linotype"/>
          <w:color w:val="000000"/>
        </w:rPr>
        <w:t xml:space="preserve">, se considera por cuanto hace al </w:t>
      </w:r>
      <w:r w:rsidRPr="006D30D1">
        <w:rPr>
          <w:rFonts w:ascii="Palatino Linotype" w:eastAsia="Palatino Linotype" w:hAnsi="Palatino Linotype" w:cs="Palatino Linotype"/>
          <w:i/>
          <w:color w:val="000000"/>
        </w:rPr>
        <w:t>comité</w:t>
      </w:r>
      <w:r w:rsidRPr="006D30D1">
        <w:rPr>
          <w:rFonts w:ascii="Palatino Linotype" w:eastAsia="Palatino Linotype" w:hAnsi="Palatino Linotype" w:cs="Palatino Linotype"/>
          <w:color w:val="000000"/>
        </w:rPr>
        <w:t xml:space="preserve"> </w:t>
      </w:r>
      <w:r w:rsidRPr="006D30D1">
        <w:rPr>
          <w:rFonts w:ascii="Palatino Linotype" w:eastAsia="Palatino Linotype" w:hAnsi="Palatino Linotype" w:cs="Palatino Linotype"/>
          <w:i/>
          <w:color w:val="000000"/>
        </w:rPr>
        <w:t>de arredramientos, adquisición de inmuebles y enajenaciones</w:t>
      </w:r>
      <w:r w:rsidRPr="006D30D1">
        <w:rPr>
          <w:rFonts w:ascii="Palatino Linotype" w:eastAsia="Palatino Linotype" w:hAnsi="Palatino Linotype" w:cs="Palatino Linotype"/>
          <w:color w:val="000000"/>
        </w:rPr>
        <w:t xml:space="preserve">, no se encuentra establecido textualmente así en el Bando Municipal 2024; sin embargo, se advierte que en dicho documento normativo se encuentra el </w:t>
      </w:r>
      <w:r w:rsidRPr="006D30D1">
        <w:rPr>
          <w:rFonts w:ascii="Palatino Linotype" w:eastAsia="Palatino Linotype" w:hAnsi="Palatino Linotype" w:cs="Palatino Linotype"/>
          <w:b/>
          <w:color w:val="000000"/>
        </w:rPr>
        <w:t>Comité de Bienes Muebles e Inmuebles</w:t>
      </w:r>
      <w:r w:rsidRPr="006D30D1">
        <w:rPr>
          <w:rFonts w:ascii="Palatino Linotype" w:eastAsia="Palatino Linotype" w:hAnsi="Palatino Linotype" w:cs="Palatino Linotype"/>
          <w:color w:val="000000"/>
        </w:rPr>
        <w:t>, por lo que las actas de las sesiones de éste, pueden colmar la información requerida. Por lo tanto, el Sujeto Obligado como este Instituto deben suplir la deficiencia.</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6D30D1">
        <w:rPr>
          <w:rFonts w:ascii="Palatino Linotype" w:eastAsia="Palatino Linotype" w:hAnsi="Palatino Linotype" w:cs="Palatino Linotype"/>
        </w:rPr>
        <w:t xml:space="preserve">Asimismo, debemos recordar los particulares no pudieran ser expertos en la materia, relativo a conocer de manera precisa la denominación del documento o soporte documental en el que obre la información peticionada, pero los Entes Públicos, sí lo son al tener facultades y/o atribuciones que los constriña en su caso a generar la información, por lo que en observancia del Criterio 16-01 emitido por el Instituto Nacional de Transparencia, Acceso a la Información Pública y Protección de Datos Personales (INAI), debió darle una interpretación que se le otorgue una expresión documental, se cita para mayor referencia el Criterio referido: </w:t>
      </w:r>
    </w:p>
    <w:p w:rsidR="00907180" w:rsidRPr="006D30D1" w:rsidRDefault="007C2B39">
      <w:pPr>
        <w:spacing w:line="276" w:lineRule="auto"/>
        <w:ind w:left="567" w:right="-79"/>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w:t>
      </w:r>
      <w:r w:rsidRPr="006D30D1">
        <w:rPr>
          <w:rFonts w:ascii="Palatino Linotype" w:eastAsia="Palatino Linotype" w:hAnsi="Palatino Linotype" w:cs="Palatino Linotype"/>
          <w:b/>
          <w:i/>
          <w:sz w:val="22"/>
          <w:szCs w:val="22"/>
        </w:rPr>
        <w:t>Expresión documental.</w:t>
      </w:r>
      <w:r w:rsidRPr="006D30D1">
        <w:rPr>
          <w:rFonts w:ascii="Palatino Linotype" w:eastAsia="Palatino Linotype" w:hAnsi="Palatino Linotype" w:cs="Palatino Linotype"/>
          <w:i/>
          <w:sz w:val="22"/>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907180" w:rsidRPr="006D30D1" w:rsidRDefault="00907180">
      <w:pPr>
        <w:spacing w:line="276" w:lineRule="auto"/>
        <w:ind w:left="567" w:right="-79"/>
        <w:jc w:val="both"/>
        <w:rPr>
          <w:rFonts w:ascii="Palatino Linotype" w:eastAsia="Palatino Linotype" w:hAnsi="Palatino Linotype" w:cs="Palatino Linotype"/>
          <w:i/>
          <w:sz w:val="22"/>
          <w:szCs w:val="22"/>
        </w:rPr>
      </w:pPr>
    </w:p>
    <w:p w:rsidR="00907180" w:rsidRPr="006D30D1" w:rsidRDefault="007C2B39">
      <w:pPr>
        <w:spacing w:line="276" w:lineRule="auto"/>
        <w:ind w:left="567" w:right="-79"/>
        <w:jc w:val="both"/>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i/>
          <w:sz w:val="22"/>
          <w:szCs w:val="22"/>
        </w:rPr>
        <w:t>Resoluciones:</w:t>
      </w:r>
    </w:p>
    <w:p w:rsidR="00907180" w:rsidRPr="006D30D1" w:rsidRDefault="007C2B39">
      <w:pPr>
        <w:spacing w:line="276" w:lineRule="auto"/>
        <w:ind w:left="567" w:right="-79"/>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t>•</w:t>
      </w:r>
      <w:r w:rsidRPr="006D30D1">
        <w:rPr>
          <w:rFonts w:ascii="Palatino Linotype" w:eastAsia="Palatino Linotype" w:hAnsi="Palatino Linotype" w:cs="Palatino Linotype"/>
          <w:b/>
          <w:i/>
          <w:sz w:val="22"/>
          <w:szCs w:val="22"/>
        </w:rPr>
        <w:tab/>
        <w:t>RRA 0774/16</w:t>
      </w:r>
      <w:r w:rsidRPr="006D30D1">
        <w:rPr>
          <w:rFonts w:ascii="Palatino Linotype" w:eastAsia="Palatino Linotype" w:hAnsi="Palatino Linotype" w:cs="Palatino Linotype"/>
          <w:i/>
          <w:sz w:val="22"/>
          <w:szCs w:val="22"/>
        </w:rPr>
        <w:t xml:space="preserve">. Secretaría de Salud. 31 de agosto de 2016. Por unanimidad. Comisionada Ponente María Patricia </w:t>
      </w:r>
      <w:proofErr w:type="spellStart"/>
      <w:r w:rsidRPr="006D30D1">
        <w:rPr>
          <w:rFonts w:ascii="Palatino Linotype" w:eastAsia="Palatino Linotype" w:hAnsi="Palatino Linotype" w:cs="Palatino Linotype"/>
          <w:i/>
          <w:sz w:val="22"/>
          <w:szCs w:val="22"/>
        </w:rPr>
        <w:t>Kurczyn</w:t>
      </w:r>
      <w:proofErr w:type="spellEnd"/>
      <w:r w:rsidRPr="006D30D1">
        <w:rPr>
          <w:rFonts w:ascii="Palatino Linotype" w:eastAsia="Palatino Linotype" w:hAnsi="Palatino Linotype" w:cs="Palatino Linotype"/>
          <w:i/>
          <w:sz w:val="22"/>
          <w:szCs w:val="22"/>
        </w:rPr>
        <w:t xml:space="preserve"> Villalobos.</w:t>
      </w:r>
    </w:p>
    <w:p w:rsidR="00907180" w:rsidRPr="006D30D1" w:rsidRDefault="007C2B39">
      <w:pPr>
        <w:spacing w:line="276" w:lineRule="auto"/>
        <w:ind w:left="567" w:right="-79"/>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t>•</w:t>
      </w:r>
      <w:r w:rsidRPr="006D30D1">
        <w:rPr>
          <w:rFonts w:ascii="Palatino Linotype" w:eastAsia="Palatino Linotype" w:hAnsi="Palatino Linotype" w:cs="Palatino Linotype"/>
          <w:b/>
          <w:i/>
          <w:sz w:val="22"/>
          <w:szCs w:val="22"/>
        </w:rPr>
        <w:tab/>
        <w:t>RRA 0143/17</w:t>
      </w:r>
      <w:r w:rsidRPr="006D30D1">
        <w:rPr>
          <w:rFonts w:ascii="Palatino Linotype" w:eastAsia="Palatino Linotype" w:hAnsi="Palatino Linotype" w:cs="Palatino Linotype"/>
          <w:i/>
          <w:sz w:val="22"/>
          <w:szCs w:val="22"/>
        </w:rPr>
        <w:t xml:space="preserve">. Universidad Autónoma Agraria Antonio Narro. 22 de febrero de 2017. Por unanimidad. Comisionado Ponente Oscar Mauricio Guerra Ford. </w:t>
      </w:r>
    </w:p>
    <w:p w:rsidR="00907180" w:rsidRPr="006D30D1" w:rsidRDefault="007C2B39">
      <w:pPr>
        <w:spacing w:line="276" w:lineRule="auto"/>
        <w:ind w:left="567" w:right="-79"/>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lastRenderedPageBreak/>
        <w:t>•</w:t>
      </w:r>
      <w:r w:rsidRPr="006D30D1">
        <w:rPr>
          <w:rFonts w:ascii="Palatino Linotype" w:eastAsia="Palatino Linotype" w:hAnsi="Palatino Linotype" w:cs="Palatino Linotype"/>
          <w:b/>
          <w:i/>
          <w:sz w:val="22"/>
          <w:szCs w:val="22"/>
        </w:rPr>
        <w:tab/>
        <w:t>RRA 0540/17.</w:t>
      </w:r>
      <w:r w:rsidRPr="006D30D1">
        <w:rPr>
          <w:rFonts w:ascii="Palatino Linotype" w:eastAsia="Palatino Linotype" w:hAnsi="Palatino Linotype" w:cs="Palatino Linotype"/>
          <w:i/>
          <w:sz w:val="22"/>
          <w:szCs w:val="22"/>
        </w:rPr>
        <w:t xml:space="preserve"> Secretaría de Economía. 08 de marzo del 2017. Por unanimidad. Comisionado Ponente Francisco Javier Acuña Llamas.</w:t>
      </w:r>
    </w:p>
    <w:p w:rsidR="00907180" w:rsidRPr="006D30D1" w:rsidRDefault="00907180">
      <w:pPr>
        <w:pBdr>
          <w:top w:val="nil"/>
          <w:left w:val="nil"/>
          <w:bottom w:val="nil"/>
          <w:right w:val="nil"/>
          <w:between w:val="nil"/>
        </w:pBdr>
        <w:spacing w:line="360" w:lineRule="auto"/>
        <w:ind w:right="-929"/>
        <w:jc w:val="both"/>
        <w:rPr>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En otro orden de ideas, cabe precisar que el Sujeto Obligado no se encuentra forzado normativamente a procesar la información; ello, conforme al artículo 12 de la Ley de Transparencia y Acceso a la Información Pública del Estado de México y Municipios, que prevé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w:t>
      </w:r>
      <w:r w:rsidRPr="006D30D1">
        <w:rPr>
          <w:rFonts w:ascii="Palatino Linotype" w:eastAsia="Palatino Linotype" w:hAnsi="Palatino Linotype" w:cs="Palatino Linotype"/>
        </w:rPr>
        <w:t>resumir</w:t>
      </w:r>
      <w:r w:rsidRPr="006D30D1">
        <w:rPr>
          <w:rFonts w:ascii="Palatino Linotype" w:eastAsia="Palatino Linotype" w:hAnsi="Palatino Linotype" w:cs="Palatino Linotype"/>
          <w:color w:val="000000"/>
        </w:rPr>
        <w:t>, efectuar cálculos o practicar investigaciones.</w:t>
      </w: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6D30D1">
        <w:rPr>
          <w:rFonts w:ascii="Palatino Linotype" w:eastAsia="Palatino Linotype" w:hAnsi="Palatino Linotype" w:cs="Palatino Linotype"/>
          <w:i/>
          <w:color w:val="000000"/>
        </w:rPr>
        <w:t>ad hoc</w:t>
      </w:r>
      <w:r w:rsidRPr="006D30D1">
        <w:rPr>
          <w:rFonts w:ascii="Palatino Linotype" w:eastAsia="Palatino Linotype" w:hAnsi="Palatino Linotype" w:cs="Palatino Linotype"/>
          <w:color w:val="000000"/>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6D30D1">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También lo es que no existe normatividad o precepto legal </w:t>
      </w:r>
      <w:r w:rsidRPr="006D30D1">
        <w:rPr>
          <w:rFonts w:ascii="Palatino Linotype" w:eastAsia="Palatino Linotype" w:hAnsi="Palatino Linotype" w:cs="Palatino Linotype"/>
          <w:b/>
          <w:color w:val="000000"/>
        </w:rPr>
        <w:t>que lo impida</w:t>
      </w:r>
      <w:r w:rsidRPr="006D30D1">
        <w:rPr>
          <w:rFonts w:ascii="Palatino Linotype" w:eastAsia="Palatino Linotype" w:hAnsi="Palatino Linotype" w:cs="Palatino Linotype"/>
          <w:color w:val="000000"/>
        </w:rPr>
        <w:t xml:space="preserve">, de modo tal que un pronunciamiento que de atención a lo requerido eventualmente puede colmar el cumplimiento de la presente resolución, lo cual no implica que el </w:t>
      </w:r>
      <w:r w:rsidRPr="006D30D1">
        <w:rPr>
          <w:rFonts w:ascii="Palatino Linotype" w:eastAsia="Palatino Linotype" w:hAnsi="Palatino Linotype" w:cs="Palatino Linotype"/>
          <w:b/>
          <w:color w:val="000000"/>
        </w:rPr>
        <w:t>SUJETO OBLIGADO</w:t>
      </w:r>
      <w:r w:rsidRPr="006D30D1">
        <w:rPr>
          <w:rFonts w:ascii="Palatino Linotype" w:eastAsia="Palatino Linotype" w:hAnsi="Palatino Linotype" w:cs="Palatino Linotype"/>
          <w:color w:val="000000"/>
        </w:rPr>
        <w:t xml:space="preserve"> procese la información.</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w:t>
      </w:r>
      <w:r w:rsidRPr="006D30D1">
        <w:rPr>
          <w:rFonts w:ascii="Palatino Linotype" w:eastAsia="Palatino Linotype" w:hAnsi="Palatino Linotype" w:cs="Palatino Linotype"/>
        </w:rPr>
        <w:t>resumir</w:t>
      </w:r>
      <w:r w:rsidRPr="006D30D1">
        <w:rPr>
          <w:rFonts w:ascii="Palatino Linotype" w:eastAsia="Palatino Linotype" w:hAnsi="Palatino Linotype" w:cs="Palatino Linotype"/>
          <w:color w:val="000000"/>
        </w:rPr>
        <w:t xml:space="preserve">, efectuar cálculos o practicar investigaciones; tal y como se señala a continuación: </w:t>
      </w:r>
    </w:p>
    <w:p w:rsidR="00907180" w:rsidRPr="006D30D1" w:rsidRDefault="007C2B39">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r w:rsidRPr="006D30D1">
        <w:rPr>
          <w:rFonts w:ascii="Palatino Linotype" w:eastAsia="Palatino Linotype" w:hAnsi="Palatino Linotype" w:cs="Palatino Linotype"/>
          <w:b/>
          <w:i/>
          <w:color w:val="000000"/>
          <w:sz w:val="22"/>
          <w:szCs w:val="22"/>
        </w:rPr>
        <w:t>Artículo 12.</w:t>
      </w:r>
      <w:r w:rsidRPr="006D30D1">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907180" w:rsidRPr="006D30D1" w:rsidRDefault="00907180">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907180" w:rsidRPr="006D30D1" w:rsidRDefault="00907180">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u w:val="single"/>
        </w:rPr>
      </w:pPr>
    </w:p>
    <w:p w:rsidR="00907180" w:rsidRPr="006D30D1" w:rsidRDefault="007C2B39">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D30D1">
        <w:rPr>
          <w:rFonts w:ascii="Palatino Linotype" w:eastAsia="Palatino Linotype" w:hAnsi="Palatino Linotype" w:cs="Palatino Linotype"/>
          <w:i/>
          <w:color w:val="000000"/>
          <w:sz w:val="22"/>
          <w:szCs w:val="22"/>
        </w:rPr>
        <w:t>”</w:t>
      </w:r>
    </w:p>
    <w:p w:rsidR="00907180" w:rsidRPr="006D30D1" w:rsidRDefault="007C2B39">
      <w:pPr>
        <w:pBdr>
          <w:top w:val="nil"/>
          <w:left w:val="nil"/>
          <w:bottom w:val="nil"/>
          <w:right w:val="nil"/>
          <w:between w:val="nil"/>
        </w:pBdr>
        <w:ind w:left="1134" w:right="-220"/>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(Énfasis añadido)</w:t>
      </w:r>
    </w:p>
    <w:p w:rsidR="00907180" w:rsidRPr="006D30D1" w:rsidRDefault="00907180">
      <w:pPr>
        <w:pBdr>
          <w:top w:val="nil"/>
          <w:left w:val="nil"/>
          <w:bottom w:val="nil"/>
          <w:right w:val="nil"/>
          <w:between w:val="nil"/>
        </w:pBdr>
        <w:spacing w:line="360" w:lineRule="auto"/>
        <w:ind w:left="505"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En síntesis, el derecho de acceso a la información pública se satisface en aquellos casos en que se entregue el soporte documental en que conste la información pública. Asimismo, </w:t>
      </w:r>
      <w:r w:rsidRPr="006D30D1">
        <w:rPr>
          <w:rFonts w:ascii="Palatino Linotype" w:eastAsia="Palatino Linotype" w:hAnsi="Palatino Linotype" w:cs="Palatino Linotype"/>
          <w:color w:val="000000"/>
        </w:rPr>
        <w:lastRenderedPageBreak/>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r w:rsidRPr="006D30D1">
        <w:rPr>
          <w:rFonts w:ascii="Palatino Linotype" w:eastAsia="Palatino Linotype" w:hAnsi="Palatino Linotype" w:cs="Palatino Linotype"/>
          <w:b/>
          <w:i/>
          <w:color w:val="000000"/>
          <w:sz w:val="22"/>
          <w:szCs w:val="22"/>
        </w:rPr>
        <w:t xml:space="preserve">Artículo 3. </w:t>
      </w:r>
      <w:r w:rsidRPr="006D30D1">
        <w:rPr>
          <w:rFonts w:ascii="Palatino Linotype" w:eastAsia="Palatino Linotype" w:hAnsi="Palatino Linotype" w:cs="Palatino Linotype"/>
          <w:i/>
          <w:color w:val="000000"/>
          <w:sz w:val="22"/>
          <w:szCs w:val="22"/>
        </w:rPr>
        <w:t>Para los efectos de la presente Ley se entenderá por:</w:t>
      </w: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7C2B39">
      <w:pPr>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b/>
          <w:i/>
          <w:color w:val="000000"/>
          <w:sz w:val="22"/>
          <w:szCs w:val="22"/>
        </w:rPr>
        <w:t>XI. Documento:</w:t>
      </w:r>
      <w:r w:rsidRPr="006D30D1">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907180" w:rsidRPr="006D30D1" w:rsidRDefault="007C2B39">
      <w:pPr>
        <w:spacing w:line="360" w:lineRule="auto"/>
        <w:ind w:left="1134" w:right="-220"/>
        <w:jc w:val="both"/>
        <w:rPr>
          <w:rFonts w:ascii="Palatino Linotype" w:eastAsia="Palatino Linotype" w:hAnsi="Palatino Linotype" w:cs="Palatino Linotype"/>
          <w:i/>
          <w:color w:val="000000"/>
          <w:sz w:val="22"/>
          <w:szCs w:val="22"/>
        </w:rPr>
      </w:pPr>
      <w:r w:rsidRPr="006D30D1">
        <w:rPr>
          <w:rFonts w:ascii="Palatino Linotype" w:eastAsia="Palatino Linotype" w:hAnsi="Palatino Linotype" w:cs="Palatino Linotype"/>
          <w:i/>
          <w:color w:val="000000"/>
          <w:sz w:val="22"/>
          <w:szCs w:val="22"/>
        </w:rPr>
        <w:t>(…)”</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Información </w:t>
      </w:r>
      <w:r w:rsidRPr="006D30D1">
        <w:rPr>
          <w:rFonts w:ascii="Palatino Linotype" w:eastAsia="Palatino Linotype" w:hAnsi="Palatino Linotype" w:cs="Palatino Linotype"/>
          <w:color w:val="000000"/>
        </w:rPr>
        <w:lastRenderedPageBreak/>
        <w:t>Pública del Estado de México y Municipios; publicado en el Periódico Oficial del Gobierno del Estado Libre y Soberano de México “Gaceta del Gobierno”, el diecinueve de octubre de dos mil once, cuyo rubro y texto dispone:</w:t>
      </w:r>
    </w:p>
    <w:p w:rsidR="00907180" w:rsidRPr="006D30D1" w:rsidRDefault="007C2B39">
      <w:pPr>
        <w:ind w:left="1134" w:right="-220"/>
        <w:jc w:val="both"/>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sz w:val="22"/>
          <w:szCs w:val="22"/>
        </w:rPr>
        <w:t>“</w:t>
      </w:r>
      <w:r w:rsidRPr="006D30D1">
        <w:rPr>
          <w:rFonts w:ascii="Palatino Linotype" w:eastAsia="Palatino Linotype" w:hAnsi="Palatino Linotype" w:cs="Palatino Linotype"/>
          <w:b/>
          <w:i/>
          <w:sz w:val="22"/>
          <w:szCs w:val="22"/>
        </w:rPr>
        <w:t>CRITERIO 0002-11</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D30D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En consecuencia el acceso a la información se refiere a que se cumplan cualquiera de los siguientes tres supuestos:</w:t>
      </w:r>
    </w:p>
    <w:p w:rsidR="00907180" w:rsidRPr="006D30D1" w:rsidRDefault="007C2B39">
      <w:pPr>
        <w:ind w:left="1134" w:right="-220"/>
        <w:jc w:val="both"/>
        <w:rPr>
          <w:rFonts w:ascii="Palatino Linotype" w:eastAsia="Palatino Linotype" w:hAnsi="Palatino Linotype" w:cs="Palatino Linotype"/>
          <w:b/>
          <w:i/>
          <w:sz w:val="22"/>
          <w:szCs w:val="22"/>
        </w:rPr>
      </w:pPr>
      <w:r w:rsidRPr="006D30D1">
        <w:rPr>
          <w:rFonts w:ascii="Palatino Linotype" w:eastAsia="Palatino Linotype" w:hAnsi="Palatino Linotype" w:cs="Palatino Linotype"/>
          <w:b/>
          <w:i/>
          <w:sz w:val="22"/>
          <w:szCs w:val="22"/>
        </w:rPr>
        <w:t xml:space="preserve">1) </w:t>
      </w:r>
      <w:r w:rsidRPr="006D30D1">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907180" w:rsidRPr="006D30D1" w:rsidRDefault="007C2B39">
      <w:pPr>
        <w:tabs>
          <w:tab w:val="left" w:pos="851"/>
        </w:tabs>
        <w:spacing w:line="360" w:lineRule="auto"/>
        <w:ind w:left="1134" w:right="-220"/>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t>(Énfasis Añadido)</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Por su parte los artículos 160 y 166, de la Ley local en la materia, que se reproduce de la siguiente forma:</w:t>
      </w: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w:t>
      </w:r>
      <w:r w:rsidRPr="006D30D1">
        <w:rPr>
          <w:rFonts w:ascii="Palatino Linotype" w:eastAsia="Palatino Linotype" w:hAnsi="Palatino Linotype" w:cs="Palatino Linotype"/>
          <w:b/>
          <w:i/>
          <w:sz w:val="22"/>
          <w:szCs w:val="22"/>
        </w:rPr>
        <w:t>Artículo 160.</w:t>
      </w:r>
      <w:r w:rsidRPr="006D30D1">
        <w:rPr>
          <w:rFonts w:ascii="Palatino Linotype" w:eastAsia="Palatino Linotype" w:hAnsi="Palatino Linotype" w:cs="Palatino Linotype"/>
          <w:i/>
          <w:sz w:val="22"/>
          <w:szCs w:val="22"/>
        </w:rPr>
        <w:t xml:space="preserve"> </w:t>
      </w:r>
      <w:r w:rsidRPr="006D30D1">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6D30D1">
        <w:rPr>
          <w:rFonts w:ascii="Palatino Linotype" w:eastAsia="Palatino Linotype" w:hAnsi="Palatino Linotype" w:cs="Palatino Linotype"/>
          <w:i/>
          <w:sz w:val="22"/>
          <w:szCs w:val="22"/>
        </w:rPr>
        <w:t>.</w:t>
      </w:r>
    </w:p>
    <w:p w:rsidR="00907180" w:rsidRPr="006D30D1" w:rsidRDefault="00907180">
      <w:pPr>
        <w:ind w:left="1134" w:right="-220"/>
        <w:jc w:val="both"/>
        <w:rPr>
          <w:rFonts w:ascii="Palatino Linotype" w:eastAsia="Palatino Linotype" w:hAnsi="Palatino Linotype" w:cs="Palatino Linotype"/>
          <w:i/>
          <w:sz w:val="22"/>
          <w:szCs w:val="22"/>
        </w:rPr>
      </w:pPr>
    </w:p>
    <w:p w:rsidR="00907180" w:rsidRPr="006D30D1" w:rsidRDefault="007C2B39">
      <w:pPr>
        <w:ind w:left="1134" w:right="-220"/>
        <w:jc w:val="both"/>
        <w:rPr>
          <w:rFonts w:ascii="Palatino Linotype" w:eastAsia="Palatino Linotype" w:hAnsi="Palatino Linotype" w:cs="Palatino Linotype"/>
          <w:i/>
          <w:sz w:val="22"/>
          <w:szCs w:val="22"/>
        </w:rPr>
      </w:pPr>
      <w:r w:rsidRPr="006D30D1">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907180" w:rsidRPr="006D30D1" w:rsidRDefault="007C2B39">
      <w:pPr>
        <w:ind w:left="1134" w:right="-220"/>
        <w:jc w:val="both"/>
        <w:rPr>
          <w:rFonts w:ascii="Palatino Linotype" w:eastAsia="Palatino Linotype" w:hAnsi="Palatino Linotype" w:cs="Palatino Linotype"/>
          <w:i/>
          <w:sz w:val="22"/>
          <w:szCs w:val="22"/>
          <w:u w:val="single"/>
        </w:rPr>
      </w:pPr>
      <w:r w:rsidRPr="006D30D1">
        <w:rPr>
          <w:rFonts w:ascii="Palatino Linotype" w:eastAsia="Palatino Linotype" w:hAnsi="Palatino Linotype" w:cs="Palatino Linotype"/>
          <w:b/>
          <w:i/>
          <w:sz w:val="22"/>
          <w:szCs w:val="22"/>
        </w:rPr>
        <w:t>Artículo 166.</w:t>
      </w:r>
      <w:r w:rsidRPr="006D30D1">
        <w:rPr>
          <w:rFonts w:ascii="Palatino Linotype" w:eastAsia="Palatino Linotype" w:hAnsi="Palatino Linotype" w:cs="Palatino Linotype"/>
          <w:i/>
          <w:sz w:val="22"/>
          <w:szCs w:val="22"/>
        </w:rPr>
        <w:t xml:space="preserve"> </w:t>
      </w:r>
      <w:r w:rsidRPr="006D30D1">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907180" w:rsidRPr="006D30D1" w:rsidRDefault="007C2B39">
      <w:pPr>
        <w:spacing w:line="360" w:lineRule="auto"/>
        <w:ind w:left="1134" w:right="-220"/>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t>(Énfasis añadido)</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rPr>
      </w:pPr>
    </w:p>
    <w:p w:rsidR="00907180" w:rsidRPr="006D30D1" w:rsidRDefault="007C2B39">
      <w:pPr>
        <w:keepNext/>
        <w:keepLines/>
        <w:spacing w:after="160" w:line="360" w:lineRule="auto"/>
        <w:ind w:right="-929"/>
        <w:rPr>
          <w:rFonts w:ascii="Palatino Linotype" w:eastAsia="Palatino Linotype" w:hAnsi="Palatino Linotype" w:cs="Palatino Linotype"/>
          <w:b/>
          <w:color w:val="000000"/>
        </w:rPr>
      </w:pPr>
      <w:r w:rsidRPr="006D30D1">
        <w:rPr>
          <w:rFonts w:ascii="Palatino Linotype" w:eastAsia="Palatino Linotype" w:hAnsi="Palatino Linotype" w:cs="Palatino Linotype"/>
          <w:b/>
        </w:rPr>
        <w:t>QUINTO</w:t>
      </w:r>
      <w:r w:rsidRPr="006D30D1">
        <w:rPr>
          <w:rFonts w:ascii="Palatino Linotype" w:eastAsia="Palatino Linotype" w:hAnsi="Palatino Linotype" w:cs="Palatino Linotype"/>
          <w:b/>
          <w:color w:val="000000"/>
        </w:rPr>
        <w:t>. De la versión pública.</w:t>
      </w:r>
    </w:p>
    <w:p w:rsidR="00907180" w:rsidRPr="006D30D1" w:rsidRDefault="007C2B39">
      <w:pPr>
        <w:keepNext/>
        <w:keepLines/>
        <w:numPr>
          <w:ilvl w:val="0"/>
          <w:numId w:val="3"/>
        </w:numPr>
        <w:tabs>
          <w:tab w:val="left" w:pos="284"/>
        </w:tabs>
        <w:spacing w:after="160" w:line="360" w:lineRule="auto"/>
        <w:ind w:left="0" w:right="-929" w:firstLine="0"/>
        <w:rPr>
          <w:rFonts w:ascii="Palatino Linotype" w:eastAsia="Palatino Linotype" w:hAnsi="Palatino Linotype" w:cs="Palatino Linotype"/>
          <w:b/>
          <w:color w:val="000000"/>
        </w:rPr>
      </w:pPr>
      <w:bookmarkStart w:id="9" w:name="_heading=h.26in1rg" w:colFirst="0" w:colLast="0"/>
      <w:bookmarkEnd w:id="9"/>
      <w:r w:rsidRPr="006D30D1">
        <w:rPr>
          <w:rFonts w:ascii="Palatino Linotype" w:eastAsia="Palatino Linotype" w:hAnsi="Palatino Linotype" w:cs="Palatino Linotype"/>
          <w:b/>
          <w:color w:val="000000"/>
        </w:rPr>
        <w:t xml:space="preserve">Nociones generales. </w:t>
      </w: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 xml:space="preserve">Debe destacarse, que debido a la información solicitada por el </w:t>
      </w:r>
      <w:r w:rsidRPr="006D30D1">
        <w:rPr>
          <w:rFonts w:ascii="Palatino Linotype" w:eastAsia="Palatino Linotype" w:hAnsi="Palatino Linotype" w:cs="Palatino Linotype"/>
          <w:b/>
          <w:color w:val="000000"/>
        </w:rPr>
        <w:t xml:space="preserve">RECURRENTE, </w:t>
      </w:r>
      <w:r w:rsidRPr="006D30D1">
        <w:rPr>
          <w:rFonts w:ascii="Palatino Linotype" w:eastAsia="Palatino Linotype" w:hAnsi="Palatino Linotype" w:cs="Palatino Linotype"/>
          <w:color w:val="000000"/>
        </w:rPr>
        <w:t xml:space="preserve">pueden obrar datos personales susceptibles de protegerse, así como información susceptible de clasificarse como confidencial,  por lo que, el </w:t>
      </w:r>
      <w:r w:rsidRPr="006D30D1">
        <w:rPr>
          <w:rFonts w:ascii="Palatino Linotype" w:eastAsia="Palatino Linotype" w:hAnsi="Palatino Linotype" w:cs="Palatino Linotype"/>
          <w:b/>
          <w:color w:val="000000"/>
        </w:rPr>
        <w:t xml:space="preserve">SUJETO OBLIGADO </w:t>
      </w:r>
      <w:r w:rsidRPr="006D30D1">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907180" w:rsidRPr="006D30D1" w:rsidRDefault="00907180">
      <w:pPr>
        <w:tabs>
          <w:tab w:val="left" w:pos="0"/>
          <w:tab w:val="left" w:pos="284"/>
        </w:tabs>
        <w:spacing w:line="360" w:lineRule="auto"/>
        <w:ind w:right="-929"/>
        <w:jc w:val="both"/>
        <w:rPr>
          <w:rFonts w:ascii="Palatino Linotype" w:eastAsia="Palatino Linotype" w:hAnsi="Palatino Linotype" w:cs="Palatino Linotype"/>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color w:val="000000"/>
        </w:rPr>
        <w:t>No pasa desapercibido para este Órgano Garante que los sujetos obligados</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07180" w:rsidRPr="006D30D1" w:rsidRDefault="00907180">
      <w:pPr>
        <w:tabs>
          <w:tab w:val="left" w:pos="284"/>
        </w:tabs>
        <w:spacing w:after="160" w:line="360" w:lineRule="auto"/>
        <w:ind w:right="-929"/>
        <w:jc w:val="both"/>
        <w:rPr>
          <w:rFonts w:ascii="Palatino Linotype" w:eastAsia="Palatino Linotype" w:hAnsi="Palatino Linotype" w:cs="Palatino Linotype"/>
          <w:color w:val="000000"/>
        </w:rPr>
      </w:pPr>
    </w:p>
    <w:tbl>
      <w:tblPr>
        <w:tblStyle w:val="a8"/>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885"/>
      </w:tblGrid>
      <w:tr w:rsidR="00907180" w:rsidRPr="006D30D1">
        <w:tc>
          <w:tcPr>
            <w:tcW w:w="2835" w:type="dxa"/>
          </w:tcPr>
          <w:p w:rsidR="00907180" w:rsidRPr="006D30D1" w:rsidRDefault="007C2B39">
            <w:pPr>
              <w:tabs>
                <w:tab w:val="left" w:pos="284"/>
              </w:tabs>
              <w:spacing w:line="360" w:lineRule="auto"/>
              <w:ind w:right="43"/>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t>a) Requisitos previos.</w:t>
            </w:r>
          </w:p>
        </w:tc>
        <w:tc>
          <w:tcPr>
            <w:tcW w:w="6885" w:type="dxa"/>
          </w:tcPr>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w:t>
            </w:r>
            <w:r w:rsidRPr="006D30D1">
              <w:rPr>
                <w:rFonts w:ascii="Palatino Linotype" w:eastAsia="Palatino Linotype" w:hAnsi="Palatino Linotype" w:cs="Palatino Linotype"/>
                <w:color w:val="000000"/>
                <w:sz w:val="22"/>
                <w:szCs w:val="22"/>
              </w:rPr>
              <w:lastRenderedPageBreak/>
              <w:t xml:space="preserve">es deber de los titulares de las áreas proponer su clasificación y no del Comité de Transparencia. </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907180" w:rsidRPr="006D30D1" w:rsidRDefault="007C2B39">
            <w:pPr>
              <w:tabs>
                <w:tab w:val="left" w:pos="284"/>
              </w:tabs>
              <w:spacing w:line="360" w:lineRule="auto"/>
              <w:ind w:right="43"/>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6D30D1">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6D30D1">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907180" w:rsidRPr="006D30D1">
        <w:tc>
          <w:tcPr>
            <w:tcW w:w="2835" w:type="dxa"/>
          </w:tcPr>
          <w:p w:rsidR="00907180" w:rsidRPr="006D30D1" w:rsidRDefault="007C2B39">
            <w:pPr>
              <w:tabs>
                <w:tab w:val="left" w:pos="284"/>
              </w:tabs>
              <w:spacing w:line="360" w:lineRule="auto"/>
              <w:ind w:right="43"/>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lastRenderedPageBreak/>
              <w:t>b) Supuestos de clasificación.</w:t>
            </w:r>
          </w:p>
        </w:tc>
        <w:tc>
          <w:tcPr>
            <w:tcW w:w="6885" w:type="dxa"/>
          </w:tcPr>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07180" w:rsidRPr="006D30D1" w:rsidRDefault="007C2B39">
            <w:pPr>
              <w:tabs>
                <w:tab w:val="left" w:pos="284"/>
              </w:tabs>
              <w:spacing w:line="360" w:lineRule="auto"/>
              <w:ind w:right="43"/>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color w:val="000000"/>
                <w:sz w:val="22"/>
                <w:szCs w:val="22"/>
              </w:rPr>
              <w:t xml:space="preserve">El </w:t>
            </w:r>
            <w:r w:rsidRPr="006D30D1">
              <w:rPr>
                <w:rFonts w:ascii="Palatino Linotype" w:eastAsia="Palatino Linotype" w:hAnsi="Palatino Linotype" w:cs="Palatino Linotype"/>
                <w:b/>
                <w:color w:val="000000"/>
                <w:sz w:val="22"/>
                <w:szCs w:val="22"/>
              </w:rPr>
              <w:t>Sujeto Obligado</w:t>
            </w:r>
            <w:r w:rsidRPr="006D30D1">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w:t>
            </w:r>
            <w:r w:rsidRPr="006D30D1">
              <w:rPr>
                <w:rFonts w:ascii="Palatino Linotype" w:eastAsia="Palatino Linotype" w:hAnsi="Palatino Linotype" w:cs="Palatino Linotype"/>
                <w:color w:val="000000"/>
                <w:sz w:val="22"/>
                <w:szCs w:val="22"/>
              </w:rPr>
              <w:lastRenderedPageBreak/>
              <w:t>que el supuesto de hecho corresponde estrictamente con la hipótesis jurídica. Esto también lo debe de realizar el servidor público habilitado y el titular del área que administra la información.</w:t>
            </w:r>
          </w:p>
        </w:tc>
      </w:tr>
      <w:tr w:rsidR="00907180" w:rsidRPr="006D30D1">
        <w:tc>
          <w:tcPr>
            <w:tcW w:w="2835" w:type="dxa"/>
          </w:tcPr>
          <w:p w:rsidR="00907180" w:rsidRPr="006D30D1" w:rsidRDefault="007C2B39">
            <w:pPr>
              <w:tabs>
                <w:tab w:val="left" w:pos="284"/>
              </w:tabs>
              <w:spacing w:line="360" w:lineRule="auto"/>
              <w:ind w:right="43"/>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lastRenderedPageBreak/>
              <w:t>c) Formalidades para emitir el acuerdo de clasificación.</w:t>
            </w:r>
          </w:p>
        </w:tc>
        <w:tc>
          <w:tcPr>
            <w:tcW w:w="6885" w:type="dxa"/>
          </w:tcPr>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Es necesario que </w:t>
            </w:r>
            <w:r w:rsidRPr="006D30D1">
              <w:rPr>
                <w:rFonts w:ascii="Palatino Linotype" w:eastAsia="Palatino Linotype" w:hAnsi="Palatino Linotype" w:cs="Palatino Linotype"/>
                <w:b/>
                <w:color w:val="000000"/>
                <w:sz w:val="22"/>
                <w:szCs w:val="22"/>
                <w:u w:val="single"/>
              </w:rPr>
              <w:t>el acto reúna con los requisitos elementales</w:t>
            </w:r>
            <w:r w:rsidRPr="006D30D1">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907180" w:rsidRPr="006D30D1" w:rsidRDefault="007C2B39">
            <w:pPr>
              <w:tabs>
                <w:tab w:val="left" w:pos="284"/>
              </w:tabs>
              <w:spacing w:line="360" w:lineRule="auto"/>
              <w:ind w:right="43"/>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6D30D1">
              <w:rPr>
                <w:rFonts w:ascii="Palatino Linotype" w:eastAsia="Palatino Linotype" w:hAnsi="Palatino Linotype" w:cs="Palatino Linotype"/>
                <w:sz w:val="22"/>
                <w:szCs w:val="22"/>
              </w:rPr>
              <w:t>El área</w:t>
            </w:r>
            <w:r w:rsidRPr="006D30D1">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07180" w:rsidRPr="006D30D1">
        <w:tc>
          <w:tcPr>
            <w:tcW w:w="2835" w:type="dxa"/>
          </w:tcPr>
          <w:p w:rsidR="00907180" w:rsidRPr="006D30D1" w:rsidRDefault="00907180">
            <w:pPr>
              <w:tabs>
                <w:tab w:val="left" w:pos="284"/>
              </w:tabs>
              <w:spacing w:line="360" w:lineRule="auto"/>
              <w:ind w:right="43"/>
              <w:rPr>
                <w:rFonts w:ascii="Palatino Linotype" w:eastAsia="Palatino Linotype" w:hAnsi="Palatino Linotype" w:cs="Palatino Linotype"/>
                <w:sz w:val="22"/>
                <w:szCs w:val="22"/>
              </w:rPr>
            </w:pPr>
          </w:p>
          <w:p w:rsidR="00907180" w:rsidRPr="006D30D1" w:rsidRDefault="007C2B39">
            <w:pPr>
              <w:tabs>
                <w:tab w:val="left" w:pos="284"/>
              </w:tabs>
              <w:spacing w:line="360" w:lineRule="auto"/>
              <w:ind w:right="43"/>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color w:val="000000"/>
                <w:sz w:val="22"/>
                <w:szCs w:val="22"/>
              </w:rPr>
              <w:t xml:space="preserve">d) Requisitos de fondo del acuerdo de clasificación. </w:t>
            </w:r>
          </w:p>
        </w:tc>
        <w:tc>
          <w:tcPr>
            <w:tcW w:w="6885" w:type="dxa"/>
          </w:tcPr>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D30D1">
              <w:rPr>
                <w:rFonts w:ascii="Palatino Linotype" w:eastAsia="Palatino Linotype" w:hAnsi="Palatino Linotype" w:cs="Palatino Linotype"/>
                <w:b/>
                <w:color w:val="000000"/>
                <w:sz w:val="22"/>
                <w:szCs w:val="22"/>
              </w:rPr>
              <w:t>Sujetos Obligados</w:t>
            </w:r>
            <w:r w:rsidRPr="006D30D1">
              <w:rPr>
                <w:rFonts w:ascii="Palatino Linotype" w:eastAsia="Palatino Linotype" w:hAnsi="Palatino Linotype" w:cs="Palatino Linotype"/>
                <w:color w:val="000000"/>
                <w:sz w:val="22"/>
                <w:szCs w:val="22"/>
              </w:rPr>
              <w:t xml:space="preserve">, por lo que deberán fundar y motivar debidamente la clasificación. </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De lo anterior, se desprende que para una correcta </w:t>
            </w:r>
            <w:r w:rsidRPr="006D30D1">
              <w:rPr>
                <w:rFonts w:ascii="Palatino Linotype" w:eastAsia="Palatino Linotype" w:hAnsi="Palatino Linotype" w:cs="Palatino Linotype"/>
                <w:b/>
                <w:color w:val="000000"/>
                <w:sz w:val="22"/>
                <w:szCs w:val="22"/>
              </w:rPr>
              <w:t>clasificación total o parcial</w:t>
            </w:r>
            <w:r w:rsidRPr="006D30D1">
              <w:rPr>
                <w:rFonts w:ascii="Palatino Linotype" w:eastAsia="Palatino Linotype" w:hAnsi="Palatino Linotype" w:cs="Palatino Linotype"/>
                <w:color w:val="000000"/>
                <w:sz w:val="22"/>
                <w:szCs w:val="22"/>
              </w:rPr>
              <w:t xml:space="preserve">, esto es determinar los datos que se suprimen en las </w:t>
            </w:r>
            <w:r w:rsidRPr="006D30D1">
              <w:rPr>
                <w:rFonts w:ascii="Palatino Linotype" w:eastAsia="Palatino Linotype" w:hAnsi="Palatino Linotype" w:cs="Palatino Linotype"/>
                <w:color w:val="000000"/>
                <w:sz w:val="22"/>
                <w:szCs w:val="22"/>
              </w:rPr>
              <w:lastRenderedPageBreak/>
              <w:t>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Ahora bien, </w:t>
            </w:r>
            <w:r w:rsidRPr="006D30D1">
              <w:rPr>
                <w:rFonts w:ascii="Palatino Linotype" w:eastAsia="Palatino Linotype" w:hAnsi="Palatino Linotype" w:cs="Palatino Linotype"/>
                <w:b/>
                <w:color w:val="000000"/>
                <w:sz w:val="22"/>
                <w:szCs w:val="22"/>
                <w:u w:val="single"/>
              </w:rPr>
              <w:t>para cada caso además de fundar y motivar</w:t>
            </w:r>
            <w:r w:rsidRPr="006D30D1">
              <w:rPr>
                <w:rFonts w:ascii="Palatino Linotype" w:eastAsia="Palatino Linotype" w:hAnsi="Palatino Linotype" w:cs="Palatino Linotype"/>
                <w:color w:val="000000"/>
                <w:sz w:val="22"/>
                <w:szCs w:val="22"/>
              </w:rPr>
              <w:t xml:space="preserve">, se debe identificar con claridad </w:t>
            </w:r>
            <w:r w:rsidRPr="006D30D1">
              <w:rPr>
                <w:rFonts w:ascii="Palatino Linotype" w:eastAsia="Palatino Linotype" w:hAnsi="Palatino Linotype" w:cs="Palatino Linotype"/>
                <w:sz w:val="22"/>
                <w:szCs w:val="22"/>
              </w:rPr>
              <w:t>qué</w:t>
            </w:r>
            <w:r w:rsidRPr="006D30D1">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07180" w:rsidRPr="006D30D1">
        <w:tc>
          <w:tcPr>
            <w:tcW w:w="2835" w:type="dxa"/>
          </w:tcPr>
          <w:p w:rsidR="00907180" w:rsidRPr="006D30D1" w:rsidRDefault="007C2B39">
            <w:pPr>
              <w:tabs>
                <w:tab w:val="left" w:pos="284"/>
              </w:tabs>
              <w:spacing w:line="360" w:lineRule="auto"/>
              <w:ind w:right="43"/>
              <w:jc w:val="both"/>
              <w:rPr>
                <w:rFonts w:ascii="Palatino Linotype" w:eastAsia="Palatino Linotype" w:hAnsi="Palatino Linotype" w:cs="Palatino Linotype"/>
                <w:sz w:val="22"/>
                <w:szCs w:val="22"/>
              </w:rPr>
            </w:pPr>
            <w:r w:rsidRPr="006D30D1">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85" w:type="dxa"/>
          </w:tcPr>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907180" w:rsidRPr="006D30D1" w:rsidRDefault="007C2B39">
            <w:pPr>
              <w:tabs>
                <w:tab w:val="left" w:pos="284"/>
              </w:tabs>
              <w:spacing w:line="360" w:lineRule="auto"/>
              <w:ind w:right="43"/>
              <w:jc w:val="both"/>
              <w:rPr>
                <w:rFonts w:ascii="Palatino Linotype" w:eastAsia="Palatino Linotype" w:hAnsi="Palatino Linotype" w:cs="Palatino Linotype"/>
                <w:color w:val="000000"/>
                <w:sz w:val="22"/>
                <w:szCs w:val="22"/>
              </w:rPr>
            </w:pPr>
            <w:r w:rsidRPr="006D30D1">
              <w:rPr>
                <w:rFonts w:ascii="Palatino Linotype" w:eastAsia="Palatino Linotype" w:hAnsi="Palatino Linotype" w:cs="Palatino Linotype"/>
                <w:color w:val="000000"/>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07180" w:rsidRPr="006D30D1" w:rsidRDefault="007C2B39">
            <w:pPr>
              <w:tabs>
                <w:tab w:val="left" w:pos="284"/>
              </w:tabs>
              <w:spacing w:line="360" w:lineRule="auto"/>
              <w:ind w:right="43"/>
              <w:rPr>
                <w:rFonts w:ascii="Palatino Linotype" w:eastAsia="Palatino Linotype" w:hAnsi="Palatino Linotype" w:cs="Palatino Linotype"/>
                <w:sz w:val="22"/>
                <w:szCs w:val="22"/>
              </w:rPr>
            </w:pPr>
            <w:r w:rsidRPr="006D30D1">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07180" w:rsidRPr="006D30D1" w:rsidRDefault="00907180">
      <w:pPr>
        <w:tabs>
          <w:tab w:val="left" w:pos="284"/>
        </w:tabs>
        <w:spacing w:line="360" w:lineRule="auto"/>
        <w:ind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07180" w:rsidRPr="006D30D1" w:rsidRDefault="00907180">
      <w:pPr>
        <w:pBdr>
          <w:top w:val="nil"/>
          <w:left w:val="nil"/>
          <w:bottom w:val="nil"/>
          <w:right w:val="nil"/>
          <w:between w:val="nil"/>
        </w:pBdr>
        <w:spacing w:line="360" w:lineRule="auto"/>
        <w:ind w:right="-929"/>
        <w:jc w:val="both"/>
        <w:rPr>
          <w:rFonts w:ascii="Palatino Linotype" w:eastAsia="Palatino Linotype" w:hAnsi="Palatino Linotype" w:cs="Palatino Linotype"/>
        </w:rPr>
      </w:pPr>
    </w:p>
    <w:p w:rsidR="00907180" w:rsidRPr="006D30D1" w:rsidRDefault="007C2B39">
      <w:pPr>
        <w:numPr>
          <w:ilvl w:val="0"/>
          <w:numId w:val="2"/>
        </w:num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r w:rsidRPr="006D30D1">
        <w:rPr>
          <w:rFonts w:ascii="Palatino Linotype" w:eastAsia="Palatino Linotype" w:hAnsi="Palatino Linotype" w:cs="Palatino Linotype"/>
          <w:b/>
          <w:color w:val="000000"/>
          <w:u w:val="single"/>
        </w:rPr>
        <w:t xml:space="preserve">Conclusión </w:t>
      </w:r>
    </w:p>
    <w:p w:rsidR="00907180" w:rsidRPr="006D30D1" w:rsidRDefault="007C2B39">
      <w:pPr>
        <w:numPr>
          <w:ilvl w:val="0"/>
          <w:numId w:val="1"/>
        </w:numPr>
        <w:pBdr>
          <w:top w:val="nil"/>
          <w:left w:val="nil"/>
          <w:bottom w:val="nil"/>
          <w:right w:val="nil"/>
          <w:between w:val="nil"/>
        </w:pBdr>
        <w:spacing w:line="360" w:lineRule="auto"/>
        <w:ind w:left="0" w:right="-929" w:firstLine="0"/>
        <w:jc w:val="both"/>
        <w:rPr>
          <w:color w:val="000000"/>
        </w:rPr>
      </w:pPr>
      <w:r w:rsidRPr="006D30D1">
        <w:rPr>
          <w:rFonts w:ascii="Palatino Linotype" w:eastAsia="Palatino Linotype" w:hAnsi="Palatino Linotype" w:cs="Palatino Linotype"/>
        </w:rPr>
        <w:t>En consecuencia, se consideran fundadas las razones o motivos de inconformidad que plantea el</w:t>
      </w:r>
      <w:r w:rsidRPr="006D30D1">
        <w:rPr>
          <w:rFonts w:ascii="Palatino Linotype" w:eastAsia="Palatino Linotype" w:hAnsi="Palatino Linotype" w:cs="Palatino Linotype"/>
          <w:b/>
        </w:rPr>
        <w:t xml:space="preserve"> RECURRENTE</w:t>
      </w:r>
      <w:r w:rsidRPr="006D30D1">
        <w:rPr>
          <w:rFonts w:ascii="Palatino Linotype" w:eastAsia="Palatino Linotype" w:hAnsi="Palatino Linotype" w:cs="Palatino Linotype"/>
        </w:rPr>
        <w:t xml:space="preserve">. </w:t>
      </w:r>
    </w:p>
    <w:p w:rsidR="00907180" w:rsidRPr="006D30D1" w:rsidRDefault="00907180">
      <w:pPr>
        <w:ind w:right="-929"/>
        <w:rPr>
          <w:rFonts w:ascii="Palatino Linotype" w:eastAsia="Palatino Linotype" w:hAnsi="Palatino Linotype" w:cs="Palatino Linotype"/>
          <w:color w:val="000000"/>
        </w:rPr>
      </w:pPr>
    </w:p>
    <w:p w:rsidR="00907180" w:rsidRPr="006D30D1" w:rsidRDefault="007C2B39">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222222"/>
        </w:rPr>
      </w:pPr>
      <w:r w:rsidRPr="006D30D1">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6D30D1">
        <w:rPr>
          <w:rFonts w:ascii="Palatino Linotype" w:eastAsia="Palatino Linotype" w:hAnsi="Palatino Linotype" w:cs="Palatino Linotype"/>
          <w:b/>
          <w:color w:val="000000"/>
        </w:rPr>
        <w:t>ÓRGANO GARANTE</w:t>
      </w:r>
      <w:r w:rsidRPr="006D30D1">
        <w:rPr>
          <w:rFonts w:ascii="Palatino Linotype" w:eastAsia="Palatino Linotype" w:hAnsi="Palatino Linotype" w:cs="Palatino Linotype"/>
          <w:color w:val="000000"/>
        </w:rPr>
        <w:t xml:space="preserve"> emite los siguientes</w:t>
      </w:r>
      <w:r w:rsidRPr="006D30D1">
        <w:rPr>
          <w:rFonts w:ascii="Palatino Linotype" w:eastAsia="Palatino Linotype" w:hAnsi="Palatino Linotype" w:cs="Palatino Linotype"/>
          <w:color w:val="222222"/>
        </w:rPr>
        <w:t xml:space="preserve">: </w:t>
      </w:r>
    </w:p>
    <w:p w:rsidR="00907180" w:rsidRPr="006D30D1" w:rsidRDefault="00907180">
      <w:pPr>
        <w:spacing w:line="360" w:lineRule="auto"/>
        <w:ind w:right="-929"/>
        <w:jc w:val="both"/>
        <w:rPr>
          <w:rFonts w:ascii="Palatino Linotype" w:eastAsia="Palatino Linotype" w:hAnsi="Palatino Linotype" w:cs="Palatino Linotype"/>
          <w:color w:val="000000"/>
        </w:rPr>
      </w:pPr>
    </w:p>
    <w:p w:rsidR="00907180" w:rsidRPr="006D30D1" w:rsidRDefault="007C2B39">
      <w:pPr>
        <w:keepNext/>
        <w:keepLines/>
        <w:spacing w:line="360" w:lineRule="auto"/>
        <w:ind w:right="-929"/>
        <w:jc w:val="center"/>
        <w:rPr>
          <w:rFonts w:ascii="Palatino Linotype" w:eastAsia="Palatino Linotype" w:hAnsi="Palatino Linotype" w:cs="Palatino Linotype"/>
          <w:b/>
          <w:color w:val="000000"/>
        </w:rPr>
      </w:pPr>
      <w:r w:rsidRPr="006D30D1">
        <w:rPr>
          <w:rFonts w:ascii="Palatino Linotype" w:eastAsia="Palatino Linotype" w:hAnsi="Palatino Linotype" w:cs="Palatino Linotype"/>
          <w:b/>
          <w:color w:val="000000"/>
        </w:rPr>
        <w:t>R E S O L U T I V O S</w:t>
      </w:r>
    </w:p>
    <w:p w:rsidR="00907180" w:rsidRPr="006D30D1" w:rsidRDefault="00907180">
      <w:pPr>
        <w:ind w:right="-929"/>
        <w:rPr>
          <w:rFonts w:ascii="Palatino Linotype" w:eastAsia="Palatino Linotype" w:hAnsi="Palatino Linotype" w:cs="Palatino Linotype"/>
          <w:b/>
        </w:rPr>
      </w:pPr>
    </w:p>
    <w:p w:rsidR="00907180" w:rsidRPr="006D30D1" w:rsidRDefault="007C2B39">
      <w:pPr>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b/>
        </w:rPr>
        <w:t xml:space="preserve">PRIMERO. </w:t>
      </w:r>
      <w:r w:rsidRPr="006D30D1">
        <w:rPr>
          <w:rFonts w:ascii="Palatino Linotype" w:eastAsia="Palatino Linotype" w:hAnsi="Palatino Linotype" w:cs="Palatino Linotype"/>
        </w:rPr>
        <w:t>Resultan fundadas las</w:t>
      </w:r>
      <w:r w:rsidRPr="006D30D1">
        <w:rPr>
          <w:rFonts w:ascii="Palatino Linotype" w:eastAsia="Palatino Linotype" w:hAnsi="Palatino Linotype" w:cs="Palatino Linotype"/>
          <w:b/>
        </w:rPr>
        <w:t xml:space="preserve"> </w:t>
      </w:r>
      <w:r w:rsidRPr="006D30D1">
        <w:rPr>
          <w:rFonts w:ascii="Palatino Linotype" w:eastAsia="Palatino Linotype" w:hAnsi="Palatino Linotype" w:cs="Palatino Linotype"/>
        </w:rPr>
        <w:t>razones o motivos de inconformidad hechos valer en el Recurso de Revisión</w:t>
      </w:r>
      <w:r w:rsidRPr="006D30D1">
        <w:rPr>
          <w:rFonts w:ascii="Palatino Linotype" w:eastAsia="Palatino Linotype" w:hAnsi="Palatino Linotype" w:cs="Palatino Linotype"/>
          <w:b/>
        </w:rPr>
        <w:t> </w:t>
      </w:r>
      <w:r w:rsidRPr="006D30D1">
        <w:rPr>
          <w:rFonts w:ascii="Palatino Linotype" w:eastAsia="Palatino Linotype" w:hAnsi="Palatino Linotype" w:cs="Palatino Linotype"/>
          <w:b/>
          <w:color w:val="000000"/>
        </w:rPr>
        <w:t xml:space="preserve">04143/INFOEM/IP/RR/2024 </w:t>
      </w:r>
      <w:r w:rsidRPr="006D30D1">
        <w:rPr>
          <w:rFonts w:ascii="Palatino Linotype" w:eastAsia="Palatino Linotype" w:hAnsi="Palatino Linotype" w:cs="Palatino Linotype"/>
        </w:rPr>
        <w:t xml:space="preserve">en términos del </w:t>
      </w:r>
      <w:r w:rsidRPr="006D30D1">
        <w:rPr>
          <w:rFonts w:ascii="Palatino Linotype" w:eastAsia="Palatino Linotype" w:hAnsi="Palatino Linotype" w:cs="Palatino Linotype"/>
          <w:b/>
        </w:rPr>
        <w:t xml:space="preserve">Considerando CUARTO Y QUINTO </w:t>
      </w:r>
      <w:r w:rsidRPr="006D30D1">
        <w:rPr>
          <w:rFonts w:ascii="Palatino Linotype" w:eastAsia="Palatino Linotype" w:hAnsi="Palatino Linotype" w:cs="Palatino Linotype"/>
        </w:rPr>
        <w:t>de la presente resolución.</w:t>
      </w:r>
    </w:p>
    <w:p w:rsidR="00907180" w:rsidRPr="006D30D1" w:rsidRDefault="00907180">
      <w:pPr>
        <w:spacing w:line="360" w:lineRule="auto"/>
        <w:ind w:right="-929"/>
        <w:jc w:val="both"/>
        <w:rPr>
          <w:rFonts w:ascii="Palatino Linotype" w:eastAsia="Palatino Linotype" w:hAnsi="Palatino Linotype" w:cs="Palatino Linotype"/>
          <w:b/>
        </w:rPr>
      </w:pPr>
    </w:p>
    <w:p w:rsidR="00907180" w:rsidRPr="006D30D1" w:rsidRDefault="007C2B39">
      <w:pPr>
        <w:spacing w:line="360" w:lineRule="auto"/>
        <w:ind w:right="-929"/>
        <w:jc w:val="both"/>
        <w:rPr>
          <w:rFonts w:ascii="Palatino Linotype" w:eastAsia="Palatino Linotype" w:hAnsi="Palatino Linotype" w:cs="Palatino Linotype"/>
        </w:rPr>
      </w:pPr>
      <w:bookmarkStart w:id="10" w:name="_heading=h.17dp8vu" w:colFirst="0" w:colLast="0"/>
      <w:bookmarkEnd w:id="10"/>
      <w:r w:rsidRPr="006D30D1">
        <w:rPr>
          <w:rFonts w:ascii="Palatino Linotype" w:eastAsia="Palatino Linotype" w:hAnsi="Palatino Linotype" w:cs="Palatino Linotype"/>
          <w:b/>
        </w:rPr>
        <w:t>SEGUNDO.</w:t>
      </w:r>
      <w:r w:rsidRPr="006D30D1">
        <w:rPr>
          <w:rFonts w:ascii="Palatino Linotype" w:eastAsia="Palatino Linotype" w:hAnsi="Palatino Linotype" w:cs="Palatino Linotype"/>
          <w:color w:val="2F5496"/>
        </w:rPr>
        <w:t xml:space="preserve"> </w:t>
      </w:r>
      <w:r w:rsidRPr="006D30D1">
        <w:rPr>
          <w:rFonts w:ascii="Palatino Linotype" w:eastAsia="Palatino Linotype" w:hAnsi="Palatino Linotype" w:cs="Palatino Linotype"/>
          <w:color w:val="000000"/>
        </w:rPr>
        <w:t xml:space="preserve">Se </w:t>
      </w:r>
      <w:r w:rsidRPr="006D30D1">
        <w:rPr>
          <w:rFonts w:ascii="Palatino Linotype" w:eastAsia="Palatino Linotype" w:hAnsi="Palatino Linotype" w:cs="Palatino Linotype"/>
          <w:b/>
          <w:color w:val="000000"/>
        </w:rPr>
        <w:t xml:space="preserve">REVOCA </w:t>
      </w:r>
      <w:r w:rsidRPr="006D30D1">
        <w:rPr>
          <w:rFonts w:ascii="Palatino Linotype" w:eastAsia="Palatino Linotype" w:hAnsi="Palatino Linotype" w:cs="Palatino Linotype"/>
          <w:color w:val="000000"/>
        </w:rPr>
        <w:t xml:space="preserve">la respuesta emitida por el </w:t>
      </w:r>
      <w:r w:rsidRPr="006D30D1">
        <w:rPr>
          <w:rFonts w:ascii="Palatino Linotype" w:eastAsia="Palatino Linotype" w:hAnsi="Palatino Linotype" w:cs="Palatino Linotype"/>
          <w:b/>
        </w:rPr>
        <w:t>Ayuntamiento de Morelos</w:t>
      </w:r>
      <w:r w:rsidRPr="006D30D1">
        <w:rPr>
          <w:rFonts w:ascii="Palatino Linotype" w:eastAsia="Palatino Linotype" w:hAnsi="Palatino Linotype" w:cs="Palatino Linotype"/>
          <w:b/>
          <w:color w:val="000000"/>
        </w:rPr>
        <w:t xml:space="preserve"> </w:t>
      </w:r>
      <w:r w:rsidRPr="006D30D1">
        <w:rPr>
          <w:rFonts w:ascii="Palatino Linotype" w:eastAsia="Palatino Linotype" w:hAnsi="Palatino Linotype" w:cs="Palatino Linotype"/>
          <w:color w:val="000000"/>
        </w:rPr>
        <w:t xml:space="preserve">y se </w:t>
      </w:r>
      <w:r w:rsidRPr="006D30D1">
        <w:rPr>
          <w:rFonts w:ascii="Palatino Linotype" w:eastAsia="Palatino Linotype" w:hAnsi="Palatino Linotype" w:cs="Palatino Linotype"/>
          <w:b/>
          <w:color w:val="000000"/>
        </w:rPr>
        <w:t>ORDENA</w:t>
      </w:r>
      <w:r w:rsidRPr="006D30D1">
        <w:rPr>
          <w:rFonts w:ascii="Palatino Linotype" w:eastAsia="Palatino Linotype" w:hAnsi="Palatino Linotype" w:cs="Palatino Linotype"/>
          <w:color w:val="000000"/>
        </w:rPr>
        <w:t xml:space="preserve"> entregar vía Sistema de Acceso a la Información Mexiquense </w:t>
      </w:r>
      <w:r w:rsidRPr="006D30D1">
        <w:rPr>
          <w:rFonts w:ascii="Palatino Linotype" w:eastAsia="Palatino Linotype" w:hAnsi="Palatino Linotype" w:cs="Palatino Linotype"/>
          <w:b/>
          <w:color w:val="000000"/>
        </w:rPr>
        <w:t>(SAIMEX)</w:t>
      </w:r>
      <w:r w:rsidRPr="006D30D1">
        <w:rPr>
          <w:rFonts w:ascii="Palatino Linotype" w:eastAsia="Palatino Linotype" w:hAnsi="Palatino Linotype" w:cs="Palatino Linotype"/>
        </w:rPr>
        <w:t>, la siguiente información de ser el caso en versión pública:</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numPr>
          <w:ilvl w:val="0"/>
          <w:numId w:val="6"/>
        </w:numPr>
        <w:pBdr>
          <w:top w:val="nil"/>
          <w:left w:val="nil"/>
          <w:bottom w:val="nil"/>
          <w:right w:val="nil"/>
          <w:between w:val="nil"/>
        </w:pBdr>
        <w:ind w:left="1134" w:right="-929"/>
        <w:rPr>
          <w:rFonts w:ascii="Palatino Linotype" w:eastAsia="Palatino Linotype" w:hAnsi="Palatino Linotype" w:cs="Palatino Linotype"/>
          <w:b/>
          <w:i/>
          <w:color w:val="000000"/>
        </w:rPr>
      </w:pPr>
      <w:r w:rsidRPr="006D30D1">
        <w:rPr>
          <w:rFonts w:ascii="Palatino Linotype" w:eastAsia="Palatino Linotype" w:hAnsi="Palatino Linotype" w:cs="Palatino Linotype"/>
          <w:b/>
          <w:i/>
          <w:color w:val="000000"/>
        </w:rPr>
        <w:t>Catálogo de Proveedores y Prestadores de Servicios, vigente al 10 de junio de 2024.</w:t>
      </w:r>
    </w:p>
    <w:p w:rsidR="00907180" w:rsidRPr="006D30D1" w:rsidRDefault="00907180">
      <w:pPr>
        <w:pBdr>
          <w:top w:val="nil"/>
          <w:left w:val="nil"/>
          <w:bottom w:val="nil"/>
          <w:right w:val="nil"/>
          <w:between w:val="nil"/>
        </w:pBdr>
        <w:ind w:left="1134" w:right="-929"/>
        <w:rPr>
          <w:rFonts w:ascii="Palatino Linotype" w:eastAsia="Palatino Linotype" w:hAnsi="Palatino Linotype" w:cs="Palatino Linotype"/>
          <w:b/>
          <w:i/>
          <w:color w:val="000000"/>
        </w:rPr>
      </w:pPr>
    </w:p>
    <w:p w:rsidR="00907180" w:rsidRPr="006D30D1" w:rsidRDefault="007C2B39">
      <w:pPr>
        <w:pBdr>
          <w:top w:val="nil"/>
          <w:left w:val="nil"/>
          <w:bottom w:val="nil"/>
          <w:right w:val="nil"/>
          <w:between w:val="nil"/>
        </w:pBdr>
        <w:ind w:left="1134" w:right="-929"/>
        <w:jc w:val="both"/>
        <w:rPr>
          <w:rFonts w:ascii="Palatino Linotype" w:eastAsia="Palatino Linotype" w:hAnsi="Palatino Linotype" w:cs="Palatino Linotype"/>
          <w:b/>
          <w:i/>
          <w:color w:val="000000"/>
          <w:u w:val="single"/>
        </w:rPr>
      </w:pPr>
      <w:r w:rsidRPr="006D30D1">
        <w:rPr>
          <w:rFonts w:ascii="Palatino Linotype" w:eastAsia="Palatino Linotype" w:hAnsi="Palatino Linotype" w:cs="Palatino Linotype"/>
          <w:b/>
          <w:i/>
          <w:color w:val="000000"/>
          <w:u w:val="single"/>
        </w:rPr>
        <w:t>De los ejercicios fiscales 2022, 2023 y 2024 (del 01 de enero al 10 de junio de 2024), actas ordinarias y extraordinarias de sesiones de los Comités Municipales siguientes:</w:t>
      </w:r>
    </w:p>
    <w:p w:rsidR="00907180" w:rsidRPr="006D30D1" w:rsidRDefault="00907180">
      <w:pPr>
        <w:ind w:right="-929"/>
        <w:rPr>
          <w:rFonts w:ascii="Palatino Linotype" w:eastAsia="Palatino Linotype" w:hAnsi="Palatino Linotype" w:cs="Palatino Linotype"/>
          <w:b/>
          <w:i/>
          <w:color w:val="000000"/>
          <w:u w:val="single"/>
        </w:rPr>
      </w:pPr>
    </w:p>
    <w:p w:rsidR="00907180" w:rsidRPr="006D30D1" w:rsidRDefault="007C2B39">
      <w:pPr>
        <w:numPr>
          <w:ilvl w:val="0"/>
          <w:numId w:val="6"/>
        </w:numPr>
        <w:pBdr>
          <w:top w:val="nil"/>
          <w:left w:val="nil"/>
          <w:bottom w:val="nil"/>
          <w:right w:val="nil"/>
          <w:between w:val="nil"/>
        </w:pBdr>
        <w:ind w:left="1134" w:right="-929"/>
        <w:rPr>
          <w:rFonts w:ascii="Palatino Linotype" w:eastAsia="Palatino Linotype" w:hAnsi="Palatino Linotype" w:cs="Palatino Linotype"/>
          <w:b/>
          <w:i/>
          <w:color w:val="000000"/>
        </w:rPr>
      </w:pPr>
      <w:r w:rsidRPr="006D30D1">
        <w:rPr>
          <w:rFonts w:ascii="Palatino Linotype" w:eastAsia="Palatino Linotype" w:hAnsi="Palatino Linotype" w:cs="Palatino Linotype"/>
          <w:b/>
          <w:i/>
          <w:color w:val="000000"/>
        </w:rPr>
        <w:t>Comité de Adquisiciones y de Servicios.</w:t>
      </w:r>
    </w:p>
    <w:p w:rsidR="00907180" w:rsidRPr="006D30D1" w:rsidRDefault="007C2B39">
      <w:pPr>
        <w:numPr>
          <w:ilvl w:val="0"/>
          <w:numId w:val="6"/>
        </w:numPr>
        <w:pBdr>
          <w:top w:val="nil"/>
          <w:left w:val="nil"/>
          <w:bottom w:val="nil"/>
          <w:right w:val="nil"/>
          <w:between w:val="nil"/>
        </w:pBdr>
        <w:ind w:left="1134" w:right="-929"/>
        <w:rPr>
          <w:rFonts w:ascii="Palatino Linotype" w:eastAsia="Palatino Linotype" w:hAnsi="Palatino Linotype" w:cs="Palatino Linotype"/>
          <w:b/>
          <w:color w:val="000000"/>
        </w:rPr>
      </w:pPr>
      <w:r w:rsidRPr="006D30D1">
        <w:rPr>
          <w:rFonts w:ascii="Palatino Linotype" w:eastAsia="Palatino Linotype" w:hAnsi="Palatino Linotype" w:cs="Palatino Linotype"/>
          <w:b/>
          <w:i/>
          <w:color w:val="000000"/>
        </w:rPr>
        <w:t xml:space="preserve">Comité de Bienes Muebles e Inmuebles. </w:t>
      </w:r>
    </w:p>
    <w:p w:rsidR="00907180" w:rsidRPr="006D30D1" w:rsidRDefault="007C2B39">
      <w:pPr>
        <w:numPr>
          <w:ilvl w:val="0"/>
          <w:numId w:val="6"/>
        </w:numPr>
        <w:pBdr>
          <w:top w:val="nil"/>
          <w:left w:val="nil"/>
          <w:bottom w:val="nil"/>
          <w:right w:val="nil"/>
          <w:between w:val="nil"/>
        </w:pBdr>
        <w:ind w:left="1134" w:right="-929"/>
        <w:rPr>
          <w:rFonts w:ascii="Palatino Linotype" w:eastAsia="Palatino Linotype" w:hAnsi="Palatino Linotype" w:cs="Palatino Linotype"/>
          <w:b/>
          <w:color w:val="000000"/>
        </w:rPr>
      </w:pPr>
      <w:r w:rsidRPr="006D30D1">
        <w:rPr>
          <w:rFonts w:ascii="Palatino Linotype" w:eastAsia="Palatino Linotype" w:hAnsi="Palatino Linotype" w:cs="Palatino Linotype"/>
          <w:b/>
          <w:i/>
          <w:color w:val="000000"/>
        </w:rPr>
        <w:t>Comité de Obra Pública.</w:t>
      </w:r>
    </w:p>
    <w:p w:rsidR="00907180" w:rsidRPr="006D30D1" w:rsidRDefault="00907180">
      <w:pPr>
        <w:pBdr>
          <w:top w:val="nil"/>
          <w:left w:val="nil"/>
          <w:bottom w:val="nil"/>
          <w:right w:val="nil"/>
          <w:between w:val="nil"/>
        </w:pBdr>
        <w:spacing w:line="360" w:lineRule="auto"/>
        <w:ind w:left="851" w:right="-929"/>
        <w:jc w:val="both"/>
        <w:rPr>
          <w:rFonts w:ascii="Palatino Linotype" w:eastAsia="Palatino Linotype" w:hAnsi="Palatino Linotype" w:cs="Palatino Linotype"/>
          <w:b/>
          <w:color w:val="000000"/>
        </w:rPr>
      </w:pPr>
    </w:p>
    <w:p w:rsidR="00907180" w:rsidRPr="006D30D1" w:rsidRDefault="007C2B39" w:rsidP="00AD1775">
      <w:pPr>
        <w:tabs>
          <w:tab w:val="left" w:pos="8080"/>
        </w:tabs>
        <w:spacing w:line="360" w:lineRule="auto"/>
        <w:ind w:right="-929"/>
        <w:jc w:val="both"/>
        <w:rPr>
          <w:rFonts w:ascii="Palatino Linotype" w:eastAsia="Palatino Linotype" w:hAnsi="Palatino Linotype" w:cs="Palatino Linotype"/>
          <w:b/>
        </w:rPr>
      </w:pPr>
      <w:r w:rsidRPr="006D30D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6D30D1">
        <w:rPr>
          <w:rFonts w:ascii="Palatino Linotype" w:eastAsia="Palatino Linotype" w:hAnsi="Palatino Linotype" w:cs="Palatino Linotype"/>
          <w:b/>
        </w:rPr>
        <w:t>RECURRENTE.</w:t>
      </w:r>
    </w:p>
    <w:p w:rsidR="00907180" w:rsidRPr="006D30D1" w:rsidRDefault="00907180">
      <w:pPr>
        <w:tabs>
          <w:tab w:val="left" w:pos="8080"/>
        </w:tabs>
        <w:spacing w:line="360" w:lineRule="auto"/>
        <w:ind w:left="426" w:right="-929"/>
        <w:jc w:val="both"/>
        <w:rPr>
          <w:rFonts w:ascii="Palatino Linotype" w:eastAsia="Palatino Linotype" w:hAnsi="Palatino Linotype" w:cs="Palatino Linotype"/>
          <w:b/>
        </w:rPr>
      </w:pPr>
    </w:p>
    <w:p w:rsidR="00907180" w:rsidRPr="006D30D1" w:rsidRDefault="007C2B39" w:rsidP="00AD1775">
      <w:pPr>
        <w:tabs>
          <w:tab w:val="left" w:pos="8080"/>
        </w:tabs>
        <w:spacing w:line="360" w:lineRule="auto"/>
        <w:ind w:right="-929"/>
        <w:jc w:val="both"/>
        <w:rPr>
          <w:rFonts w:ascii="Palatino Linotype" w:eastAsia="Palatino Linotype" w:hAnsi="Palatino Linotype" w:cs="Palatino Linotype"/>
        </w:rPr>
      </w:pPr>
      <w:bookmarkStart w:id="11" w:name="_heading=h.4d34og8" w:colFirst="0" w:colLast="0"/>
      <w:bookmarkEnd w:id="11"/>
      <w:r w:rsidRPr="006D30D1">
        <w:rPr>
          <w:rFonts w:ascii="Palatino Linotype" w:eastAsia="Palatino Linotype" w:hAnsi="Palatino Linotype" w:cs="Palatino Linotype"/>
        </w:rPr>
        <w:t>Para el caso que el Sujeto Obligado no cuente con las actas de las sesiones extraordinarias que se ordena su entrega de los numerales 2, 3 y 4 del presente Resolutivo, porque no se celebraron, bastará con que lo haga del conocimiento de la Recurrente al momento de dar cumplimiento a la presente resolución, en términos del artículo 19 párrafo segundo de la Ley de Transparencia y Acceso a la Información Pública del Estado de México y Municipios.</w:t>
      </w:r>
    </w:p>
    <w:p w:rsidR="00907180" w:rsidRPr="006D30D1" w:rsidRDefault="00907180">
      <w:pPr>
        <w:spacing w:line="360" w:lineRule="auto"/>
        <w:ind w:right="-929"/>
        <w:jc w:val="both"/>
        <w:rPr>
          <w:rFonts w:ascii="Palatino Linotype" w:eastAsia="Palatino Linotype" w:hAnsi="Palatino Linotype" w:cs="Palatino Linotype"/>
        </w:rPr>
      </w:pPr>
    </w:p>
    <w:p w:rsidR="00907180" w:rsidRPr="006D30D1" w:rsidRDefault="007C2B39">
      <w:pPr>
        <w:tabs>
          <w:tab w:val="left" w:pos="8080"/>
        </w:tabs>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b/>
        </w:rPr>
        <w:t xml:space="preserve">TERCERO. </w:t>
      </w:r>
      <w:r w:rsidRPr="006D30D1">
        <w:rPr>
          <w:rFonts w:ascii="Palatino Linotype" w:eastAsia="Palatino Linotype" w:hAnsi="Palatino Linotype" w:cs="Palatino Linotype"/>
          <w:b/>
          <w:color w:val="000000"/>
        </w:rPr>
        <w:t>Notifíquese</w:t>
      </w:r>
      <w:r w:rsidRPr="006D30D1">
        <w:rPr>
          <w:rFonts w:ascii="Palatino Linotype" w:eastAsia="Palatino Linotype" w:hAnsi="Palatino Linotype" w:cs="Palatino Linotype"/>
          <w:color w:val="000000"/>
        </w:rPr>
        <w:t xml:space="preserve"> al </w:t>
      </w:r>
      <w:r w:rsidRPr="006D30D1">
        <w:rPr>
          <w:rFonts w:ascii="Palatino Linotype" w:eastAsia="Palatino Linotype" w:hAnsi="Palatino Linotype" w:cs="Palatino Linotype"/>
          <w:color w:val="222222"/>
        </w:rPr>
        <w:t xml:space="preserve">Titular de la Unidad de Transparencia del </w:t>
      </w:r>
      <w:r w:rsidRPr="006D30D1">
        <w:rPr>
          <w:rFonts w:ascii="Palatino Linotype" w:eastAsia="Palatino Linotype" w:hAnsi="Palatino Linotype" w:cs="Palatino Linotype"/>
          <w:b/>
          <w:color w:val="222222"/>
        </w:rPr>
        <w:t>SUJETO OBLIGADO</w:t>
      </w:r>
      <w:r w:rsidRPr="006D30D1">
        <w:rPr>
          <w:rFonts w:ascii="Palatino Linotype" w:eastAsia="Palatino Linotype" w:hAnsi="Palatino Linotype" w:cs="Palatino Linotype"/>
          <w:color w:val="222222"/>
        </w:rPr>
        <w:t>, vía SAIMEX, la presente resolución, para que conforme al artículo 186</w:t>
      </w:r>
      <w:r w:rsidR="00AD1775" w:rsidRPr="006D30D1">
        <w:rPr>
          <w:rFonts w:ascii="Palatino Linotype" w:eastAsia="Palatino Linotype" w:hAnsi="Palatino Linotype" w:cs="Palatino Linotype"/>
          <w:color w:val="222222"/>
        </w:rPr>
        <w:t>,</w:t>
      </w:r>
      <w:r w:rsidRPr="006D30D1">
        <w:rPr>
          <w:rFonts w:ascii="Palatino Linotype" w:eastAsia="Palatino Linotype" w:hAnsi="Palatino Linotype" w:cs="Palatino Linotype"/>
          <w:color w:val="222222"/>
        </w:rPr>
        <w:t xml:space="preserve"> último párrafo, 189 segundo párrafo y 194 de la Ley de Transparencia y Acceso a la Información Pública del Estado de México y Municipios </w:t>
      </w:r>
      <w:r w:rsidRPr="006D30D1">
        <w:rPr>
          <w:rFonts w:ascii="Palatino Linotype" w:eastAsia="Palatino Linotype" w:hAnsi="Palatino Linotype" w:cs="Palatino Linotype"/>
          <w:b/>
          <w:color w:val="222222"/>
        </w:rPr>
        <w:t>de cumplimiento a lo ordenado dentro del plazo de diez días hábiles,</w:t>
      </w:r>
      <w:r w:rsidRPr="006D30D1">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6D30D1">
        <w:rPr>
          <w:rFonts w:ascii="Palatino Linotype" w:eastAsia="Palatino Linotype" w:hAnsi="Palatino Linotype" w:cs="Palatino Linotype"/>
        </w:rPr>
        <w:t>.</w:t>
      </w:r>
    </w:p>
    <w:p w:rsidR="00907180" w:rsidRPr="006D30D1" w:rsidRDefault="00907180">
      <w:pPr>
        <w:tabs>
          <w:tab w:val="left" w:pos="8080"/>
        </w:tabs>
        <w:spacing w:line="360" w:lineRule="auto"/>
        <w:ind w:right="-929"/>
        <w:jc w:val="both"/>
        <w:rPr>
          <w:rFonts w:ascii="Palatino Linotype" w:eastAsia="Palatino Linotype" w:hAnsi="Palatino Linotype" w:cs="Palatino Linotype"/>
        </w:rPr>
      </w:pPr>
    </w:p>
    <w:p w:rsidR="00907180" w:rsidRPr="006D30D1" w:rsidRDefault="007C2B39">
      <w:pPr>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b/>
        </w:rPr>
        <w:t xml:space="preserve">CUARTO. </w:t>
      </w:r>
      <w:r w:rsidRPr="006D30D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D30D1">
        <w:rPr>
          <w:rFonts w:ascii="Palatino Linotype" w:eastAsia="Palatino Linotype" w:hAnsi="Palatino Linotype" w:cs="Palatino Linotype"/>
          <w:b/>
        </w:rPr>
        <w:t>SUJETO OBLIGADO</w:t>
      </w:r>
      <w:r w:rsidRPr="006D30D1">
        <w:rPr>
          <w:rFonts w:ascii="Palatino Linotype" w:eastAsia="Palatino Linotype" w:hAnsi="Palatino Linotype" w:cs="Palatino Linotype"/>
        </w:rPr>
        <w:t xml:space="preserve"> de manera fundada y motivada, podrá solicitar una ampliación de plazo para el cumplimiento de la presente resolución.</w:t>
      </w:r>
    </w:p>
    <w:p w:rsidR="00907180" w:rsidRPr="006D30D1" w:rsidRDefault="00907180">
      <w:pPr>
        <w:shd w:val="clear" w:color="auto" w:fill="FFFFFF"/>
        <w:spacing w:line="360" w:lineRule="auto"/>
        <w:ind w:right="-929"/>
        <w:jc w:val="both"/>
        <w:rPr>
          <w:rFonts w:ascii="Palatino Linotype" w:eastAsia="Palatino Linotype" w:hAnsi="Palatino Linotype" w:cs="Palatino Linotype"/>
          <w:b/>
        </w:rPr>
      </w:pPr>
    </w:p>
    <w:p w:rsidR="00907180" w:rsidRPr="006D30D1" w:rsidRDefault="007C2B39">
      <w:pPr>
        <w:shd w:val="clear" w:color="auto" w:fill="FFFFFF"/>
        <w:spacing w:line="360" w:lineRule="auto"/>
        <w:ind w:right="-929"/>
        <w:jc w:val="both"/>
        <w:rPr>
          <w:rFonts w:ascii="Palatino Linotype" w:eastAsia="Palatino Linotype" w:hAnsi="Palatino Linotype" w:cs="Palatino Linotype"/>
        </w:rPr>
      </w:pPr>
      <w:r w:rsidRPr="006D30D1">
        <w:rPr>
          <w:rFonts w:ascii="Palatino Linotype" w:eastAsia="Palatino Linotype" w:hAnsi="Palatino Linotype" w:cs="Palatino Linotype"/>
          <w:b/>
        </w:rPr>
        <w:t xml:space="preserve">QUINTO. </w:t>
      </w:r>
      <w:r w:rsidRPr="006D30D1">
        <w:rPr>
          <w:rFonts w:ascii="Palatino Linotype" w:eastAsia="Palatino Linotype" w:hAnsi="Palatino Linotype" w:cs="Palatino Linotype"/>
        </w:rPr>
        <w:t xml:space="preserve">Notifíquese al </w:t>
      </w:r>
      <w:r w:rsidRPr="006D30D1">
        <w:rPr>
          <w:rFonts w:ascii="Palatino Linotype" w:eastAsia="Palatino Linotype" w:hAnsi="Palatino Linotype" w:cs="Palatino Linotype"/>
          <w:b/>
        </w:rPr>
        <w:t xml:space="preserve">RECURRENTE </w:t>
      </w:r>
      <w:r w:rsidRPr="006D30D1">
        <w:rPr>
          <w:rFonts w:ascii="Palatino Linotype" w:eastAsia="Palatino Linotype" w:hAnsi="Palatino Linotype" w:cs="Palatino Linotype"/>
        </w:rPr>
        <w:t>la presente resolución vía Sistema de Acceso a Información Mexiquense (SAIMEX).</w:t>
      </w:r>
    </w:p>
    <w:p w:rsidR="00907180" w:rsidRPr="006D30D1" w:rsidRDefault="00907180">
      <w:pPr>
        <w:shd w:val="clear" w:color="auto" w:fill="FFFFFF"/>
        <w:spacing w:line="360" w:lineRule="auto"/>
        <w:ind w:right="-929"/>
        <w:jc w:val="both"/>
        <w:rPr>
          <w:rFonts w:ascii="Palatino Linotype" w:eastAsia="Palatino Linotype" w:hAnsi="Palatino Linotype" w:cs="Palatino Linotype"/>
        </w:rPr>
      </w:pPr>
    </w:p>
    <w:p w:rsidR="00907180" w:rsidRPr="006D30D1" w:rsidRDefault="007C2B39">
      <w:pPr>
        <w:widowControl w:val="0"/>
        <w:pBdr>
          <w:top w:val="nil"/>
          <w:left w:val="nil"/>
          <w:bottom w:val="nil"/>
          <w:right w:val="nil"/>
          <w:between w:val="nil"/>
        </w:pBdr>
        <w:tabs>
          <w:tab w:val="left" w:pos="1701"/>
        </w:tabs>
        <w:spacing w:line="360" w:lineRule="auto"/>
        <w:ind w:right="-929"/>
        <w:jc w:val="both"/>
        <w:rPr>
          <w:rFonts w:ascii="Palatino Linotype" w:eastAsia="Palatino Linotype" w:hAnsi="Palatino Linotype" w:cs="Palatino Linotype"/>
          <w:color w:val="000000"/>
        </w:rPr>
      </w:pPr>
      <w:r w:rsidRPr="006D30D1">
        <w:rPr>
          <w:rFonts w:ascii="Palatino Linotype" w:eastAsia="Palatino Linotype" w:hAnsi="Palatino Linotype" w:cs="Palatino Linotype"/>
          <w:b/>
          <w:color w:val="222222"/>
        </w:rPr>
        <w:t xml:space="preserve">SEXTO. </w:t>
      </w:r>
      <w:r w:rsidRPr="006D30D1">
        <w:rPr>
          <w:rFonts w:ascii="Palatino Linotype" w:eastAsia="Palatino Linotype" w:hAnsi="Palatino Linotype" w:cs="Palatino Linotype"/>
          <w:color w:val="000000"/>
        </w:rPr>
        <w:t xml:space="preserve">Se hace del conocimiento de </w:t>
      </w:r>
      <w:r w:rsidRPr="006D30D1">
        <w:rPr>
          <w:rFonts w:ascii="Palatino Linotype" w:eastAsia="Palatino Linotype" w:hAnsi="Palatino Linotype" w:cs="Palatino Linotype"/>
          <w:b/>
          <w:color w:val="000000"/>
        </w:rPr>
        <w:t>EL RECURRENTE</w:t>
      </w:r>
      <w:r w:rsidRPr="006D30D1">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6D30D1">
        <w:rPr>
          <w:rFonts w:ascii="Palatino Linotype" w:eastAsia="Palatino Linotype" w:hAnsi="Palatino Linotype" w:cs="Palatino Linotype"/>
        </w:rPr>
        <w:t>impugnar vía</w:t>
      </w:r>
      <w:r w:rsidRPr="006D30D1">
        <w:rPr>
          <w:rFonts w:ascii="Palatino Linotype" w:eastAsia="Palatino Linotype" w:hAnsi="Palatino Linotype" w:cs="Palatino Linotype"/>
          <w:color w:val="000000"/>
        </w:rPr>
        <w:t xml:space="preserve"> juicio de amparo en los términos de las leyes aplicables.</w:t>
      </w:r>
    </w:p>
    <w:p w:rsidR="00907180" w:rsidRPr="006D30D1" w:rsidRDefault="00907180">
      <w:pPr>
        <w:spacing w:line="360" w:lineRule="auto"/>
        <w:ind w:right="-929"/>
        <w:jc w:val="both"/>
        <w:rPr>
          <w:rFonts w:ascii="Palatino Linotype" w:eastAsia="Palatino Linotype" w:hAnsi="Palatino Linotype" w:cs="Palatino Linotype"/>
          <w:b/>
        </w:rPr>
      </w:pPr>
    </w:p>
    <w:p w:rsidR="00AD1775" w:rsidRPr="003C7186" w:rsidRDefault="00AD1775" w:rsidP="00AD1775">
      <w:pPr>
        <w:spacing w:line="360" w:lineRule="auto"/>
        <w:ind w:left="-142" w:right="-943" w:firstLine="1"/>
        <w:jc w:val="both"/>
        <w:rPr>
          <w:rFonts w:ascii="Palatino Linotype" w:hAnsi="Palatino Linotype"/>
        </w:rPr>
      </w:pPr>
      <w:r w:rsidRPr="006D30D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907180" w:rsidRDefault="00907180">
      <w:pPr>
        <w:spacing w:before="240" w:after="240" w:line="360" w:lineRule="auto"/>
        <w:ind w:right="-929"/>
        <w:jc w:val="both"/>
        <w:rPr>
          <w:rFonts w:ascii="Palatino Linotype" w:eastAsia="Palatino Linotype" w:hAnsi="Palatino Linotype" w:cs="Palatino Linotype"/>
        </w:rPr>
      </w:pPr>
    </w:p>
    <w:p w:rsidR="00907180" w:rsidRDefault="00907180">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6D30D1" w:rsidRDefault="006D30D1">
      <w:pPr>
        <w:spacing w:before="240" w:after="240" w:line="360" w:lineRule="auto"/>
        <w:ind w:right="-929"/>
        <w:jc w:val="both"/>
        <w:rPr>
          <w:rFonts w:ascii="Palatino Linotype" w:eastAsia="Palatino Linotype" w:hAnsi="Palatino Linotype" w:cs="Palatino Linotype"/>
        </w:rPr>
      </w:pPr>
    </w:p>
    <w:p w:rsidR="00907180" w:rsidRDefault="00907180">
      <w:pPr>
        <w:spacing w:before="240" w:after="240" w:line="360" w:lineRule="auto"/>
        <w:ind w:right="-929"/>
        <w:jc w:val="both"/>
        <w:rPr>
          <w:rFonts w:ascii="Palatino Linotype" w:eastAsia="Palatino Linotype" w:hAnsi="Palatino Linotype" w:cs="Palatino Linotype"/>
        </w:rPr>
      </w:pPr>
    </w:p>
    <w:p w:rsidR="00907180" w:rsidRDefault="00907180">
      <w:pPr>
        <w:spacing w:before="240" w:after="240" w:line="360" w:lineRule="auto"/>
        <w:ind w:right="-929"/>
        <w:jc w:val="both"/>
        <w:rPr>
          <w:rFonts w:ascii="Palatino Linotype" w:eastAsia="Palatino Linotype" w:hAnsi="Palatino Linotype" w:cs="Palatino Linotype"/>
        </w:rPr>
      </w:pPr>
    </w:p>
    <w:p w:rsidR="00907180" w:rsidRDefault="00907180">
      <w:pPr>
        <w:spacing w:before="240" w:after="240" w:line="360" w:lineRule="auto"/>
        <w:ind w:right="-929"/>
        <w:jc w:val="both"/>
        <w:rPr>
          <w:rFonts w:ascii="Palatino Linotype" w:eastAsia="Palatino Linotype" w:hAnsi="Palatino Linotype" w:cs="Palatino Linotype"/>
        </w:rPr>
      </w:pPr>
    </w:p>
    <w:p w:rsidR="00907180" w:rsidRDefault="00907180">
      <w:pPr>
        <w:spacing w:before="240" w:after="240" w:line="360" w:lineRule="auto"/>
        <w:ind w:right="-929"/>
        <w:jc w:val="both"/>
        <w:rPr>
          <w:rFonts w:ascii="Palatino Linotype" w:eastAsia="Palatino Linotype" w:hAnsi="Palatino Linotype" w:cs="Palatino Linotype"/>
        </w:rPr>
      </w:pPr>
    </w:p>
    <w:p w:rsidR="00907180" w:rsidRDefault="007C2B39">
      <w:pPr>
        <w:tabs>
          <w:tab w:val="left" w:pos="337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b/>
      </w:r>
    </w:p>
    <w:sectPr w:rsidR="00907180">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AE" w:rsidRDefault="00522FAE">
      <w:r>
        <w:separator/>
      </w:r>
    </w:p>
  </w:endnote>
  <w:endnote w:type="continuationSeparator" w:id="0">
    <w:p w:rsidR="00522FAE" w:rsidRDefault="0052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39" w:rsidRDefault="007C2B3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359D4">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359D4">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7C2B39" w:rsidRDefault="007C2B3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39" w:rsidRDefault="007C2B3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359D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359D4">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7C2B39" w:rsidRDefault="007C2B3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AE" w:rsidRDefault="00522FAE">
      <w:r>
        <w:separator/>
      </w:r>
    </w:p>
  </w:footnote>
  <w:footnote w:type="continuationSeparator" w:id="0">
    <w:p w:rsidR="00522FAE" w:rsidRDefault="0052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39" w:rsidRDefault="00522FA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39" w:rsidRDefault="007C2B39">
    <w:pPr>
      <w:widowControl w:val="0"/>
      <w:pBdr>
        <w:top w:val="nil"/>
        <w:left w:val="nil"/>
        <w:bottom w:val="nil"/>
        <w:right w:val="nil"/>
        <w:between w:val="nil"/>
      </w:pBdr>
      <w:spacing w:line="276" w:lineRule="auto"/>
      <w:rPr>
        <w:color w:val="000000"/>
      </w:rPr>
    </w:pPr>
  </w:p>
  <w:tbl>
    <w:tblPr>
      <w:tblStyle w:val="a9"/>
      <w:tblW w:w="7890" w:type="dxa"/>
      <w:tblInd w:w="2552" w:type="dxa"/>
      <w:tblLayout w:type="fixed"/>
      <w:tblLook w:val="0400" w:firstRow="0" w:lastRow="0" w:firstColumn="0" w:lastColumn="0" w:noHBand="0" w:noVBand="1"/>
    </w:tblPr>
    <w:tblGrid>
      <w:gridCol w:w="3744"/>
      <w:gridCol w:w="4146"/>
    </w:tblGrid>
    <w:tr w:rsidR="007C2B39">
      <w:trPr>
        <w:trHeight w:val="281"/>
      </w:trPr>
      <w:tc>
        <w:tcPr>
          <w:tcW w:w="3744" w:type="dxa"/>
          <w:vAlign w:val="center"/>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7C2B39" w:rsidRDefault="007C2B3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04143/INFOEM/IP/RR/2024</w:t>
          </w:r>
        </w:p>
      </w:tc>
    </w:tr>
    <w:tr w:rsidR="007C2B39">
      <w:trPr>
        <w:trHeight w:val="342"/>
      </w:trPr>
      <w:tc>
        <w:tcPr>
          <w:tcW w:w="3744" w:type="dxa"/>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7C2B39" w:rsidRDefault="007C2B3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Morelos</w:t>
          </w:r>
        </w:p>
      </w:tc>
    </w:tr>
    <w:tr w:rsidR="007C2B39">
      <w:trPr>
        <w:trHeight w:val="342"/>
      </w:trPr>
      <w:tc>
        <w:tcPr>
          <w:tcW w:w="3744" w:type="dxa"/>
          <w:vAlign w:val="center"/>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7C2B39" w:rsidRDefault="007C2B3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7C2B39" w:rsidRDefault="00522FAE">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39" w:rsidRDefault="007C2B39">
    <w:pPr>
      <w:widowControl w:val="0"/>
      <w:pBdr>
        <w:top w:val="nil"/>
        <w:left w:val="nil"/>
        <w:bottom w:val="nil"/>
        <w:right w:val="nil"/>
        <w:between w:val="nil"/>
      </w:pBdr>
      <w:spacing w:line="276" w:lineRule="auto"/>
      <w:rPr>
        <w:color w:val="000000"/>
        <w:sz w:val="14"/>
        <w:szCs w:val="14"/>
      </w:rPr>
    </w:pPr>
  </w:p>
  <w:tbl>
    <w:tblPr>
      <w:tblStyle w:val="aa"/>
      <w:tblW w:w="7890" w:type="dxa"/>
      <w:tblInd w:w="2552" w:type="dxa"/>
      <w:tblLayout w:type="fixed"/>
      <w:tblLook w:val="0400" w:firstRow="0" w:lastRow="0" w:firstColumn="0" w:lastColumn="0" w:noHBand="0" w:noVBand="1"/>
    </w:tblPr>
    <w:tblGrid>
      <w:gridCol w:w="3744"/>
      <w:gridCol w:w="4146"/>
    </w:tblGrid>
    <w:tr w:rsidR="007C2B39">
      <w:trPr>
        <w:trHeight w:val="281"/>
      </w:trPr>
      <w:tc>
        <w:tcPr>
          <w:tcW w:w="3744" w:type="dxa"/>
          <w:vAlign w:val="center"/>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7C2B39" w:rsidRDefault="007C2B3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04143/INFOEM/IP/RR/2024</w:t>
          </w:r>
        </w:p>
      </w:tc>
    </w:tr>
    <w:tr w:rsidR="007C2B39">
      <w:trPr>
        <w:trHeight w:val="242"/>
      </w:trPr>
      <w:tc>
        <w:tcPr>
          <w:tcW w:w="3744" w:type="dxa"/>
          <w:vAlign w:val="center"/>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7C2B39" w:rsidRDefault="000359D4">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w:t>
          </w:r>
        </w:p>
      </w:tc>
    </w:tr>
    <w:tr w:rsidR="007C2B39">
      <w:trPr>
        <w:trHeight w:val="342"/>
      </w:trPr>
      <w:tc>
        <w:tcPr>
          <w:tcW w:w="3744" w:type="dxa"/>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7C2B39" w:rsidRDefault="007C2B3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Morelos</w:t>
          </w:r>
        </w:p>
      </w:tc>
    </w:tr>
    <w:tr w:rsidR="007C2B39">
      <w:trPr>
        <w:trHeight w:val="342"/>
      </w:trPr>
      <w:tc>
        <w:tcPr>
          <w:tcW w:w="3744" w:type="dxa"/>
          <w:vAlign w:val="center"/>
        </w:tcPr>
        <w:p w:rsidR="007C2B39" w:rsidRDefault="007C2B3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7C2B39" w:rsidRDefault="007C2B3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7C2B39" w:rsidRDefault="00522FAE">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39B"/>
    <w:multiLevelType w:val="multilevel"/>
    <w:tmpl w:val="35600C78"/>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0B445038"/>
    <w:multiLevelType w:val="multilevel"/>
    <w:tmpl w:val="98BE1CF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15:restartNumberingAfterBreak="0">
    <w:nsid w:val="0F990795"/>
    <w:multiLevelType w:val="multilevel"/>
    <w:tmpl w:val="FA147D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36902"/>
    <w:multiLevelType w:val="multilevel"/>
    <w:tmpl w:val="9454E02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3C902592"/>
    <w:multiLevelType w:val="multilevel"/>
    <w:tmpl w:val="F37A28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0A26CA"/>
    <w:multiLevelType w:val="multilevel"/>
    <w:tmpl w:val="86F0058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5EAA758E"/>
    <w:multiLevelType w:val="multilevel"/>
    <w:tmpl w:val="10807594"/>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61943DB4"/>
    <w:multiLevelType w:val="multilevel"/>
    <w:tmpl w:val="AE2E8BC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72DD5566"/>
    <w:multiLevelType w:val="multilevel"/>
    <w:tmpl w:val="FF88904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80"/>
    <w:rsid w:val="000359D4"/>
    <w:rsid w:val="00165828"/>
    <w:rsid w:val="004252DF"/>
    <w:rsid w:val="00522FAE"/>
    <w:rsid w:val="005B3377"/>
    <w:rsid w:val="005C76B0"/>
    <w:rsid w:val="00680922"/>
    <w:rsid w:val="006D30D1"/>
    <w:rsid w:val="007C2B39"/>
    <w:rsid w:val="00806F41"/>
    <w:rsid w:val="00851750"/>
    <w:rsid w:val="00907180"/>
    <w:rsid w:val="00AD1775"/>
    <w:rsid w:val="00BA38B6"/>
    <w:rsid w:val="00CD176B"/>
    <w:rsid w:val="00D70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A61EAF8-F623-4EE7-9C6A-7B8DF7A3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5C7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pomex.org.mx/ipo3/lgt/indice/MORELOS/art_92_xxxvi.web?token=03AFcWeA6WgCMsszCQXWnkUGI3H5qQgsFLBxOfGojVrdV_gZfK8_bWpfz26M7IQHBHHfmLo1Bhhr8vi9L9Lw98IYJXYjwM-cAe93OhoBQ3oZ7JdpYwta8bysoCDeOEFkbxZ5PeTPGT1kU1XT7-qjkOHDm_k6cT9-cEXeaMwisA2_K2xt2aEzIFiFcuQJyTYxVYQ203V5-QvGpyx6p_-SWvb3P72KT6u1iQdbFbwFfHHhHE5MHbAEauvKiNIIp0jbaxSwK2saTGeACj_P0P4sxran-hP5A7GiWZTr7eCgUep3jRLqMQMpVWh21sE6imFurUNsc3R1BWPva-5qy01wBWk3TqKW7nXYEZ-0moDP1i0GaPW2wTqPrAqEHYJDEJiGDiOgEiaC3dUDQbvfmHaQPo8LGIm0W4qvES6j-GGBiv5OQc0fiLoUfKqMiCbTjjdWC5-MNY6-9Ss7UtXaBT6oPC056osX3Y5nknN24CMyhe7aAKBTZBIJKmgur_6JXWnPO1ddZJ5OQz73RMvjDgnljjADSgO85_Bb4GBNLi0yeb3P6LJhQaqilMeNkiF6Vuelul41D8PJNBtEz9n6iMgrHRUny1PLMpJ_VoD7QyWnAynEl9i3_aaOw2rt_kwRwKYKtO9kits7ld1QhWWREhgx-LUBwa8EifriV7vNPu39E0ITCms37weDDLs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EF5g0iU677zVI4sjdrJWt9kpg==">CgMxLjAyCGguZ2pkZ3hzMgloLjMwajB6bGwyCWguMWZvYjl0ZTIJaC4zem55c2g3MgloLjJldDkycDAyCGgudHlqY3d0MgloLjNkeTZ2a20yCWguMXQzaDVzZjIJaC4yNmluMXJnMgloLjE3ZHA4dnUyCWguNGQzNG9nODgAciExRk1JWDExcXdITlZMVkY3dGpuZEpreEVESFh1SW1qM24=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35</Pages>
  <Words>8832</Words>
  <Characters>48579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10</cp:revision>
  <cp:lastPrinted>2025-02-27T17:25:00Z</cp:lastPrinted>
  <dcterms:created xsi:type="dcterms:W3CDTF">2025-02-24T17:39:00Z</dcterms:created>
  <dcterms:modified xsi:type="dcterms:W3CDTF">2025-04-04T20:13:00Z</dcterms:modified>
</cp:coreProperties>
</file>