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629" w:rsidRPr="00A7678E" w:rsidRDefault="00EA1F2C" w:rsidP="00A7678E">
      <w:pPr>
        <w:tabs>
          <w:tab w:val="left" w:pos="3465"/>
        </w:tabs>
        <w:spacing w:line="360" w:lineRule="auto"/>
        <w:jc w:val="both"/>
        <w:rPr>
          <w:rFonts w:ascii="Palatino Linotype" w:eastAsia="Palatino Linotype" w:hAnsi="Palatino Linotype" w:cs="Palatino Linotype"/>
          <w:b/>
          <w:bCs/>
          <w:color w:val="000000" w:themeColor="text1"/>
        </w:rPr>
      </w:pPr>
      <w:bookmarkStart w:id="0" w:name="_GoBack"/>
      <w:bookmarkEnd w:id="0"/>
      <w:r w:rsidRPr="00A7678E">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A7678E">
        <w:rPr>
          <w:rFonts w:ascii="Palatino Linotype" w:eastAsia="Palatino Linotype" w:hAnsi="Palatino Linotype" w:cs="Palatino Linotype"/>
          <w:b/>
          <w:color w:val="000000" w:themeColor="text1"/>
        </w:rPr>
        <w:t xml:space="preserve">de fecha veinticinco (25) </w:t>
      </w:r>
      <w:r w:rsidR="00A7678E" w:rsidRPr="00157555">
        <w:rPr>
          <w:rFonts w:ascii="Palatino Linotype" w:eastAsia="Palatino Linotype" w:hAnsi="Palatino Linotype" w:cs="Palatino Linotype"/>
          <w:b/>
          <w:color w:val="000000" w:themeColor="text1"/>
        </w:rPr>
        <w:t xml:space="preserve">de </w:t>
      </w:r>
      <w:r w:rsidR="00A7678E">
        <w:rPr>
          <w:rFonts w:ascii="Palatino Linotype" w:eastAsia="Palatino Linotype" w:hAnsi="Palatino Linotype" w:cs="Palatino Linotype"/>
          <w:b/>
          <w:color w:val="000000" w:themeColor="text1"/>
        </w:rPr>
        <w:t xml:space="preserve">noviembre </w:t>
      </w:r>
      <w:r w:rsidR="00A7678E" w:rsidRPr="00157555">
        <w:rPr>
          <w:rFonts w:ascii="Palatino Linotype" w:eastAsia="Palatino Linotype" w:hAnsi="Palatino Linotype" w:cs="Palatino Linotype"/>
          <w:b/>
          <w:color w:val="000000" w:themeColor="text1"/>
        </w:rPr>
        <w:t>de dos mil veinticinco</w:t>
      </w:r>
      <w:r w:rsidRPr="00A7678E">
        <w:rPr>
          <w:rFonts w:ascii="Palatino Linotype" w:eastAsia="Palatino Linotype" w:hAnsi="Palatino Linotype" w:cs="Palatino Linotype"/>
          <w:b/>
          <w:bCs/>
          <w:color w:val="000000" w:themeColor="text1"/>
        </w:rPr>
        <w:t>.</w:t>
      </w:r>
    </w:p>
    <w:p w:rsidR="00716629" w:rsidRPr="00A7678E" w:rsidRDefault="00716629" w:rsidP="00A7678E">
      <w:pPr>
        <w:tabs>
          <w:tab w:val="left" w:pos="3465"/>
        </w:tabs>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spacing w:line="360" w:lineRule="auto"/>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b/>
          <w:bCs/>
          <w:color w:val="000000" w:themeColor="text1"/>
        </w:rPr>
        <w:t>VISTO</w:t>
      </w:r>
      <w:r w:rsidRPr="00A7678E">
        <w:rPr>
          <w:rFonts w:ascii="Palatino Linotype" w:eastAsia="Palatino Linotype" w:hAnsi="Palatino Linotype" w:cs="Palatino Linotype"/>
          <w:color w:val="000000" w:themeColor="text1"/>
        </w:rPr>
        <w:t xml:space="preserve"> el expediente electrónico formado con motivo del Recurso de Revisión </w:t>
      </w:r>
      <w:r w:rsidRPr="00A7678E">
        <w:rPr>
          <w:rFonts w:ascii="Palatino Linotype" w:eastAsia="Palatino Linotype" w:hAnsi="Palatino Linotype" w:cs="Palatino Linotype"/>
          <w:b/>
          <w:bCs/>
          <w:color w:val="000000" w:themeColor="text1"/>
        </w:rPr>
        <w:t>04963/INFOEM/IP/RR/2025</w:t>
      </w:r>
      <w:r w:rsidRPr="00A7678E">
        <w:rPr>
          <w:rFonts w:ascii="Palatino Linotype" w:eastAsia="Palatino Linotype" w:hAnsi="Palatino Linotype" w:cs="Palatino Linotype"/>
          <w:color w:val="000000" w:themeColor="text1"/>
        </w:rPr>
        <w:t>,</w:t>
      </w:r>
      <w:r w:rsidRPr="00A7678E">
        <w:rPr>
          <w:rFonts w:ascii="Palatino Linotype" w:eastAsia="Palatino Linotype" w:hAnsi="Palatino Linotype" w:cs="Palatino Linotype"/>
          <w:b/>
          <w:bCs/>
          <w:color w:val="000000" w:themeColor="text1"/>
        </w:rPr>
        <w:t xml:space="preserve"> </w:t>
      </w:r>
      <w:r w:rsidRPr="00A7678E">
        <w:rPr>
          <w:rFonts w:ascii="Palatino Linotype" w:eastAsia="Palatino Linotype" w:hAnsi="Palatino Linotype" w:cs="Palatino Linotype"/>
          <w:color w:val="000000" w:themeColor="text1"/>
        </w:rPr>
        <w:t xml:space="preserve">promovido por </w:t>
      </w:r>
      <w:r w:rsidR="00242B8F">
        <w:rPr>
          <w:rFonts w:ascii="Palatino Linotype" w:eastAsia="Palatino Linotype" w:hAnsi="Palatino Linotype" w:cs="Palatino Linotype"/>
          <w:b/>
          <w:bCs/>
          <w:color w:val="000000" w:themeColor="text1"/>
        </w:rPr>
        <w:t>XXXX</w:t>
      </w:r>
      <w:r w:rsidRPr="00A7678E">
        <w:rPr>
          <w:rFonts w:ascii="Palatino Linotype" w:eastAsia="Palatino Linotype" w:hAnsi="Palatino Linotype" w:cs="Palatino Linotype"/>
          <w:color w:val="000000" w:themeColor="text1"/>
        </w:rPr>
        <w:t xml:space="preserve">, </w:t>
      </w:r>
      <w:r w:rsidR="00C60F09">
        <w:rPr>
          <w:rFonts w:ascii="Palatino Linotype" w:eastAsia="Palatino Linotype" w:hAnsi="Palatino Linotype" w:cs="Palatino Linotype"/>
          <w:color w:val="000000" w:themeColor="text1"/>
        </w:rPr>
        <w:t xml:space="preserve">a </w:t>
      </w:r>
      <w:r w:rsidR="00A7678E">
        <w:rPr>
          <w:rFonts w:ascii="Palatino Linotype" w:eastAsia="Palatino Linotype" w:hAnsi="Palatino Linotype" w:cs="Palatino Linotype"/>
          <w:color w:val="000000" w:themeColor="text1"/>
        </w:rPr>
        <w:t xml:space="preserve">quien en lo subsecuente denominaremos </w:t>
      </w:r>
      <w:r w:rsidR="00A7678E" w:rsidRPr="00A7678E">
        <w:rPr>
          <w:rFonts w:ascii="Palatino Linotype" w:eastAsia="Palatino Linotype" w:hAnsi="Palatino Linotype" w:cs="Palatino Linotype"/>
          <w:b/>
          <w:color w:val="000000" w:themeColor="text1"/>
        </w:rPr>
        <w:t>EL RECURRENTE</w:t>
      </w:r>
      <w:r w:rsidR="00A7678E">
        <w:rPr>
          <w:rFonts w:ascii="Palatino Linotype" w:eastAsia="Palatino Linotype" w:hAnsi="Palatino Linotype" w:cs="Palatino Linotype"/>
          <w:color w:val="000000" w:themeColor="text1"/>
        </w:rPr>
        <w:t xml:space="preserve"> </w:t>
      </w:r>
      <w:r w:rsidRPr="00A7678E">
        <w:rPr>
          <w:rFonts w:ascii="Palatino Linotype" w:eastAsia="Palatino Linotype" w:hAnsi="Palatino Linotype" w:cs="Palatino Linotype"/>
          <w:color w:val="000000" w:themeColor="text1"/>
        </w:rPr>
        <w:t xml:space="preserve">en contra de la respuesta de la </w:t>
      </w:r>
      <w:r w:rsidRPr="00A7678E">
        <w:rPr>
          <w:rFonts w:ascii="Palatino Linotype" w:eastAsia="Palatino Linotype" w:hAnsi="Palatino Linotype" w:cs="Palatino Linotype"/>
          <w:b/>
          <w:bCs/>
          <w:color w:val="000000" w:themeColor="text1"/>
        </w:rPr>
        <w:t>Secretaría de la Contraloría</w:t>
      </w:r>
      <w:r w:rsidRPr="00A7678E">
        <w:rPr>
          <w:rFonts w:ascii="Palatino Linotype" w:eastAsia="Palatino Linotype" w:hAnsi="Palatino Linotype" w:cs="Palatino Linotype"/>
          <w:color w:val="000000" w:themeColor="text1"/>
        </w:rPr>
        <w:t>, en lo sucesivo el</w:t>
      </w:r>
      <w:r w:rsidRPr="00A7678E">
        <w:rPr>
          <w:rFonts w:ascii="Palatino Linotype" w:eastAsia="Palatino Linotype" w:hAnsi="Palatino Linotype" w:cs="Palatino Linotype"/>
          <w:b/>
          <w:bCs/>
          <w:color w:val="000000" w:themeColor="text1"/>
        </w:rPr>
        <w:t xml:space="preserve"> SUJETO OBLIGADO</w:t>
      </w:r>
      <w:r w:rsidRPr="00A7678E">
        <w:rPr>
          <w:rFonts w:ascii="Palatino Linotype" w:eastAsia="Palatino Linotype" w:hAnsi="Palatino Linotype" w:cs="Palatino Linotype"/>
          <w:color w:val="000000" w:themeColor="text1"/>
        </w:rPr>
        <w:t>, se procede a dictar la presente Resolución, con base en los siguientes:</w:t>
      </w:r>
    </w:p>
    <w:p w:rsidR="00716629" w:rsidRPr="00A7678E" w:rsidRDefault="00716629" w:rsidP="00A7678E">
      <w:pPr>
        <w:jc w:val="both"/>
        <w:rPr>
          <w:rFonts w:ascii="Palatino Linotype" w:eastAsia="Palatino Linotype" w:hAnsi="Palatino Linotype" w:cs="Palatino Linotype"/>
          <w:color w:val="000000" w:themeColor="text1"/>
        </w:rPr>
      </w:pPr>
    </w:p>
    <w:p w:rsidR="00716629" w:rsidRPr="00A7678E" w:rsidRDefault="00EA1F2C" w:rsidP="00A7678E">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1" w:name="_heading=h.gblvvbtbyie5" w:colFirst="0" w:colLast="0"/>
      <w:bookmarkEnd w:id="1"/>
      <w:r w:rsidRPr="00A7678E">
        <w:rPr>
          <w:rFonts w:ascii="Palatino Linotype" w:eastAsia="Palatino Linotype" w:hAnsi="Palatino Linotype" w:cs="Palatino Linotype"/>
          <w:b/>
          <w:bCs/>
          <w:color w:val="000000" w:themeColor="text1"/>
          <w:sz w:val="24"/>
          <w:szCs w:val="24"/>
        </w:rPr>
        <w:t>A</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N</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T</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E</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C</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E</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D</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E</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N</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T</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E</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S</w:t>
      </w:r>
    </w:p>
    <w:p w:rsidR="00716629" w:rsidRPr="00A7678E" w:rsidRDefault="00716629" w:rsidP="00A7678E">
      <w:pPr>
        <w:pBdr>
          <w:top w:val="nil"/>
          <w:left w:val="nil"/>
          <w:bottom w:val="nil"/>
          <w:right w:val="nil"/>
          <w:between w:val="nil"/>
        </w:pBdr>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El </w:t>
      </w:r>
      <w:r w:rsidRPr="00A7678E">
        <w:rPr>
          <w:rFonts w:ascii="Palatino Linotype" w:eastAsia="Palatino Linotype" w:hAnsi="Palatino Linotype" w:cs="Palatino Linotype"/>
          <w:b/>
          <w:bCs/>
          <w:color w:val="000000" w:themeColor="text1"/>
        </w:rPr>
        <w:t xml:space="preserve">siete de abril de dos mil veinticinco, </w:t>
      </w:r>
      <w:r w:rsidRPr="00A7678E">
        <w:rPr>
          <w:rFonts w:ascii="Palatino Linotype" w:eastAsia="Palatino Linotype" w:hAnsi="Palatino Linotype" w:cs="Palatino Linotype"/>
          <w:color w:val="000000" w:themeColor="text1"/>
        </w:rPr>
        <w:t xml:space="preserve">se presentó ante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vía Sistema de Acceso a la Información Mexiquense (SAIMEX), la solicitud de acceso a datos personales registrada con el número</w:t>
      </w:r>
      <w:r w:rsidRPr="00A7678E">
        <w:rPr>
          <w:rFonts w:ascii="Palatino Linotype" w:eastAsia="Palatino Linotype" w:hAnsi="Palatino Linotype" w:cs="Palatino Linotype"/>
          <w:b/>
          <w:bCs/>
          <w:color w:val="000000" w:themeColor="text1"/>
        </w:rPr>
        <w:t xml:space="preserve"> 00176/SECOGEM/IP/2025; </w:t>
      </w:r>
      <w:r w:rsidR="00C60F09">
        <w:rPr>
          <w:rFonts w:ascii="Palatino Linotype" w:eastAsia="Palatino Linotype" w:hAnsi="Palatino Linotype" w:cs="Palatino Linotype"/>
          <w:color w:val="000000" w:themeColor="text1"/>
        </w:rPr>
        <w:t>en la</w:t>
      </w:r>
      <w:r w:rsidRPr="00A7678E">
        <w:rPr>
          <w:rFonts w:ascii="Palatino Linotype" w:eastAsia="Palatino Linotype" w:hAnsi="Palatino Linotype" w:cs="Palatino Linotype"/>
          <w:color w:val="000000" w:themeColor="text1"/>
        </w:rPr>
        <w:t xml:space="preserve"> se solicitó la siguiente información:</w:t>
      </w:r>
    </w:p>
    <w:p w:rsidR="00716629" w:rsidRPr="00A7678E" w:rsidRDefault="00716629" w:rsidP="00A7678E">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716629" w:rsidRPr="00A7678E" w:rsidRDefault="00EA1F2C" w:rsidP="00A7678E">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“Solicito saber si la C. María de los Ángeles Zuppa Villegas se encuentra inhabilitada para ejercer la función pública, anexo CURP para su búsqueda en el Sistema Integral de Responsabilidades (SIR)” (Sic)</w:t>
      </w:r>
    </w:p>
    <w:p w:rsidR="00716629" w:rsidRPr="00A7678E" w:rsidRDefault="00716629" w:rsidP="00A7678E">
      <w:pPr>
        <w:jc w:val="both"/>
        <w:rPr>
          <w:rFonts w:ascii="Palatino Linotype" w:eastAsia="Palatino Linotype" w:hAnsi="Palatino Linotype" w:cs="Palatino Linotype"/>
          <w:color w:val="000000" w:themeColor="text1"/>
        </w:rPr>
      </w:pPr>
    </w:p>
    <w:p w:rsidR="00716629" w:rsidRPr="00A7678E" w:rsidRDefault="00EA1F2C" w:rsidP="00A7678E">
      <w:pPr>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b/>
          <w:bCs/>
          <w:color w:val="000000" w:themeColor="text1"/>
        </w:rPr>
        <w:t>Archivos electrónicos adjuntos:</w:t>
      </w:r>
      <w:r w:rsidRPr="00A7678E">
        <w:rPr>
          <w:rFonts w:ascii="Palatino Linotype" w:eastAsia="Palatino Linotype" w:hAnsi="Palatino Linotype" w:cs="Palatino Linotype"/>
          <w:color w:val="000000" w:themeColor="text1"/>
        </w:rPr>
        <w:t xml:space="preserve"> </w:t>
      </w:r>
    </w:p>
    <w:p w:rsidR="00716629" w:rsidRPr="00A7678E" w:rsidRDefault="00716629" w:rsidP="00A7678E">
      <w:pPr>
        <w:jc w:val="both"/>
        <w:rPr>
          <w:rFonts w:ascii="Palatino Linotype" w:eastAsia="Palatino Linotype" w:hAnsi="Palatino Linotype" w:cs="Palatino Linotype"/>
          <w:color w:val="000000" w:themeColor="text1"/>
        </w:rPr>
      </w:pPr>
    </w:p>
    <w:p w:rsidR="00716629" w:rsidRPr="00A7678E" w:rsidRDefault="00EA1F2C" w:rsidP="00A7678E">
      <w:pPr>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b/>
          <w:bCs/>
          <w:color w:val="000000" w:themeColor="text1"/>
        </w:rPr>
        <w:t>CURP MAZV:</w:t>
      </w:r>
      <w:r w:rsidRPr="00A7678E">
        <w:rPr>
          <w:rFonts w:ascii="Palatino Linotype" w:eastAsia="Palatino Linotype" w:hAnsi="Palatino Linotype" w:cs="Palatino Linotype"/>
          <w:color w:val="000000" w:themeColor="text1"/>
        </w:rPr>
        <w:t xml:space="preserve"> Copia digitalizada de la constancia de la Clave Única de Registro de Población (CURP) de la persona referida en la solicitud de información.</w:t>
      </w:r>
    </w:p>
    <w:p w:rsidR="00716629" w:rsidRPr="00A7678E" w:rsidRDefault="00716629" w:rsidP="00A7678E">
      <w:pPr>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lastRenderedPageBreak/>
        <w:t xml:space="preserve">Se hace constar que se señaló como modalidad de entrega de la información a través del </w:t>
      </w:r>
      <w:r w:rsidRPr="00A7678E">
        <w:rPr>
          <w:rFonts w:ascii="Palatino Linotype" w:eastAsia="Palatino Linotype" w:hAnsi="Palatino Linotype" w:cs="Palatino Linotype"/>
          <w:b/>
          <w:bCs/>
          <w:color w:val="000000" w:themeColor="text1"/>
        </w:rPr>
        <w:t>SAIMEX.</w:t>
      </w:r>
    </w:p>
    <w:p w:rsidR="00716629" w:rsidRPr="00A7678E" w:rsidRDefault="00716629" w:rsidP="00A7678E">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color w:val="000000" w:themeColor="text1"/>
        </w:rPr>
        <w:t xml:space="preserve">El </w:t>
      </w:r>
      <w:r w:rsidRPr="00A7678E">
        <w:rPr>
          <w:rFonts w:ascii="Palatino Linotype" w:eastAsia="Palatino Linotype" w:hAnsi="Palatino Linotype" w:cs="Palatino Linotype"/>
          <w:b/>
          <w:bCs/>
          <w:color w:val="000000" w:themeColor="text1"/>
        </w:rPr>
        <w:t>treinta de abril de dos mil veinticinco</w:t>
      </w:r>
      <w:r w:rsidRPr="00A7678E">
        <w:rPr>
          <w:rFonts w:ascii="Palatino Linotype" w:eastAsia="Palatino Linotype" w:hAnsi="Palatino Linotype" w:cs="Palatino Linotype"/>
          <w:color w:val="000000" w:themeColor="text1"/>
        </w:rPr>
        <w:t xml:space="preserve">,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emitió su respuesta a la solicitud en los siguientes términos:</w:t>
      </w:r>
    </w:p>
    <w:p w:rsidR="00716629" w:rsidRPr="00A7678E" w:rsidRDefault="00716629" w:rsidP="00A7678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716629" w:rsidRPr="00A7678E" w:rsidRDefault="00EA1F2C" w:rsidP="00A7678E">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“Estimado solicitante, se informa que en archivo adjunto encontrará el oficio de respuesta firmado por el Encargado de Despacho de la Unidad de Prevención de la Corrupción; y, Responsable de la Unidad de Transparencia de la Secretaría de la Contraloría. ¡Que tenga una linda día!” (Sic)</w:t>
      </w:r>
    </w:p>
    <w:p w:rsidR="00716629" w:rsidRPr="00A7678E" w:rsidRDefault="00716629" w:rsidP="00A7678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716629" w:rsidRPr="00A7678E" w:rsidRDefault="00EA1F2C" w:rsidP="00A7678E">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b/>
          <w:bCs/>
          <w:color w:val="000000" w:themeColor="text1"/>
        </w:rPr>
        <w:t>Archivos electrónicos adjuntos:</w:t>
      </w:r>
    </w:p>
    <w:p w:rsidR="00716629" w:rsidRPr="00A7678E" w:rsidRDefault="00716629" w:rsidP="00A7678E">
      <w:pPr>
        <w:rPr>
          <w:rFonts w:ascii="Palatino Linotype" w:eastAsia="Palatino Linotype" w:hAnsi="Palatino Linotype" w:cs="Palatino Linotype"/>
          <w:color w:val="000000" w:themeColor="text1"/>
        </w:rPr>
      </w:pPr>
    </w:p>
    <w:p w:rsidR="00716629" w:rsidRPr="00A7678E" w:rsidRDefault="00437829" w:rsidP="00A7678E">
      <w:pPr>
        <w:pBdr>
          <w:top w:val="nil"/>
          <w:left w:val="nil"/>
          <w:bottom w:val="nil"/>
          <w:right w:val="nil"/>
          <w:between w:val="nil"/>
        </w:pBdr>
        <w:jc w:val="both"/>
        <w:rPr>
          <w:rFonts w:ascii="Palatino Linotype" w:eastAsia="Palatino Linotype" w:hAnsi="Palatino Linotype" w:cs="Palatino Linotype"/>
          <w:color w:val="000000" w:themeColor="text1"/>
        </w:rPr>
      </w:pPr>
      <w:hyperlink r:id="rId8">
        <w:r w:rsidR="00EA1F2C" w:rsidRPr="00A7678E">
          <w:rPr>
            <w:rFonts w:ascii="Palatino Linotype" w:eastAsia="Palatino Linotype" w:hAnsi="Palatino Linotype" w:cs="Palatino Linotype"/>
            <w:b/>
            <w:bCs/>
            <w:color w:val="000000" w:themeColor="text1"/>
          </w:rPr>
          <w:t>RESPUESTA 176.pdf</w:t>
        </w:r>
      </w:hyperlink>
      <w:r w:rsidR="00EA1F2C" w:rsidRPr="00A7678E">
        <w:rPr>
          <w:rFonts w:ascii="Palatino Linotype" w:eastAsia="Palatino Linotype" w:hAnsi="Palatino Linotype" w:cs="Palatino Linotype"/>
          <w:b/>
          <w:bCs/>
          <w:color w:val="000000" w:themeColor="text1"/>
        </w:rPr>
        <w:t xml:space="preserve">: </w:t>
      </w:r>
      <w:r w:rsidR="00EA1F2C" w:rsidRPr="00A7678E">
        <w:rPr>
          <w:rFonts w:ascii="Palatino Linotype" w:eastAsia="Palatino Linotype" w:hAnsi="Palatino Linotype" w:cs="Palatino Linotype"/>
          <w:color w:val="000000" w:themeColor="text1"/>
        </w:rPr>
        <w:t>Oficio suscrito por el Encargado de Despacho de la Unidad de Prevención de la Corrupción y Responsable de la Unidad de Transparencia, por medio del cual, refirió que se turnó el requerimiento al Servidor Público Habilitado de la Subdirección de Responsabilidades Administrativas, quien manifestó lo siguiente:</w:t>
      </w:r>
    </w:p>
    <w:p w:rsidR="00716629" w:rsidRPr="00A7678E" w:rsidRDefault="00716629" w:rsidP="00A7678E">
      <w:pPr>
        <w:pBdr>
          <w:top w:val="nil"/>
          <w:left w:val="nil"/>
          <w:bottom w:val="nil"/>
          <w:right w:val="nil"/>
          <w:between w:val="nil"/>
        </w:pBdr>
        <w:jc w:val="both"/>
        <w:rPr>
          <w:rFonts w:ascii="Palatino Linotype" w:eastAsia="Palatino Linotype" w:hAnsi="Palatino Linotype" w:cs="Palatino Linotype"/>
          <w:color w:val="000000" w:themeColor="text1"/>
        </w:rPr>
      </w:pPr>
    </w:p>
    <w:p w:rsidR="00716629" w:rsidRPr="00A7678E" w:rsidRDefault="00EA1F2C" w:rsidP="00A7678E">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"Con fundamento en los artículos 12. 59 fracciones 1, II. III y VI, de la Ley de Transparencia y Acceso a la Información Pública del Estado de México y Municipios, me permito atender lo solicitado por el peticionario en los siguientes términos: De acuerdo con la información requerida en la presente solicitud. le informo que las plataformas informáticas que opera y administra la Subsecretaria de Responsabilidades Administrativas, misma que cuenta con registros de procedimientos administrativos y sanciones, la cual se suministra y actualiza de información en el ámbito de su competencia por los Órganos Disciplinarios de las Dependencias, Organismos Auxiliares, Fideicomisos Públicos, Ayuntamientos y sus Órganos Municipales, con la clave personal y confidencial que les es proporcionada, por ser estos, quienes conocen y determinan las probables responsabilidades de los servidores públicos, y a su vez cuentan con la documentación del expediente que en su caso se conformó.” (Sic)</w:t>
      </w:r>
    </w:p>
    <w:p w:rsidR="00716629" w:rsidRPr="00A7678E" w:rsidRDefault="00716629" w:rsidP="00A7678E">
      <w:pPr>
        <w:pBdr>
          <w:top w:val="nil"/>
          <w:left w:val="nil"/>
          <w:bottom w:val="nil"/>
          <w:right w:val="nil"/>
          <w:between w:val="nil"/>
        </w:pBdr>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color w:val="000000" w:themeColor="text1"/>
        </w:rPr>
        <w:t xml:space="preserve">El </w:t>
      </w:r>
      <w:r w:rsidRPr="00A7678E">
        <w:rPr>
          <w:rFonts w:ascii="Palatino Linotype" w:eastAsia="Palatino Linotype" w:hAnsi="Palatino Linotype" w:cs="Palatino Linotype"/>
          <w:b/>
          <w:bCs/>
          <w:color w:val="000000" w:themeColor="text1"/>
        </w:rPr>
        <w:t>treinta abril de dos mil veinticinco</w:t>
      </w:r>
      <w:r w:rsidRPr="00A7678E">
        <w:rPr>
          <w:rFonts w:ascii="Palatino Linotype" w:eastAsia="Palatino Linotype" w:hAnsi="Palatino Linotype" w:cs="Palatino Linotype"/>
          <w:color w:val="000000" w:themeColor="text1"/>
        </w:rPr>
        <w:t xml:space="preserve">, la parte </w:t>
      </w:r>
      <w:r w:rsidRPr="00A7678E">
        <w:rPr>
          <w:rFonts w:ascii="Palatino Linotype" w:eastAsia="Palatino Linotype" w:hAnsi="Palatino Linotype" w:cs="Palatino Linotype"/>
          <w:b/>
          <w:bCs/>
          <w:color w:val="000000" w:themeColor="text1"/>
        </w:rPr>
        <w:t>RECURRENTE</w:t>
      </w:r>
      <w:r w:rsidRPr="00A7678E">
        <w:rPr>
          <w:rFonts w:ascii="Palatino Linotype" w:eastAsia="Palatino Linotype" w:hAnsi="Palatino Linotype" w:cs="Palatino Linotype"/>
          <w:color w:val="000000" w:themeColor="text1"/>
        </w:rPr>
        <w:t xml:space="preserve"> interpuso recurso de revisión, en los siguientes términos:</w:t>
      </w:r>
    </w:p>
    <w:p w:rsidR="00716629" w:rsidRPr="00C60F09" w:rsidRDefault="00EA1F2C" w:rsidP="00C60F09">
      <w:pPr>
        <w:pStyle w:val="Prrafodelista"/>
        <w:numPr>
          <w:ilvl w:val="0"/>
          <w:numId w:val="6"/>
        </w:numPr>
        <w:pBdr>
          <w:top w:val="nil"/>
          <w:left w:val="nil"/>
          <w:bottom w:val="nil"/>
          <w:right w:val="nil"/>
          <w:between w:val="nil"/>
        </w:pBdr>
        <w:jc w:val="both"/>
        <w:rPr>
          <w:rFonts w:ascii="Palatino Linotype" w:eastAsia="Palatino Linotype" w:hAnsi="Palatino Linotype" w:cs="Palatino Linotype"/>
          <w:i/>
          <w:iCs/>
          <w:color w:val="000000" w:themeColor="text1"/>
        </w:rPr>
      </w:pPr>
      <w:bookmarkStart w:id="2" w:name="_heading=h.a4yqcbbd8811" w:colFirst="0" w:colLast="0"/>
      <w:bookmarkEnd w:id="2"/>
      <w:r w:rsidRPr="00C60F09">
        <w:rPr>
          <w:rFonts w:ascii="Palatino Linotype" w:eastAsia="Palatino Linotype" w:hAnsi="Palatino Linotype" w:cs="Palatino Linotype"/>
          <w:b/>
          <w:bCs/>
          <w:color w:val="000000" w:themeColor="text1"/>
        </w:rPr>
        <w:lastRenderedPageBreak/>
        <w:t>ACTO IMPUGNADO</w:t>
      </w:r>
      <w:r w:rsidRPr="00C60F09">
        <w:rPr>
          <w:rFonts w:ascii="Palatino Linotype" w:eastAsia="Palatino Linotype" w:hAnsi="Palatino Linotype" w:cs="Palatino Linotype"/>
          <w:b/>
          <w:bCs/>
          <w:i/>
          <w:iCs/>
          <w:color w:val="000000" w:themeColor="text1"/>
        </w:rPr>
        <w:t xml:space="preserve">: </w:t>
      </w:r>
      <w:r w:rsidRPr="00C60F09">
        <w:rPr>
          <w:rFonts w:ascii="Palatino Linotype" w:eastAsia="Palatino Linotype" w:hAnsi="Palatino Linotype" w:cs="Palatino Linotype"/>
          <w:i/>
          <w:iCs/>
          <w:color w:val="000000" w:themeColor="text1"/>
        </w:rPr>
        <w:t>“La dependencia en anterior respuesta al oficio 00133/SECOGEM/IP/2025 solicitó el CURP para la búsqueda de la información solicitada, mismo CURP que ya fue proporcionado en esta solicitud de información, sin tener la respuesta requerida, y encontrando que se tienen respuestas contradictorias, si ya se entregó el CURP requerido para la búsqueda, ¿Porqué la contraloría no responde con un Sí o No? Algo se está incubriendo y esta solicitud será pública en medios de comunicación, por lo cual se solicita su intervención toda vez que esta información es de interés público para la ciudadanía, pues no puede ser que en el sistema estatal anticorrupción aparezca inhabilitada la servidora pública señalada y la contraloría se niegue a entregar una simple respuesta.” (Sic)</w:t>
      </w:r>
    </w:p>
    <w:p w:rsidR="00716629" w:rsidRPr="00A7678E" w:rsidRDefault="00716629" w:rsidP="00A7678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716629" w:rsidRPr="00C60F09" w:rsidRDefault="00EA1F2C" w:rsidP="00C60F09">
      <w:pPr>
        <w:pStyle w:val="Prrafodelista"/>
        <w:numPr>
          <w:ilvl w:val="0"/>
          <w:numId w:val="6"/>
        </w:numPr>
        <w:pBdr>
          <w:top w:val="nil"/>
          <w:left w:val="nil"/>
          <w:bottom w:val="nil"/>
          <w:right w:val="nil"/>
          <w:between w:val="nil"/>
        </w:pBdr>
        <w:jc w:val="both"/>
        <w:rPr>
          <w:rFonts w:ascii="Palatino Linotype" w:eastAsia="Palatino Linotype" w:hAnsi="Palatino Linotype" w:cs="Palatino Linotype"/>
          <w:i/>
          <w:iCs/>
          <w:color w:val="000000" w:themeColor="text1"/>
        </w:rPr>
      </w:pPr>
      <w:r w:rsidRPr="00C60F09">
        <w:rPr>
          <w:rFonts w:ascii="Palatino Linotype" w:eastAsia="Palatino Linotype" w:hAnsi="Palatino Linotype" w:cs="Palatino Linotype"/>
          <w:b/>
          <w:bCs/>
          <w:color w:val="000000" w:themeColor="text1"/>
        </w:rPr>
        <w:t xml:space="preserve">RAZONES O MOTIVOS DE LA INCONFORMIDAD: </w:t>
      </w:r>
      <w:r w:rsidRPr="00C60F09">
        <w:rPr>
          <w:rFonts w:ascii="Palatino Linotype" w:eastAsia="Palatino Linotype" w:hAnsi="Palatino Linotype" w:cs="Palatino Linotype"/>
          <w:i/>
          <w:iCs/>
          <w:color w:val="000000" w:themeColor="text1"/>
        </w:rPr>
        <w:t>“La dependencia en anterior respuesta al oficio 00133/SECOGEM/IP/2025 solicitó el CURP para la búsqueda de la información solicitada, mismo CURP que ya fue proporcionado en esta solicitud de información, sin tener la respuesta requerida, y encontrando que se tienen respuestas contradictorias, si ya se entregó el CURP requerido para la búsqueda, ¿Porqué la contraloría no responde con un Sí o No? Algo se está incubriendo y esta solicitud será pública en medios de comunicación, por lo cual se solicita su intervención toda vez que esta información es de interés público para la ciudadanía.” (Sic)</w:t>
      </w:r>
    </w:p>
    <w:p w:rsidR="00716629" w:rsidRPr="00A7678E" w:rsidRDefault="00716629" w:rsidP="00A7678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716629" w:rsidRPr="00A7678E" w:rsidRDefault="00C60F09"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themeColor="text1"/>
        </w:rPr>
      </w:pPr>
      <w:r>
        <w:rPr>
          <w:rFonts w:ascii="Palatino Linotype" w:eastAsia="Palatino Linotype" w:hAnsi="Palatino Linotype" w:cs="Palatino Linotype"/>
          <w:color w:val="000000" w:themeColor="text1"/>
        </w:rPr>
        <w:t>La Comisionada p</w:t>
      </w:r>
      <w:r w:rsidR="00EA1F2C" w:rsidRPr="00A7678E">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de fecha </w:t>
      </w:r>
      <w:r w:rsidR="00EA1F2C" w:rsidRPr="00A7678E">
        <w:rPr>
          <w:rFonts w:ascii="Palatino Linotype" w:eastAsia="Palatino Linotype" w:hAnsi="Palatino Linotype" w:cs="Palatino Linotype"/>
          <w:b/>
          <w:bCs/>
          <w:color w:val="000000" w:themeColor="text1"/>
        </w:rPr>
        <w:t>ocho de mayo de dos mil veinticinco</w:t>
      </w:r>
      <w:r w:rsidR="00EA1F2C" w:rsidRPr="00A7678E">
        <w:rPr>
          <w:rFonts w:ascii="Palatino Linotype" w:eastAsia="Palatino Linotype" w:hAnsi="Palatino Linotype" w:cs="Palatino Linotype"/>
          <w:color w:val="000000" w:themeColor="text1"/>
        </w:rPr>
        <w:t xml:space="preserve">, puso a disposición de las partes el expediente electrónico vía </w:t>
      </w:r>
      <w:r w:rsidR="00EA1F2C" w:rsidRPr="00A7678E">
        <w:rPr>
          <w:rFonts w:ascii="Palatino Linotype" w:eastAsia="Palatino Linotype" w:hAnsi="Palatino Linotype" w:cs="Palatino Linotype"/>
          <w:b/>
          <w:bCs/>
          <w:color w:val="000000" w:themeColor="text1"/>
        </w:rPr>
        <w:t xml:space="preserve">SAIMEX </w:t>
      </w:r>
      <w:r w:rsidR="00EA1F2C" w:rsidRPr="00A7678E">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00EA1F2C" w:rsidRPr="00A7678E">
        <w:rPr>
          <w:rFonts w:ascii="Palatino Linotype" w:eastAsia="Palatino Linotype" w:hAnsi="Palatino Linotype" w:cs="Palatino Linotype"/>
          <w:b/>
          <w:bCs/>
          <w:color w:val="000000" w:themeColor="text1"/>
        </w:rPr>
        <w:t>SUJETO OBLIGADO</w:t>
      </w:r>
      <w:r w:rsidR="00EA1F2C" w:rsidRPr="00A7678E">
        <w:rPr>
          <w:rFonts w:ascii="Palatino Linotype" w:eastAsia="Palatino Linotype" w:hAnsi="Palatino Linotype" w:cs="Palatino Linotype"/>
          <w:color w:val="000000" w:themeColor="text1"/>
        </w:rPr>
        <w:t xml:space="preserve"> presentará el Informe Justificado procedente.</w:t>
      </w:r>
    </w:p>
    <w:p w:rsidR="00716629" w:rsidRPr="00A7678E" w:rsidRDefault="00716629" w:rsidP="00A7678E">
      <w:pPr>
        <w:pBdr>
          <w:top w:val="nil"/>
          <w:left w:val="nil"/>
          <w:bottom w:val="nil"/>
          <w:right w:val="nil"/>
          <w:between w:val="nil"/>
        </w:pBdr>
        <w:spacing w:line="360" w:lineRule="auto"/>
        <w:jc w:val="both"/>
        <w:rPr>
          <w:rFonts w:ascii="Palatino Linotype" w:eastAsia="Palatino Linotype" w:hAnsi="Palatino Linotype" w:cs="Palatino Linotype"/>
          <w:i/>
          <w:iCs/>
          <w:color w:val="000000" w:themeColor="text1"/>
        </w:rPr>
      </w:pPr>
    </w:p>
    <w:p w:rsidR="00716629" w:rsidRPr="00B12D90"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El </w:t>
      </w:r>
      <w:r w:rsidRPr="00A7678E">
        <w:rPr>
          <w:rFonts w:ascii="Palatino Linotype" w:eastAsia="Palatino Linotype" w:hAnsi="Palatino Linotype" w:cs="Palatino Linotype"/>
          <w:b/>
          <w:bCs/>
          <w:color w:val="000000" w:themeColor="text1"/>
        </w:rPr>
        <w:t>dieciséis de mayo de dos mil veinticinco</w:t>
      </w:r>
      <w:r w:rsidRPr="00A7678E">
        <w:rPr>
          <w:rFonts w:ascii="Palatino Linotype" w:eastAsia="Palatino Linotype" w:hAnsi="Palatino Linotype" w:cs="Palatino Linotype"/>
          <w:color w:val="000000" w:themeColor="text1"/>
        </w:rPr>
        <w:t xml:space="preserve">,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rindió el informe justificado correspondiente, por medio del archivo electrónico denominado </w:t>
      </w:r>
      <w:r w:rsidRPr="00A7678E">
        <w:rPr>
          <w:rFonts w:ascii="Palatino Linotype" w:eastAsia="Palatino Linotype" w:hAnsi="Palatino Linotype" w:cs="Palatino Linotype"/>
          <w:b/>
          <w:bCs/>
          <w:color w:val="000000" w:themeColor="text1"/>
        </w:rPr>
        <w:t>Informe justificado RR 4963-2025 sol. 176-2025.pdf</w:t>
      </w:r>
      <w:r w:rsidRPr="00A7678E">
        <w:rPr>
          <w:rFonts w:ascii="Palatino Linotype" w:eastAsia="Palatino Linotype" w:hAnsi="Palatino Linotype" w:cs="Palatino Linotype"/>
          <w:color w:val="000000" w:themeColor="text1"/>
        </w:rPr>
        <w:t>, consistente en un oficio suscrito por el</w:t>
      </w:r>
      <w:r w:rsidRPr="00A7678E">
        <w:rPr>
          <w:rFonts w:ascii="Palatino Linotype" w:eastAsia="Palatino Linotype" w:hAnsi="Palatino Linotype" w:cs="Palatino Linotype"/>
          <w:b/>
          <w:bCs/>
          <w:color w:val="000000" w:themeColor="text1"/>
        </w:rPr>
        <w:t xml:space="preserve"> </w:t>
      </w:r>
      <w:r w:rsidRPr="00A7678E">
        <w:rPr>
          <w:rFonts w:ascii="Palatino Linotype" w:eastAsia="Palatino Linotype" w:hAnsi="Palatino Linotype" w:cs="Palatino Linotype"/>
          <w:color w:val="000000" w:themeColor="text1"/>
        </w:rPr>
        <w:lastRenderedPageBreak/>
        <w:t xml:space="preserve">Encargado de Despacho de la Unidad de Prevención de la Corrupción y Responsable de la Unidad de Transparencia, por medio del cual, </w:t>
      </w:r>
      <w:r w:rsidRPr="00A7678E">
        <w:rPr>
          <w:rFonts w:ascii="Palatino Linotype" w:eastAsia="Palatino Linotype" w:hAnsi="Palatino Linotype" w:cs="Palatino Linotype"/>
          <w:b/>
          <w:color w:val="000000" w:themeColor="text1"/>
        </w:rPr>
        <w:t>refirió que el Servidor Público Habilitado de la Subdirección de Responsabilidades Administrativas amplió la respuesta al informar que se realizó la consulta correspondiente en el Sistema Integral de Responsabilidades (SIR) y de Constancias de No Inhabilitación, sin embargo</w:t>
      </w:r>
      <w:r w:rsidRPr="00A7678E">
        <w:rPr>
          <w:rFonts w:ascii="Palatino Linotype" w:eastAsia="Palatino Linotype" w:hAnsi="Palatino Linotype" w:cs="Palatino Linotype"/>
          <w:b/>
          <w:bCs/>
          <w:color w:val="000000" w:themeColor="text1"/>
        </w:rPr>
        <w:t xml:space="preserve">, no se localizó registro en los sistemas referidos, de antecedentes de sanción alguna a nombre de la servidora </w:t>
      </w:r>
      <w:r w:rsidRPr="00B12D90">
        <w:rPr>
          <w:rFonts w:ascii="Palatino Linotype" w:eastAsia="Palatino Linotype" w:hAnsi="Palatino Linotype" w:cs="Palatino Linotype"/>
          <w:b/>
          <w:bCs/>
          <w:color w:val="000000" w:themeColor="text1"/>
        </w:rPr>
        <w:t>pública de quien se proporcionaron los datos; n</w:t>
      </w:r>
      <w:r w:rsidR="00063843" w:rsidRPr="00B12D90">
        <w:rPr>
          <w:rFonts w:ascii="Palatino Linotype" w:eastAsia="Palatino Linotype" w:hAnsi="Palatino Linotype" w:cs="Palatino Linotype"/>
          <w:b/>
          <w:bCs/>
          <w:color w:val="000000" w:themeColor="text1"/>
        </w:rPr>
        <w:t xml:space="preserve">o obstante, </w:t>
      </w:r>
      <w:r w:rsidRPr="00B12D90">
        <w:rPr>
          <w:rFonts w:ascii="Palatino Linotype" w:eastAsia="Palatino Linotype" w:hAnsi="Palatino Linotype" w:cs="Palatino Linotype"/>
          <w:b/>
          <w:bCs/>
          <w:color w:val="000000" w:themeColor="text1"/>
        </w:rPr>
        <w:t xml:space="preserve">se </w:t>
      </w:r>
      <w:r w:rsidR="00063843" w:rsidRPr="00B12D90">
        <w:rPr>
          <w:rFonts w:ascii="Palatino Linotype" w:eastAsia="Palatino Linotype" w:hAnsi="Palatino Linotype" w:cs="Palatino Linotype"/>
          <w:b/>
          <w:bCs/>
          <w:color w:val="000000" w:themeColor="text1"/>
        </w:rPr>
        <w:t xml:space="preserve">realizó un requerimiento a la Novena Sala Especializada en Materia de Responsabilidades Administrativas del Tribunal de Justicia Administrativa del Estado de México, quien remitió copia certificada del registro de la sanción atribuida a la servidora pública referida en la solicitud </w:t>
      </w:r>
      <w:r w:rsidRPr="00B12D90">
        <w:rPr>
          <w:rFonts w:ascii="Palatino Linotype" w:eastAsia="Palatino Linotype" w:hAnsi="Palatino Linotype" w:cs="Palatino Linotype"/>
          <w:b/>
          <w:bCs/>
          <w:color w:val="000000" w:themeColor="text1"/>
        </w:rPr>
        <w:t>información 00176/SECOGEM/IP/2025, constancias de las cuales se advierte que se impuso una sanción administrativa consistente en una inhabilitación.</w:t>
      </w:r>
    </w:p>
    <w:p w:rsidR="00716629" w:rsidRPr="00A7678E" w:rsidRDefault="00716629" w:rsidP="00A7678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Por su parte, el </w:t>
      </w:r>
      <w:r w:rsidRPr="00A7678E">
        <w:rPr>
          <w:rFonts w:ascii="Palatino Linotype" w:eastAsia="Palatino Linotype" w:hAnsi="Palatino Linotype" w:cs="Palatino Linotype"/>
          <w:b/>
          <w:bCs/>
          <w:color w:val="000000" w:themeColor="text1"/>
        </w:rPr>
        <w:t xml:space="preserve">RECURRENTE </w:t>
      </w:r>
      <w:r w:rsidRPr="00A7678E">
        <w:rPr>
          <w:rFonts w:ascii="Palatino Linotype" w:eastAsia="Palatino Linotype" w:hAnsi="Palatino Linotype" w:cs="Palatino Linotype"/>
          <w:color w:val="000000" w:themeColor="text1"/>
        </w:rPr>
        <w:t>no realizó manifestaciones, ni ofreció pruebas o alegatos que a su derecho conviniera.</w:t>
      </w:r>
    </w:p>
    <w:p w:rsidR="00716629" w:rsidRPr="00A7678E" w:rsidRDefault="00716629" w:rsidP="00A7678E">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716629" w:rsidRPr="00C60F09"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El </w:t>
      </w:r>
      <w:r w:rsidRPr="00A7678E">
        <w:rPr>
          <w:rFonts w:ascii="Palatino Linotype" w:eastAsia="Palatino Linotype" w:hAnsi="Palatino Linotype" w:cs="Palatino Linotype"/>
          <w:b/>
          <w:bCs/>
          <w:color w:val="000000" w:themeColor="text1"/>
        </w:rPr>
        <w:t xml:space="preserve">veinticinco de noviembre de dos mil veinticinco, </w:t>
      </w:r>
      <w:r w:rsidRPr="00A7678E">
        <w:rPr>
          <w:rFonts w:ascii="Palatino Linotype" w:eastAsia="Palatino Linotype" w:hAnsi="Palatino Linotype" w:cs="Palatino Linotype"/>
          <w:color w:val="000000" w:themeColor="text1"/>
        </w:rPr>
        <w:t>se decretó el cierre de instrucción, por lo que no habiendo más que hacer constar y</w:t>
      </w:r>
      <w:r w:rsidR="00C60F09">
        <w:rPr>
          <w:rFonts w:ascii="Palatino Linotype" w:eastAsia="Palatino Linotype" w:hAnsi="Palatino Linotype" w:cs="Palatino Linotype"/>
          <w:color w:val="000000" w:themeColor="text1"/>
        </w:rPr>
        <w:t xml:space="preserve"> ----------------------------------------</w:t>
      </w:r>
    </w:p>
    <w:p w:rsidR="00C60F09" w:rsidRDefault="00C60F09" w:rsidP="00C60F09">
      <w:pPr>
        <w:pStyle w:val="Prrafodelista"/>
        <w:rPr>
          <w:rFonts w:ascii="Palatino Linotype" w:eastAsia="Palatino Linotype" w:hAnsi="Palatino Linotype" w:cs="Palatino Linotype"/>
          <w:b/>
          <w:bCs/>
          <w:color w:val="000000" w:themeColor="text1"/>
        </w:rPr>
      </w:pPr>
    </w:p>
    <w:p w:rsidR="00C60F09" w:rsidRDefault="00C60F09" w:rsidP="00C60F09">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C60F09" w:rsidRDefault="00C60F09" w:rsidP="00C60F09">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C60F09" w:rsidRPr="00A7678E" w:rsidRDefault="00C60F09" w:rsidP="00C60F09">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pStyle w:val="Ttulo1"/>
        <w:spacing w:before="0" w:line="360" w:lineRule="auto"/>
        <w:jc w:val="center"/>
        <w:rPr>
          <w:rFonts w:ascii="Palatino Linotype" w:eastAsia="Palatino Linotype" w:hAnsi="Palatino Linotype" w:cs="Palatino Linotype"/>
          <w:b/>
          <w:bCs/>
          <w:color w:val="000000" w:themeColor="text1"/>
          <w:sz w:val="24"/>
          <w:szCs w:val="24"/>
        </w:rPr>
      </w:pPr>
      <w:bookmarkStart w:id="3" w:name="_heading=h.tcdf2ax2f2z" w:colFirst="0" w:colLast="0"/>
      <w:bookmarkEnd w:id="3"/>
      <w:r w:rsidRPr="00A7678E">
        <w:rPr>
          <w:rFonts w:ascii="Palatino Linotype" w:eastAsia="Palatino Linotype" w:hAnsi="Palatino Linotype" w:cs="Palatino Linotype"/>
          <w:b/>
          <w:bCs/>
          <w:color w:val="000000" w:themeColor="text1"/>
          <w:sz w:val="24"/>
          <w:szCs w:val="24"/>
        </w:rPr>
        <w:lastRenderedPageBreak/>
        <w:t>C</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O</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N</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S</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I</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D</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E</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R</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A</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N</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D</w:t>
      </w:r>
      <w:r w:rsidR="00C60F09">
        <w:rPr>
          <w:rFonts w:ascii="Palatino Linotype" w:eastAsia="Palatino Linotype" w:hAnsi="Palatino Linotype" w:cs="Palatino Linotype"/>
          <w:b/>
          <w:bCs/>
          <w:color w:val="000000" w:themeColor="text1"/>
          <w:sz w:val="24"/>
          <w:szCs w:val="24"/>
        </w:rPr>
        <w:t xml:space="preserve"> </w:t>
      </w:r>
      <w:r w:rsidRPr="00A7678E">
        <w:rPr>
          <w:rFonts w:ascii="Palatino Linotype" w:eastAsia="Palatino Linotype" w:hAnsi="Palatino Linotype" w:cs="Palatino Linotype"/>
          <w:b/>
          <w:bCs/>
          <w:color w:val="000000" w:themeColor="text1"/>
          <w:sz w:val="24"/>
          <w:szCs w:val="24"/>
        </w:rPr>
        <w:t>O</w:t>
      </w:r>
    </w:p>
    <w:p w:rsidR="00716629" w:rsidRPr="00A7678E" w:rsidRDefault="00716629" w:rsidP="00A7678E">
      <w:pPr>
        <w:pStyle w:val="Ttulo2"/>
        <w:spacing w:before="0"/>
        <w:rPr>
          <w:rFonts w:ascii="Palatino Linotype" w:eastAsia="Palatino Linotype" w:hAnsi="Palatino Linotype" w:cs="Palatino Linotype"/>
          <w:b/>
          <w:bCs/>
          <w:color w:val="000000" w:themeColor="text1"/>
          <w:sz w:val="24"/>
          <w:szCs w:val="24"/>
        </w:rPr>
      </w:pPr>
      <w:bookmarkStart w:id="4" w:name="_heading=h.eukquq32djgq" w:colFirst="0" w:colLast="0"/>
      <w:bookmarkEnd w:id="4"/>
    </w:p>
    <w:p w:rsidR="00716629" w:rsidRPr="00A7678E" w:rsidRDefault="00EA1F2C" w:rsidP="00A7678E">
      <w:pPr>
        <w:pStyle w:val="Ttulo2"/>
        <w:spacing w:before="0" w:line="360" w:lineRule="auto"/>
        <w:rPr>
          <w:rFonts w:ascii="Palatino Linotype" w:eastAsia="Palatino Linotype" w:hAnsi="Palatino Linotype" w:cs="Palatino Linotype"/>
          <w:b/>
          <w:bCs/>
          <w:color w:val="000000" w:themeColor="text1"/>
          <w:sz w:val="24"/>
          <w:szCs w:val="24"/>
        </w:rPr>
      </w:pPr>
      <w:r w:rsidRPr="00A7678E">
        <w:rPr>
          <w:rFonts w:ascii="Palatino Linotype" w:eastAsia="Palatino Linotype" w:hAnsi="Palatino Linotype" w:cs="Palatino Linotype"/>
          <w:b/>
          <w:bCs/>
          <w:color w:val="000000" w:themeColor="text1"/>
          <w:sz w:val="24"/>
          <w:szCs w:val="24"/>
        </w:rPr>
        <w:t>PRIMERO. De la competencia</w:t>
      </w: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1, 81, 82 fracciones I y III, 119, 127, 128 y 129, de la Ley de Protección de Datos Personales en Posesión de Sujetos Obligados del Estado de México y Municipios;  1, 2, fracción II, 13, 29, 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rsidR="00716629" w:rsidRPr="00A7678E" w:rsidRDefault="00716629" w:rsidP="00A7678E">
      <w:pPr>
        <w:jc w:val="both"/>
        <w:rPr>
          <w:rFonts w:ascii="Palatino Linotype" w:eastAsia="Palatino Linotype" w:hAnsi="Palatino Linotype" w:cs="Palatino Linotype"/>
          <w:color w:val="000000" w:themeColor="text1"/>
        </w:rPr>
      </w:pPr>
    </w:p>
    <w:p w:rsidR="00716629" w:rsidRPr="00A7678E" w:rsidRDefault="00EA1F2C" w:rsidP="00A7678E">
      <w:pPr>
        <w:spacing w:line="360" w:lineRule="auto"/>
        <w:jc w:val="both"/>
        <w:rPr>
          <w:rFonts w:ascii="Palatino Linotype" w:eastAsia="Palatino Linotype" w:hAnsi="Palatino Linotype" w:cs="Palatino Linotype"/>
          <w:b/>
          <w:bCs/>
          <w:color w:val="000000" w:themeColor="text1"/>
        </w:rPr>
      </w:pPr>
      <w:bookmarkStart w:id="5" w:name="_heading=h.dyf81up906hi" w:colFirst="0" w:colLast="0"/>
      <w:bookmarkEnd w:id="5"/>
      <w:r w:rsidRPr="00A7678E">
        <w:rPr>
          <w:rFonts w:ascii="Palatino Linotype" w:eastAsia="Palatino Linotype" w:hAnsi="Palatino Linotype" w:cs="Palatino Linotype"/>
          <w:color w:val="000000" w:themeColor="text1"/>
        </w:rPr>
        <w:t xml:space="preserve"> </w:t>
      </w:r>
      <w:r w:rsidRPr="00A7678E">
        <w:rPr>
          <w:rFonts w:ascii="Palatino Linotype" w:eastAsia="Palatino Linotype" w:hAnsi="Palatino Linotype" w:cs="Palatino Linotype"/>
          <w:b/>
          <w:bCs/>
          <w:color w:val="000000" w:themeColor="text1"/>
        </w:rPr>
        <w:t>SEGUNDO. De la oportunidad y procedencia.</w:t>
      </w: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El medio de impugnación fue presentado a través del </w:t>
      </w:r>
      <w:r w:rsidRPr="00A7678E">
        <w:rPr>
          <w:rFonts w:ascii="Palatino Linotype" w:eastAsia="Palatino Linotype" w:hAnsi="Palatino Linotype" w:cs="Palatino Linotype"/>
          <w:b/>
          <w:bCs/>
          <w:color w:val="000000" w:themeColor="text1"/>
        </w:rPr>
        <w:t>SAIMEX,</w:t>
      </w:r>
      <w:r w:rsidRPr="00A7678E">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entregó respuesta el </w:t>
      </w:r>
      <w:r w:rsidRPr="00A7678E">
        <w:rPr>
          <w:rFonts w:ascii="Palatino Linotype" w:eastAsia="Palatino Linotype" w:hAnsi="Palatino Linotype" w:cs="Palatino Linotype"/>
          <w:b/>
          <w:bCs/>
          <w:color w:val="000000" w:themeColor="text1"/>
        </w:rPr>
        <w:t>once de julio de dos mil veinticinco</w:t>
      </w:r>
      <w:r w:rsidRPr="00A7678E">
        <w:rPr>
          <w:rFonts w:ascii="Palatino Linotype" w:eastAsia="Palatino Linotype" w:hAnsi="Palatino Linotype" w:cs="Palatino Linotype"/>
          <w:color w:val="000000" w:themeColor="text1"/>
        </w:rPr>
        <w:t xml:space="preserve">, de tal forma que el plazo para interponer el recurso transcurrió del </w:t>
      </w:r>
      <w:r w:rsidRPr="00A7678E">
        <w:rPr>
          <w:rFonts w:ascii="Palatino Linotype" w:eastAsia="Palatino Linotype" w:hAnsi="Palatino Linotype" w:cs="Palatino Linotype"/>
          <w:b/>
          <w:bCs/>
          <w:color w:val="000000" w:themeColor="text1"/>
        </w:rPr>
        <w:t xml:space="preserve">catorce de julio de octubre al quince de agosto de dos mil veinticinco, </w:t>
      </w:r>
      <w:r w:rsidRPr="00A7678E">
        <w:rPr>
          <w:rFonts w:ascii="Palatino Linotype" w:eastAsia="Palatino Linotype" w:hAnsi="Palatino Linotype" w:cs="Palatino Linotype"/>
          <w:color w:val="000000" w:themeColor="text1"/>
        </w:rPr>
        <w:t xml:space="preserve">en consecuencia, si el </w:t>
      </w:r>
      <w:r w:rsidRPr="00A7678E">
        <w:rPr>
          <w:rFonts w:ascii="Palatino Linotype" w:eastAsia="Palatino Linotype" w:hAnsi="Palatino Linotype" w:cs="Palatino Linotype"/>
          <w:b/>
          <w:bCs/>
          <w:color w:val="000000" w:themeColor="text1"/>
        </w:rPr>
        <w:t>PARTICULAR</w:t>
      </w:r>
      <w:r w:rsidRPr="00A7678E">
        <w:rPr>
          <w:rFonts w:ascii="Palatino Linotype" w:eastAsia="Palatino Linotype" w:hAnsi="Palatino Linotype" w:cs="Palatino Linotype"/>
          <w:color w:val="000000" w:themeColor="text1"/>
        </w:rPr>
        <w:t xml:space="preserve"> presentó su inconformidad el </w:t>
      </w:r>
      <w:r w:rsidRPr="00A7678E">
        <w:rPr>
          <w:rFonts w:ascii="Palatino Linotype" w:eastAsia="Palatino Linotype" w:hAnsi="Palatino Linotype" w:cs="Palatino Linotype"/>
          <w:b/>
          <w:bCs/>
          <w:color w:val="000000" w:themeColor="text1"/>
        </w:rPr>
        <w:t>trece de julio de dos mil veinticinco</w:t>
      </w:r>
      <w:r w:rsidRPr="00A7678E">
        <w:rPr>
          <w:rFonts w:ascii="Palatino Linotype" w:eastAsia="Palatino Linotype" w:hAnsi="Palatino Linotype" w:cs="Palatino Linotype"/>
          <w:color w:val="000000" w:themeColor="text1"/>
        </w:rPr>
        <w:t xml:space="preserve">, este se encuentra dentro de los márgenes temporales previstos </w:t>
      </w:r>
      <w:r w:rsidRPr="00A7678E">
        <w:rPr>
          <w:rFonts w:ascii="Palatino Linotype" w:eastAsia="Palatino Linotype" w:hAnsi="Palatino Linotype" w:cs="Palatino Linotype"/>
          <w:color w:val="000000" w:themeColor="text1"/>
        </w:rPr>
        <w:lastRenderedPageBreak/>
        <w:t xml:space="preserve">en el artículo 178 de la </w:t>
      </w:r>
      <w:r w:rsidRPr="00A7678E">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A7678E">
        <w:rPr>
          <w:rFonts w:ascii="Palatino Linotype" w:eastAsia="Palatino Linotype" w:hAnsi="Palatino Linotype" w:cs="Palatino Linotype"/>
          <w:color w:val="000000" w:themeColor="text1"/>
        </w:rPr>
        <w:t xml:space="preserve">vigente. </w:t>
      </w:r>
    </w:p>
    <w:p w:rsidR="00716629" w:rsidRPr="00A7678E" w:rsidRDefault="00716629" w:rsidP="00A7678E">
      <w:pPr>
        <w:rPr>
          <w:rFonts w:ascii="Palatino Linotype" w:eastAsia="Palatino Linotype" w:hAnsi="Palatino Linotype" w:cs="Palatino Linotype"/>
          <w:color w:val="000000" w:themeColor="text1"/>
        </w:rPr>
      </w:pPr>
    </w:p>
    <w:p w:rsidR="00716629" w:rsidRPr="00A7678E" w:rsidRDefault="00EA1F2C" w:rsidP="00A7678E">
      <w:pPr>
        <w:pStyle w:val="Ttulo2"/>
        <w:rPr>
          <w:rFonts w:ascii="Palatino Linotype" w:eastAsia="Palatino Linotype" w:hAnsi="Palatino Linotype" w:cs="Palatino Linotype"/>
          <w:b/>
          <w:bCs/>
          <w:i/>
          <w:iCs/>
          <w:color w:val="000000" w:themeColor="text1"/>
          <w:sz w:val="24"/>
          <w:szCs w:val="24"/>
        </w:rPr>
      </w:pPr>
      <w:bookmarkStart w:id="6" w:name="_heading=h.dtalz9vugpm6" w:colFirst="0" w:colLast="0"/>
      <w:bookmarkEnd w:id="6"/>
      <w:r w:rsidRPr="00A7678E">
        <w:rPr>
          <w:rFonts w:ascii="Palatino Linotype" w:eastAsia="Palatino Linotype" w:hAnsi="Palatino Linotype" w:cs="Palatino Linotype"/>
          <w:b/>
          <w:bCs/>
          <w:color w:val="000000" w:themeColor="text1"/>
          <w:sz w:val="24"/>
          <w:szCs w:val="24"/>
        </w:rPr>
        <w:t>TERCERO. De las causales del sobreseimiento.</w:t>
      </w: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bookmarkStart w:id="7" w:name="_heading=h.460b73ogeowf" w:colFirst="0" w:colLast="0"/>
      <w:bookmarkStart w:id="8" w:name="_heading=h.5eydxgo93i9r" w:colFirst="0" w:colLast="0"/>
      <w:bookmarkEnd w:id="7"/>
      <w:bookmarkEnd w:id="8"/>
      <w:r w:rsidRPr="00A7678E">
        <w:rPr>
          <w:rFonts w:ascii="Palatino Linotype" w:eastAsia="Palatino Linotype" w:hAnsi="Palatino Linotype" w:cs="Palatino Linotype"/>
          <w:color w:val="000000" w:themeColor="text1"/>
        </w:rPr>
        <w:t xml:space="preserve">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w:t>
      </w:r>
      <w:r w:rsidRPr="00A7678E">
        <w:rPr>
          <w:rFonts w:ascii="Palatino Linotype" w:eastAsia="Palatino Linotype" w:hAnsi="Palatino Linotype" w:cs="Palatino Linotype"/>
          <w:b/>
          <w:bCs/>
          <w:color w:val="000000" w:themeColor="text1"/>
          <w:u w:val="single"/>
        </w:rPr>
        <w:t>sobreseimiento</w:t>
      </w:r>
      <w:r w:rsidRPr="00A7678E">
        <w:rPr>
          <w:rFonts w:ascii="Palatino Linotype" w:eastAsia="Palatino Linotype" w:hAnsi="Palatino Linotype" w:cs="Palatino Linotype"/>
          <w:color w:val="000000" w:themeColor="text1"/>
        </w:rPr>
        <w:t xml:space="preserve">; y en su caso ordenar la entrega de la información con respecto a la respuesta emitida por el </w:t>
      </w:r>
      <w:r w:rsidRPr="00A7678E">
        <w:rPr>
          <w:rFonts w:ascii="Palatino Linotype" w:eastAsia="Palatino Linotype" w:hAnsi="Palatino Linotype" w:cs="Palatino Linotype"/>
          <w:b/>
          <w:bCs/>
          <w:color w:val="000000" w:themeColor="text1"/>
        </w:rPr>
        <w:t>SUJETO</w:t>
      </w:r>
      <w:r w:rsidRPr="00A7678E">
        <w:rPr>
          <w:rFonts w:ascii="Palatino Linotype" w:eastAsia="Palatino Linotype" w:hAnsi="Palatino Linotype" w:cs="Palatino Linotype"/>
          <w:color w:val="000000" w:themeColor="text1"/>
        </w:rPr>
        <w:t xml:space="preserve"> </w:t>
      </w:r>
      <w:r w:rsidRPr="00A7678E">
        <w:rPr>
          <w:rFonts w:ascii="Palatino Linotype" w:eastAsia="Palatino Linotype" w:hAnsi="Palatino Linotype" w:cs="Palatino Linotype"/>
          <w:b/>
          <w:bCs/>
          <w:color w:val="000000" w:themeColor="text1"/>
        </w:rPr>
        <w:t>OBLIGADO</w:t>
      </w:r>
      <w:r w:rsidRPr="00A7678E">
        <w:rPr>
          <w:rFonts w:ascii="Palatino Linotype" w:eastAsia="Palatino Linotype" w:hAnsi="Palatino Linotype" w:cs="Palatino Linotype"/>
          <w:color w:val="000000" w:themeColor="text1"/>
        </w:rPr>
        <w:t>.</w:t>
      </w:r>
    </w:p>
    <w:p w:rsidR="00716629" w:rsidRPr="00A7678E" w:rsidRDefault="00716629" w:rsidP="00A7678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De acuerdo al precepto legal contenido en la fracción III del artículo 192 de la </w:t>
      </w:r>
      <w:r w:rsidRPr="00A7678E">
        <w:rPr>
          <w:rFonts w:ascii="Palatino Linotype" w:eastAsia="Palatino Linotype" w:hAnsi="Palatino Linotype" w:cs="Palatino Linotype"/>
          <w:b/>
          <w:bCs/>
          <w:color w:val="000000" w:themeColor="text1"/>
        </w:rPr>
        <w:t>Ley de Transparencia y Acceso a la Información Pública del Estado de México y Municipios</w:t>
      </w:r>
      <w:r w:rsidRPr="00A7678E">
        <w:rPr>
          <w:rFonts w:ascii="Palatino Linotype" w:eastAsia="Palatino Linotype" w:hAnsi="Palatino Linotype" w:cs="Palatino Linotype"/>
          <w:color w:val="000000" w:themeColor="text1"/>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Para los efectos de esta resolución, es oportuno precisar los alcances jurídicos de la fracción III de la disposición legal transcrita. Así, procede el sobreseimiento del recurso de revisión cuando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4"/>
        </w:numPr>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b/>
          <w:bCs/>
          <w:color w:val="000000" w:themeColor="text1"/>
        </w:rPr>
        <w:lastRenderedPageBreak/>
        <w:t>Modifique el acto impugnado:</w:t>
      </w:r>
      <w:r w:rsidRPr="00A7678E">
        <w:rPr>
          <w:rFonts w:ascii="Palatino Linotype" w:eastAsia="Palatino Linotype" w:hAnsi="Palatino Linotype" w:cs="Palatino Linotype"/>
          <w:color w:val="000000" w:themeColor="text1"/>
        </w:rPr>
        <w:t xml:space="preserve"> Se actualiza cuando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después de haber otorgado una respuesta y hasta antes de dictada la resolución del recurso de revisión, emite una diversa en la que subsane las deficiencias que hubiera tenido.</w:t>
      </w:r>
    </w:p>
    <w:p w:rsidR="00716629" w:rsidRPr="00A7678E" w:rsidRDefault="00716629" w:rsidP="00A7678E">
      <w:pPr>
        <w:jc w:val="both"/>
        <w:rPr>
          <w:rFonts w:ascii="Palatino Linotype" w:eastAsia="Palatino Linotype" w:hAnsi="Palatino Linotype" w:cs="Palatino Linotype"/>
          <w:color w:val="000000" w:themeColor="text1"/>
        </w:rPr>
      </w:pPr>
    </w:p>
    <w:p w:rsidR="00716629" w:rsidRPr="00A7678E" w:rsidRDefault="00EA1F2C" w:rsidP="00A7678E">
      <w:pPr>
        <w:numPr>
          <w:ilvl w:val="0"/>
          <w:numId w:val="4"/>
        </w:numPr>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b/>
          <w:bCs/>
          <w:color w:val="000000" w:themeColor="text1"/>
        </w:rPr>
        <w:t>Revoque el acto impugnado:</w:t>
      </w:r>
      <w:r w:rsidRPr="00A7678E">
        <w:rPr>
          <w:rFonts w:ascii="Palatino Linotype" w:eastAsia="Palatino Linotype" w:hAnsi="Palatino Linotype" w:cs="Palatino Linotype"/>
          <w:color w:val="000000" w:themeColor="text1"/>
        </w:rPr>
        <w:t xml:space="preserve"> En este supuesto,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deja sin efectos la primera respuesta y en su lugar emite otra que satisfaga lo solicitado por el Particular en un primer momento.</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color w:val="000000" w:themeColor="text1"/>
        </w:rPr>
      </w:pPr>
      <w:bookmarkStart w:id="9" w:name="_heading=h.19zd4xwhusmh" w:colFirst="0" w:colLast="0"/>
      <w:bookmarkEnd w:id="9"/>
      <w:r w:rsidRPr="00A7678E">
        <w:rPr>
          <w:rFonts w:ascii="Palatino Linotype" w:eastAsia="Palatino Linotype" w:hAnsi="Palatino Linotype" w:cs="Palatino Linotype"/>
          <w:color w:val="000000" w:themeColor="text1"/>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En el presente caso, el </w:t>
      </w:r>
      <w:r w:rsidRPr="00A7678E">
        <w:rPr>
          <w:rFonts w:ascii="Palatino Linotype" w:eastAsia="Palatino Linotype" w:hAnsi="Palatino Linotype" w:cs="Palatino Linotype"/>
          <w:b/>
          <w:bCs/>
          <w:color w:val="000000" w:themeColor="text1"/>
        </w:rPr>
        <w:t xml:space="preserve">RECURRENTE </w:t>
      </w:r>
      <w:r w:rsidRPr="00A7678E">
        <w:rPr>
          <w:rFonts w:ascii="Palatino Linotype" w:eastAsia="Palatino Linotype" w:hAnsi="Palatino Linotype" w:cs="Palatino Linotype"/>
          <w:color w:val="000000" w:themeColor="text1"/>
        </w:rPr>
        <w:t xml:space="preserve">solicitó </w:t>
      </w:r>
      <w:r w:rsidRPr="00A7678E">
        <w:rPr>
          <w:rFonts w:ascii="Palatino Linotype" w:eastAsia="Palatino Linotype" w:hAnsi="Palatino Linotype" w:cs="Palatino Linotype"/>
          <w:b/>
          <w:bCs/>
          <w:color w:val="000000" w:themeColor="text1"/>
        </w:rPr>
        <w:t>conocer si la persona referida en la solicitud de información se encuentra inhabilitada para ejercer funciones públicas.</w:t>
      </w:r>
    </w:p>
    <w:p w:rsidR="00655B41" w:rsidRPr="00A7678E" w:rsidRDefault="00655B41"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En respuesta,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por medio del Servidor Público Habilitado de la Subdirección de Responsabilidades Administrativas, manifestó lo siguiente:“…</w:t>
      </w:r>
      <w:r w:rsidRPr="00A7678E">
        <w:rPr>
          <w:rFonts w:ascii="Palatino Linotype" w:eastAsia="Palatino Linotype" w:hAnsi="Palatino Linotype" w:cs="Palatino Linotype"/>
          <w:i/>
          <w:iCs/>
          <w:color w:val="000000" w:themeColor="text1"/>
        </w:rPr>
        <w:t xml:space="preserve">informo que las plataformas informáticas que opera y administra la Subsecretaria de Responsabilidades Administrativas, misma que cuenta con registros de procedimientos administrativos y sanciones, la cual se suministra y actualiza de información en el ámbito de su competencia por los Órganos Disciplinarios de las Dependencias, Organismos Auxiliares, Fideicomisos Públicos, Ayuntamientos y sus Órganos Municipales, con la clave personal y confidencial que les es proporcionada, por ser </w:t>
      </w:r>
      <w:r w:rsidRPr="00A7678E">
        <w:rPr>
          <w:rFonts w:ascii="Palatino Linotype" w:eastAsia="Palatino Linotype" w:hAnsi="Palatino Linotype" w:cs="Palatino Linotype"/>
          <w:i/>
          <w:iCs/>
          <w:color w:val="000000" w:themeColor="text1"/>
        </w:rPr>
        <w:lastRenderedPageBreak/>
        <w:t>estos, quienes conocen y determinan las probables responsabilidades de los servidores públicos, y a su vez cuentan con la documentación del expediente que en su caso se conformó” (Sic)</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F16E9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Posteriormente, el </w:t>
      </w:r>
      <w:r w:rsidRPr="00A7678E">
        <w:rPr>
          <w:rFonts w:ascii="Palatino Linotype" w:eastAsia="Palatino Linotype" w:hAnsi="Palatino Linotype" w:cs="Palatino Linotype"/>
          <w:b/>
          <w:bCs/>
          <w:color w:val="000000" w:themeColor="text1"/>
        </w:rPr>
        <w:t>RECURRENTE</w:t>
      </w:r>
      <w:r w:rsidRPr="00A7678E">
        <w:rPr>
          <w:rFonts w:ascii="Palatino Linotype" w:eastAsia="Palatino Linotype" w:hAnsi="Palatino Linotype" w:cs="Palatino Linotype"/>
          <w:color w:val="000000" w:themeColor="text1"/>
        </w:rPr>
        <w:t xml:space="preserve"> se inconformó por </w:t>
      </w:r>
      <w:r w:rsidRPr="00A7678E">
        <w:rPr>
          <w:rFonts w:ascii="Palatino Linotype" w:eastAsia="Palatino Linotype" w:hAnsi="Palatino Linotype" w:cs="Palatino Linotype"/>
          <w:b/>
          <w:bCs/>
          <w:color w:val="000000" w:themeColor="text1"/>
        </w:rPr>
        <w:t xml:space="preserve">la negativa de la información solicitada, </w:t>
      </w:r>
      <w:r w:rsidRPr="00A7678E">
        <w:rPr>
          <w:rFonts w:ascii="Palatino Linotype" w:eastAsia="Palatino Linotype" w:hAnsi="Palatino Linotype" w:cs="Palatino Linotype"/>
          <w:color w:val="000000" w:themeColor="text1"/>
        </w:rPr>
        <w:t xml:space="preserve">ya que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no le informó si la persona referida en la solicitud se encuentra inhabilitada para ejercer funciones públicas.</w:t>
      </w:r>
    </w:p>
    <w:p w:rsidR="00F16E99" w:rsidRPr="00A7678E" w:rsidRDefault="00F16E99" w:rsidP="00A7678E">
      <w:pPr>
        <w:spacing w:line="360" w:lineRule="auto"/>
        <w:jc w:val="both"/>
        <w:rPr>
          <w:rFonts w:ascii="Palatino Linotype" w:eastAsia="Palatino Linotype" w:hAnsi="Palatino Linotype" w:cs="Palatino Linotype"/>
          <w:b/>
          <w:bCs/>
          <w:color w:val="000000" w:themeColor="text1"/>
        </w:rPr>
      </w:pPr>
    </w:p>
    <w:p w:rsidR="00EA1F2C" w:rsidRPr="00B12D90"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Así, mediante un acto jurídico posterior como lo es el informe justificado,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por medio del Servidor Público Habilitado de la Subdirección de Responsabilidades Administrativas </w:t>
      </w:r>
      <w:r w:rsidRPr="00A7678E">
        <w:rPr>
          <w:rFonts w:ascii="Palatino Linotype" w:eastAsia="Palatino Linotype" w:hAnsi="Palatino Linotype" w:cs="Palatino Linotype"/>
          <w:b/>
          <w:color w:val="000000" w:themeColor="text1"/>
        </w:rPr>
        <w:t>amplió la respuesta al informar que se realizó la consulta correspondiente en el Sistema Integral de Responsabilidades (SIR) y de Constancias de No Inhabilitación, y</w:t>
      </w:r>
      <w:r w:rsidRPr="00A7678E">
        <w:rPr>
          <w:rFonts w:ascii="Palatino Linotype" w:eastAsia="Palatino Linotype" w:hAnsi="Palatino Linotype" w:cs="Palatino Linotype"/>
          <w:b/>
          <w:bCs/>
          <w:color w:val="000000" w:themeColor="text1"/>
        </w:rPr>
        <w:t xml:space="preserve"> no se localizó registro en los sistemas referidos, de antecedentes de sanción alguna a nombre de la servidora </w:t>
      </w:r>
      <w:r w:rsidRPr="00B12D90">
        <w:rPr>
          <w:rFonts w:ascii="Palatino Linotype" w:eastAsia="Palatino Linotype" w:hAnsi="Palatino Linotype" w:cs="Palatino Linotype"/>
          <w:b/>
          <w:bCs/>
          <w:color w:val="000000" w:themeColor="text1"/>
        </w:rPr>
        <w:t>pública de quien se proporcionaron los datos; no obstante, se realizó un requerimiento a la Novena Sala Especializada en Materia de Responsabilidades Administrativas del Tribunal de Justicia Administrativa del Estado de México, quien remitió copia certificada del registro de la sanción atribuida a la servidora pública referida en la solicitud información 00176/SECOGEM/IP/2025, constancias de las cuales se advierte que se impuso una sanción administrativa consistente en una inhabilitación.</w:t>
      </w:r>
    </w:p>
    <w:p w:rsidR="00655B41" w:rsidRPr="00A7678E" w:rsidRDefault="00655B41"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Al respecto, cabe resaltar que, la Ley de Transparencia y Acceso a la Información Pública del Estado de México y Municipios, en su artículo 150, establece que el procedimiento de acceso a la información es la garantía primaria del derecho en cuestión y </w:t>
      </w:r>
      <w:r w:rsidRPr="00A7678E">
        <w:rPr>
          <w:rFonts w:ascii="Palatino Linotype" w:eastAsia="Palatino Linotype" w:hAnsi="Palatino Linotype" w:cs="Palatino Linotype"/>
          <w:color w:val="000000" w:themeColor="text1"/>
        </w:rPr>
        <w:lastRenderedPageBreak/>
        <w:t>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En este sentido, para atender las solicitudes de información, los Sujetos Obligados contarán con un área denominada Unidad de Transparencia</w:t>
      </w:r>
      <w:r w:rsidRPr="00A7678E">
        <w:rPr>
          <w:rFonts w:ascii="Palatino Linotype" w:eastAsia="Palatino Linotype" w:hAnsi="Palatino Linotype" w:cs="Palatino Linotype"/>
          <w:color w:val="000000" w:themeColor="text1"/>
          <w:vertAlign w:val="superscript"/>
        </w:rPr>
        <w:footnoteReference w:id="1"/>
      </w:r>
      <w:r w:rsidRPr="00A7678E">
        <w:rPr>
          <w:rFonts w:ascii="Palatino Linotype" w:eastAsia="Palatino Linotype" w:hAnsi="Palatino Linotype" w:cs="Palatino Linotype"/>
          <w:color w:val="000000" w:themeColor="text1"/>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A7678E">
        <w:rPr>
          <w:rFonts w:ascii="Palatino Linotype" w:eastAsia="Palatino Linotype" w:hAnsi="Palatino Linotype" w:cs="Palatino Linotype"/>
          <w:b/>
          <w:bCs/>
          <w:color w:val="000000" w:themeColor="text1"/>
        </w:rPr>
        <w:t xml:space="preserve"> </w:t>
      </w:r>
      <w:r w:rsidRPr="00A7678E">
        <w:rPr>
          <w:rFonts w:ascii="Palatino Linotype" w:eastAsia="Palatino Linotype" w:hAnsi="Palatino Linotype" w:cs="Palatino Linotype"/>
          <w:color w:val="000000" w:themeColor="text1"/>
        </w:rPr>
        <w:t>en los términos de la Ley General y la Ley de Transparencia y Acceso a la Información Pública del Estado de México y Municipios</w:t>
      </w:r>
      <w:r w:rsidRPr="00A7678E">
        <w:rPr>
          <w:rFonts w:ascii="Palatino Linotype" w:eastAsia="Palatino Linotype" w:hAnsi="Palatino Linotype" w:cs="Palatino Linotype"/>
          <w:color w:val="000000" w:themeColor="text1"/>
          <w:vertAlign w:val="superscript"/>
        </w:rPr>
        <w:footnoteReference w:id="2"/>
      </w:r>
      <w:r w:rsidRPr="00A7678E">
        <w:rPr>
          <w:rFonts w:ascii="Palatino Linotype" w:eastAsia="Palatino Linotype" w:hAnsi="Palatino Linotype" w:cs="Palatino Linotype"/>
          <w:color w:val="000000" w:themeColor="text1"/>
        </w:rPr>
        <w:t>.</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De conformidad con lo dispuesto en la Ley de Transparencia y Acceso a la Información Pública del Estado de México y Municipios, las Unidades de Transparencia tendrán, entre sus atribuciones, las siguientes:</w:t>
      </w:r>
    </w:p>
    <w:p w:rsidR="00716629" w:rsidRPr="00A7678E" w:rsidRDefault="00EA1F2C" w:rsidP="00A7678E">
      <w:pPr>
        <w:numPr>
          <w:ilvl w:val="1"/>
          <w:numId w:val="2"/>
        </w:numPr>
        <w:pBdr>
          <w:top w:val="nil"/>
          <w:left w:val="nil"/>
          <w:bottom w:val="nil"/>
          <w:right w:val="nil"/>
          <w:between w:val="nil"/>
        </w:pBdr>
        <w:spacing w:before="240"/>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Recibir, tramitar y dar respuesta a las solicitudes de acceso a la información;</w:t>
      </w:r>
    </w:p>
    <w:p w:rsidR="00716629" w:rsidRPr="00A7678E" w:rsidRDefault="00EA1F2C" w:rsidP="00A7678E">
      <w:pPr>
        <w:numPr>
          <w:ilvl w:val="1"/>
          <w:numId w:val="2"/>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Realizar, con efectividad, los trámites internos necesarios para la atención de las solicitudes de acceso a la información; </w:t>
      </w:r>
    </w:p>
    <w:p w:rsidR="00716629" w:rsidRPr="00A7678E" w:rsidRDefault="00EA1F2C" w:rsidP="00A7678E">
      <w:pPr>
        <w:numPr>
          <w:ilvl w:val="1"/>
          <w:numId w:val="2"/>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Entregar, en su caso, a los particulares la información solicitada; y </w:t>
      </w:r>
    </w:p>
    <w:p w:rsidR="00716629" w:rsidRPr="00A7678E" w:rsidRDefault="00EA1F2C" w:rsidP="00A7678E">
      <w:pPr>
        <w:numPr>
          <w:ilvl w:val="1"/>
          <w:numId w:val="2"/>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lastRenderedPageBreak/>
        <w:t>Efectuar las notificaciones a los solicitantes.</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Otros sujetos del proceso de atención a las solicitudes de información son los servidores públicos habilitados, quienes serán designados por el titular del </w:t>
      </w:r>
      <w:r w:rsidRPr="00A7678E">
        <w:rPr>
          <w:rFonts w:ascii="Palatino Linotype" w:eastAsia="Palatino Linotype" w:hAnsi="Palatino Linotype" w:cs="Palatino Linotype"/>
          <w:b/>
          <w:bCs/>
          <w:color w:val="000000" w:themeColor="text1"/>
        </w:rPr>
        <w:t xml:space="preserve">SUJETO OBLIGADO </w:t>
      </w:r>
      <w:r w:rsidRPr="00A7678E">
        <w:rPr>
          <w:rFonts w:ascii="Palatino Linotype" w:eastAsia="Palatino Linotype" w:hAnsi="Palatino Linotype" w:cs="Palatino Linotype"/>
          <w:color w:val="000000" w:themeColor="text1"/>
        </w:rPr>
        <w:t>a propuesta del responsable de la Unidad de Transparencia</w:t>
      </w:r>
      <w:r w:rsidRPr="00A7678E">
        <w:rPr>
          <w:rFonts w:ascii="Palatino Linotype" w:eastAsia="Palatino Linotype" w:hAnsi="Palatino Linotype" w:cs="Palatino Linotype"/>
          <w:color w:val="000000" w:themeColor="text1"/>
          <w:vertAlign w:val="superscript"/>
        </w:rPr>
        <w:footnoteReference w:id="3"/>
      </w:r>
      <w:r w:rsidRPr="00A7678E">
        <w:rPr>
          <w:rFonts w:ascii="Palatino Linotype" w:eastAsia="Palatino Linotype" w:hAnsi="Palatino Linotype" w:cs="Palatino Linotype"/>
          <w:color w:val="000000" w:themeColor="text1"/>
        </w:rPr>
        <w:t xml:space="preserve"> y tendrán, entre sus atribuciones, las siguientes</w:t>
      </w:r>
      <w:r w:rsidRPr="00A7678E">
        <w:rPr>
          <w:rFonts w:ascii="Palatino Linotype" w:eastAsia="Palatino Linotype" w:hAnsi="Palatino Linotype" w:cs="Palatino Linotype"/>
          <w:color w:val="000000" w:themeColor="text1"/>
          <w:vertAlign w:val="superscript"/>
        </w:rPr>
        <w:footnoteReference w:id="4"/>
      </w:r>
      <w:r w:rsidRPr="00A7678E">
        <w:rPr>
          <w:rFonts w:ascii="Palatino Linotype" w:eastAsia="Palatino Linotype" w:hAnsi="Palatino Linotype" w:cs="Palatino Linotype"/>
          <w:color w:val="000000" w:themeColor="text1"/>
        </w:rPr>
        <w:t>:</w:t>
      </w:r>
    </w:p>
    <w:p w:rsidR="00716629" w:rsidRPr="00A7678E" w:rsidRDefault="00EA1F2C" w:rsidP="00A7678E">
      <w:pPr>
        <w:numPr>
          <w:ilvl w:val="1"/>
          <w:numId w:val="3"/>
        </w:numPr>
        <w:pBdr>
          <w:top w:val="nil"/>
          <w:left w:val="nil"/>
          <w:bottom w:val="nil"/>
          <w:right w:val="nil"/>
          <w:between w:val="nil"/>
        </w:pBdr>
        <w:spacing w:before="240"/>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Localizar la información que le solicite la Unidad de Transparencia; y</w:t>
      </w:r>
    </w:p>
    <w:p w:rsidR="00716629" w:rsidRPr="00A7678E" w:rsidRDefault="00EA1F2C" w:rsidP="00A7678E">
      <w:pPr>
        <w:numPr>
          <w:ilvl w:val="1"/>
          <w:numId w:val="3"/>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Proporcionar la información que obre en los archivos y que le sea solicitada por la Unidad de Transparencia.</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Default="00EA1F2C" w:rsidP="00A7678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De tal manera que cada una de las áreas administrativas del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A7678E" w:rsidRPr="00A7678E" w:rsidRDefault="00A7678E" w:rsidP="00A7678E">
      <w:pP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pBdr>
          <w:top w:val="nil"/>
          <w:left w:val="nil"/>
          <w:bottom w:val="nil"/>
          <w:right w:val="nil"/>
          <w:between w:val="nil"/>
        </w:pBdr>
        <w:tabs>
          <w:tab w:val="left" w:pos="426"/>
        </w:tabs>
        <w:spacing w:before="240"/>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b/>
          <w:bCs/>
          <w:i/>
          <w:iCs/>
          <w:color w:val="000000" w:themeColor="text1"/>
        </w:rPr>
        <w:lastRenderedPageBreak/>
        <w:t>“Artículo 53</w:t>
      </w:r>
      <w:r w:rsidRPr="00A7678E">
        <w:rPr>
          <w:rFonts w:ascii="Palatino Linotype" w:eastAsia="Palatino Linotype" w:hAnsi="Palatino Linotype" w:cs="Palatino Linotype"/>
          <w:i/>
          <w:iCs/>
          <w:color w:val="000000" w:themeColor="text1"/>
        </w:rPr>
        <w:t xml:space="preserve">. Las Unidades de Transparencia tendrán las siguientes funciones: </w:t>
      </w:r>
    </w:p>
    <w:p w:rsidR="00716629" w:rsidRPr="00A7678E" w:rsidRDefault="00716629"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A7678E">
        <w:rPr>
          <w:rFonts w:ascii="Palatino Linotype" w:eastAsia="Palatino Linotype" w:hAnsi="Palatino Linotype" w:cs="Palatino Linotype"/>
          <w:b/>
          <w:bCs/>
          <w:i/>
          <w:iCs/>
          <w:color w:val="000000" w:themeColor="text1"/>
        </w:rPr>
        <w:t xml:space="preserve">II. Recibir, tramitar y dar respuesta a las solicitudes de acceso a la información;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III. Auxiliar a los particulares en la elaboración de solicitudes de acceso a la información y, en su caso, orientarlos sobre los sujetos obligados competentes conforme a la normatividad aplicable;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A7678E">
        <w:rPr>
          <w:rFonts w:ascii="Palatino Linotype" w:eastAsia="Palatino Linotype" w:hAnsi="Palatino Linotype" w:cs="Palatino Linotype"/>
          <w:b/>
          <w:bCs/>
          <w:i/>
          <w:iCs/>
          <w:color w:val="000000" w:themeColor="text1"/>
        </w:rPr>
        <w:t xml:space="preserve">IV. Realizar, con efectividad, los trámites internos necesarios para la atención de las solicitudes de acceso a la información;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V. Entregar, en su caso, a los particulares la información solicitada;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VI. Efectuar las notificaciones a los solicitantes;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VIII. Proponer a quien preside el Comité de Transparencia, personal habilitado que sea necesario para recibir y dar trámite a las solicitudes de acceso a la información;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b/>
          <w:bCs/>
          <w:i/>
          <w:iCs/>
          <w:color w:val="000000" w:themeColor="text1"/>
        </w:rPr>
      </w:pPr>
      <w:r w:rsidRPr="00A7678E">
        <w:rPr>
          <w:rFonts w:ascii="Palatino Linotype" w:eastAsia="Palatino Linotype" w:hAnsi="Palatino Linotype" w:cs="Palatino Linotype"/>
          <w:b/>
          <w:bCs/>
          <w:i/>
          <w:iCs/>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X. Presentar ante el Comité, el proyecto de clasificación de información;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XI. Promover e implementar políticas de transparencia proactiva procurando su accesibilidad;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XII. Fomentar la transparencia y accesibilidad al interior del sujeto obligado; </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XIII. Hacer del conocimiento de la instancia competente la probable responsabilidad por el incumplimiento de las obligaciones previstas en la presente Ley; y</w:t>
      </w:r>
    </w:p>
    <w:p w:rsidR="00716629" w:rsidRPr="00A7678E" w:rsidRDefault="00EA1F2C" w:rsidP="00A7678E">
      <w:pPr>
        <w:pBdr>
          <w:top w:val="nil"/>
          <w:left w:val="nil"/>
          <w:bottom w:val="nil"/>
          <w:right w:val="nil"/>
          <w:between w:val="nil"/>
        </w:pBdr>
        <w:tabs>
          <w:tab w:val="left" w:pos="426"/>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XIV. Las demás que resulten necesarias para facilitar el acceso a la información y aquellas que se desprenden de la presente Ley y demás disposiciones jurídicas aplicables. (…)</w:t>
      </w:r>
    </w:p>
    <w:p w:rsidR="00716629" w:rsidRPr="00A7678E" w:rsidRDefault="00EA1F2C" w:rsidP="00A7678E">
      <w:pPr>
        <w:pBdr>
          <w:top w:val="nil"/>
          <w:left w:val="nil"/>
          <w:bottom w:val="nil"/>
          <w:right w:val="nil"/>
          <w:between w:val="nil"/>
        </w:pBdr>
        <w:tabs>
          <w:tab w:val="left" w:pos="426"/>
        </w:tabs>
        <w:spacing w:after="240"/>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i/>
          <w:iCs/>
          <w:color w:val="000000" w:themeColor="text1"/>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F16E99" w:rsidRPr="00A7678E" w:rsidRDefault="00EA1F2C" w:rsidP="00A7678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lastRenderedPageBreak/>
        <w:t>De lo expuesto y con relación a lo solicitado, se tiene que, la Unidad de Transparencia es la encargada de recibir, tramitar y dar respuesta a las solicitudes de acceso a la información.</w:t>
      </w:r>
    </w:p>
    <w:p w:rsidR="00F16E99" w:rsidRPr="00A7678E" w:rsidRDefault="00F16E99" w:rsidP="00A7678E">
      <w:pPr>
        <w:spacing w:line="360" w:lineRule="auto"/>
        <w:jc w:val="both"/>
        <w:rPr>
          <w:rFonts w:ascii="Palatino Linotype" w:eastAsia="Palatino Linotype" w:hAnsi="Palatino Linotype" w:cs="Palatino Linotype"/>
          <w:color w:val="000000" w:themeColor="text1"/>
        </w:rPr>
      </w:pPr>
    </w:p>
    <w:p w:rsidR="00EA1F2C" w:rsidRPr="00B12D90" w:rsidRDefault="00EA1F2C" w:rsidP="00A7678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 xml:space="preserve">En este sentido, se reitera que existió un pronunciamiento por parte del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a través del </w:t>
      </w:r>
      <w:r w:rsidRPr="00A7678E">
        <w:rPr>
          <w:rFonts w:ascii="Palatino Linotype" w:eastAsia="Palatino Linotype" w:hAnsi="Palatino Linotype" w:cs="Palatino Linotype"/>
          <w:b/>
          <w:bCs/>
          <w:color w:val="000000" w:themeColor="text1"/>
        </w:rPr>
        <w:t>Servidor Público Habilitado de la Subdirección de Responsabilidades Administrativas</w:t>
      </w:r>
      <w:r w:rsidRPr="00A7678E">
        <w:rPr>
          <w:rFonts w:ascii="Palatino Linotype" w:eastAsia="Palatino Linotype" w:hAnsi="Palatino Linotype" w:cs="Palatino Linotype"/>
          <w:color w:val="000000" w:themeColor="text1"/>
        </w:rPr>
        <w:t>,</w:t>
      </w:r>
      <w:r w:rsidRPr="00A7678E">
        <w:rPr>
          <w:rFonts w:ascii="Palatino Linotype" w:eastAsia="Palatino Linotype" w:hAnsi="Palatino Linotype" w:cs="Palatino Linotype"/>
          <w:b/>
          <w:bCs/>
          <w:color w:val="000000" w:themeColor="text1"/>
        </w:rPr>
        <w:t xml:space="preserve"> quien mediante informe justificado, precisó que</w:t>
      </w:r>
      <w:r w:rsidRPr="00A7678E">
        <w:rPr>
          <w:rFonts w:ascii="Palatino Linotype" w:eastAsia="Palatino Linotype" w:hAnsi="Palatino Linotype" w:cs="Palatino Linotype"/>
          <w:color w:val="000000" w:themeColor="text1"/>
        </w:rPr>
        <w:t xml:space="preserve"> </w:t>
      </w:r>
      <w:r w:rsidRPr="00A7678E">
        <w:rPr>
          <w:rFonts w:ascii="Palatino Linotype" w:eastAsia="Palatino Linotype" w:hAnsi="Palatino Linotype" w:cs="Palatino Linotype"/>
          <w:b/>
          <w:bCs/>
          <w:color w:val="000000" w:themeColor="text1"/>
        </w:rPr>
        <w:t xml:space="preserve">no se localizó registro en el Sistema Integral de Responsabilidades </w:t>
      </w:r>
      <w:r w:rsidRPr="00B12D90">
        <w:rPr>
          <w:rFonts w:ascii="Palatino Linotype" w:eastAsia="Palatino Linotype" w:hAnsi="Palatino Linotype" w:cs="Palatino Linotype"/>
          <w:b/>
          <w:bCs/>
          <w:color w:val="000000" w:themeColor="text1"/>
        </w:rPr>
        <w:t xml:space="preserve">(SIR) y de Constancias de No Inhabilitación, de antecedentes se sanción alguna </w:t>
      </w:r>
      <w:r w:rsidR="00F16E99" w:rsidRPr="00B12D90">
        <w:rPr>
          <w:rFonts w:ascii="Palatino Linotype" w:eastAsia="Palatino Linotype" w:hAnsi="Palatino Linotype" w:cs="Palatino Linotype"/>
          <w:b/>
          <w:bCs/>
          <w:color w:val="000000" w:themeColor="text1"/>
        </w:rPr>
        <w:t>con los datos proporcionados</w:t>
      </w:r>
      <w:r w:rsidRPr="00B12D90">
        <w:rPr>
          <w:rFonts w:ascii="Palatino Linotype" w:eastAsia="Palatino Linotype" w:hAnsi="Palatino Linotype" w:cs="Palatino Linotype"/>
          <w:b/>
          <w:bCs/>
          <w:color w:val="000000" w:themeColor="text1"/>
        </w:rPr>
        <w:t>; sin embargo, la Novena Sala Especializada en Materia de Responsabilidades Administrativas del Tribunal de Justicia Administrativa del Estado de México, remitió copia certificada del registro de la sanción atribuida a la servidora pública</w:t>
      </w:r>
      <w:r w:rsidR="00F16E99" w:rsidRPr="00B12D90">
        <w:rPr>
          <w:rFonts w:ascii="Palatino Linotype" w:eastAsia="Palatino Linotype" w:hAnsi="Palatino Linotype" w:cs="Palatino Linotype"/>
          <w:b/>
          <w:bCs/>
          <w:color w:val="000000" w:themeColor="text1"/>
        </w:rPr>
        <w:t xml:space="preserve"> referida en la solicitud de información</w:t>
      </w:r>
      <w:r w:rsidRPr="00B12D90">
        <w:rPr>
          <w:rFonts w:ascii="Palatino Linotype" w:eastAsia="Palatino Linotype" w:hAnsi="Palatino Linotype" w:cs="Palatino Linotype"/>
          <w:b/>
          <w:bCs/>
          <w:color w:val="000000" w:themeColor="text1"/>
        </w:rPr>
        <w:t>, constancias de las cuales se advierte que se impuso una sanción administrativa consistente en una inhabilitación.</w:t>
      </w:r>
    </w:p>
    <w:p w:rsidR="00716629" w:rsidRPr="00A7678E" w:rsidRDefault="00716629" w:rsidP="00A7678E">
      <w:pPr>
        <w:rPr>
          <w:rFonts w:ascii="Palatino Linotype" w:eastAsia="Palatino Linotype" w:hAnsi="Palatino Linotype" w:cs="Palatino Linotype"/>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color w:val="000000" w:themeColor="text1"/>
        </w:rPr>
        <w:t>En consecuencia,</w:t>
      </w:r>
      <w:r w:rsidRPr="00A7678E">
        <w:rPr>
          <w:rFonts w:ascii="Palatino Linotype" w:eastAsia="Palatino Linotype" w:hAnsi="Palatino Linotype" w:cs="Palatino Linotype"/>
          <w:b/>
          <w:bCs/>
          <w:color w:val="000000" w:themeColor="text1"/>
        </w:rPr>
        <w:t xml:space="preserve"> </w:t>
      </w:r>
      <w:r w:rsidRPr="00A7678E">
        <w:rPr>
          <w:rFonts w:ascii="Palatino Linotype" w:eastAsia="Palatino Linotype" w:hAnsi="Palatino Linotype" w:cs="Palatino Linotype"/>
          <w:color w:val="000000" w:themeColor="text1"/>
        </w:rPr>
        <w:t xml:space="preserve">se presume que, </w:t>
      </w:r>
      <w:r w:rsidRPr="00A7678E">
        <w:rPr>
          <w:rFonts w:ascii="Palatino Linotype" w:eastAsia="Palatino Linotype" w:hAnsi="Palatino Linotype" w:cs="Palatino Linotype"/>
          <w:b/>
          <w:bCs/>
          <w:color w:val="000000" w:themeColor="text1"/>
        </w:rPr>
        <w:t>al haber existido un pronunciamiento por parte del SUJETO OBLIGADO a través del informe justificado,</w:t>
      </w:r>
      <w:r w:rsidRPr="00A7678E">
        <w:rPr>
          <w:rFonts w:ascii="Palatino Linotype" w:eastAsia="Palatino Linotype" w:hAnsi="Palatino Linotype" w:cs="Palatino Linotype"/>
          <w:color w:val="000000" w:themeColor="text1"/>
        </w:rPr>
        <w:t xml:space="preserve"> </w:t>
      </w:r>
      <w:r w:rsidRPr="00A7678E">
        <w:rPr>
          <w:rFonts w:ascii="Palatino Linotype" w:eastAsia="Palatino Linotype" w:hAnsi="Palatino Linotype" w:cs="Palatino Linotype"/>
          <w:b/>
          <w:bCs/>
          <w:color w:val="000000" w:themeColor="text1"/>
        </w:rPr>
        <w:t>modificar la respuesta y atender el requerimiento del Particular,</w:t>
      </w:r>
      <w:r w:rsidRPr="00A7678E">
        <w:rPr>
          <w:rFonts w:ascii="Palatino Linotype" w:eastAsia="Palatino Linotype" w:hAnsi="Palatino Linotype" w:cs="Palatino Linotype"/>
          <w:color w:val="000000" w:themeColor="text1"/>
        </w:rPr>
        <w:t xml:space="preserve"> este Instituto no está facultado para manifestarse sobre la veracidad, pues no existe precepto legal alguno en la Ley de la materia que lo faculte para que, vía recurso de revisión, pueda pronunciarse al respecto.</w:t>
      </w:r>
    </w:p>
    <w:p w:rsidR="00716629" w:rsidRPr="00A7678E" w:rsidRDefault="00716629" w:rsidP="00A7678E">
      <w:pPr>
        <w:rPr>
          <w:rFonts w:ascii="Palatino Linotype" w:eastAsia="Palatino Linotype" w:hAnsi="Palatino Linotype" w:cs="Palatino Linotype"/>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Así, este Pleno advierte que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w:t>
      </w:r>
      <w:r w:rsidRPr="00A7678E">
        <w:rPr>
          <w:rFonts w:ascii="Palatino Linotype" w:eastAsia="Palatino Linotype" w:hAnsi="Palatino Linotype" w:cs="Palatino Linotype"/>
          <w:b/>
          <w:bCs/>
          <w:color w:val="000000" w:themeColor="text1"/>
        </w:rPr>
        <w:t xml:space="preserve">modificó </w:t>
      </w:r>
      <w:r w:rsidRPr="00A7678E">
        <w:rPr>
          <w:rFonts w:ascii="Palatino Linotype" w:eastAsia="Palatino Linotype" w:hAnsi="Palatino Linotype" w:cs="Palatino Linotype"/>
          <w:color w:val="000000" w:themeColor="text1"/>
        </w:rPr>
        <w:t xml:space="preserve">el acto que le dio origen al recurso de revisión, lo que trae como consecuencia que el mismo quede sin materia, </w:t>
      </w:r>
      <w:r w:rsidRPr="00A7678E">
        <w:rPr>
          <w:rFonts w:ascii="Palatino Linotype" w:eastAsia="Palatino Linotype" w:hAnsi="Palatino Linotype" w:cs="Palatino Linotype"/>
          <w:color w:val="000000" w:themeColor="text1"/>
        </w:rPr>
        <w:lastRenderedPageBreak/>
        <w:t>actualizándose de este modo, la hipótesis jurídica contenida en la fracción III del artículo 192 de la Ley de Transparencia Local.</w:t>
      </w:r>
    </w:p>
    <w:p w:rsidR="00716629" w:rsidRPr="00A7678E" w:rsidRDefault="00716629" w:rsidP="00A7678E">
      <w:pPr>
        <w:pBdr>
          <w:top w:val="nil"/>
          <w:left w:val="nil"/>
          <w:bottom w:val="nil"/>
          <w:right w:val="nil"/>
          <w:between w:val="nil"/>
        </w:pBdr>
        <w:rPr>
          <w:rFonts w:ascii="Palatino Linotype" w:eastAsia="Palatino Linotype" w:hAnsi="Palatino Linotype" w:cs="Palatino Linotype"/>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como ya fue establecido, se dejan a salvo los derechos de la parte </w:t>
      </w:r>
      <w:r w:rsidRPr="00A7678E">
        <w:rPr>
          <w:rFonts w:ascii="Palatino Linotype" w:eastAsia="Palatino Linotype" w:hAnsi="Palatino Linotype" w:cs="Palatino Linotype"/>
          <w:b/>
          <w:bCs/>
          <w:color w:val="000000" w:themeColor="text1"/>
        </w:rPr>
        <w:t>RECURRENTE</w:t>
      </w:r>
      <w:r w:rsidRPr="00A7678E">
        <w:rPr>
          <w:rFonts w:ascii="Palatino Linotype" w:eastAsia="Palatino Linotype" w:hAnsi="Palatino Linotype" w:cs="Palatino Linotype"/>
          <w:color w:val="000000" w:themeColor="text1"/>
        </w:rPr>
        <w:t xml:space="preserve"> para que pueda realizar la solicitud de información ante el Sujeto Obligado correspondiente.</w:t>
      </w: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Ahora bien,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Sujetos Obligados o la negativa de entrega de esta, derivada de la solicitud de información pública.</w:t>
      </w: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De este modo, cuando el </w:t>
      </w:r>
      <w:r w:rsidRPr="00A7678E">
        <w:rPr>
          <w:rFonts w:ascii="Palatino Linotype" w:eastAsia="Palatino Linotype" w:hAnsi="Palatino Linotype" w:cs="Palatino Linotype"/>
          <w:b/>
          <w:bCs/>
          <w:color w:val="000000" w:themeColor="text1"/>
        </w:rPr>
        <w:t xml:space="preserve">SUJETO OBLIGADO, </w:t>
      </w:r>
      <w:r w:rsidRPr="00A7678E">
        <w:rPr>
          <w:rFonts w:ascii="Palatino Linotype" w:eastAsia="Palatino Linotype" w:hAnsi="Palatino Linotype" w:cs="Palatino Linotype"/>
          <w:color w:val="000000" w:themeColor="text1"/>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A7678E">
        <w:rPr>
          <w:rFonts w:ascii="Palatino Linotype" w:eastAsia="Palatino Linotype" w:hAnsi="Palatino Linotype" w:cs="Palatino Linotype"/>
          <w:i/>
          <w:iCs/>
          <w:color w:val="000000" w:themeColor="text1"/>
        </w:rPr>
        <w:t>litis</w:t>
      </w:r>
      <w:r w:rsidRPr="00A7678E">
        <w:rPr>
          <w:rFonts w:ascii="Palatino Linotype" w:eastAsia="Palatino Linotype" w:hAnsi="Palatino Linotype" w:cs="Palatino Linotype"/>
          <w:color w:val="000000" w:themeColor="text1"/>
        </w:rPr>
        <w:t xml:space="preserve"> planteada, debido a que la afectación en su esfera de derechos fue restituida por la propia autoridad que emitió el acto motivo de impugnación.</w:t>
      </w: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lastRenderedPageBreak/>
        <w:t>Sirve de sustento a lo anterior la siguiente jurisprudencia por contradicción, cuyo rubro, texto y datos de identificación son los siguientes:</w:t>
      </w:r>
    </w:p>
    <w:p w:rsidR="00716629" w:rsidRPr="00A7678E" w:rsidRDefault="00EA1F2C" w:rsidP="00A7678E">
      <w:pPr>
        <w:pBdr>
          <w:top w:val="nil"/>
          <w:left w:val="nil"/>
          <w:bottom w:val="nil"/>
          <w:right w:val="nil"/>
          <w:between w:val="nil"/>
        </w:pBdr>
        <w:tabs>
          <w:tab w:val="left" w:pos="426"/>
          <w:tab w:val="left" w:pos="567"/>
        </w:tabs>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b/>
          <w:bCs/>
          <w:i/>
          <w:iCs/>
          <w:color w:val="000000" w:themeColor="text1"/>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A7678E">
        <w:rPr>
          <w:rFonts w:ascii="Palatino Linotype" w:eastAsia="Palatino Linotype" w:hAnsi="Palatino Linotype" w:cs="Palatino Linotype"/>
          <w:i/>
          <w:iCs/>
          <w:color w:val="000000" w:themeColor="text1"/>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La anterior jurisprudencia resulta aplicable al presente asunto, en dos aspectos:</w:t>
      </w:r>
    </w:p>
    <w:p w:rsidR="00716629" w:rsidRPr="00A7678E" w:rsidRDefault="00EA1F2C" w:rsidP="00A7678E">
      <w:pPr>
        <w:numPr>
          <w:ilvl w:val="0"/>
          <w:numId w:val="5"/>
        </w:numPr>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b/>
          <w:bCs/>
          <w:color w:val="000000" w:themeColor="text1"/>
        </w:rPr>
        <w:t>La cesación de los efectos perniciosos del acto de autoridad:</w:t>
      </w:r>
      <w:r w:rsidRPr="00A7678E">
        <w:rPr>
          <w:rFonts w:ascii="Palatino Linotype" w:eastAsia="Palatino Linotype" w:hAnsi="Palatino Linotype" w:cs="Palatino Linotype"/>
          <w:color w:val="000000" w:themeColor="text1"/>
        </w:rPr>
        <w:t xml:space="preserve"> Al respecto, la Ley de Transparencia contempla la figura jurídica del sobreseimiento cuando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de </w:t>
      </w:r>
      <w:r w:rsidRPr="00A7678E">
        <w:rPr>
          <w:rFonts w:ascii="Palatino Linotype" w:eastAsia="Palatino Linotype" w:hAnsi="Palatino Linotype" w:cs="Palatino Linotype"/>
          <w:i/>
          <w:iCs/>
          <w:color w:val="000000" w:themeColor="text1"/>
        </w:rPr>
        <w:t>motu proprio</w:t>
      </w:r>
      <w:r w:rsidRPr="00A7678E">
        <w:rPr>
          <w:rFonts w:ascii="Palatino Linotype" w:eastAsia="Palatino Linotype" w:hAnsi="Palatino Linotype" w:cs="Palatino Linotype"/>
          <w:color w:val="000000" w:themeColor="text1"/>
        </w:rPr>
        <w:t xml:space="preserve"> modifica o revoca de tal manera el acto motivo de la impugnación que lo deja sin materia; es decir, cesan los efectos de éste y el derecho de acceso a la información pública se encuentra satisfecho.</w:t>
      </w:r>
    </w:p>
    <w:p w:rsidR="00716629" w:rsidRPr="00A7678E" w:rsidRDefault="00EA1F2C" w:rsidP="00A7678E">
      <w:pPr>
        <w:numPr>
          <w:ilvl w:val="0"/>
          <w:numId w:val="5"/>
        </w:numPr>
        <w:ind w:left="0" w:firstLine="0"/>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b/>
          <w:bCs/>
          <w:color w:val="000000" w:themeColor="text1"/>
        </w:rPr>
        <w:t>El momento procesal para modificar el acto impugnado:</w:t>
      </w:r>
      <w:r w:rsidRPr="00A7678E">
        <w:rPr>
          <w:rFonts w:ascii="Palatino Linotype" w:eastAsia="Palatino Linotype" w:hAnsi="Palatino Linotype" w:cs="Palatino Linotype"/>
          <w:color w:val="000000" w:themeColor="text1"/>
        </w:rPr>
        <w:t xml:space="preserve"> Para que se actualice el sobreseimiento de un recurso de revisión, el </w:t>
      </w:r>
      <w:r w:rsidRPr="00A7678E">
        <w:rPr>
          <w:rFonts w:ascii="Palatino Linotype" w:eastAsia="Palatino Linotype" w:hAnsi="Palatino Linotype" w:cs="Palatino Linotype"/>
          <w:b/>
          <w:bCs/>
          <w:color w:val="000000" w:themeColor="text1"/>
        </w:rPr>
        <w:t>SUJETO OBLIGADO</w:t>
      </w:r>
      <w:r w:rsidRPr="00A7678E">
        <w:rPr>
          <w:rFonts w:ascii="Palatino Linotype" w:eastAsia="Palatino Linotype" w:hAnsi="Palatino Linotype" w:cs="Palatino Linotype"/>
          <w:color w:val="000000" w:themeColor="text1"/>
        </w:rPr>
        <w:t xml:space="preserve"> puede entregar o completar la información al momento de rendir su informe de justificación o </w:t>
      </w:r>
      <w:r w:rsidRPr="00A7678E">
        <w:rPr>
          <w:rFonts w:ascii="Palatino Linotype" w:eastAsia="Palatino Linotype" w:hAnsi="Palatino Linotype" w:cs="Palatino Linotype"/>
          <w:b/>
          <w:bCs/>
          <w:color w:val="000000" w:themeColor="text1"/>
          <w:u w:val="single"/>
        </w:rPr>
        <w:t>posteriormente</w:t>
      </w:r>
      <w:r w:rsidRPr="00A7678E">
        <w:rPr>
          <w:rFonts w:ascii="Palatino Linotype" w:eastAsia="Palatino Linotype" w:hAnsi="Palatino Linotype" w:cs="Palatino Linotype"/>
          <w:color w:val="000000" w:themeColor="text1"/>
        </w:rPr>
        <w:t xml:space="preserve"> a éste, siempre y cuando el Pleno del Instituto no haya dictado resolución definitiva.</w:t>
      </w: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lastRenderedPageBreak/>
        <w:t xml:space="preserve">Eduardo Pallares, en su artículo </w:t>
      </w:r>
      <w:r w:rsidRPr="00A7678E">
        <w:rPr>
          <w:rFonts w:ascii="Palatino Linotype" w:eastAsia="Palatino Linotype" w:hAnsi="Palatino Linotype" w:cs="Palatino Linotype"/>
          <w:i/>
          <w:iCs/>
          <w:color w:val="000000" w:themeColor="text1"/>
        </w:rPr>
        <w:t>“La caducidad y el sobreseimiento en el amparo”</w:t>
      </w:r>
      <w:r w:rsidRPr="00A7678E">
        <w:rPr>
          <w:rFonts w:ascii="Palatino Linotype" w:eastAsia="Palatino Linotype" w:hAnsi="Palatino Linotype" w:cs="Palatino Linotype"/>
          <w:color w:val="000000" w:themeColor="text1"/>
        </w:rPr>
        <w:t xml:space="preserve">, cita la definición de Aguilera Paz, aduciendo que se </w:t>
      </w:r>
      <w:r w:rsidRPr="00A7678E">
        <w:rPr>
          <w:rFonts w:ascii="Palatino Linotype" w:eastAsia="Palatino Linotype" w:hAnsi="Palatino Linotype" w:cs="Palatino Linotype"/>
          <w:i/>
          <w:iCs/>
          <w:color w:val="000000" w:themeColor="text1"/>
        </w:rPr>
        <w:t>“...entiende por sobreseimiento en el tecnicismo forense, el hecho de cesar en el procedimiento o curso de la causa, por no existir méritos bastantes para entrar en un juicio o para entablar la contienda judicial que debe ser objeto del mismo...”</w:t>
      </w:r>
      <w:r w:rsidRPr="00A7678E">
        <w:rPr>
          <w:rFonts w:ascii="Palatino Linotype" w:eastAsia="Palatino Linotype" w:hAnsi="Palatino Linotype" w:cs="Palatino Linotype"/>
          <w:color w:val="000000" w:themeColor="text1"/>
        </w:rPr>
        <w:t>. Asimismo, señala que existe el sobreseimiento provisional y el definitivo</w:t>
      </w:r>
      <w:r w:rsidRPr="00A7678E">
        <w:rPr>
          <w:rFonts w:ascii="Palatino Linotype" w:eastAsia="Palatino Linotype" w:hAnsi="Palatino Linotype" w:cs="Palatino Linotype"/>
          <w:i/>
          <w:iCs/>
          <w:color w:val="000000" w:themeColor="text1"/>
        </w:rPr>
        <w:t>: “...el definitivo es una verdadera sentencia que pone fin al juicio, y que una vez dictada, produce cosa juzgada, mientras que el provisorio tiene por efectos suspender la prosecución de la causa...”</w:t>
      </w: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Así, para la doctrina el sobreseimiento provoca que un procedimiento se suspenda o se resuelva en definitiva </w:t>
      </w:r>
      <w:r w:rsidRPr="00A7678E">
        <w:rPr>
          <w:rFonts w:ascii="Palatino Linotype" w:eastAsia="Palatino Linotype" w:hAnsi="Palatino Linotype" w:cs="Palatino Linotype"/>
          <w:b/>
          <w:bCs/>
          <w:color w:val="000000" w:themeColor="text1"/>
          <w:u w:val="single"/>
        </w:rPr>
        <w:t xml:space="preserve">sin que se entre al estudio de los agravios o motivos de inconformidad. </w:t>
      </w:r>
      <w:r w:rsidRPr="00A7678E">
        <w:rPr>
          <w:rFonts w:ascii="Palatino Linotype" w:eastAsia="Palatino Linotype" w:hAnsi="Palatino Linotype" w:cs="Palatino Linotype"/>
          <w:color w:val="000000" w:themeColor="text1"/>
        </w:rPr>
        <w:t>Este mismo criterio es compartido por el más alto tribunal del país en múltiples jurisprudencias, por lo que a continuación se agrega una de ellas que sirve como orientador en esta resolución:</w:t>
      </w:r>
    </w:p>
    <w:p w:rsidR="00716629" w:rsidRPr="00A7678E" w:rsidRDefault="00EA1F2C" w:rsidP="00A7678E">
      <w:pPr>
        <w:jc w:val="both"/>
        <w:rPr>
          <w:rFonts w:ascii="Palatino Linotype" w:eastAsia="Palatino Linotype" w:hAnsi="Palatino Linotype" w:cs="Palatino Linotype"/>
          <w:i/>
          <w:iCs/>
          <w:color w:val="000000" w:themeColor="text1"/>
        </w:rPr>
      </w:pPr>
      <w:r w:rsidRPr="00A7678E">
        <w:rPr>
          <w:rFonts w:ascii="Palatino Linotype" w:eastAsia="Palatino Linotype" w:hAnsi="Palatino Linotype" w:cs="Palatino Linotype"/>
          <w:b/>
          <w:bCs/>
          <w:i/>
          <w:iCs/>
          <w:color w:val="000000" w:themeColor="text1"/>
        </w:rPr>
        <w:t>SOBRESEIMIENTO EN EL JUICIO DE AMPARO DIRECTO. IMPIDE EL ESTUDIO DE LAS VIOLACIONES PROCESALES PLANTEADAS EN LOS CONCEPTOS DE VIOLACIÓN. El sobreseimiento</w:t>
      </w:r>
      <w:r w:rsidRPr="00A7678E">
        <w:rPr>
          <w:rFonts w:ascii="Palatino Linotype" w:eastAsia="Palatino Linotype" w:hAnsi="Palatino Linotype" w:cs="Palatino Linotype"/>
          <w:i/>
          <w:iCs/>
          <w:color w:val="000000" w:themeColor="text1"/>
        </w:rPr>
        <w:t xml:space="preserve"> en el juicio de amparo directo </w:t>
      </w:r>
      <w:r w:rsidRPr="00A7678E">
        <w:rPr>
          <w:rFonts w:ascii="Palatino Linotype" w:eastAsia="Palatino Linotype" w:hAnsi="Palatino Linotype" w:cs="Palatino Linotype"/>
          <w:b/>
          <w:bCs/>
          <w:i/>
          <w:iCs/>
          <w:color w:val="000000" w:themeColor="text1"/>
        </w:rPr>
        <w:t>provoca la terminación de la controversia planteada</w:t>
      </w:r>
      <w:r w:rsidRPr="00A7678E">
        <w:rPr>
          <w:rFonts w:ascii="Palatino Linotype" w:eastAsia="Palatino Linotype" w:hAnsi="Palatino Linotype" w:cs="Palatino Linotype"/>
          <w:i/>
          <w:iCs/>
          <w:color w:val="000000" w:themeColor="text1"/>
        </w:rPr>
        <w:t xml:space="preserve"> por el quejoso en la demanda de amparo</w:t>
      </w:r>
      <w:r w:rsidRPr="00A7678E">
        <w:rPr>
          <w:rFonts w:ascii="Palatino Linotype" w:eastAsia="Palatino Linotype" w:hAnsi="Palatino Linotype" w:cs="Palatino Linotype"/>
          <w:b/>
          <w:bCs/>
          <w:i/>
          <w:iCs/>
          <w:color w:val="000000" w:themeColor="text1"/>
        </w:rPr>
        <w:t>, sin hacer un pronunciamiento de fondo sobre la legalidad o ilegalidad de la sentencia reclamada</w:t>
      </w:r>
      <w:r w:rsidRPr="00A7678E">
        <w:rPr>
          <w:rFonts w:ascii="Palatino Linotype" w:eastAsia="Palatino Linotype" w:hAnsi="Palatino Linotype" w:cs="Palatino Linotype"/>
          <w:i/>
          <w:iCs/>
          <w:color w:val="000000" w:themeColor="text1"/>
        </w:rPr>
        <w:t xml:space="preserve">. </w:t>
      </w:r>
      <w:r w:rsidRPr="00A7678E">
        <w:rPr>
          <w:rFonts w:ascii="Palatino Linotype" w:eastAsia="Palatino Linotype" w:hAnsi="Palatino Linotype" w:cs="Palatino Linotype"/>
          <w:b/>
          <w:bCs/>
          <w:i/>
          <w:iCs/>
          <w:color w:val="000000" w:themeColor="text1"/>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A7678E">
        <w:rPr>
          <w:rFonts w:ascii="Palatino Linotype" w:eastAsia="Palatino Linotype" w:hAnsi="Palatino Linotype" w:cs="Palatino Linotype"/>
          <w:i/>
          <w:iCs/>
          <w:color w:val="000000" w:themeColor="text1"/>
        </w:rPr>
        <w:t>.</w:t>
      </w: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Consecuentemente, por lo que hace a los motivos de inconformidad, los mismos devienen inatendibles por actualizarse la figura del sobreseimiento, misma que impide el </w:t>
      </w:r>
      <w:r w:rsidRPr="00A7678E">
        <w:rPr>
          <w:rFonts w:ascii="Palatino Linotype" w:eastAsia="Palatino Linotype" w:hAnsi="Palatino Linotype" w:cs="Palatino Linotype"/>
          <w:color w:val="000000" w:themeColor="text1"/>
        </w:rPr>
        <w:lastRenderedPageBreak/>
        <w:t>estudio de los agravios planteados, máxime que se ha dado cumplimiento al derecho de acceso a la información.</w:t>
      </w: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Bajo ese tenor y en términos del artículo 186 fracción I este Pleno determina el </w:t>
      </w:r>
      <w:r w:rsidRPr="00A7678E">
        <w:rPr>
          <w:rFonts w:ascii="Palatino Linotype" w:eastAsia="Palatino Linotype" w:hAnsi="Palatino Linotype" w:cs="Palatino Linotype"/>
          <w:b/>
          <w:bCs/>
          <w:color w:val="000000" w:themeColor="text1"/>
        </w:rPr>
        <w:t xml:space="preserve">SOBRESEIMIENTO </w:t>
      </w:r>
      <w:r w:rsidRPr="00A7678E">
        <w:rPr>
          <w:rFonts w:ascii="Palatino Linotype" w:eastAsia="Palatino Linotype" w:hAnsi="Palatino Linotype" w:cs="Palatino Linotype"/>
          <w:color w:val="000000" w:themeColor="text1"/>
        </w:rPr>
        <w:t>del presente recurso de revisión, toda vez que la afectación al derecho de acceso a la información pública establecido constitucionalmente a favor del Particular ha sido resarcida.</w:t>
      </w:r>
    </w:p>
    <w:p w:rsidR="00655B41" w:rsidRPr="00A7678E" w:rsidRDefault="00655B41" w:rsidP="00A7678E">
      <w:pPr>
        <w:rPr>
          <w:rFonts w:ascii="Palatino Linotype" w:eastAsia="Palatino Linotype" w:hAnsi="Palatino Linotype" w:cs="Palatino Linotype"/>
          <w:color w:val="000000" w:themeColor="text1"/>
        </w:rPr>
      </w:pPr>
    </w:p>
    <w:p w:rsidR="00716629" w:rsidRPr="00A7678E" w:rsidRDefault="00EA1F2C" w:rsidP="00A7678E">
      <w:pPr>
        <w:numPr>
          <w:ilvl w:val="0"/>
          <w:numId w:val="1"/>
        </w:numPr>
        <w:spacing w:line="360" w:lineRule="auto"/>
        <w:ind w:left="0" w:firstLine="0"/>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color w:val="000000" w:themeColor="text1"/>
        </w:rPr>
        <w:t xml:space="preserve">Por lo anteriormente expuesto y fundado, este </w:t>
      </w:r>
      <w:r w:rsidRPr="00A7678E">
        <w:rPr>
          <w:rFonts w:ascii="Palatino Linotype" w:eastAsia="Palatino Linotype" w:hAnsi="Palatino Linotype" w:cs="Palatino Linotype"/>
          <w:b/>
          <w:bCs/>
          <w:color w:val="000000" w:themeColor="text1"/>
        </w:rPr>
        <w:t>ÓRGANO GARANTE</w:t>
      </w:r>
      <w:r w:rsidRPr="00A7678E">
        <w:rPr>
          <w:rFonts w:ascii="Palatino Linotype" w:eastAsia="Palatino Linotype" w:hAnsi="Palatino Linotype" w:cs="Palatino Linotype"/>
          <w:color w:val="000000" w:themeColor="text1"/>
        </w:rPr>
        <w:t xml:space="preserve"> emite los siguientes:</w:t>
      </w:r>
    </w:p>
    <w:p w:rsidR="00716629" w:rsidRPr="00A7678E" w:rsidRDefault="00716629" w:rsidP="00A7678E">
      <w:pPr>
        <w:pBdr>
          <w:top w:val="nil"/>
          <w:left w:val="nil"/>
          <w:bottom w:val="nil"/>
          <w:right w:val="nil"/>
          <w:between w:val="nil"/>
        </w:pBdr>
        <w:tabs>
          <w:tab w:val="left" w:pos="426"/>
        </w:tabs>
        <w:jc w:val="both"/>
        <w:rPr>
          <w:rFonts w:ascii="Palatino Linotype" w:eastAsia="Palatino Linotype" w:hAnsi="Palatino Linotype" w:cs="Palatino Linotype"/>
          <w:color w:val="000000" w:themeColor="text1"/>
        </w:rPr>
      </w:pPr>
    </w:p>
    <w:p w:rsidR="00716629" w:rsidRPr="00A7678E" w:rsidRDefault="00EA1F2C" w:rsidP="00A7678E">
      <w:pPr>
        <w:pStyle w:val="Ttulo1"/>
        <w:spacing w:before="0" w:line="360" w:lineRule="auto"/>
        <w:jc w:val="center"/>
        <w:rPr>
          <w:rFonts w:ascii="Palatino Linotype" w:eastAsia="Palatino Linotype" w:hAnsi="Palatino Linotype" w:cs="Palatino Linotype"/>
          <w:b/>
          <w:bCs/>
          <w:color w:val="000000" w:themeColor="text1"/>
          <w:sz w:val="24"/>
          <w:szCs w:val="24"/>
        </w:rPr>
      </w:pPr>
      <w:r w:rsidRPr="00A7678E">
        <w:rPr>
          <w:rFonts w:ascii="Palatino Linotype" w:eastAsia="Palatino Linotype" w:hAnsi="Palatino Linotype" w:cs="Palatino Linotype"/>
          <w:b/>
          <w:bCs/>
          <w:color w:val="000000" w:themeColor="text1"/>
          <w:sz w:val="24"/>
          <w:szCs w:val="24"/>
        </w:rPr>
        <w:t>R E S O L U T I V O S</w:t>
      </w:r>
    </w:p>
    <w:p w:rsidR="00716629" w:rsidRPr="00A7678E" w:rsidRDefault="00716629" w:rsidP="00A7678E">
      <w:pPr>
        <w:rPr>
          <w:rFonts w:ascii="Palatino Linotype" w:eastAsia="Palatino Linotype" w:hAnsi="Palatino Linotype" w:cs="Palatino Linotype"/>
          <w:color w:val="000000" w:themeColor="text1"/>
        </w:rPr>
      </w:pPr>
    </w:p>
    <w:p w:rsidR="00716629" w:rsidRPr="00A7678E" w:rsidRDefault="00EA1F2C" w:rsidP="00A7678E">
      <w:pPr>
        <w:spacing w:line="360" w:lineRule="auto"/>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b/>
          <w:bCs/>
          <w:color w:val="000000" w:themeColor="text1"/>
        </w:rPr>
        <w:t xml:space="preserve">PRIMERO. </w:t>
      </w:r>
      <w:r w:rsidRPr="00A7678E">
        <w:rPr>
          <w:rFonts w:ascii="Palatino Linotype" w:eastAsia="Palatino Linotype" w:hAnsi="Palatino Linotype" w:cs="Palatino Linotype"/>
          <w:color w:val="000000" w:themeColor="text1"/>
        </w:rPr>
        <w:t xml:space="preserve">Se </w:t>
      </w:r>
      <w:r w:rsidRPr="00A7678E">
        <w:rPr>
          <w:rFonts w:ascii="Palatino Linotype" w:eastAsia="Palatino Linotype" w:hAnsi="Palatino Linotype" w:cs="Palatino Linotype"/>
          <w:b/>
          <w:bCs/>
          <w:color w:val="000000" w:themeColor="text1"/>
        </w:rPr>
        <w:t>SOBRESEE</w:t>
      </w:r>
      <w:r w:rsidRPr="00A7678E">
        <w:rPr>
          <w:rFonts w:ascii="Palatino Linotype" w:eastAsia="Palatino Linotype" w:hAnsi="Palatino Linotype" w:cs="Palatino Linotype"/>
          <w:color w:val="000000" w:themeColor="text1"/>
        </w:rPr>
        <w:t xml:space="preserve"> el recurso de revisión número </w:t>
      </w:r>
      <w:r w:rsidRPr="00A7678E">
        <w:rPr>
          <w:rFonts w:ascii="Palatino Linotype" w:eastAsia="Palatino Linotype" w:hAnsi="Palatino Linotype" w:cs="Palatino Linotype"/>
          <w:b/>
          <w:bCs/>
          <w:color w:val="000000" w:themeColor="text1"/>
        </w:rPr>
        <w:t xml:space="preserve">04963/INFOEM/IP/RR/2025 </w:t>
      </w:r>
      <w:r w:rsidRPr="00A7678E">
        <w:rPr>
          <w:rFonts w:ascii="Palatino Linotype" w:eastAsia="Palatino Linotype" w:hAnsi="Palatino Linotype" w:cs="Palatino Linotype"/>
          <w:color w:val="000000" w:themeColor="text1"/>
        </w:rPr>
        <w:t xml:space="preserve">conforme al artículo 192 fracción III de la Ley de Transparencia y Acceso a la Información Pública del Estado de México y Municipios, porque al </w:t>
      </w:r>
      <w:r w:rsidRPr="00A7678E">
        <w:rPr>
          <w:rFonts w:ascii="Palatino Linotype" w:eastAsia="Palatino Linotype" w:hAnsi="Palatino Linotype" w:cs="Palatino Linotype"/>
          <w:b/>
          <w:bCs/>
          <w:color w:val="000000" w:themeColor="text1"/>
        </w:rPr>
        <w:t>modificar la respuesta a través del informe justificado y atender lo solicitado</w:t>
      </w:r>
      <w:r w:rsidRPr="00A7678E">
        <w:rPr>
          <w:rFonts w:ascii="Palatino Linotype" w:eastAsia="Palatino Linotype" w:hAnsi="Palatino Linotype" w:cs="Palatino Linotype"/>
          <w:color w:val="000000" w:themeColor="text1"/>
        </w:rPr>
        <w:t xml:space="preserve">, el recurso de revisión quedó sin materia en términos del Considerando </w:t>
      </w:r>
      <w:r w:rsidRPr="00A7678E">
        <w:rPr>
          <w:rFonts w:ascii="Palatino Linotype" w:eastAsia="Palatino Linotype" w:hAnsi="Palatino Linotype" w:cs="Palatino Linotype"/>
          <w:b/>
          <w:bCs/>
          <w:color w:val="000000" w:themeColor="text1"/>
        </w:rPr>
        <w:t>TERCERO</w:t>
      </w:r>
      <w:r w:rsidRPr="00A7678E">
        <w:rPr>
          <w:rFonts w:ascii="Palatino Linotype" w:eastAsia="Palatino Linotype" w:hAnsi="Palatino Linotype" w:cs="Palatino Linotype"/>
          <w:color w:val="000000" w:themeColor="text1"/>
        </w:rPr>
        <w:t xml:space="preserve"> de la presente resolución.</w:t>
      </w: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A7678E" w:rsidP="00A7678E">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r>
        <w:rPr>
          <w:rFonts w:ascii="Palatino Linotype" w:eastAsia="Palatino Linotype" w:hAnsi="Palatino Linotype" w:cs="Palatino Linotype"/>
          <w:b/>
          <w:bCs/>
          <w:color w:val="000000" w:themeColor="text1"/>
        </w:rPr>
        <w:t>SEGUNDO. Notifíquese</w:t>
      </w:r>
      <w:r w:rsidR="00EA1F2C" w:rsidRPr="00A7678E">
        <w:rPr>
          <w:rFonts w:ascii="Palatino Linotype" w:eastAsia="Palatino Linotype" w:hAnsi="Palatino Linotype" w:cs="Palatino Linotype"/>
          <w:b/>
          <w:bCs/>
          <w:color w:val="000000" w:themeColor="text1"/>
        </w:rPr>
        <w:t xml:space="preserve"> </w:t>
      </w:r>
      <w:r w:rsidR="00EA1F2C" w:rsidRPr="00A7678E">
        <w:rPr>
          <w:rFonts w:ascii="Palatino Linotype" w:eastAsia="Palatino Linotype" w:hAnsi="Palatino Linotype" w:cs="Palatino Linotype"/>
          <w:color w:val="000000" w:themeColor="text1"/>
        </w:rPr>
        <w:t xml:space="preserve">a través del Sistema de Acceso a la Información Mexiquense </w:t>
      </w:r>
      <w:r w:rsidR="00EA1F2C" w:rsidRPr="00A7678E">
        <w:rPr>
          <w:rFonts w:ascii="Palatino Linotype" w:eastAsia="Palatino Linotype" w:hAnsi="Palatino Linotype" w:cs="Palatino Linotype"/>
          <w:b/>
          <w:bCs/>
          <w:color w:val="000000" w:themeColor="text1"/>
        </w:rPr>
        <w:t xml:space="preserve">(SAIMEX) </w:t>
      </w:r>
      <w:r w:rsidR="00EA1F2C" w:rsidRPr="00A7678E">
        <w:rPr>
          <w:rFonts w:ascii="Palatino Linotype" w:eastAsia="Palatino Linotype" w:hAnsi="Palatino Linotype" w:cs="Palatino Linotype"/>
          <w:color w:val="000000" w:themeColor="text1"/>
        </w:rPr>
        <w:t>la presente resolución al Titular de la Unidad de Transparencia del</w:t>
      </w:r>
      <w:r w:rsidR="00EA1F2C" w:rsidRPr="00A7678E">
        <w:rPr>
          <w:rFonts w:ascii="Palatino Linotype" w:eastAsia="Palatino Linotype" w:hAnsi="Palatino Linotype" w:cs="Palatino Linotype"/>
          <w:b/>
          <w:bCs/>
          <w:color w:val="000000" w:themeColor="text1"/>
        </w:rPr>
        <w:t xml:space="preserve"> SUJETO OBLIGADO.</w:t>
      </w:r>
    </w:p>
    <w:p w:rsidR="00716629" w:rsidRPr="00A7678E" w:rsidRDefault="00716629" w:rsidP="00A7678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16629" w:rsidRPr="00A7678E" w:rsidRDefault="00EA1F2C" w:rsidP="00A7678E">
      <w:pPr>
        <w:tabs>
          <w:tab w:val="left" w:pos="8080"/>
        </w:tabs>
        <w:spacing w:line="360" w:lineRule="auto"/>
        <w:jc w:val="both"/>
        <w:rPr>
          <w:rFonts w:ascii="Palatino Linotype" w:eastAsia="Palatino Linotype" w:hAnsi="Palatino Linotype" w:cs="Palatino Linotype"/>
          <w:b/>
          <w:bCs/>
          <w:color w:val="000000" w:themeColor="text1"/>
        </w:rPr>
      </w:pPr>
      <w:r w:rsidRPr="00A7678E">
        <w:rPr>
          <w:rFonts w:ascii="Palatino Linotype" w:eastAsia="Palatino Linotype" w:hAnsi="Palatino Linotype" w:cs="Palatino Linotype"/>
          <w:b/>
          <w:bCs/>
          <w:color w:val="000000" w:themeColor="text1"/>
        </w:rPr>
        <w:lastRenderedPageBreak/>
        <w:t xml:space="preserve">TERCERO. Notifíquese </w:t>
      </w:r>
      <w:r w:rsidRPr="00A7678E">
        <w:rPr>
          <w:rFonts w:ascii="Palatino Linotype" w:eastAsia="Palatino Linotype" w:hAnsi="Palatino Linotype" w:cs="Palatino Linotype"/>
          <w:color w:val="000000" w:themeColor="text1"/>
        </w:rPr>
        <w:t>a</w:t>
      </w:r>
      <w:r w:rsidRPr="00A7678E">
        <w:rPr>
          <w:rFonts w:ascii="Palatino Linotype" w:eastAsia="Palatino Linotype" w:hAnsi="Palatino Linotype" w:cs="Palatino Linotype"/>
          <w:b/>
          <w:bCs/>
          <w:color w:val="000000" w:themeColor="text1"/>
        </w:rPr>
        <w:t xml:space="preserve"> </w:t>
      </w:r>
      <w:r w:rsidRPr="00A7678E">
        <w:rPr>
          <w:rFonts w:ascii="Palatino Linotype" w:eastAsia="Palatino Linotype" w:hAnsi="Palatino Linotype" w:cs="Palatino Linotype"/>
          <w:color w:val="000000" w:themeColor="text1"/>
        </w:rPr>
        <w:t xml:space="preserve">la parte </w:t>
      </w:r>
      <w:r w:rsidRPr="00A7678E">
        <w:rPr>
          <w:rFonts w:ascii="Palatino Linotype" w:eastAsia="Palatino Linotype" w:hAnsi="Palatino Linotype" w:cs="Palatino Linotype"/>
          <w:b/>
          <w:bCs/>
          <w:color w:val="000000" w:themeColor="text1"/>
        </w:rPr>
        <w:t>RECURRENTE</w:t>
      </w:r>
      <w:r w:rsidRPr="00A7678E">
        <w:rPr>
          <w:rFonts w:ascii="Palatino Linotype" w:eastAsia="Palatino Linotype" w:hAnsi="Palatino Linotype" w:cs="Palatino Linotype"/>
          <w:color w:val="000000" w:themeColor="text1"/>
        </w:rPr>
        <w:t xml:space="preserve"> la presente resolución a través del Sistema de Acceso a la Información Mexiquense </w:t>
      </w:r>
      <w:r w:rsidRPr="00A7678E">
        <w:rPr>
          <w:rFonts w:ascii="Palatino Linotype" w:eastAsia="Palatino Linotype" w:hAnsi="Palatino Linotype" w:cs="Palatino Linotype"/>
          <w:b/>
          <w:bCs/>
          <w:color w:val="000000" w:themeColor="text1"/>
        </w:rPr>
        <w:t>(SAIMEX).</w:t>
      </w:r>
    </w:p>
    <w:p w:rsidR="00716629" w:rsidRPr="00A7678E" w:rsidRDefault="00716629" w:rsidP="00A7678E">
      <w:pPr>
        <w:tabs>
          <w:tab w:val="left" w:pos="8080"/>
        </w:tabs>
        <w:spacing w:line="360" w:lineRule="auto"/>
        <w:jc w:val="both"/>
        <w:rPr>
          <w:rFonts w:ascii="Palatino Linotype" w:eastAsia="Palatino Linotype" w:hAnsi="Palatino Linotype" w:cs="Palatino Linotype"/>
          <w:b/>
          <w:bCs/>
          <w:color w:val="000000" w:themeColor="text1"/>
        </w:rPr>
      </w:pPr>
    </w:p>
    <w:p w:rsidR="00716629" w:rsidRPr="00A7678E" w:rsidRDefault="00EA1F2C" w:rsidP="00A7678E">
      <w:pPr>
        <w:shd w:val="clear" w:color="auto" w:fill="FFFFFF"/>
        <w:spacing w:line="360" w:lineRule="auto"/>
        <w:jc w:val="both"/>
        <w:rPr>
          <w:rFonts w:ascii="Palatino Linotype" w:eastAsia="Palatino Linotype" w:hAnsi="Palatino Linotype" w:cs="Palatino Linotype"/>
          <w:color w:val="000000" w:themeColor="text1"/>
        </w:rPr>
      </w:pPr>
      <w:r w:rsidRPr="00A7678E">
        <w:rPr>
          <w:rFonts w:ascii="Palatino Linotype" w:eastAsia="Palatino Linotype" w:hAnsi="Palatino Linotype" w:cs="Palatino Linotype"/>
          <w:b/>
          <w:bCs/>
          <w:color w:val="000000" w:themeColor="text1"/>
        </w:rPr>
        <w:t xml:space="preserve">CUARTO. </w:t>
      </w:r>
      <w:r w:rsidRPr="00A7678E">
        <w:rPr>
          <w:rFonts w:ascii="Palatino Linotype" w:eastAsia="Palatino Linotype" w:hAnsi="Palatino Linotype" w:cs="Palatino Linotype"/>
          <w:color w:val="000000" w:themeColor="text1"/>
        </w:rPr>
        <w:t xml:space="preserve">Se hace del conocimiento de la parte </w:t>
      </w:r>
      <w:r w:rsidRPr="00A7678E">
        <w:rPr>
          <w:rFonts w:ascii="Palatino Linotype" w:eastAsia="Palatino Linotype" w:hAnsi="Palatino Linotype" w:cs="Palatino Linotype"/>
          <w:b/>
          <w:bCs/>
          <w:color w:val="000000" w:themeColor="text1"/>
        </w:rPr>
        <w:t>RECURRENTE</w:t>
      </w:r>
      <w:r w:rsidRPr="00A7678E">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716629" w:rsidRDefault="00716629" w:rsidP="00A7678E">
      <w:pPr>
        <w:shd w:val="clear" w:color="auto" w:fill="FFFFFF"/>
        <w:jc w:val="both"/>
        <w:rPr>
          <w:rFonts w:ascii="Palatino Linotype" w:eastAsia="Palatino Linotype" w:hAnsi="Palatino Linotype" w:cs="Palatino Linotype"/>
          <w:color w:val="000000" w:themeColor="text1"/>
        </w:rPr>
      </w:pPr>
    </w:p>
    <w:p w:rsidR="00A7678E" w:rsidRPr="00A7678E" w:rsidRDefault="00A7678E" w:rsidP="00A7678E">
      <w:pPr>
        <w:shd w:val="clear" w:color="auto" w:fill="FFFFFF"/>
        <w:jc w:val="both"/>
        <w:rPr>
          <w:rFonts w:ascii="Palatino Linotype" w:eastAsia="Palatino Linotype" w:hAnsi="Palatino Linotype" w:cs="Palatino Linotype"/>
          <w:color w:val="000000" w:themeColor="text1"/>
        </w:rPr>
      </w:pPr>
    </w:p>
    <w:p w:rsidR="00A7678E" w:rsidRPr="00444783" w:rsidRDefault="00A7678E" w:rsidP="00A7678E">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716629" w:rsidRPr="00A7678E" w:rsidRDefault="00716629" w:rsidP="00A7678E">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716629" w:rsidP="00A7678E">
      <w:pPr>
        <w:spacing w:line="360" w:lineRule="auto"/>
        <w:jc w:val="both"/>
        <w:rPr>
          <w:rFonts w:ascii="Palatino Linotype" w:eastAsia="Palatino Linotype" w:hAnsi="Palatino Linotype" w:cs="Palatino Linotype"/>
          <w:b/>
          <w:bCs/>
          <w:color w:val="000000" w:themeColor="text1"/>
        </w:rPr>
      </w:pPr>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bookmarkStart w:id="10" w:name="_heading=h.tyjcwt" w:colFirst="0" w:colLast="0"/>
      <w:bookmarkEnd w:id="10"/>
    </w:p>
    <w:p w:rsidR="00716629" w:rsidRPr="00A7678E" w:rsidRDefault="00716629" w:rsidP="00A7678E">
      <w:pPr>
        <w:spacing w:line="360" w:lineRule="auto"/>
        <w:jc w:val="both"/>
        <w:rPr>
          <w:rFonts w:ascii="Palatino Linotype" w:eastAsia="Palatino Linotype" w:hAnsi="Palatino Linotype" w:cs="Palatino Linotype"/>
          <w:color w:val="000000" w:themeColor="text1"/>
        </w:rPr>
      </w:pPr>
    </w:p>
    <w:p w:rsidR="00716629" w:rsidRPr="00A7678E" w:rsidRDefault="00716629" w:rsidP="00A7678E">
      <w:pPr>
        <w:spacing w:line="360" w:lineRule="auto"/>
        <w:rPr>
          <w:rFonts w:ascii="Palatino Linotype" w:eastAsia="Palatino Linotype" w:hAnsi="Palatino Linotype" w:cs="Palatino Linotype"/>
          <w:color w:val="000000" w:themeColor="text1"/>
        </w:rPr>
      </w:pPr>
    </w:p>
    <w:sectPr w:rsidR="00716629" w:rsidRPr="00A7678E" w:rsidSect="00C60F09">
      <w:headerReference w:type="even" r:id="rId9"/>
      <w:headerReference w:type="default" r:id="rId10"/>
      <w:footerReference w:type="default" r:id="rId11"/>
      <w:headerReference w:type="first" r:id="rId12"/>
      <w:footerReference w:type="first" r:id="rId13"/>
      <w:pgSz w:w="12240" w:h="15840"/>
      <w:pgMar w:top="2269" w:right="900" w:bottom="212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829" w:rsidRDefault="00437829">
      <w:r>
        <w:separator/>
      </w:r>
    </w:p>
  </w:endnote>
  <w:endnote w:type="continuationSeparator" w:id="0">
    <w:p w:rsidR="00437829" w:rsidRDefault="00437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EC0F9900-5748-4114-AC41-0F8403FA9071}"/>
    <w:embedBold r:id="rId2" w:fontKey="{64D45A8F-47A8-42D7-A6F1-4EF4B78E7069}"/>
    <w:embedItalic r:id="rId3" w:fontKey="{763A553B-CB40-428D-AEC4-D7FB5555DF7A}"/>
    <w:embedBoldItalic r:id="rId4" w:fontKey="{1B90DA78-CD13-4F26-80A6-0B9F9CF70D25}"/>
  </w:font>
  <w:font w:name="Noto Sans Symbols">
    <w:charset w:val="00"/>
    <w:family w:val="auto"/>
    <w:pitch w:val="default"/>
    <w:embedRegular r:id="rId5" w:fontKey="{04EAC391-6B64-40E1-855C-C2378DC40C1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2ABA7C1D-635E-4C82-A22E-026CF6B879C1}"/>
    <w:embedBold r:id="rId7" w:fontKey="{98DA96FF-53B8-4FA6-9AA7-5C548F44EB1C}"/>
    <w:embedItalic r:id="rId8" w:fontKey="{7DD03CB2-F521-4CF1-9609-EC733A73C942}"/>
  </w:font>
  <w:font w:name="Calibri Light">
    <w:panose1 w:val="020F0302020204030204"/>
    <w:charset w:val="00"/>
    <w:family w:val="swiss"/>
    <w:pitch w:val="variable"/>
    <w:sig w:usb0="E4002EFF" w:usb1="C200247B" w:usb2="00000009" w:usb3="00000000" w:csb0="000001FF" w:csb1="00000000"/>
    <w:embedRegular r:id="rId9" w:fontKey="{0D33A138-F937-4CBC-B4A9-A3D823FB07C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FDE3566C-72BB-44D4-9D18-11A4CF207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F2C" w:rsidRDefault="00EA1F2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42B8F">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42B8F">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p>
  <w:p w:rsidR="00EA1F2C" w:rsidRDefault="00EA1F2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F2C" w:rsidRDefault="00EA1F2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242B8F">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242B8F">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p>
  <w:p w:rsidR="00EA1F2C" w:rsidRDefault="00EA1F2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829" w:rsidRDefault="00437829">
      <w:r>
        <w:separator/>
      </w:r>
    </w:p>
  </w:footnote>
  <w:footnote w:type="continuationSeparator" w:id="0">
    <w:p w:rsidR="00437829" w:rsidRDefault="00437829">
      <w:r>
        <w:continuationSeparator/>
      </w:r>
    </w:p>
  </w:footnote>
  <w:footnote w:id="1">
    <w:p w:rsidR="00EA1F2C" w:rsidRDefault="00EA1F2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50, Ley de Transparencia y Acceso a la Información Pública del Estado de México y Municipios.</w:t>
      </w:r>
    </w:p>
  </w:footnote>
  <w:footnote w:id="2">
    <w:p w:rsidR="00EA1F2C" w:rsidRDefault="00EA1F2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51, Ídem.</w:t>
      </w:r>
    </w:p>
  </w:footnote>
  <w:footnote w:id="3">
    <w:p w:rsidR="00EA1F2C" w:rsidRDefault="00EA1F2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58, Ley de Transparencia y Acceso a la Información Pública del Estado de México y Municipios.</w:t>
      </w:r>
    </w:p>
  </w:footnote>
  <w:footnote w:id="4">
    <w:p w:rsidR="00EA1F2C" w:rsidRDefault="00EA1F2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F2C" w:rsidRDefault="0043782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519" w:type="dxa"/>
      <w:tblInd w:w="3261" w:type="dxa"/>
      <w:tblLayout w:type="fixed"/>
      <w:tblLook w:val="0400" w:firstRow="0" w:lastRow="0" w:firstColumn="0" w:lastColumn="0" w:noHBand="0" w:noVBand="1"/>
    </w:tblPr>
    <w:tblGrid>
      <w:gridCol w:w="2976"/>
      <w:gridCol w:w="3543"/>
    </w:tblGrid>
    <w:tr w:rsidR="00EA1F2C" w:rsidTr="00C60F09">
      <w:trPr>
        <w:trHeight w:val="227"/>
      </w:trPr>
      <w:tc>
        <w:tcPr>
          <w:tcW w:w="2976" w:type="dxa"/>
          <w:vAlign w:val="center"/>
        </w:tcPr>
        <w:p w:rsidR="00EA1F2C" w:rsidRPr="00A7678E" w:rsidRDefault="00EA1F2C" w:rsidP="00A7678E">
          <w:pPr>
            <w:ind w:right="34"/>
            <w:jc w:val="right"/>
            <w:rPr>
              <w:rFonts w:ascii="Palatino Linotype" w:eastAsia="Palatino Linotype" w:hAnsi="Palatino Linotype" w:cs="Palatino Linotype"/>
              <w:b/>
              <w:bCs/>
            </w:rPr>
          </w:pPr>
          <w:r w:rsidRPr="00A7678E">
            <w:rPr>
              <w:rFonts w:ascii="Palatino Linotype" w:eastAsia="Palatino Linotype" w:hAnsi="Palatino Linotype" w:cs="Palatino Linotype"/>
              <w:b/>
              <w:bCs/>
            </w:rPr>
            <w:t>Recurso de Revisión:</w:t>
          </w:r>
        </w:p>
      </w:tc>
      <w:tc>
        <w:tcPr>
          <w:tcW w:w="3543" w:type="dxa"/>
          <w:vAlign w:val="center"/>
        </w:tcPr>
        <w:p w:rsidR="00EA1F2C" w:rsidRPr="00A7678E" w:rsidRDefault="00EA1F2C" w:rsidP="00A7678E">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A7678E">
            <w:rPr>
              <w:rFonts w:ascii="Palatino Linotype" w:eastAsia="Palatino Linotype" w:hAnsi="Palatino Linotype" w:cs="Palatino Linotype"/>
              <w:bCs/>
              <w:color w:val="000000"/>
            </w:rPr>
            <w:t>04963/INFOEM/IP/RR/2025</w:t>
          </w:r>
        </w:p>
      </w:tc>
    </w:tr>
    <w:tr w:rsidR="00EA1F2C" w:rsidTr="00C60F09">
      <w:trPr>
        <w:trHeight w:val="242"/>
      </w:trPr>
      <w:tc>
        <w:tcPr>
          <w:tcW w:w="2976" w:type="dxa"/>
          <w:vAlign w:val="center"/>
        </w:tcPr>
        <w:p w:rsidR="00EA1F2C" w:rsidRPr="00A7678E" w:rsidRDefault="00EA1F2C" w:rsidP="00A7678E">
          <w:pPr>
            <w:ind w:right="34"/>
            <w:jc w:val="right"/>
            <w:rPr>
              <w:rFonts w:ascii="Palatino Linotype" w:eastAsia="Palatino Linotype" w:hAnsi="Palatino Linotype" w:cs="Palatino Linotype"/>
              <w:b/>
              <w:bCs/>
            </w:rPr>
          </w:pPr>
          <w:r w:rsidRPr="00A7678E">
            <w:rPr>
              <w:rFonts w:ascii="Palatino Linotype" w:eastAsia="Palatino Linotype" w:hAnsi="Palatino Linotype" w:cs="Palatino Linotype"/>
              <w:b/>
              <w:bCs/>
            </w:rPr>
            <w:t>Sujeto Obligado:</w:t>
          </w:r>
        </w:p>
      </w:tc>
      <w:tc>
        <w:tcPr>
          <w:tcW w:w="3543" w:type="dxa"/>
          <w:vAlign w:val="center"/>
        </w:tcPr>
        <w:p w:rsidR="00EA1F2C" w:rsidRPr="00A7678E" w:rsidRDefault="00EA1F2C" w:rsidP="00A7678E">
          <w:pPr>
            <w:pBdr>
              <w:top w:val="nil"/>
              <w:left w:val="nil"/>
              <w:bottom w:val="nil"/>
              <w:right w:val="nil"/>
              <w:between w:val="nil"/>
            </w:pBdr>
            <w:tabs>
              <w:tab w:val="center" w:pos="4419"/>
              <w:tab w:val="right" w:pos="8838"/>
            </w:tabs>
            <w:ind w:right="212"/>
            <w:jc w:val="both"/>
            <w:rPr>
              <w:rFonts w:ascii="Palatino Linotype" w:eastAsia="Palatino Linotype" w:hAnsi="Palatino Linotype" w:cs="Palatino Linotype"/>
              <w:bCs/>
              <w:color w:val="000000"/>
            </w:rPr>
          </w:pPr>
          <w:r w:rsidRPr="00A7678E">
            <w:rPr>
              <w:rFonts w:ascii="Palatino Linotype" w:eastAsia="Palatino Linotype" w:hAnsi="Palatino Linotype" w:cs="Palatino Linotype"/>
              <w:bCs/>
              <w:color w:val="000000"/>
            </w:rPr>
            <w:t>Secretaría de la Controlaría</w:t>
          </w:r>
        </w:p>
      </w:tc>
    </w:tr>
    <w:tr w:rsidR="00EA1F2C" w:rsidTr="00C60F09">
      <w:trPr>
        <w:trHeight w:val="342"/>
      </w:trPr>
      <w:tc>
        <w:tcPr>
          <w:tcW w:w="2976" w:type="dxa"/>
          <w:vAlign w:val="center"/>
        </w:tcPr>
        <w:p w:rsidR="00EA1F2C" w:rsidRPr="00A7678E" w:rsidRDefault="00EA1F2C" w:rsidP="00A7678E">
          <w:pPr>
            <w:ind w:right="34"/>
            <w:jc w:val="right"/>
            <w:rPr>
              <w:rFonts w:ascii="Palatino Linotype" w:eastAsia="Palatino Linotype" w:hAnsi="Palatino Linotype" w:cs="Palatino Linotype"/>
              <w:b/>
              <w:bCs/>
            </w:rPr>
          </w:pPr>
          <w:r w:rsidRPr="00A7678E">
            <w:rPr>
              <w:rFonts w:ascii="Palatino Linotype" w:eastAsia="Palatino Linotype" w:hAnsi="Palatino Linotype" w:cs="Palatino Linotype"/>
              <w:b/>
              <w:bCs/>
            </w:rPr>
            <w:t>Comisionada Ponente:</w:t>
          </w:r>
        </w:p>
      </w:tc>
      <w:tc>
        <w:tcPr>
          <w:tcW w:w="3543" w:type="dxa"/>
          <w:vAlign w:val="center"/>
        </w:tcPr>
        <w:p w:rsidR="00EA1F2C" w:rsidRPr="00A7678E" w:rsidRDefault="00EA1F2C" w:rsidP="00A7678E">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A7678E">
            <w:rPr>
              <w:rFonts w:ascii="Palatino Linotype" w:eastAsia="Palatino Linotype" w:hAnsi="Palatino Linotype" w:cs="Palatino Linotype"/>
              <w:bCs/>
              <w:color w:val="000000"/>
            </w:rPr>
            <w:t>María del Rosario Mejía Ayala</w:t>
          </w:r>
        </w:p>
      </w:tc>
    </w:tr>
  </w:tbl>
  <w:p w:rsidR="00EA1F2C" w:rsidRDefault="00437829">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4.65pt;margin-top:-125.7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660" w:type="dxa"/>
      <w:tblInd w:w="3261" w:type="dxa"/>
      <w:tblLayout w:type="fixed"/>
      <w:tblLook w:val="0400" w:firstRow="0" w:lastRow="0" w:firstColumn="0" w:lastColumn="0" w:noHBand="0" w:noVBand="1"/>
    </w:tblPr>
    <w:tblGrid>
      <w:gridCol w:w="2977"/>
      <w:gridCol w:w="3683"/>
    </w:tblGrid>
    <w:tr w:rsidR="00EA1F2C" w:rsidTr="00C60F09">
      <w:trPr>
        <w:trHeight w:val="227"/>
      </w:trPr>
      <w:tc>
        <w:tcPr>
          <w:tcW w:w="2977" w:type="dxa"/>
          <w:vAlign w:val="center"/>
        </w:tcPr>
        <w:p w:rsidR="00EA1F2C" w:rsidRPr="00A7678E" w:rsidRDefault="00EA1F2C" w:rsidP="00A7678E">
          <w:pPr>
            <w:jc w:val="right"/>
            <w:rPr>
              <w:rFonts w:ascii="Palatino Linotype" w:eastAsia="Palatino Linotype" w:hAnsi="Palatino Linotype" w:cs="Palatino Linotype"/>
              <w:b/>
              <w:bCs/>
            </w:rPr>
          </w:pPr>
          <w:r w:rsidRPr="00A7678E">
            <w:rPr>
              <w:rFonts w:ascii="Palatino Linotype" w:eastAsia="Palatino Linotype" w:hAnsi="Palatino Linotype" w:cs="Palatino Linotype"/>
              <w:b/>
              <w:bCs/>
            </w:rPr>
            <w:t>Recurso de Revisión:</w:t>
          </w:r>
        </w:p>
      </w:tc>
      <w:tc>
        <w:tcPr>
          <w:tcW w:w="3683" w:type="dxa"/>
          <w:vAlign w:val="center"/>
        </w:tcPr>
        <w:p w:rsidR="00EA1F2C" w:rsidRPr="00A7678E" w:rsidRDefault="00EA1F2C" w:rsidP="00A7678E">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A7678E">
            <w:rPr>
              <w:rFonts w:ascii="Palatino Linotype" w:eastAsia="Palatino Linotype" w:hAnsi="Palatino Linotype" w:cs="Palatino Linotype"/>
              <w:bCs/>
              <w:color w:val="000000"/>
            </w:rPr>
            <w:t>04963/INFOEM/IP/RR/2025</w:t>
          </w:r>
        </w:p>
      </w:tc>
    </w:tr>
    <w:tr w:rsidR="00EA1F2C" w:rsidTr="00C60F09">
      <w:trPr>
        <w:trHeight w:val="242"/>
      </w:trPr>
      <w:tc>
        <w:tcPr>
          <w:tcW w:w="2977" w:type="dxa"/>
          <w:vAlign w:val="center"/>
        </w:tcPr>
        <w:p w:rsidR="00EA1F2C" w:rsidRPr="00A7678E" w:rsidRDefault="00EA1F2C" w:rsidP="00A7678E">
          <w:pPr>
            <w:jc w:val="right"/>
            <w:rPr>
              <w:rFonts w:ascii="Palatino Linotype" w:eastAsia="Palatino Linotype" w:hAnsi="Palatino Linotype" w:cs="Palatino Linotype"/>
              <w:b/>
              <w:bCs/>
            </w:rPr>
          </w:pPr>
          <w:r w:rsidRPr="00A7678E">
            <w:rPr>
              <w:rFonts w:ascii="Palatino Linotype" w:eastAsia="Palatino Linotype" w:hAnsi="Palatino Linotype" w:cs="Palatino Linotype"/>
              <w:b/>
              <w:bCs/>
            </w:rPr>
            <w:t>Recurrente:</w:t>
          </w:r>
        </w:p>
      </w:tc>
      <w:tc>
        <w:tcPr>
          <w:tcW w:w="3683" w:type="dxa"/>
        </w:tcPr>
        <w:p w:rsidR="00EA1F2C" w:rsidRPr="00A7678E" w:rsidRDefault="00242B8F" w:rsidP="00A7678E">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XXXX</w:t>
          </w:r>
        </w:p>
      </w:tc>
    </w:tr>
    <w:tr w:rsidR="00EA1F2C" w:rsidTr="00C60F09">
      <w:trPr>
        <w:trHeight w:val="342"/>
      </w:trPr>
      <w:tc>
        <w:tcPr>
          <w:tcW w:w="2977" w:type="dxa"/>
          <w:vAlign w:val="center"/>
        </w:tcPr>
        <w:p w:rsidR="00EA1F2C" w:rsidRPr="00A7678E" w:rsidRDefault="00EA1F2C" w:rsidP="00A7678E">
          <w:pPr>
            <w:jc w:val="right"/>
            <w:rPr>
              <w:rFonts w:ascii="Palatino Linotype" w:eastAsia="Palatino Linotype" w:hAnsi="Palatino Linotype" w:cs="Palatino Linotype"/>
              <w:b/>
              <w:bCs/>
            </w:rPr>
          </w:pPr>
          <w:r w:rsidRPr="00A7678E">
            <w:rPr>
              <w:rFonts w:ascii="Palatino Linotype" w:eastAsia="Palatino Linotype" w:hAnsi="Palatino Linotype" w:cs="Palatino Linotype"/>
              <w:b/>
              <w:bCs/>
            </w:rPr>
            <w:t>Sujeto Obligado:</w:t>
          </w:r>
        </w:p>
      </w:tc>
      <w:tc>
        <w:tcPr>
          <w:tcW w:w="3683" w:type="dxa"/>
          <w:vAlign w:val="center"/>
        </w:tcPr>
        <w:p w:rsidR="00EA1F2C" w:rsidRPr="00A7678E" w:rsidRDefault="00EA1F2C" w:rsidP="00A7678E">
          <w:pPr>
            <w:pBdr>
              <w:top w:val="nil"/>
              <w:left w:val="nil"/>
              <w:bottom w:val="nil"/>
              <w:right w:val="nil"/>
              <w:between w:val="nil"/>
            </w:pBdr>
            <w:tabs>
              <w:tab w:val="center" w:pos="4419"/>
              <w:tab w:val="right" w:pos="8838"/>
            </w:tabs>
            <w:jc w:val="both"/>
            <w:rPr>
              <w:rFonts w:ascii="Palatino Linotype" w:eastAsia="Palatino Linotype" w:hAnsi="Palatino Linotype" w:cs="Palatino Linotype"/>
              <w:bCs/>
              <w:color w:val="000000"/>
            </w:rPr>
          </w:pPr>
          <w:r w:rsidRPr="00A7678E">
            <w:rPr>
              <w:rFonts w:ascii="Palatino Linotype" w:eastAsia="Palatino Linotype" w:hAnsi="Palatino Linotype" w:cs="Palatino Linotype"/>
              <w:bCs/>
              <w:color w:val="000000"/>
            </w:rPr>
            <w:t>Secretaría de la Contraloría</w:t>
          </w:r>
        </w:p>
      </w:tc>
    </w:tr>
    <w:tr w:rsidR="00EA1F2C" w:rsidTr="00C60F09">
      <w:trPr>
        <w:trHeight w:val="342"/>
      </w:trPr>
      <w:tc>
        <w:tcPr>
          <w:tcW w:w="2977" w:type="dxa"/>
          <w:vAlign w:val="center"/>
        </w:tcPr>
        <w:p w:rsidR="00EA1F2C" w:rsidRPr="00A7678E" w:rsidRDefault="00EA1F2C" w:rsidP="00A7678E">
          <w:pPr>
            <w:jc w:val="right"/>
            <w:rPr>
              <w:rFonts w:ascii="Palatino Linotype" w:eastAsia="Palatino Linotype" w:hAnsi="Palatino Linotype" w:cs="Palatino Linotype"/>
              <w:b/>
              <w:bCs/>
            </w:rPr>
          </w:pPr>
          <w:r w:rsidRPr="00A7678E">
            <w:rPr>
              <w:rFonts w:ascii="Palatino Linotype" w:eastAsia="Palatino Linotype" w:hAnsi="Palatino Linotype" w:cs="Palatino Linotype"/>
              <w:b/>
              <w:bCs/>
            </w:rPr>
            <w:t>Comisionada Ponente:</w:t>
          </w:r>
        </w:p>
      </w:tc>
      <w:tc>
        <w:tcPr>
          <w:tcW w:w="3683" w:type="dxa"/>
          <w:vAlign w:val="center"/>
        </w:tcPr>
        <w:p w:rsidR="00EA1F2C" w:rsidRPr="00A7678E" w:rsidRDefault="00EA1F2C" w:rsidP="00A7678E">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A7678E">
            <w:rPr>
              <w:rFonts w:ascii="Palatino Linotype" w:eastAsia="Palatino Linotype" w:hAnsi="Palatino Linotype" w:cs="Palatino Linotype"/>
              <w:bCs/>
              <w:color w:val="000000"/>
            </w:rPr>
            <w:t>María del Rosario Mejía Ayala</w:t>
          </w:r>
        </w:p>
      </w:tc>
    </w:tr>
  </w:tbl>
  <w:p w:rsidR="00EA1F2C" w:rsidRDefault="00437829">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2.3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46C77"/>
    <w:multiLevelType w:val="multilevel"/>
    <w:tmpl w:val="D326077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F06EA2"/>
    <w:multiLevelType w:val="multilevel"/>
    <w:tmpl w:val="194247A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DE6036"/>
    <w:multiLevelType w:val="hybridMultilevel"/>
    <w:tmpl w:val="28966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0467340"/>
    <w:multiLevelType w:val="multilevel"/>
    <w:tmpl w:val="57C6C32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724E5872"/>
    <w:multiLevelType w:val="multilevel"/>
    <w:tmpl w:val="9AF4FD02"/>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5" w15:restartNumberingAfterBreak="0">
    <w:nsid w:val="786802CA"/>
    <w:multiLevelType w:val="multilevel"/>
    <w:tmpl w:val="58BC7DFA"/>
    <w:lvl w:ilvl="0">
      <w:start w:val="1"/>
      <w:numFmt w:val="decimal"/>
      <w:pStyle w:val="Listaconvietas3"/>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629"/>
    <w:rsid w:val="00063843"/>
    <w:rsid w:val="001D14B0"/>
    <w:rsid w:val="00242B8F"/>
    <w:rsid w:val="00276F15"/>
    <w:rsid w:val="00437829"/>
    <w:rsid w:val="00627A8C"/>
    <w:rsid w:val="00655B41"/>
    <w:rsid w:val="00716629"/>
    <w:rsid w:val="00A7678E"/>
    <w:rsid w:val="00B12D90"/>
    <w:rsid w:val="00C60F09"/>
    <w:rsid w:val="00EA1F2C"/>
    <w:rsid w:val="00EC0BEB"/>
    <w:rsid w:val="00F16E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9E85B25-12AF-4DEB-9733-84C75783E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40"/>
      <w:outlineLvl w:val="2"/>
    </w:pPr>
    <w:rPr>
      <w:color w:val="1F3863"/>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Fundamentos"/>
    <w:link w:val="SinespaciadoCar"/>
    <w:uiPriority w:val="1"/>
    <w:qFormat/>
    <w:rsid w:val="00B90932"/>
  </w:style>
  <w:style w:type="character" w:customStyle="1" w:styleId="SinespaciadoCar">
    <w:name w:val="Sin espaciado Car"/>
    <w:aliases w:val="Francesa Car,INAI Car,Fundamentos Car"/>
    <w:link w:val="Sinespaciado"/>
    <w:uiPriority w:val="1"/>
    <w:qFormat/>
    <w:locked/>
    <w:rsid w:val="00B90932"/>
  </w:style>
  <w:style w:type="paragraph" w:customStyle="1" w:styleId="Default">
    <w:name w:val="Default"/>
    <w:qFormat/>
    <w:rsid w:val="008809BF"/>
    <w:pPr>
      <w:autoSpaceDE w:val="0"/>
      <w:autoSpaceDN w:val="0"/>
      <w:adjustRightInd w:val="0"/>
    </w:pPr>
    <w:rPr>
      <w:rFonts w:ascii="Arial" w:hAnsi="Arial" w:cs="Arial"/>
      <w:color w:val="000000"/>
    </w:rPr>
  </w:style>
  <w:style w:type="paragraph" w:styleId="Textoindependiente">
    <w:name w:val="Body Text"/>
    <w:basedOn w:val="Normal"/>
    <w:link w:val="TextoindependienteCar"/>
    <w:rsid w:val="00186EC3"/>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186EC3"/>
    <w:rPr>
      <w:rFonts w:ascii="Arial" w:eastAsia="Times New Roman" w:hAnsi="Arial" w:cs="Times New Roman"/>
      <w:sz w:val="24"/>
      <w:szCs w:val="20"/>
      <w:lang w:eastAsia="es-ES_tradnl"/>
    </w:rPr>
  </w:style>
  <w:style w:type="character" w:customStyle="1" w:styleId="Ttulo3Car">
    <w:name w:val="Título 3 Car"/>
    <w:basedOn w:val="Fuentedeprrafopredeter"/>
    <w:uiPriority w:val="9"/>
    <w:rsid w:val="00826670"/>
    <w:rPr>
      <w:rFonts w:asciiTheme="majorHAnsi" w:eastAsiaTheme="majorEastAsia" w:hAnsiTheme="majorHAnsi" w:cstheme="majorBidi"/>
      <w:color w:val="1F3763" w:themeColor="accent1" w:themeShade="7F"/>
      <w:sz w:val="24"/>
      <w:szCs w:val="24"/>
      <w:lang w:val="es-ES_tradnl" w:eastAsia="es-ES"/>
    </w:rPr>
  </w:style>
  <w:style w:type="paragraph" w:customStyle="1" w:styleId="j">
    <w:name w:val="j"/>
    <w:basedOn w:val="Normal"/>
    <w:rsid w:val="00826670"/>
    <w:pPr>
      <w:spacing w:before="100" w:beforeAutospacing="1" w:after="100" w:afterAutospacing="1"/>
    </w:pPr>
    <w:rPr>
      <w:rFonts w:ascii="Times New Roman" w:eastAsia="Times New Roman" w:hAnsi="Times New Roman" w:cs="Times New Roman"/>
      <w:lang w:val="es-MX"/>
    </w:rPr>
  </w:style>
  <w:style w:type="paragraph" w:customStyle="1" w:styleId="francesa">
    <w:name w:val="francesa"/>
    <w:basedOn w:val="Normal"/>
    <w:rsid w:val="00826670"/>
    <w:pPr>
      <w:spacing w:before="100" w:beforeAutospacing="1" w:after="100" w:afterAutospacing="1"/>
    </w:pPr>
    <w:rPr>
      <w:rFonts w:ascii="Times New Roman" w:eastAsia="Times New Roman" w:hAnsi="Times New Roman" w:cs="Times New Roman"/>
      <w:lang w:val="es-MX"/>
    </w:rPr>
  </w:style>
  <w:style w:type="character" w:customStyle="1" w:styleId="charoverride-2">
    <w:name w:val="charoverride-2"/>
    <w:basedOn w:val="Fuentedeprrafopredeter"/>
    <w:rsid w:val="00826670"/>
  </w:style>
  <w:style w:type="character" w:customStyle="1" w:styleId="charoverride-1">
    <w:name w:val="charoverride-1"/>
    <w:basedOn w:val="Fuentedeprrafopredeter"/>
    <w:rsid w:val="00826670"/>
  </w:style>
  <w:style w:type="paragraph" w:styleId="Listaconvietas3">
    <w:name w:val="List Bullet 3"/>
    <w:basedOn w:val="Normal"/>
    <w:uiPriority w:val="99"/>
    <w:unhideWhenUsed/>
    <w:rsid w:val="005301E3"/>
    <w:pPr>
      <w:numPr>
        <w:numId w:val="2"/>
      </w:numPr>
      <w:contextualSpacing/>
    </w:pPr>
    <w:rPr>
      <w:rFonts w:ascii="Times New Roman" w:eastAsia="Times New Roman" w:hAnsi="Times New Roman" w:cs="Times New Roman"/>
      <w:lang w:val="es-MX"/>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styleId="Tablaconcuadrcula">
    <w:name w:val="Table Grid"/>
    <w:basedOn w:val="Tablanormal"/>
    <w:uiPriority w:val="39"/>
    <w:rsid w:val="001F3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26705.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SrpfFyA7TsH7UdIq7mzDc670sQ==">CgMxLjAyDmguZ2JsdnZidGJ5aWU1Mg5oLmE0eXFjYmJkODgxMTINaC50Y2RmMmF4MmYyejIOaC5ldWtxdXEzMmRqZ3EyDmguZHlmODF1cDkwNmhpMg5oLmR0YWx6OXZ1Z3BtNjIOaC40NjBiNzNvZ2Vvd2YyDmguNWV5ZHhnbzkzaTlyMg5oLjE5emQ0eHdodXNtaDIIaC50eWpjd3Q4AHIhMTdMUGd2MW0zdEN2ZGVVRkJlMG95ZWVZTkU3VXNwby1x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4356</Words>
  <Characters>23963</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Cuenta Microsoft</cp:lastModifiedBy>
  <cp:revision>6</cp:revision>
  <dcterms:created xsi:type="dcterms:W3CDTF">2025-11-21T16:25:00Z</dcterms:created>
  <dcterms:modified xsi:type="dcterms:W3CDTF">2025-12-04T23:54:00Z</dcterms:modified>
</cp:coreProperties>
</file>