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BD3" w:rsidRDefault="00A83BD3">
      <w:pPr>
        <w:widowControl w:val="0"/>
        <w:pBdr>
          <w:top w:val="nil"/>
          <w:left w:val="nil"/>
          <w:bottom w:val="nil"/>
          <w:right w:val="nil"/>
          <w:between w:val="nil"/>
        </w:pBdr>
        <w:spacing w:line="276" w:lineRule="auto"/>
      </w:pPr>
    </w:p>
    <w:p w:rsidR="00A83BD3" w:rsidRPr="00613C53" w:rsidRDefault="00F41D15">
      <w:pPr>
        <w:spacing w:line="360" w:lineRule="auto"/>
        <w:ind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w:t>
      </w:r>
      <w:r w:rsidR="00A61255" w:rsidRPr="00613C53">
        <w:rPr>
          <w:rFonts w:ascii="Palatino Linotype" w:eastAsia="Palatino Linotype" w:hAnsi="Palatino Linotype" w:cs="Palatino Linotype"/>
        </w:rPr>
        <w:t>veintinueve</w:t>
      </w:r>
      <w:r w:rsidRPr="00613C53">
        <w:rPr>
          <w:rFonts w:ascii="Palatino Linotype" w:eastAsia="Palatino Linotype" w:hAnsi="Palatino Linotype" w:cs="Palatino Linotype"/>
        </w:rPr>
        <w:t xml:space="preserve"> (29) de enero de dos mil veinticinco</w:t>
      </w:r>
      <w:r w:rsidRPr="00613C53">
        <w:rPr>
          <w:rFonts w:ascii="Palatino Linotype" w:eastAsia="Palatino Linotype" w:hAnsi="Palatino Linotype" w:cs="Palatino Linotype"/>
          <w:color w:val="000000"/>
        </w:rPr>
        <w:t>.</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spacing w:line="360" w:lineRule="auto"/>
        <w:ind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b/>
          <w:color w:val="000000"/>
        </w:rPr>
        <w:t>VISTO</w:t>
      </w:r>
      <w:r w:rsidRPr="00613C53">
        <w:rPr>
          <w:rFonts w:ascii="Palatino Linotype" w:eastAsia="Palatino Linotype" w:hAnsi="Palatino Linotype" w:cs="Palatino Linotype"/>
          <w:color w:val="000000"/>
        </w:rPr>
        <w:t xml:space="preserve"> el expediente electrónico formado con motivo del recurso de revisión </w:t>
      </w:r>
      <w:r w:rsidRPr="00613C53">
        <w:rPr>
          <w:rFonts w:ascii="Palatino Linotype" w:eastAsia="Palatino Linotype" w:hAnsi="Palatino Linotype" w:cs="Palatino Linotype"/>
          <w:b/>
          <w:color w:val="000000"/>
        </w:rPr>
        <w:t>00833/INFOEM/IP/RR/2024</w:t>
      </w:r>
      <w:r w:rsidRPr="00613C53">
        <w:rPr>
          <w:rFonts w:ascii="Palatino Linotype" w:eastAsia="Palatino Linotype" w:hAnsi="Palatino Linotype" w:cs="Palatino Linotype"/>
          <w:color w:val="000000"/>
        </w:rPr>
        <w:t>, promovido por</w:t>
      </w:r>
      <w:r w:rsidRPr="00613C53">
        <w:rPr>
          <w:rFonts w:ascii="Palatino Linotype" w:eastAsia="Palatino Linotype" w:hAnsi="Palatino Linotype" w:cs="Palatino Linotype"/>
          <w:b/>
          <w:color w:val="000000"/>
        </w:rPr>
        <w:t xml:space="preserve"> </w:t>
      </w:r>
      <w:r w:rsidR="00931477" w:rsidRPr="00613C53">
        <w:rPr>
          <w:rFonts w:ascii="Palatino Linotype" w:eastAsia="Palatino Linotype" w:hAnsi="Palatino Linotype" w:cs="Palatino Linotype"/>
          <w:sz w:val="22"/>
          <w:szCs w:val="22"/>
        </w:rPr>
        <w:t>XXXXXXXXXX</w:t>
      </w:r>
      <w:r w:rsidRPr="00613C53">
        <w:rPr>
          <w:rFonts w:ascii="Palatino Linotype" w:eastAsia="Palatino Linotype" w:hAnsi="Palatino Linotype" w:cs="Palatino Linotype"/>
          <w:b/>
          <w:color w:val="000000"/>
        </w:rPr>
        <w:t>,</w:t>
      </w:r>
      <w:r w:rsidRPr="00613C53">
        <w:rPr>
          <w:rFonts w:ascii="Palatino Linotype" w:eastAsia="Palatino Linotype" w:hAnsi="Palatino Linotype" w:cs="Palatino Linotype"/>
          <w:color w:val="000000"/>
        </w:rPr>
        <w:t xml:space="preserve"> a quien en lo sucesivo se le identificará como </w:t>
      </w:r>
      <w:r w:rsidRPr="00613C53">
        <w:rPr>
          <w:rFonts w:ascii="Palatino Linotype" w:eastAsia="Palatino Linotype" w:hAnsi="Palatino Linotype" w:cs="Palatino Linotype"/>
          <w:b/>
          <w:color w:val="000000"/>
        </w:rPr>
        <w:t>EL RECURRENTE</w:t>
      </w:r>
      <w:r w:rsidRPr="00613C53">
        <w:rPr>
          <w:rFonts w:ascii="Palatino Linotype" w:eastAsia="Palatino Linotype" w:hAnsi="Palatino Linotype" w:cs="Palatino Linotype"/>
        </w:rPr>
        <w:t>,</w:t>
      </w:r>
      <w:r w:rsidRPr="00613C53">
        <w:rPr>
          <w:rFonts w:ascii="Palatino Linotype" w:eastAsia="Palatino Linotype" w:hAnsi="Palatino Linotype" w:cs="Palatino Linotype"/>
          <w:color w:val="000000"/>
        </w:rPr>
        <w:t xml:space="preserve"> en contra de la respuesta del </w:t>
      </w:r>
      <w:r w:rsidRPr="00613C53">
        <w:rPr>
          <w:rFonts w:ascii="Palatino Linotype" w:eastAsia="Palatino Linotype" w:hAnsi="Palatino Linotype" w:cs="Palatino Linotype"/>
          <w:b/>
          <w:color w:val="000000"/>
        </w:rPr>
        <w:t xml:space="preserve">Ayuntamiento de </w:t>
      </w:r>
      <w:proofErr w:type="spellStart"/>
      <w:r w:rsidRPr="00613C53">
        <w:rPr>
          <w:rFonts w:ascii="Palatino Linotype" w:eastAsia="Palatino Linotype" w:hAnsi="Palatino Linotype" w:cs="Palatino Linotype"/>
          <w:b/>
          <w:color w:val="000000"/>
        </w:rPr>
        <w:t>Xonacatlán</w:t>
      </w:r>
      <w:proofErr w:type="spellEnd"/>
      <w:r w:rsidRPr="00613C53">
        <w:rPr>
          <w:rFonts w:ascii="Palatino Linotype" w:eastAsia="Palatino Linotype" w:hAnsi="Palatino Linotype" w:cs="Palatino Linotype"/>
          <w:color w:val="000000"/>
        </w:rPr>
        <w:t>, en adelante el</w:t>
      </w:r>
      <w:r w:rsidRPr="00613C53">
        <w:rPr>
          <w:rFonts w:ascii="Palatino Linotype" w:eastAsia="Palatino Linotype" w:hAnsi="Palatino Linotype" w:cs="Palatino Linotype"/>
          <w:b/>
          <w:color w:val="000000"/>
        </w:rPr>
        <w:t xml:space="preserve"> SUJETO OBLIGADO</w:t>
      </w:r>
      <w:r w:rsidRPr="00613C53">
        <w:rPr>
          <w:rFonts w:ascii="Palatino Linotype" w:eastAsia="Palatino Linotype" w:hAnsi="Palatino Linotype" w:cs="Palatino Linotype"/>
          <w:color w:val="000000"/>
        </w:rPr>
        <w:t>,</w:t>
      </w:r>
      <w:r w:rsidRPr="00613C53">
        <w:rPr>
          <w:rFonts w:ascii="Palatino Linotype" w:eastAsia="Palatino Linotype" w:hAnsi="Palatino Linotype" w:cs="Palatino Linotype"/>
          <w:b/>
          <w:color w:val="000000"/>
        </w:rPr>
        <w:t xml:space="preserve"> </w:t>
      </w:r>
      <w:r w:rsidRPr="00613C53">
        <w:rPr>
          <w:rFonts w:ascii="Palatino Linotype" w:eastAsia="Palatino Linotype" w:hAnsi="Palatino Linotype" w:cs="Palatino Linotype"/>
          <w:color w:val="000000"/>
        </w:rPr>
        <w:t>se procede a dictar la presente resolución, con base en los siguientes:</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pBdr>
          <w:top w:val="nil"/>
          <w:left w:val="nil"/>
          <w:bottom w:val="nil"/>
          <w:right w:val="nil"/>
          <w:between w:val="nil"/>
        </w:pBdr>
        <w:spacing w:line="360" w:lineRule="auto"/>
        <w:ind w:right="-646"/>
        <w:jc w:val="center"/>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A N T E C E D E N T E S</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El treinta y uno de enero de dos mil veinticuatro, </w:t>
      </w:r>
      <w:r w:rsidRPr="00613C53">
        <w:rPr>
          <w:rFonts w:ascii="Palatino Linotype" w:eastAsia="Palatino Linotype" w:hAnsi="Palatino Linotype" w:cs="Palatino Linotype"/>
          <w:b/>
          <w:color w:val="000000"/>
        </w:rPr>
        <w:t>EL RECURRENTE</w:t>
      </w:r>
      <w:r w:rsidRPr="00613C53">
        <w:rPr>
          <w:rFonts w:ascii="Palatino Linotype" w:eastAsia="Palatino Linotype" w:hAnsi="Palatino Linotype" w:cs="Palatino Linotype"/>
          <w:color w:val="000000"/>
        </w:rPr>
        <w:t xml:space="preserve"> presentó, ante el </w:t>
      </w:r>
      <w:r w:rsidRPr="00613C53">
        <w:rPr>
          <w:rFonts w:ascii="Palatino Linotype" w:eastAsia="Palatino Linotype" w:hAnsi="Palatino Linotype" w:cs="Palatino Linotype"/>
          <w:b/>
          <w:color w:val="000000"/>
        </w:rPr>
        <w:t>SUJETO OBLIGADO</w:t>
      </w:r>
      <w:r w:rsidRPr="00613C53">
        <w:rPr>
          <w:rFonts w:ascii="Palatino Linotype" w:eastAsia="Palatino Linotype" w:hAnsi="Palatino Linotype" w:cs="Palatino Linotype"/>
          <w:color w:val="000000"/>
        </w:rPr>
        <w:t xml:space="preserve"> vía sistema de solicitudes de acceso a la información de la PNT, la solicitud de información pública registrada con el número </w:t>
      </w:r>
      <w:r w:rsidRPr="00613C53">
        <w:rPr>
          <w:rFonts w:ascii="Palatino Linotype" w:eastAsia="Palatino Linotype" w:hAnsi="Palatino Linotype" w:cs="Palatino Linotype"/>
          <w:b/>
          <w:color w:val="000000"/>
        </w:rPr>
        <w:t xml:space="preserve">00010/XONACAT/IP/2024, </w:t>
      </w:r>
      <w:r w:rsidRPr="00613C53">
        <w:rPr>
          <w:rFonts w:ascii="Palatino Linotype" w:eastAsia="Palatino Linotype" w:hAnsi="Palatino Linotype" w:cs="Palatino Linotype"/>
        </w:rPr>
        <w:t xml:space="preserve">en la que se </w:t>
      </w:r>
      <w:r w:rsidRPr="00613C53">
        <w:rPr>
          <w:rFonts w:ascii="Palatino Linotype" w:eastAsia="Palatino Linotype" w:hAnsi="Palatino Linotype" w:cs="Palatino Linotype"/>
          <w:color w:val="000000"/>
        </w:rPr>
        <w:t>solicitó lo siguiente:</w:t>
      </w:r>
      <w:r w:rsidRPr="00613C53">
        <w:rPr>
          <w:rFonts w:ascii="Palatino Linotype" w:eastAsia="Palatino Linotype" w:hAnsi="Palatino Linotype" w:cs="Palatino Linotype"/>
          <w:b/>
          <w:color w:val="000000"/>
        </w:rPr>
        <w:t xml:space="preserve"> </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spacing w:line="360" w:lineRule="auto"/>
        <w:ind w:left="426" w:right="-646"/>
        <w:jc w:val="both"/>
        <w:rPr>
          <w:rFonts w:ascii="Palatino Linotype" w:eastAsia="Palatino Linotype" w:hAnsi="Palatino Linotype" w:cs="Palatino Linotype"/>
          <w:i/>
          <w:color w:val="000000"/>
        </w:rPr>
      </w:pPr>
      <w:r w:rsidRPr="00613C53">
        <w:rPr>
          <w:rFonts w:ascii="Palatino Linotype" w:eastAsia="Palatino Linotype" w:hAnsi="Palatino Linotype" w:cs="Palatino Linotype"/>
          <w:i/>
          <w:color w:val="000000"/>
        </w:rPr>
        <w:t xml:space="preserve">1. Solícito conocer el número de policías municipales con el que cuenta el ayuntamiento, clasificado por áreas o departamentos. 2. El sueldo bruto y neto que reciben los policías según su categoría, así como un histórico del sueldo que ha recibido desde 2022 y en caso de que se contemple un aumento salarial, especificar el monto y él recuso con el que se estará pagando. 3. El gasto que ejerció el municipio en el periodo fiscal 2022 y 2023 para el pago de equipamiento </w:t>
      </w:r>
      <w:r w:rsidRPr="00613C53">
        <w:rPr>
          <w:rFonts w:ascii="Palatino Linotype" w:eastAsia="Palatino Linotype" w:hAnsi="Palatino Linotype" w:cs="Palatino Linotype"/>
          <w:i/>
          <w:color w:val="000000"/>
        </w:rPr>
        <w:lastRenderedPageBreak/>
        <w:t>policial, armamento, pago de patrullas (ya sea adquisición o renta), capacitación policial, desglosado por concepto de pago y especificar el número de policías beneficiados. "Ejemplo: Armamento: $25,000, con el que se benefició a 3 policías. "Uniformes: $54,000, que benefició a 2 policías" 4. El gasto que ejercerá el municipio en el periodo fiscal 2024 para el pago de equipamiento policial, armamento, pago de patrullas (ya sea adquisición o renta), capacitación policial, desglosado por concepto de pago y especificar el número de policías beneficiados. "Ejemplo: Armamento: $25,000, con el que se benefició a 3 policías. "Uniformes: $54,000, que benefició a 2 policías" 5. Las incidencias delictivas presentadas en el municipio en los años 2022 y 2023 por histórico mensual de los siguientes delitos: abuso sexual, acoso sexual, homicidio culposo, homicidio doloso, lesiones, narcomenudeo, robo con violencia, robo sin violencia, robo a casa habitación, robo a negocio, robo de vehículos, secuestro, violación, violencia de género, violencia familiar. 6. El número de elementos incluidos en la Licencia Oficial Colectiva al corte de octubre de 2023, así mismo el número de elementos programados para ser incluidos durante el 2024 en la LOC. 7. Respecto a la carrera policial, el número de elementos que cuentan con Certificado Único Policial, así mismo el número de elementos que tienen el curso de formación inicial, el número de elementos que tienen el curso de competencias básicas y la última fecha en la que se realizó evaluación de desempeño, en este rubro solicito que se informe el promedio general de las evaluaciones en la corporación. 8. ¿Cuántos elementos estarán programados para acudir al curso de competencias básicas y formación inicial en el año 2024?</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Señaló como modalidad de entrega de la información a través </w:t>
      </w:r>
      <w:r w:rsidRPr="00613C53">
        <w:rPr>
          <w:rFonts w:ascii="Palatino Linotype" w:eastAsia="Palatino Linotype" w:hAnsi="Palatino Linotype" w:cs="Palatino Linotype"/>
        </w:rPr>
        <w:t>del Sistema</w:t>
      </w:r>
      <w:r w:rsidRPr="00613C53">
        <w:rPr>
          <w:rFonts w:ascii="Palatino Linotype" w:eastAsia="Palatino Linotype" w:hAnsi="Palatino Linotype" w:cs="Palatino Linotype"/>
          <w:color w:val="000000"/>
        </w:rPr>
        <w:t xml:space="preserve"> De Solicitudes de Acceso a la Información de la PNT, vinculada al Sistema de Acceso a la Información Mexiquense (SAIMEX).</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El Sujeto Obligado, el doce de febrero de dos mil veinticuatro,  el Sujeto Obligado dio respuesta a las solicitudes de acceso a la información en los siguientes términos:</w:t>
      </w:r>
    </w:p>
    <w:tbl>
      <w:tblPr>
        <w:tblStyle w:val="a0"/>
        <w:tblW w:w="10500" w:type="dxa"/>
        <w:jc w:val="center"/>
        <w:tblInd w:w="0" w:type="dxa"/>
        <w:tblLayout w:type="fixed"/>
        <w:tblLook w:val="0400" w:firstRow="0" w:lastRow="0" w:firstColumn="0" w:lastColumn="0" w:noHBand="0" w:noVBand="1"/>
      </w:tblPr>
      <w:tblGrid>
        <w:gridCol w:w="10500"/>
      </w:tblGrid>
      <w:tr w:rsidR="00A83BD3" w:rsidRPr="00613C53">
        <w:trPr>
          <w:trHeight w:val="150"/>
          <w:jc w:val="center"/>
        </w:trPr>
        <w:tc>
          <w:tcPr>
            <w:tcW w:w="10500" w:type="dxa"/>
            <w:vAlign w:val="center"/>
          </w:tcPr>
          <w:p w:rsidR="00A83BD3" w:rsidRPr="00613C53" w:rsidRDefault="00A83BD3">
            <w:pPr>
              <w:spacing w:line="360" w:lineRule="auto"/>
              <w:ind w:right="-646"/>
              <w:rPr>
                <w:rFonts w:ascii="Palatino Linotype" w:eastAsia="Palatino Linotype" w:hAnsi="Palatino Linotype" w:cs="Palatino Linotype"/>
              </w:rPr>
            </w:pPr>
          </w:p>
        </w:tc>
      </w:tr>
      <w:tr w:rsidR="00A83BD3" w:rsidRPr="00613C53">
        <w:trPr>
          <w:trHeight w:val="450"/>
          <w:jc w:val="center"/>
        </w:trPr>
        <w:tc>
          <w:tcPr>
            <w:tcW w:w="10500" w:type="dxa"/>
            <w:vAlign w:val="center"/>
          </w:tcPr>
          <w:p w:rsidR="00A83BD3" w:rsidRPr="00613C53" w:rsidRDefault="00A83BD3">
            <w:pPr>
              <w:spacing w:line="360" w:lineRule="auto"/>
              <w:ind w:right="153"/>
              <w:rPr>
                <w:rFonts w:ascii="Palatino Linotype" w:eastAsia="Palatino Linotype" w:hAnsi="Palatino Linotype" w:cs="Palatino Linotype"/>
                <w:sz w:val="22"/>
                <w:szCs w:val="22"/>
              </w:rPr>
            </w:pPr>
          </w:p>
        </w:tc>
      </w:tr>
      <w:tr w:rsidR="00A83BD3" w:rsidRPr="00613C53">
        <w:trPr>
          <w:trHeight w:val="300"/>
          <w:jc w:val="center"/>
        </w:trPr>
        <w:tc>
          <w:tcPr>
            <w:tcW w:w="10500" w:type="dxa"/>
            <w:vAlign w:val="center"/>
          </w:tcPr>
          <w:p w:rsidR="00A83BD3" w:rsidRPr="00613C53" w:rsidRDefault="00F41D15">
            <w:pPr>
              <w:spacing w:line="360" w:lineRule="auto"/>
              <w:ind w:left="1985" w:right="153"/>
              <w:jc w:val="right"/>
              <w:rPr>
                <w:rFonts w:ascii="Palatino Linotype" w:eastAsia="Palatino Linotype" w:hAnsi="Palatino Linotype" w:cs="Palatino Linotype"/>
                <w:i/>
                <w:sz w:val="22"/>
                <w:szCs w:val="22"/>
              </w:rPr>
            </w:pPr>
            <w:proofErr w:type="spellStart"/>
            <w:r w:rsidRPr="00613C53">
              <w:rPr>
                <w:rFonts w:ascii="Palatino Linotype" w:eastAsia="Palatino Linotype" w:hAnsi="Palatino Linotype" w:cs="Palatino Linotype"/>
                <w:i/>
                <w:sz w:val="22"/>
                <w:szCs w:val="22"/>
              </w:rPr>
              <w:t>Xonacatlán</w:t>
            </w:r>
            <w:proofErr w:type="spellEnd"/>
            <w:r w:rsidRPr="00613C53">
              <w:rPr>
                <w:rFonts w:ascii="Palatino Linotype" w:eastAsia="Palatino Linotype" w:hAnsi="Palatino Linotype" w:cs="Palatino Linotype"/>
                <w:i/>
                <w:sz w:val="22"/>
                <w:szCs w:val="22"/>
              </w:rPr>
              <w:t>, México a 12 de Febrero de 2024</w:t>
            </w:r>
          </w:p>
        </w:tc>
      </w:tr>
      <w:tr w:rsidR="00A83BD3" w:rsidRPr="00613C53">
        <w:trPr>
          <w:trHeight w:val="300"/>
          <w:jc w:val="center"/>
        </w:trPr>
        <w:tc>
          <w:tcPr>
            <w:tcW w:w="10500" w:type="dxa"/>
            <w:vAlign w:val="center"/>
          </w:tcPr>
          <w:p w:rsidR="00A83BD3" w:rsidRPr="00613C53" w:rsidRDefault="00F41D15">
            <w:pPr>
              <w:spacing w:line="360" w:lineRule="auto"/>
              <w:ind w:left="1985" w:right="153"/>
              <w:jc w:val="right"/>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Nombre del solicitante:</w:t>
            </w:r>
          </w:p>
        </w:tc>
      </w:tr>
      <w:tr w:rsidR="00A83BD3" w:rsidRPr="00613C53">
        <w:trPr>
          <w:trHeight w:val="300"/>
          <w:jc w:val="center"/>
        </w:trPr>
        <w:tc>
          <w:tcPr>
            <w:tcW w:w="10500" w:type="dxa"/>
            <w:vAlign w:val="center"/>
          </w:tcPr>
          <w:p w:rsidR="00A83BD3" w:rsidRPr="00613C53" w:rsidRDefault="00F41D15">
            <w:pPr>
              <w:spacing w:line="360" w:lineRule="auto"/>
              <w:ind w:left="1985" w:right="153"/>
              <w:jc w:val="right"/>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Folio de la solicitud: 00010/XONACAT/IP/2024</w:t>
            </w:r>
          </w:p>
        </w:tc>
      </w:tr>
      <w:tr w:rsidR="00A83BD3" w:rsidRPr="00613C53">
        <w:trPr>
          <w:trHeight w:val="450"/>
          <w:jc w:val="center"/>
        </w:trPr>
        <w:tc>
          <w:tcPr>
            <w:tcW w:w="10500" w:type="dxa"/>
            <w:vAlign w:val="center"/>
          </w:tcPr>
          <w:p w:rsidR="00A83BD3" w:rsidRPr="00613C53" w:rsidRDefault="00A83BD3">
            <w:pPr>
              <w:spacing w:line="360" w:lineRule="auto"/>
              <w:ind w:left="1985" w:right="153"/>
              <w:jc w:val="both"/>
              <w:rPr>
                <w:rFonts w:ascii="Palatino Linotype" w:eastAsia="Palatino Linotype" w:hAnsi="Palatino Linotype" w:cs="Palatino Linotype"/>
                <w:i/>
                <w:sz w:val="22"/>
                <w:szCs w:val="22"/>
              </w:rPr>
            </w:pPr>
          </w:p>
        </w:tc>
      </w:tr>
      <w:tr w:rsidR="00A83BD3" w:rsidRPr="00613C53">
        <w:trPr>
          <w:trHeight w:val="150"/>
          <w:jc w:val="center"/>
        </w:trPr>
        <w:tc>
          <w:tcPr>
            <w:tcW w:w="10500" w:type="dxa"/>
            <w:vAlign w:val="center"/>
          </w:tcPr>
          <w:p w:rsidR="00A83BD3" w:rsidRPr="00613C53" w:rsidRDefault="00F41D15">
            <w:pPr>
              <w:spacing w:line="360" w:lineRule="auto"/>
              <w:ind w:left="1985" w:right="153"/>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83BD3" w:rsidRPr="00613C53">
        <w:trPr>
          <w:trHeight w:val="572"/>
          <w:jc w:val="center"/>
        </w:trPr>
        <w:tc>
          <w:tcPr>
            <w:tcW w:w="10500" w:type="dxa"/>
            <w:vAlign w:val="center"/>
          </w:tcPr>
          <w:p w:rsidR="00A83BD3" w:rsidRPr="00613C53" w:rsidRDefault="00A83BD3">
            <w:pPr>
              <w:spacing w:line="360" w:lineRule="auto"/>
              <w:ind w:left="1985" w:right="153"/>
              <w:jc w:val="both"/>
              <w:rPr>
                <w:rFonts w:ascii="Palatino Linotype" w:eastAsia="Palatino Linotype" w:hAnsi="Palatino Linotype" w:cs="Palatino Linotype"/>
                <w:i/>
                <w:sz w:val="22"/>
                <w:szCs w:val="22"/>
              </w:rPr>
            </w:pPr>
          </w:p>
        </w:tc>
      </w:tr>
      <w:tr w:rsidR="00A83BD3" w:rsidRPr="00613C53">
        <w:trPr>
          <w:trHeight w:val="80"/>
          <w:jc w:val="center"/>
        </w:trPr>
        <w:tc>
          <w:tcPr>
            <w:tcW w:w="10500" w:type="dxa"/>
            <w:vAlign w:val="center"/>
          </w:tcPr>
          <w:p w:rsidR="00A83BD3" w:rsidRPr="00613C53" w:rsidRDefault="00F41D15">
            <w:pPr>
              <w:spacing w:line="360" w:lineRule="auto"/>
              <w:ind w:left="1985" w:right="153"/>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Se anexa documentación en formato PDF.</w:t>
            </w:r>
          </w:p>
          <w:p w:rsidR="00A83BD3" w:rsidRPr="00613C53" w:rsidRDefault="00A83BD3">
            <w:pPr>
              <w:spacing w:line="360" w:lineRule="auto"/>
              <w:ind w:left="1985" w:right="153"/>
              <w:jc w:val="both"/>
              <w:rPr>
                <w:rFonts w:ascii="Palatino Linotype" w:eastAsia="Palatino Linotype" w:hAnsi="Palatino Linotype" w:cs="Palatino Linotype"/>
                <w:i/>
                <w:sz w:val="22"/>
                <w:szCs w:val="22"/>
              </w:rPr>
            </w:pPr>
          </w:p>
          <w:p w:rsidR="00A83BD3" w:rsidRPr="00613C53" w:rsidRDefault="00F41D15">
            <w:pPr>
              <w:numPr>
                <w:ilvl w:val="0"/>
                <w:numId w:val="6"/>
              </w:numPr>
              <w:pBdr>
                <w:top w:val="nil"/>
                <w:left w:val="nil"/>
                <w:bottom w:val="nil"/>
                <w:right w:val="nil"/>
                <w:between w:val="nil"/>
              </w:pBdr>
              <w:spacing w:line="360" w:lineRule="auto"/>
              <w:ind w:left="2268" w:right="153"/>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En formato </w:t>
            </w:r>
            <w:proofErr w:type="spellStart"/>
            <w:r w:rsidRPr="00613C53">
              <w:rPr>
                <w:rFonts w:ascii="Palatino Linotype" w:eastAsia="Palatino Linotype" w:hAnsi="Palatino Linotype" w:cs="Palatino Linotype"/>
                <w:color w:val="000000"/>
                <w:sz w:val="22"/>
                <w:szCs w:val="22"/>
              </w:rPr>
              <w:t>pdf</w:t>
            </w:r>
            <w:proofErr w:type="spellEnd"/>
            <w:r w:rsidRPr="00613C53">
              <w:rPr>
                <w:rFonts w:ascii="Palatino Linotype" w:eastAsia="Palatino Linotype" w:hAnsi="Palatino Linotype" w:cs="Palatino Linotype"/>
                <w:color w:val="000000"/>
                <w:sz w:val="22"/>
                <w:szCs w:val="22"/>
              </w:rPr>
              <w:t xml:space="preserve"> agrega el directorio general de la administración municipal 2222-2024.</w:t>
            </w:r>
          </w:p>
        </w:tc>
      </w:tr>
    </w:tbl>
    <w:p w:rsidR="00A83BD3" w:rsidRPr="00613C53" w:rsidRDefault="00A83BD3">
      <w:pPr>
        <w:pBdr>
          <w:top w:val="nil"/>
          <w:left w:val="nil"/>
          <w:bottom w:val="nil"/>
          <w:right w:val="nil"/>
          <w:between w:val="nil"/>
        </w:pBdr>
        <w:spacing w:line="360" w:lineRule="auto"/>
        <w:ind w:left="1985" w:right="-646"/>
        <w:jc w:val="both"/>
        <w:rPr>
          <w:rFonts w:ascii="Palatino Linotype" w:eastAsia="Palatino Linotype" w:hAnsi="Palatino Linotype" w:cs="Palatino Linotype"/>
          <w:i/>
          <w:color w:val="000000"/>
        </w:rPr>
      </w:pP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El trece de febrero de dos mil veinticuatro,   </w:t>
      </w:r>
      <w:r w:rsidRPr="00613C53">
        <w:rPr>
          <w:rFonts w:ascii="Palatino Linotype" w:eastAsia="Palatino Linotype" w:hAnsi="Palatino Linotype" w:cs="Palatino Linotype"/>
          <w:b/>
          <w:color w:val="000000"/>
        </w:rPr>
        <w:t>EL RECURRENTE</w:t>
      </w:r>
      <w:r w:rsidRPr="00613C53">
        <w:rPr>
          <w:rFonts w:ascii="Palatino Linotype" w:eastAsia="Palatino Linotype" w:hAnsi="Palatino Linotype" w:cs="Palatino Linotype"/>
          <w:color w:val="000000"/>
        </w:rPr>
        <w:t xml:space="preserve"> interpuso el  recurso de revisión, en contra de la respuesta y, señaló:</w:t>
      </w:r>
    </w:p>
    <w:p w:rsidR="00A83BD3" w:rsidRPr="00613C53" w:rsidRDefault="00F41D15">
      <w:pPr>
        <w:pBdr>
          <w:top w:val="nil"/>
          <w:left w:val="nil"/>
          <w:bottom w:val="nil"/>
          <w:right w:val="nil"/>
          <w:between w:val="nil"/>
        </w:pBdr>
        <w:spacing w:line="360" w:lineRule="auto"/>
        <w:ind w:left="720" w:right="-220"/>
        <w:jc w:val="both"/>
        <w:rPr>
          <w:rFonts w:ascii="Palatino Linotype" w:eastAsia="Palatino Linotype" w:hAnsi="Palatino Linotype" w:cs="Palatino Linotype"/>
          <w:b/>
          <w:color w:val="000000"/>
          <w:sz w:val="22"/>
          <w:szCs w:val="22"/>
        </w:rPr>
      </w:pPr>
      <w:r w:rsidRPr="00613C53">
        <w:rPr>
          <w:rFonts w:ascii="Palatino Linotype" w:eastAsia="Palatino Linotype" w:hAnsi="Palatino Linotype" w:cs="Palatino Linotype"/>
          <w:b/>
          <w:color w:val="000000"/>
          <w:sz w:val="22"/>
          <w:szCs w:val="22"/>
        </w:rPr>
        <w:t>ACTO IMPUGNADO</w:t>
      </w:r>
      <w:r w:rsidRPr="00613C53">
        <w:rPr>
          <w:rFonts w:ascii="Palatino Linotype" w:eastAsia="Palatino Linotype" w:hAnsi="Palatino Linotype" w:cs="Palatino Linotype"/>
          <w:b/>
          <w:color w:val="000000"/>
          <w:sz w:val="22"/>
          <w:szCs w:val="22"/>
        </w:rPr>
        <w:tab/>
      </w:r>
    </w:p>
    <w:p w:rsidR="00A83BD3" w:rsidRPr="00613C53" w:rsidRDefault="00F41D15">
      <w:pPr>
        <w:pBdr>
          <w:top w:val="nil"/>
          <w:left w:val="nil"/>
          <w:bottom w:val="nil"/>
          <w:right w:val="nil"/>
          <w:between w:val="nil"/>
        </w:pBdr>
        <w:spacing w:line="360" w:lineRule="auto"/>
        <w:ind w:left="720"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“La información proporcionada como respuesta no corresponde a lo solicitado, por lo que solicito se corrija y nuevamente sea proporcionada por este medio.”</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 xml:space="preserve">Se registró  el recurso  de revisión bajo el número de expediente al rubro indicado, asimismo con fundamento en lo dispuesto por el artículo 185 fracción I de la Ley de Transparencia y Acceso a la Información Pública del Estado de México y Municipios se </w:t>
      </w:r>
      <w:r w:rsidRPr="00613C53">
        <w:rPr>
          <w:rFonts w:ascii="Palatino Linotype" w:eastAsia="Palatino Linotype" w:hAnsi="Palatino Linotype" w:cs="Palatino Linotype"/>
        </w:rPr>
        <w:t>turna</w:t>
      </w:r>
      <w:r w:rsidRPr="00613C53">
        <w:rPr>
          <w:rFonts w:ascii="Palatino Linotype" w:eastAsia="Palatino Linotype" w:hAnsi="Palatino Linotype" w:cs="Palatino Linotype"/>
          <w:color w:val="000000"/>
        </w:rPr>
        <w:t xml:space="preserve"> a la Comisionada María del Rosario Mejía Ayala, con el objeto de su análisis.</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diecinueve de febrero de dos mil veinticuatro,  puso a disposición de las partes el expediente electrónico vía SAIMEX a efecto de que en un plazo máximo de siete días </w:t>
      </w:r>
      <w:r w:rsidRPr="00613C53">
        <w:rPr>
          <w:rFonts w:ascii="Palatino Linotype" w:eastAsia="Palatino Linotype" w:hAnsi="Palatino Linotype" w:cs="Palatino Linotype"/>
        </w:rPr>
        <w:t>manifestara</w:t>
      </w:r>
      <w:r w:rsidRPr="00613C53">
        <w:rPr>
          <w:rFonts w:ascii="Palatino Linotype" w:eastAsia="Palatino Linotype" w:hAnsi="Palatino Linotype" w:cs="Palatino Linotype"/>
          <w:color w:val="000000"/>
        </w:rPr>
        <w:t xml:space="preserve"> lo que a derecho </w:t>
      </w:r>
      <w:r w:rsidRPr="00613C53">
        <w:rPr>
          <w:rFonts w:ascii="Palatino Linotype" w:eastAsia="Palatino Linotype" w:hAnsi="Palatino Linotype" w:cs="Palatino Linotype"/>
        </w:rPr>
        <w:t>conviniera</w:t>
      </w:r>
      <w:r w:rsidRPr="00613C53">
        <w:rPr>
          <w:rFonts w:ascii="Palatino Linotype" w:eastAsia="Palatino Linotype" w:hAnsi="Palatino Linotype" w:cs="Palatino Linotype"/>
          <w:color w:val="000000"/>
        </w:rPr>
        <w:t xml:space="preserve">, </w:t>
      </w:r>
      <w:r w:rsidRPr="00613C53">
        <w:rPr>
          <w:rFonts w:ascii="Palatino Linotype" w:eastAsia="Palatino Linotype" w:hAnsi="Palatino Linotype" w:cs="Palatino Linotype"/>
        </w:rPr>
        <w:t>ofreciera</w:t>
      </w:r>
      <w:r w:rsidRPr="00613C53">
        <w:rPr>
          <w:rFonts w:ascii="Palatino Linotype" w:eastAsia="Palatino Linotype" w:hAnsi="Palatino Linotype" w:cs="Palatino Linotype"/>
          <w:color w:val="000000"/>
        </w:rPr>
        <w:t xml:space="preserve"> pruebas y alegatos según corresponda al caso concreto, de esta forma para que el </w:t>
      </w:r>
      <w:r w:rsidRPr="00613C53">
        <w:rPr>
          <w:rFonts w:ascii="Palatino Linotype" w:eastAsia="Palatino Linotype" w:hAnsi="Palatino Linotype" w:cs="Palatino Linotype"/>
          <w:b/>
          <w:color w:val="000000"/>
        </w:rPr>
        <w:t>SUJETO OBLIGADO</w:t>
      </w:r>
      <w:r w:rsidRPr="00613C53">
        <w:rPr>
          <w:rFonts w:ascii="Palatino Linotype" w:eastAsia="Palatino Linotype" w:hAnsi="Palatino Linotype" w:cs="Palatino Linotype"/>
          <w:color w:val="000000"/>
        </w:rPr>
        <w:t xml:space="preserve"> </w:t>
      </w:r>
      <w:r w:rsidRPr="00613C53">
        <w:rPr>
          <w:rFonts w:ascii="Palatino Linotype" w:eastAsia="Palatino Linotype" w:hAnsi="Palatino Linotype" w:cs="Palatino Linotype"/>
        </w:rPr>
        <w:t>presentará</w:t>
      </w:r>
      <w:r w:rsidRPr="00613C53">
        <w:rPr>
          <w:rFonts w:ascii="Palatino Linotype" w:eastAsia="Palatino Linotype" w:hAnsi="Palatino Linotype" w:cs="Palatino Linotype"/>
          <w:color w:val="000000"/>
        </w:rPr>
        <w:t xml:space="preserve"> el informe justificado procedente. </w:t>
      </w:r>
    </w:p>
    <w:p w:rsidR="00A83BD3" w:rsidRPr="00613C53" w:rsidRDefault="00A83BD3">
      <w:pPr>
        <w:tabs>
          <w:tab w:val="left" w:pos="284"/>
        </w:tabs>
        <w:spacing w:line="360" w:lineRule="auto"/>
        <w:ind w:right="-646"/>
        <w:jc w:val="both"/>
        <w:rPr>
          <w:rFonts w:ascii="Palatino Linotype" w:eastAsia="Palatino Linotype" w:hAnsi="Palatino Linotype" w:cs="Palatino Linotype"/>
          <w:i/>
          <w:color w:val="000000"/>
        </w:rPr>
      </w:pPr>
    </w:p>
    <w:p w:rsidR="00A83BD3" w:rsidRPr="00613C53" w:rsidRDefault="00F41D15">
      <w:pPr>
        <w:numPr>
          <w:ilvl w:val="0"/>
          <w:numId w:val="11"/>
        </w:numPr>
        <w:tabs>
          <w:tab w:val="left" w:pos="284"/>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El </w:t>
      </w:r>
      <w:r w:rsidRPr="00613C53">
        <w:rPr>
          <w:rFonts w:ascii="Palatino Linotype" w:eastAsia="Palatino Linotype" w:hAnsi="Palatino Linotype" w:cs="Palatino Linotype"/>
          <w:b/>
          <w:color w:val="000000"/>
        </w:rPr>
        <w:t xml:space="preserve">SUJETO OBLIGADO no rindió informe justificado. </w:t>
      </w:r>
      <w:r w:rsidRPr="00613C53">
        <w:rPr>
          <w:rFonts w:ascii="Palatino Linotype" w:eastAsia="Palatino Linotype" w:hAnsi="Palatino Linotype" w:cs="Palatino Linotype"/>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A83BD3" w:rsidRPr="00613C53" w:rsidRDefault="00F41D15">
      <w:pPr>
        <w:pBdr>
          <w:top w:val="nil"/>
          <w:left w:val="nil"/>
          <w:bottom w:val="nil"/>
          <w:right w:val="nil"/>
          <w:between w:val="nil"/>
        </w:pBdr>
        <w:tabs>
          <w:tab w:val="left" w:pos="284"/>
        </w:tabs>
        <w:spacing w:line="360" w:lineRule="auto"/>
        <w:ind w:left="567" w:right="-220"/>
        <w:jc w:val="both"/>
        <w:rPr>
          <w:rFonts w:ascii="Palatino Linotype" w:eastAsia="Palatino Linotype" w:hAnsi="Palatino Linotype" w:cs="Palatino Linotype"/>
          <w:i/>
          <w:color w:val="222222"/>
          <w:sz w:val="22"/>
          <w:szCs w:val="22"/>
        </w:rPr>
      </w:pPr>
      <w:r w:rsidRPr="00613C53">
        <w:rPr>
          <w:rFonts w:ascii="Palatino Linotype" w:eastAsia="Palatino Linotype" w:hAnsi="Palatino Linotype" w:cs="Palatino Linotype"/>
          <w:b/>
          <w:i/>
          <w:color w:val="222222"/>
          <w:sz w:val="22"/>
          <w:szCs w:val="22"/>
        </w:rPr>
        <w:t>QUEJA, RECURSO DE. LA OMISION DE RENDIR EL INFORME RESPECTIVO NO IMPIDE QUE SE RESUELV</w:t>
      </w:r>
      <w:r w:rsidRPr="00613C53">
        <w:rPr>
          <w:rFonts w:ascii="Palatino Linotype" w:eastAsia="Palatino Linotype" w:hAnsi="Palatino Linotype" w:cs="Palatino Linotype"/>
          <w:i/>
          <w:color w:val="222222"/>
          <w:sz w:val="22"/>
          <w:szCs w:val="22"/>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w:t>
      </w:r>
      <w:r w:rsidRPr="00613C53">
        <w:rPr>
          <w:rFonts w:ascii="Palatino Linotype" w:eastAsia="Palatino Linotype" w:hAnsi="Palatino Linotype" w:cs="Palatino Linotype"/>
          <w:i/>
          <w:color w:val="222222"/>
          <w:sz w:val="22"/>
          <w:szCs w:val="22"/>
        </w:rPr>
        <w:lastRenderedPageBreak/>
        <w:t xml:space="preserve">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w:t>
      </w:r>
    </w:p>
    <w:p w:rsidR="00A83BD3" w:rsidRPr="00613C53" w:rsidRDefault="00A83BD3">
      <w:pPr>
        <w:pBdr>
          <w:top w:val="nil"/>
          <w:left w:val="nil"/>
          <w:bottom w:val="nil"/>
          <w:right w:val="nil"/>
          <w:between w:val="nil"/>
        </w:pBdr>
        <w:tabs>
          <w:tab w:val="left" w:pos="284"/>
        </w:tabs>
        <w:spacing w:line="360" w:lineRule="auto"/>
        <w:ind w:left="567" w:right="-646"/>
        <w:jc w:val="both"/>
        <w:rPr>
          <w:rFonts w:ascii="Palatino Linotype" w:eastAsia="Palatino Linotype" w:hAnsi="Palatino Linotype" w:cs="Palatino Linotype"/>
          <w:i/>
          <w:color w:val="222222"/>
        </w:rPr>
      </w:pPr>
    </w:p>
    <w:p w:rsidR="00A83BD3" w:rsidRPr="00613C53" w:rsidRDefault="00F41D15">
      <w:pPr>
        <w:numPr>
          <w:ilvl w:val="0"/>
          <w:numId w:val="11"/>
        </w:numPr>
        <w:tabs>
          <w:tab w:val="left" w:pos="284"/>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222222"/>
        </w:rPr>
        <w:t>Por lo cual se reitera, que la falta de informe justificado no impide que este Órgano Garante conozca y resuelva el recurso de revisión, solo propicia que el </w:t>
      </w:r>
      <w:r w:rsidRPr="00613C53">
        <w:rPr>
          <w:rFonts w:ascii="Palatino Linotype" w:eastAsia="Palatino Linotype" w:hAnsi="Palatino Linotype" w:cs="Palatino Linotype"/>
          <w:b/>
          <w:color w:val="222222"/>
        </w:rPr>
        <w:t>SUJETO OBLIGADO</w:t>
      </w:r>
      <w:r w:rsidRPr="00613C53">
        <w:rPr>
          <w:rFonts w:ascii="Palatino Linotype" w:eastAsia="Palatino Linotype" w:hAnsi="Palatino Linotype" w:cs="Palatino Linotype"/>
          <w:color w:val="222222"/>
        </w:rPr>
        <w:t> pierda la oportunidad de justificar su respuesta y manifestar lo que a su derecho convenga.</w:t>
      </w:r>
    </w:p>
    <w:p w:rsidR="00A83BD3" w:rsidRPr="00613C53" w:rsidRDefault="00A83BD3">
      <w:pPr>
        <w:tabs>
          <w:tab w:val="left" w:pos="284"/>
        </w:tabs>
        <w:spacing w:line="360" w:lineRule="auto"/>
        <w:ind w:right="-646"/>
        <w:jc w:val="both"/>
        <w:rPr>
          <w:rFonts w:ascii="Palatino Linotype" w:eastAsia="Palatino Linotype" w:hAnsi="Palatino Linotype" w:cs="Palatino Linotype"/>
          <w:i/>
          <w:color w:val="000000"/>
        </w:rPr>
      </w:pPr>
    </w:p>
    <w:p w:rsidR="00A83BD3" w:rsidRPr="00613C53" w:rsidRDefault="00F41D15">
      <w:pPr>
        <w:numPr>
          <w:ilvl w:val="0"/>
          <w:numId w:val="11"/>
        </w:numPr>
        <w:tabs>
          <w:tab w:val="left" w:pos="284"/>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El seis de septiembre de dos mil veinticuatro, con fundamento en el artículo 181, tercer párrafo, de la Ley de Transparencia y Acceso a la Información Pública del Estado de México y Municipios se notificó que el plazo de treinta días para resolver el recurso de revisión sería ampliado por un periodo de quince días hábiles adicionales.</w:t>
      </w:r>
    </w:p>
    <w:p w:rsidR="00A83BD3" w:rsidRPr="00613C53" w:rsidRDefault="00A83BD3">
      <w:pPr>
        <w:pBdr>
          <w:top w:val="nil"/>
          <w:left w:val="nil"/>
          <w:bottom w:val="nil"/>
          <w:right w:val="nil"/>
          <w:between w:val="nil"/>
        </w:pBdr>
        <w:ind w:left="720" w:right="-646"/>
        <w:rPr>
          <w:rFonts w:ascii="Palatino Linotype" w:eastAsia="Palatino Linotype" w:hAnsi="Palatino Linotype" w:cs="Palatino Linotype"/>
          <w:i/>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El dieciséis de enero de dos mil veinticinco, la Comisionada Ponente decretó el cierre de instrucción, por lo que </w:t>
      </w:r>
      <w:r w:rsidRPr="00613C53">
        <w:rPr>
          <w:rFonts w:ascii="Palatino Linotype" w:eastAsia="Palatino Linotype" w:hAnsi="Palatino Linotype" w:cs="Palatino Linotype"/>
        </w:rPr>
        <w:t>tornó</w:t>
      </w:r>
      <w:r w:rsidRPr="00613C53">
        <w:rPr>
          <w:rFonts w:ascii="Palatino Linotype" w:eastAsia="Palatino Linotype" w:hAnsi="Palatino Linotype" w:cs="Palatino Linotype"/>
          <w:color w:val="000000"/>
        </w:rPr>
        <w:t xml:space="preserve"> la presente resolución para su aprobación.</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w:t>
      </w:r>
      <w:r w:rsidRPr="00613C53">
        <w:rPr>
          <w:rFonts w:ascii="Palatino Linotype" w:eastAsia="Palatino Linotype" w:hAnsi="Palatino Linotype" w:cs="Palatino Linotype"/>
          <w:color w:val="000000"/>
        </w:rPr>
        <w:lastRenderedPageBreak/>
        <w:t>y humanas del personal encargado de la elaboración de resoluciones a dichos medios de impugnación.</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rsidR="00A83BD3" w:rsidRPr="00613C53" w:rsidRDefault="00F41D15">
      <w:pPr>
        <w:numPr>
          <w:ilvl w:val="2"/>
          <w:numId w:val="11"/>
        </w:numPr>
        <w:pBdr>
          <w:top w:val="nil"/>
          <w:left w:val="nil"/>
          <w:bottom w:val="nil"/>
          <w:right w:val="nil"/>
          <w:between w:val="nil"/>
        </w:pBdr>
        <w:spacing w:line="360" w:lineRule="auto"/>
        <w:ind w:left="1134"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lastRenderedPageBreak/>
        <w:t>Complejidad del asunto: La complejidad de la prueba, la pluralidad de sujetos procesales, el tiempo transcurrido, las características y contexto del recurso.</w:t>
      </w:r>
    </w:p>
    <w:p w:rsidR="00A83BD3" w:rsidRPr="00613C53" w:rsidRDefault="00F41D15">
      <w:pPr>
        <w:numPr>
          <w:ilvl w:val="2"/>
          <w:numId w:val="11"/>
        </w:numPr>
        <w:pBdr>
          <w:top w:val="nil"/>
          <w:left w:val="nil"/>
          <w:bottom w:val="nil"/>
          <w:right w:val="nil"/>
          <w:between w:val="nil"/>
        </w:pBdr>
        <w:spacing w:line="360" w:lineRule="auto"/>
        <w:ind w:left="1134"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Actividad Procesal del interesado: Acciones u omisiones del interesado.</w:t>
      </w:r>
    </w:p>
    <w:p w:rsidR="00A83BD3" w:rsidRPr="00613C53" w:rsidRDefault="00F41D15">
      <w:pPr>
        <w:numPr>
          <w:ilvl w:val="2"/>
          <w:numId w:val="11"/>
        </w:numPr>
        <w:pBdr>
          <w:top w:val="nil"/>
          <w:left w:val="nil"/>
          <w:bottom w:val="nil"/>
          <w:right w:val="nil"/>
          <w:between w:val="nil"/>
        </w:pBdr>
        <w:spacing w:line="360" w:lineRule="auto"/>
        <w:ind w:left="1134"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rsidR="00A83BD3" w:rsidRPr="00613C53" w:rsidRDefault="00F41D15">
      <w:pPr>
        <w:numPr>
          <w:ilvl w:val="2"/>
          <w:numId w:val="11"/>
        </w:numPr>
        <w:pBdr>
          <w:top w:val="nil"/>
          <w:left w:val="nil"/>
          <w:bottom w:val="nil"/>
          <w:right w:val="nil"/>
          <w:between w:val="nil"/>
        </w:pBdr>
        <w:spacing w:line="360" w:lineRule="auto"/>
        <w:ind w:left="1134"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La afectación generada en la situación jurídica de la persona involucrada en el proceso: Violación a sus derechos humanos.</w:t>
      </w:r>
    </w:p>
    <w:p w:rsidR="00A83BD3" w:rsidRPr="00613C53" w:rsidRDefault="00A83BD3">
      <w:pPr>
        <w:pBdr>
          <w:top w:val="nil"/>
          <w:left w:val="nil"/>
          <w:bottom w:val="nil"/>
          <w:right w:val="nil"/>
          <w:between w:val="nil"/>
        </w:pBdr>
        <w:spacing w:line="360" w:lineRule="auto"/>
        <w:ind w:left="1134"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Argumento que encuentra sustento en la jurisprudencia P</w:t>
      </w:r>
      <w:proofErr w:type="gramStart"/>
      <w:r w:rsidRPr="00613C53">
        <w:rPr>
          <w:rFonts w:ascii="Palatino Linotype" w:eastAsia="Palatino Linotype" w:hAnsi="Palatino Linotype" w:cs="Palatino Linotype"/>
          <w:color w:val="000000"/>
        </w:rPr>
        <w:t>./</w:t>
      </w:r>
      <w:proofErr w:type="gramEnd"/>
      <w:r w:rsidRPr="00613C53">
        <w:rPr>
          <w:rFonts w:ascii="Palatino Linotype" w:eastAsia="Palatino Linotype" w:hAnsi="Palatino Linotype" w:cs="Palatino Linotype"/>
          <w:color w:val="000000"/>
        </w:rPr>
        <w:t xml:space="preserve">J. 32/92 emitida por el Pleno de la Suprema Corte de Justicia de la Nación </w:t>
      </w:r>
      <w:r w:rsidRPr="00613C53">
        <w:rPr>
          <w:rFonts w:ascii="Palatino Linotype" w:eastAsia="Palatino Linotype" w:hAnsi="Palatino Linotype" w:cs="Palatino Linotype"/>
        </w:rPr>
        <w:t>del rubro</w:t>
      </w:r>
      <w:r w:rsidRPr="00613C53">
        <w:rPr>
          <w:rFonts w:ascii="Palatino Linotype" w:eastAsia="Palatino Linotype" w:hAnsi="Palatino Linotype" w:cs="Palatino Linotype"/>
          <w:color w:val="000000"/>
        </w:rPr>
        <w:t xml:space="preserve"> </w:t>
      </w:r>
      <w:r w:rsidRPr="00613C53">
        <w:rPr>
          <w:rFonts w:ascii="Palatino Linotype" w:eastAsia="Palatino Linotype" w:hAnsi="Palatino Linotype" w:cs="Palatino Linotype"/>
          <w:b/>
          <w:color w:val="000000"/>
        </w:rPr>
        <w:t>“TÉRMINOS PROCESALES. PARA DETERMINAR SI UN FUNCIONARIO JUDICIAL ACTUÓ INDEBIDAMENTE POR NO RESPETARLOS SE DEBE ATENDER AL PRESUPUESTO QUE CONSIDERÓ EL LEGISLADOR AL FIJARLOS Y LAS CARACTERÍSTICAS DEL CASO.”,</w:t>
      </w:r>
      <w:r w:rsidRPr="00613C53">
        <w:rPr>
          <w:rFonts w:ascii="Palatino Linotype" w:eastAsia="Palatino Linotype" w:hAnsi="Palatino Linotype" w:cs="Palatino Linotype"/>
          <w:color w:val="000000"/>
        </w:rPr>
        <w:t xml:space="preserve"> visible en la Gaceta del </w:t>
      </w:r>
      <w:r w:rsidRPr="00613C53">
        <w:rPr>
          <w:rFonts w:ascii="Palatino Linotype" w:eastAsia="Palatino Linotype" w:hAnsi="Palatino Linotype" w:cs="Palatino Linotype"/>
        </w:rPr>
        <w:t>Semanario</w:t>
      </w:r>
      <w:r w:rsidRPr="00613C53">
        <w:rPr>
          <w:rFonts w:ascii="Palatino Linotype" w:eastAsia="Palatino Linotype" w:hAnsi="Palatino Linotype" w:cs="Palatino Linotype"/>
          <w:color w:val="000000"/>
        </w:rPr>
        <w:t xml:space="preserve"> Judicial de la Federación con el registro digital 205635.</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w:t>
      </w:r>
      <w:r w:rsidRPr="00613C53">
        <w:rPr>
          <w:rFonts w:ascii="Palatino Linotype" w:eastAsia="Palatino Linotype" w:hAnsi="Palatino Linotype" w:cs="Palatino Linotype"/>
          <w:color w:val="000000"/>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83BD3" w:rsidRPr="00613C53" w:rsidRDefault="00A83BD3">
      <w:pPr>
        <w:pBdr>
          <w:top w:val="nil"/>
          <w:left w:val="nil"/>
          <w:bottom w:val="nil"/>
          <w:right w:val="nil"/>
          <w:between w:val="nil"/>
        </w:pBdr>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A83BD3" w:rsidRPr="00613C53" w:rsidRDefault="00F41D15">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w:t>
      </w:r>
      <w:r w:rsidRPr="00613C53">
        <w:rPr>
          <w:rFonts w:ascii="Palatino Linotype" w:eastAsia="Palatino Linotype" w:hAnsi="Palatino Linotype" w:cs="Palatino Linotype"/>
          <w:b/>
          <w:color w:val="000000"/>
          <w:sz w:val="22"/>
          <w:szCs w:val="22"/>
        </w:rPr>
        <w:t>PLAZO RAZONABLE PARA RESOLVER. DIMENSIÓN Y EFECTOS DE ESTE CONCEPTO CUANDO SE ADUCE EXCESIVA CARGA DE TRABAJO</w:t>
      </w:r>
      <w:r w:rsidRPr="00613C53">
        <w:rPr>
          <w:rFonts w:ascii="Palatino Linotype" w:eastAsia="Palatino Linotype" w:hAnsi="Palatino Linotype" w:cs="Palatino Linotype"/>
          <w:color w:val="000000"/>
          <w:sz w:val="22"/>
          <w:szCs w:val="22"/>
        </w:rPr>
        <w:t>.” consultable en el Sem</w:t>
      </w:r>
      <w:r w:rsidRPr="00613C53">
        <w:rPr>
          <w:rFonts w:ascii="Palatino Linotype" w:eastAsia="Palatino Linotype" w:hAnsi="Palatino Linotype" w:cs="Palatino Linotype"/>
          <w:sz w:val="22"/>
          <w:szCs w:val="22"/>
        </w:rPr>
        <w:t>a</w:t>
      </w:r>
      <w:r w:rsidRPr="00613C53">
        <w:rPr>
          <w:rFonts w:ascii="Palatino Linotype" w:eastAsia="Palatino Linotype" w:hAnsi="Palatino Linotype" w:cs="Palatino Linotype"/>
          <w:color w:val="000000"/>
          <w:sz w:val="22"/>
          <w:szCs w:val="22"/>
        </w:rPr>
        <w:t>nario Judicial de la Federación y su gaceta, con el registro digital 2002351.</w:t>
      </w:r>
    </w:p>
    <w:p w:rsidR="00A83BD3" w:rsidRPr="00613C53" w:rsidRDefault="00A83BD3">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p>
    <w:p w:rsidR="00A83BD3" w:rsidRPr="00613C53" w:rsidRDefault="00F41D15">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w:t>
      </w:r>
      <w:r w:rsidRPr="00613C53">
        <w:rPr>
          <w:rFonts w:ascii="Palatino Linotype" w:eastAsia="Palatino Linotype" w:hAnsi="Palatino Linotype" w:cs="Palatino Linotype"/>
          <w:b/>
          <w:color w:val="000000"/>
          <w:sz w:val="22"/>
          <w:szCs w:val="22"/>
        </w:rPr>
        <w:t>PLAZO RAZONABLE PARA RESOLVER. CONCEPTO Y ELEMENTOS QUE LO INTEGRAN A LA LUZ DEL DERECHO INTERNACIONAL DE LOS DERECHOS HUMANOS.</w:t>
      </w:r>
      <w:r w:rsidRPr="00613C53">
        <w:rPr>
          <w:rFonts w:ascii="Palatino Linotype" w:eastAsia="Palatino Linotype" w:hAnsi="Palatino Linotype" w:cs="Palatino Linotype"/>
          <w:color w:val="000000"/>
          <w:sz w:val="22"/>
          <w:szCs w:val="22"/>
        </w:rPr>
        <w:t>”, visible en el Sem</w:t>
      </w:r>
      <w:r w:rsidRPr="00613C53">
        <w:rPr>
          <w:rFonts w:ascii="Palatino Linotype" w:eastAsia="Palatino Linotype" w:hAnsi="Palatino Linotype" w:cs="Palatino Linotype"/>
          <w:sz w:val="22"/>
          <w:szCs w:val="22"/>
        </w:rPr>
        <w:t>a</w:t>
      </w:r>
      <w:r w:rsidRPr="00613C53">
        <w:rPr>
          <w:rFonts w:ascii="Palatino Linotype" w:eastAsia="Palatino Linotype" w:hAnsi="Palatino Linotype" w:cs="Palatino Linotype"/>
          <w:color w:val="000000"/>
          <w:sz w:val="22"/>
          <w:szCs w:val="22"/>
        </w:rPr>
        <w:t xml:space="preserve">nario Judicial de la Federación y su gaceta, con el registro digital 2002350. </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pBdr>
          <w:top w:val="nil"/>
          <w:left w:val="nil"/>
          <w:bottom w:val="nil"/>
          <w:right w:val="nil"/>
          <w:between w:val="nil"/>
        </w:pBdr>
        <w:spacing w:line="360" w:lineRule="auto"/>
        <w:ind w:right="-646"/>
        <w:jc w:val="center"/>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lastRenderedPageBreak/>
        <w:t>C O N S I D E R A N D O</w:t>
      </w:r>
    </w:p>
    <w:p w:rsidR="00A83BD3" w:rsidRPr="00613C53" w:rsidRDefault="00A83BD3">
      <w:pPr>
        <w:pBdr>
          <w:top w:val="nil"/>
          <w:left w:val="nil"/>
          <w:bottom w:val="nil"/>
          <w:right w:val="nil"/>
          <w:between w:val="nil"/>
        </w:pBdr>
        <w:spacing w:line="360" w:lineRule="auto"/>
        <w:ind w:right="-646"/>
        <w:jc w:val="center"/>
        <w:rPr>
          <w:rFonts w:ascii="Palatino Linotype" w:eastAsia="Palatino Linotype" w:hAnsi="Palatino Linotype" w:cs="Palatino Linotype"/>
          <w:b/>
          <w:color w:val="000000"/>
        </w:rPr>
      </w:pPr>
    </w:p>
    <w:p w:rsidR="00A83BD3" w:rsidRPr="00613C53" w:rsidRDefault="00F41D15">
      <w:p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PRIMERO. De la competencia</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pBdr>
          <w:top w:val="nil"/>
          <w:left w:val="nil"/>
          <w:bottom w:val="nil"/>
          <w:right w:val="nil"/>
          <w:between w:val="nil"/>
        </w:pBdr>
        <w:spacing w:line="360" w:lineRule="auto"/>
        <w:ind w:right="-646"/>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SEGUNDO. De la oportunidad y procedencia.</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Los medios de impugnación fueron presentados a través del </w:t>
      </w:r>
      <w:r w:rsidRPr="00613C53">
        <w:rPr>
          <w:rFonts w:ascii="Palatino Linotype" w:eastAsia="Palatino Linotype" w:hAnsi="Palatino Linotype" w:cs="Palatino Linotype"/>
          <w:b/>
          <w:color w:val="000000"/>
        </w:rPr>
        <w:t>SAIMEX</w:t>
      </w:r>
      <w:r w:rsidRPr="00613C53">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sidRPr="00613C53">
        <w:rPr>
          <w:rFonts w:ascii="Palatino Linotype" w:eastAsia="Palatino Linotype" w:hAnsi="Palatino Linotype" w:cs="Palatino Linotype"/>
          <w:b/>
          <w:color w:val="000000"/>
        </w:rPr>
        <w:t>SUJETO OBLIGADO</w:t>
      </w:r>
      <w:r w:rsidRPr="00613C53">
        <w:rPr>
          <w:rFonts w:ascii="Palatino Linotype" w:eastAsia="Palatino Linotype" w:hAnsi="Palatino Linotype" w:cs="Palatino Linotype"/>
          <w:color w:val="000000"/>
        </w:rPr>
        <w:t xml:space="preserve"> entregó respuesta el  doce de febrero de dos mil veinticuatro, de tal forma que el plazo para interponer el recurso de revisión transcurrió del trece de febrero de dos mil veinticuatro,   al  cuatro de marzo  de dos mil veinticuatro, el recurso de revisión fue interpuesto el trece de febrero de dos mil veinticuatro, por lo que se encuentra dentro de los márgenes temporales previstos en el </w:t>
      </w:r>
      <w:r w:rsidRPr="00613C53">
        <w:rPr>
          <w:rFonts w:ascii="Palatino Linotype" w:eastAsia="Palatino Linotype" w:hAnsi="Palatino Linotype" w:cs="Palatino Linotype"/>
          <w:color w:val="000000"/>
        </w:rPr>
        <w:lastRenderedPageBreak/>
        <w:t xml:space="preserve">artículo 178 de la Ley de Transparencia y Acceso a la Información Pública del Estado de México y Municipios vigente. </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A83BD3" w:rsidRPr="00613C53" w:rsidRDefault="00A83BD3">
      <w:pPr>
        <w:pBdr>
          <w:top w:val="nil"/>
          <w:left w:val="nil"/>
          <w:bottom w:val="nil"/>
          <w:right w:val="nil"/>
          <w:between w:val="nil"/>
        </w:pBdr>
        <w:ind w:left="720" w:right="-646"/>
        <w:rPr>
          <w:rFonts w:ascii="Palatino Linotype" w:eastAsia="Palatino Linotype" w:hAnsi="Palatino Linotype" w:cs="Palatino Linotype"/>
          <w:color w:val="000000"/>
        </w:rPr>
      </w:pPr>
    </w:p>
    <w:p w:rsidR="00A83BD3" w:rsidRPr="00613C53" w:rsidRDefault="00F41D15">
      <w:p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 xml:space="preserve">TERCERO. Planteamiento de la </w:t>
      </w:r>
      <w:r w:rsidRPr="00613C53">
        <w:rPr>
          <w:rFonts w:ascii="Palatino Linotype" w:eastAsia="Palatino Linotype" w:hAnsi="Palatino Linotype" w:cs="Palatino Linotype"/>
          <w:b/>
          <w:i/>
          <w:color w:val="000000"/>
        </w:rPr>
        <w:t>Litis</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El recurrente solicitó la siguiente información:</w:t>
      </w:r>
    </w:p>
    <w:p w:rsidR="00A83BD3" w:rsidRPr="00613C53" w:rsidRDefault="00F41D15">
      <w:pPr>
        <w:numPr>
          <w:ilvl w:val="0"/>
          <w:numId w:val="5"/>
        </w:numPr>
        <w:pBdr>
          <w:top w:val="nil"/>
          <w:left w:val="nil"/>
          <w:bottom w:val="nil"/>
          <w:right w:val="nil"/>
          <w:between w:val="nil"/>
        </w:pBdr>
        <w:tabs>
          <w:tab w:val="left" w:pos="851"/>
        </w:tabs>
        <w:spacing w:line="360" w:lineRule="auto"/>
        <w:ind w:left="851"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Número de policías municipales con el que cuenta el ayuntamiento, clasificado por áreas o departamentos. </w:t>
      </w:r>
    </w:p>
    <w:p w:rsidR="00A83BD3" w:rsidRPr="00613C53" w:rsidRDefault="00F41D15">
      <w:pPr>
        <w:numPr>
          <w:ilvl w:val="0"/>
          <w:numId w:val="5"/>
        </w:numPr>
        <w:pBdr>
          <w:top w:val="nil"/>
          <w:left w:val="nil"/>
          <w:bottom w:val="nil"/>
          <w:right w:val="nil"/>
          <w:between w:val="nil"/>
        </w:pBdr>
        <w:tabs>
          <w:tab w:val="left" w:pos="851"/>
        </w:tabs>
        <w:spacing w:line="360" w:lineRule="auto"/>
        <w:ind w:left="851"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Sueldo bruto y neto que reciben los policías según su categoría, así como un histórico del sueldo que ha recibido desde 2022 y en caso de que se contemple un aumento salarial, especificar el monto y él </w:t>
      </w:r>
      <w:r w:rsidRPr="00613C53">
        <w:rPr>
          <w:rFonts w:ascii="Palatino Linotype" w:eastAsia="Palatino Linotype" w:hAnsi="Palatino Linotype" w:cs="Palatino Linotype"/>
          <w:sz w:val="22"/>
          <w:szCs w:val="22"/>
        </w:rPr>
        <w:t>recurso</w:t>
      </w:r>
      <w:r w:rsidRPr="00613C53">
        <w:rPr>
          <w:rFonts w:ascii="Palatino Linotype" w:eastAsia="Palatino Linotype" w:hAnsi="Palatino Linotype" w:cs="Palatino Linotype"/>
          <w:color w:val="000000"/>
          <w:sz w:val="22"/>
          <w:szCs w:val="22"/>
        </w:rPr>
        <w:t xml:space="preserve"> con el que se estará pagando. </w:t>
      </w:r>
    </w:p>
    <w:p w:rsidR="00A83BD3" w:rsidRPr="00613C53" w:rsidRDefault="00F41D15">
      <w:pPr>
        <w:numPr>
          <w:ilvl w:val="0"/>
          <w:numId w:val="5"/>
        </w:numPr>
        <w:pBdr>
          <w:top w:val="nil"/>
          <w:left w:val="nil"/>
          <w:bottom w:val="nil"/>
          <w:right w:val="nil"/>
          <w:between w:val="nil"/>
        </w:pBdr>
        <w:tabs>
          <w:tab w:val="left" w:pos="851"/>
        </w:tabs>
        <w:spacing w:line="360" w:lineRule="auto"/>
        <w:ind w:left="851"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El gasto que ejerció el municipio en el periodo fiscal 2022 y 2023 para el pago de equipamiento policial, armamento, pago de patrullas (ya sea adquisición o renta), capacitación policial, desglosado por concepto de pago y especificar el número de policías beneficiados. "Ejemplo: Armamento: $25,000, con el que se benefició a 3 policías. "Uniformes: $54,000, que benefició a 2 policías" </w:t>
      </w:r>
    </w:p>
    <w:p w:rsidR="00A83BD3" w:rsidRPr="00613C53" w:rsidRDefault="00F41D15">
      <w:pPr>
        <w:numPr>
          <w:ilvl w:val="0"/>
          <w:numId w:val="5"/>
        </w:numPr>
        <w:pBdr>
          <w:top w:val="nil"/>
          <w:left w:val="nil"/>
          <w:bottom w:val="nil"/>
          <w:right w:val="nil"/>
          <w:between w:val="nil"/>
        </w:pBdr>
        <w:tabs>
          <w:tab w:val="left" w:pos="851"/>
        </w:tabs>
        <w:spacing w:line="360" w:lineRule="auto"/>
        <w:ind w:left="851"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El gasto que ejercerá el municipio en el periodo fiscal 2024 para el pago de equipamiento policial, armamento, pago de patrullas (ya sea adquisición o renta), capacitación policial, desglosado por concepto de pago y especificar el número de </w:t>
      </w:r>
      <w:r w:rsidRPr="00613C53">
        <w:rPr>
          <w:rFonts w:ascii="Palatino Linotype" w:eastAsia="Palatino Linotype" w:hAnsi="Palatino Linotype" w:cs="Palatino Linotype"/>
          <w:color w:val="000000"/>
          <w:sz w:val="22"/>
          <w:szCs w:val="22"/>
        </w:rPr>
        <w:lastRenderedPageBreak/>
        <w:t xml:space="preserve">policías beneficiados. "Ejemplo: Armamento: $25,000, con el que se benefició a 3 policías. "Uniformes: $54,000, que benefició a 2 policías" </w:t>
      </w:r>
    </w:p>
    <w:p w:rsidR="00A83BD3" w:rsidRPr="00613C53" w:rsidRDefault="00F41D15">
      <w:pPr>
        <w:numPr>
          <w:ilvl w:val="0"/>
          <w:numId w:val="5"/>
        </w:numPr>
        <w:pBdr>
          <w:top w:val="nil"/>
          <w:left w:val="nil"/>
          <w:bottom w:val="nil"/>
          <w:right w:val="nil"/>
          <w:between w:val="nil"/>
        </w:pBdr>
        <w:tabs>
          <w:tab w:val="left" w:pos="851"/>
        </w:tabs>
        <w:spacing w:line="360" w:lineRule="auto"/>
        <w:ind w:left="851"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Las incidencias delictivas presentadas en el municipio en los años 2022 y 2023 por histórico mensual de los siguientes delitos: abuso sexual, acoso sexual, homicidio culposo, homicidio doloso, lesiones, narcomenudeo, robo con violencia, robo sin violencia, robo a casa habitación, robo a negocio, robo de vehículos, secuestro, violación, violencia de género, violencia familiar. </w:t>
      </w:r>
    </w:p>
    <w:p w:rsidR="00A83BD3" w:rsidRPr="00613C53" w:rsidRDefault="00F41D15">
      <w:pPr>
        <w:numPr>
          <w:ilvl w:val="0"/>
          <w:numId w:val="5"/>
        </w:numPr>
        <w:pBdr>
          <w:top w:val="nil"/>
          <w:left w:val="nil"/>
          <w:bottom w:val="nil"/>
          <w:right w:val="nil"/>
          <w:between w:val="nil"/>
        </w:pBdr>
        <w:tabs>
          <w:tab w:val="left" w:pos="851"/>
        </w:tabs>
        <w:spacing w:line="360" w:lineRule="auto"/>
        <w:ind w:left="851"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El número de elementos incluidos en la Licencia Oficial Colectiva al corte de octubre de 2023, así mismo el número de elementos programados para ser incluidos durante el 2024 en la LOC.</w:t>
      </w:r>
    </w:p>
    <w:p w:rsidR="00A83BD3" w:rsidRPr="00613C53" w:rsidRDefault="00F41D15">
      <w:pPr>
        <w:numPr>
          <w:ilvl w:val="0"/>
          <w:numId w:val="5"/>
        </w:numPr>
        <w:pBdr>
          <w:top w:val="nil"/>
          <w:left w:val="nil"/>
          <w:bottom w:val="nil"/>
          <w:right w:val="nil"/>
          <w:between w:val="nil"/>
        </w:pBdr>
        <w:tabs>
          <w:tab w:val="left" w:pos="851"/>
        </w:tabs>
        <w:spacing w:line="360" w:lineRule="auto"/>
        <w:ind w:left="851"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Respecto a la carrera policial, el número de elementos que cuentan con Certificado Único Policial, así mismo el número de elementos que tienen el curso de formación inicial, el número de elementos que tienen el curso de competencias básicas y la última fecha en la que se realizó evaluación de desempeño, en este rubro </w:t>
      </w:r>
      <w:r w:rsidRPr="00613C53">
        <w:rPr>
          <w:rFonts w:ascii="Palatino Linotype" w:eastAsia="Palatino Linotype" w:hAnsi="Palatino Linotype" w:cs="Palatino Linotype"/>
          <w:sz w:val="22"/>
          <w:szCs w:val="22"/>
        </w:rPr>
        <w:t>solicitó</w:t>
      </w:r>
      <w:r w:rsidRPr="00613C53">
        <w:rPr>
          <w:rFonts w:ascii="Palatino Linotype" w:eastAsia="Palatino Linotype" w:hAnsi="Palatino Linotype" w:cs="Palatino Linotype"/>
          <w:color w:val="000000"/>
          <w:sz w:val="22"/>
          <w:szCs w:val="22"/>
        </w:rPr>
        <w:t xml:space="preserve"> que se informe el promedio general de las evaluaciones en la corporación.</w:t>
      </w:r>
    </w:p>
    <w:p w:rsidR="00A83BD3" w:rsidRPr="00613C53" w:rsidRDefault="00F41D15">
      <w:pPr>
        <w:numPr>
          <w:ilvl w:val="0"/>
          <w:numId w:val="5"/>
        </w:numPr>
        <w:pBdr>
          <w:top w:val="nil"/>
          <w:left w:val="nil"/>
          <w:bottom w:val="nil"/>
          <w:right w:val="nil"/>
          <w:between w:val="nil"/>
        </w:pBdr>
        <w:tabs>
          <w:tab w:val="left" w:pos="851"/>
        </w:tabs>
        <w:spacing w:line="360" w:lineRule="auto"/>
        <w:ind w:left="851" w:right="-220" w:hanging="425"/>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¿Cuántos elementos </w:t>
      </w:r>
      <w:r w:rsidRPr="00613C53">
        <w:rPr>
          <w:rFonts w:ascii="Palatino Linotype" w:eastAsia="Palatino Linotype" w:hAnsi="Palatino Linotype" w:cs="Palatino Linotype"/>
          <w:sz w:val="22"/>
          <w:szCs w:val="22"/>
        </w:rPr>
        <w:t>están</w:t>
      </w:r>
      <w:r w:rsidRPr="00613C53">
        <w:rPr>
          <w:rFonts w:ascii="Palatino Linotype" w:eastAsia="Palatino Linotype" w:hAnsi="Palatino Linotype" w:cs="Palatino Linotype"/>
          <w:color w:val="000000"/>
          <w:sz w:val="22"/>
          <w:szCs w:val="22"/>
        </w:rPr>
        <w:t xml:space="preserve"> programados para acudir al curso de competencias básicas y formación inicial en el año 2024?</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respuesta entregó el directorio de la administración pública municipal 2022 – 2024. Al respecto, el Recurrente se </w:t>
      </w:r>
      <w:r w:rsidRPr="00613C53">
        <w:rPr>
          <w:rFonts w:ascii="Palatino Linotype" w:eastAsia="Palatino Linotype" w:hAnsi="Palatino Linotype" w:cs="Palatino Linotype"/>
        </w:rPr>
        <w:t>inconformó</w:t>
      </w:r>
      <w:r w:rsidRPr="00613C53">
        <w:rPr>
          <w:rFonts w:ascii="Palatino Linotype" w:eastAsia="Palatino Linotype" w:hAnsi="Palatino Linotype" w:cs="Palatino Linotype"/>
          <w:color w:val="000000"/>
        </w:rPr>
        <w:t xml:space="preserve"> por la entrega de información que no corresponde a lo solicitado.</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Por lo tanto, el presente recurso de revisión se circunscribe en determinar si se actualiza las causales de procedencia contenidas en el artículo 179 fracción VI relativa a la </w:t>
      </w:r>
      <w:r w:rsidRPr="00613C53">
        <w:rPr>
          <w:rFonts w:ascii="Palatino Linotype" w:eastAsia="Palatino Linotype" w:hAnsi="Palatino Linotype" w:cs="Palatino Linotype"/>
          <w:color w:val="000000"/>
        </w:rPr>
        <w:lastRenderedPageBreak/>
        <w:t>entrega de información que no corresponde a lo solicitado, de la Ley de Transparencia y Acceso a la Información Pública del Estado de México y Municipios.</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CUARTO. Estudio y Resolución del asunto.</w:t>
      </w:r>
    </w:p>
    <w:p w:rsidR="00A83BD3" w:rsidRPr="00613C53" w:rsidRDefault="00F41D15">
      <w:pPr>
        <w:numPr>
          <w:ilvl w:val="3"/>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De la atención a la solicitud de información.</w:t>
      </w:r>
    </w:p>
    <w:p w:rsidR="00A83BD3" w:rsidRPr="00613C53" w:rsidRDefault="00F41D15">
      <w:pPr>
        <w:pBdr>
          <w:top w:val="nil"/>
          <w:left w:val="nil"/>
          <w:bottom w:val="nil"/>
          <w:right w:val="nil"/>
          <w:between w:val="nil"/>
        </w:pBdr>
        <w:spacing w:line="360" w:lineRule="auto"/>
        <w:ind w:left="284" w:right="-646"/>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a) De la fuente obligacional</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 </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Definiendo el Derecho de Acceso a la Información Pública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w:t>
      </w:r>
      <w:r w:rsidRPr="00613C53">
        <w:rPr>
          <w:rFonts w:ascii="Palatino Linotype" w:eastAsia="Palatino Linotype" w:hAnsi="Palatino Linotype" w:cs="Palatino Linotype"/>
          <w:color w:val="000000"/>
        </w:rPr>
        <w:lastRenderedPageBreak/>
        <w:t xml:space="preserve">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w:t>
      </w:r>
      <w:r w:rsidRPr="00613C53">
        <w:rPr>
          <w:rFonts w:ascii="Palatino Linotype" w:eastAsia="Palatino Linotype" w:hAnsi="Palatino Linotype" w:cs="Palatino Linotype"/>
        </w:rPr>
        <w:t>languidecerá</w:t>
      </w:r>
      <w:r w:rsidRPr="00613C53">
        <w:rPr>
          <w:rFonts w:ascii="Palatino Linotype" w:eastAsia="Palatino Linotype" w:hAnsi="Palatino Linotype" w:cs="Palatino Linotype"/>
          <w:color w:val="000000"/>
        </w:rPr>
        <w:t xml:space="preserve"> y la participación en el gobierno </w:t>
      </w:r>
      <w:r w:rsidRPr="00613C53">
        <w:rPr>
          <w:rFonts w:ascii="Palatino Linotype" w:eastAsia="Palatino Linotype" w:hAnsi="Palatino Linotype" w:cs="Palatino Linotype"/>
        </w:rPr>
        <w:t>permanece</w:t>
      </w:r>
      <w:r w:rsidRPr="00613C53">
        <w:rPr>
          <w:rFonts w:ascii="Palatino Linotype" w:eastAsia="Palatino Linotype" w:hAnsi="Palatino Linotype" w:cs="Palatino Linotype"/>
          <w:color w:val="000000"/>
        </w:rPr>
        <w:t xml:space="preserve"> fragmentada.</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Se deduce que el derecho de acceso a la información pública es un derecho humano constitucionalmente reconocido, en consecuencia, todas las autoridades en el ámbito de sus competencias, funciones y atribuciones tienen la obligación de respetarlo, protegerlo y </w:t>
      </w:r>
      <w:r w:rsidRPr="00613C53">
        <w:rPr>
          <w:rFonts w:ascii="Palatino Linotype" w:eastAsia="Palatino Linotype" w:hAnsi="Palatino Linotype" w:cs="Palatino Linotype"/>
        </w:rPr>
        <w:t>garantizar</w:t>
      </w:r>
      <w:r w:rsidRPr="00613C53">
        <w:rPr>
          <w:rFonts w:ascii="Palatino Linotype" w:eastAsia="Palatino Linotype" w:hAnsi="Palatino Linotype" w:cs="Palatino Linotype"/>
          <w:color w:val="000000"/>
        </w:rPr>
        <w:t>.</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tal sentido, el derecho de acceso a la información constituye una garantía primaria, tal y como lo señala el artículo 150 de la Ley de Transparencia y Acceso a la Información del Estado de México y Municipios, que además, establece que se regirá por los principios de simplicidad, rapidez gratuidad del procedimiento, auxilio y orientación a los particulares, contemplando el derecho de las personas con discapacidad y hablantes de lengua indígena. </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w:t>
      </w:r>
      <w:r w:rsidRPr="00613C53">
        <w:rPr>
          <w:rFonts w:ascii="Palatino Linotype" w:eastAsia="Palatino Linotype" w:hAnsi="Palatino Linotype" w:cs="Palatino Linotype"/>
          <w:color w:val="000000"/>
        </w:rPr>
        <w:lastRenderedPageBreak/>
        <w:t xml:space="preserve">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Establecido lo anterior, resulta evidente que las razones o motivos de inconformidad hechos valer en el recurso de revisión resultan fundadas y procedentes, debido a que el SUJETO OBLIGADO proporcionó información que no corresponde con lo solicitado.</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b/>
          <w:i/>
          <w:color w:val="000000"/>
          <w:sz w:val="22"/>
          <w:szCs w:val="22"/>
        </w:rPr>
      </w:pPr>
      <w:r w:rsidRPr="00613C53">
        <w:rPr>
          <w:rFonts w:ascii="Palatino Linotype" w:eastAsia="Palatino Linotype" w:hAnsi="Palatino Linotype" w:cs="Palatino Linotype"/>
          <w:b/>
          <w:i/>
          <w:color w:val="000000"/>
          <w:sz w:val="22"/>
          <w:szCs w:val="22"/>
        </w:rPr>
        <w:t>“CRITERIO 0002-11</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b/>
          <w:i/>
          <w:color w:val="000000"/>
          <w:sz w:val="22"/>
          <w:szCs w:val="22"/>
        </w:rPr>
        <w:t>INFORMACIÓN PÚBLICA, CONCEPTO DE, EN MATERIA DE TRANSPARENCIA. INTERPRETACIÓN TEMÁTICA DE LOS ARTÍCULOS 2, FRACCIÓN V, XV, Y XVI, 3, 4,11 Y 41</w:t>
      </w:r>
      <w:r w:rsidRPr="00613C53">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613C53">
        <w:rPr>
          <w:rFonts w:ascii="Palatino Linotype" w:eastAsia="Palatino Linotype" w:hAnsi="Palatino Linotype" w:cs="Palatino Linotype"/>
          <w:i/>
          <w:color w:val="000000"/>
          <w:sz w:val="22"/>
          <w:szCs w:val="22"/>
        </w:rPr>
        <w:lastRenderedPageBreak/>
        <w:t>órganos u organismos públicos, en virtud del ejercicio de sus funciones de derecho público, sin importar su fuente, soporte o fecha de elaboración.</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 encuentre en posesión de los Sujetos Obligados.”</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b/>
          <w:i/>
          <w:color w:val="000000"/>
          <w:sz w:val="22"/>
          <w:szCs w:val="22"/>
        </w:rPr>
        <w:t>XI. Documento:</w:t>
      </w:r>
      <w:r w:rsidRPr="00613C53">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b/>
          <w:i/>
          <w:color w:val="000000"/>
          <w:sz w:val="22"/>
          <w:szCs w:val="22"/>
        </w:rPr>
        <w:t>Artículo 4.</w:t>
      </w:r>
      <w:r w:rsidRPr="00613C53">
        <w:rPr>
          <w:rFonts w:ascii="Palatino Linotype" w:eastAsia="Palatino Linotype" w:hAnsi="Palatino Linotype" w:cs="Palatino Linotype"/>
          <w:i/>
          <w:color w:val="000000"/>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b/>
          <w:i/>
          <w:color w:val="000000"/>
          <w:sz w:val="22"/>
          <w:szCs w:val="22"/>
        </w:rPr>
        <w:t>Artículo 12.</w:t>
      </w:r>
      <w:r w:rsidRPr="00613C53">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613C53">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 xml:space="preserve">Como se ha señalado, los Sujetos Obligados deberán proporcionar toda la información que se encuentre en su posesión bajo los estándares más altos de transparencia y máxima publicidad. </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Es pertinente enfatizar lo que respecto al derecho de acceso a la información pública, refiere el artículo 6° de la Constitución Política de los Estados Unidos Mexicanos, que en su parte conducente señala:</w:t>
      </w: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b/>
          <w:i/>
          <w:color w:val="000000"/>
          <w:sz w:val="22"/>
          <w:szCs w:val="22"/>
        </w:rPr>
        <w:t>“Artículo 6o.</w:t>
      </w:r>
      <w:r w:rsidRPr="00613C53">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Toda persona tiene derecho al libre acceso a información plural y oportuna, así como a buscar, recibir y difundir información e ideas de toda índole por cualquier medio de expresión.</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Para efectos de lo dispuesto en el presente artículo se observará lo siguiente:</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numPr>
          <w:ilvl w:val="4"/>
          <w:numId w:val="11"/>
        </w:numPr>
        <w:pBdr>
          <w:top w:val="nil"/>
          <w:left w:val="nil"/>
          <w:bottom w:val="nil"/>
          <w:right w:val="nil"/>
          <w:between w:val="nil"/>
        </w:pBdr>
        <w:spacing w:line="360" w:lineRule="auto"/>
        <w:ind w:left="567" w:right="-220" w:firstLine="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Para el ejercicio del derecho de acceso a la información, la Federación, los Estados y el Distrito Federal, en el ámbito de sus respectivas competencias, se regirán por los siguientes principios y bases:</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w:t>
      </w:r>
      <w:r w:rsidRPr="00613C53">
        <w:rPr>
          <w:rFonts w:ascii="Palatino Linotype" w:eastAsia="Palatino Linotype" w:hAnsi="Palatino Linotype" w:cs="Palatino Linotype"/>
          <w:i/>
          <w:color w:val="000000"/>
          <w:sz w:val="22"/>
          <w:szCs w:val="22"/>
        </w:rPr>
        <w:lastRenderedPageBreak/>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La información que se refiere a la vida privada y los datos personales será protegida en los términos y con las excepciones que fijen las leyes.</w:t>
      </w: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Toda persona, sin necesidad de acreditar interés alguno o justificar su utilización, tendrá acceso gratuito a la información pública, a sus datos personales o a la rectificación de éstos.</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A83BD3" w:rsidRPr="00613C53" w:rsidRDefault="00A83BD3">
      <w:pPr>
        <w:spacing w:line="360" w:lineRule="auto"/>
        <w:ind w:left="567" w:right="-220"/>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w:t>
      </w: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lastRenderedPageBreak/>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w:t>
      </w:r>
    </w:p>
    <w:p w:rsidR="00A83BD3" w:rsidRPr="00613C53" w:rsidRDefault="00F41D15">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La ley establecerá aquella información que se considere reservada o confidencial.”</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b/>
          <w:i/>
          <w:color w:val="000000"/>
          <w:sz w:val="22"/>
          <w:szCs w:val="22"/>
        </w:rPr>
      </w:pPr>
      <w:r w:rsidRPr="00613C53">
        <w:rPr>
          <w:rFonts w:ascii="Palatino Linotype" w:eastAsia="Palatino Linotype" w:hAnsi="Palatino Linotype" w:cs="Palatino Linotype"/>
          <w:b/>
          <w:i/>
          <w:color w:val="000000"/>
          <w:sz w:val="22"/>
          <w:szCs w:val="22"/>
        </w:rPr>
        <w:t xml:space="preserve">“Artículo 5. … </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b/>
          <w:i/>
          <w:color w:val="000000"/>
          <w:sz w:val="22"/>
          <w:szCs w:val="22"/>
        </w:rPr>
        <w:t>El derecho a la información será garantizado por el Estado</w:t>
      </w:r>
      <w:r w:rsidRPr="00613C53">
        <w:rPr>
          <w:rFonts w:ascii="Palatino Linotype" w:eastAsia="Palatino Linotype" w:hAnsi="Palatino Linotype" w:cs="Palatino Linotype"/>
          <w:i/>
          <w:color w:val="000000"/>
          <w:sz w:val="22"/>
          <w:szCs w:val="22"/>
        </w:rPr>
        <w:t xml:space="preserve">. La ley establecerá las previsiones que permitan asegurar la protección, el respeto y la difusión de este derecho. </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83BD3" w:rsidRPr="00613C53" w:rsidRDefault="00A83BD3">
      <w:pPr>
        <w:spacing w:line="360" w:lineRule="auto"/>
        <w:ind w:left="567" w:right="-79"/>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Este derecho se regirá por los principios y bases siguientes:</w:t>
      </w:r>
    </w:p>
    <w:p w:rsidR="00A83BD3" w:rsidRPr="00613C53" w:rsidRDefault="00A83BD3">
      <w:pPr>
        <w:spacing w:line="360" w:lineRule="auto"/>
        <w:ind w:left="567" w:right="-79"/>
        <w:jc w:val="both"/>
        <w:rPr>
          <w:rFonts w:ascii="Palatino Linotype" w:eastAsia="Palatino Linotype" w:hAnsi="Palatino Linotype" w:cs="Palatino Linotype"/>
          <w:i/>
          <w:color w:val="000000"/>
          <w:sz w:val="22"/>
          <w:szCs w:val="22"/>
        </w:rPr>
      </w:pPr>
    </w:p>
    <w:p w:rsidR="00A83BD3" w:rsidRPr="00613C53" w:rsidRDefault="00F41D15">
      <w:pPr>
        <w:numPr>
          <w:ilvl w:val="3"/>
          <w:numId w:val="11"/>
        </w:numPr>
        <w:pBdr>
          <w:top w:val="nil"/>
          <w:left w:val="nil"/>
          <w:bottom w:val="nil"/>
          <w:right w:val="nil"/>
          <w:between w:val="nil"/>
        </w:pBdr>
        <w:spacing w:line="360" w:lineRule="auto"/>
        <w:ind w:left="567" w:right="-79" w:firstLine="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b/>
          <w:i/>
          <w:color w:val="000000"/>
          <w:sz w:val="22"/>
          <w:szCs w:val="22"/>
        </w:rPr>
        <w:t>Toda la información en posesión de cualquier autoridad</w:t>
      </w:r>
      <w:r w:rsidRPr="00613C53">
        <w:rPr>
          <w:rFonts w:ascii="Palatino Linotype" w:eastAsia="Palatino Linotype" w:hAnsi="Palatino Linotype" w:cs="Palatino Linotype"/>
          <w:i/>
          <w:color w:val="000000"/>
          <w:sz w:val="22"/>
          <w:szCs w:val="22"/>
        </w:rPr>
        <w:t xml:space="preserve">, entidad, órgano y organismos de los Poderes Ejecutivo, Legislativo y Judicial, órganos autónomos, partidos políticos, fideicomisos y fondos públicos estatales y municipales, </w:t>
      </w:r>
      <w:r w:rsidRPr="00613C53">
        <w:rPr>
          <w:rFonts w:ascii="Palatino Linotype" w:eastAsia="Palatino Linotype" w:hAnsi="Palatino Linotype" w:cs="Palatino Linotype"/>
          <w:b/>
          <w:i/>
          <w:color w:val="000000"/>
          <w:sz w:val="22"/>
          <w:szCs w:val="22"/>
        </w:rPr>
        <w:t>así como del gobierno y de la administración pública municipal y sus organismos descentralizados</w:t>
      </w:r>
      <w:r w:rsidRPr="00613C53">
        <w:rPr>
          <w:rFonts w:ascii="Palatino Linotype" w:eastAsia="Palatino Linotype" w:hAnsi="Palatino Linotype" w:cs="Palatino Linotype"/>
          <w:i/>
          <w:color w:val="000000"/>
          <w:sz w:val="22"/>
          <w:szCs w:val="22"/>
        </w:rPr>
        <w:t xml:space="preserve">, asimismo de cualquier persona física, jurídica colectiva o sindicato que reciba y ejerza recursos públicos o </w:t>
      </w:r>
      <w:r w:rsidRPr="00613C53">
        <w:rPr>
          <w:rFonts w:ascii="Palatino Linotype" w:eastAsia="Palatino Linotype" w:hAnsi="Palatino Linotype" w:cs="Palatino Linotype"/>
          <w:i/>
          <w:color w:val="000000"/>
          <w:sz w:val="22"/>
          <w:szCs w:val="22"/>
        </w:rPr>
        <w:lastRenderedPageBreak/>
        <w:t xml:space="preserve">realice actos de autoridad en el ámbito estatal y municipal, </w:t>
      </w:r>
      <w:r w:rsidRPr="00613C53">
        <w:rPr>
          <w:rFonts w:ascii="Palatino Linotype" w:eastAsia="Palatino Linotype" w:hAnsi="Palatino Linotype" w:cs="Palatino Linotype"/>
          <w:b/>
          <w:i/>
          <w:color w:val="000000"/>
          <w:sz w:val="22"/>
          <w:szCs w:val="22"/>
        </w:rPr>
        <w:t>es pública</w:t>
      </w:r>
      <w:r w:rsidRPr="00613C53">
        <w:rPr>
          <w:rFonts w:ascii="Palatino Linotype" w:eastAsia="Palatino Linotype" w:hAnsi="Palatino Linotype" w:cs="Palatino Linotype"/>
          <w:i/>
          <w:color w:val="000000"/>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83BD3" w:rsidRPr="00613C53" w:rsidRDefault="00F41D15">
      <w:pPr>
        <w:numPr>
          <w:ilvl w:val="3"/>
          <w:numId w:val="11"/>
        </w:numPr>
        <w:pBdr>
          <w:top w:val="nil"/>
          <w:left w:val="nil"/>
          <w:bottom w:val="nil"/>
          <w:right w:val="nil"/>
          <w:between w:val="nil"/>
        </w:pBdr>
        <w:spacing w:line="360" w:lineRule="auto"/>
        <w:ind w:left="567" w:right="-79" w:firstLine="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La información referente a la intimidad de la vida privada y la imagen de las personas será protegida a través de un marco jurídico rígido de tratamiento y manejo de datos personales, con las excepciones que establezca la ley reglamentaria.</w:t>
      </w:r>
    </w:p>
    <w:p w:rsidR="00A83BD3" w:rsidRPr="00613C53" w:rsidRDefault="00F41D15">
      <w:pPr>
        <w:numPr>
          <w:ilvl w:val="3"/>
          <w:numId w:val="11"/>
        </w:numPr>
        <w:pBdr>
          <w:top w:val="nil"/>
          <w:left w:val="nil"/>
          <w:bottom w:val="nil"/>
          <w:right w:val="nil"/>
          <w:between w:val="nil"/>
        </w:pBdr>
        <w:spacing w:line="360" w:lineRule="auto"/>
        <w:ind w:left="567" w:right="-79" w:firstLine="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Toda persona, sin necesidad de acreditar interés alguno o justificar su utilización, tendrá acceso gratuito a la información pública, a sus datos personales o a la rectificación de éstos.</w:t>
      </w:r>
    </w:p>
    <w:p w:rsidR="00A83BD3" w:rsidRPr="00613C53" w:rsidRDefault="00F41D15">
      <w:pPr>
        <w:numPr>
          <w:ilvl w:val="3"/>
          <w:numId w:val="11"/>
        </w:numPr>
        <w:pBdr>
          <w:top w:val="nil"/>
          <w:left w:val="nil"/>
          <w:bottom w:val="nil"/>
          <w:right w:val="nil"/>
          <w:between w:val="nil"/>
        </w:pBdr>
        <w:spacing w:line="360" w:lineRule="auto"/>
        <w:ind w:left="567" w:right="-79" w:firstLine="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el organismo autónomo especializado e imparcial que establece esta Constitución.</w:t>
      </w:r>
    </w:p>
    <w:p w:rsidR="00A83BD3" w:rsidRPr="00613C53" w:rsidRDefault="00F41D15">
      <w:pPr>
        <w:numPr>
          <w:ilvl w:val="3"/>
          <w:numId w:val="11"/>
        </w:numPr>
        <w:pBdr>
          <w:top w:val="nil"/>
          <w:left w:val="nil"/>
          <w:bottom w:val="nil"/>
          <w:right w:val="nil"/>
          <w:between w:val="nil"/>
        </w:pBdr>
        <w:spacing w:line="360" w:lineRule="auto"/>
        <w:ind w:left="567" w:right="-79" w:firstLine="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83BD3" w:rsidRPr="00613C53" w:rsidRDefault="00F41D15">
      <w:pPr>
        <w:numPr>
          <w:ilvl w:val="3"/>
          <w:numId w:val="11"/>
        </w:numPr>
        <w:pBdr>
          <w:top w:val="nil"/>
          <w:left w:val="nil"/>
          <w:bottom w:val="nil"/>
          <w:right w:val="nil"/>
          <w:between w:val="nil"/>
        </w:pBdr>
        <w:spacing w:line="360" w:lineRule="auto"/>
        <w:ind w:left="567" w:right="-79" w:firstLine="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b/>
          <w:i/>
          <w:color w:val="000000"/>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613C53">
        <w:rPr>
          <w:rFonts w:ascii="Palatino Linotype" w:eastAsia="Palatino Linotype" w:hAnsi="Palatino Linotype" w:cs="Palatino Linotype"/>
          <w:b/>
          <w:i/>
          <w:color w:val="000000"/>
          <w:sz w:val="22"/>
          <w:szCs w:val="22"/>
        </w:rPr>
        <w:lastRenderedPageBreak/>
        <w:t>públicos</w:t>
      </w:r>
      <w:r w:rsidRPr="00613C53">
        <w:rPr>
          <w:rFonts w:ascii="Palatino Linotype" w:eastAsia="Palatino Linotype" w:hAnsi="Palatino Linotype" w:cs="Palatino Linotype"/>
          <w:i/>
          <w:color w:val="000000"/>
          <w:sz w:val="22"/>
          <w:szCs w:val="22"/>
        </w:rPr>
        <w:t xml:space="preserve"> y los indicadores que permitan rendir cuenta del cumplimiento de sus objetivos y los resultados obtenidos.</w:t>
      </w:r>
    </w:p>
    <w:p w:rsidR="00A83BD3" w:rsidRPr="00613C53" w:rsidRDefault="00F41D15">
      <w:pPr>
        <w:numPr>
          <w:ilvl w:val="3"/>
          <w:numId w:val="11"/>
        </w:numPr>
        <w:pBdr>
          <w:top w:val="nil"/>
          <w:left w:val="nil"/>
          <w:bottom w:val="nil"/>
          <w:right w:val="nil"/>
          <w:between w:val="nil"/>
        </w:pBdr>
        <w:spacing w:line="360" w:lineRule="auto"/>
        <w:ind w:left="567" w:right="-79" w:firstLine="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La ley reglamentaria, determinará la manera en que los sujetos obligados deberán hacer pública la información relativa a los recursos públicos que entreguen a personas físicas o jurídicas colectivas.”</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Adicional, tenemos que la Ley de Transparencia y Acceso a la Información Pública del Estado de México y Municipios, prevé en su artículo 23 fracción I, lo siguiente:</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b/>
          <w:i/>
          <w:color w:val="000000"/>
          <w:sz w:val="22"/>
          <w:szCs w:val="22"/>
        </w:rPr>
        <w:t>“Artículo 23.</w:t>
      </w:r>
      <w:r w:rsidRPr="00613C53">
        <w:rPr>
          <w:rFonts w:ascii="Palatino Linotype" w:eastAsia="Palatino Linotype" w:hAnsi="Palatino Linotype" w:cs="Palatino Linotype"/>
          <w:i/>
          <w:color w:val="000000"/>
          <w:sz w:val="22"/>
          <w:szCs w:val="22"/>
        </w:rPr>
        <w:t xml:space="preserve"> Son sujetos obligados a transparentar y permitir el acceso a su información y proteger los datos personales que obren en su poder:</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I. El Poder Ejecutivo del Estado de México, las dependencias, organismos auxiliares, órganos, entidades, fideicomisos y fondos públicos, así como la Fiscalía General de Justicia del Estado de México; </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w:t>
      </w: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83BD3" w:rsidRPr="00613C53" w:rsidRDefault="00A83BD3">
      <w:pPr>
        <w:spacing w:line="360" w:lineRule="auto"/>
        <w:ind w:left="567" w:right="-79"/>
        <w:jc w:val="both"/>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567" w:right="-79"/>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Los servidores públicos deberán transparentar sus acciones así como garantizar y respetar el derecho de acceso a la información pública.”</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w:t>
      </w:r>
      <w:r w:rsidRPr="00613C53">
        <w:rPr>
          <w:rFonts w:ascii="Palatino Linotype" w:eastAsia="Palatino Linotype" w:hAnsi="Palatino Linotype" w:cs="Palatino Linotype"/>
          <w:color w:val="000000"/>
        </w:rPr>
        <w:lastRenderedPageBreak/>
        <w:t xml:space="preserve">Ciudad de México, o Municipales, con el fin de que los particulares conozcan toda aquella información que es considerada como pública. </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Por lo anterior, es de referir que, el </w:t>
      </w:r>
      <w:r w:rsidRPr="00613C53">
        <w:rPr>
          <w:rFonts w:ascii="Palatino Linotype" w:eastAsia="Palatino Linotype" w:hAnsi="Palatino Linotype" w:cs="Palatino Linotype"/>
          <w:b/>
          <w:color w:val="000000"/>
        </w:rPr>
        <w:t xml:space="preserve">Ayuntamiento de </w:t>
      </w:r>
      <w:proofErr w:type="spellStart"/>
      <w:r w:rsidRPr="00613C53">
        <w:rPr>
          <w:rFonts w:ascii="Palatino Linotype" w:eastAsia="Palatino Linotype" w:hAnsi="Palatino Linotype" w:cs="Palatino Linotype"/>
          <w:b/>
          <w:color w:val="000000"/>
        </w:rPr>
        <w:t>Xonacatlán</w:t>
      </w:r>
      <w:proofErr w:type="spellEnd"/>
      <w:r w:rsidRPr="00613C53">
        <w:rPr>
          <w:rFonts w:ascii="Palatino Linotype" w:eastAsia="Palatino Linotype" w:hAnsi="Palatino Linotype" w:cs="Palatino Linotype"/>
          <w:color w:val="000000"/>
        </w:rPr>
        <w:t>, al ser un Sujeto Obligado comprendido por la Legislación Local en materia de Transparencia, se encuentra obligado a hacer pública toda aquella información que genere, administre o posea.</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II. De las actuaciones de las partes.</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 continuación se realiza el  análisis de la información solicitada:</w:t>
      </w:r>
    </w:p>
    <w:p w:rsidR="00A83BD3" w:rsidRPr="00613C53" w:rsidRDefault="00F41D15">
      <w:pPr>
        <w:spacing w:line="360" w:lineRule="auto"/>
        <w:ind w:right="-646"/>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Número de policías municipales con el que cuenta el ayuntamiento, clasificado por áreas o departamentos.</w:t>
      </w:r>
    </w:p>
    <w:p w:rsidR="00A83BD3" w:rsidRPr="00613C53" w:rsidRDefault="00F41D15">
      <w:pPr>
        <w:spacing w:line="360" w:lineRule="auto"/>
        <w:ind w:right="-646"/>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 xml:space="preserve"> </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El particular solicitó conocer el número de elementos de seguridad con los que cuenta actualmente el Ayuntamiento de </w:t>
      </w:r>
      <w:proofErr w:type="spellStart"/>
      <w:r w:rsidRPr="00613C53">
        <w:rPr>
          <w:rFonts w:ascii="Palatino Linotype" w:eastAsia="Palatino Linotype" w:hAnsi="Palatino Linotype" w:cs="Palatino Linotype"/>
          <w:color w:val="000000"/>
        </w:rPr>
        <w:t>Xonacatlán</w:t>
      </w:r>
      <w:proofErr w:type="spellEnd"/>
      <w:r w:rsidRPr="00613C53">
        <w:rPr>
          <w:rFonts w:ascii="Palatino Linotype" w:eastAsia="Palatino Linotype" w:hAnsi="Palatino Linotype" w:cs="Palatino Linotype"/>
          <w:color w:val="000000"/>
        </w:rPr>
        <w:t xml:space="preserve">. Es de vital importancia destacar que los requerimientos formulados por el particular, van encaminados a conocer un </w:t>
      </w:r>
      <w:r w:rsidRPr="00613C53">
        <w:rPr>
          <w:rFonts w:ascii="Palatino Linotype" w:eastAsia="Palatino Linotype" w:hAnsi="Palatino Linotype" w:cs="Palatino Linotype"/>
          <w:b/>
          <w:color w:val="000000"/>
        </w:rPr>
        <w:t>dato estadístico</w:t>
      </w:r>
      <w:r w:rsidRPr="00613C53">
        <w:rPr>
          <w:rFonts w:ascii="Palatino Linotype" w:eastAsia="Palatino Linotype" w:hAnsi="Palatino Linotype" w:cs="Palatino Linotype"/>
          <w:color w:val="000000"/>
        </w:rPr>
        <w:t>, luego entonces en términos de los criterios emitidos por el Instituto Federal de Transparencia, Acceso a la Información Pública y Protección de Datos Personales ahora Instituto Nacional de Transparencia, Acceso a la Información Pública y Protección de Datos Personales:</w:t>
      </w:r>
    </w:p>
    <w:p w:rsidR="00A83BD3" w:rsidRPr="00613C53" w:rsidRDefault="00A83BD3">
      <w:pPr>
        <w:spacing w:line="360" w:lineRule="auto"/>
        <w:ind w:right="-646"/>
        <w:rPr>
          <w:rFonts w:ascii="Palatino Linotype" w:eastAsia="Palatino Linotype" w:hAnsi="Palatino Linotype" w:cs="Palatino Linotype"/>
        </w:rPr>
      </w:pPr>
    </w:p>
    <w:p w:rsidR="00A83BD3" w:rsidRPr="00613C53" w:rsidRDefault="00F41D15">
      <w:pPr>
        <w:spacing w:line="360" w:lineRule="auto"/>
        <w:ind w:left="426" w:right="-646"/>
        <w:jc w:val="both"/>
        <w:rPr>
          <w:rFonts w:ascii="Palatino Linotype" w:eastAsia="Palatino Linotype" w:hAnsi="Palatino Linotype" w:cs="Palatino Linotype"/>
          <w:i/>
          <w:color w:val="000000"/>
        </w:rPr>
      </w:pPr>
      <w:r w:rsidRPr="00613C53">
        <w:rPr>
          <w:rFonts w:ascii="Palatino Linotype" w:eastAsia="Palatino Linotype" w:hAnsi="Palatino Linotype" w:cs="Palatino Linotype"/>
          <w:b/>
          <w:i/>
          <w:color w:val="000000"/>
        </w:rPr>
        <w:t xml:space="preserve">“Bases de datos. Deberá otorgarse acceso a las mismas, en el formato en el que obren en los archivos de los sujetos obligados, a fin de garantizar la libre explotación, manipulación y reutilización de la información que contienen. </w:t>
      </w:r>
      <w:r w:rsidRPr="00613C53">
        <w:rPr>
          <w:rFonts w:ascii="Palatino Linotype" w:eastAsia="Palatino Linotype" w:hAnsi="Palatino Linotype" w:cs="Palatino Linotype"/>
          <w:i/>
          <w:color w:val="000000"/>
        </w:rPr>
        <w:t xml:space="preserve">Uno de los objetivos de la </w:t>
      </w:r>
      <w:r w:rsidRPr="00613C53">
        <w:rPr>
          <w:rFonts w:ascii="Palatino Linotype" w:eastAsia="Palatino Linotype" w:hAnsi="Palatino Linotype" w:cs="Palatino Linotype"/>
          <w:i/>
          <w:color w:val="000000"/>
        </w:rPr>
        <w:lastRenderedPageBreak/>
        <w:t>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rsidR="00A83BD3" w:rsidRPr="00613C53" w:rsidRDefault="00F41D15">
      <w:pPr>
        <w:spacing w:line="360" w:lineRule="auto"/>
        <w:ind w:left="426"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b/>
          <w:i/>
          <w:color w:val="000000"/>
        </w:rPr>
        <w:t xml:space="preserve">La información estadística es de naturaleza pública, independientemente de la materia con la que se encuentre vinculada. </w:t>
      </w:r>
      <w:r w:rsidRPr="00613C53">
        <w:rPr>
          <w:rFonts w:ascii="Palatino Linotype" w:eastAsia="Palatino Linotype" w:hAnsi="Palatino Linotype" w:cs="Palatino Linotype"/>
          <w:i/>
          <w:color w:val="000000"/>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w:t>
      </w:r>
      <w:r w:rsidRPr="00613C53">
        <w:rPr>
          <w:rFonts w:ascii="Palatino Linotype" w:eastAsia="Palatino Linotype" w:hAnsi="Palatino Linotype" w:cs="Palatino Linotype"/>
          <w:i/>
          <w:color w:val="000000"/>
        </w:rPr>
        <w:lastRenderedPageBreak/>
        <w:t>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A83BD3" w:rsidRPr="00613C53" w:rsidRDefault="00A83BD3">
      <w:pPr>
        <w:spacing w:line="360" w:lineRule="auto"/>
        <w:ind w:left="851"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Es así que, la información estadística, independientemente de la materia con la que se encuentre vinculada, no es susceptible de ser clasificada, por lo que debe ordenarse su entrega. </w:t>
      </w:r>
    </w:p>
    <w:p w:rsidR="00A83BD3" w:rsidRPr="00613C53" w:rsidRDefault="00A83BD3">
      <w:pPr>
        <w:pBdr>
          <w:top w:val="nil"/>
          <w:left w:val="nil"/>
          <w:bottom w:val="nil"/>
          <w:right w:val="nil"/>
          <w:between w:val="nil"/>
        </w:pBdr>
        <w:tabs>
          <w:tab w:val="left" w:pos="567"/>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Asimismo, el artículo 109 de la Ley General del Sistema Nacional de Seguridad Pública, establece que la Federación, las entidades federativas y los Municipios, entre los que se encuentra </w:t>
      </w:r>
      <w:proofErr w:type="spellStart"/>
      <w:r w:rsidRPr="00613C53">
        <w:rPr>
          <w:rFonts w:ascii="Palatino Linotype" w:eastAsia="Palatino Linotype" w:hAnsi="Palatino Linotype" w:cs="Palatino Linotype"/>
          <w:color w:val="000000"/>
        </w:rPr>
        <w:t>Xonacatlán</w:t>
      </w:r>
      <w:proofErr w:type="spellEnd"/>
      <w:r w:rsidRPr="00613C53">
        <w:rPr>
          <w:rFonts w:ascii="Palatino Linotype" w:eastAsia="Palatino Linotype" w:hAnsi="Palatino Linotype" w:cs="Palatino Linotype"/>
          <w:color w:val="000000"/>
        </w:rPr>
        <w:t>, suministrarán, consultarán y actualizarán la información que se genere sobre seguridad pública en el Sistema Nacional de Información.</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ese orden de ideas, el artículo 122, establece que el Registro Nacional de Personal de Seguridad Pública, es la base de datos del Sistema Nacional de Información, que contendrá la información actualizada de los integrantes de las Instituciones de Seguridad Pública, entre otros de los </w:t>
      </w:r>
      <w:r w:rsidRPr="00613C53">
        <w:rPr>
          <w:rFonts w:ascii="Palatino Linotype" w:eastAsia="Palatino Linotype" w:hAnsi="Palatino Linotype" w:cs="Palatino Linotype"/>
        </w:rPr>
        <w:t>municipios</w:t>
      </w:r>
      <w:r w:rsidRPr="00613C53">
        <w:rPr>
          <w:rFonts w:ascii="Palatino Linotype" w:eastAsia="Palatino Linotype" w:hAnsi="Palatino Linotype" w:cs="Palatino Linotype"/>
          <w:color w:val="000000"/>
        </w:rPr>
        <w:t>.</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Como se logró verificar en párrafos anteriores, el Sujeto Obligado debe contar con información actualizada de los policías municipales, además que realiza diversas estadísticas, tan es así que conocer cuántos de estos, realizaron sus evaluaciones y entraron al servicio; por lo que, si bien no elabora una estadística con el nivel de desglose solicitado, también lo es, que si cuenta con documentos de los cuales se desprende el número total de policías con los que cuenta el Ayuntamiento, tales como la nómina general o el tabulador de sueldos previamente analizados.</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En ese sentido, para atender el requerimiento, deberá realizar una búsqueda exhaustiva y razonable del documento que contenga el número de policías municipales, a la fecha de la solicitud.</w:t>
      </w:r>
    </w:p>
    <w:p w:rsidR="00A83BD3" w:rsidRPr="00613C53" w:rsidRDefault="00A83BD3">
      <w:pPr>
        <w:spacing w:line="360" w:lineRule="auto"/>
        <w:ind w:right="-646"/>
        <w:jc w:val="both"/>
        <w:rPr>
          <w:rFonts w:ascii="Palatino Linotype" w:eastAsia="Palatino Linotype" w:hAnsi="Palatino Linotype" w:cs="Palatino Linotype"/>
          <w:b/>
          <w:color w:val="000000"/>
        </w:rPr>
      </w:pPr>
    </w:p>
    <w:p w:rsidR="00A83BD3" w:rsidRPr="00613C53" w:rsidRDefault="00F41D15">
      <w:pPr>
        <w:numPr>
          <w:ilvl w:val="0"/>
          <w:numId w:val="7"/>
        </w:numPr>
        <w:pBdr>
          <w:top w:val="nil"/>
          <w:left w:val="nil"/>
          <w:bottom w:val="nil"/>
          <w:right w:val="nil"/>
          <w:between w:val="nil"/>
        </w:pBdr>
        <w:spacing w:line="360" w:lineRule="auto"/>
        <w:ind w:left="567" w:right="-646"/>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 xml:space="preserve">El sueldo bruto y neto que reciben los policías según su categoría, así como un histórico del sueldo que ha recibido desde 2022 y en caso de que se contemple un aumento salarial, especificar el monto y él recuso con el que se estará pagando. </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color w:val="000000"/>
        </w:rPr>
        <w:t xml:space="preserve">En relación al salario bruto, salario neto, salario integrado, gratificaciones y compensaciones es importante traer a contexto lo estipulado en la fracción XXXII del artículo 3 del Código Financiero del Estado de México y Municipios establece que </w:t>
      </w:r>
      <w:r w:rsidRPr="00613C53">
        <w:rPr>
          <w:rFonts w:ascii="Palatino Linotype" w:eastAsia="Palatino Linotype" w:hAnsi="Palatino Linotype" w:cs="Palatino Linotype"/>
          <w:b/>
          <w:color w:val="000000"/>
        </w:rPr>
        <w:t>la remuneración consiste en los pagos hechos por concepto de sueldo, compensaciones, gratificaciones, habitación, primas, comisiones, prestaciones, en especie y cualquier otra percepción o prestación que se entregue al servidor por su trabajo.</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Artículo 3.- Para efectos de este Código, Ley de Ingresos del Estado y del Presupuesto de Egresos se entenderá por:</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lastRenderedPageBreak/>
        <w:t>(…)</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A83BD3">
      <w:pPr>
        <w:spacing w:line="360" w:lineRule="auto"/>
        <w:ind w:left="864" w:right="-646"/>
        <w:jc w:val="both"/>
        <w:rPr>
          <w:rFonts w:ascii="Palatino Linotype" w:eastAsia="Palatino Linotype" w:hAnsi="Palatino Linotype" w:cs="Palatino Linotype"/>
          <w:i/>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De igual forma, la Ley del Trabajo de los Servidores Públicos del Estado y Municipios, en su artículo 220 K, establece los documentos que tiene la obligación de conservar </w:t>
      </w:r>
      <w:r w:rsidRPr="00613C53">
        <w:rPr>
          <w:rFonts w:ascii="Palatino Linotype" w:eastAsia="Palatino Linotype" w:hAnsi="Palatino Linotype" w:cs="Palatino Linotype"/>
          <w:b/>
          <w:color w:val="000000"/>
        </w:rPr>
        <w:t>EL SUJETO OBLIGADO,</w:t>
      </w:r>
      <w:r w:rsidRPr="00613C53">
        <w:rPr>
          <w:rFonts w:ascii="Palatino Linotype" w:eastAsia="Palatino Linotype" w:hAnsi="Palatino Linotype" w:cs="Palatino Linotype"/>
          <w:color w:val="000000"/>
        </w:rPr>
        <w:t xml:space="preserve"> entre los que se encuentran los recibos de pagos, por lo tanto, se inserta lo siguiente: </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220 K.-</w:t>
      </w:r>
      <w:r w:rsidRPr="00613C53">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A83BD3" w:rsidRPr="00613C53" w:rsidRDefault="00A83BD3">
      <w:pPr>
        <w:spacing w:line="360" w:lineRule="auto"/>
        <w:ind w:left="864" w:right="-220"/>
        <w:jc w:val="both"/>
        <w:rPr>
          <w:rFonts w:ascii="Palatino Linotype" w:eastAsia="Palatino Linotype" w:hAnsi="Palatino Linotype" w:cs="Palatino Linotype"/>
          <w:i/>
          <w:sz w:val="22"/>
          <w:szCs w:val="22"/>
        </w:rPr>
      </w:pP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r w:rsidRPr="00613C53">
        <w:rPr>
          <w:rFonts w:ascii="Palatino Linotype" w:eastAsia="Palatino Linotype" w:hAnsi="Palatino Linotype" w:cs="Palatino Linotype"/>
          <w:b/>
          <w:i/>
          <w:sz w:val="22"/>
          <w:szCs w:val="22"/>
        </w:rPr>
        <w:t>;</w:t>
      </w:r>
    </w:p>
    <w:p w:rsidR="00A83BD3" w:rsidRPr="00613C53" w:rsidRDefault="00F41D15">
      <w:pPr>
        <w:spacing w:line="360" w:lineRule="auto"/>
        <w:ind w:left="864" w:right="-220"/>
        <w:jc w:val="both"/>
        <w:rPr>
          <w:rFonts w:ascii="Palatino Linotype" w:eastAsia="Palatino Linotype" w:hAnsi="Palatino Linotype" w:cs="Palatino Linotype"/>
          <w:b/>
          <w:i/>
          <w:sz w:val="22"/>
          <w:szCs w:val="22"/>
          <w:u w:val="single"/>
        </w:rPr>
      </w:pPr>
      <w:r w:rsidRPr="00613C53">
        <w:rPr>
          <w:rFonts w:ascii="Palatino Linotype" w:eastAsia="Palatino Linotype" w:hAnsi="Palatino Linotype" w:cs="Palatino Linotype"/>
          <w:b/>
          <w:i/>
          <w:sz w:val="22"/>
          <w:szCs w:val="22"/>
          <w:u w:val="single"/>
        </w:rPr>
        <w:t>II. Recibos de pagos de salarios o las constancias documentales del pago de salario  cuando sea por depósito o mediante información electrónica;</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III. Controles de asistencia o la información magnética o electrónica de asistencia de los servidores públicos;</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V. Los demás que señalen las leyes.</w:t>
      </w:r>
    </w:p>
    <w:p w:rsidR="00A83BD3" w:rsidRPr="00613C53" w:rsidRDefault="00A83BD3">
      <w:pPr>
        <w:spacing w:line="360" w:lineRule="auto"/>
        <w:ind w:left="864" w:right="-220"/>
        <w:jc w:val="both"/>
        <w:rPr>
          <w:rFonts w:ascii="Palatino Linotype" w:eastAsia="Palatino Linotype" w:hAnsi="Palatino Linotype" w:cs="Palatino Linotype"/>
          <w:i/>
          <w:sz w:val="22"/>
          <w:szCs w:val="22"/>
        </w:rPr>
      </w:pP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w:t>
      </w:r>
      <w:r w:rsidRPr="00613C53">
        <w:rPr>
          <w:rFonts w:ascii="Palatino Linotype" w:eastAsia="Palatino Linotype" w:hAnsi="Palatino Linotype" w:cs="Palatino Linotype"/>
          <w:b/>
          <w:i/>
          <w:sz w:val="22"/>
          <w:szCs w:val="22"/>
        </w:rPr>
        <w:t>los señalados por las fracciones II, III, IV durante el último año y un año después de que se extinga la relación laboral</w:t>
      </w:r>
      <w:r w:rsidRPr="00613C53">
        <w:rPr>
          <w:rFonts w:ascii="Palatino Linotype" w:eastAsia="Palatino Linotype" w:hAnsi="Palatino Linotype" w:cs="Palatino Linotype"/>
          <w:i/>
          <w:sz w:val="22"/>
          <w:szCs w:val="22"/>
        </w:rPr>
        <w:t xml:space="preserve">, y los mencionados en la fracción V, conforme lo señalen las leyes que los rijan. </w:t>
      </w:r>
    </w:p>
    <w:p w:rsidR="00A83BD3" w:rsidRPr="00613C53" w:rsidRDefault="00F41D15">
      <w:pPr>
        <w:spacing w:line="360" w:lineRule="auto"/>
        <w:ind w:left="864" w:right="-220"/>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i/>
          <w:sz w:val="22"/>
          <w:szCs w:val="22"/>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Asimismo, es importante mencionar que dicha </w:t>
      </w:r>
      <w:r w:rsidRPr="00613C53">
        <w:rPr>
          <w:rFonts w:ascii="Palatino Linotype" w:eastAsia="Palatino Linotype" w:hAnsi="Palatino Linotype" w:cs="Palatino Linotype"/>
        </w:rPr>
        <w:t>información se</w:t>
      </w:r>
      <w:r w:rsidRPr="00613C53">
        <w:rPr>
          <w:rFonts w:ascii="Palatino Linotype" w:eastAsia="Palatino Linotype" w:hAnsi="Palatino Linotype" w:cs="Palatino Linotype"/>
          <w:color w:val="000000"/>
        </w:rPr>
        <w:t xml:space="preserve"> remite de manera digital al Órgano Superior de Fiscalización del Estado de México, el cual tiene como objetivo establecer las especificaciones necesarias que las entidades fiscalizables deben cumplir para la elaboración y presentación de los informes trimestrales. </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Este formato es de observancia general para todos los servidores públicos de las entidades fiscalizables que desempeñen un empleo, cargo o comisión, de cualquier </w:t>
      </w:r>
      <w:r w:rsidRPr="00613C53">
        <w:rPr>
          <w:rFonts w:ascii="Palatino Linotype" w:eastAsia="Palatino Linotype" w:hAnsi="Palatino Linotype" w:cs="Palatino Linotype"/>
          <w:color w:val="000000"/>
        </w:rPr>
        <w:lastRenderedPageBreak/>
        <w:t>naturaleza en la administración pública municipal y que manejen recursos públicos; en atención a ello, el informe trimestral deberá ser presentado al Órgano Superior de Fiscalización tal y como lo señala la Ley de Fiscalización Superior del Estado de México.</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Se advierte el análisis que nos ocupa, específicamente el </w:t>
      </w:r>
      <w:proofErr w:type="spellStart"/>
      <w:r w:rsidRPr="00613C53">
        <w:rPr>
          <w:rFonts w:ascii="Palatino Linotype" w:eastAsia="Palatino Linotype" w:hAnsi="Palatino Linotype" w:cs="Palatino Linotype"/>
          <w:color w:val="000000"/>
        </w:rPr>
        <w:t>Submódulo</w:t>
      </w:r>
      <w:proofErr w:type="spellEnd"/>
      <w:r w:rsidRPr="00613C53">
        <w:rPr>
          <w:rFonts w:ascii="Palatino Linotype" w:eastAsia="Palatino Linotype" w:hAnsi="Palatino Linotype" w:cs="Palatino Linotype"/>
          <w:color w:val="000000"/>
        </w:rPr>
        <w:t>-Nómina y Comprobantes localizable en el Módulo 4</w:t>
      </w:r>
      <w:r w:rsidRPr="00613C53">
        <w:rPr>
          <w:rFonts w:ascii="Palatino Linotype" w:eastAsia="Palatino Linotype" w:hAnsi="Palatino Linotype" w:cs="Palatino Linotype"/>
          <w:color w:val="000000"/>
          <w:vertAlign w:val="superscript"/>
        </w:rPr>
        <w:footnoteReference w:id="1"/>
      </w:r>
      <w:r w:rsidRPr="00613C53">
        <w:rPr>
          <w:rFonts w:ascii="Palatino Linotype" w:eastAsia="Palatino Linotype" w:hAnsi="Palatino Linotype" w:cs="Palatino Linotype"/>
          <w:color w:val="000000"/>
        </w:rPr>
        <w:t>, relativo a la información de nómina, el cual describe cómo debe llevarse a cabo la presentación de la información tal y como se muestra en las siguientes imágenes:</w:t>
      </w:r>
    </w:p>
    <w:p w:rsidR="00A83BD3" w:rsidRPr="00613C53" w:rsidRDefault="00F41D15">
      <w:pPr>
        <w:spacing w:line="360" w:lineRule="auto"/>
        <w:ind w:right="-646"/>
        <w:jc w:val="center"/>
        <w:rPr>
          <w:rFonts w:ascii="Palatino Linotype" w:eastAsia="Palatino Linotype" w:hAnsi="Palatino Linotype" w:cs="Palatino Linotype"/>
        </w:rPr>
      </w:pPr>
      <w:r w:rsidRPr="00613C53">
        <w:rPr>
          <w:rFonts w:ascii="Palatino Linotype" w:eastAsia="Palatino Linotype" w:hAnsi="Palatino Linotype" w:cs="Palatino Linotype"/>
          <w:noProof/>
        </w:rPr>
        <w:lastRenderedPageBreak/>
        <w:drawing>
          <wp:inline distT="0" distB="0" distL="0" distR="0">
            <wp:extent cx="3886200" cy="4857750"/>
            <wp:effectExtent l="0" t="0" r="0" b="0"/>
            <wp:docPr id="17415212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l="40733" t="12811" r="23233" b="6966"/>
                    <a:stretch>
                      <a:fillRect/>
                    </a:stretch>
                  </pic:blipFill>
                  <pic:spPr>
                    <a:xfrm>
                      <a:off x="0" y="0"/>
                      <a:ext cx="3886200" cy="4857750"/>
                    </a:xfrm>
                    <a:prstGeom prst="rect">
                      <a:avLst/>
                    </a:prstGeom>
                    <a:ln/>
                  </pic:spPr>
                </pic:pic>
              </a:graphicData>
            </a:graphic>
          </wp:inline>
        </w:drawing>
      </w:r>
      <w:r w:rsidRPr="00613C53">
        <w:rPr>
          <w:noProof/>
        </w:rPr>
        <mc:AlternateContent>
          <mc:Choice Requires="wps">
            <w:drawing>
              <wp:anchor distT="0" distB="0" distL="114300" distR="114300" simplePos="0" relativeHeight="251658240" behindDoc="0" locked="0" layoutInCell="1" hidden="0" allowOverlap="1">
                <wp:simplePos x="0" y="0"/>
                <wp:positionH relativeFrom="column">
                  <wp:posOffset>876300</wp:posOffset>
                </wp:positionH>
                <wp:positionV relativeFrom="paragraph">
                  <wp:posOffset>4343400</wp:posOffset>
                </wp:positionV>
                <wp:extent cx="3861435" cy="358775"/>
                <wp:effectExtent l="0" t="0" r="0" b="0"/>
                <wp:wrapNone/>
                <wp:docPr id="1741521257" name="Rectángulo 1741521257"/>
                <wp:cNvGraphicFramePr/>
                <a:graphic xmlns:a="http://schemas.openxmlformats.org/drawingml/2006/main">
                  <a:graphicData uri="http://schemas.microsoft.com/office/word/2010/wordprocessingShape">
                    <wps:wsp>
                      <wps:cNvSpPr/>
                      <wps:spPr>
                        <a:xfrm>
                          <a:off x="3420363" y="3605375"/>
                          <a:ext cx="3851275" cy="349250"/>
                        </a:xfrm>
                        <a:prstGeom prst="rect">
                          <a:avLst/>
                        </a:prstGeom>
                        <a:noFill/>
                        <a:ln w="9525" cap="flat" cmpd="sng">
                          <a:solidFill>
                            <a:srgbClr val="FF0000"/>
                          </a:solidFill>
                          <a:prstDash val="solid"/>
                          <a:round/>
                          <a:headEnd type="none" w="sm" len="sm"/>
                          <a:tailEnd type="none" w="sm" len="sm"/>
                        </a:ln>
                      </wps:spPr>
                      <wps:txbx>
                        <w:txbxContent>
                          <w:p w:rsidR="007120DB" w:rsidRDefault="007120DB">
                            <w:pPr>
                              <w:textDirection w:val="btLr"/>
                            </w:pPr>
                          </w:p>
                        </w:txbxContent>
                      </wps:txbx>
                      <wps:bodyPr spcFirstLastPara="1" wrap="square" lIns="91425" tIns="91425" rIns="91425" bIns="91425" anchor="ctr" anchorCtr="0">
                        <a:noAutofit/>
                      </wps:bodyPr>
                    </wps:wsp>
                  </a:graphicData>
                </a:graphic>
              </wp:anchor>
            </w:drawing>
          </mc:Choice>
          <mc:Fallback>
            <w:pict>
              <v:rect id="Rectángulo 1741521257" o:spid="_x0000_s1026" style="position:absolute;left:0;text-align:left;margin-left:69pt;margin-top:342pt;width:304.05pt;height:2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" filled="f" strokecolor="red">
                <v:stroke startarrowwidth="narrow" startarrowlength="short" endarrowwidth="narrow" endarrowlength="short" joinstyle="round"/>
                <v:textbox inset="2.53958mm,2.53958mm,2.53958mm,2.53958mm">
                  <w:txbxContent>
                    <w:p w:rsidR="007120DB" w:rsidRDefault="007120DB">
                      <w:pPr>
                        <w:textDirection w:val="btLr"/>
                      </w:pPr>
                    </w:p>
                  </w:txbxContent>
                </v:textbox>
              </v:rect>
            </w:pict>
          </mc:Fallback>
        </mc:AlternateContent>
      </w:r>
    </w:p>
    <w:p w:rsidR="00A83BD3" w:rsidRPr="00613C53" w:rsidRDefault="00F41D15">
      <w:pPr>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noProof/>
        </w:rPr>
        <w:lastRenderedPageBreak/>
        <w:drawing>
          <wp:inline distT="0" distB="0" distL="0" distR="0">
            <wp:extent cx="5514975" cy="7505700"/>
            <wp:effectExtent l="0" t="0" r="0" b="0"/>
            <wp:docPr id="17415212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1048" t="13370" r="25892" b="6681"/>
                    <a:stretch>
                      <a:fillRect/>
                    </a:stretch>
                  </pic:blipFill>
                  <pic:spPr>
                    <a:xfrm>
                      <a:off x="0" y="0"/>
                      <a:ext cx="5514975" cy="7505700"/>
                    </a:xfrm>
                    <a:prstGeom prst="rect">
                      <a:avLst/>
                    </a:prstGeom>
                    <a:ln/>
                  </pic:spPr>
                </pic:pic>
              </a:graphicData>
            </a:graphic>
          </wp:inline>
        </w:drawing>
      </w:r>
      <w:r w:rsidRPr="00613C53">
        <w:rPr>
          <w:noProof/>
        </w:rPr>
        <mc:AlternateContent>
          <mc:Choice Requires="wps">
            <w:drawing>
              <wp:anchor distT="0" distB="0" distL="114300" distR="114300" simplePos="0" relativeHeight="251659264" behindDoc="0" locked="0" layoutInCell="1" hidden="0" allowOverlap="1">
                <wp:simplePos x="0" y="0"/>
                <wp:positionH relativeFrom="column">
                  <wp:posOffset>444500</wp:posOffset>
                </wp:positionH>
                <wp:positionV relativeFrom="paragraph">
                  <wp:posOffset>2654300</wp:posOffset>
                </wp:positionV>
                <wp:extent cx="5063490" cy="1463040"/>
                <wp:effectExtent l="0" t="0" r="0" b="0"/>
                <wp:wrapNone/>
                <wp:docPr id="1741521258" name="Rectángulo 1741521258"/>
                <wp:cNvGraphicFramePr/>
                <a:graphic xmlns:a="http://schemas.openxmlformats.org/drawingml/2006/main">
                  <a:graphicData uri="http://schemas.microsoft.com/office/word/2010/wordprocessingShape">
                    <wps:wsp>
                      <wps:cNvSpPr/>
                      <wps:spPr>
                        <a:xfrm>
                          <a:off x="2819018" y="3053243"/>
                          <a:ext cx="5053965" cy="1453515"/>
                        </a:xfrm>
                        <a:prstGeom prst="rect">
                          <a:avLst/>
                        </a:prstGeom>
                        <a:noFill/>
                        <a:ln w="9525" cap="flat" cmpd="sng">
                          <a:solidFill>
                            <a:srgbClr val="FF0000"/>
                          </a:solidFill>
                          <a:prstDash val="solid"/>
                          <a:round/>
                          <a:headEnd type="none" w="sm" len="sm"/>
                          <a:tailEnd type="none" w="sm" len="sm"/>
                        </a:ln>
                      </wps:spPr>
                      <wps:txbx>
                        <w:txbxContent>
                          <w:p w:rsidR="007120DB" w:rsidRDefault="007120DB">
                            <w:pPr>
                              <w:textDirection w:val="btLr"/>
                            </w:pPr>
                          </w:p>
                        </w:txbxContent>
                      </wps:txbx>
                      <wps:bodyPr spcFirstLastPara="1" wrap="square" lIns="91425" tIns="91425" rIns="91425" bIns="91425" anchor="ctr" anchorCtr="0">
                        <a:noAutofit/>
                      </wps:bodyPr>
                    </wps:wsp>
                  </a:graphicData>
                </a:graphic>
              </wp:anchor>
            </w:drawing>
          </mc:Choice>
          <mc:Fallback>
            <w:pict>
              <v:rect id="Rectángulo 1741521258" o:spid="_x0000_s1027" style="position:absolute;left:0;text-align:left;margin-left:35pt;margin-top:209pt;width:398.7pt;height:11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" filled="f" strokecolor="red">
                <v:stroke startarrowwidth="narrow" startarrowlength="short" endarrowwidth="narrow" endarrowlength="short" joinstyle="round"/>
                <v:textbox inset="2.53958mm,2.53958mm,2.53958mm,2.53958mm">
                  <w:txbxContent>
                    <w:p w:rsidR="007120DB" w:rsidRDefault="007120DB">
                      <w:pPr>
                        <w:textDirection w:val="btLr"/>
                      </w:pPr>
                    </w:p>
                  </w:txbxContent>
                </v:textbox>
              </v:rect>
            </w:pict>
          </mc:Fallback>
        </mc:AlternateContent>
      </w:r>
      <w:r w:rsidRPr="00613C53">
        <w:rPr>
          <w:noProof/>
        </w:rPr>
        <mc:AlternateContent>
          <mc:Choice Requires="wps">
            <w:drawing>
              <wp:anchor distT="0" distB="0" distL="114300" distR="114300" simplePos="0" relativeHeight="251660288" behindDoc="0" locked="0" layoutInCell="1" hidden="0" allowOverlap="1">
                <wp:simplePos x="0" y="0"/>
                <wp:positionH relativeFrom="column">
                  <wp:posOffset>431800</wp:posOffset>
                </wp:positionH>
                <wp:positionV relativeFrom="paragraph">
                  <wp:posOffset>6794500</wp:posOffset>
                </wp:positionV>
                <wp:extent cx="5118100" cy="351790"/>
                <wp:effectExtent l="0" t="0" r="0" b="0"/>
                <wp:wrapNone/>
                <wp:docPr id="1741521260" name="Rectángulo 1741521260"/>
                <wp:cNvGraphicFramePr/>
                <a:graphic xmlns:a="http://schemas.openxmlformats.org/drawingml/2006/main">
                  <a:graphicData uri="http://schemas.microsoft.com/office/word/2010/wordprocessingShape">
                    <wps:wsp>
                      <wps:cNvSpPr/>
                      <wps:spPr>
                        <a:xfrm>
                          <a:off x="2792030" y="3608868"/>
                          <a:ext cx="5107940" cy="342265"/>
                        </a:xfrm>
                        <a:prstGeom prst="rect">
                          <a:avLst/>
                        </a:prstGeom>
                        <a:noFill/>
                        <a:ln w="9525" cap="flat" cmpd="sng">
                          <a:solidFill>
                            <a:srgbClr val="FF0000"/>
                          </a:solidFill>
                          <a:prstDash val="solid"/>
                          <a:round/>
                          <a:headEnd type="none" w="sm" len="sm"/>
                          <a:tailEnd type="none" w="sm" len="sm"/>
                        </a:ln>
                      </wps:spPr>
                      <wps:txbx>
                        <w:txbxContent>
                          <w:p w:rsidR="007120DB" w:rsidRDefault="007120DB">
                            <w:pPr>
                              <w:textDirection w:val="btLr"/>
                            </w:pPr>
                          </w:p>
                        </w:txbxContent>
                      </wps:txbx>
                      <wps:bodyPr spcFirstLastPara="1" wrap="square" lIns="91425" tIns="91425" rIns="91425" bIns="91425" anchor="ctr" anchorCtr="0">
                        <a:noAutofit/>
                      </wps:bodyPr>
                    </wps:wsp>
                  </a:graphicData>
                </a:graphic>
              </wp:anchor>
            </w:drawing>
          </mc:Choice>
          <mc:Fallback>
            <w:pict>
              <v:rect id="Rectángulo 1741521260" o:spid="_x0000_s1028" style="position:absolute;left:0;text-align:left;margin-left:34pt;margin-top:535pt;width:403pt;height:27.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" filled="f" strokecolor="red">
                <v:stroke startarrowwidth="narrow" startarrowlength="short" endarrowwidth="narrow" endarrowlength="short" joinstyle="round"/>
                <v:textbox inset="2.53958mm,2.53958mm,2.53958mm,2.53958mm">
                  <w:txbxContent>
                    <w:p w:rsidR="007120DB" w:rsidRDefault="007120DB">
                      <w:pPr>
                        <w:textDirection w:val="btLr"/>
                      </w:pPr>
                    </w:p>
                  </w:txbxContent>
                </v:textbox>
              </v:rect>
            </w:pict>
          </mc:Fallback>
        </mc:AlternateConten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 xml:space="preserve">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Aunado a lo anterior cabe referir que la información solicitada es de naturaleza pública, de conformidad con lo dispuesto en el artículo 92 de la Ley de Transparencia de la Entidad, que es del texto literal siguiente: </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LEY DE TRANSPARENCIA Y ACCESO A LA INFORMACIÓN PÚBLICA DEL ESTADO DE MÉXICO Y MUNICIPIOS</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864" w:right="-220"/>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 xml:space="preserve">Sirva de apoyo lo establecido en los  </w:t>
      </w:r>
      <w:r w:rsidRPr="00613C53">
        <w:rPr>
          <w:rFonts w:ascii="Palatino Linotype" w:eastAsia="Palatino Linotype" w:hAnsi="Palatino Linotype" w:cs="Palatino Linotype"/>
          <w:i/>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13C53">
        <w:rPr>
          <w:rFonts w:ascii="Palatino Linotype" w:eastAsia="Palatino Linotype" w:hAnsi="Palatino Linotype" w:cs="Palatino Linotype"/>
          <w:color w:val="000000"/>
        </w:rPr>
        <w:t xml:space="preserve"> a saber: </w:t>
      </w:r>
    </w:p>
    <w:p w:rsidR="00A83BD3" w:rsidRPr="00613C53" w:rsidRDefault="00F41D15">
      <w:pPr>
        <w:spacing w:line="360" w:lineRule="auto"/>
        <w:ind w:right="-646"/>
        <w:jc w:val="center"/>
        <w:rPr>
          <w:rFonts w:ascii="Palatino Linotype" w:eastAsia="Palatino Linotype" w:hAnsi="Palatino Linotype" w:cs="Palatino Linotype"/>
        </w:rPr>
      </w:pPr>
      <w:r w:rsidRPr="00613C53">
        <w:rPr>
          <w:rFonts w:ascii="Palatino Linotype" w:eastAsia="Palatino Linotype" w:hAnsi="Palatino Linotype" w:cs="Palatino Linotype"/>
          <w:noProof/>
        </w:rPr>
        <w:drawing>
          <wp:inline distT="0" distB="0" distL="0" distR="0">
            <wp:extent cx="4219575" cy="3571875"/>
            <wp:effectExtent l="0" t="0" r="0" b="0"/>
            <wp:docPr id="17415212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24270" t="15387" r="26170" b="10075"/>
                    <a:stretch>
                      <a:fillRect/>
                    </a:stretch>
                  </pic:blipFill>
                  <pic:spPr>
                    <a:xfrm>
                      <a:off x="0" y="0"/>
                      <a:ext cx="4219575" cy="3571875"/>
                    </a:xfrm>
                    <a:prstGeom prst="rect">
                      <a:avLst/>
                    </a:prstGeom>
                    <a:ln/>
                  </pic:spPr>
                </pic:pic>
              </a:graphicData>
            </a:graphic>
          </wp:inline>
        </w:drawing>
      </w:r>
    </w:p>
    <w:p w:rsidR="00A83BD3" w:rsidRPr="00613C53" w:rsidRDefault="00A83BD3">
      <w:pPr>
        <w:spacing w:line="360" w:lineRule="auto"/>
        <w:ind w:right="-646"/>
        <w:jc w:val="center"/>
        <w:rPr>
          <w:rFonts w:ascii="Palatino Linotype" w:eastAsia="Palatino Linotype" w:hAnsi="Palatino Linotype" w:cs="Palatino Linotype"/>
        </w:rPr>
      </w:pPr>
    </w:p>
    <w:p w:rsidR="00A83BD3" w:rsidRPr="00613C53" w:rsidRDefault="00F41D15">
      <w:pPr>
        <w:spacing w:line="360" w:lineRule="auto"/>
        <w:ind w:right="-646"/>
        <w:jc w:val="center"/>
        <w:rPr>
          <w:rFonts w:ascii="Palatino Linotype" w:eastAsia="Palatino Linotype" w:hAnsi="Palatino Linotype" w:cs="Palatino Linotype"/>
        </w:rPr>
      </w:pPr>
      <w:r w:rsidRPr="00613C53">
        <w:rPr>
          <w:rFonts w:ascii="Palatino Linotype" w:eastAsia="Palatino Linotype" w:hAnsi="Palatino Linotype" w:cs="Palatino Linotype"/>
          <w:noProof/>
        </w:rPr>
        <w:lastRenderedPageBreak/>
        <w:drawing>
          <wp:inline distT="0" distB="0" distL="0" distR="0">
            <wp:extent cx="4676775" cy="2457450"/>
            <wp:effectExtent l="0" t="0" r="0" b="0"/>
            <wp:docPr id="17415212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22913" t="23537" r="26511" b="17923"/>
                    <a:stretch>
                      <a:fillRect/>
                    </a:stretch>
                  </pic:blipFill>
                  <pic:spPr>
                    <a:xfrm>
                      <a:off x="0" y="0"/>
                      <a:ext cx="4676775" cy="2457450"/>
                    </a:xfrm>
                    <a:prstGeom prst="rect">
                      <a:avLst/>
                    </a:prstGeom>
                    <a:ln/>
                  </pic:spPr>
                </pic:pic>
              </a:graphicData>
            </a:graphic>
          </wp:inline>
        </w:drawing>
      </w:r>
    </w:p>
    <w:p w:rsidR="00A83BD3" w:rsidRPr="00613C53" w:rsidRDefault="00F41D15">
      <w:pPr>
        <w:spacing w:line="360" w:lineRule="auto"/>
        <w:ind w:right="-646"/>
        <w:jc w:val="center"/>
        <w:rPr>
          <w:rFonts w:ascii="Palatino Linotype" w:eastAsia="Palatino Linotype" w:hAnsi="Palatino Linotype" w:cs="Palatino Linotype"/>
        </w:rPr>
      </w:pPr>
      <w:r w:rsidRPr="00613C53">
        <w:rPr>
          <w:rFonts w:ascii="Palatino Linotype" w:eastAsia="Palatino Linotype" w:hAnsi="Palatino Linotype" w:cs="Palatino Linotype"/>
          <w:noProof/>
        </w:rPr>
        <w:drawing>
          <wp:inline distT="0" distB="0" distL="0" distR="0">
            <wp:extent cx="4724400" cy="2171700"/>
            <wp:effectExtent l="0" t="0" r="0" b="0"/>
            <wp:docPr id="17415212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4440" t="36511" r="25660" b="22751"/>
                    <a:stretch>
                      <a:fillRect/>
                    </a:stretch>
                  </pic:blipFill>
                  <pic:spPr>
                    <a:xfrm>
                      <a:off x="0" y="0"/>
                      <a:ext cx="4724400" cy="2171700"/>
                    </a:xfrm>
                    <a:prstGeom prst="rect">
                      <a:avLst/>
                    </a:prstGeom>
                    <a:ln/>
                  </pic:spPr>
                </pic:pic>
              </a:graphicData>
            </a:graphic>
          </wp:inline>
        </w:drawing>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tal virtud, la ley otorga publicidad a la información relacionada con la remuneración de los servidores públicos; tan es así, que el artículo 23, penúltimo párrafo de la citada ley, </w:t>
      </w:r>
      <w:r w:rsidRPr="00613C53">
        <w:rPr>
          <w:rFonts w:ascii="Palatino Linotype" w:eastAsia="Palatino Linotype" w:hAnsi="Palatino Linotype" w:cs="Palatino Linotype"/>
        </w:rPr>
        <w:t>disponen</w:t>
      </w:r>
      <w:r w:rsidRPr="00613C53">
        <w:rPr>
          <w:rFonts w:ascii="Palatino Linotype" w:eastAsia="Palatino Linotype" w:hAnsi="Palatino Linotype" w:cs="Palatino Linotype"/>
          <w:color w:val="000000"/>
        </w:rPr>
        <w:t xml:space="preserve"> que los Sujetos Obligados deben hacer pública toda aquella información relativa a los montos y personas que por cualquier motivo </w:t>
      </w:r>
      <w:r w:rsidRPr="00613C53">
        <w:rPr>
          <w:rFonts w:ascii="Palatino Linotype" w:eastAsia="Palatino Linotype" w:hAnsi="Palatino Linotype" w:cs="Palatino Linotype"/>
        </w:rPr>
        <w:t>reciba</w:t>
      </w:r>
      <w:r w:rsidRPr="00613C53">
        <w:rPr>
          <w:rFonts w:ascii="Palatino Linotype" w:eastAsia="Palatino Linotype" w:hAnsi="Palatino Linotype" w:cs="Palatino Linotype"/>
          <w:color w:val="000000"/>
        </w:rPr>
        <w:t xml:space="preserve"> recursos públicos.</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F41D15" w:rsidRPr="00613C53" w:rsidRDefault="00F41D15" w:rsidP="007638AE">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 xml:space="preserve">Respecto de las especificaciones del origen del recurso con el que se pagó, estos pueden corresponder en el caso de ayuntamientos a recursos propios </w:t>
      </w:r>
      <w:r w:rsidR="007638AE" w:rsidRPr="00613C53">
        <w:rPr>
          <w:rFonts w:ascii="Palatino Linotype" w:eastAsia="Palatino Linotype" w:hAnsi="Palatino Linotype" w:cs="Palatino Linotype"/>
          <w:color w:val="000000"/>
        </w:rPr>
        <w:t>que son aquellos ingresos que genera directamente el municipio sin depender de transferencias del Estado u otras administraciones, estos recursos permiten financiar el gasto público local.</w:t>
      </w:r>
    </w:p>
    <w:p w:rsidR="007638AE" w:rsidRPr="00613C53" w:rsidRDefault="007638AE" w:rsidP="007638AE">
      <w:pPr>
        <w:pStyle w:val="Prrafodelista"/>
        <w:rPr>
          <w:rFonts w:ascii="Palatino Linotype" w:eastAsia="Palatino Linotype" w:hAnsi="Palatino Linotype" w:cs="Palatino Linotype"/>
          <w:color w:val="000000"/>
        </w:rPr>
      </w:pPr>
    </w:p>
    <w:p w:rsidR="001F3CEB" w:rsidRPr="00613C53" w:rsidRDefault="001F3CEB" w:rsidP="001F3CEB">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 xml:space="preserve">Por lo que es necesario señalar que de conformidad con el artículo 293 del Código Financiero del Estado de México, los capítulos de gasto se dividirán en concepto, partida </w:t>
      </w:r>
      <w:r w:rsidRPr="00613C53">
        <w:rPr>
          <w:rFonts w:ascii="Palatino Linotype" w:eastAsia="Palatino Linotype" w:hAnsi="Palatino Linotype" w:cs="Palatino Linotype"/>
          <w:color w:val="000000"/>
        </w:rPr>
        <w:t>genérica</w:t>
      </w:r>
      <w:r w:rsidRPr="00613C53">
        <w:rPr>
          <w:rFonts w:ascii="Palatino Linotype" w:eastAsia="Palatino Linotype" w:hAnsi="Palatino Linotype" w:cs="Palatino Linotype"/>
          <w:sz w:val="22"/>
          <w:szCs w:val="22"/>
        </w:rPr>
        <w:t xml:space="preserve"> y partida específica, que representarán las autorizaciones específicas del presupuesto, las cuales se encuentran contenidas en el clasificador por objeto de gasto que debe emitir la Tesorería, mismo que debe guardar congruencia con el clasificador que emita el Consejo Nacional de Armonización Contable y el Consejo de Armonización Contable del Estado de México, a saber:</w:t>
      </w:r>
    </w:p>
    <w:p w:rsidR="001F3CEB" w:rsidRPr="00613C53" w:rsidRDefault="001F3CEB" w:rsidP="001F3CEB">
      <w:pPr>
        <w:pStyle w:val="Prrafodelista"/>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Artículo 293.-</w:t>
      </w:r>
      <w:r w:rsidRPr="00613C53">
        <w:rPr>
          <w:rFonts w:ascii="Palatino Linotype" w:eastAsia="Palatino Linotype" w:hAnsi="Palatino Linotype" w:cs="Palatino Linotype"/>
          <w:i/>
          <w:sz w:val="22"/>
          <w:szCs w:val="22"/>
        </w:rPr>
        <w:t xml:space="preserve"> Los capítulos de gasto se dividirán en concepto, partida genérica y partida específica, que representarán las autorizaciones específicas del presupuesto, las cuales se encuentran contenidas en el clasificador por objeto de gasto que emita el Consejo Nacional de Armonización Contable y el Consejo de Armonización Contable del Estado de México. </w:t>
      </w:r>
    </w:p>
    <w:p w:rsidR="001F3CEB" w:rsidRPr="00613C53" w:rsidRDefault="001F3CEB" w:rsidP="001F3CEB">
      <w:pPr>
        <w:pStyle w:val="Prrafodelista"/>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rsidR="001F3CEB" w:rsidRPr="00613C53" w:rsidRDefault="001F3CEB" w:rsidP="001F3CEB">
      <w:pPr>
        <w:pStyle w:val="Prrafodelista"/>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En el caso de los municipios, corresponderá a su Tesorería emitir el Clasificador por Objeto del Gasto, el cual deberá guardar congruencia y homogeneidad con el señalado en el párrafo anterior.”</w:t>
      </w:r>
    </w:p>
    <w:p w:rsidR="001F3CEB" w:rsidRPr="00613C53" w:rsidRDefault="001F3CEB" w:rsidP="001F3CEB">
      <w:pPr>
        <w:pStyle w:val="Prrafodelista"/>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F3CEB" w:rsidRPr="00613C53" w:rsidRDefault="001F3CEB" w:rsidP="001F3CEB">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 xml:space="preserve">Con base en lo anterior el Clasificador por Objeto del Gasto,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se alinean al Clasificador por Objeto del Gasto autorizado por el </w:t>
      </w:r>
      <w:r w:rsidRPr="00613C53">
        <w:rPr>
          <w:rFonts w:ascii="Palatino Linotype" w:eastAsia="Palatino Linotype" w:hAnsi="Palatino Linotype" w:cs="Palatino Linotype"/>
          <w:sz w:val="22"/>
          <w:szCs w:val="22"/>
        </w:rPr>
        <w:lastRenderedPageBreak/>
        <w:t>CONAC, en la reunión celebrada el 28 de mayo del 2010 y que fue publicado en Gaceta del Gobierno del estado de México No. 118 del 23 de junio de 2010.</w:t>
      </w:r>
    </w:p>
    <w:p w:rsidR="001F3CEB" w:rsidRPr="00613C53" w:rsidRDefault="001F3CEB" w:rsidP="001F3CEB">
      <w:pPr>
        <w:pBdr>
          <w:top w:val="nil"/>
          <w:left w:val="nil"/>
          <w:bottom w:val="nil"/>
          <w:right w:val="nil"/>
          <w:between w:val="nil"/>
        </w:pBdr>
        <w:spacing w:line="360" w:lineRule="auto"/>
        <w:ind w:right="-646"/>
        <w:jc w:val="both"/>
        <w:rPr>
          <w:rFonts w:ascii="Palatino Linotype" w:eastAsia="Palatino Linotype" w:hAnsi="Palatino Linotype" w:cs="Palatino Linotype"/>
          <w:sz w:val="22"/>
          <w:szCs w:val="22"/>
        </w:rPr>
      </w:pPr>
    </w:p>
    <w:p w:rsidR="001F3CEB" w:rsidRPr="00613C53" w:rsidRDefault="001F3CEB" w:rsidP="001F3CEB">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Consecuentemente 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p>
    <w:p w:rsidR="001F3CEB" w:rsidRPr="00613C53" w:rsidRDefault="001F3CEB" w:rsidP="001F3CEB">
      <w:pPr>
        <w:pStyle w:val="Prrafodelista"/>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F3CEB" w:rsidRPr="00613C53" w:rsidRDefault="001F3CEB" w:rsidP="001F3CEB">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Para tal efecto, el Manual para la Planeación, Programación y Presupuesto de Egresos Municipal para el Ejercicio Fiscal 2022,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rsidR="001F3CEB" w:rsidRPr="00613C53" w:rsidRDefault="001F3CEB" w:rsidP="001F3CEB">
      <w:pPr>
        <w:pStyle w:val="Prrafodelista"/>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F3CEB" w:rsidRPr="00613C53" w:rsidRDefault="001F3CEB" w:rsidP="001F3CEB">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1F3CEB" w:rsidRPr="00613C53" w:rsidRDefault="001F3CEB" w:rsidP="001F3CEB">
      <w:pPr>
        <w:pStyle w:val="Prrafodelista"/>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F3CEB" w:rsidRPr="00613C53" w:rsidRDefault="001F3CEB" w:rsidP="001F3CEB">
      <w:pPr>
        <w:pStyle w:val="Prrafodelista"/>
        <w:pBdr>
          <w:top w:val="nil"/>
          <w:left w:val="nil"/>
          <w:bottom w:val="nil"/>
          <w:right w:val="nil"/>
          <w:between w:val="nil"/>
        </w:pBdr>
        <w:spacing w:line="360" w:lineRule="auto"/>
        <w:rPr>
          <w:rFonts w:ascii="Palatino Linotype" w:eastAsia="Palatino Linotype" w:hAnsi="Palatino Linotype" w:cs="Palatino Linotype"/>
          <w:sz w:val="22"/>
          <w:szCs w:val="22"/>
        </w:rPr>
      </w:pPr>
      <w:r w:rsidRPr="00613C53">
        <w:rPr>
          <w:noProof/>
        </w:rPr>
        <w:lastRenderedPageBreak/>
        <w:drawing>
          <wp:inline distT="0" distB="0" distL="0" distR="0" wp14:anchorId="71B690C8" wp14:editId="03DD44C7">
            <wp:extent cx="5324475" cy="962025"/>
            <wp:effectExtent l="0" t="0" r="0" b="0"/>
            <wp:docPr id="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324475" cy="962025"/>
                    </a:xfrm>
                    <a:prstGeom prst="rect">
                      <a:avLst/>
                    </a:prstGeom>
                    <a:ln/>
                  </pic:spPr>
                </pic:pic>
              </a:graphicData>
            </a:graphic>
          </wp:inline>
        </w:drawing>
      </w:r>
    </w:p>
    <w:p w:rsidR="001F3CEB" w:rsidRPr="00613C53" w:rsidRDefault="001F3CEB" w:rsidP="001F3CEB">
      <w:pPr>
        <w:pStyle w:val="Prrafodelista"/>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F3CEB" w:rsidRPr="00613C53" w:rsidRDefault="001F3CEB" w:rsidP="001F3CEB">
      <w:pPr>
        <w:pStyle w:val="Prrafodelista"/>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Debiendo definir cada una de las partes que lo integran como sigue:</w:t>
      </w:r>
    </w:p>
    <w:p w:rsidR="001F3CEB" w:rsidRPr="00613C53" w:rsidRDefault="001F3CEB" w:rsidP="001F3CEB">
      <w:pPr>
        <w:pStyle w:val="Prrafodelista"/>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1F3CEB" w:rsidRPr="00613C53" w:rsidRDefault="001F3CEB" w:rsidP="001F3CEB">
      <w:pPr>
        <w:pStyle w:val="Prrafodelista"/>
        <w:pBdr>
          <w:top w:val="nil"/>
          <w:left w:val="nil"/>
          <w:bottom w:val="nil"/>
          <w:right w:val="nil"/>
          <w:between w:val="nil"/>
        </w:pBdr>
        <w:spacing w:line="360" w:lineRule="auto"/>
        <w:ind w:left="1134" w:hanging="283"/>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w:t>
      </w:r>
      <w:r w:rsidRPr="00613C53">
        <w:rPr>
          <w:rFonts w:ascii="Palatino Linotype" w:eastAsia="Palatino Linotype" w:hAnsi="Palatino Linotype" w:cs="Palatino Linotype"/>
          <w:sz w:val="22"/>
          <w:szCs w:val="22"/>
        </w:rPr>
        <w:tab/>
      </w:r>
      <w:r w:rsidRPr="00613C53">
        <w:rPr>
          <w:rFonts w:ascii="Palatino Linotype" w:eastAsia="Palatino Linotype" w:hAnsi="Palatino Linotype" w:cs="Palatino Linotype"/>
          <w:b/>
          <w:sz w:val="22"/>
          <w:szCs w:val="22"/>
        </w:rPr>
        <w:t>Capítulo:</w:t>
      </w:r>
      <w:r w:rsidRPr="00613C53">
        <w:rPr>
          <w:rFonts w:ascii="Palatino Linotype" w:eastAsia="Palatino Linotype" w:hAnsi="Palatino Linotype" w:cs="Palatino Linotype"/>
          <w:sz w:val="22"/>
          <w:szCs w:val="22"/>
        </w:rPr>
        <w:t xml:space="preserve"> Es el mayor nivel de agregación que identifica el conjunto homogéneo y ordenado de los bienes y servicios requeridos por los entes públicos. </w:t>
      </w:r>
    </w:p>
    <w:p w:rsidR="001F3CEB" w:rsidRPr="00613C53" w:rsidRDefault="001F3CEB" w:rsidP="001F3CEB">
      <w:pPr>
        <w:pStyle w:val="Prrafodelista"/>
        <w:pBdr>
          <w:top w:val="nil"/>
          <w:left w:val="nil"/>
          <w:bottom w:val="nil"/>
          <w:right w:val="nil"/>
          <w:between w:val="nil"/>
        </w:pBdr>
        <w:spacing w:line="360" w:lineRule="auto"/>
        <w:ind w:left="1134" w:hanging="283"/>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w:t>
      </w:r>
      <w:r w:rsidRPr="00613C53">
        <w:rPr>
          <w:rFonts w:ascii="Palatino Linotype" w:eastAsia="Palatino Linotype" w:hAnsi="Palatino Linotype" w:cs="Palatino Linotype"/>
          <w:sz w:val="22"/>
          <w:szCs w:val="22"/>
        </w:rPr>
        <w:tab/>
      </w:r>
      <w:r w:rsidRPr="00613C53">
        <w:rPr>
          <w:rFonts w:ascii="Palatino Linotype" w:eastAsia="Palatino Linotype" w:hAnsi="Palatino Linotype" w:cs="Palatino Linotype"/>
          <w:b/>
          <w:sz w:val="22"/>
          <w:szCs w:val="22"/>
        </w:rPr>
        <w:t>Concepto:</w:t>
      </w:r>
      <w:r w:rsidRPr="00613C53">
        <w:rPr>
          <w:rFonts w:ascii="Palatino Linotype" w:eastAsia="Palatino Linotype" w:hAnsi="Palatino Linotype" w:cs="Palatino Linotype"/>
          <w:sz w:val="22"/>
          <w:szCs w:val="22"/>
        </w:rPr>
        <w:t xml:space="preserve"> Son subconjuntos homogéneos y ordenados en forma específica, producto de la desagregación de los bienes y servicios, incluidos en cada capítulo. </w:t>
      </w:r>
    </w:p>
    <w:p w:rsidR="001F3CEB" w:rsidRPr="00613C53" w:rsidRDefault="001F3CEB" w:rsidP="001F3CEB">
      <w:pPr>
        <w:pStyle w:val="Prrafodelista"/>
        <w:pBdr>
          <w:top w:val="nil"/>
          <w:left w:val="nil"/>
          <w:bottom w:val="nil"/>
          <w:right w:val="nil"/>
          <w:between w:val="nil"/>
        </w:pBdr>
        <w:spacing w:line="360" w:lineRule="auto"/>
        <w:ind w:left="1134" w:hanging="283"/>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w:t>
      </w:r>
      <w:r w:rsidRPr="00613C53">
        <w:rPr>
          <w:rFonts w:ascii="Palatino Linotype" w:eastAsia="Palatino Linotype" w:hAnsi="Palatino Linotype" w:cs="Palatino Linotype"/>
          <w:sz w:val="22"/>
          <w:szCs w:val="22"/>
        </w:rPr>
        <w:tab/>
      </w:r>
      <w:r w:rsidRPr="00613C53">
        <w:rPr>
          <w:rFonts w:ascii="Palatino Linotype" w:eastAsia="Palatino Linotype" w:hAnsi="Palatino Linotype" w:cs="Palatino Linotype"/>
          <w:b/>
          <w:sz w:val="22"/>
          <w:szCs w:val="22"/>
        </w:rPr>
        <w:t>Partida:</w:t>
      </w:r>
      <w:r w:rsidRPr="00613C53">
        <w:rPr>
          <w:rFonts w:ascii="Palatino Linotype" w:eastAsia="Palatino Linotype" w:hAnsi="Palatino Linotype" w:cs="Palatino Linotype"/>
          <w:sz w:val="22"/>
          <w:szCs w:val="22"/>
        </w:rPr>
        <w:t xml:space="preserve"> Es el nivel de agregación más específico en el cual se describen las expresiones concretas y detalladas de los bienes y servicios que se adquieren y se compone de: </w:t>
      </w:r>
    </w:p>
    <w:p w:rsidR="00F41D15" w:rsidRPr="00613C53" w:rsidRDefault="00F41D15" w:rsidP="00F41D15">
      <w:pPr>
        <w:pStyle w:val="Prrafodelista"/>
        <w:rPr>
          <w:rFonts w:ascii="Palatino Linotype" w:eastAsia="Palatino Linotype" w:hAnsi="Palatino Linotype" w:cs="Palatino Linotype"/>
          <w:color w:val="000000"/>
        </w:rPr>
      </w:pPr>
    </w:p>
    <w:p w:rsidR="001F3CEB" w:rsidRPr="00613C53" w:rsidRDefault="001F3CEB" w:rsidP="001F3CEB">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Respecto del incremento de salarios, existen diversas expresiones documentales que pueden dar cuenta de ello; en virtud que todo incremento salarial debe documentarse formalmente para que tenga validez legal y administrativa. Algunas de las expresiones documentales que dan cuenta de un incremento </w:t>
      </w:r>
      <w:r w:rsidR="000742A2" w:rsidRPr="00613C53">
        <w:rPr>
          <w:rFonts w:ascii="Palatino Linotype" w:eastAsia="Palatino Linotype" w:hAnsi="Palatino Linotype" w:cs="Palatino Linotype"/>
          <w:color w:val="000000"/>
        </w:rPr>
        <w:t>como de manera enunciativa mas no limitativa pudiera ser un c</w:t>
      </w:r>
      <w:r w:rsidRPr="00613C53">
        <w:rPr>
          <w:rFonts w:ascii="Palatino Linotype" w:eastAsia="Palatino Linotype" w:hAnsi="Palatino Linotype" w:cs="Palatino Linotype"/>
          <w:color w:val="000000"/>
        </w:rPr>
        <w:t xml:space="preserve">ontrato </w:t>
      </w:r>
      <w:r w:rsidR="000742A2" w:rsidRPr="00613C53">
        <w:rPr>
          <w:rFonts w:ascii="Palatino Linotype" w:eastAsia="Palatino Linotype" w:hAnsi="Palatino Linotype" w:cs="Palatino Linotype"/>
          <w:color w:val="000000"/>
        </w:rPr>
        <w:t>individual</w:t>
      </w:r>
      <w:r w:rsidRPr="00613C53">
        <w:rPr>
          <w:rFonts w:ascii="Palatino Linotype" w:eastAsia="Palatino Linotype" w:hAnsi="Palatino Linotype" w:cs="Palatino Linotype"/>
          <w:color w:val="000000"/>
        </w:rPr>
        <w:t xml:space="preserve"> de </w:t>
      </w:r>
      <w:r w:rsidR="000742A2" w:rsidRPr="00613C53">
        <w:rPr>
          <w:rFonts w:ascii="Palatino Linotype" w:eastAsia="Palatino Linotype" w:hAnsi="Palatino Linotype" w:cs="Palatino Linotype"/>
          <w:color w:val="000000"/>
        </w:rPr>
        <w:t>t</w:t>
      </w:r>
      <w:r w:rsidRPr="00613C53">
        <w:rPr>
          <w:rFonts w:ascii="Palatino Linotype" w:eastAsia="Palatino Linotype" w:hAnsi="Palatino Linotype" w:cs="Palatino Linotype"/>
          <w:color w:val="000000"/>
        </w:rPr>
        <w:t xml:space="preserve">rabajo </w:t>
      </w:r>
      <w:r w:rsidR="000742A2" w:rsidRPr="00613C53">
        <w:rPr>
          <w:rFonts w:ascii="Palatino Linotype" w:eastAsia="Palatino Linotype" w:hAnsi="Palatino Linotype" w:cs="Palatino Linotype"/>
          <w:color w:val="000000"/>
        </w:rPr>
        <w:t>ya que s</w:t>
      </w:r>
      <w:r w:rsidRPr="00613C53">
        <w:rPr>
          <w:rFonts w:ascii="Palatino Linotype" w:eastAsia="Palatino Linotype" w:hAnsi="Palatino Linotype" w:cs="Palatino Linotype"/>
          <w:color w:val="000000"/>
        </w:rPr>
        <w:t xml:space="preserve">i el incremento salarial es permanente, se puede modificar el contrato del trabajador </w:t>
      </w:r>
      <w:r w:rsidR="000742A2" w:rsidRPr="00613C53">
        <w:rPr>
          <w:rFonts w:ascii="Palatino Linotype" w:eastAsia="Palatino Linotype" w:hAnsi="Palatino Linotype" w:cs="Palatino Linotype"/>
          <w:color w:val="000000"/>
        </w:rPr>
        <w:t>y</w:t>
      </w:r>
      <w:r w:rsidRPr="00613C53">
        <w:rPr>
          <w:rFonts w:ascii="Palatino Linotype" w:eastAsia="Palatino Linotype" w:hAnsi="Palatino Linotype" w:cs="Palatino Linotype"/>
          <w:color w:val="000000"/>
        </w:rPr>
        <w:t xml:space="preserve"> especifi</w:t>
      </w:r>
      <w:r w:rsidR="000742A2" w:rsidRPr="00613C53">
        <w:rPr>
          <w:rFonts w:ascii="Palatino Linotype" w:eastAsia="Palatino Linotype" w:hAnsi="Palatino Linotype" w:cs="Palatino Linotype"/>
          <w:color w:val="000000"/>
        </w:rPr>
        <w:t>car</w:t>
      </w:r>
      <w:r w:rsidRPr="00613C53">
        <w:rPr>
          <w:rFonts w:ascii="Palatino Linotype" w:eastAsia="Palatino Linotype" w:hAnsi="Palatino Linotype" w:cs="Palatino Linotype"/>
          <w:color w:val="000000"/>
        </w:rPr>
        <w:t xml:space="preserve"> el nuevo salario y la fecha de entrada en vigor.</w:t>
      </w:r>
    </w:p>
    <w:p w:rsidR="000742A2" w:rsidRPr="00613C53" w:rsidRDefault="000742A2" w:rsidP="000742A2">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1F3CEB" w:rsidRPr="00613C53" w:rsidRDefault="0000648A" w:rsidP="0000648A">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Diversa</w:t>
      </w:r>
      <w:r w:rsidR="000742A2" w:rsidRPr="00613C53">
        <w:rPr>
          <w:rFonts w:ascii="Palatino Linotype" w:eastAsia="Palatino Linotype" w:hAnsi="Palatino Linotype" w:cs="Palatino Linotype"/>
          <w:color w:val="000000"/>
        </w:rPr>
        <w:t xml:space="preserve"> expresión documental, puede corresponder a un convenio de modificación s</w:t>
      </w:r>
      <w:r w:rsidR="001F3CEB" w:rsidRPr="00613C53">
        <w:rPr>
          <w:rFonts w:ascii="Palatino Linotype" w:eastAsia="Palatino Linotype" w:hAnsi="Palatino Linotype" w:cs="Palatino Linotype"/>
          <w:color w:val="000000"/>
        </w:rPr>
        <w:t>alarial</w:t>
      </w:r>
      <w:r w:rsidR="000742A2" w:rsidRPr="00613C53">
        <w:rPr>
          <w:rFonts w:ascii="Palatino Linotype" w:eastAsia="Palatino Linotype" w:hAnsi="Palatino Linotype" w:cs="Palatino Linotype"/>
          <w:color w:val="000000"/>
        </w:rPr>
        <w:t xml:space="preserve"> </w:t>
      </w:r>
      <w:r w:rsidR="001F3CEB" w:rsidRPr="00613C53">
        <w:rPr>
          <w:rFonts w:ascii="Palatino Linotype" w:eastAsia="Palatino Linotype" w:hAnsi="Palatino Linotype" w:cs="Palatino Linotype"/>
          <w:color w:val="000000"/>
        </w:rPr>
        <w:t>firmado entre empleador y trabajador donde se establece el nuevo salario.</w:t>
      </w:r>
      <w:r w:rsidR="000742A2" w:rsidRPr="00613C53">
        <w:rPr>
          <w:rFonts w:ascii="Palatino Linotype" w:eastAsia="Palatino Linotype" w:hAnsi="Palatino Linotype" w:cs="Palatino Linotype"/>
          <w:color w:val="000000"/>
        </w:rPr>
        <w:t xml:space="preserve"> Otro documento que dada su propia y especial naturaleza puede dar cuenta de incrementos salariales es el</w:t>
      </w:r>
      <w:r w:rsidR="001F3CEB" w:rsidRPr="00613C53">
        <w:rPr>
          <w:rFonts w:ascii="Palatino Linotype" w:eastAsia="Palatino Linotype" w:hAnsi="Palatino Linotype" w:cs="Palatino Linotype"/>
          <w:color w:val="000000"/>
        </w:rPr>
        <w:t xml:space="preserve"> </w:t>
      </w:r>
      <w:r w:rsidR="000742A2" w:rsidRPr="00613C53">
        <w:rPr>
          <w:rFonts w:ascii="Palatino Linotype" w:eastAsia="Palatino Linotype" w:hAnsi="Palatino Linotype" w:cs="Palatino Linotype"/>
          <w:color w:val="000000"/>
        </w:rPr>
        <w:t>r</w:t>
      </w:r>
      <w:r w:rsidR="001F3CEB" w:rsidRPr="00613C53">
        <w:rPr>
          <w:rFonts w:ascii="Palatino Linotype" w:eastAsia="Palatino Linotype" w:hAnsi="Palatino Linotype" w:cs="Palatino Linotype"/>
          <w:color w:val="000000"/>
        </w:rPr>
        <w:t xml:space="preserve">ecibo de </w:t>
      </w:r>
      <w:r w:rsidR="000742A2" w:rsidRPr="00613C53">
        <w:rPr>
          <w:rFonts w:ascii="Palatino Linotype" w:eastAsia="Palatino Linotype" w:hAnsi="Palatino Linotype" w:cs="Palatino Linotype"/>
          <w:color w:val="000000"/>
        </w:rPr>
        <w:t>n</w:t>
      </w:r>
      <w:r w:rsidR="001F3CEB" w:rsidRPr="00613C53">
        <w:rPr>
          <w:rFonts w:ascii="Palatino Linotype" w:eastAsia="Palatino Linotype" w:hAnsi="Palatino Linotype" w:cs="Palatino Linotype"/>
          <w:color w:val="000000"/>
        </w:rPr>
        <w:t>ómina</w:t>
      </w:r>
      <w:r w:rsidR="000742A2" w:rsidRPr="00613C53">
        <w:rPr>
          <w:rFonts w:ascii="Palatino Linotype" w:eastAsia="Palatino Linotype" w:hAnsi="Palatino Linotype" w:cs="Palatino Linotype"/>
          <w:color w:val="000000"/>
        </w:rPr>
        <w:t>, toda vez que e</w:t>
      </w:r>
      <w:r w:rsidR="001F3CEB" w:rsidRPr="00613C53">
        <w:rPr>
          <w:rFonts w:ascii="Palatino Linotype" w:eastAsia="Palatino Linotype" w:hAnsi="Palatino Linotype" w:cs="Palatino Linotype"/>
          <w:color w:val="000000"/>
        </w:rPr>
        <w:t>s la evidencia más común de un incremento salarial, reflejado en los recibos de pago.</w:t>
      </w:r>
    </w:p>
    <w:p w:rsidR="000742A2" w:rsidRPr="00613C53" w:rsidRDefault="000742A2" w:rsidP="001F3CEB">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00648A" w:rsidRPr="00613C53" w:rsidRDefault="000742A2" w:rsidP="0000648A">
      <w:pPr>
        <w:numPr>
          <w:ilvl w:val="0"/>
          <w:numId w:val="11"/>
        </w:numPr>
        <w:pBdr>
          <w:top w:val="nil"/>
          <w:left w:val="nil"/>
          <w:bottom w:val="nil"/>
          <w:right w:val="nil"/>
          <w:between w:val="nil"/>
        </w:pBdr>
        <w:spacing w:line="360" w:lineRule="auto"/>
        <w:ind w:left="0" w:right="-646" w:firstLine="0"/>
        <w:jc w:val="both"/>
        <w:rPr>
          <w:rFonts w:ascii="Palatino Linotype" w:eastAsia="MS Mincho" w:hAnsi="Palatino Linotype" w:cs="Times New Roman"/>
        </w:rPr>
      </w:pPr>
      <w:r w:rsidRPr="00613C53">
        <w:rPr>
          <w:rFonts w:ascii="Palatino Linotype" w:eastAsia="Palatino Linotype" w:hAnsi="Palatino Linotype" w:cs="Palatino Linotype"/>
          <w:color w:val="000000"/>
        </w:rPr>
        <w:t>Otras expresiones documentales son el t</w:t>
      </w:r>
      <w:r w:rsidR="001F3CEB" w:rsidRPr="00613C53">
        <w:rPr>
          <w:rFonts w:ascii="Palatino Linotype" w:eastAsia="Palatino Linotype" w:hAnsi="Palatino Linotype" w:cs="Palatino Linotype"/>
          <w:color w:val="000000"/>
        </w:rPr>
        <w:t xml:space="preserve">abulador </w:t>
      </w:r>
      <w:r w:rsidRPr="00613C53">
        <w:rPr>
          <w:rFonts w:ascii="Palatino Linotype" w:eastAsia="Palatino Linotype" w:hAnsi="Palatino Linotype" w:cs="Palatino Linotype"/>
          <w:color w:val="000000"/>
        </w:rPr>
        <w:t>s</w:t>
      </w:r>
      <w:r w:rsidR="001F3CEB" w:rsidRPr="00613C53">
        <w:rPr>
          <w:rFonts w:ascii="Palatino Linotype" w:eastAsia="Palatino Linotype" w:hAnsi="Palatino Linotype" w:cs="Palatino Linotype"/>
          <w:color w:val="000000"/>
        </w:rPr>
        <w:t xml:space="preserve">alarial, </w:t>
      </w:r>
      <w:r w:rsidRPr="00613C53">
        <w:rPr>
          <w:rFonts w:ascii="Palatino Linotype" w:eastAsia="Palatino Linotype" w:hAnsi="Palatino Linotype" w:cs="Palatino Linotype"/>
          <w:color w:val="000000"/>
        </w:rPr>
        <w:t xml:space="preserve">que evidentemente refleja </w:t>
      </w:r>
      <w:r w:rsidR="001F3CEB" w:rsidRPr="00613C53">
        <w:rPr>
          <w:rFonts w:ascii="Palatino Linotype" w:eastAsia="Palatino Linotype" w:hAnsi="Palatino Linotype" w:cs="Palatino Linotype"/>
          <w:color w:val="000000"/>
        </w:rPr>
        <w:t>los incrementos</w:t>
      </w:r>
      <w:r w:rsidRPr="00613C53">
        <w:rPr>
          <w:rFonts w:ascii="Palatino Linotype" w:eastAsia="Palatino Linotype" w:hAnsi="Palatino Linotype" w:cs="Palatino Linotype"/>
          <w:color w:val="000000"/>
        </w:rPr>
        <w:t xml:space="preserve"> que</w:t>
      </w:r>
      <w:r w:rsidR="001F3CEB" w:rsidRPr="00613C53">
        <w:rPr>
          <w:rFonts w:ascii="Palatino Linotype" w:eastAsia="Palatino Linotype" w:hAnsi="Palatino Linotype" w:cs="Palatino Linotype"/>
          <w:color w:val="000000"/>
        </w:rPr>
        <w:t xml:space="preserve"> pueden formalizarse indi</w:t>
      </w:r>
      <w:r w:rsidRPr="00613C53">
        <w:rPr>
          <w:rFonts w:ascii="Palatino Linotype" w:eastAsia="Palatino Linotype" w:hAnsi="Palatino Linotype" w:cs="Palatino Linotype"/>
          <w:color w:val="000000"/>
        </w:rPr>
        <w:t>cando</w:t>
      </w:r>
      <w:r w:rsidR="001F3CEB" w:rsidRPr="00613C53">
        <w:rPr>
          <w:rFonts w:ascii="Palatino Linotype" w:eastAsia="Palatino Linotype" w:hAnsi="Palatino Linotype" w:cs="Palatino Linotype"/>
          <w:color w:val="000000"/>
        </w:rPr>
        <w:t xml:space="preserve"> los nuevos</w:t>
      </w:r>
      <w:r w:rsidRPr="00613C53">
        <w:rPr>
          <w:rFonts w:ascii="Palatino Linotype" w:eastAsia="Palatino Linotype" w:hAnsi="Palatino Linotype" w:cs="Palatino Linotype"/>
          <w:color w:val="000000"/>
        </w:rPr>
        <w:t xml:space="preserve"> montos según puestos y niveles; c</w:t>
      </w:r>
      <w:r w:rsidR="001F3CEB" w:rsidRPr="00613C53">
        <w:rPr>
          <w:rFonts w:ascii="Palatino Linotype" w:eastAsia="Palatino Linotype" w:hAnsi="Palatino Linotype" w:cs="Palatino Linotype"/>
          <w:color w:val="000000"/>
        </w:rPr>
        <w:t xml:space="preserve">ontrato </w:t>
      </w:r>
      <w:r w:rsidRPr="00613C53">
        <w:rPr>
          <w:rFonts w:ascii="Palatino Linotype" w:eastAsia="Palatino Linotype" w:hAnsi="Palatino Linotype" w:cs="Palatino Linotype"/>
          <w:color w:val="000000"/>
        </w:rPr>
        <w:t>c</w:t>
      </w:r>
      <w:r w:rsidR="001F3CEB" w:rsidRPr="00613C53">
        <w:rPr>
          <w:rFonts w:ascii="Palatino Linotype" w:eastAsia="Palatino Linotype" w:hAnsi="Palatino Linotype" w:cs="Palatino Linotype"/>
          <w:color w:val="000000"/>
        </w:rPr>
        <w:t xml:space="preserve">olectivo de </w:t>
      </w:r>
      <w:r w:rsidRPr="00613C53">
        <w:rPr>
          <w:rFonts w:ascii="Palatino Linotype" w:eastAsia="Palatino Linotype" w:hAnsi="Palatino Linotype" w:cs="Palatino Linotype"/>
          <w:color w:val="000000"/>
        </w:rPr>
        <w:t>t</w:t>
      </w:r>
      <w:r w:rsidR="001F3CEB" w:rsidRPr="00613C53">
        <w:rPr>
          <w:rFonts w:ascii="Palatino Linotype" w:eastAsia="Palatino Linotype" w:hAnsi="Palatino Linotype" w:cs="Palatino Linotype"/>
          <w:color w:val="000000"/>
        </w:rPr>
        <w:t xml:space="preserve">rabajo (en caso de </w:t>
      </w:r>
      <w:r w:rsidRPr="00613C53">
        <w:rPr>
          <w:rFonts w:ascii="Palatino Linotype" w:eastAsia="Palatino Linotype" w:hAnsi="Palatino Linotype" w:cs="Palatino Linotype"/>
          <w:color w:val="000000"/>
        </w:rPr>
        <w:t>sindicalizados</w:t>
      </w:r>
      <w:r w:rsidR="001F3CEB" w:rsidRPr="00613C53">
        <w:rPr>
          <w:rFonts w:ascii="Palatino Linotype" w:eastAsia="Palatino Linotype" w:hAnsi="Palatino Linotype" w:cs="Palatino Linotype"/>
          <w:color w:val="000000"/>
        </w:rPr>
        <w:t>)</w:t>
      </w:r>
      <w:r w:rsidRPr="00613C53">
        <w:rPr>
          <w:rFonts w:ascii="Palatino Linotype" w:eastAsia="Palatino Linotype" w:hAnsi="Palatino Linotype" w:cs="Palatino Linotype"/>
          <w:color w:val="000000"/>
        </w:rPr>
        <w:t xml:space="preserve">; luego entonces deberá otorgarse una expresión documental a la especificación de referencia derivado que es de explorado derecho que no existe obligatoriedad de los sujetos obligados de generar documentos </w:t>
      </w:r>
      <w:r w:rsidRPr="00613C53">
        <w:rPr>
          <w:rFonts w:ascii="Palatino Linotype" w:eastAsia="Palatino Linotype" w:hAnsi="Palatino Linotype" w:cs="Palatino Linotype"/>
          <w:i/>
          <w:color w:val="000000"/>
        </w:rPr>
        <w:t xml:space="preserve">ad hoc </w:t>
      </w:r>
      <w:r w:rsidRPr="00613C53">
        <w:rPr>
          <w:rFonts w:ascii="Palatino Linotype" w:eastAsia="Palatino Linotype" w:hAnsi="Palatino Linotype" w:cs="Palatino Linotype"/>
          <w:color w:val="000000"/>
        </w:rPr>
        <w:t xml:space="preserve">para colmar las pretensiones particulares de los solicitantes –aunque tampoco existe normatividad que lo impida–. Lo anterior conforme a lo dispuesto por el </w:t>
      </w:r>
      <w:r w:rsidR="0000648A" w:rsidRPr="00613C53">
        <w:rPr>
          <w:rFonts w:ascii="Palatino Linotype" w:hAnsi="Palatino Linotype" w:cs="Arial"/>
          <w:color w:val="000000" w:themeColor="text1"/>
        </w:rPr>
        <w:t xml:space="preserve">con el criterio </w:t>
      </w:r>
      <w:r w:rsidR="0000648A" w:rsidRPr="00613C53">
        <w:rPr>
          <w:rFonts w:ascii="Palatino Linotype" w:eastAsia="MS Mincho" w:hAnsi="Palatino Linotype" w:cs="Times New Roman"/>
        </w:rPr>
        <w:t xml:space="preserve">28/10, emitido por el entonces Instituto Federal de Acceso a la Información Pública y Protección de Datos Personales, mismo que menciona lo siguiente:  </w:t>
      </w:r>
    </w:p>
    <w:p w:rsidR="0000648A" w:rsidRPr="00613C53" w:rsidRDefault="0000648A" w:rsidP="0000648A">
      <w:pPr>
        <w:spacing w:line="360" w:lineRule="auto"/>
        <w:ind w:right="49"/>
        <w:contextualSpacing/>
        <w:jc w:val="both"/>
        <w:rPr>
          <w:rFonts w:ascii="Palatino Linotype" w:eastAsia="MS Mincho" w:hAnsi="Palatino Linotype" w:cs="Times New Roman"/>
        </w:rPr>
      </w:pPr>
    </w:p>
    <w:p w:rsidR="0000648A" w:rsidRPr="00613C53" w:rsidRDefault="0000648A" w:rsidP="0000648A">
      <w:pPr>
        <w:ind w:left="567" w:right="567"/>
        <w:contextualSpacing/>
        <w:jc w:val="both"/>
        <w:rPr>
          <w:rFonts w:ascii="Palatino Linotype" w:eastAsia="MS Mincho" w:hAnsi="Palatino Linotype" w:cs="Times New Roman"/>
          <w:i/>
        </w:rPr>
      </w:pPr>
      <w:r w:rsidRPr="00613C53">
        <w:rPr>
          <w:rFonts w:ascii="Palatino Linotype" w:eastAsia="MS Mincho" w:hAnsi="Palatino Linotype" w:cs="Times New Roman"/>
          <w:i/>
        </w:rPr>
        <w:t>“</w:t>
      </w:r>
      <w:r w:rsidRPr="00613C53">
        <w:rPr>
          <w:rFonts w:ascii="Palatino Linotype" w:eastAsia="MS Mincho" w:hAnsi="Palatino Linotype" w:cs="Times New Roman"/>
          <w:b/>
          <w:i/>
        </w:rPr>
        <w:t>Cuando en una solicitud de información no se identifique un documento en específico, si ésta tiene una expresión documental, el sujeto obligado deberá entregar al particular el documento en específico</w:t>
      </w:r>
      <w:r w:rsidRPr="00613C53">
        <w:rPr>
          <w:rFonts w:ascii="Palatino Linotype" w:eastAsia="MS Mincho" w:hAnsi="Palatino Linotype" w:cs="Times New Roman"/>
          <w:i/>
        </w:rPr>
        <w:t xml:space="preserve">. La Ley Federal de Transparencia y Acceso a la Información Pública Gubernamental tiene por objeto </w:t>
      </w:r>
      <w:proofErr w:type="spellStart"/>
      <w:r w:rsidRPr="00613C53">
        <w:rPr>
          <w:rFonts w:ascii="Palatino Linotype" w:eastAsia="MS Mincho" w:hAnsi="Palatino Linotype" w:cs="Times New Roman"/>
          <w:i/>
        </w:rPr>
        <w:t>objeto</w:t>
      </w:r>
      <w:proofErr w:type="spellEnd"/>
      <w:r w:rsidRPr="00613C53">
        <w:rPr>
          <w:rFonts w:ascii="Palatino Linotype" w:eastAsia="MS Mincho" w:hAnsi="Palatino Linotype" w:cs="Times New Roman"/>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w:t>
      </w:r>
      <w:r w:rsidRPr="00613C53">
        <w:rPr>
          <w:rFonts w:ascii="Palatino Linotype" w:eastAsia="MS Mincho" w:hAnsi="Palatino Linotype" w:cs="Times New Roman"/>
          <w:i/>
        </w:rPr>
        <w:lastRenderedPageBreak/>
        <w:t>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613C53">
        <w:rPr>
          <w:rFonts w:ascii="Palatino Linotype" w:eastAsia="MS Mincho" w:hAnsi="Palatino Linotype" w:cs="Times New Roman"/>
        </w:rPr>
        <w:t>Sic</w:t>
      </w:r>
      <w:r w:rsidRPr="00613C53">
        <w:rPr>
          <w:rFonts w:ascii="Palatino Linotype" w:eastAsia="MS Mincho" w:hAnsi="Palatino Linotype" w:cs="Times New Roman"/>
          <w:i/>
        </w:rPr>
        <w:t>).</w:t>
      </w:r>
    </w:p>
    <w:p w:rsidR="0000648A" w:rsidRPr="00613C53" w:rsidRDefault="0000648A" w:rsidP="0000648A">
      <w:pPr>
        <w:ind w:left="567" w:right="567"/>
        <w:contextualSpacing/>
        <w:jc w:val="both"/>
        <w:rPr>
          <w:rFonts w:ascii="Palatino Linotype" w:eastAsia="MS Mincho" w:hAnsi="Palatino Linotype" w:cs="Times New Roman"/>
          <w:i/>
        </w:rPr>
      </w:pPr>
    </w:p>
    <w:p w:rsidR="0000648A" w:rsidRPr="00613C53" w:rsidRDefault="0000648A" w:rsidP="0000648A">
      <w:pPr>
        <w:ind w:left="567" w:right="567"/>
        <w:contextualSpacing/>
        <w:jc w:val="both"/>
        <w:rPr>
          <w:rFonts w:ascii="Palatino Linotype" w:eastAsia="MS Mincho" w:hAnsi="Palatino Linotype" w:cs="Times New Roman"/>
        </w:rPr>
      </w:pPr>
      <w:r w:rsidRPr="00613C53">
        <w:rPr>
          <w:rFonts w:ascii="Palatino Linotype" w:eastAsia="MS Mincho" w:hAnsi="Palatino Linotype" w:cs="Times New Roman"/>
        </w:rPr>
        <w:t>(Énfasis añadido)</w:t>
      </w:r>
    </w:p>
    <w:p w:rsidR="0000648A" w:rsidRPr="00613C53" w:rsidRDefault="0000648A" w:rsidP="0000648A">
      <w:pPr>
        <w:spacing w:line="360" w:lineRule="auto"/>
        <w:ind w:right="49"/>
        <w:contextualSpacing/>
        <w:jc w:val="both"/>
        <w:rPr>
          <w:rFonts w:ascii="Palatino Linotype" w:eastAsia="MS Mincho" w:hAnsi="Palatino Linotype" w:cs="Times New Roman"/>
          <w:lang w:val="es-ES"/>
        </w:rPr>
      </w:pPr>
    </w:p>
    <w:p w:rsidR="0000648A" w:rsidRPr="00613C53" w:rsidRDefault="0000648A" w:rsidP="00C65DC5">
      <w:pPr>
        <w:numPr>
          <w:ilvl w:val="0"/>
          <w:numId w:val="11"/>
        </w:numPr>
        <w:pBdr>
          <w:top w:val="nil"/>
          <w:left w:val="nil"/>
          <w:bottom w:val="nil"/>
          <w:right w:val="nil"/>
          <w:between w:val="nil"/>
        </w:pBdr>
        <w:spacing w:line="360" w:lineRule="auto"/>
        <w:ind w:left="0" w:right="-646" w:firstLine="0"/>
        <w:jc w:val="both"/>
        <w:rPr>
          <w:rFonts w:ascii="Palatino Linotype" w:eastAsia="MS Mincho" w:hAnsi="Palatino Linotype" w:cs="Times New Roman"/>
        </w:rPr>
      </w:pPr>
      <w:r w:rsidRPr="00613C53">
        <w:rPr>
          <w:rFonts w:ascii="Palatino Linotype" w:eastAsia="MS Mincho" w:hAnsi="Palatino Linotype" w:cs="Times New Roman"/>
          <w:lang w:val="es-ES"/>
        </w:rPr>
        <w:t xml:space="preserve">Robustece lo anterior </w:t>
      </w:r>
      <w:r w:rsidRPr="00613C53">
        <w:rPr>
          <w:rFonts w:ascii="Palatino Linotype" w:eastAsia="MS Mincho" w:hAnsi="Palatino Linotype" w:cs="Times New Roman"/>
        </w:rPr>
        <w:t xml:space="preserve">el criterio orientador 16/17 emitido de igual forma por el Instituto </w:t>
      </w:r>
      <w:r w:rsidRPr="00613C53">
        <w:rPr>
          <w:rFonts w:ascii="Palatino Linotype" w:eastAsia="Palatino Linotype" w:hAnsi="Palatino Linotype" w:cs="Palatino Linotype"/>
          <w:color w:val="000000"/>
        </w:rPr>
        <w:t>Nacional</w:t>
      </w:r>
      <w:r w:rsidRPr="00613C53">
        <w:rPr>
          <w:rFonts w:ascii="Palatino Linotype" w:eastAsia="MS Mincho" w:hAnsi="Palatino Linotype" w:cs="Times New Roman"/>
        </w:rPr>
        <w:t xml:space="preserve"> de Transparencia, Acceso a la Información y Protección de Datos Personales que a la literalidad prevé:</w:t>
      </w:r>
    </w:p>
    <w:p w:rsidR="0000648A" w:rsidRPr="00613C53" w:rsidRDefault="0000648A" w:rsidP="0000648A">
      <w:pPr>
        <w:spacing w:line="360" w:lineRule="auto"/>
        <w:ind w:right="49"/>
        <w:contextualSpacing/>
        <w:jc w:val="both"/>
        <w:rPr>
          <w:rFonts w:ascii="Palatino Linotype" w:eastAsia="MS Mincho" w:hAnsi="Palatino Linotype" w:cs="Times New Roman"/>
        </w:rPr>
      </w:pPr>
    </w:p>
    <w:p w:rsidR="0000648A" w:rsidRPr="00613C53" w:rsidRDefault="0000648A" w:rsidP="0000648A">
      <w:pPr>
        <w:ind w:left="567" w:right="567"/>
        <w:contextualSpacing/>
        <w:jc w:val="both"/>
        <w:rPr>
          <w:rFonts w:ascii="Palatino Linotype" w:eastAsia="MS Mincho" w:hAnsi="Palatino Linotype" w:cs="Times New Roman"/>
          <w:i/>
        </w:rPr>
      </w:pPr>
      <w:r w:rsidRPr="00613C53">
        <w:rPr>
          <w:rFonts w:ascii="Palatino Linotype" w:eastAsia="MS Mincho" w:hAnsi="Palatino Linotype" w:cs="Times New Roman"/>
          <w:b/>
          <w:i/>
        </w:rPr>
        <w:t>“Expresión documental</w:t>
      </w:r>
      <w:r w:rsidRPr="00613C53">
        <w:rPr>
          <w:rFonts w:ascii="Palatino Linotype" w:eastAsia="MS Mincho" w:hAnsi="Palatino Linotype" w:cs="Times New Roman"/>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00648A" w:rsidRPr="00613C53" w:rsidRDefault="0000648A" w:rsidP="0000648A">
      <w:pPr>
        <w:ind w:left="567" w:right="567"/>
        <w:contextualSpacing/>
        <w:jc w:val="both"/>
        <w:rPr>
          <w:rFonts w:ascii="Palatino Linotype" w:eastAsia="MS Mincho" w:hAnsi="Palatino Linotype" w:cs="Times New Roman"/>
          <w:i/>
        </w:rPr>
      </w:pPr>
    </w:p>
    <w:p w:rsidR="0000648A" w:rsidRPr="00613C53" w:rsidRDefault="0000648A" w:rsidP="0000648A">
      <w:pPr>
        <w:ind w:left="567" w:right="567"/>
        <w:contextualSpacing/>
        <w:jc w:val="both"/>
        <w:rPr>
          <w:rFonts w:ascii="Palatino Linotype" w:eastAsia="MS Mincho" w:hAnsi="Palatino Linotype" w:cs="Times New Roman"/>
          <w:i/>
        </w:rPr>
      </w:pPr>
      <w:r w:rsidRPr="00613C53">
        <w:rPr>
          <w:rFonts w:ascii="Palatino Linotype" w:eastAsia="MS Mincho" w:hAnsi="Palatino Linotype" w:cs="Times New Roman"/>
          <w:i/>
        </w:rPr>
        <w:t>Resoluciones:</w:t>
      </w:r>
    </w:p>
    <w:p w:rsidR="0000648A" w:rsidRPr="00613C53" w:rsidRDefault="0000648A" w:rsidP="0000648A">
      <w:pPr>
        <w:ind w:left="567" w:right="567"/>
        <w:contextualSpacing/>
        <w:jc w:val="both"/>
        <w:rPr>
          <w:rFonts w:ascii="Palatino Linotype" w:eastAsia="MS Mincho" w:hAnsi="Palatino Linotype" w:cs="Times New Roman"/>
          <w:i/>
        </w:rPr>
      </w:pPr>
      <w:r w:rsidRPr="00613C53">
        <w:rPr>
          <w:rFonts w:ascii="Palatino Linotype" w:eastAsia="MS Mincho" w:hAnsi="Palatino Linotype" w:cs="Times New Roman"/>
          <w:i/>
        </w:rPr>
        <w:t>•</w:t>
      </w:r>
      <w:r w:rsidRPr="00613C53">
        <w:rPr>
          <w:rFonts w:ascii="Palatino Linotype" w:eastAsia="MS Mincho" w:hAnsi="Palatino Linotype" w:cs="Times New Roman"/>
          <w:i/>
        </w:rPr>
        <w:tab/>
        <w:t xml:space="preserve">RRA 0774/16. Secretaría de Salud. 31 de agosto de 2016. Por unanimidad. Comisionada Ponente María Patricia </w:t>
      </w:r>
      <w:proofErr w:type="spellStart"/>
      <w:r w:rsidRPr="00613C53">
        <w:rPr>
          <w:rFonts w:ascii="Palatino Linotype" w:eastAsia="MS Mincho" w:hAnsi="Palatino Linotype" w:cs="Times New Roman"/>
          <w:i/>
        </w:rPr>
        <w:t>Kurczyn</w:t>
      </w:r>
      <w:proofErr w:type="spellEnd"/>
      <w:r w:rsidRPr="00613C53">
        <w:rPr>
          <w:rFonts w:ascii="Palatino Linotype" w:eastAsia="MS Mincho" w:hAnsi="Palatino Linotype" w:cs="Times New Roman"/>
          <w:i/>
        </w:rPr>
        <w:t xml:space="preserve"> Villalobos.</w:t>
      </w:r>
    </w:p>
    <w:p w:rsidR="0000648A" w:rsidRPr="00613C53" w:rsidRDefault="0000648A" w:rsidP="0000648A">
      <w:pPr>
        <w:ind w:left="567" w:right="567"/>
        <w:contextualSpacing/>
        <w:jc w:val="both"/>
        <w:rPr>
          <w:rFonts w:ascii="Palatino Linotype" w:eastAsia="MS Mincho" w:hAnsi="Palatino Linotype" w:cs="Times New Roman"/>
          <w:i/>
        </w:rPr>
      </w:pPr>
      <w:r w:rsidRPr="00613C53">
        <w:rPr>
          <w:rFonts w:ascii="Palatino Linotype" w:eastAsia="MS Mincho" w:hAnsi="Palatino Linotype" w:cs="Times New Roman"/>
          <w:i/>
        </w:rPr>
        <w:t>•</w:t>
      </w:r>
      <w:r w:rsidRPr="00613C53">
        <w:rPr>
          <w:rFonts w:ascii="Palatino Linotype" w:eastAsia="MS Mincho" w:hAnsi="Palatino Linotype" w:cs="Times New Roman"/>
          <w:i/>
        </w:rPr>
        <w:tab/>
        <w:t xml:space="preserve">RRA 0143/17. Universidad Autónoma Agraria Antonio Narro. 22 de febrero de 2017. Por unanimidad. Comisionado Ponente Oscar Mauricio Guerra Ford. </w:t>
      </w:r>
    </w:p>
    <w:p w:rsidR="0000648A" w:rsidRPr="00613C53" w:rsidRDefault="0000648A" w:rsidP="0000648A">
      <w:pPr>
        <w:ind w:left="567" w:right="567"/>
        <w:contextualSpacing/>
        <w:jc w:val="both"/>
        <w:rPr>
          <w:rFonts w:ascii="Palatino Linotype" w:eastAsia="MS Mincho" w:hAnsi="Palatino Linotype" w:cs="Times New Roman"/>
          <w:i/>
        </w:rPr>
      </w:pPr>
      <w:r w:rsidRPr="00613C53">
        <w:rPr>
          <w:rFonts w:ascii="Palatino Linotype" w:eastAsia="MS Mincho" w:hAnsi="Palatino Linotype" w:cs="Times New Roman"/>
          <w:i/>
        </w:rPr>
        <w:t>•</w:t>
      </w:r>
      <w:r w:rsidRPr="00613C53">
        <w:rPr>
          <w:rFonts w:ascii="Palatino Linotype" w:eastAsia="MS Mincho" w:hAnsi="Palatino Linotype" w:cs="Times New Roman"/>
          <w:i/>
        </w:rPr>
        <w:tab/>
        <w:t>RRA 0540/17. Secretaría de Economía. 08 de marzo del 2017. Por unanimidad. Comisionado Ponente Francisco Javier Acuña Llamas”</w:t>
      </w:r>
    </w:p>
    <w:p w:rsidR="0000648A" w:rsidRPr="00613C53" w:rsidRDefault="0000648A" w:rsidP="0000648A">
      <w:pPr>
        <w:spacing w:line="360" w:lineRule="auto"/>
        <w:ind w:right="49"/>
        <w:contextualSpacing/>
        <w:jc w:val="both"/>
        <w:rPr>
          <w:rFonts w:ascii="Palatino Linotype" w:eastAsia="MS Mincho" w:hAnsi="Palatino Linotype" w:cs="Times New Roman"/>
        </w:rPr>
      </w:pPr>
    </w:p>
    <w:p w:rsidR="0000648A" w:rsidRPr="00613C53" w:rsidRDefault="0000648A" w:rsidP="00C65DC5">
      <w:pPr>
        <w:numPr>
          <w:ilvl w:val="0"/>
          <w:numId w:val="11"/>
        </w:numPr>
        <w:pBdr>
          <w:top w:val="nil"/>
          <w:left w:val="nil"/>
          <w:bottom w:val="nil"/>
          <w:right w:val="nil"/>
          <w:between w:val="nil"/>
        </w:pBdr>
        <w:spacing w:line="360" w:lineRule="auto"/>
        <w:ind w:left="0" w:right="-646" w:firstLine="0"/>
        <w:jc w:val="both"/>
        <w:rPr>
          <w:rFonts w:ascii="Palatino Linotype" w:eastAsia="Arial Unicode MS" w:hAnsi="Palatino Linotype" w:cs="Arial"/>
        </w:rPr>
      </w:pPr>
      <w:r w:rsidRPr="00613C53">
        <w:rPr>
          <w:rFonts w:ascii="Palatino Linotype" w:eastAsia="MS Mincho" w:hAnsi="Palatino Linotype" w:cs="Times New Roman"/>
        </w:rPr>
        <w:t xml:space="preserve">Es así, que los </w:t>
      </w:r>
      <w:r w:rsidRPr="00613C53">
        <w:rPr>
          <w:rFonts w:ascii="Palatino Linotype" w:eastAsia="MS Mincho" w:hAnsi="Palatino Linotype" w:cs="Times New Roman"/>
          <w:b/>
        </w:rPr>
        <w:t>Sujetos Obligados</w:t>
      </w:r>
      <w:r w:rsidRPr="00613C53">
        <w:rPr>
          <w:rFonts w:ascii="Palatino Linotype" w:eastAsia="MS Mincho" w:hAnsi="Palatino Linotype" w:cs="Times New Roman"/>
        </w:rPr>
        <w:t xml:space="preserve">, </w:t>
      </w:r>
      <w:r w:rsidRPr="00613C53">
        <w:rPr>
          <w:rFonts w:ascii="Palatino Linotype" w:eastAsia="MS Mincho" w:hAnsi="Palatino Linotype" w:cs="Times New Roman"/>
          <w:b/>
          <w:u w:val="single"/>
        </w:rPr>
        <w:t>deben de poner a disposición de los particulares los documentos donde conste o se aprecie la información solicitada</w:t>
      </w:r>
      <w:r w:rsidRPr="00613C53">
        <w:rPr>
          <w:rFonts w:ascii="Palatino Linotype" w:eastAsia="MS Mincho" w:hAnsi="Palatino Linotype" w:cs="Times New Roman"/>
        </w:rPr>
        <w:t xml:space="preserve">, tratando en todo </w:t>
      </w:r>
      <w:r w:rsidRPr="00613C53">
        <w:rPr>
          <w:rFonts w:ascii="Palatino Linotype" w:eastAsia="Arial Unicode MS" w:hAnsi="Palatino Linotype" w:cs="Arial"/>
        </w:rPr>
        <w:lastRenderedPageBreak/>
        <w:t xml:space="preserve">momento de privilegiar el derecho de acceso a la información pública, siendo necesario poner mayor énfasis en  la normatividad en materia de acceso a la información ya que  faculta a los </w:t>
      </w:r>
      <w:r w:rsidRPr="00613C53">
        <w:rPr>
          <w:rFonts w:ascii="Palatino Linotype" w:eastAsia="MS Mincho" w:hAnsi="Palatino Linotype" w:cs="Times New Roman"/>
        </w:rPr>
        <w:t>particulares</w:t>
      </w:r>
      <w:r w:rsidRPr="00613C53">
        <w:rPr>
          <w:rFonts w:ascii="Palatino Linotype" w:eastAsia="Arial Unicode MS" w:hAnsi="Palatino Linotype" w:cs="Arial"/>
        </w:rPr>
        <w:t xml:space="preserve">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rsidR="001F3CEB" w:rsidRPr="00613C53" w:rsidRDefault="001F3CEB" w:rsidP="001F3CEB">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Por lo tanto, lo solicitado corresponde a información pública susceptible de ser entregada, en su caso, en versión pública y, por lo tanto, no es procedente su clasificación. </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1F3CEB" w:rsidRPr="00613C53" w:rsidRDefault="001F3CEB" w:rsidP="001F3CEB">
      <w:pPr>
        <w:pStyle w:val="Prrafodelista"/>
        <w:rPr>
          <w:rFonts w:ascii="Palatino Linotype" w:eastAsia="Palatino Linotype" w:hAnsi="Palatino Linotype" w:cs="Palatino Linotype"/>
          <w:color w:val="000000"/>
        </w:rPr>
      </w:pPr>
    </w:p>
    <w:p w:rsidR="00A83BD3" w:rsidRPr="00613C53" w:rsidRDefault="00F41D15">
      <w:pPr>
        <w:spacing w:line="360" w:lineRule="auto"/>
        <w:ind w:left="864" w:right="-220"/>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Criterio 01/2003.</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613C53">
        <w:rPr>
          <w:rFonts w:ascii="Palatino Linotype" w:eastAsia="Palatino Linotype" w:hAnsi="Palatino Linotype" w:cs="Palatino Linotype"/>
          <w:b/>
          <w:i/>
          <w:sz w:val="22"/>
          <w:szCs w:val="22"/>
          <w:u w:val="single"/>
        </w:rPr>
        <w:t>.</w:t>
      </w:r>
      <w:r w:rsidRPr="00613C53">
        <w:rPr>
          <w:rFonts w:ascii="Palatino Linotype" w:eastAsia="Palatino Linotype" w:hAnsi="Palatino Linotype" w:cs="Palatino Linotype"/>
          <w:i/>
          <w:sz w:val="22"/>
          <w:szCs w:val="22"/>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i/>
          <w:sz w:val="22"/>
          <w:szCs w:val="22"/>
          <w:u w:val="single"/>
        </w:rPr>
        <w:t xml:space="preserve">debe reconocerse que aun y  cuando en ese supuesto podría encuadrar la relativa a las percepciones </w:t>
      </w:r>
      <w:r w:rsidRPr="00613C53">
        <w:rPr>
          <w:rFonts w:ascii="Palatino Linotype" w:eastAsia="Palatino Linotype" w:hAnsi="Palatino Linotype" w:cs="Palatino Linotype"/>
          <w:i/>
          <w:sz w:val="22"/>
          <w:szCs w:val="22"/>
          <w:u w:val="single"/>
        </w:rPr>
        <w:lastRenderedPageBreak/>
        <w:t>ordinarias y extraordinaria de los servidores públicos</w:t>
      </w:r>
      <w:r w:rsidRPr="00613C53">
        <w:rPr>
          <w:rFonts w:ascii="Palatino Linotype" w:eastAsia="Palatino Linotype" w:hAnsi="Palatino Linotype" w:cs="Palatino Linotype"/>
          <w:i/>
          <w:sz w:val="22"/>
          <w:szCs w:val="22"/>
        </w:rPr>
        <w:t xml:space="preserve">, ello no obsta para reconocer que el legislador estableció en el artículo 7 de ese mismo ordenamiento que la referida información, como una obligación de trasparencia, </w:t>
      </w:r>
      <w:r w:rsidRPr="00613C53">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A83BD3" w:rsidRPr="00613C53" w:rsidRDefault="00A83BD3">
      <w:pPr>
        <w:spacing w:line="360" w:lineRule="auto"/>
        <w:ind w:left="864" w:right="-220"/>
        <w:jc w:val="both"/>
        <w:rPr>
          <w:rFonts w:ascii="Palatino Linotype" w:eastAsia="Palatino Linotype" w:hAnsi="Palatino Linotype" w:cs="Palatino Linotype"/>
          <w:i/>
          <w:sz w:val="22"/>
          <w:szCs w:val="22"/>
        </w:rPr>
      </w:pPr>
    </w:p>
    <w:p w:rsidR="00A83BD3" w:rsidRPr="00613C53" w:rsidRDefault="00F41D15">
      <w:pPr>
        <w:spacing w:line="360" w:lineRule="auto"/>
        <w:ind w:left="864" w:right="-220"/>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Criterio 02/2003.</w:t>
      </w:r>
    </w:p>
    <w:p w:rsidR="00A83BD3" w:rsidRPr="00613C53" w:rsidRDefault="00F41D15">
      <w:pPr>
        <w:spacing w:line="360" w:lineRule="auto"/>
        <w:ind w:left="86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613C53">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w:t>
      </w:r>
      <w:r w:rsidRPr="00613C53">
        <w:rPr>
          <w:rFonts w:ascii="Palatino Linotype" w:eastAsia="Palatino Linotype" w:hAnsi="Palatino Linotype" w:cs="Palatino Linotype"/>
          <w:i/>
          <w:sz w:val="22"/>
          <w:szCs w:val="22"/>
          <w:u w:val="single"/>
        </w:rPr>
        <w:t>se advierte que no constituye información confidencial la relativa a los ingresos que reciben los servidores públicos, ya que aun y cuando se trata de datos personales relativos a su patrimonio</w:t>
      </w:r>
      <w:r w:rsidRPr="00613C53">
        <w:rPr>
          <w:rFonts w:ascii="Palatino Linotype" w:eastAsia="Palatino Linotype" w:hAnsi="Palatino Linotype" w:cs="Palatino Linotype"/>
          <w:i/>
          <w:sz w:val="22"/>
          <w:szCs w:val="22"/>
        </w:rPr>
        <w:t xml:space="preserve">, para su difusión no se requiere consentimiento de aquellos, </w:t>
      </w:r>
      <w:r w:rsidRPr="00613C53">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13C53">
        <w:rPr>
          <w:rFonts w:ascii="Palatino Linotype" w:eastAsia="Palatino Linotype" w:hAnsi="Palatino Linotype" w:cs="Palatino Linotype"/>
          <w:i/>
          <w:sz w:val="22"/>
          <w:szCs w:val="22"/>
        </w:rPr>
        <w:t xml:space="preserve"> el sistema de compensación. </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color w:val="000000"/>
        </w:rPr>
        <w:t xml:space="preserve">Bajo ese amparo, es conducente determinar que respecto al punto que se analiza, el documento que de manera enunciativa </w:t>
      </w:r>
      <w:r w:rsidRPr="00613C53">
        <w:rPr>
          <w:rFonts w:ascii="Palatino Linotype" w:eastAsia="Palatino Linotype" w:hAnsi="Palatino Linotype" w:cs="Palatino Linotype"/>
        </w:rPr>
        <w:t>más</w:t>
      </w:r>
      <w:r w:rsidRPr="00613C53">
        <w:rPr>
          <w:rFonts w:ascii="Palatino Linotype" w:eastAsia="Palatino Linotype" w:hAnsi="Palatino Linotype" w:cs="Palatino Linotype"/>
          <w:color w:val="000000"/>
        </w:rPr>
        <w:t xml:space="preserve"> no limitativa se puede atender la solicitud es </w:t>
      </w:r>
      <w:r w:rsidRPr="00613C53">
        <w:rPr>
          <w:rFonts w:ascii="Palatino Linotype" w:eastAsia="Palatino Linotype" w:hAnsi="Palatino Linotype" w:cs="Palatino Linotype"/>
          <w:color w:val="000000"/>
        </w:rPr>
        <w:lastRenderedPageBreak/>
        <w:t xml:space="preserve">el denominado Conciliación de la Nómina, por lo que el Pleno de este Instituto estima procedente ordenar la entrega del documento donde conste el salario bruto, salario neto </w:t>
      </w:r>
      <w:r w:rsidRPr="00613C53">
        <w:rPr>
          <w:rFonts w:ascii="Palatino Linotype" w:eastAsia="Palatino Linotype" w:hAnsi="Palatino Linotype" w:cs="Palatino Linotype"/>
          <w:b/>
          <w:color w:val="000000"/>
        </w:rPr>
        <w:t>que reciben los policías por  categoría, del primero de enero dos mil veintidós al treinta y uno de enero de dos mil veinticuatro.</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7"/>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 xml:space="preserve">El gasto que ejerció el municipio en el periodo fiscal 2022 y 2023 para el pago de equipamiento policial, armamento, pago de patrullas (ya sea adquisición o renta), capacitación policial, desglosado por concepto de pago y especificar el número de policías beneficiados.  </w:t>
      </w:r>
    </w:p>
    <w:p w:rsidR="001F3CEB" w:rsidRPr="00613C53" w:rsidRDefault="001F3CEB" w:rsidP="001F3CEB">
      <w:pPr>
        <w:pBdr>
          <w:top w:val="nil"/>
          <w:left w:val="nil"/>
          <w:bottom w:val="nil"/>
          <w:right w:val="nil"/>
          <w:between w:val="nil"/>
        </w:pBdr>
        <w:spacing w:line="360" w:lineRule="auto"/>
        <w:ind w:left="720" w:right="-646"/>
        <w:jc w:val="both"/>
        <w:rPr>
          <w:rFonts w:ascii="Palatino Linotype" w:eastAsia="Palatino Linotype" w:hAnsi="Palatino Linotype" w:cs="Palatino Linotype"/>
          <w:b/>
          <w:color w:val="000000"/>
        </w:rPr>
      </w:pPr>
    </w:p>
    <w:p w:rsidR="007120DB" w:rsidRPr="00613C53" w:rsidRDefault="007120DB" w:rsidP="002621F7">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Relativo al punto de referencia, es dable iniciar estableciendo que lo solicitado se refiere a los recursos económicos que las instituciones de seguridad pública</w:t>
      </w:r>
      <w:r w:rsidR="002621F7" w:rsidRPr="00613C53">
        <w:rPr>
          <w:rFonts w:ascii="Palatino Linotype" w:eastAsia="Palatino Linotype" w:hAnsi="Palatino Linotype" w:cs="Palatino Linotype"/>
          <w:color w:val="000000"/>
        </w:rPr>
        <w:t>, en el caso concreto de nivel municipal,</w:t>
      </w:r>
      <w:r w:rsidRPr="00613C53">
        <w:rPr>
          <w:rFonts w:ascii="Palatino Linotype" w:eastAsia="Palatino Linotype" w:hAnsi="Palatino Linotype" w:cs="Palatino Linotype"/>
          <w:color w:val="000000"/>
        </w:rPr>
        <w:t xml:space="preserve"> destinan para dotar a los cuerpos policiacos de los elementos necesarios para el de</w:t>
      </w:r>
      <w:r w:rsidR="002621F7" w:rsidRPr="00613C53">
        <w:rPr>
          <w:rFonts w:ascii="Palatino Linotype" w:eastAsia="Palatino Linotype" w:hAnsi="Palatino Linotype" w:cs="Palatino Linotype"/>
          <w:color w:val="000000"/>
        </w:rPr>
        <w:t>sempeño de sus funciones; en ese sentido, por pago de equipamiento policial, se colige que corresponde a un concepto que abarca la adquisición de bienes y materiales necesarios para que los policías desempeñen sus funciones de manera eficaz y segura, como pueden ser de manera enunciativa mas no limitativa uniformes equipamiento táctico o equipos tecnológicos.</w:t>
      </w:r>
    </w:p>
    <w:p w:rsidR="002621F7" w:rsidRPr="00613C53" w:rsidRDefault="002621F7" w:rsidP="002621F7">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2621F7" w:rsidRPr="00613C53" w:rsidRDefault="002621F7" w:rsidP="002621F7">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Por pago de pago de armamento, se refiere a la compra, mantenimiento y actualización del armamento utilizado por las fuerzas policiales, lo que incluye de manera enunciativa más no limitativa armas de fuego, accesorios de armas y mantenimiento de armas. Por otro lado, relativo al pago de patrullas, estas pueden ser por adquisición o </w:t>
      </w:r>
      <w:r w:rsidRPr="00613C53">
        <w:rPr>
          <w:rFonts w:ascii="Palatino Linotype" w:eastAsia="Palatino Linotype" w:hAnsi="Palatino Linotype" w:cs="Palatino Linotype"/>
          <w:color w:val="000000"/>
        </w:rPr>
        <w:lastRenderedPageBreak/>
        <w:t>renta, lo que hace referencia a los recursos destinados a la obtención de vehículos para patrullaje, ya sea mediante compra o arrendamiento, lo que incluye de manera enunciativa mas no limitativa adquisición de patrullas (automóviles, motocicletas, camionetas y vehículos de respuesta rápida), renta de patrullas (contratos de arrendamiento con empresas privadas para el uso temporal de vehículos policiales) y mantenimiento y operación.</w:t>
      </w:r>
    </w:p>
    <w:p w:rsidR="002621F7" w:rsidRPr="00613C53" w:rsidRDefault="002621F7" w:rsidP="002621F7">
      <w:pPr>
        <w:pStyle w:val="Prrafodelista"/>
        <w:rPr>
          <w:rFonts w:ascii="Palatino Linotype" w:eastAsia="Palatino Linotype" w:hAnsi="Palatino Linotype" w:cs="Palatino Linotype"/>
          <w:color w:val="000000"/>
        </w:rPr>
      </w:pPr>
    </w:p>
    <w:p w:rsidR="002621F7" w:rsidRPr="00613C53" w:rsidRDefault="002621F7" w:rsidP="002621F7">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Finalmente, respecto al pago de Capacitación Policial, se refiere a los recursos invertidos en la formación y actualización de los policías, que incluye de manera enunciativa mas no limitativa cursos de formación inicial, capacitación en derechos humanos, tácticas operativas, cursos especializados, pago que de existir son fundamentales para garantizar que los cuerpos policiales cuenten con los recursos necesarios para cumplir con su labor de seguridad pública y protección ciudadana.</w:t>
      </w:r>
    </w:p>
    <w:p w:rsidR="002621F7" w:rsidRPr="00613C53" w:rsidRDefault="002621F7" w:rsidP="007120DB">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2621F7">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Dicho lo anterior, e</w:t>
      </w:r>
      <w:r w:rsidR="00F41D15" w:rsidRPr="00613C53">
        <w:rPr>
          <w:rFonts w:ascii="Palatino Linotype" w:eastAsia="Palatino Linotype" w:hAnsi="Palatino Linotype" w:cs="Palatino Linotype"/>
          <w:color w:val="000000"/>
        </w:rPr>
        <w:t>s de señalar que la Ley de Contratación Pública del Estado de México y Municipios y su Reglamento establecen lo siguiente:</w:t>
      </w:r>
    </w:p>
    <w:p w:rsidR="00A83BD3" w:rsidRPr="00613C53" w:rsidRDefault="00F41D15">
      <w:pPr>
        <w:tabs>
          <w:tab w:val="left" w:pos="709"/>
        </w:tabs>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Artículo 26.- Las adquisiciones, arrendamientos y servicios se adjudicarán a través de licitaciones públicas, mediante convocatoria pública. </w:t>
      </w:r>
    </w:p>
    <w:p w:rsidR="00A83BD3" w:rsidRPr="00613C53" w:rsidRDefault="00F41D15">
      <w:pPr>
        <w:tabs>
          <w:tab w:val="left" w:pos="709"/>
        </w:tabs>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Artículo 27.- La Secretaría, las entidades, los tribunales administrativos y los ayuntamientos podrán adjudicar adquisiciones, arrendamientos y servicios, mediante las excepciones al procedimiento de licitación que a continuación se señalan: </w:t>
      </w:r>
    </w:p>
    <w:p w:rsidR="00A83BD3" w:rsidRPr="00613C53" w:rsidRDefault="00F41D15">
      <w:pPr>
        <w:numPr>
          <w:ilvl w:val="0"/>
          <w:numId w:val="17"/>
        </w:numPr>
        <w:pBdr>
          <w:top w:val="nil"/>
          <w:left w:val="nil"/>
          <w:bottom w:val="nil"/>
          <w:right w:val="nil"/>
          <w:between w:val="nil"/>
        </w:pBdr>
        <w:tabs>
          <w:tab w:val="left" w:pos="709"/>
        </w:tabs>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Invitación restringida. </w:t>
      </w:r>
    </w:p>
    <w:p w:rsidR="00A83BD3" w:rsidRPr="00613C53" w:rsidRDefault="00F41D15">
      <w:pPr>
        <w:numPr>
          <w:ilvl w:val="0"/>
          <w:numId w:val="17"/>
        </w:numPr>
        <w:pBdr>
          <w:top w:val="nil"/>
          <w:left w:val="nil"/>
          <w:bottom w:val="nil"/>
          <w:right w:val="nil"/>
          <w:between w:val="nil"/>
        </w:pBdr>
        <w:tabs>
          <w:tab w:val="left" w:pos="709"/>
        </w:tabs>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Adjudicación directa. </w:t>
      </w:r>
    </w:p>
    <w:p w:rsidR="00A83BD3" w:rsidRPr="00613C53" w:rsidRDefault="00F41D15">
      <w:pPr>
        <w:tabs>
          <w:tab w:val="left" w:pos="709"/>
        </w:tabs>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Artículo 28.- La licitación pública, conforme a los medios que se utilicen, podrá ser: </w:t>
      </w:r>
    </w:p>
    <w:p w:rsidR="00A83BD3" w:rsidRPr="00613C53" w:rsidRDefault="00F41D15">
      <w:pPr>
        <w:numPr>
          <w:ilvl w:val="0"/>
          <w:numId w:val="1"/>
        </w:numPr>
        <w:pBdr>
          <w:top w:val="nil"/>
          <w:left w:val="nil"/>
          <w:bottom w:val="nil"/>
          <w:right w:val="nil"/>
          <w:between w:val="nil"/>
        </w:pBdr>
        <w:tabs>
          <w:tab w:val="left" w:pos="709"/>
        </w:tabs>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lastRenderedPageBreak/>
        <w:t xml:space="preserve">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rsidR="00A83BD3" w:rsidRPr="00613C53" w:rsidRDefault="00F41D15">
      <w:pPr>
        <w:pBdr>
          <w:top w:val="nil"/>
          <w:left w:val="nil"/>
          <w:bottom w:val="nil"/>
          <w:right w:val="nil"/>
          <w:between w:val="nil"/>
        </w:pBdr>
        <w:tabs>
          <w:tab w:val="left" w:pos="709"/>
        </w:tabs>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Bajo esta modalidad, la o las juntas de aclaraciones, el acto de presentación y la apertura de propuestas se realizarán de manera presencial, a los cuales podrán asistir los licitantes. </w:t>
      </w:r>
    </w:p>
    <w:p w:rsidR="00A83BD3" w:rsidRPr="00613C53" w:rsidRDefault="00F41D15">
      <w:pPr>
        <w:numPr>
          <w:ilvl w:val="0"/>
          <w:numId w:val="1"/>
        </w:numPr>
        <w:pBdr>
          <w:top w:val="nil"/>
          <w:left w:val="nil"/>
          <w:bottom w:val="nil"/>
          <w:right w:val="nil"/>
          <w:between w:val="nil"/>
        </w:pBdr>
        <w:tabs>
          <w:tab w:val="left" w:pos="709"/>
        </w:tabs>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rsidR="00A83BD3" w:rsidRPr="00613C53" w:rsidRDefault="00F41D15">
      <w:pPr>
        <w:pBdr>
          <w:top w:val="nil"/>
          <w:left w:val="nil"/>
          <w:bottom w:val="nil"/>
          <w:right w:val="nil"/>
          <w:between w:val="nil"/>
        </w:pBdr>
        <w:tabs>
          <w:tab w:val="left" w:pos="709"/>
        </w:tabs>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Bajo esta modalidad, la o las juntas de aclaraciones, el acto de presentación, la apertura de propuestas y el acto de fallo sólo se realizarán a través de COMPRAMEX y sin la presencia de los licitantes en dichos actos, y </w:t>
      </w:r>
    </w:p>
    <w:p w:rsidR="00A83BD3" w:rsidRPr="00613C53" w:rsidRDefault="00F41D15">
      <w:pPr>
        <w:numPr>
          <w:ilvl w:val="0"/>
          <w:numId w:val="1"/>
        </w:numPr>
        <w:pBdr>
          <w:top w:val="nil"/>
          <w:left w:val="nil"/>
          <w:bottom w:val="nil"/>
          <w:right w:val="nil"/>
          <w:between w:val="nil"/>
        </w:pBdr>
        <w:tabs>
          <w:tab w:val="left" w:pos="709"/>
        </w:tabs>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Mixta, en la cual los licitantes, a su elección, podrán participar en forma presencial o electrónica en la o las juntas de aclaraciones, en el acto de presentación y en la apertura de propuestas, y el acto de fallo.</w:t>
      </w:r>
    </w:p>
    <w:p w:rsidR="00A83BD3" w:rsidRPr="00613C53" w:rsidRDefault="00F41D15">
      <w:pPr>
        <w:tabs>
          <w:tab w:val="left" w:pos="709"/>
        </w:tabs>
        <w:spacing w:line="360" w:lineRule="auto"/>
        <w:ind w:left="709"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Reglamento de la Ley de Contratación Pública del Estado de México y Municipios</w:t>
      </w:r>
      <w:r w:rsidRPr="00613C53">
        <w:rPr>
          <w:rFonts w:ascii="Palatino Linotype" w:eastAsia="Palatino Linotype" w:hAnsi="Palatino Linotype" w:cs="Palatino Linotype"/>
          <w:b/>
          <w:i/>
          <w:sz w:val="22"/>
          <w:szCs w:val="22"/>
        </w:rPr>
        <w:br/>
      </w:r>
      <w:r w:rsidRPr="00613C53">
        <w:rPr>
          <w:rFonts w:ascii="Palatino Linotype" w:eastAsia="Palatino Linotype" w:hAnsi="Palatino Linotype" w:cs="Palatino Linotype"/>
          <w:i/>
          <w:sz w:val="22"/>
          <w:szCs w:val="22"/>
        </w:rPr>
        <w:t xml:space="preserve">Artículo 90.- En el procedimiento de invitación restringida se deberá observar lo siguiente: </w:t>
      </w:r>
    </w:p>
    <w:p w:rsidR="00A83BD3" w:rsidRPr="00613C53" w:rsidRDefault="00F41D15">
      <w:pPr>
        <w:numPr>
          <w:ilvl w:val="0"/>
          <w:numId w:val="2"/>
        </w:numPr>
        <w:pBdr>
          <w:top w:val="nil"/>
          <w:left w:val="nil"/>
          <w:bottom w:val="nil"/>
          <w:right w:val="nil"/>
          <w:between w:val="nil"/>
        </w:pBdr>
        <w:tabs>
          <w:tab w:val="left" w:pos="709"/>
        </w:tabs>
        <w:spacing w:line="360" w:lineRule="auto"/>
        <w:ind w:left="1429" w:right="-220" w:hanging="7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Se invitará a un mínimo de tres personas seleccionadas de entre las que se encuentren inscritas e 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rsidR="00A83BD3" w:rsidRPr="00613C53" w:rsidRDefault="00F41D15">
      <w:pPr>
        <w:numPr>
          <w:ilvl w:val="0"/>
          <w:numId w:val="2"/>
        </w:numPr>
        <w:pBdr>
          <w:top w:val="nil"/>
          <w:left w:val="nil"/>
          <w:bottom w:val="nil"/>
          <w:right w:val="nil"/>
          <w:between w:val="nil"/>
        </w:pBdr>
        <w:tabs>
          <w:tab w:val="left" w:pos="709"/>
        </w:tabs>
        <w:spacing w:line="360" w:lineRule="auto"/>
        <w:ind w:left="1429" w:right="-220" w:hanging="720"/>
        <w:jc w:val="both"/>
        <w:rPr>
          <w:rFonts w:ascii="Palatino Linotype" w:eastAsia="Palatino Linotype" w:hAnsi="Palatino Linotype" w:cs="Palatino Linotype"/>
          <w:b/>
          <w:i/>
          <w:color w:val="000000"/>
          <w:sz w:val="22"/>
          <w:szCs w:val="22"/>
        </w:rPr>
      </w:pPr>
      <w:r w:rsidRPr="00613C53">
        <w:rPr>
          <w:rFonts w:ascii="Palatino Linotype" w:eastAsia="Palatino Linotype" w:hAnsi="Palatino Linotype" w:cs="Palatino Linotype"/>
          <w:i/>
          <w:color w:val="000000"/>
          <w:sz w:val="22"/>
          <w:szCs w:val="22"/>
        </w:rPr>
        <w:lastRenderedPageBreak/>
        <w:t xml:space="preserve">Las bases de la invitación restringida indicarán los aspectos de la adquisición o contratación; y </w:t>
      </w:r>
    </w:p>
    <w:p w:rsidR="00A83BD3" w:rsidRPr="00613C53" w:rsidRDefault="00F41D15">
      <w:pPr>
        <w:numPr>
          <w:ilvl w:val="0"/>
          <w:numId w:val="2"/>
        </w:numPr>
        <w:pBdr>
          <w:top w:val="nil"/>
          <w:left w:val="nil"/>
          <w:bottom w:val="nil"/>
          <w:right w:val="nil"/>
          <w:between w:val="nil"/>
        </w:pBdr>
        <w:tabs>
          <w:tab w:val="left" w:pos="709"/>
        </w:tabs>
        <w:spacing w:line="360" w:lineRule="auto"/>
        <w:ind w:left="1429" w:right="-220" w:hanging="720"/>
        <w:jc w:val="both"/>
        <w:rPr>
          <w:rFonts w:ascii="Palatino Linotype" w:eastAsia="Palatino Linotype" w:hAnsi="Palatino Linotype" w:cs="Palatino Linotype"/>
          <w:b/>
          <w:i/>
          <w:color w:val="000000"/>
          <w:sz w:val="22"/>
          <w:szCs w:val="22"/>
        </w:rPr>
      </w:pPr>
      <w:r w:rsidRPr="00613C53">
        <w:rPr>
          <w:rFonts w:ascii="Palatino Linotype" w:eastAsia="Palatino Linotype" w:hAnsi="Palatino Linotype" w:cs="Palatino Linotype"/>
          <w:i/>
          <w:color w:val="000000"/>
          <w:sz w:val="22"/>
          <w:szCs w:val="22"/>
        </w:rPr>
        <w:t>Serán aplicables, en lo conducente, las disposiciones de la licitación pública.</w:t>
      </w:r>
    </w:p>
    <w:p w:rsidR="00A83BD3" w:rsidRPr="00613C53" w:rsidRDefault="00F41D15">
      <w:pPr>
        <w:tabs>
          <w:tab w:val="left" w:pos="709"/>
        </w:tabs>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Artículo 91.- La Secretaría, organismos auxiliares, tribunales administrativos y municipios podrán adquirir, arrendar o enajenar bienes, y contratar servicios, mediante el procedimiento de adjudicación directa en los términos establecidos por la Ley. </w:t>
      </w:r>
    </w:p>
    <w:p w:rsidR="00A83BD3" w:rsidRPr="00613C53" w:rsidRDefault="00A83BD3">
      <w:pPr>
        <w:tabs>
          <w:tab w:val="left" w:pos="709"/>
        </w:tabs>
        <w:spacing w:line="360" w:lineRule="auto"/>
        <w:ind w:left="708" w:right="-220"/>
        <w:jc w:val="both"/>
        <w:rPr>
          <w:rFonts w:ascii="Palatino Linotype" w:eastAsia="Palatino Linotype" w:hAnsi="Palatino Linotype" w:cs="Palatino Linotype"/>
          <w:i/>
          <w:sz w:val="22"/>
          <w:szCs w:val="22"/>
        </w:rPr>
      </w:pPr>
    </w:p>
    <w:p w:rsidR="00A83BD3" w:rsidRPr="00613C53" w:rsidRDefault="00F41D15">
      <w:pPr>
        <w:tabs>
          <w:tab w:val="left" w:pos="709"/>
        </w:tabs>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Artículo 92.-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rsidR="00A83BD3" w:rsidRPr="00613C53" w:rsidRDefault="00F41D15">
      <w:pPr>
        <w:tabs>
          <w:tab w:val="left" w:pos="709"/>
        </w:tabs>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rsidR="00A83BD3" w:rsidRPr="00613C53" w:rsidRDefault="00F41D15">
      <w:pPr>
        <w:tabs>
          <w:tab w:val="left" w:pos="709"/>
        </w:tabs>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En el caso de los municipios, las cotizaciones deberán obtenerse a través de sus áreas de administración.</w:t>
      </w:r>
    </w:p>
    <w:p w:rsidR="00A83BD3" w:rsidRPr="00613C53" w:rsidRDefault="00A83BD3">
      <w:pPr>
        <w:tabs>
          <w:tab w:val="left" w:pos="709"/>
        </w:tabs>
        <w:spacing w:line="360" w:lineRule="auto"/>
        <w:ind w:left="708" w:right="-646"/>
        <w:jc w:val="both"/>
        <w:rPr>
          <w:rFonts w:ascii="Palatino Linotype" w:eastAsia="Palatino Linotype" w:hAnsi="Palatino Linotype" w:cs="Palatino Linotype"/>
          <w:i/>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Bajo tal premisa, los ayuntamientos podrán realizar adquisiciones, arrendamientos y contratación de servicios mediante licitaciones públicas, así también, podrán adjudicar mediante invitación restringida y adjudicación directa; las primeras podrán ser: presenciales, en las cuales los licitantes </w:t>
      </w:r>
      <w:r w:rsidRPr="00613C53">
        <w:rPr>
          <w:rFonts w:ascii="Palatino Linotype" w:eastAsia="Palatino Linotype" w:hAnsi="Palatino Linotype" w:cs="Palatino Linotype"/>
        </w:rPr>
        <w:t>presentarán</w:t>
      </w:r>
      <w:r w:rsidRPr="00613C53">
        <w:rPr>
          <w:rFonts w:ascii="Palatino Linotype" w:eastAsia="Palatino Linotype" w:hAnsi="Palatino Linotype" w:cs="Palatino Linotype"/>
          <w:color w:val="000000"/>
        </w:rPr>
        <w:t xml:space="preserve"> sus propuestas en forma documental </w:t>
      </w:r>
      <w:r w:rsidRPr="00613C53">
        <w:rPr>
          <w:rFonts w:ascii="Palatino Linotype" w:eastAsia="Palatino Linotype" w:hAnsi="Palatino Linotype" w:cs="Palatino Linotype"/>
          <w:color w:val="000000"/>
        </w:rPr>
        <w:lastRenderedPageBreak/>
        <w:t xml:space="preserve">y por escrito; electrónicas, donde se </w:t>
      </w:r>
      <w:r w:rsidRPr="00613C53">
        <w:rPr>
          <w:rFonts w:ascii="Palatino Linotype" w:eastAsia="Palatino Linotype" w:hAnsi="Palatino Linotype" w:cs="Palatino Linotype"/>
        </w:rPr>
        <w:t>participará</w:t>
      </w:r>
      <w:r w:rsidRPr="00613C53">
        <w:rPr>
          <w:rFonts w:ascii="Palatino Linotype" w:eastAsia="Palatino Linotype" w:hAnsi="Palatino Linotype" w:cs="Palatino Linotype"/>
          <w:color w:val="000000"/>
        </w:rPr>
        <w:t xml:space="preserve"> a través de COMPRAMEX; mixta, los licitantes podrán participar en </w:t>
      </w:r>
      <w:r w:rsidRPr="00613C53">
        <w:rPr>
          <w:rFonts w:ascii="Palatino Linotype" w:eastAsia="Palatino Linotype" w:hAnsi="Palatino Linotype" w:cs="Palatino Linotype"/>
        </w:rPr>
        <w:t>cualquiera</w:t>
      </w:r>
      <w:r w:rsidRPr="00613C53">
        <w:rPr>
          <w:rFonts w:ascii="Palatino Linotype" w:eastAsia="Palatino Linotype" w:hAnsi="Palatino Linotype" w:cs="Palatino Linotype"/>
          <w:color w:val="000000"/>
        </w:rPr>
        <w:t xml:space="preserve"> de las dos formas anteriores.</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709"/>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 Por cuerda separada, los ayuntamientos podrán adquirir, arrendar o enajenar bienes, con excepción a la licitación pública mediante los procedimientos de invitación restringida y adjudicación directa, el primero se invitara a un mínimo de tres personas que se encuentren en el catálogo de proveedores y prestadores de servicios, por su parte el segundo se deberá de celebrar contrato pedido el cual no será necesario observar las disposiciones en los demás artículos de esta Sección.</w:t>
      </w:r>
    </w:p>
    <w:p w:rsidR="00A83BD3" w:rsidRPr="00613C53" w:rsidRDefault="00A83BD3">
      <w:pPr>
        <w:pBdr>
          <w:top w:val="nil"/>
          <w:left w:val="nil"/>
          <w:bottom w:val="nil"/>
          <w:right w:val="nil"/>
          <w:between w:val="nil"/>
        </w:pBdr>
        <w:tabs>
          <w:tab w:val="left" w:pos="709"/>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709"/>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Por lo que corresponde al punto 2, la Ley Orgánica Municipal del Estado de México señala:</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Artículo 53.- Los síndicos tendrán las siguientes atribuciones:</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w:t>
      </w:r>
      <w:r w:rsidRPr="00613C53">
        <w:rPr>
          <w:rFonts w:ascii="Palatino Linotype" w:eastAsia="Palatino Linotype" w:hAnsi="Palatino Linotype" w:cs="Palatino Linotype"/>
          <w:i/>
          <w:sz w:val="22"/>
          <w:szCs w:val="22"/>
        </w:rPr>
        <w:lastRenderedPageBreak/>
        <w:t>contado a partir de la instalación del ayuntamiento y presentarlo al cabildo para su conocimiento y opinión.</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Artículo 112. El órgano interno de control municipal, tendrá a su cargo las funciones siguientes:</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XV. Participar en la elaboración y actualización del inventario general de los bienes muebles e inmuebles propiedad del municipio, que expresará las características de identificación y destino de los mismos;</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A83BD3">
      <w:pPr>
        <w:spacing w:line="360" w:lineRule="auto"/>
        <w:ind w:left="708" w:right="-646"/>
        <w:jc w:val="both"/>
        <w:rPr>
          <w:rFonts w:ascii="Palatino Linotype" w:eastAsia="Palatino Linotype" w:hAnsi="Palatino Linotype" w:cs="Palatino Linotype"/>
          <w:i/>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Así también, la Ley de Bienes del Estado de México y sus Municipios reza:</w:t>
      </w:r>
    </w:p>
    <w:p w:rsidR="00A83BD3" w:rsidRPr="00613C53" w:rsidRDefault="00F41D15">
      <w:pPr>
        <w:spacing w:line="360" w:lineRule="auto"/>
        <w:ind w:left="708" w:right="-646"/>
        <w:jc w:val="both"/>
        <w:rPr>
          <w:rFonts w:ascii="Palatino Linotype" w:eastAsia="Palatino Linotype" w:hAnsi="Palatino Linotype" w:cs="Palatino Linotype"/>
          <w:i/>
        </w:rPr>
      </w:pPr>
      <w:r w:rsidRPr="00613C53">
        <w:rPr>
          <w:rFonts w:ascii="Palatino Linotype" w:eastAsia="Palatino Linotype" w:hAnsi="Palatino Linotype" w:cs="Palatino Linotype"/>
          <w:i/>
        </w:rPr>
        <w:t xml:space="preserve">Artículo 5.- Corresponde al Ejecutivo del Estado por conducto de la Secretaría de Finanzas y a los ayuntamientos: </w:t>
      </w:r>
    </w:p>
    <w:p w:rsidR="00A83BD3" w:rsidRPr="00613C53" w:rsidRDefault="00F41D15">
      <w:pPr>
        <w:numPr>
          <w:ilvl w:val="0"/>
          <w:numId w:val="3"/>
        </w:numPr>
        <w:pBdr>
          <w:top w:val="nil"/>
          <w:left w:val="nil"/>
          <w:bottom w:val="nil"/>
          <w:right w:val="nil"/>
          <w:between w:val="nil"/>
        </w:pBdr>
        <w:spacing w:line="360" w:lineRule="auto"/>
        <w:ind w:left="1788" w:right="-220"/>
        <w:jc w:val="both"/>
        <w:rPr>
          <w:rFonts w:ascii="Palatino Linotype" w:eastAsia="Palatino Linotype" w:hAnsi="Palatino Linotype" w:cs="Palatino Linotype"/>
          <w:b/>
          <w:i/>
          <w:color w:val="000000"/>
          <w:sz w:val="22"/>
          <w:szCs w:val="22"/>
        </w:rPr>
      </w:pPr>
      <w:r w:rsidRPr="00613C53">
        <w:rPr>
          <w:rFonts w:ascii="Palatino Linotype" w:eastAsia="Palatino Linotype" w:hAnsi="Palatino Linotype" w:cs="Palatino Linotype"/>
          <w:b/>
          <w:i/>
          <w:color w:val="000000"/>
          <w:sz w:val="22"/>
          <w:szCs w:val="22"/>
        </w:rPr>
        <w:t xml:space="preserve">La elaboración del padrón de bienes del dominio público y privado del Estado y de los ayuntamientos; </w:t>
      </w:r>
    </w:p>
    <w:p w:rsidR="00A83BD3" w:rsidRPr="00613C53" w:rsidRDefault="00F41D15">
      <w:pPr>
        <w:numPr>
          <w:ilvl w:val="0"/>
          <w:numId w:val="3"/>
        </w:numPr>
        <w:pBdr>
          <w:top w:val="nil"/>
          <w:left w:val="nil"/>
          <w:bottom w:val="nil"/>
          <w:right w:val="nil"/>
          <w:between w:val="nil"/>
        </w:pBdr>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Declarar cuando un bien determinado forma parte del dominio público; </w:t>
      </w:r>
    </w:p>
    <w:p w:rsidR="00A83BD3" w:rsidRPr="00613C53" w:rsidRDefault="00F41D15">
      <w:pPr>
        <w:numPr>
          <w:ilvl w:val="0"/>
          <w:numId w:val="3"/>
        </w:numPr>
        <w:pBdr>
          <w:top w:val="nil"/>
          <w:left w:val="nil"/>
          <w:bottom w:val="nil"/>
          <w:right w:val="nil"/>
          <w:between w:val="nil"/>
        </w:pBdr>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 xml:space="preserve"> Determinar cuándo un bien del domino privado se incorpora al dominio público;</w:t>
      </w:r>
    </w:p>
    <w:p w:rsidR="00A83BD3" w:rsidRPr="00613C53" w:rsidRDefault="00F41D15">
      <w:pPr>
        <w:numPr>
          <w:ilvl w:val="0"/>
          <w:numId w:val="3"/>
        </w:numPr>
        <w:pBdr>
          <w:top w:val="nil"/>
          <w:left w:val="nil"/>
          <w:bottom w:val="nil"/>
          <w:right w:val="nil"/>
          <w:between w:val="nil"/>
        </w:pBdr>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w:t>
      </w:r>
    </w:p>
    <w:p w:rsidR="00A83BD3" w:rsidRPr="00613C53" w:rsidRDefault="00A83BD3">
      <w:pPr>
        <w:pBdr>
          <w:top w:val="nil"/>
          <w:left w:val="nil"/>
          <w:bottom w:val="nil"/>
          <w:right w:val="nil"/>
          <w:between w:val="nil"/>
        </w:pBdr>
        <w:spacing w:line="360" w:lineRule="auto"/>
        <w:ind w:left="1788" w:right="-220"/>
        <w:jc w:val="both"/>
        <w:rPr>
          <w:rFonts w:ascii="Palatino Linotype" w:eastAsia="Palatino Linotype" w:hAnsi="Palatino Linotype" w:cs="Palatino Linotype"/>
          <w:i/>
          <w:color w:val="000000"/>
          <w:sz w:val="22"/>
          <w:szCs w:val="22"/>
        </w:rPr>
      </w:pP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lastRenderedPageBreak/>
        <w:t xml:space="preserve">Artículo 11.- Corresponde a cada una de las dependencias, organismos auxiliares y entidades de la administración pública estatal y municipal: </w:t>
      </w:r>
    </w:p>
    <w:p w:rsidR="00A83BD3" w:rsidRPr="00613C53" w:rsidRDefault="00F41D15">
      <w:pPr>
        <w:numPr>
          <w:ilvl w:val="0"/>
          <w:numId w:val="4"/>
        </w:numPr>
        <w:pBdr>
          <w:top w:val="nil"/>
          <w:left w:val="nil"/>
          <w:bottom w:val="nil"/>
          <w:right w:val="nil"/>
          <w:between w:val="nil"/>
        </w:pBdr>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Administrar, controlar y utilizar adecuadamente los bienes muebles e inmuebles que detenten o tengan asignados;</w:t>
      </w:r>
    </w:p>
    <w:p w:rsidR="00A83BD3" w:rsidRPr="00613C53" w:rsidRDefault="00F41D15">
      <w:pPr>
        <w:numPr>
          <w:ilvl w:val="0"/>
          <w:numId w:val="4"/>
        </w:numPr>
        <w:pBdr>
          <w:top w:val="nil"/>
          <w:left w:val="nil"/>
          <w:bottom w:val="nil"/>
          <w:right w:val="nil"/>
          <w:between w:val="nil"/>
        </w:pBdr>
        <w:spacing w:line="360" w:lineRule="auto"/>
        <w:ind w:left="178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w:t>
      </w:r>
    </w:p>
    <w:p w:rsidR="00A83BD3" w:rsidRPr="00613C53" w:rsidRDefault="00A83BD3">
      <w:pPr>
        <w:pBdr>
          <w:top w:val="nil"/>
          <w:left w:val="nil"/>
          <w:bottom w:val="nil"/>
          <w:right w:val="nil"/>
          <w:between w:val="nil"/>
        </w:pBdr>
        <w:spacing w:line="360" w:lineRule="auto"/>
        <w:ind w:left="1788" w:right="-646"/>
        <w:jc w:val="both"/>
        <w:rPr>
          <w:rFonts w:ascii="Palatino Linotype" w:eastAsia="Palatino Linotype" w:hAnsi="Palatino Linotype" w:cs="Palatino Linotype"/>
          <w:i/>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 Así también, no pasando de óptica que lo relativo a la información sobre los procesos y resultados sobre los procedimientos de adjudicación directa, invitación restringida y licitación de cualquier naturaleza, deberán de estar publicados en su portal IPOMEX, de conformidad con la fracción XXIX del numeral 92 de la Ley de Transparencia y Acceso a la Información Pública del Estado de México y Municipios, por lo que se entiende que dichas facturas ya deben de encontrarse digitalizadas</w:t>
      </w:r>
    </w:p>
    <w:p w:rsidR="00A83BD3" w:rsidRPr="00613C53" w:rsidRDefault="00F41D15">
      <w:pPr>
        <w:spacing w:line="360" w:lineRule="auto"/>
        <w:ind w:left="708" w:right="-220"/>
        <w:jc w:val="both"/>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83BD3" w:rsidRPr="00613C53" w:rsidRDefault="00F41D15">
      <w:pPr>
        <w:spacing w:line="360" w:lineRule="auto"/>
        <w:ind w:left="708"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A83BD3" w:rsidRPr="00613C53" w:rsidRDefault="00F41D15">
      <w:pPr>
        <w:spacing w:line="360" w:lineRule="auto"/>
        <w:ind w:left="1416"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a) De licitaciones públicas o procedimientos de invitación restringida: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1) La convocatoria o invitación emitida, así como los fundamentos legales aplicados para llevarla a cabo;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2) Los nombres de los participantes o invitados;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lastRenderedPageBreak/>
        <w:t xml:space="preserve">3) El nombre del ganador y las razones que lo justifican;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4) El área solicitante y la responsable de su ejecución;</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5) Las convocatorias e invitaciones emitidas;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6) Los dictámenes y fallo de adjudicación;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7) El contrato y, en su caso, sus anexos;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12) Los informes de avance físico y financiero sobre las obras o servicios contratados;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13) El convenio de terminación; y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14) El finiquito. </w:t>
      </w:r>
    </w:p>
    <w:p w:rsidR="00A83BD3" w:rsidRPr="00613C53" w:rsidRDefault="00F41D15">
      <w:pPr>
        <w:spacing w:line="360" w:lineRule="auto"/>
        <w:ind w:left="1416"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b) De las adjudicaciones directas: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1) La propuesta enviada por el participante;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2) Los motivos y fundamentos legales aplicados para llevarla a cabo;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3) La autorización del ejercicio de la opción;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4) En su caso, las cotizaciones consideradas, especificando los nombres de los proveedores y sus montos;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5) El nombre de la persona física o jurídica colectiva adjudicada;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6) La unidad administrativa solicitante y la responsable de su ejecución;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lastRenderedPageBreak/>
        <w:t xml:space="preserve">7) El número, fecha, el monto del contrato y el plazo de entrega o de ejecución de los servicios u obra;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9) Los informes de avance sobre las obras o servicios contratados;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10) El convenio de terminación; y </w:t>
      </w:r>
    </w:p>
    <w:p w:rsidR="00A83BD3" w:rsidRPr="00613C53" w:rsidRDefault="00F41D15">
      <w:pPr>
        <w:spacing w:line="360" w:lineRule="auto"/>
        <w:ind w:left="2124"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11) El finiquito.</w:t>
      </w:r>
    </w:p>
    <w:p w:rsidR="00A83BD3" w:rsidRPr="00613C53" w:rsidRDefault="00A83BD3">
      <w:pPr>
        <w:spacing w:line="360" w:lineRule="auto"/>
        <w:ind w:left="2124"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 mayor abundamiento los Lineamientos para Elaboración y Presentación del Informe Mensual Municipal, establecen en sus Disco 1 y Disco 5 el directorio general de pólizas, catálogo de pólizas y las pólizas de las operaciones realizadas con su respectivo soporte documental que ampare dicha actividad, documentos con los cuales de manera enunciativa </w:t>
      </w:r>
      <w:r w:rsidRPr="00613C53">
        <w:rPr>
          <w:rFonts w:ascii="Palatino Linotype" w:eastAsia="Palatino Linotype" w:hAnsi="Palatino Linotype" w:cs="Palatino Linotype"/>
        </w:rPr>
        <w:t>más</w:t>
      </w:r>
      <w:r w:rsidRPr="00613C53">
        <w:rPr>
          <w:rFonts w:ascii="Palatino Linotype" w:eastAsia="Palatino Linotype" w:hAnsi="Palatino Linotype" w:cs="Palatino Linotype"/>
          <w:color w:val="000000"/>
        </w:rPr>
        <w:t xml:space="preserve"> no limitativa pueden colmar con lo solicitado como se desprende de las siguientes imágenes.</w:t>
      </w:r>
    </w:p>
    <w:p w:rsidR="00A83BD3" w:rsidRPr="00613C53" w:rsidRDefault="00A83BD3">
      <w:pPr>
        <w:tabs>
          <w:tab w:val="left" w:pos="709"/>
        </w:tabs>
        <w:spacing w:line="360" w:lineRule="auto"/>
        <w:ind w:right="-646"/>
        <w:jc w:val="both"/>
        <w:rPr>
          <w:rFonts w:ascii="Palatino Linotype" w:eastAsia="Palatino Linotype" w:hAnsi="Palatino Linotype" w:cs="Palatino Linotype"/>
        </w:rPr>
      </w:pPr>
    </w:p>
    <w:p w:rsidR="00A83BD3" w:rsidRPr="00613C53" w:rsidRDefault="00F41D15">
      <w:pPr>
        <w:tabs>
          <w:tab w:val="left" w:pos="709"/>
        </w:tabs>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noProof/>
        </w:rPr>
        <w:lastRenderedPageBreak/>
        <w:drawing>
          <wp:inline distT="0" distB="0" distL="0" distR="0">
            <wp:extent cx="5692607" cy="2942966"/>
            <wp:effectExtent l="0" t="0" r="0" b="0"/>
            <wp:docPr id="17415212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9766" t="25028" r="20928" b="11876"/>
                    <a:stretch>
                      <a:fillRect/>
                    </a:stretch>
                  </pic:blipFill>
                  <pic:spPr>
                    <a:xfrm>
                      <a:off x="0" y="0"/>
                      <a:ext cx="5692607" cy="2942966"/>
                    </a:xfrm>
                    <a:prstGeom prst="rect">
                      <a:avLst/>
                    </a:prstGeom>
                    <a:ln/>
                  </pic:spPr>
                </pic:pic>
              </a:graphicData>
            </a:graphic>
          </wp:inline>
        </w:drawing>
      </w:r>
    </w:p>
    <w:p w:rsidR="00A83BD3" w:rsidRPr="00613C53" w:rsidRDefault="00F41D15">
      <w:pPr>
        <w:tabs>
          <w:tab w:val="left" w:pos="709"/>
        </w:tabs>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noProof/>
        </w:rPr>
        <w:drawing>
          <wp:inline distT="0" distB="0" distL="0" distR="0">
            <wp:extent cx="5768654" cy="3835477"/>
            <wp:effectExtent l="0" t="0" r="0" b="0"/>
            <wp:docPr id="17415212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0067" t="14642" r="20630" b="24649"/>
                    <a:stretch>
                      <a:fillRect/>
                    </a:stretch>
                  </pic:blipFill>
                  <pic:spPr>
                    <a:xfrm>
                      <a:off x="0" y="0"/>
                      <a:ext cx="5768654" cy="3835477"/>
                    </a:xfrm>
                    <a:prstGeom prst="rect">
                      <a:avLst/>
                    </a:prstGeom>
                    <a:ln/>
                  </pic:spPr>
                </pic:pic>
              </a:graphicData>
            </a:graphic>
          </wp:inline>
        </w:drawing>
      </w:r>
    </w:p>
    <w:p w:rsidR="00A83BD3" w:rsidRPr="00613C53" w:rsidRDefault="00F41D15">
      <w:pPr>
        <w:tabs>
          <w:tab w:val="left" w:pos="709"/>
        </w:tabs>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noProof/>
        </w:rPr>
        <w:lastRenderedPageBreak/>
        <w:drawing>
          <wp:inline distT="0" distB="0" distL="0" distR="0">
            <wp:extent cx="5694982" cy="3572891"/>
            <wp:effectExtent l="0" t="0" r="0" b="0"/>
            <wp:docPr id="17415212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20216" t="35716" r="21375" b="28914"/>
                    <a:stretch>
                      <a:fillRect/>
                    </a:stretch>
                  </pic:blipFill>
                  <pic:spPr>
                    <a:xfrm>
                      <a:off x="0" y="0"/>
                      <a:ext cx="5694982" cy="3572891"/>
                    </a:xfrm>
                    <a:prstGeom prst="rect">
                      <a:avLst/>
                    </a:prstGeom>
                    <a:ln/>
                  </pic:spPr>
                </pic:pic>
              </a:graphicData>
            </a:graphic>
          </wp:inline>
        </w:drawing>
      </w:r>
      <w:r w:rsidRPr="00613C53">
        <w:rPr>
          <w:noProof/>
        </w:rPr>
        <mc:AlternateContent>
          <mc:Choice Requires="wpg">
            <w:drawing>
              <wp:anchor distT="0" distB="0" distL="114300" distR="114300" simplePos="0" relativeHeight="251661312" behindDoc="0" locked="0" layoutInCell="1" hidden="0" allowOverlap="1">
                <wp:simplePos x="0" y="0"/>
                <wp:positionH relativeFrom="column">
                  <wp:posOffset>1</wp:posOffset>
                </wp:positionH>
                <wp:positionV relativeFrom="paragraph">
                  <wp:posOffset>3784600</wp:posOffset>
                </wp:positionV>
                <wp:extent cx="5650230" cy="3334616"/>
                <wp:effectExtent l="0" t="0" r="0" b="0"/>
                <wp:wrapNone/>
                <wp:docPr id="1741521259" name="Conector recto de flecha 1741521259"/>
                <wp:cNvGraphicFramePr/>
                <a:graphic xmlns:a="http://schemas.openxmlformats.org/drawingml/2006/main">
                  <a:graphicData uri="http://schemas.microsoft.com/office/word/2010/wordprocessingShape">
                    <wps:wsp>
                      <wps:cNvCnPr/>
                      <wps:spPr>
                        <a:xfrm>
                          <a:off x="2525648" y="2117455"/>
                          <a:ext cx="5640705" cy="3325091"/>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3784600</wp:posOffset>
                </wp:positionV>
                <wp:extent cx="5650230" cy="3334616"/>
                <wp:effectExtent b="0" l="0" r="0" t="0"/>
                <wp:wrapNone/>
                <wp:docPr id="1741521259"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5650230" cy="3334616"/>
                        </a:xfrm>
                        <a:prstGeom prst="rect"/>
                        <a:ln/>
                      </pic:spPr>
                    </pic:pic>
                  </a:graphicData>
                </a:graphic>
              </wp:anchor>
            </w:drawing>
          </mc:Fallback>
        </mc:AlternateContent>
      </w:r>
    </w:p>
    <w:p w:rsidR="00A83BD3" w:rsidRPr="00613C53" w:rsidRDefault="00F41D15">
      <w:pPr>
        <w:tabs>
          <w:tab w:val="left" w:pos="709"/>
        </w:tabs>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noProof/>
        </w:rPr>
        <w:lastRenderedPageBreak/>
        <w:drawing>
          <wp:inline distT="0" distB="0" distL="0" distR="0">
            <wp:extent cx="5692891" cy="6969248"/>
            <wp:effectExtent l="0" t="0" r="0" b="0"/>
            <wp:docPr id="17415212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26655" t="9850" r="28266" b="3884"/>
                    <a:stretch>
                      <a:fillRect/>
                    </a:stretch>
                  </pic:blipFill>
                  <pic:spPr>
                    <a:xfrm>
                      <a:off x="0" y="0"/>
                      <a:ext cx="5692891" cy="6969248"/>
                    </a:xfrm>
                    <a:prstGeom prst="rect">
                      <a:avLst/>
                    </a:prstGeom>
                    <a:ln/>
                  </pic:spPr>
                </pic:pic>
              </a:graphicData>
            </a:graphic>
          </wp:inline>
        </w:drawing>
      </w:r>
      <w:r w:rsidRPr="00613C53">
        <w:rPr>
          <w:rFonts w:ascii="Palatino Linotype" w:eastAsia="Palatino Linotype" w:hAnsi="Palatino Linotype" w:cs="Palatino Linotype"/>
        </w:rPr>
        <w:t xml:space="preserve"> </w:t>
      </w:r>
    </w:p>
    <w:p w:rsidR="00A83BD3" w:rsidRPr="00613C53" w:rsidRDefault="00F41D15">
      <w:pPr>
        <w:tabs>
          <w:tab w:val="left" w:pos="709"/>
        </w:tabs>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noProof/>
        </w:rPr>
        <w:lastRenderedPageBreak/>
        <w:drawing>
          <wp:inline distT="0" distB="0" distL="0" distR="0">
            <wp:extent cx="5666986" cy="5167522"/>
            <wp:effectExtent l="0" t="0" r="0" b="0"/>
            <wp:docPr id="17415212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l="28003" t="13843" r="27817" b="14534"/>
                    <a:stretch>
                      <a:fillRect/>
                    </a:stretch>
                  </pic:blipFill>
                  <pic:spPr>
                    <a:xfrm>
                      <a:off x="0" y="0"/>
                      <a:ext cx="5666986" cy="5167522"/>
                    </a:xfrm>
                    <a:prstGeom prst="rect">
                      <a:avLst/>
                    </a:prstGeom>
                    <a:ln/>
                  </pic:spPr>
                </pic:pic>
              </a:graphicData>
            </a:graphic>
          </wp:inline>
        </w:drawing>
      </w:r>
    </w:p>
    <w:p w:rsidR="00A83BD3" w:rsidRPr="00613C53" w:rsidRDefault="00A83BD3">
      <w:pPr>
        <w:tabs>
          <w:tab w:val="left" w:pos="709"/>
        </w:tabs>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Luego entonces, de los Lineamientos plasmados se puede apreciar que los sujetos obligados deberán de entregar al Órgano Superior de Fiscalización del Estado de México información referente a las pólizas que deberán de contar con su respectivo soporte documental que comprobaran y justificaran el pago realizado, así también, los </w:t>
      </w:r>
      <w:r w:rsidRPr="00613C53">
        <w:rPr>
          <w:rFonts w:ascii="Palatino Linotype" w:eastAsia="Palatino Linotype" w:hAnsi="Palatino Linotype" w:cs="Palatino Linotype"/>
          <w:color w:val="000000"/>
        </w:rPr>
        <w:lastRenderedPageBreak/>
        <w:t xml:space="preserve">comprobantes fiscales por internet se </w:t>
      </w:r>
      <w:r w:rsidRPr="00613C53">
        <w:rPr>
          <w:rFonts w:ascii="Palatino Linotype" w:eastAsia="Palatino Linotype" w:hAnsi="Palatino Linotype" w:cs="Palatino Linotype"/>
        </w:rPr>
        <w:t>tomarán</w:t>
      </w:r>
      <w:r w:rsidRPr="00613C53">
        <w:rPr>
          <w:rFonts w:ascii="Palatino Linotype" w:eastAsia="Palatino Linotype" w:hAnsi="Palatino Linotype" w:cs="Palatino Linotype"/>
          <w:color w:val="000000"/>
        </w:rPr>
        <w:t xml:space="preserve"> como documentación soporte de cada una de las pólizas, tanto de ingresos, como egresos, diario, cheque y cuentas por pagar.</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Derivado de lo anterior, se arriba a la conclusión que el sujeto obligado cuenta con documentos con los cuales puede amparar en que se ha gastado el presupuesto designado junto con sus respectivos soportes que aprueben dichos gastos y que como ya se mencionó los soportes documentales podrían ser de manera enunciativa </w:t>
      </w:r>
      <w:r w:rsidRPr="00613C53">
        <w:rPr>
          <w:rFonts w:ascii="Palatino Linotype" w:eastAsia="Palatino Linotype" w:hAnsi="Palatino Linotype" w:cs="Palatino Linotype"/>
        </w:rPr>
        <w:t>más</w:t>
      </w:r>
      <w:r w:rsidRPr="00613C53">
        <w:rPr>
          <w:rFonts w:ascii="Palatino Linotype" w:eastAsia="Palatino Linotype" w:hAnsi="Palatino Linotype" w:cs="Palatino Linotype"/>
          <w:color w:val="000000"/>
        </w:rPr>
        <w:t xml:space="preserve"> no limitativa, facturas, recibos de pago, contratos, licitaciones, </w:t>
      </w:r>
      <w:proofErr w:type="spellStart"/>
      <w:r w:rsidRPr="00613C53">
        <w:rPr>
          <w:rFonts w:ascii="Palatino Linotype" w:eastAsia="Palatino Linotype" w:hAnsi="Palatino Linotype" w:cs="Palatino Linotype"/>
          <w:color w:val="000000"/>
        </w:rPr>
        <w:t>etc</w:t>
      </w:r>
      <w:proofErr w:type="spellEnd"/>
      <w:r w:rsidRPr="00613C53">
        <w:rPr>
          <w:rFonts w:ascii="Palatino Linotype" w:eastAsia="Palatino Linotype" w:hAnsi="Palatino Linotype" w:cs="Palatino Linotype"/>
          <w:color w:val="000000"/>
        </w:rPr>
        <w:t xml:space="preserve">, los cuales pueden contener datos que pueden ser susceptibles de clasificarse, razón por la cual se deberá de emitir el acuerdo de clasificación por motivo de la versión pública debidamente fundado y motivado. </w:t>
      </w:r>
    </w:p>
    <w:p w:rsidR="00A83BD3" w:rsidRPr="00613C53" w:rsidRDefault="00F41D15">
      <w:pPr>
        <w:numPr>
          <w:ilvl w:val="0"/>
          <w:numId w:val="7"/>
        </w:numPr>
        <w:pBdr>
          <w:top w:val="nil"/>
          <w:left w:val="nil"/>
          <w:bottom w:val="nil"/>
          <w:right w:val="nil"/>
          <w:between w:val="nil"/>
        </w:pBdr>
        <w:spacing w:line="360" w:lineRule="auto"/>
        <w:ind w:right="-220"/>
        <w:jc w:val="both"/>
        <w:rPr>
          <w:rFonts w:ascii="Palatino Linotype" w:eastAsia="Palatino Linotype" w:hAnsi="Palatino Linotype" w:cs="Palatino Linotype"/>
          <w:b/>
          <w:color w:val="000000"/>
          <w:sz w:val="22"/>
          <w:szCs w:val="22"/>
        </w:rPr>
      </w:pPr>
      <w:r w:rsidRPr="00613C53">
        <w:rPr>
          <w:rFonts w:ascii="Palatino Linotype" w:eastAsia="Palatino Linotype" w:hAnsi="Palatino Linotype" w:cs="Palatino Linotype"/>
          <w:b/>
          <w:color w:val="000000"/>
          <w:sz w:val="22"/>
          <w:szCs w:val="22"/>
        </w:rPr>
        <w:t xml:space="preserve">Gasto que ejercerá el municipio en el periodo fiscal 2024 para el pago de equipamiento policial, armamento, pago de patrullas (ya sea adquisición o renta), capacitación policial, desglosado por concepto de pago y especificar el número de policías beneficiados. "Ejemplo: Armamento: $25,000, con el que se benefició a 3 policías. "Uniformes: $54,000, que benefició a 2 policías" </w:t>
      </w:r>
    </w:p>
    <w:p w:rsidR="00A83BD3" w:rsidRPr="00613C53" w:rsidRDefault="00A83BD3">
      <w:pPr>
        <w:spacing w:line="360" w:lineRule="auto"/>
        <w:ind w:right="-220"/>
        <w:jc w:val="both"/>
        <w:rPr>
          <w:rFonts w:ascii="Palatino Linotype" w:eastAsia="Palatino Linotype" w:hAnsi="Palatino Linotype" w:cs="Palatino Linotype"/>
          <w:color w:val="000000"/>
          <w:sz w:val="22"/>
          <w:szCs w:val="22"/>
        </w:rPr>
      </w:pPr>
    </w:p>
    <w:p w:rsidR="00A83BD3" w:rsidRPr="00613C53" w:rsidRDefault="00F41D15">
      <w:pPr>
        <w:numPr>
          <w:ilvl w:val="0"/>
          <w:numId w:val="7"/>
        </w:numPr>
        <w:pBdr>
          <w:top w:val="nil"/>
          <w:left w:val="nil"/>
          <w:bottom w:val="nil"/>
          <w:right w:val="nil"/>
          <w:between w:val="nil"/>
        </w:pBdr>
        <w:spacing w:line="360" w:lineRule="auto"/>
        <w:ind w:right="-220"/>
        <w:jc w:val="both"/>
        <w:rPr>
          <w:rFonts w:ascii="Palatino Linotype" w:eastAsia="Palatino Linotype" w:hAnsi="Palatino Linotype" w:cs="Palatino Linotype"/>
          <w:b/>
          <w:color w:val="000000"/>
          <w:sz w:val="22"/>
          <w:szCs w:val="22"/>
        </w:rPr>
      </w:pPr>
      <w:r w:rsidRPr="00613C53">
        <w:rPr>
          <w:rFonts w:ascii="Palatino Linotype" w:eastAsia="Palatino Linotype" w:hAnsi="Palatino Linotype" w:cs="Palatino Linotype"/>
          <w:b/>
          <w:color w:val="000000"/>
          <w:sz w:val="22"/>
          <w:szCs w:val="22"/>
        </w:rPr>
        <w:t xml:space="preserve">Incidencias delictivas presentadas en el municipio en los años 2022 y 2023 por histórico mensual de los siguientes delitos: abuso sexual, acoso sexual, homicidio culposo, homicidio doloso, lesiones, narcomenudeo, robo con violencia, robo sin violencia, robo a casa habitación, robo a negocio, robo de vehículos, secuestro, violación, violencia de género, violencia familiar. </w:t>
      </w:r>
    </w:p>
    <w:p w:rsidR="00A83BD3" w:rsidRPr="00613C53" w:rsidRDefault="00A83BD3">
      <w:pPr>
        <w:pBdr>
          <w:top w:val="nil"/>
          <w:left w:val="nil"/>
          <w:bottom w:val="nil"/>
          <w:right w:val="nil"/>
          <w:between w:val="nil"/>
        </w:pBdr>
        <w:spacing w:line="360" w:lineRule="auto"/>
        <w:ind w:right="-220"/>
        <w:jc w:val="both"/>
        <w:rPr>
          <w:rFonts w:ascii="Palatino Linotype" w:eastAsia="Palatino Linotype" w:hAnsi="Palatino Linotype" w:cs="Palatino Linotype"/>
          <w:b/>
          <w:sz w:val="22"/>
          <w:szCs w:val="22"/>
        </w:rPr>
      </w:pPr>
    </w:p>
    <w:p w:rsidR="00A83BD3" w:rsidRPr="00613C53" w:rsidRDefault="00F41D15">
      <w:pPr>
        <w:numPr>
          <w:ilvl w:val="0"/>
          <w:numId w:val="11"/>
        </w:numPr>
        <w:pBdr>
          <w:top w:val="nil"/>
          <w:left w:val="nil"/>
          <w:bottom w:val="nil"/>
          <w:right w:val="nil"/>
          <w:between w:val="nil"/>
        </w:pBd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Ahora bien, en alusión a los requerimientos formulados por el </w:t>
      </w:r>
      <w:r w:rsidRPr="00613C53">
        <w:rPr>
          <w:rFonts w:ascii="Palatino Linotype" w:eastAsia="Palatino Linotype" w:hAnsi="Palatino Linotype" w:cs="Palatino Linotype"/>
          <w:b/>
          <w:color w:val="000000"/>
        </w:rPr>
        <w:t>RECURRENTE</w:t>
      </w:r>
      <w:r w:rsidRPr="00613C53">
        <w:rPr>
          <w:rFonts w:ascii="Palatino Linotype" w:eastAsia="Palatino Linotype" w:hAnsi="Palatino Linotype" w:cs="Palatino Linotype"/>
          <w:color w:val="000000"/>
        </w:rPr>
        <w:t xml:space="preserve">, resulta oportuno traer a colación los artículos 5, fracción II, XVII, 7, fracción IX, 19, fracción I, 39, </w:t>
      </w:r>
      <w:r w:rsidRPr="00613C53">
        <w:rPr>
          <w:rFonts w:ascii="Palatino Linotype" w:eastAsia="Palatino Linotype" w:hAnsi="Palatino Linotype" w:cs="Palatino Linotype"/>
          <w:color w:val="000000"/>
        </w:rPr>
        <w:lastRenderedPageBreak/>
        <w:t>inciso b), fracción VI y XI, 118 de la Ley General del Sistema Nacional de Seguridad Pública; así como, el artículo 125, fracción VIII y 142 de la Ley Orgánica Municipal del Estado de México:</w:t>
      </w:r>
    </w:p>
    <w:p w:rsidR="00A83BD3" w:rsidRPr="00613C53" w:rsidRDefault="00F41D15">
      <w:pPr>
        <w:spacing w:line="360" w:lineRule="auto"/>
        <w:ind w:left="567" w:right="-220"/>
        <w:jc w:val="center"/>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LEY GENERAL DEL SISTEMA NACIONAL DE SEGURIDAD PÚBLICA</w:t>
      </w:r>
    </w:p>
    <w:p w:rsidR="00A83BD3" w:rsidRPr="00613C53" w:rsidRDefault="00A83BD3">
      <w:pPr>
        <w:spacing w:line="360" w:lineRule="auto"/>
        <w:ind w:left="567" w:right="-220"/>
        <w:jc w:val="both"/>
        <w:rPr>
          <w:rFonts w:ascii="Palatino Linotype" w:eastAsia="Palatino Linotype" w:hAnsi="Palatino Linotype" w:cs="Palatino Linotype"/>
          <w:i/>
          <w:sz w:val="22"/>
          <w:szCs w:val="22"/>
        </w:rPr>
      </w:pP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Artículo 5.-</w:t>
      </w:r>
      <w:r w:rsidRPr="00613C53">
        <w:rPr>
          <w:rFonts w:ascii="Palatino Linotype" w:eastAsia="Palatino Linotype" w:hAnsi="Palatino Linotype" w:cs="Palatino Linotype"/>
          <w:i/>
          <w:sz w:val="22"/>
          <w:szCs w:val="22"/>
        </w:rPr>
        <w:t xml:space="preserve"> Para los efectos de esta Ley, se entenderá por:</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II. Bases de Datos:</w:t>
      </w:r>
      <w:r w:rsidRPr="00613C53">
        <w:rPr>
          <w:rFonts w:ascii="Palatino Linotype" w:eastAsia="Palatino Linotype" w:hAnsi="Palatino Linotype" w:cs="Palatino Linotype"/>
          <w:i/>
          <w:sz w:val="22"/>
          <w:szCs w:val="22"/>
        </w:rPr>
        <w:t xml:space="preserve">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XVII. Sistema Nacional de Información:</w:t>
      </w:r>
      <w:r w:rsidRPr="00613C53">
        <w:rPr>
          <w:rFonts w:ascii="Palatino Linotype" w:eastAsia="Palatino Linotype" w:hAnsi="Palatino Linotype" w:cs="Palatino Linotype"/>
          <w:i/>
          <w:sz w:val="22"/>
          <w:szCs w:val="22"/>
        </w:rPr>
        <w:t xml:space="preserve">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Artículo 7.-</w:t>
      </w:r>
      <w:r w:rsidRPr="00613C53">
        <w:rPr>
          <w:rFonts w:ascii="Palatino Linotype" w:eastAsia="Palatino Linotype" w:hAnsi="Palatino Linotype" w:cs="Palatino Linotype"/>
          <w:i/>
          <w:sz w:val="22"/>
          <w:szCs w:val="22"/>
        </w:rPr>
        <w:t xml:space="preserve"> Conforme a las bases que establece el artículo 21 de la Constitución Política de los Estados Unidos Mexicanos, las Instituciones de Seguridad Pública de la Federación, las entidades </w:t>
      </w:r>
      <w:r w:rsidRPr="00613C53">
        <w:rPr>
          <w:rFonts w:ascii="Palatino Linotype" w:eastAsia="Palatino Linotype" w:hAnsi="Palatino Linotype" w:cs="Palatino Linotype"/>
          <w:i/>
          <w:sz w:val="22"/>
          <w:szCs w:val="22"/>
        </w:rPr>
        <w:lastRenderedPageBreak/>
        <w:t>federativas y los Municipios, en el ámbito de su competencia y en los términos de esta Ley, deberán coordinarse para:</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IX.</w:t>
      </w:r>
      <w:r w:rsidRPr="00613C53">
        <w:rPr>
          <w:rFonts w:ascii="Palatino Linotype" w:eastAsia="Palatino Linotype" w:hAnsi="Palatino Linotype" w:cs="Palatino Linotype"/>
          <w:i/>
          <w:sz w:val="22"/>
          <w:szCs w:val="22"/>
        </w:rPr>
        <w:t xml:space="preserve"> Generar, compartir, intercambiar, ingresar, almacenar y proveer información, archivos y contenidos a las Bases de Datos que integran el Sistema Nacional de Información, de conformidad con lo dispuesto en la legislación en la materia. </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Tratándose de manejo de datos que provengan del Registro Nacional de Detenciones se atendrá a lo dispuesto en la Ley Nacional del Registro de Detenciones;</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A83BD3">
      <w:pPr>
        <w:spacing w:line="360" w:lineRule="auto"/>
        <w:ind w:left="567" w:right="-220"/>
        <w:jc w:val="both"/>
        <w:rPr>
          <w:rFonts w:ascii="Palatino Linotype" w:eastAsia="Palatino Linotype" w:hAnsi="Palatino Linotype" w:cs="Palatino Linotype"/>
          <w:i/>
          <w:sz w:val="22"/>
          <w:szCs w:val="22"/>
        </w:rPr>
      </w:pP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19.-</w:t>
      </w:r>
      <w:r w:rsidRPr="00613C53">
        <w:rPr>
          <w:rFonts w:ascii="Palatino Linotype" w:eastAsia="Palatino Linotype" w:hAnsi="Palatino Linotype" w:cs="Palatino Linotype"/>
          <w:i/>
          <w:sz w:val="22"/>
          <w:szCs w:val="22"/>
        </w:rPr>
        <w:t xml:space="preserve"> El Centro Nacional de Información será el responsable de regular el Sistema Nacional de Información y tendrá, entre otras, las siguientes atribuciones: </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w:t>
      </w:r>
      <w:r w:rsidRPr="00613C53">
        <w:rPr>
          <w:rFonts w:ascii="Palatino Linotype" w:eastAsia="Palatino Linotype" w:hAnsi="Palatino Linotype" w:cs="Palatino Linotype"/>
          <w:i/>
          <w:sz w:val="22"/>
          <w:szCs w:val="22"/>
        </w:rPr>
        <w:t xml:space="preserve"> Determinar los criterios técnicos y de homologación de las Bases de Datos que conforman el Sistema Nacional de Información;</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A83BD3">
      <w:pPr>
        <w:spacing w:line="360" w:lineRule="auto"/>
        <w:ind w:left="567" w:right="-220"/>
        <w:jc w:val="both"/>
        <w:rPr>
          <w:rFonts w:ascii="Palatino Linotype" w:eastAsia="Palatino Linotype" w:hAnsi="Palatino Linotype" w:cs="Palatino Linotype"/>
          <w:i/>
          <w:sz w:val="22"/>
          <w:szCs w:val="22"/>
        </w:rPr>
      </w:pP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39.-</w:t>
      </w:r>
      <w:r w:rsidRPr="00613C53">
        <w:rPr>
          <w:rFonts w:ascii="Palatino Linotype" w:eastAsia="Palatino Linotype" w:hAnsi="Palatino Linotype" w:cs="Palatino Linotype"/>
          <w:i/>
          <w:sz w:val="22"/>
          <w:szCs w:val="22"/>
        </w:rPr>
        <w:t xml:space="preserve"> La concurrencia de facultades entre la Federación, las entidades federativas y los Municipios, quedará distribuida conforme a lo siguiente:</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B.</w:t>
      </w:r>
      <w:r w:rsidRPr="00613C53">
        <w:rPr>
          <w:rFonts w:ascii="Palatino Linotype" w:eastAsia="Palatino Linotype" w:hAnsi="Palatino Linotype" w:cs="Palatino Linotype"/>
          <w:i/>
          <w:sz w:val="22"/>
          <w:szCs w:val="22"/>
        </w:rPr>
        <w:t xml:space="preserve"> Corresponde a la Federación, a las entidades federativas y a los Municipios, en el ámbito de sus respectivas competencias:</w:t>
      </w:r>
    </w:p>
    <w:p w:rsidR="00A83BD3" w:rsidRPr="00613C53" w:rsidRDefault="00F41D15">
      <w:pPr>
        <w:spacing w:line="360" w:lineRule="auto"/>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VI.</w:t>
      </w:r>
      <w:r w:rsidRPr="00613C53">
        <w:rPr>
          <w:rFonts w:ascii="Palatino Linotype" w:eastAsia="Palatino Linotype" w:hAnsi="Palatino Linotype" w:cs="Palatino Linotype"/>
          <w:i/>
          <w:sz w:val="22"/>
          <w:szCs w:val="22"/>
        </w:rPr>
        <w:t xml:space="preserve"> Designar a un responsable del control, suministro y adecuado manejo de la información a que se refiere esta Ley;</w:t>
      </w:r>
    </w:p>
    <w:p w:rsidR="00A83BD3" w:rsidRPr="00613C53" w:rsidRDefault="00F41D15">
      <w:pPr>
        <w:spacing w:line="360" w:lineRule="auto"/>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lastRenderedPageBreak/>
        <w:t>XI.</w:t>
      </w:r>
      <w:r w:rsidRPr="00613C53">
        <w:rPr>
          <w:rFonts w:ascii="Palatino Linotype" w:eastAsia="Palatino Linotype" w:hAnsi="Palatino Linotype" w:cs="Palatino Linotype"/>
          <w:i/>
          <w:sz w:val="22"/>
          <w:szCs w:val="22"/>
        </w:rPr>
        <w:t xml:space="preserve"> Integrar y consultar la información relativa a la operación y Desarrollo Policial para el registro y seguimiento en el Sistema Nacional de Información; </w:t>
      </w:r>
    </w:p>
    <w:p w:rsidR="00A83BD3" w:rsidRPr="00613C53" w:rsidRDefault="00F41D15">
      <w:pPr>
        <w:spacing w:line="360" w:lineRule="auto"/>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A83BD3">
      <w:pPr>
        <w:spacing w:line="360" w:lineRule="auto"/>
        <w:ind w:left="567" w:right="-220"/>
        <w:jc w:val="both"/>
        <w:rPr>
          <w:rFonts w:ascii="Palatino Linotype" w:eastAsia="Palatino Linotype" w:hAnsi="Palatino Linotype" w:cs="Palatino Linotype"/>
          <w:b/>
          <w:i/>
          <w:sz w:val="22"/>
          <w:szCs w:val="22"/>
          <w:u w:val="single"/>
        </w:rPr>
      </w:pPr>
    </w:p>
    <w:p w:rsidR="00A83BD3" w:rsidRPr="00613C53" w:rsidRDefault="00F41D15">
      <w:pPr>
        <w:spacing w:line="360" w:lineRule="auto"/>
        <w:ind w:left="567" w:right="-220"/>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 xml:space="preserve">Artículo 118.- Las Bases de Datos que integran el Sistema Nacional de Información se actualizarán permanentemente y serán de consulta obligatoria para garantizar la efectividad en las actividades de Seguridad Pública. </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A83BD3" w:rsidRPr="00613C53" w:rsidRDefault="00F41D15">
      <w:pPr>
        <w:spacing w:line="360" w:lineRule="auto"/>
        <w:ind w:left="567" w:right="-220"/>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i/>
          <w:sz w:val="22"/>
          <w:szCs w:val="22"/>
        </w:rPr>
        <w:t>El Registro Nacional de Detenciones se vinculará con las Bases de Datos a que se refiere el presente artículo, mediante el número de identificación al que hace referencia la ley de la materia.”</w:t>
      </w:r>
    </w:p>
    <w:p w:rsidR="00A83BD3" w:rsidRPr="00613C53" w:rsidRDefault="00A83BD3">
      <w:pPr>
        <w:spacing w:line="360" w:lineRule="auto"/>
        <w:ind w:left="567" w:right="-220"/>
        <w:rPr>
          <w:rFonts w:ascii="Palatino Linotype" w:eastAsia="Palatino Linotype" w:hAnsi="Palatino Linotype" w:cs="Palatino Linotype"/>
          <w:b/>
          <w:i/>
          <w:sz w:val="22"/>
          <w:szCs w:val="22"/>
        </w:rPr>
      </w:pPr>
    </w:p>
    <w:p w:rsidR="00A83BD3" w:rsidRPr="00613C53" w:rsidRDefault="00F41D15">
      <w:pPr>
        <w:spacing w:line="360" w:lineRule="auto"/>
        <w:ind w:left="567" w:right="-220"/>
        <w:jc w:val="center"/>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LEY ORGÁNICA MUNICIPAL DEL ESTADO DE MÉXICO</w:t>
      </w:r>
    </w:p>
    <w:p w:rsidR="00A83BD3" w:rsidRPr="00613C53" w:rsidRDefault="00A83BD3">
      <w:pPr>
        <w:spacing w:line="360" w:lineRule="auto"/>
        <w:ind w:left="567" w:right="-220"/>
        <w:jc w:val="both"/>
        <w:rPr>
          <w:rFonts w:ascii="Palatino Linotype" w:eastAsia="Palatino Linotype" w:hAnsi="Palatino Linotype" w:cs="Palatino Linotype"/>
          <w:i/>
          <w:sz w:val="22"/>
          <w:szCs w:val="22"/>
        </w:rPr>
      </w:pP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125.-</w:t>
      </w:r>
      <w:r w:rsidRPr="00613C53">
        <w:rPr>
          <w:rFonts w:ascii="Palatino Linotype" w:eastAsia="Palatino Linotype" w:hAnsi="Palatino Linotype" w:cs="Palatino Linotype"/>
          <w:i/>
          <w:sz w:val="22"/>
          <w:szCs w:val="22"/>
        </w:rPr>
        <w:t xml:space="preserve"> Los municipios tendrán a su cargo la prestación, explotación, administración y conservación de los servicios públicos municipales, considerándose enunciativa y no limitativamente, los siguientes:</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VIII. Seguridad pública y tránsito;</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A83BD3">
      <w:pPr>
        <w:spacing w:line="360" w:lineRule="auto"/>
        <w:ind w:left="567" w:right="-220"/>
        <w:jc w:val="both"/>
        <w:rPr>
          <w:rFonts w:ascii="Palatino Linotype" w:eastAsia="Palatino Linotype" w:hAnsi="Palatino Linotype" w:cs="Palatino Linotype"/>
          <w:i/>
          <w:sz w:val="22"/>
          <w:szCs w:val="22"/>
        </w:rPr>
      </w:pP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Artículo 142.-</w:t>
      </w:r>
      <w:r w:rsidRPr="00613C53">
        <w:rPr>
          <w:rFonts w:ascii="Palatino Linotype" w:eastAsia="Palatino Linotype" w:hAnsi="Palatino Linotype" w:cs="Palatino Linotype"/>
          <w:i/>
          <w:sz w:val="22"/>
          <w:szCs w:val="22"/>
        </w:rPr>
        <w:t xml:space="preserve"> Las funciones de seguridad pública del municipio en su respectivo ámbito de competencia, estarán a cargo de un Director de Seguridad Pública Municipal o su equivalente, el </w:t>
      </w:r>
      <w:r w:rsidRPr="00613C53">
        <w:rPr>
          <w:rFonts w:ascii="Palatino Linotype" w:eastAsia="Palatino Linotype" w:hAnsi="Palatino Linotype" w:cs="Palatino Linotype"/>
          <w:i/>
          <w:sz w:val="22"/>
          <w:szCs w:val="22"/>
        </w:rPr>
        <w:lastRenderedPageBreak/>
        <w:t>cual deberá ser nombrado en los términos y requisitos establecidos en la Ley de Seguridad del Estado de México.</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 En cada municipio se deberán integrar cuerpos de seguridad pública, de bomberos y, en su caso, de tránsito, estos servidores públicos preferentemente serán vecinos del municipio, de los cuales el presidente municipal será el jefe inmediato” </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este sentido, la Ley General del Sistema Nacional de Seguridad Pública prevé un esquema de distribución de competencias entre la Federación, los Estados y los </w:t>
      </w:r>
      <w:r w:rsidRPr="00613C53">
        <w:rPr>
          <w:rFonts w:ascii="Palatino Linotype" w:eastAsia="Palatino Linotype" w:hAnsi="Palatino Linotype" w:cs="Palatino Linotype"/>
          <w:b/>
          <w:color w:val="000000"/>
        </w:rPr>
        <w:t>Municipios</w:t>
      </w:r>
      <w:r w:rsidRPr="00613C53">
        <w:rPr>
          <w:rFonts w:ascii="Palatino Linotype" w:eastAsia="Palatino Linotype" w:hAnsi="Palatino Linotype" w:cs="Palatino Linotype"/>
          <w:color w:val="000000"/>
        </w:rPr>
        <w:t xml:space="preserve">. Destacando, con relación a estos últimos, la integración y actualización de diversas </w:t>
      </w:r>
      <w:r w:rsidRPr="00613C53">
        <w:rPr>
          <w:rFonts w:ascii="Palatino Linotype" w:eastAsia="Palatino Linotype" w:hAnsi="Palatino Linotype" w:cs="Palatino Linotype"/>
          <w:b/>
          <w:color w:val="000000"/>
        </w:rPr>
        <w:t>Bases de Datos</w:t>
      </w:r>
      <w:r w:rsidRPr="00613C53">
        <w:rPr>
          <w:rFonts w:ascii="Palatino Linotype" w:eastAsia="Palatino Linotype" w:hAnsi="Palatino Linotype" w:cs="Palatino Linotype"/>
          <w:color w:val="000000"/>
        </w:rPr>
        <w:t>. Luego entonces, es óbice mencionar que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rPr>
        <w:t>Artículo 24.</w:t>
      </w:r>
      <w:r w:rsidRPr="00613C53">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rsidR="00A83BD3" w:rsidRPr="00613C53" w:rsidRDefault="00F41D15">
      <w:pPr>
        <w:tabs>
          <w:tab w:val="left" w:pos="1287"/>
        </w:tabs>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XII.</w:t>
      </w:r>
      <w:r w:rsidRPr="00613C53">
        <w:rPr>
          <w:rFonts w:ascii="Palatino Linotype" w:eastAsia="Palatino Linotype" w:hAnsi="Palatino Linotype" w:cs="Palatino Linotype"/>
          <w:i/>
          <w:sz w:val="22"/>
          <w:szCs w:val="22"/>
        </w:rPr>
        <w:t xml:space="preserve"> Publicar y mantener actualizada la información relativa a las obligaciones generales de transparencia previstas en la presente Ley o determinadas así por el Instituto, y en general aquella que sea de interés público;</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92.</w:t>
      </w:r>
      <w:r w:rsidRPr="00613C53">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w:t>
      </w:r>
      <w:r w:rsidRPr="00613C53">
        <w:rPr>
          <w:rFonts w:ascii="Palatino Linotype" w:eastAsia="Palatino Linotype" w:hAnsi="Palatino Linotype" w:cs="Palatino Linotype"/>
          <w:i/>
          <w:sz w:val="22"/>
          <w:szCs w:val="22"/>
        </w:rPr>
        <w:lastRenderedPageBreak/>
        <w:t>corresponda, la información, por lo menos, de los temas, documentos y políticas que a continuación se señalan:</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XXXIV.</w:t>
      </w:r>
      <w:r w:rsidRPr="00613C53">
        <w:rPr>
          <w:rFonts w:ascii="Palatino Linotype" w:eastAsia="Palatino Linotype" w:hAnsi="Palatino Linotype" w:cs="Palatino Linotype"/>
          <w:i/>
          <w:sz w:val="22"/>
          <w:szCs w:val="22"/>
        </w:rPr>
        <w:t xml:space="preserve"> Las estadísticas que generen en cumplimiento de sus facultades, competencias o funciones con la mayor desagregación posible;</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 </w:t>
      </w:r>
    </w:p>
    <w:p w:rsidR="00A83BD3" w:rsidRPr="00613C53" w:rsidRDefault="00A83BD3">
      <w:pPr>
        <w:tabs>
          <w:tab w:val="left" w:pos="426"/>
        </w:tabs>
        <w:spacing w:line="360" w:lineRule="auto"/>
        <w:ind w:right="-646"/>
        <w:jc w:val="center"/>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Correlativo a lo anterior, el Criterio 11/09 emitido por el hoy Instituto Nacional de Transparencia, Acceso a la Información y Protección de Datos Personales; refiere lo siguiente: </w:t>
      </w:r>
    </w:p>
    <w:p w:rsidR="00A83BD3" w:rsidRPr="00613C53" w:rsidRDefault="00F41D15">
      <w:pPr>
        <w:tabs>
          <w:tab w:val="left" w:pos="426"/>
        </w:tabs>
        <w:spacing w:line="360" w:lineRule="auto"/>
        <w:ind w:left="567" w:right="-79"/>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b/>
          <w:i/>
          <w:color w:val="000000"/>
          <w:sz w:val="22"/>
          <w:szCs w:val="22"/>
        </w:rPr>
        <w:t>LA INFORMACIÓN ESTADÍSTICA ES DE NATURALEZA PÚBLICA, INDEPENDIENTEMENTE DE LA MATERIA CON LA QUE SE ENCUENTRE VINCULADA</w:t>
      </w:r>
      <w:r w:rsidRPr="00613C53">
        <w:rPr>
          <w:rFonts w:ascii="Palatino Linotype" w:eastAsia="Palatino Linotype" w:hAnsi="Palatino Linotype" w:cs="Palatino Linotype"/>
          <w:i/>
          <w:color w:val="000000"/>
          <w:sz w:val="22"/>
          <w:szCs w:val="22"/>
        </w:rPr>
        <w:t>.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A83BD3" w:rsidRPr="00613C53" w:rsidRDefault="00A83BD3">
      <w:pPr>
        <w:tabs>
          <w:tab w:val="left" w:pos="426"/>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 xml:space="preserve">En este sentido, se concluye que al </w:t>
      </w:r>
      <w:r w:rsidRPr="00613C53">
        <w:rPr>
          <w:rFonts w:ascii="Palatino Linotype" w:eastAsia="Palatino Linotype" w:hAnsi="Palatino Linotype" w:cs="Palatino Linotype"/>
          <w:b/>
          <w:color w:val="000000"/>
        </w:rPr>
        <w:t>SUJETO OBLIGADO</w:t>
      </w:r>
      <w:r w:rsidRPr="00613C53">
        <w:rPr>
          <w:rFonts w:ascii="Palatino Linotype" w:eastAsia="Palatino Linotype" w:hAnsi="Palatino Linotype" w:cs="Palatino Linotype"/>
          <w:color w:val="000000"/>
        </w:rPr>
        <w:t xml:space="preserve"> le compete generar, poseer y administrar estadística de la </w:t>
      </w:r>
      <w:r w:rsidRPr="00613C53">
        <w:rPr>
          <w:rFonts w:ascii="Palatino Linotype" w:eastAsia="Palatino Linotype" w:hAnsi="Palatino Linotype" w:cs="Palatino Linotype"/>
          <w:b/>
          <w:color w:val="000000"/>
        </w:rPr>
        <w:t>“</w:t>
      </w:r>
      <w:r w:rsidRPr="00613C53">
        <w:rPr>
          <w:rFonts w:ascii="Palatino Linotype" w:eastAsia="Palatino Linotype" w:hAnsi="Palatino Linotype" w:cs="Palatino Linotype"/>
          <w:b/>
          <w:i/>
          <w:color w:val="000000"/>
        </w:rPr>
        <w:t>incidencia delictiva</w:t>
      </w:r>
      <w:r w:rsidRPr="00613C53">
        <w:rPr>
          <w:rFonts w:ascii="Palatino Linotype" w:eastAsia="Palatino Linotype" w:hAnsi="Palatino Linotype" w:cs="Palatino Linotype"/>
          <w:b/>
          <w:color w:val="000000"/>
        </w:rPr>
        <w:t xml:space="preserve">” </w:t>
      </w:r>
      <w:r w:rsidRPr="00613C53">
        <w:rPr>
          <w:rFonts w:ascii="Palatino Linotype" w:eastAsia="Palatino Linotype" w:hAnsi="Palatino Linotype" w:cs="Palatino Linotype"/>
          <w:color w:val="000000"/>
        </w:rPr>
        <w:t>que ocurre en el territorio municipal, asimismo</w:t>
      </w:r>
      <w:r w:rsidRPr="00613C53">
        <w:rPr>
          <w:rFonts w:ascii="Palatino Linotype" w:eastAsia="Palatino Linotype" w:hAnsi="Palatino Linotype" w:cs="Palatino Linotype"/>
          <w:b/>
          <w:color w:val="000000"/>
        </w:rPr>
        <w:t>, esta información es susceptible de ser publicada oficiosamente.</w:t>
      </w:r>
    </w:p>
    <w:p w:rsidR="00A83BD3" w:rsidRPr="00613C53" w:rsidRDefault="00A83BD3">
      <w:pPr>
        <w:tabs>
          <w:tab w:val="left" w:pos="426"/>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Precisado lo anterior,  se advierte que los documentos generados por el </w:t>
      </w:r>
      <w:r w:rsidRPr="00613C53">
        <w:rPr>
          <w:rFonts w:ascii="Palatino Linotype" w:eastAsia="Palatino Linotype" w:hAnsi="Palatino Linotype" w:cs="Palatino Linotype"/>
          <w:b/>
          <w:color w:val="000000"/>
        </w:rPr>
        <w:t>SUJETO OBLIGADO</w:t>
      </w:r>
      <w:r w:rsidRPr="00613C53">
        <w:rPr>
          <w:rFonts w:ascii="Palatino Linotype" w:eastAsia="Palatino Linotype" w:hAnsi="Palatino Linotype" w:cs="Palatino Linotype"/>
          <w:color w:val="000000"/>
        </w:rPr>
        <w:t xml:space="preserve"> que contienen la información solicitada, consisten en los </w:t>
      </w:r>
      <w:r w:rsidRPr="00613C53">
        <w:rPr>
          <w:rFonts w:ascii="Palatino Linotype" w:eastAsia="Palatino Linotype" w:hAnsi="Palatino Linotype" w:cs="Palatino Linotype"/>
          <w:b/>
          <w:color w:val="000000"/>
        </w:rPr>
        <w:t xml:space="preserve">Informes Policiales Homologados (IPH), </w:t>
      </w:r>
      <w:r w:rsidRPr="00613C53">
        <w:rPr>
          <w:rFonts w:ascii="Palatino Linotype" w:eastAsia="Palatino Linotype" w:hAnsi="Palatino Linotype" w:cs="Palatino Linotype"/>
          <w:color w:val="000000"/>
        </w:rPr>
        <w:t xml:space="preserve">para hechos probablemente delictivos. </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Al respecto, no se omite mencionar que el ocho (08) de julio de dos mil diez, se publicó en el Diario Oficial de la Federación, el </w:t>
      </w:r>
      <w:r w:rsidRPr="00613C53">
        <w:rPr>
          <w:rFonts w:ascii="Palatino Linotype" w:eastAsia="Palatino Linotype" w:hAnsi="Palatino Linotype" w:cs="Palatino Linotype"/>
          <w:i/>
          <w:color w:val="000000"/>
        </w:rPr>
        <w:t>ACUERDO por el que se dan a conocer los Lineamientos para la integración, captura, revisión y envío del Informe Policial Homologado (IPH), previsto en la Ley General del Sistema Nacional de Seguridad Pública</w:t>
      </w:r>
      <w:r w:rsidRPr="00613C53">
        <w:rPr>
          <w:rFonts w:ascii="Palatino Linotype" w:eastAsia="Palatino Linotype" w:hAnsi="Palatino Linotype" w:cs="Palatino Linotype"/>
          <w:color w:val="000000"/>
        </w:rPr>
        <w:t>, por lo que la generación de información estadística relacionada con la incidencia delictiva comenzó a generarse a partir de esa fecha.</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este sentido, se advierte que, si bien es procedente la clasificación del Informe Policial Homologado como información reservada, también lo es que, de éstos, el </w:t>
      </w:r>
      <w:r w:rsidRPr="00613C53">
        <w:rPr>
          <w:rFonts w:ascii="Palatino Linotype" w:eastAsia="Palatino Linotype" w:hAnsi="Palatino Linotype" w:cs="Palatino Linotype"/>
          <w:b/>
          <w:color w:val="000000"/>
        </w:rPr>
        <w:t>SUJETO OBLIGADO</w:t>
      </w:r>
      <w:r w:rsidRPr="00613C53">
        <w:rPr>
          <w:rFonts w:ascii="Palatino Linotype" w:eastAsia="Palatino Linotype" w:hAnsi="Palatino Linotype" w:cs="Palatino Linotype"/>
          <w:color w:val="000000"/>
        </w:rPr>
        <w:t xml:space="preserve"> debe elaborar informes y los comúnmente conocidos como </w:t>
      </w:r>
      <w:r w:rsidRPr="00613C53">
        <w:rPr>
          <w:rFonts w:ascii="Palatino Linotype" w:eastAsia="Palatino Linotype" w:hAnsi="Palatino Linotype" w:cs="Palatino Linotype"/>
          <w:b/>
          <w:color w:val="000000"/>
        </w:rPr>
        <w:t>“partes de novedades y partes informativos”.</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relación a lo anterior, el artículo 6 de la Ley de Seguridad del Estado de México, establece que se entenderá por Instituciones de Seguridad Pública a todas aquellas </w:t>
      </w:r>
      <w:r w:rsidRPr="00613C53">
        <w:rPr>
          <w:rFonts w:ascii="Palatino Linotype" w:eastAsia="Palatino Linotype" w:hAnsi="Palatino Linotype" w:cs="Palatino Linotype"/>
          <w:color w:val="000000"/>
        </w:rPr>
        <w:lastRenderedPageBreak/>
        <w:t xml:space="preserve">Instituciones Policiales encargadas de la seguridad pública a nivel estatal y </w:t>
      </w:r>
      <w:r w:rsidRPr="00613C53">
        <w:rPr>
          <w:rFonts w:ascii="Palatino Linotype" w:eastAsia="Palatino Linotype" w:hAnsi="Palatino Linotype" w:cs="Palatino Linotype"/>
          <w:b/>
          <w:color w:val="000000"/>
        </w:rPr>
        <w:t>municipal</w:t>
      </w:r>
      <w:r w:rsidRPr="00613C53">
        <w:rPr>
          <w:rFonts w:ascii="Palatino Linotype" w:eastAsia="Palatino Linotype" w:hAnsi="Palatino Linotype" w:cs="Palatino Linotype"/>
          <w:color w:val="000000"/>
        </w:rPr>
        <w:t>; como se transcribe:</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Artículo 6.-</w:t>
      </w:r>
      <w:r w:rsidRPr="00613C53">
        <w:rPr>
          <w:rFonts w:ascii="Palatino Linotype" w:eastAsia="Palatino Linotype" w:hAnsi="Palatino Linotype" w:cs="Palatino Linotype"/>
          <w:i/>
          <w:sz w:val="22"/>
          <w:szCs w:val="22"/>
        </w:rPr>
        <w:t xml:space="preserve"> Para los efectos de esta Ley, se entenderá por:</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XI. Instituciones Policiales</w:t>
      </w:r>
      <w:r w:rsidRPr="00613C53">
        <w:rPr>
          <w:rFonts w:ascii="Palatino Linotype" w:eastAsia="Palatino Linotype" w:hAnsi="Palatino Linotype" w:cs="Palatino Linotype"/>
          <w:i/>
          <w:sz w:val="22"/>
          <w:szCs w:val="22"/>
        </w:rPr>
        <w:t xml:space="preserve">: a los cuerpos de policía, de vigilancia y custodia de los establecimientos penitenciarios, de detención preventiva y de centros de arraigos; y </w:t>
      </w:r>
      <w:r w:rsidRPr="00613C53">
        <w:rPr>
          <w:rFonts w:ascii="Palatino Linotype" w:eastAsia="Palatino Linotype" w:hAnsi="Palatino Linotype" w:cs="Palatino Linotype"/>
          <w:b/>
          <w:i/>
          <w:sz w:val="22"/>
          <w:szCs w:val="22"/>
        </w:rPr>
        <w:t xml:space="preserve">en general todas las dependencias encargadas de la seguridad pública a nivel estatal y </w:t>
      </w:r>
      <w:r w:rsidRPr="00613C53">
        <w:rPr>
          <w:rFonts w:ascii="Palatino Linotype" w:eastAsia="Palatino Linotype" w:hAnsi="Palatino Linotype" w:cs="Palatino Linotype"/>
          <w:b/>
          <w:i/>
          <w:sz w:val="22"/>
          <w:szCs w:val="22"/>
          <w:u w:val="single"/>
        </w:rPr>
        <w:t>municipal</w:t>
      </w:r>
      <w:r w:rsidRPr="00613C53">
        <w:rPr>
          <w:rFonts w:ascii="Palatino Linotype" w:eastAsia="Palatino Linotype" w:hAnsi="Palatino Linotype" w:cs="Palatino Linotype"/>
          <w:i/>
          <w:sz w:val="22"/>
          <w:szCs w:val="22"/>
        </w:rPr>
        <w:t xml:space="preserve">, que realicen funciones similares; </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XII. Instituciones de Seguridad Pública</w:t>
      </w:r>
      <w:r w:rsidRPr="00613C53">
        <w:rPr>
          <w:rFonts w:ascii="Palatino Linotype" w:eastAsia="Palatino Linotype" w:hAnsi="Palatino Linotype" w:cs="Palatino Linotype"/>
          <w:i/>
          <w:sz w:val="22"/>
          <w:szCs w:val="22"/>
        </w:rPr>
        <w:t xml:space="preserve">: a las Instituciones Policiales, de Procuración de Justicia, del Sistema Penitenciario y </w:t>
      </w:r>
      <w:r w:rsidRPr="00613C53">
        <w:rPr>
          <w:rFonts w:ascii="Palatino Linotype" w:eastAsia="Palatino Linotype" w:hAnsi="Palatino Linotype" w:cs="Palatino Linotype"/>
          <w:b/>
          <w:i/>
          <w:sz w:val="22"/>
          <w:szCs w:val="22"/>
        </w:rPr>
        <w:t xml:space="preserve">dependencias encargadas de la seguridad pública a nivel estatal y </w:t>
      </w:r>
      <w:r w:rsidRPr="00613C53">
        <w:rPr>
          <w:rFonts w:ascii="Palatino Linotype" w:eastAsia="Palatino Linotype" w:hAnsi="Palatino Linotype" w:cs="Palatino Linotype"/>
          <w:i/>
          <w:sz w:val="22"/>
          <w:szCs w:val="22"/>
        </w:rPr>
        <w:t>municipal</w:t>
      </w:r>
      <w:r w:rsidRPr="00613C53">
        <w:rPr>
          <w:rFonts w:ascii="Palatino Linotype" w:eastAsia="Palatino Linotype" w:hAnsi="Palatino Linotype" w:cs="Palatino Linotype"/>
          <w:b/>
          <w:i/>
          <w:sz w:val="22"/>
          <w:szCs w:val="22"/>
        </w:rPr>
        <w:t xml:space="preserve">; </w:t>
      </w: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 </w:t>
      </w:r>
    </w:p>
    <w:p w:rsidR="00A83BD3" w:rsidRPr="00613C53" w:rsidRDefault="00A83BD3">
      <w:pPr>
        <w:spacing w:line="360" w:lineRule="auto"/>
        <w:ind w:right="-646"/>
        <w:jc w:val="both"/>
        <w:rPr>
          <w:rFonts w:ascii="Palatino Linotype" w:eastAsia="Palatino Linotype" w:hAnsi="Palatino Linotype" w:cs="Palatino Linotype"/>
          <w:i/>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ese mismo orden de ideas, la Ley en comento, en su artículo 138 fracción IX, X y XI, otorga facultades a dichas Instituciones para dar cabal cumplimiento a sus funciones, dentro de las cuales se encuentra el </w:t>
      </w:r>
      <w:r w:rsidRPr="00613C53">
        <w:rPr>
          <w:rFonts w:ascii="Palatino Linotype" w:eastAsia="Palatino Linotype" w:hAnsi="Palatino Linotype" w:cs="Palatino Linotype"/>
          <w:b/>
          <w:color w:val="000000"/>
        </w:rPr>
        <w:t>emitir informes, partes policiales y entre otras, las siguientes:</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Artículo 138.-</w:t>
      </w:r>
      <w:r w:rsidRPr="00613C53">
        <w:rPr>
          <w:rFonts w:ascii="Palatino Linotype" w:eastAsia="Palatino Linotype" w:hAnsi="Palatino Linotype" w:cs="Palatino Linotype"/>
          <w:i/>
          <w:sz w:val="22"/>
          <w:szCs w:val="22"/>
        </w:rPr>
        <w:t xml:space="preserve"> Las unidades de policía encargadas de la investigación científica de los delitos </w:t>
      </w:r>
      <w:r w:rsidRPr="00613C53">
        <w:rPr>
          <w:rFonts w:ascii="Palatino Linotype" w:eastAsia="Palatino Linotype" w:hAnsi="Palatino Linotype" w:cs="Palatino Linotype"/>
          <w:b/>
          <w:i/>
          <w:sz w:val="22"/>
          <w:szCs w:val="22"/>
        </w:rPr>
        <w:t>se coordinarán en los términos de esta Ley</w:t>
      </w:r>
      <w:r w:rsidRPr="00613C53">
        <w:rPr>
          <w:rFonts w:ascii="Palatino Linotype" w:eastAsia="Palatino Linotype" w:hAnsi="Palatino Linotype" w:cs="Palatino Linotype"/>
          <w:i/>
          <w:sz w:val="22"/>
          <w:szCs w:val="22"/>
        </w:rPr>
        <w:t xml:space="preserve"> y demás disposiciones aplicables, </w:t>
      </w:r>
      <w:r w:rsidRPr="00613C53">
        <w:rPr>
          <w:rFonts w:ascii="Palatino Linotype" w:eastAsia="Palatino Linotype" w:hAnsi="Palatino Linotype" w:cs="Palatino Linotype"/>
          <w:b/>
          <w:i/>
          <w:sz w:val="22"/>
          <w:szCs w:val="22"/>
        </w:rPr>
        <w:t>para el efectivo cumplimiento de sus funciones</w:t>
      </w:r>
      <w:r w:rsidRPr="00613C53">
        <w:rPr>
          <w:rFonts w:ascii="Palatino Linotype" w:eastAsia="Palatino Linotype" w:hAnsi="Palatino Linotype" w:cs="Palatino Linotype"/>
          <w:i/>
          <w:sz w:val="22"/>
          <w:szCs w:val="22"/>
        </w:rPr>
        <w:t xml:space="preserve">, y tendrán, entre otras, las facultades siguientes: </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IX</w:t>
      </w:r>
      <w:r w:rsidRPr="00613C53">
        <w:rPr>
          <w:rFonts w:ascii="Palatino Linotype" w:eastAsia="Palatino Linotype" w:hAnsi="Palatino Linotype" w:cs="Palatino Linotype"/>
          <w:i/>
          <w:sz w:val="22"/>
          <w:szCs w:val="22"/>
        </w:rPr>
        <w:t>. Proponer al ministerio público que requiera a las autoridades competentes, informes y documentos para fines de la investigación, cuando se trate de aquellos que sólo pueda solicitar por conducto de éste;</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lastRenderedPageBreak/>
        <w:t>X</w:t>
      </w:r>
      <w:r w:rsidRPr="00613C53">
        <w:rPr>
          <w:rFonts w:ascii="Palatino Linotype" w:eastAsia="Palatino Linotype" w:hAnsi="Palatino Linotype" w:cs="Palatino Linotype"/>
          <w:i/>
          <w:sz w:val="22"/>
          <w:szCs w:val="22"/>
        </w:rPr>
        <w:t xml:space="preserve">. Dejar constancia de cada una de sus actuaciones, así como llevar un control y seguimiento de éstas. Durante el curso de la investigación </w:t>
      </w:r>
      <w:r w:rsidRPr="00613C53">
        <w:rPr>
          <w:rFonts w:ascii="Palatino Linotype" w:eastAsia="Palatino Linotype" w:hAnsi="Palatino Linotype" w:cs="Palatino Linotype"/>
          <w:b/>
          <w:i/>
          <w:sz w:val="22"/>
          <w:szCs w:val="22"/>
        </w:rPr>
        <w:t>deberán elaborar informes sobre el desarrollo de la misma, y rendirlos al ministerio público</w:t>
      </w:r>
      <w:r w:rsidRPr="00613C53">
        <w:rPr>
          <w:rFonts w:ascii="Palatino Linotype" w:eastAsia="Palatino Linotype" w:hAnsi="Palatino Linotype" w:cs="Palatino Linotype"/>
          <w:i/>
          <w:sz w:val="22"/>
          <w:szCs w:val="22"/>
        </w:rPr>
        <w:t>, sin perjuicio de los informes que éste le requiera;</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XI</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rPr>
        <w:t>Emitir los informes, partes policiales y demás documentos que se generen, con los requisitos de fondo y forma</w:t>
      </w:r>
      <w:r w:rsidRPr="00613C53">
        <w:rPr>
          <w:rFonts w:ascii="Palatino Linotype" w:eastAsia="Palatino Linotype" w:hAnsi="Palatino Linotype" w:cs="Palatino Linotype"/>
          <w:i/>
          <w:sz w:val="22"/>
          <w:szCs w:val="22"/>
        </w:rPr>
        <w:t xml:space="preserve"> que establezcan las disposiciones aplicables, para tal efecto se podrán apoyar en los conocimientos que resulten necesarios;</w:t>
      </w:r>
    </w:p>
    <w:p w:rsidR="00A83BD3" w:rsidRPr="00613C53" w:rsidRDefault="00F41D15">
      <w:pPr>
        <w:spacing w:line="360" w:lineRule="auto"/>
        <w:ind w:left="567"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(Énfasis añadido)</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En esa tesitura, cabe señalar la distinción entre los partes de novedades y los partes informativos a que se hace referencia en el párrafo que antecede.</w:t>
      </w:r>
    </w:p>
    <w:p w:rsidR="00A83BD3" w:rsidRPr="00613C53" w:rsidRDefault="00F41D15">
      <w:pPr>
        <w:tabs>
          <w:tab w:val="left" w:pos="426"/>
        </w:tabs>
        <w:spacing w:line="360" w:lineRule="auto"/>
        <w:ind w:left="567" w:right="-79"/>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i/>
          <w:color w:val="000000"/>
          <w:sz w:val="22"/>
          <w:szCs w:val="22"/>
        </w:rPr>
        <w:t xml:space="preserve">“El </w:t>
      </w:r>
      <w:r w:rsidRPr="00613C53">
        <w:rPr>
          <w:rFonts w:ascii="Palatino Linotype" w:eastAsia="Palatino Linotype" w:hAnsi="Palatino Linotype" w:cs="Palatino Linotype"/>
          <w:b/>
          <w:i/>
          <w:color w:val="000000"/>
          <w:sz w:val="22"/>
          <w:szCs w:val="22"/>
        </w:rPr>
        <w:t>PARTE DE NOVEDADES</w:t>
      </w:r>
      <w:r w:rsidRPr="00613C53">
        <w:rPr>
          <w:rFonts w:ascii="Palatino Linotype" w:eastAsia="Palatino Linotype" w:hAnsi="Palatino Linotype" w:cs="Palatino Linotype"/>
          <w:i/>
          <w:color w:val="000000"/>
          <w:sz w:val="22"/>
          <w:szCs w:val="22"/>
        </w:rPr>
        <w:t xml:space="preserve"> es la </w:t>
      </w:r>
      <w:r w:rsidRPr="00613C53">
        <w:rPr>
          <w:rFonts w:ascii="Palatino Linotype" w:eastAsia="Palatino Linotype" w:hAnsi="Palatino Linotype" w:cs="Palatino Linotype"/>
          <w:b/>
          <w:i/>
          <w:color w:val="000000"/>
          <w:sz w:val="22"/>
          <w:szCs w:val="22"/>
        </w:rPr>
        <w:t>presentación por escrito de los hechos relevantes del turno</w:t>
      </w:r>
      <w:r w:rsidRPr="00613C53">
        <w:rPr>
          <w:rFonts w:ascii="Palatino Linotype" w:eastAsia="Palatino Linotype" w:hAnsi="Palatino Linotype" w:cs="Palatino Linotype"/>
          <w:i/>
          <w:color w:val="000000"/>
          <w:sz w:val="22"/>
          <w:szCs w:val="22"/>
        </w:rPr>
        <w:t>.</w:t>
      </w:r>
    </w:p>
    <w:p w:rsidR="00A83BD3" w:rsidRPr="00613C53" w:rsidRDefault="00A83BD3">
      <w:pPr>
        <w:spacing w:line="360" w:lineRule="auto"/>
        <w:ind w:left="567" w:right="-79"/>
        <w:jc w:val="both"/>
        <w:rPr>
          <w:rFonts w:ascii="Palatino Linotype" w:eastAsia="Palatino Linotype" w:hAnsi="Palatino Linotype" w:cs="Palatino Linotype"/>
          <w:i/>
          <w:sz w:val="22"/>
          <w:szCs w:val="22"/>
        </w:rPr>
      </w:pPr>
    </w:p>
    <w:p w:rsidR="00A83BD3" w:rsidRPr="00613C53" w:rsidRDefault="00F41D15">
      <w:pPr>
        <w:spacing w:line="360" w:lineRule="auto"/>
        <w:ind w:left="567"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El </w:t>
      </w:r>
      <w:r w:rsidRPr="00613C53">
        <w:rPr>
          <w:rFonts w:ascii="Palatino Linotype" w:eastAsia="Palatino Linotype" w:hAnsi="Palatino Linotype" w:cs="Palatino Linotype"/>
          <w:b/>
          <w:i/>
          <w:sz w:val="22"/>
          <w:szCs w:val="22"/>
        </w:rPr>
        <w:t>PARTE INFORMATIVO</w:t>
      </w:r>
      <w:r w:rsidRPr="00613C53">
        <w:rPr>
          <w:rFonts w:ascii="Palatino Linotype" w:eastAsia="Palatino Linotype" w:hAnsi="Palatino Linotype" w:cs="Palatino Linotype"/>
          <w:i/>
          <w:sz w:val="22"/>
          <w:szCs w:val="22"/>
        </w:rPr>
        <w:t xml:space="preserve"> es la presentación por escrito de una </w:t>
      </w:r>
      <w:r w:rsidRPr="00613C53">
        <w:rPr>
          <w:rFonts w:ascii="Palatino Linotype" w:eastAsia="Palatino Linotype" w:hAnsi="Palatino Linotype" w:cs="Palatino Linotype"/>
          <w:b/>
          <w:i/>
          <w:sz w:val="22"/>
          <w:szCs w:val="22"/>
        </w:rPr>
        <w:t>relación de los hechos involucrados en un hecho específico</w:t>
      </w:r>
      <w:r w:rsidRPr="00613C53">
        <w:rPr>
          <w:rFonts w:ascii="Palatino Linotype" w:eastAsia="Palatino Linotype" w:hAnsi="Palatino Linotype" w:cs="Palatino Linotype"/>
          <w:i/>
          <w:sz w:val="22"/>
          <w:szCs w:val="22"/>
        </w:rPr>
        <w:t>, como un accidente, una detención o cualquier otra intervención del policía en el ejercicio de sus funciones. El parte informativo normalmente forma parte del inicio de una acción legal y es leído por personas que no estuvieron en el lugar de los hechos”</w:t>
      </w:r>
    </w:p>
    <w:p w:rsidR="00A83BD3" w:rsidRPr="00613C53" w:rsidRDefault="00A83BD3">
      <w:pPr>
        <w:tabs>
          <w:tab w:val="left" w:pos="426"/>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ese sentido, el parte informativo pudiera contener la información peticionada al describir un hecho especifico, </w:t>
      </w:r>
      <w:r w:rsidRPr="00613C53">
        <w:rPr>
          <w:rFonts w:ascii="Palatino Linotype" w:eastAsia="Palatino Linotype" w:hAnsi="Palatino Linotype" w:cs="Palatino Linotype"/>
          <w:color w:val="000000"/>
          <w:u w:val="single"/>
        </w:rPr>
        <w:t xml:space="preserve">por lo que éste Órgano garante advierte que podría ser procedente la clasificación de la información únicamente respecto a el </w:t>
      </w:r>
      <w:r w:rsidRPr="00613C53">
        <w:rPr>
          <w:rFonts w:ascii="Palatino Linotype" w:eastAsia="Palatino Linotype" w:hAnsi="Palatino Linotype" w:cs="Palatino Linotype"/>
          <w:b/>
          <w:color w:val="000000"/>
          <w:u w:val="single"/>
        </w:rPr>
        <w:t>estado de fuerza</w:t>
      </w:r>
      <w:r w:rsidRPr="00613C53">
        <w:rPr>
          <w:rFonts w:ascii="Palatino Linotype" w:eastAsia="Palatino Linotype" w:hAnsi="Palatino Linotype" w:cs="Palatino Linotype"/>
          <w:color w:val="000000"/>
          <w:u w:val="single"/>
        </w:rPr>
        <w:t xml:space="preserve"> utilizado en los operativos realizados en el periodo del cual se solicita la información, toda vez que podría producirse un daño con la publicación de la información y pudiera </w:t>
      </w:r>
      <w:r w:rsidRPr="00613C53">
        <w:rPr>
          <w:rFonts w:ascii="Palatino Linotype" w:eastAsia="Palatino Linotype" w:hAnsi="Palatino Linotype" w:cs="Palatino Linotype"/>
          <w:color w:val="000000"/>
          <w:u w:val="single"/>
        </w:rPr>
        <w:lastRenderedPageBreak/>
        <w:t>comprometer la seguridad pública municipal</w:t>
      </w:r>
      <w:r w:rsidRPr="00613C53">
        <w:rPr>
          <w:rFonts w:ascii="Palatino Linotype" w:eastAsia="Palatino Linotype" w:hAnsi="Palatino Linotype" w:cs="Palatino Linotype"/>
          <w:color w:val="000000"/>
        </w:rPr>
        <w:t xml:space="preserve">; sin embargo, datos estadísticos como, por ejemplo, los resultados obtenidos, horarios y ubicaciones de hechos que ya fueron consumados, no podrían violar la secrecía del Estado, y tampoco revelaría información concerniente a procesos de investigación, y </w:t>
      </w:r>
      <w:r w:rsidRPr="00613C53">
        <w:rPr>
          <w:rFonts w:ascii="Palatino Linotype" w:eastAsia="Palatino Linotype" w:hAnsi="Palatino Linotype" w:cs="Palatino Linotype"/>
          <w:b/>
          <w:color w:val="000000"/>
        </w:rPr>
        <w:t>de ninguna forma revelarían protocolos de operación, o datos personales</w:t>
      </w:r>
      <w:r w:rsidRPr="00613C53">
        <w:rPr>
          <w:rFonts w:ascii="Palatino Linotype" w:eastAsia="Palatino Linotype" w:hAnsi="Palatino Linotype" w:cs="Palatino Linotype"/>
          <w:color w:val="000000"/>
        </w:rPr>
        <w:t xml:space="preserve"> de los servidores públicos que se encuentran al mando de la seguridad pública municipal como, por ejemplo, domicilio o número telefónico particular.</w:t>
      </w:r>
    </w:p>
    <w:p w:rsidR="00A83BD3" w:rsidRPr="00613C53" w:rsidRDefault="00A83BD3">
      <w:pPr>
        <w:tabs>
          <w:tab w:val="left" w:pos="426"/>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8"/>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t>Número de elementos incluidos en la Licencia Oficial Colectiva al corte de octubre de 2023, así mismo el número de elementos programados para ser incluidos durante el 2024 en la Licencia Oficial Colectiva.</w:t>
      </w: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rPr>
        <w:t xml:space="preserve">Por </w:t>
      </w:r>
      <w:r w:rsidRPr="00613C53">
        <w:rPr>
          <w:rFonts w:ascii="Palatino Linotype" w:eastAsia="Palatino Linotype" w:hAnsi="Palatino Linotype" w:cs="Palatino Linotype"/>
          <w:color w:val="000000"/>
        </w:rPr>
        <w:t>cuanto</w:t>
      </w:r>
      <w:r w:rsidRPr="00613C53">
        <w:rPr>
          <w:rFonts w:ascii="Palatino Linotype" w:eastAsia="Palatino Linotype" w:hAnsi="Palatino Linotype" w:cs="Palatino Linotype"/>
        </w:rPr>
        <w:t xml:space="preserve"> hace a la licencia de portación de arma, la Ley Federal de Armas de Fuego y Explosivos y su Reglamento señalan lo relativo a la expedición de las Licencias de portación de armas, responsables y sujetos a quienes les pueden ser otorgadas y bajo qué modalidad en los siguientes términos:</w:t>
      </w:r>
    </w:p>
    <w:p w:rsidR="00A83BD3" w:rsidRPr="00613C53" w:rsidRDefault="00F41D15">
      <w:pPr>
        <w:spacing w:line="360" w:lineRule="auto"/>
        <w:ind w:left="425" w:right="-79"/>
        <w:jc w:val="center"/>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Ley Federal de Armas de Fuego y Explosivos</w:t>
      </w:r>
    </w:p>
    <w:p w:rsidR="00A83BD3" w:rsidRPr="00613C53" w:rsidRDefault="00A83BD3">
      <w:pPr>
        <w:spacing w:line="360" w:lineRule="auto"/>
        <w:ind w:left="425" w:right="-79"/>
        <w:jc w:val="both"/>
        <w:rPr>
          <w:rFonts w:ascii="Palatino Linotype" w:eastAsia="Palatino Linotype" w:hAnsi="Palatino Linotype" w:cs="Palatino Linotype"/>
          <w:b/>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24.- Para portar armas se requiere la licencia respectiva</w:t>
      </w:r>
      <w:r w:rsidRPr="00613C53">
        <w:rPr>
          <w:rFonts w:ascii="Palatino Linotype" w:eastAsia="Palatino Linotype" w:hAnsi="Palatino Linotype" w:cs="Palatino Linotype"/>
          <w:i/>
          <w:sz w:val="22"/>
          <w:szCs w:val="22"/>
        </w:rPr>
        <w:t>.</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Los miembros del Ejército, Armada y Fuerza Aérea quedan exceptuados de lo anterior, en los casos y condiciones que señalen las leyes y reglamentos aplicables.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Los integrantes de las </w:t>
      </w:r>
      <w:r w:rsidRPr="00613C53">
        <w:rPr>
          <w:rFonts w:ascii="Palatino Linotype" w:eastAsia="Palatino Linotype" w:hAnsi="Palatino Linotype" w:cs="Palatino Linotype"/>
          <w:b/>
          <w:i/>
          <w:sz w:val="22"/>
          <w:szCs w:val="22"/>
        </w:rPr>
        <w:t>instituciones policiales</w:t>
      </w:r>
      <w:r w:rsidRPr="00613C53">
        <w:rPr>
          <w:rFonts w:ascii="Palatino Linotype" w:eastAsia="Palatino Linotype" w:hAnsi="Palatino Linotype" w:cs="Palatino Linotype"/>
          <w:i/>
          <w:sz w:val="22"/>
          <w:szCs w:val="22"/>
        </w:rPr>
        <w:t xml:space="preserve">, federales, estatales, del Distrito Federal y </w:t>
      </w:r>
      <w:r w:rsidRPr="00613C53">
        <w:rPr>
          <w:rFonts w:ascii="Palatino Linotype" w:eastAsia="Palatino Linotype" w:hAnsi="Palatino Linotype" w:cs="Palatino Linotype"/>
          <w:b/>
          <w:i/>
          <w:sz w:val="22"/>
          <w:szCs w:val="22"/>
        </w:rPr>
        <w:t>municipales</w:t>
      </w:r>
      <w:r w:rsidRPr="00613C53">
        <w:rPr>
          <w:rFonts w:ascii="Palatino Linotype" w:eastAsia="Palatino Linotype" w:hAnsi="Palatino Linotype" w:cs="Palatino Linotype"/>
          <w:i/>
          <w:sz w:val="22"/>
          <w:szCs w:val="22"/>
        </w:rPr>
        <w:t xml:space="preserve">, así como de los servicios privados de seguridad, </w:t>
      </w:r>
      <w:r w:rsidRPr="00613C53">
        <w:rPr>
          <w:rFonts w:ascii="Palatino Linotype" w:eastAsia="Palatino Linotype" w:hAnsi="Palatino Linotype" w:cs="Palatino Linotype"/>
          <w:b/>
          <w:i/>
          <w:sz w:val="22"/>
          <w:szCs w:val="22"/>
        </w:rPr>
        <w:t xml:space="preserve">podrán portar armas en los </w:t>
      </w:r>
      <w:r w:rsidRPr="00613C53">
        <w:rPr>
          <w:rFonts w:ascii="Palatino Linotype" w:eastAsia="Palatino Linotype" w:hAnsi="Palatino Linotype" w:cs="Palatino Linotype"/>
          <w:b/>
          <w:i/>
          <w:sz w:val="22"/>
          <w:szCs w:val="22"/>
        </w:rPr>
        <w:lastRenderedPageBreak/>
        <w:t>casos, condiciones y requisitos que establecen la presente ley</w:t>
      </w:r>
      <w:r w:rsidRPr="00613C53">
        <w:rPr>
          <w:rFonts w:ascii="Palatino Linotype" w:eastAsia="Palatino Linotype" w:hAnsi="Palatino Linotype" w:cs="Palatino Linotype"/>
          <w:i/>
          <w:sz w:val="22"/>
          <w:szCs w:val="22"/>
        </w:rPr>
        <w:t xml:space="preserve"> y las demás disposiciones legales aplicables.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25</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rPr>
        <w:t>Las licencias</w:t>
      </w:r>
      <w:r w:rsidRPr="00613C53">
        <w:rPr>
          <w:rFonts w:ascii="Palatino Linotype" w:eastAsia="Palatino Linotype" w:hAnsi="Palatino Linotype" w:cs="Palatino Linotype"/>
          <w:i/>
          <w:sz w:val="22"/>
          <w:szCs w:val="22"/>
        </w:rPr>
        <w:t xml:space="preserve"> para la portación de armas </w:t>
      </w:r>
      <w:r w:rsidRPr="00613C53">
        <w:rPr>
          <w:rFonts w:ascii="Palatino Linotype" w:eastAsia="Palatino Linotype" w:hAnsi="Palatino Linotype" w:cs="Palatino Linotype"/>
          <w:b/>
          <w:i/>
          <w:sz w:val="22"/>
          <w:szCs w:val="22"/>
        </w:rPr>
        <w:t>serán de dos clases</w:t>
      </w:r>
      <w:r w:rsidRPr="00613C53">
        <w:rPr>
          <w:rFonts w:ascii="Palatino Linotype" w:eastAsia="Palatino Linotype" w:hAnsi="Palatino Linotype" w:cs="Palatino Linotype"/>
          <w:i/>
          <w:sz w:val="22"/>
          <w:szCs w:val="22"/>
        </w:rPr>
        <w:t>:</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I.- Particulares; que deberán revalidarse cada dos años, y</w:t>
      </w: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II.- </w:t>
      </w:r>
      <w:r w:rsidRPr="00613C53">
        <w:rPr>
          <w:rFonts w:ascii="Palatino Linotype" w:eastAsia="Palatino Linotype" w:hAnsi="Palatino Linotype" w:cs="Palatino Linotype"/>
          <w:b/>
          <w:i/>
          <w:sz w:val="22"/>
          <w:szCs w:val="22"/>
        </w:rPr>
        <w:t>Oficiales</w:t>
      </w:r>
      <w:r w:rsidRPr="00613C53">
        <w:rPr>
          <w:rFonts w:ascii="Palatino Linotype" w:eastAsia="Palatino Linotype" w:hAnsi="Palatino Linotype" w:cs="Palatino Linotype"/>
          <w:i/>
          <w:sz w:val="22"/>
          <w:szCs w:val="22"/>
        </w:rPr>
        <w:t xml:space="preserve">, que </w:t>
      </w:r>
      <w:r w:rsidRPr="00613C53">
        <w:rPr>
          <w:rFonts w:ascii="Palatino Linotype" w:eastAsia="Palatino Linotype" w:hAnsi="Palatino Linotype" w:cs="Palatino Linotype"/>
          <w:b/>
          <w:i/>
          <w:sz w:val="22"/>
          <w:szCs w:val="22"/>
        </w:rPr>
        <w:t>tendrán validez mientras se desempeñe el cargo</w:t>
      </w:r>
      <w:r w:rsidRPr="00613C53">
        <w:rPr>
          <w:rFonts w:ascii="Palatino Linotype" w:eastAsia="Palatino Linotype" w:hAnsi="Palatino Linotype" w:cs="Palatino Linotype"/>
          <w:i/>
          <w:sz w:val="22"/>
          <w:szCs w:val="22"/>
        </w:rPr>
        <w:t xml:space="preserve"> o empleo que las motivó</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29.-</w:t>
      </w:r>
      <w:r w:rsidRPr="00613C53">
        <w:rPr>
          <w:rFonts w:ascii="Palatino Linotype" w:eastAsia="Palatino Linotype" w:hAnsi="Palatino Linotype" w:cs="Palatino Linotype"/>
          <w:i/>
          <w:sz w:val="22"/>
          <w:szCs w:val="22"/>
        </w:rPr>
        <w:t xml:space="preserve"> Las licencias oficiales para la portación de armas pueden ser </w:t>
      </w:r>
      <w:r w:rsidRPr="00613C53">
        <w:rPr>
          <w:rFonts w:ascii="Palatino Linotype" w:eastAsia="Palatino Linotype" w:hAnsi="Palatino Linotype" w:cs="Palatino Linotype"/>
          <w:b/>
          <w:i/>
          <w:sz w:val="22"/>
          <w:szCs w:val="22"/>
        </w:rPr>
        <w:t>colectivas</w:t>
      </w:r>
      <w:r w:rsidRPr="00613C53">
        <w:rPr>
          <w:rFonts w:ascii="Palatino Linotype" w:eastAsia="Palatino Linotype" w:hAnsi="Palatino Linotype" w:cs="Palatino Linotype"/>
          <w:i/>
          <w:sz w:val="22"/>
          <w:szCs w:val="22"/>
        </w:rPr>
        <w:t xml:space="preserve"> o individuales.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I. Las licencias colectivas podrán expedirse a:</w:t>
      </w: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A. Las dependencias oficiales y organismos públicos federales a cuyo cargo se encuentran las instalaciones estratégicas del país.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Los titulares de las licencias colectivas expedirán credenciales foliadas de identificación personal, que contendrán los datos de la licencia colectiva y se renovarán semestralmente.</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B. Las instituciones policiales</w:t>
      </w:r>
      <w:r w:rsidRPr="00613C53">
        <w:rPr>
          <w:rFonts w:ascii="Palatino Linotype" w:eastAsia="Palatino Linotype" w:hAnsi="Palatino Linotype" w:cs="Palatino Linotype"/>
          <w:i/>
          <w:sz w:val="22"/>
          <w:szCs w:val="22"/>
        </w:rPr>
        <w:t>. Estas licencias se sujetarán a los lineamientos siguientes: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a) Dichas instituciones deberán cumplir con las disposiciones legales de orden federal o local que resulten aplicables.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b) La Secretaría de Gobernación será el conducto para solicitar a la Secretaría de la Defensa Nacional la expedición de licencia colectiva a las instituciones policiales, mismas que sólo se </w:t>
      </w:r>
      <w:r w:rsidRPr="00613C53">
        <w:rPr>
          <w:rFonts w:ascii="Palatino Linotype" w:eastAsia="Palatino Linotype" w:hAnsi="Palatino Linotype" w:cs="Palatino Linotype"/>
          <w:i/>
          <w:sz w:val="22"/>
          <w:szCs w:val="22"/>
        </w:rPr>
        <w:lastRenderedPageBreak/>
        <w:t xml:space="preserve">solicitarán para las personas que integren su organización operativa y que figuren en las nóminas de pago respectivas, debiéndose notificar a estas secretarías cualquier cambio en su plantilla laboral. </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Las autoridades competentes resolverán dentro de los sesenta días siguientes a la presentación de la solicitud ante la Secretaría de Gobernación, y</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c) Los titulares de las instituciones policiales, expedirán a su personal operativo, inscrito en el registro que establezca la ley de la materia, credenciales foliadas de identificación personal, por lapsos semestrales</w:t>
      </w:r>
      <w:r w:rsidRPr="00613C53">
        <w:rPr>
          <w:rFonts w:ascii="Palatino Linotype" w:eastAsia="Palatino Linotype" w:hAnsi="Palatino Linotype" w:cs="Palatino Linotype"/>
          <w:i/>
          <w:sz w:val="22"/>
          <w:szCs w:val="22"/>
        </w:rPr>
        <w:t xml:space="preserve">, las </w:t>
      </w:r>
      <w:r w:rsidRPr="00613C53">
        <w:rPr>
          <w:rFonts w:ascii="Palatino Linotype" w:eastAsia="Palatino Linotype" w:hAnsi="Palatino Linotype" w:cs="Palatino Linotype"/>
          <w:b/>
          <w:i/>
          <w:sz w:val="22"/>
          <w:szCs w:val="22"/>
        </w:rPr>
        <w:t>cuales, durante su vigencia, se asimilarán a licencias individuales.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C. Los titulares de las licencias colectivas remitirán periódicamente a las Secretaría de la Defensa Nacional y de Gobernación un informe de las armas que se encuentren en su poder, debidamente correlacionado con su estructura y organización operativa, señalando los folios de las credenciales y los datos del personal que las tuviera a su cargo.</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D. Las autoridades competentes se coordinarán con los Gobiernos de los Estados para obtener, con oportunidad y exactitud, la información necesaria para el cumplimiento de esta ley. </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E. La Secretaría de la Defensa Nacional inspeccionará periódicamente el armamento, sólo para efectos de su control, sin tener autoridad alguna sobre el personal.</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lastRenderedPageBreak/>
        <w:t>II. Las licencias individuales se expedirán a quienes desempeñen cargos o empleos en la Federación o en las Entidades Federativas, que para el cumplimiento de sus obligaciones requieran, en opinión de la autoridad competente, la portación de armas.</w:t>
      </w: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III. Los servidores públicos a que se refiere este artículo deberán cumplir, además, con los requisitos establecidos en los cinco primeros incisos de la fracción I del artículo 26 de esta ley</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30.-</w:t>
      </w:r>
      <w:r w:rsidRPr="00613C53">
        <w:rPr>
          <w:rFonts w:ascii="Palatino Linotype" w:eastAsia="Palatino Linotype" w:hAnsi="Palatino Linotype" w:cs="Palatino Linotype"/>
          <w:i/>
          <w:sz w:val="22"/>
          <w:szCs w:val="22"/>
        </w:rPr>
        <w:t xml:space="preserve"> Corresponde a la Secretaría de la Defensa Nacional, con la salvedad señalada en el artículo 32 de esta Ley, </w:t>
      </w:r>
      <w:r w:rsidRPr="00613C53">
        <w:rPr>
          <w:rFonts w:ascii="Palatino Linotype" w:eastAsia="Palatino Linotype" w:hAnsi="Palatino Linotype" w:cs="Palatino Linotype"/>
          <w:b/>
          <w:i/>
          <w:sz w:val="22"/>
          <w:szCs w:val="22"/>
        </w:rPr>
        <w:t>la expedición, suspensión y cancelación de las licencias de portación de armas</w:t>
      </w:r>
      <w:r w:rsidRPr="00613C53">
        <w:rPr>
          <w:rFonts w:ascii="Palatino Linotype" w:eastAsia="Palatino Linotype" w:hAnsi="Palatino Linotype" w:cs="Palatino Linotype"/>
          <w:i/>
          <w:sz w:val="22"/>
          <w:szCs w:val="22"/>
        </w:rPr>
        <w:t xml:space="preserve">, así como su registro, control y vigilancia. </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La propia Secretaría comunicará oportunamente a la de Gobernación, las licencias que autorice, suspenda o cancele.</w:t>
      </w:r>
    </w:p>
    <w:p w:rsidR="00A83BD3" w:rsidRPr="00613C53" w:rsidRDefault="00A83BD3">
      <w:pPr>
        <w:spacing w:line="360" w:lineRule="auto"/>
        <w:ind w:left="425" w:right="-79"/>
        <w:jc w:val="center"/>
        <w:rPr>
          <w:rFonts w:ascii="Palatino Linotype" w:eastAsia="Palatino Linotype" w:hAnsi="Palatino Linotype" w:cs="Palatino Linotype"/>
          <w:b/>
          <w:i/>
          <w:sz w:val="22"/>
          <w:szCs w:val="22"/>
        </w:rPr>
      </w:pPr>
    </w:p>
    <w:p w:rsidR="00A83BD3" w:rsidRPr="00613C53" w:rsidRDefault="00F41D15">
      <w:pPr>
        <w:spacing w:line="360" w:lineRule="auto"/>
        <w:ind w:left="425" w:right="-79"/>
        <w:jc w:val="center"/>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Reglamento de la Ley Federal de Armas de Fuego y Explosivos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7o.- La portación de armas</w:t>
      </w:r>
      <w:r w:rsidRPr="00613C53">
        <w:rPr>
          <w:rFonts w:ascii="Palatino Linotype" w:eastAsia="Palatino Linotype" w:hAnsi="Palatino Linotype" w:cs="Palatino Linotype"/>
          <w:i/>
          <w:sz w:val="22"/>
          <w:szCs w:val="22"/>
        </w:rPr>
        <w:t xml:space="preserve"> se ajustará estrictamente a lo dispuesto en las </w:t>
      </w:r>
      <w:r w:rsidRPr="00613C53">
        <w:rPr>
          <w:rFonts w:ascii="Palatino Linotype" w:eastAsia="Palatino Linotype" w:hAnsi="Palatino Linotype" w:cs="Palatino Linotype"/>
          <w:b/>
          <w:i/>
          <w:sz w:val="22"/>
          <w:szCs w:val="22"/>
        </w:rPr>
        <w:t>licencias respectivas.</w:t>
      </w:r>
      <w:r w:rsidRPr="00613C53">
        <w:rPr>
          <w:rFonts w:ascii="Palatino Linotype" w:eastAsia="Palatino Linotype" w:hAnsi="Palatino Linotype" w:cs="Palatino Linotype"/>
          <w:i/>
          <w:sz w:val="22"/>
          <w:szCs w:val="22"/>
        </w:rPr>
        <w:t xml:space="preserve"> </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22.- Las licencias</w:t>
      </w:r>
      <w:r w:rsidRPr="00613C53">
        <w:rPr>
          <w:rFonts w:ascii="Palatino Linotype" w:eastAsia="Palatino Linotype" w:hAnsi="Palatino Linotype" w:cs="Palatino Linotype"/>
          <w:i/>
          <w:sz w:val="22"/>
          <w:szCs w:val="22"/>
        </w:rPr>
        <w:t xml:space="preserve"> particulares y las </w:t>
      </w:r>
      <w:r w:rsidRPr="00613C53">
        <w:rPr>
          <w:rFonts w:ascii="Palatino Linotype" w:eastAsia="Palatino Linotype" w:hAnsi="Palatino Linotype" w:cs="Palatino Linotype"/>
          <w:b/>
          <w:i/>
          <w:sz w:val="22"/>
          <w:szCs w:val="22"/>
        </w:rPr>
        <w:t>oficiales colectivas</w:t>
      </w:r>
      <w:r w:rsidRPr="00613C53">
        <w:rPr>
          <w:rFonts w:ascii="Palatino Linotype" w:eastAsia="Palatino Linotype" w:hAnsi="Palatino Linotype" w:cs="Palatino Linotype"/>
          <w:i/>
          <w:sz w:val="22"/>
          <w:szCs w:val="22"/>
        </w:rPr>
        <w:t xml:space="preserve"> para la portación de armas, </w:t>
      </w:r>
      <w:r w:rsidRPr="00613C53">
        <w:rPr>
          <w:rFonts w:ascii="Palatino Linotype" w:eastAsia="Palatino Linotype" w:hAnsi="Palatino Linotype" w:cs="Palatino Linotype"/>
          <w:b/>
          <w:i/>
          <w:sz w:val="22"/>
          <w:szCs w:val="22"/>
        </w:rPr>
        <w:t>serán expedidas exclusivamente por la Secretaría</w:t>
      </w:r>
      <w:r w:rsidRPr="00613C53">
        <w:rPr>
          <w:rFonts w:ascii="Palatino Linotype" w:eastAsia="Palatino Linotype" w:hAnsi="Palatino Linotype" w:cs="Palatino Linotype"/>
          <w:i/>
          <w:sz w:val="22"/>
          <w:szCs w:val="22"/>
        </w:rPr>
        <w:t>.</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Para las licencias particulares se cubrirán anticipadamente los derechos que procedan.</w:t>
      </w: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Los Generales, Jefes y Oficiales del Ejército, Fuerza Aérea y Armada de México, que vestidos de civil porten armas, deberán identificarse con su credencial, cuantas veces sean requeridos para ello por autoridad competente.</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Los individuos de tropa en actos fuera del servicio, sólo podrán portar armas cuando tengan autorización escrita de la Secretaría de la Defensa Nacional o de Marina, en su caso.</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28</w:t>
      </w:r>
      <w:r w:rsidRPr="00613C53">
        <w:rPr>
          <w:rFonts w:ascii="Palatino Linotype" w:eastAsia="Palatino Linotype" w:hAnsi="Palatino Linotype" w:cs="Palatino Linotype"/>
          <w:i/>
          <w:sz w:val="22"/>
          <w:szCs w:val="22"/>
        </w:rPr>
        <w:t xml:space="preserve">.- Las </w:t>
      </w:r>
      <w:r w:rsidRPr="00613C53">
        <w:rPr>
          <w:rFonts w:ascii="Palatino Linotype" w:eastAsia="Palatino Linotype" w:hAnsi="Palatino Linotype" w:cs="Palatino Linotype"/>
          <w:b/>
          <w:i/>
          <w:sz w:val="22"/>
          <w:szCs w:val="22"/>
        </w:rPr>
        <w:t>licencias oficiales</w:t>
      </w:r>
      <w:r w:rsidRPr="00613C53">
        <w:rPr>
          <w:rFonts w:ascii="Palatino Linotype" w:eastAsia="Palatino Linotype" w:hAnsi="Palatino Linotype" w:cs="Palatino Linotype"/>
          <w:i/>
          <w:sz w:val="22"/>
          <w:szCs w:val="22"/>
        </w:rPr>
        <w:t xml:space="preserve"> y las que se gestionen para empleos o cargos de los Estados o </w:t>
      </w:r>
      <w:r w:rsidRPr="00613C53">
        <w:rPr>
          <w:rFonts w:ascii="Palatino Linotype" w:eastAsia="Palatino Linotype" w:hAnsi="Palatino Linotype" w:cs="Palatino Linotype"/>
          <w:b/>
          <w:i/>
          <w:sz w:val="22"/>
          <w:szCs w:val="22"/>
        </w:rPr>
        <w:t>de los Municipios</w:t>
      </w:r>
      <w:r w:rsidRPr="00613C53">
        <w:rPr>
          <w:rFonts w:ascii="Palatino Linotype" w:eastAsia="Palatino Linotype" w:hAnsi="Palatino Linotype" w:cs="Palatino Linotype"/>
          <w:i/>
          <w:sz w:val="22"/>
          <w:szCs w:val="22"/>
        </w:rPr>
        <w:t xml:space="preserve">, se expedirán </w:t>
      </w:r>
      <w:r w:rsidRPr="00613C53">
        <w:rPr>
          <w:rFonts w:ascii="Palatino Linotype" w:eastAsia="Palatino Linotype" w:hAnsi="Palatino Linotype" w:cs="Palatino Linotype"/>
          <w:b/>
          <w:i/>
          <w:sz w:val="22"/>
          <w:szCs w:val="22"/>
        </w:rPr>
        <w:t>previa petición de la autoridad de quien dependa el interesado</w:t>
      </w:r>
      <w:r w:rsidRPr="00613C53">
        <w:rPr>
          <w:rFonts w:ascii="Palatino Linotype" w:eastAsia="Palatino Linotype" w:hAnsi="Palatino Linotype" w:cs="Palatino Linotype"/>
          <w:i/>
          <w:sz w:val="22"/>
          <w:szCs w:val="22"/>
        </w:rPr>
        <w:t>; en las colectivas, se acompañará, además, constancia o certificado de que el personal para el que se pretende la licencia, figura en nóminas de pago.</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rPr>
      </w:pPr>
      <w:r w:rsidRPr="00613C53">
        <w:rPr>
          <w:rFonts w:ascii="Palatino Linotype" w:eastAsia="Palatino Linotype" w:hAnsi="Palatino Linotype" w:cs="Palatino Linotype"/>
        </w:rPr>
        <w:t xml:space="preserve">Del precepto anterior, tenemos que será la Secretaría de la Defensa Nacional (SEDENA) la única Autoridad competente para emitir las licencias para portación de armas de fuego, y estas serán para los efectos que nos ocupan las correspondientes a las Licencias Oficiales Colectivas, cuyo trámite es a cargo del Titular del Ejecutivo de cada entidad como lo señalan los procedimientos descritos en su portal de internet oficial de la SEDENA, que puede ser consultada a través de la siguiente liga electrónica </w:t>
      </w:r>
      <w:hyperlink r:id="rId22">
        <w:r w:rsidRPr="00613C53">
          <w:rPr>
            <w:rFonts w:ascii="Palatino Linotype" w:eastAsia="Palatino Linotype" w:hAnsi="Palatino Linotype" w:cs="Palatino Linotype"/>
            <w:color w:val="0000FF"/>
            <w:u w:val="single"/>
          </w:rPr>
          <w:t>https://www.gob.mx/sedena/documentos/expedicion-de-una-licencia-oficial-colectiva</w:t>
        </w:r>
      </w:hyperlink>
      <w:r w:rsidRPr="00613C53">
        <w:rPr>
          <w:rFonts w:ascii="Palatino Linotype" w:eastAsia="Palatino Linotype" w:hAnsi="Palatino Linotype" w:cs="Palatino Linotype"/>
        </w:rPr>
        <w:t>:</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noProof/>
        </w:rPr>
        <w:lastRenderedPageBreak/>
        <w:drawing>
          <wp:inline distT="0" distB="0" distL="0" distR="0">
            <wp:extent cx="5610225" cy="3667125"/>
            <wp:effectExtent l="0" t="0" r="0" b="0"/>
            <wp:docPr id="17415212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610225" cy="3667125"/>
                    </a:xfrm>
                    <a:prstGeom prst="rect">
                      <a:avLst/>
                    </a:prstGeom>
                    <a:ln/>
                  </pic:spPr>
                </pic:pic>
              </a:graphicData>
            </a:graphic>
          </wp:inline>
        </w:drawing>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spacing w:line="360" w:lineRule="auto"/>
        <w:ind w:left="425" w:right="-79"/>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¿Cómo puedo tramitar la expedición de una Licencia Oficial Colectiva?</w:t>
      </w:r>
    </w:p>
    <w:p w:rsidR="00A83BD3" w:rsidRPr="00613C53" w:rsidRDefault="00A83BD3">
      <w:pPr>
        <w:spacing w:line="360" w:lineRule="auto"/>
        <w:ind w:left="425" w:right="-79"/>
        <w:jc w:val="both"/>
        <w:rPr>
          <w:rFonts w:ascii="Palatino Linotype" w:eastAsia="Palatino Linotype" w:hAnsi="Palatino Linotype" w:cs="Palatino Linotype"/>
          <w:b/>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PASO 1.  Reúne todos los requisitos.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PASO 2. Ingrésalos en la Zona Militar que te corresponda o en el Módulo de Atención al Público del Registro Federal de Armas de Fuego y Control de Explosivos.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¿Qué documentos necesito y cuáles deben ser sus características?</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numPr>
          <w:ilvl w:val="3"/>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Solicitud de quien sea titular de la gubernatura de la entidad federativa, anexando el acuerdo presidencial en donde se autoriza la creación de una nueva Corporación</w:t>
      </w:r>
      <w:r w:rsidRPr="00613C53">
        <w:rPr>
          <w:rFonts w:ascii="Palatino Linotype" w:eastAsia="Palatino Linotype" w:hAnsi="Palatino Linotype" w:cs="Palatino Linotype"/>
          <w:i/>
          <w:sz w:val="22"/>
          <w:szCs w:val="22"/>
        </w:rPr>
        <w:t>.</w:t>
      </w:r>
    </w:p>
    <w:p w:rsidR="00A83BD3" w:rsidRPr="00613C53" w:rsidRDefault="00F41D15">
      <w:pPr>
        <w:numPr>
          <w:ilvl w:val="3"/>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u w:val="single"/>
        </w:rPr>
        <w:lastRenderedPageBreak/>
        <w:t>Relación del personal y armamento que estará amparado en la Licencia Oficial Colectiva</w:t>
      </w:r>
      <w:r w:rsidRPr="00613C53">
        <w:rPr>
          <w:rFonts w:ascii="Palatino Linotype" w:eastAsia="Palatino Linotype" w:hAnsi="Palatino Linotype" w:cs="Palatino Linotype"/>
          <w:i/>
          <w:sz w:val="22"/>
          <w:szCs w:val="22"/>
        </w:rPr>
        <w:t xml:space="preserve"> conforme al modelo 1, 2 y 3, en original y cuatro copias (se anexan formatos), en caso de no contar con armamento deberá </w:t>
      </w:r>
      <w:proofErr w:type="spellStart"/>
      <w:r w:rsidRPr="00613C53">
        <w:rPr>
          <w:rFonts w:ascii="Palatino Linotype" w:eastAsia="Palatino Linotype" w:hAnsi="Palatino Linotype" w:cs="Palatino Linotype"/>
          <w:i/>
          <w:sz w:val="22"/>
          <w:szCs w:val="22"/>
        </w:rPr>
        <w:t>requisitar</w:t>
      </w:r>
      <w:proofErr w:type="spellEnd"/>
      <w:r w:rsidRPr="00613C53">
        <w:rPr>
          <w:rFonts w:ascii="Palatino Linotype" w:eastAsia="Palatino Linotype" w:hAnsi="Palatino Linotype" w:cs="Palatino Linotype"/>
          <w:i/>
          <w:sz w:val="22"/>
          <w:szCs w:val="22"/>
        </w:rPr>
        <w:t xml:space="preserve"> los espacios correspondientes con el número cero.</w:t>
      </w:r>
    </w:p>
    <w:p w:rsidR="00A83BD3" w:rsidRPr="00613C53" w:rsidRDefault="00F41D15">
      <w:pPr>
        <w:numPr>
          <w:ilvl w:val="3"/>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Archivo electrónico de los modelos citados en programa Excel, sin ningún tipo de protección en celdas, campos, Etc., con el fin de hacer las consultas necesarias.</w:t>
      </w:r>
    </w:p>
    <w:p w:rsidR="00A83BD3" w:rsidRPr="00613C53" w:rsidRDefault="00F41D15">
      <w:pPr>
        <w:numPr>
          <w:ilvl w:val="3"/>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El personal operativo a considerar en la Licencia Oficial Colectiva, deberá cumplir en todo momento con la totalidad de los primeros 5 requisitos establecidos en el Art. 26 </w:t>
      </w:r>
      <w:proofErr w:type="spellStart"/>
      <w:r w:rsidRPr="00613C53">
        <w:rPr>
          <w:rFonts w:ascii="Palatino Linotype" w:eastAsia="Palatino Linotype" w:hAnsi="Palatino Linotype" w:cs="Palatino Linotype"/>
          <w:i/>
          <w:sz w:val="22"/>
          <w:szCs w:val="22"/>
        </w:rPr>
        <w:t>Fracc</w:t>
      </w:r>
      <w:proofErr w:type="spellEnd"/>
      <w:r w:rsidRPr="00613C53">
        <w:rPr>
          <w:rFonts w:ascii="Palatino Linotype" w:eastAsia="Palatino Linotype" w:hAnsi="Palatino Linotype" w:cs="Palatino Linotype"/>
          <w:i/>
          <w:sz w:val="22"/>
          <w:szCs w:val="22"/>
        </w:rPr>
        <w:t>. I de la Ley Federal de Armas de Fuego y Explosivos, mismos que a continuación se describen:</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numPr>
          <w:ilvl w:val="4"/>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Tener un modo honesto de vivir.</w:t>
      </w:r>
    </w:p>
    <w:p w:rsidR="00A83BD3" w:rsidRPr="00613C53" w:rsidRDefault="00F41D15">
      <w:pPr>
        <w:numPr>
          <w:ilvl w:val="4"/>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Haber cumplido los obligados con el Servicio Militar Nacional.</w:t>
      </w:r>
    </w:p>
    <w:p w:rsidR="00A83BD3" w:rsidRPr="00613C53" w:rsidRDefault="00F41D15">
      <w:pPr>
        <w:numPr>
          <w:ilvl w:val="4"/>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No tener impedimento físico y mental para el manejo de las armas.</w:t>
      </w:r>
    </w:p>
    <w:p w:rsidR="00A83BD3" w:rsidRPr="00613C53" w:rsidRDefault="00F41D15">
      <w:pPr>
        <w:numPr>
          <w:ilvl w:val="4"/>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No haber sido condenado por delito cometido con el empleo de armas de fuego.</w:t>
      </w:r>
    </w:p>
    <w:p w:rsidR="00A83BD3" w:rsidRPr="00613C53" w:rsidRDefault="00F41D15">
      <w:pPr>
        <w:numPr>
          <w:ilvl w:val="4"/>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No consumir drogas enervantes o psicotrópicos.</w:t>
      </w:r>
    </w:p>
    <w:p w:rsidR="00A83BD3" w:rsidRPr="00613C53" w:rsidRDefault="00F41D15">
      <w:pPr>
        <w:numPr>
          <w:ilvl w:val="4"/>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En caso de contar con armamento deberá remitir copia de los folios de manifestación “C” y “D” del armamento registrado a nombre de la corporación de que se trate.</w:t>
      </w:r>
    </w:p>
    <w:p w:rsidR="00A83BD3" w:rsidRPr="00613C53" w:rsidRDefault="00F41D15">
      <w:pPr>
        <w:numPr>
          <w:ilvl w:val="4"/>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Los certificados médico, físico, psicológico y toxicológico, deberán ser elaborados de conformidad con los formatos publicados en el Diario Oficial de la Federación el 12 de enero de 2004.</w:t>
      </w:r>
    </w:p>
    <w:p w:rsidR="00A83BD3" w:rsidRPr="00613C53" w:rsidRDefault="00F41D15">
      <w:pPr>
        <w:numPr>
          <w:ilvl w:val="4"/>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Formato de la credencial que se expedirá al personal operativo.</w:t>
      </w:r>
    </w:p>
    <w:p w:rsidR="00A83BD3" w:rsidRPr="00613C53" w:rsidRDefault="00F41D15">
      <w:pPr>
        <w:numPr>
          <w:ilvl w:val="4"/>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Aprobar la visita de inspección que realice el personal militar a las instalaciones en donde se resguarda o resguardara el armamento, a fin de determinar si cumplen con las medidas de seguridad y control necesarias para tal fin.</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spacing w:line="360" w:lineRule="auto"/>
        <w:ind w:left="425"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¿Qué procedimiento deberás seguir?</w:t>
      </w:r>
    </w:p>
    <w:p w:rsidR="00A83BD3" w:rsidRPr="00613C53" w:rsidRDefault="00A83BD3">
      <w:pPr>
        <w:spacing w:line="360" w:lineRule="auto"/>
        <w:ind w:left="425" w:right="-79"/>
        <w:jc w:val="both"/>
        <w:rPr>
          <w:rFonts w:ascii="Palatino Linotype" w:eastAsia="Palatino Linotype" w:hAnsi="Palatino Linotype" w:cs="Palatino Linotype"/>
          <w:i/>
          <w:sz w:val="22"/>
          <w:szCs w:val="22"/>
        </w:rPr>
      </w:pPr>
    </w:p>
    <w:p w:rsidR="00A83BD3" w:rsidRPr="00613C53" w:rsidRDefault="00F41D15">
      <w:pPr>
        <w:numPr>
          <w:ilvl w:val="6"/>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Ingresa la solicitud de expedición de una Licencia Oficial Colectiva por conducto de la Comandancia de la Zona Militar que te corresponda o en el Módulo de Atención al Público del Registro Federal de Armas de Fuego y Control de Explosivos, anexando los documentos anteriormente indicados.</w:t>
      </w:r>
    </w:p>
    <w:p w:rsidR="00A83BD3" w:rsidRPr="00613C53" w:rsidRDefault="00F41D15">
      <w:pPr>
        <w:numPr>
          <w:ilvl w:val="6"/>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En la Zona Militar o en el Módulo de Atención al Público recaba el acuse de recibo de tu trámite, mediante el sello correspondiente.</w:t>
      </w:r>
    </w:p>
    <w:p w:rsidR="00A83BD3" w:rsidRPr="00613C53" w:rsidRDefault="00F41D15">
      <w:pPr>
        <w:numPr>
          <w:ilvl w:val="6"/>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Consulta directamente en el Módulo de Atención al Público o a través de los medios electrónicos, sobre el curso de tu trámite.</w:t>
      </w:r>
    </w:p>
    <w:p w:rsidR="00A83BD3" w:rsidRPr="00613C53" w:rsidRDefault="00F41D15">
      <w:pPr>
        <w:numPr>
          <w:ilvl w:val="6"/>
          <w:numId w:val="16"/>
        </w:numPr>
        <w:spacing w:line="360" w:lineRule="auto"/>
        <w:ind w:left="425" w:right="-79" w:firstLine="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En caso de que se te comunique que el trámite resultó autorizado, asiste al Módulo de Atención al Público del Registro Federal de Armas de Fuego y Control de Explosivos con identificación oficial vigente para recoger el oficio de autorización de la Licencia.</w:t>
      </w:r>
    </w:p>
    <w:p w:rsidR="00A83BD3" w:rsidRPr="00613C53" w:rsidRDefault="00A83BD3">
      <w:pPr>
        <w:spacing w:line="360" w:lineRule="auto"/>
        <w:ind w:right="-79"/>
        <w:jc w:val="both"/>
        <w:rPr>
          <w:rFonts w:ascii="Palatino Linotype" w:eastAsia="Palatino Linotype" w:hAnsi="Palatino Linotype" w:cs="Palatino Linotype"/>
          <w:i/>
          <w:sz w:val="22"/>
          <w:szCs w:val="22"/>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rPr>
      </w:pPr>
      <w:r w:rsidRPr="00613C53">
        <w:rPr>
          <w:rFonts w:ascii="Palatino Linotype" w:eastAsia="Palatino Linotype" w:hAnsi="Palatino Linotype" w:cs="Palatino Linotype"/>
        </w:rPr>
        <w:t xml:space="preserve">De esta forma podemos relacionar lo descrito con anterioridad, con el </w:t>
      </w:r>
      <w:r w:rsidRPr="00613C53">
        <w:rPr>
          <w:rFonts w:ascii="Palatino Linotype" w:eastAsia="Palatino Linotype" w:hAnsi="Palatino Linotype" w:cs="Palatino Linotype"/>
          <w:i/>
        </w:rPr>
        <w:t>Acuerdo por el que se establecen los lineamientos para la Adquisición, Asignación, Uso y Custodia, Portación y Baja de armamento incluido en la Licencia Oficial Colectiva número 139</w:t>
      </w:r>
      <w:r w:rsidRPr="00613C53">
        <w:rPr>
          <w:rFonts w:ascii="Palatino Linotype" w:eastAsia="Palatino Linotype" w:hAnsi="Palatino Linotype" w:cs="Palatino Linotype"/>
        </w:rPr>
        <w:t xml:space="preserve"> particularmente con lo señalado en el considerando tercero y cuarto, mismos que disponen:</w:t>
      </w:r>
    </w:p>
    <w:p w:rsidR="00A83BD3" w:rsidRPr="00613C53" w:rsidRDefault="00F41D15">
      <w:pPr>
        <w:spacing w:line="360" w:lineRule="auto"/>
        <w:ind w:left="709"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“Que en términos de lo dispuesto por la </w:t>
      </w:r>
      <w:r w:rsidRPr="00613C53">
        <w:rPr>
          <w:rFonts w:ascii="Palatino Linotype" w:eastAsia="Palatino Linotype" w:hAnsi="Palatino Linotype" w:cs="Palatino Linotype"/>
          <w:b/>
          <w:i/>
          <w:sz w:val="22"/>
          <w:szCs w:val="22"/>
        </w:rPr>
        <w:t>Ley de Seguridad Pública Preventiva del Estado de México, la Dirección General de Segundad Pública y Tránsito del Estado de México, es una autoridad estatal en materia de seguridad pública preventiva</w:t>
      </w:r>
      <w:r w:rsidRPr="00613C53">
        <w:rPr>
          <w:rFonts w:ascii="Palatino Linotype" w:eastAsia="Palatino Linotype" w:hAnsi="Palatino Linotype" w:cs="Palatino Linotype"/>
          <w:i/>
          <w:sz w:val="22"/>
          <w:szCs w:val="22"/>
        </w:rPr>
        <w:t xml:space="preserve">, a la cual le corresponde, entre otras atribuciones, vigilar el cumplimiento de las leyes, reglamentos, acuerdos, convenios y demás disposiciones referentes a la Seguridad Pública Preventiva </w:t>
      </w:r>
    </w:p>
    <w:p w:rsidR="00A83BD3" w:rsidRPr="00613C53" w:rsidRDefault="00A83BD3">
      <w:pPr>
        <w:spacing w:line="360" w:lineRule="auto"/>
        <w:ind w:left="709" w:right="-79"/>
        <w:jc w:val="both"/>
        <w:rPr>
          <w:rFonts w:ascii="Palatino Linotype" w:eastAsia="Palatino Linotype" w:hAnsi="Palatino Linotype" w:cs="Palatino Linotype"/>
          <w:i/>
          <w:sz w:val="22"/>
          <w:szCs w:val="22"/>
        </w:rPr>
      </w:pPr>
    </w:p>
    <w:p w:rsidR="00A83BD3" w:rsidRPr="00613C53" w:rsidRDefault="00F41D15">
      <w:pPr>
        <w:spacing w:line="360" w:lineRule="auto"/>
        <w:ind w:left="709"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Que en el marco de la Ley Federal de Armas de Fuego y Explosivos, </w:t>
      </w:r>
      <w:r w:rsidRPr="00613C53">
        <w:rPr>
          <w:rFonts w:ascii="Palatino Linotype" w:eastAsia="Palatino Linotype" w:hAnsi="Palatino Linotype" w:cs="Palatino Linotype"/>
          <w:b/>
          <w:i/>
          <w:sz w:val="22"/>
          <w:szCs w:val="22"/>
        </w:rPr>
        <w:t xml:space="preserve">la Secretaría de la Defensa Nacional otorgó al Gobierno del Estado de México, a través de la Dirección </w:t>
      </w:r>
      <w:r w:rsidRPr="00613C53">
        <w:rPr>
          <w:rFonts w:ascii="Palatino Linotype" w:eastAsia="Palatino Linotype" w:hAnsi="Palatino Linotype" w:cs="Palatino Linotype"/>
          <w:b/>
          <w:i/>
          <w:sz w:val="22"/>
          <w:szCs w:val="22"/>
        </w:rPr>
        <w:lastRenderedPageBreak/>
        <w:t>General de Seguridad Pública y Tránsito, la Licencia Oficial Colectiva No. 139</w:t>
      </w:r>
      <w:r w:rsidRPr="00613C53">
        <w:rPr>
          <w:rFonts w:ascii="Palatino Linotype" w:eastAsia="Palatino Linotype" w:hAnsi="Palatino Linotype" w:cs="Palatino Linotype"/>
          <w:i/>
          <w:sz w:val="22"/>
          <w:szCs w:val="22"/>
        </w:rPr>
        <w:t xml:space="preserve"> mediante la cual se concede el permiso para la portación de armas de fuego a los Cuerpos de Seguridad Pública Preventiva.”</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rPr>
      </w:pPr>
      <w:r w:rsidRPr="00613C53">
        <w:rPr>
          <w:rFonts w:ascii="Palatino Linotype" w:eastAsia="Palatino Linotype" w:hAnsi="Palatino Linotype" w:cs="Palatino Linotype"/>
        </w:rPr>
        <w:t>Así, se advierte que el Gobierno del Estado de México cuenta con una Licencia Oficial Colectiva para la portación y uso de armas de fuego, lo cual es coincidente con el requerimiento del particular; por lo que debemos atender lo que disponen los diversos cuerpos normativos que regulan la portación de armas en el Estado de México y sus Municipios.</w:t>
      </w:r>
    </w:p>
    <w:p w:rsidR="00A83BD3" w:rsidRPr="00613C53" w:rsidRDefault="00A83BD3">
      <w:pPr>
        <w:tabs>
          <w:tab w:val="left" w:pos="426"/>
        </w:tabs>
        <w:spacing w:line="360" w:lineRule="auto"/>
        <w:ind w:left="720" w:right="-646"/>
        <w:jc w:val="both"/>
        <w:rPr>
          <w:rFonts w:ascii="Palatino Linotype" w:eastAsia="Palatino Linotype" w:hAnsi="Palatino Linotype" w:cs="Palatino Linotype"/>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rPr>
      </w:pPr>
      <w:r w:rsidRPr="00613C53">
        <w:rPr>
          <w:rFonts w:ascii="Palatino Linotype" w:eastAsia="Palatino Linotype" w:hAnsi="Palatino Linotype" w:cs="Palatino Linotype"/>
        </w:rPr>
        <w:t xml:space="preserve">Dicho lo anterior, la Ley de Seguridad del Estado de México establece en su artículo 21 que son atribuciones de los Presidentes Municipales, la de satisfacer oportunamente los requerimientos que le sean solicitados por la Secretaría, para el registro y actualización de la licencia colectiva para la portación de armas de fuego de los integrantes de las instituciones policiales a su cargo; así como que, los Ayuntamientos deberán considerar en su estructura orgánica una unidad administrativa denominada </w:t>
      </w:r>
      <w:r w:rsidRPr="00613C53">
        <w:rPr>
          <w:rFonts w:ascii="Palatino Linotype" w:eastAsia="Palatino Linotype" w:hAnsi="Palatino Linotype" w:cs="Palatino Linotype"/>
          <w:b/>
        </w:rPr>
        <w:t>Secretaría Técnica del Consejo Municipal de Seguridad Pública</w:t>
      </w:r>
      <w:r w:rsidRPr="00613C53">
        <w:rPr>
          <w:rFonts w:ascii="Palatino Linotype" w:eastAsia="Palatino Linotype" w:hAnsi="Palatino Linotype" w:cs="Palatino Linotype"/>
        </w:rPr>
        <w:t>, cuyo o cuya titular será a propuesta del Presidente Municipal y aprobado en sesión de cabildo el o la cual tendrá las facultades y atribuciones previstas por esta Ley y los demás ordenamientos aplicables, dándole a su vez facultades para fungir como enlace ante la Secretaría de Seguridad para dar seguimiento al registro y actualización de la licencia colectiva para la portación de armas de fuego.</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tabs>
          <w:tab w:val="left" w:pos="426"/>
        </w:tabs>
        <w:spacing w:line="360" w:lineRule="auto"/>
        <w:ind w:left="0" w:right="-646" w:firstLine="0"/>
        <w:jc w:val="both"/>
        <w:rPr>
          <w:rFonts w:ascii="Palatino Linotype" w:eastAsia="Palatino Linotype" w:hAnsi="Palatino Linotype" w:cs="Palatino Linotype"/>
        </w:rPr>
      </w:pPr>
      <w:r w:rsidRPr="00613C53">
        <w:rPr>
          <w:rFonts w:ascii="Palatino Linotype" w:eastAsia="Palatino Linotype" w:hAnsi="Palatino Linotype" w:cs="Palatino Linotype"/>
        </w:rPr>
        <w:lastRenderedPageBreak/>
        <w:t xml:space="preserve">Dichas facultades serán ejecutadas por el Departamento de Prestaciones de la Secretaría de Seguridad que es quien cuenta con las facultades para controlar y administrar la expedición de credenciales para la portación de armas de fuego del personal, incluido en la Licencia Oficial Colectiva vigente de la Secretaría de Seguridad Ciudadana y de los </w:t>
      </w:r>
      <w:r w:rsidRPr="00613C53">
        <w:rPr>
          <w:rFonts w:ascii="Palatino Linotype" w:eastAsia="Palatino Linotype" w:hAnsi="Palatino Linotype" w:cs="Palatino Linotype"/>
          <w:b/>
        </w:rPr>
        <w:t>Municipios.</w:t>
      </w:r>
      <w:r w:rsidRPr="00613C53">
        <w:rPr>
          <w:rFonts w:ascii="Palatino Linotype" w:eastAsia="Palatino Linotype" w:hAnsi="Palatino Linotype" w:cs="Palatino Linotype"/>
        </w:rPr>
        <w:t xml:space="preserve"> </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De lo anterior podemos concluir que </w:t>
      </w:r>
      <w:r w:rsidRPr="00613C53">
        <w:rPr>
          <w:rFonts w:ascii="Palatino Linotype" w:eastAsia="Palatino Linotype" w:hAnsi="Palatino Linotype" w:cs="Palatino Linotype"/>
          <w:b/>
          <w:color w:val="000000"/>
        </w:rPr>
        <w:t xml:space="preserve">el Sujeto Obligado </w:t>
      </w:r>
      <w:r w:rsidRPr="00613C53">
        <w:rPr>
          <w:rFonts w:ascii="Palatino Linotype" w:eastAsia="Palatino Linotype" w:hAnsi="Palatino Linotype" w:cs="Palatino Linotype"/>
          <w:color w:val="000000"/>
        </w:rPr>
        <w:t xml:space="preserve">no cuenta con la Licencia Oficial Colectiva para portación y uso de armas de fuego en específico para el Municipio de </w:t>
      </w:r>
      <w:proofErr w:type="spellStart"/>
      <w:r w:rsidRPr="00613C53">
        <w:rPr>
          <w:rFonts w:ascii="Palatino Linotype" w:eastAsia="Palatino Linotype" w:hAnsi="Palatino Linotype" w:cs="Palatino Linotype"/>
          <w:color w:val="000000"/>
        </w:rPr>
        <w:t>Xonacatlán</w:t>
      </w:r>
      <w:proofErr w:type="spellEnd"/>
      <w:r w:rsidRPr="00613C53">
        <w:rPr>
          <w:rFonts w:ascii="Palatino Linotype" w:eastAsia="Palatino Linotype" w:hAnsi="Palatino Linotype" w:cs="Palatino Linotype"/>
          <w:color w:val="000000"/>
        </w:rPr>
        <w:t xml:space="preserve">, sino que el personal adscrito a sus cuerpos de seguridad pública tendrá que ser inscritos en la Licencia Oficial Colectiva para el Estado de México a los que se les otorgarán las debidas credenciales y </w:t>
      </w:r>
      <w:r w:rsidRPr="00613C53">
        <w:rPr>
          <w:rFonts w:ascii="Palatino Linotype" w:eastAsia="Palatino Linotype" w:hAnsi="Palatino Linotype" w:cs="Palatino Linotype"/>
          <w:b/>
          <w:color w:val="000000"/>
        </w:rPr>
        <w:t xml:space="preserve">el Sujeto Obligado </w:t>
      </w:r>
      <w:r w:rsidRPr="00613C53">
        <w:rPr>
          <w:rFonts w:ascii="Palatino Linotype" w:eastAsia="Palatino Linotype" w:hAnsi="Palatino Linotype" w:cs="Palatino Linotype"/>
          <w:color w:val="000000"/>
        </w:rPr>
        <w:t>contará con los documentos que avalen el trámite ante la autoridad competente (expedientes), de la revalidación de la licencia oficial colectiva de portación de armas de fuego, que por sus funciones requieran de ello.</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8"/>
        </w:num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b/>
          <w:color w:val="000000"/>
        </w:rPr>
        <w:t>Número de elementos que cuentan con Certificado Único Policial, número de elementos que tienen el curso de formación inicial, número de elementos que tienen el curso de competencias básicas y la última fecha en la que se realizó evaluación de desempeño, y el promedio general de las evaluaciones en la corporación y número de elementos programados para acudir al curso de competencias básicas y formación inicial en el año 2024.</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Derivado de la naturaleza de la información requerida, es necesario traer a contexto la Ley General del Sistema Nacional de Seguridad Pública en el artículo 66 y el diverso 109 </w:t>
      </w:r>
      <w:r w:rsidRPr="00613C53">
        <w:rPr>
          <w:rFonts w:ascii="Palatino Linotype" w:eastAsia="Palatino Linotype" w:hAnsi="Palatino Linotype" w:cs="Palatino Linotype"/>
          <w:color w:val="000000"/>
        </w:rPr>
        <w:lastRenderedPageBreak/>
        <w:t xml:space="preserve">de la Ley de Seguridad del Estado de México, establecen que la certificación es el proceso por el cual </w:t>
      </w:r>
      <w:r w:rsidRPr="00613C53">
        <w:rPr>
          <w:rFonts w:ascii="Palatino Linotype" w:eastAsia="Palatino Linotype" w:hAnsi="Palatino Linotype" w:cs="Palatino Linotype"/>
          <w:b/>
          <w:color w:val="000000"/>
        </w:rPr>
        <w:t>los integrantes de las instituciones de seguridad pública o de procuración de justicia se someten a las evaluaciones establecidas por el Centro de Control de Confianza del Estado de México.</w:t>
      </w:r>
    </w:p>
    <w:p w:rsidR="00A83BD3" w:rsidRPr="00613C53" w:rsidRDefault="00A83BD3">
      <w:pPr>
        <w:pBdr>
          <w:top w:val="nil"/>
          <w:left w:val="nil"/>
          <w:bottom w:val="nil"/>
          <w:right w:val="nil"/>
          <w:between w:val="nil"/>
        </w:pBdr>
        <w:tabs>
          <w:tab w:val="left" w:pos="851"/>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851"/>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ese contexto, el Centro de Control de Confianza del Estado de México, es un organismo público descentralizado, con personalidad jurídica y patrimonio propios, sectorizado de la Secretaría de Seguridad, cuyo objeto es realizar las evaluaciones permanentes de control de confianza, de desempeño, poligrafía, entorno social y psicológico, así como exámenes toxicológicos a los aspirante e integrantes de las instituciones de seguridad pública y privada, estatal y municipal, </w:t>
      </w:r>
      <w:r w:rsidRPr="00613C53">
        <w:rPr>
          <w:rFonts w:ascii="Palatino Linotype" w:eastAsia="Palatino Linotype" w:hAnsi="Palatino Linotype" w:cs="Palatino Linotype"/>
          <w:b/>
          <w:color w:val="000000"/>
        </w:rPr>
        <w:t>a fin de emitir la certificación correspondiente.</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851"/>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Además, que </w:t>
      </w:r>
      <w:r w:rsidRPr="00613C53">
        <w:rPr>
          <w:rFonts w:ascii="Palatino Linotype" w:eastAsia="Palatino Linotype" w:hAnsi="Palatino Linotype" w:cs="Palatino Linotype"/>
          <w:b/>
          <w:color w:val="000000"/>
        </w:rPr>
        <w:t>ninguna persona podrá ingresar o permanecer en las instituciones de seguridad pública sin contar con el Certificado y registro vigentes.</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851"/>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En ese contexto, el artículo 5°, fracciones VIII, IX y X, de la Ley General del Sistema Nacional de Seguridad Pública y el diverso 6°, fracciones XI y XII, de la Ley de Seguridad del Estado de México, establece lo siguiente:</w:t>
      </w:r>
    </w:p>
    <w:p w:rsidR="00A83BD3" w:rsidRPr="00613C53" w:rsidRDefault="00F41D15">
      <w:pPr>
        <w:numPr>
          <w:ilvl w:val="0"/>
          <w:numId w:val="12"/>
        </w:numPr>
        <w:spacing w:line="360" w:lineRule="auto"/>
        <w:ind w:right="-79"/>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b/>
          <w:sz w:val="22"/>
          <w:szCs w:val="22"/>
        </w:rPr>
        <w:t>Instituciones Policiales:</w:t>
      </w:r>
      <w:r w:rsidRPr="00613C53">
        <w:rPr>
          <w:rFonts w:ascii="Palatino Linotype" w:eastAsia="Palatino Linotype" w:hAnsi="Palatino Linotype" w:cs="Palatino Linotype"/>
          <w:sz w:val="22"/>
          <w:szCs w:val="22"/>
        </w:rPr>
        <w:t xml:space="preserve"> Son los cuerpos de policía, de vigilancia y custodia de los establecimientos penitenciarios, detención preventiva, centros de arraigo y en general, todas las dependencias encargadas de la seguridad pública a nivel federal, estatal y municipal.</w:t>
      </w:r>
    </w:p>
    <w:p w:rsidR="00A83BD3" w:rsidRPr="00613C53" w:rsidRDefault="00F41D15">
      <w:pPr>
        <w:numPr>
          <w:ilvl w:val="0"/>
          <w:numId w:val="12"/>
        </w:numPr>
        <w:spacing w:line="360" w:lineRule="auto"/>
        <w:ind w:right="-79"/>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b/>
          <w:sz w:val="22"/>
          <w:szCs w:val="22"/>
        </w:rPr>
        <w:lastRenderedPageBreak/>
        <w:t xml:space="preserve">Instituciones de Procuración de Justicia: </w:t>
      </w:r>
      <w:r w:rsidRPr="00613C53">
        <w:rPr>
          <w:rFonts w:ascii="Palatino Linotype" w:eastAsia="Palatino Linotype" w:hAnsi="Palatino Linotype" w:cs="Palatino Linotype"/>
          <w:sz w:val="22"/>
          <w:szCs w:val="22"/>
        </w:rPr>
        <w:t>Son aquellas de la Federación y Entidades Federativas que integran el Ministerio Público, los servicios periciales, policías de investigación y auxiliares.</w:t>
      </w:r>
    </w:p>
    <w:p w:rsidR="00A83BD3" w:rsidRPr="00613C53" w:rsidRDefault="00F41D15">
      <w:pPr>
        <w:numPr>
          <w:ilvl w:val="0"/>
          <w:numId w:val="12"/>
        </w:numPr>
        <w:spacing w:line="360" w:lineRule="auto"/>
        <w:ind w:right="-79"/>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b/>
          <w:sz w:val="22"/>
          <w:szCs w:val="22"/>
        </w:rPr>
        <w:t>Instituciones de Seguridad Pública:</w:t>
      </w:r>
      <w:r w:rsidRPr="00613C53">
        <w:rPr>
          <w:rFonts w:ascii="Palatino Linotype" w:eastAsia="Palatino Linotype" w:hAnsi="Palatino Linotype" w:cs="Palatino Linotype"/>
          <w:sz w:val="22"/>
          <w:szCs w:val="22"/>
        </w:rPr>
        <w:t xml:space="preserve"> Instituciones Policiales, de Procuración de Justicia, del Sistema Penitenciario y dependencias encargadas de la seguridad pública a nivel federal, estatal y municipal.</w:t>
      </w:r>
    </w:p>
    <w:p w:rsidR="00A83BD3" w:rsidRPr="00613C53" w:rsidRDefault="00A83BD3">
      <w:pPr>
        <w:spacing w:line="360" w:lineRule="auto"/>
        <w:ind w:right="-646"/>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Sobre lo anterior, el Instructivo de llenado del Formato “Personal de Seguridad Pública”, del Secretariado Ejecutivo del Sistema Nacional de Seguridad Pública establece que las instituciones de seguridad pública, se integran por los siguientes categorizaciones de puestos:</w:t>
      </w:r>
    </w:p>
    <w:p w:rsidR="00A83BD3" w:rsidRPr="00613C53" w:rsidRDefault="00F41D15">
      <w:pPr>
        <w:numPr>
          <w:ilvl w:val="0"/>
          <w:numId w:val="13"/>
        </w:numPr>
        <w:pBdr>
          <w:top w:val="nil"/>
          <w:left w:val="nil"/>
          <w:bottom w:val="nil"/>
          <w:right w:val="nil"/>
          <w:between w:val="nil"/>
        </w:pBdr>
        <w:spacing w:line="360" w:lineRule="auto"/>
        <w:ind w:right="-220"/>
        <w:jc w:val="both"/>
        <w:rPr>
          <w:rFonts w:ascii="Palatino Linotype" w:eastAsia="Palatino Linotype" w:hAnsi="Palatino Linotype" w:cs="Palatino Linotype"/>
          <w:b/>
          <w:color w:val="000000"/>
          <w:sz w:val="22"/>
          <w:szCs w:val="22"/>
        </w:rPr>
      </w:pPr>
      <w:r w:rsidRPr="00613C53">
        <w:rPr>
          <w:rFonts w:ascii="Palatino Linotype" w:eastAsia="Palatino Linotype" w:hAnsi="Palatino Linotype" w:cs="Palatino Linotype"/>
          <w:b/>
          <w:color w:val="000000"/>
          <w:sz w:val="22"/>
          <w:szCs w:val="22"/>
        </w:rPr>
        <w:t xml:space="preserve">Mando: </w:t>
      </w:r>
      <w:r w:rsidRPr="00613C53">
        <w:rPr>
          <w:rFonts w:ascii="Palatino Linotype" w:eastAsia="Palatino Linotype" w:hAnsi="Palatino Linotype" w:cs="Palatino Linotype"/>
          <w:color w:val="000000"/>
          <w:sz w:val="22"/>
          <w:szCs w:val="22"/>
        </w:rPr>
        <w:t>Se conforma por el personal con funciones de dirección, coordinación y supervisión, es decir, los altos mandos y mandos medios y superiores.</w:t>
      </w:r>
    </w:p>
    <w:p w:rsidR="00A83BD3" w:rsidRPr="00613C53" w:rsidRDefault="00F41D15">
      <w:pPr>
        <w:numPr>
          <w:ilvl w:val="0"/>
          <w:numId w:val="13"/>
        </w:numPr>
        <w:pBdr>
          <w:top w:val="nil"/>
          <w:left w:val="nil"/>
          <w:bottom w:val="nil"/>
          <w:right w:val="nil"/>
          <w:between w:val="nil"/>
        </w:pBdr>
        <w:spacing w:line="360" w:lineRule="auto"/>
        <w:ind w:right="-220"/>
        <w:jc w:val="both"/>
        <w:rPr>
          <w:rFonts w:ascii="Palatino Linotype" w:eastAsia="Palatino Linotype" w:hAnsi="Palatino Linotype" w:cs="Palatino Linotype"/>
          <w:b/>
          <w:color w:val="000000"/>
          <w:sz w:val="22"/>
          <w:szCs w:val="22"/>
        </w:rPr>
      </w:pPr>
      <w:r w:rsidRPr="00613C53">
        <w:rPr>
          <w:rFonts w:ascii="Palatino Linotype" w:eastAsia="Palatino Linotype" w:hAnsi="Palatino Linotype" w:cs="Palatino Linotype"/>
          <w:b/>
          <w:color w:val="000000"/>
          <w:sz w:val="22"/>
          <w:szCs w:val="22"/>
        </w:rPr>
        <w:t xml:space="preserve">Operativos: </w:t>
      </w:r>
      <w:r w:rsidRPr="00613C53">
        <w:rPr>
          <w:rFonts w:ascii="Palatino Linotype" w:eastAsia="Palatino Linotype" w:hAnsi="Palatino Linotype" w:cs="Palatino Linotype"/>
          <w:color w:val="000000"/>
          <w:sz w:val="22"/>
          <w:szCs w:val="22"/>
        </w:rPr>
        <w:t>Integrado por el personal que desempeña funciones de campo (policiacas, especializadas y no tienen funciones de mando), tales como la Policía Ministerial, Judicial, Estatal Preventiva, Municipal, escoltas, grupos antisecuestro, terrorismo, inteligencia, grupos de reacción o equivalentes.</w:t>
      </w:r>
    </w:p>
    <w:p w:rsidR="00A83BD3" w:rsidRPr="00613C53" w:rsidRDefault="00F41D15">
      <w:pPr>
        <w:numPr>
          <w:ilvl w:val="0"/>
          <w:numId w:val="13"/>
        </w:numPr>
        <w:pBdr>
          <w:top w:val="nil"/>
          <w:left w:val="nil"/>
          <w:bottom w:val="nil"/>
          <w:right w:val="nil"/>
          <w:between w:val="nil"/>
        </w:pBdr>
        <w:spacing w:line="360" w:lineRule="auto"/>
        <w:ind w:right="-220"/>
        <w:jc w:val="both"/>
        <w:rPr>
          <w:rFonts w:ascii="Palatino Linotype" w:eastAsia="Palatino Linotype" w:hAnsi="Palatino Linotype" w:cs="Palatino Linotype"/>
          <w:b/>
          <w:color w:val="000000"/>
          <w:sz w:val="22"/>
          <w:szCs w:val="22"/>
        </w:rPr>
      </w:pPr>
      <w:r w:rsidRPr="00613C53">
        <w:rPr>
          <w:rFonts w:ascii="Palatino Linotype" w:eastAsia="Palatino Linotype" w:hAnsi="Palatino Linotype" w:cs="Palatino Linotype"/>
          <w:b/>
          <w:color w:val="000000"/>
          <w:sz w:val="22"/>
          <w:szCs w:val="22"/>
        </w:rPr>
        <w:t xml:space="preserve">Administrativos: </w:t>
      </w:r>
      <w:r w:rsidRPr="00613C53">
        <w:rPr>
          <w:rFonts w:ascii="Palatino Linotype" w:eastAsia="Palatino Linotype" w:hAnsi="Palatino Linotype" w:cs="Palatino Linotype"/>
          <w:color w:val="000000"/>
          <w:sz w:val="22"/>
          <w:szCs w:val="22"/>
        </w:rPr>
        <w:t>Conformado por el personal de apoyo.</w:t>
      </w:r>
    </w:p>
    <w:p w:rsidR="00A83BD3" w:rsidRPr="00613C53" w:rsidRDefault="00F41D15">
      <w:pPr>
        <w:numPr>
          <w:ilvl w:val="0"/>
          <w:numId w:val="11"/>
        </w:numPr>
        <w:pBdr>
          <w:top w:val="nil"/>
          <w:left w:val="nil"/>
          <w:bottom w:val="nil"/>
          <w:right w:val="nil"/>
          <w:between w:val="nil"/>
        </w:pBdr>
        <w:tabs>
          <w:tab w:val="left" w:pos="851"/>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Por su parte, el Centro Nacional de Certificación y Acreditación</w:t>
      </w:r>
      <w:r w:rsidRPr="00613C53">
        <w:rPr>
          <w:rFonts w:ascii="Palatino Linotype" w:eastAsia="Palatino Linotype" w:hAnsi="Palatino Linotype" w:cs="Palatino Linotype"/>
          <w:color w:val="000000"/>
          <w:vertAlign w:val="superscript"/>
        </w:rPr>
        <w:footnoteReference w:id="2"/>
      </w:r>
      <w:r w:rsidRPr="00613C53">
        <w:rPr>
          <w:rFonts w:ascii="Palatino Linotype" w:eastAsia="Palatino Linotype" w:hAnsi="Palatino Linotype" w:cs="Palatino Linotype"/>
          <w:color w:val="000000"/>
        </w:rPr>
        <w:t xml:space="preserve"> </w:t>
      </w:r>
      <w:r w:rsidRPr="00613C53">
        <w:rPr>
          <w:rFonts w:ascii="Palatino Linotype" w:eastAsia="Palatino Linotype" w:hAnsi="Palatino Linotype" w:cs="Palatino Linotype"/>
        </w:rPr>
        <w:t>Para</w:t>
      </w:r>
      <w:r w:rsidRPr="00613C53">
        <w:rPr>
          <w:rFonts w:ascii="Palatino Linotype" w:eastAsia="Palatino Linotype" w:hAnsi="Palatino Linotype" w:cs="Palatino Linotype"/>
          <w:color w:val="000000"/>
        </w:rPr>
        <w:t xml:space="preserve"> obtener el certificado es obligatorio que los elementos </w:t>
      </w:r>
      <w:r w:rsidRPr="00613C53">
        <w:rPr>
          <w:rFonts w:ascii="Palatino Linotype" w:eastAsia="Palatino Linotype" w:hAnsi="Palatino Linotype" w:cs="Palatino Linotype"/>
          <w:b/>
          <w:color w:val="000000"/>
          <w:u w:val="single"/>
        </w:rPr>
        <w:t>acrediten contar con evaluación de control y confianza</w:t>
      </w:r>
      <w:r w:rsidRPr="00613C53">
        <w:rPr>
          <w:rFonts w:ascii="Palatino Linotype" w:eastAsia="Palatino Linotype" w:hAnsi="Palatino Linotype" w:cs="Palatino Linotype"/>
          <w:color w:val="000000"/>
        </w:rPr>
        <w:t>, formación inicial o equivalente, evaluación de competencias básicas o profesionales y la evaluación del desempeño.</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851"/>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 En ese sentido, es de destacar que el objetivo del certificado es garantizar que la población cuente con policías confiables que tengan como único objetivo el de velar por la seguridad, por ello, que toda vez que </w:t>
      </w:r>
      <w:r w:rsidRPr="00613C53">
        <w:rPr>
          <w:rFonts w:ascii="Palatino Linotype" w:eastAsia="Palatino Linotype" w:hAnsi="Palatino Linotype" w:cs="Palatino Linotype"/>
          <w:b/>
          <w:color w:val="000000"/>
        </w:rPr>
        <w:t>es un requisito el contar con el Certificado Único Policial para estar adscrito a la Dirección de Seguridad Ciudadana del Municipio</w:t>
      </w:r>
      <w:r w:rsidRPr="00613C53">
        <w:rPr>
          <w:rFonts w:ascii="Palatino Linotype" w:eastAsia="Palatino Linotype" w:hAnsi="Palatino Linotype" w:cs="Palatino Linotype"/>
          <w:color w:val="000000"/>
        </w:rPr>
        <w:t xml:space="preserve"> y para esto, </w:t>
      </w:r>
      <w:r w:rsidRPr="00613C53">
        <w:rPr>
          <w:rFonts w:ascii="Palatino Linotype" w:eastAsia="Palatino Linotype" w:hAnsi="Palatino Linotype" w:cs="Palatino Linotype"/>
          <w:b/>
          <w:color w:val="000000"/>
        </w:rPr>
        <w:t>es necesario contar con la acreditación de la evaluación de control y confianza.</w:t>
      </w:r>
      <w:r w:rsidRPr="00613C53">
        <w:rPr>
          <w:rFonts w:ascii="Palatino Linotype" w:eastAsia="Palatino Linotype" w:hAnsi="Palatino Linotype" w:cs="Palatino Linotype"/>
          <w:color w:val="000000"/>
        </w:rPr>
        <w:t xml:space="preserve"> </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Sobre el Certificado Único Policial (CUP) es necesario traer a colación el artículo 1° de los Lineamientos para la Emisión del Certificado Único Policial, que establece que dicho documento acredita a los policías como aptos para ingresar o permanecer en las instituciones de seguridad pública, y que cuentan con los conocimientos, el perfil, las habilidades y las aptitudes necesarias para el desempeño de su cargo. </w:t>
      </w:r>
    </w:p>
    <w:p w:rsidR="00A83BD3" w:rsidRPr="00613C53" w:rsidRDefault="00A83BD3">
      <w:pPr>
        <w:pBdr>
          <w:top w:val="nil"/>
          <w:left w:val="nil"/>
          <w:bottom w:val="nil"/>
          <w:right w:val="nil"/>
          <w:between w:val="nil"/>
        </w:pBdr>
        <w:tabs>
          <w:tab w:val="left" w:pos="7513"/>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ese orden de ideas, los artículos 41, fracción V, y 85, fracción II, de la Ley General del Sistema Nacional de Seguridad Pública, establece que los integrantes de las Instituciones Policiales tienen la obligación de obtener y mantener actualizado su Certificado Único Policial que expedirá el centro de control de confianza respectivo. </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el mismo sentido, los artículos 21, fracción XVIII, 22, fracción XI, y 100, fracción IV, inciso i) de la Ley de Seguridad del Estado de México, establece que los integrantes de las Instituciones de Seguridad Pública tienen la obligación de obtener y mantener actualizado su Certificado Único Policial; por lo que, los Presidentes Municipales tienen la atribución de verificar que los integrantes de las instituciones policiales a su cargo se </w:t>
      </w:r>
      <w:r w:rsidRPr="00613C53">
        <w:rPr>
          <w:rFonts w:ascii="Palatino Linotype" w:eastAsia="Palatino Linotype" w:hAnsi="Palatino Linotype" w:cs="Palatino Linotype"/>
          <w:color w:val="000000"/>
        </w:rPr>
        <w:lastRenderedPageBreak/>
        <w:t>sometan a las evaluaciones de control de confianza y cuenten con el Certificado Único Policial; además, que el Director de Seguridad Pública Municipal, será el encargado de informar al Presidente Municipal de los resultados y procesos de verificación y evaluaciones de confianza a los que se sometan los integrantes de las instituciones policiales a su cargo.</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Ahora bien, cabe señalar que de conformidad con el artículo 29, fracción XIV, de la Ley en cita, establece que la Conferencia Nacional de Secretarios de Seguridad Pública tiene entre sus funciones, la de proponer los requisitos que debe contener el Certificado Único Policial. </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Al respecto, dada la naturaleza de la información que se analiza, es oportuno hacer referencia en el presente estudio, al Anexo del Acuerdo 07/XL/16, a través del cual el Consejo Nacional de Seguridad Pública, en cumplimiento al Acuerdo CNSP 13/XXXIX/15, aprueba los Lineamientos para la emisión, desarrollo e implementación del Certificado Único Policial, los cuales precisan lo siguiente:</w:t>
      </w:r>
    </w:p>
    <w:p w:rsidR="00A83BD3" w:rsidRPr="00613C53" w:rsidRDefault="00F41D15">
      <w:pPr>
        <w:numPr>
          <w:ilvl w:val="0"/>
          <w:numId w:val="14"/>
        </w:numPr>
        <w:pBdr>
          <w:top w:val="nil"/>
          <w:left w:val="nil"/>
          <w:bottom w:val="nil"/>
          <w:right w:val="nil"/>
          <w:between w:val="nil"/>
        </w:pBdr>
        <w:tabs>
          <w:tab w:val="left" w:pos="7513"/>
        </w:tabs>
        <w:spacing w:line="360" w:lineRule="auto"/>
        <w:ind w:left="567" w:right="-220"/>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Que el Certificado Único Policial permitirá acreditar que el servidor público resultó aprobado para ingresar o permanecer en las Instituciones Policiales que cuenta con las competencias necesarias para el desempeño de su cargo; </w:t>
      </w:r>
    </w:p>
    <w:p w:rsidR="00A83BD3" w:rsidRPr="00613C53" w:rsidRDefault="00F41D15">
      <w:pPr>
        <w:numPr>
          <w:ilvl w:val="0"/>
          <w:numId w:val="14"/>
        </w:numPr>
        <w:pBdr>
          <w:top w:val="nil"/>
          <w:left w:val="nil"/>
          <w:bottom w:val="nil"/>
          <w:right w:val="nil"/>
          <w:between w:val="nil"/>
        </w:pBdr>
        <w:tabs>
          <w:tab w:val="left" w:pos="7513"/>
        </w:tabs>
        <w:spacing w:line="360" w:lineRule="auto"/>
        <w:ind w:left="567" w:right="-220"/>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Que el Certificado Único Policial es requisito de permanencia para los integrantes de las instituciones policiales, mientras que el certificado previsto en el artículo 65 de la Ley General del Sistema Nacional de Seguridad Pública establece que es requisito de ingreso y permanencia en las Instituciones de Procuración de Justicia; </w:t>
      </w:r>
    </w:p>
    <w:p w:rsidR="00A83BD3" w:rsidRPr="00613C53" w:rsidRDefault="00F41D15">
      <w:pPr>
        <w:numPr>
          <w:ilvl w:val="0"/>
          <w:numId w:val="14"/>
        </w:numPr>
        <w:pBdr>
          <w:top w:val="nil"/>
          <w:left w:val="nil"/>
          <w:bottom w:val="nil"/>
          <w:right w:val="nil"/>
          <w:between w:val="nil"/>
        </w:pBdr>
        <w:tabs>
          <w:tab w:val="left" w:pos="7513"/>
        </w:tabs>
        <w:spacing w:line="360" w:lineRule="auto"/>
        <w:ind w:left="567" w:right="-220"/>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lastRenderedPageBreak/>
        <w:t>Que en términos del artículo 76 de la Ley General del Sistema Nacional de Seguridad Pública, los policías de investigación que forman parte de la estructura orgánica de las Instituciones de Procuración de Justicia deben obtener el Certificado Único Policial;</w:t>
      </w:r>
    </w:p>
    <w:p w:rsidR="00A83BD3" w:rsidRPr="00613C53" w:rsidRDefault="00F41D15">
      <w:pPr>
        <w:numPr>
          <w:ilvl w:val="0"/>
          <w:numId w:val="14"/>
        </w:numPr>
        <w:pBdr>
          <w:top w:val="nil"/>
          <w:left w:val="nil"/>
          <w:bottom w:val="nil"/>
          <w:right w:val="nil"/>
          <w:between w:val="nil"/>
        </w:pBdr>
        <w:tabs>
          <w:tab w:val="left" w:pos="7513"/>
        </w:tabs>
        <w:spacing w:line="360" w:lineRule="auto"/>
        <w:ind w:left="567" w:right="-220"/>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Que el Consejo Nacional de Seguridad Pública en su Trigésima Novena Sesión Ordinaria, mediante Acuerdo 13/XXXIX/15 ratificó el</w:t>
      </w:r>
      <w:r w:rsidRPr="00613C53">
        <w:rPr>
          <w:rFonts w:ascii="Palatino Linotype" w:eastAsia="Palatino Linotype" w:hAnsi="Palatino Linotype" w:cs="Palatino Linotype"/>
          <w:b/>
          <w:color w:val="000000"/>
          <w:sz w:val="22"/>
          <w:szCs w:val="22"/>
        </w:rPr>
        <w:t xml:space="preserve"> </w:t>
      </w:r>
      <w:r w:rsidRPr="00613C53">
        <w:rPr>
          <w:rFonts w:ascii="Palatino Linotype" w:eastAsia="Palatino Linotype" w:hAnsi="Palatino Linotype" w:cs="Palatino Linotype"/>
          <w:color w:val="000000"/>
          <w:sz w:val="22"/>
          <w:szCs w:val="22"/>
        </w:rPr>
        <w:t>Acuerdo 2, adoptado en la XIV Sesión Ordinaria de la Conferencia Nacional de Secretarios de Seguridad Pública, el cual establece los requisitos que debe tener el Certificado Único Policial: evaluación de control de confianza, formación inicial y/o equivalente, evaluación del desempeño y evaluación de competencias policiales básicas (habilidades, destrezas y conocimientos de la función policial); así como instruyó al Secretariado Ejecutivo del Sistema Nacional de Seguridad Pública a establecer un grupo de trabajo interinstitucional, para determinar los lineamientos y políticas generales para la emisión, desarrollo e implementación del Certificado Único Policial.</w:t>
      </w:r>
    </w:p>
    <w:p w:rsidR="00A83BD3" w:rsidRPr="00613C53" w:rsidRDefault="00A83BD3">
      <w:pPr>
        <w:pBdr>
          <w:top w:val="nil"/>
          <w:left w:val="nil"/>
          <w:bottom w:val="nil"/>
          <w:right w:val="nil"/>
          <w:between w:val="nil"/>
        </w:pBdr>
        <w:tabs>
          <w:tab w:val="left" w:pos="7513"/>
        </w:tabs>
        <w:spacing w:line="360" w:lineRule="auto"/>
        <w:ind w:right="-646"/>
        <w:jc w:val="both"/>
        <w:rPr>
          <w:rFonts w:ascii="Palatino Linotype" w:eastAsia="Palatino Linotype" w:hAnsi="Palatino Linotype" w:cs="Palatino Linotype"/>
          <w:b/>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relación con lo expuesto, el artículo 6°, fracción V, de los Lineamientos citados, establece que para la emisión del Certificado Único Policial, el integrante de las Instituciones deberá acreditar: </w:t>
      </w:r>
    </w:p>
    <w:p w:rsidR="00A83BD3" w:rsidRPr="00613C53" w:rsidRDefault="00F41D15">
      <w:pPr>
        <w:pBdr>
          <w:top w:val="nil"/>
          <w:left w:val="nil"/>
          <w:bottom w:val="nil"/>
          <w:right w:val="nil"/>
          <w:between w:val="nil"/>
        </w:pBdr>
        <w:tabs>
          <w:tab w:val="left" w:pos="7513"/>
        </w:tabs>
        <w:spacing w:line="360" w:lineRule="auto"/>
        <w:ind w:left="284" w:right="-646"/>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a) El proceso de evaluación de control de confianza; </w:t>
      </w:r>
    </w:p>
    <w:p w:rsidR="00A83BD3" w:rsidRPr="00613C53" w:rsidRDefault="00F41D15">
      <w:pPr>
        <w:pBdr>
          <w:top w:val="nil"/>
          <w:left w:val="nil"/>
          <w:bottom w:val="nil"/>
          <w:right w:val="nil"/>
          <w:between w:val="nil"/>
        </w:pBdr>
        <w:tabs>
          <w:tab w:val="left" w:pos="7513"/>
        </w:tabs>
        <w:spacing w:line="360" w:lineRule="auto"/>
        <w:ind w:left="284" w:right="-646"/>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b) La evaluación de competencias básicas o profesionales; </w:t>
      </w:r>
    </w:p>
    <w:p w:rsidR="00A83BD3" w:rsidRPr="00613C53" w:rsidRDefault="00F41D15">
      <w:pPr>
        <w:pBdr>
          <w:top w:val="nil"/>
          <w:left w:val="nil"/>
          <w:bottom w:val="nil"/>
          <w:right w:val="nil"/>
          <w:between w:val="nil"/>
        </w:pBdr>
        <w:tabs>
          <w:tab w:val="left" w:pos="7513"/>
        </w:tabs>
        <w:spacing w:line="360" w:lineRule="auto"/>
        <w:ind w:left="284" w:right="-646"/>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c) La evaluación del desempeño o del desempeño académico, y </w:t>
      </w:r>
    </w:p>
    <w:p w:rsidR="00A83BD3" w:rsidRPr="00613C53" w:rsidRDefault="00F41D15">
      <w:pPr>
        <w:pBdr>
          <w:top w:val="nil"/>
          <w:left w:val="nil"/>
          <w:bottom w:val="nil"/>
          <w:right w:val="nil"/>
          <w:between w:val="nil"/>
        </w:pBdr>
        <w:tabs>
          <w:tab w:val="left" w:pos="7513"/>
        </w:tabs>
        <w:spacing w:line="360" w:lineRule="auto"/>
        <w:ind w:left="284" w:right="-646"/>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 xml:space="preserve">d) La formación inicial o su equivalente. </w:t>
      </w:r>
    </w:p>
    <w:p w:rsidR="00A83BD3" w:rsidRPr="00613C53" w:rsidRDefault="00A83BD3">
      <w:pPr>
        <w:pBdr>
          <w:top w:val="nil"/>
          <w:left w:val="nil"/>
          <w:bottom w:val="nil"/>
          <w:right w:val="nil"/>
          <w:between w:val="nil"/>
        </w:pBdr>
        <w:tabs>
          <w:tab w:val="left" w:pos="7513"/>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Lo anterior, se robustece con el Diagnóstico Nacional sobre las Policías Preventivas de las Entidades Federativas, establece que el Certificado Único Policial, es una herramienta que permite certificar que el personal que integra las instituciones de </w:t>
      </w:r>
      <w:r w:rsidRPr="00613C53">
        <w:rPr>
          <w:rFonts w:ascii="Palatino Linotype" w:eastAsia="Palatino Linotype" w:hAnsi="Palatino Linotype" w:cs="Palatino Linotype"/>
          <w:color w:val="000000"/>
        </w:rPr>
        <w:lastRenderedPageBreak/>
        <w:t>seguridad pública, tenga el perfil, los conocimientos, la experiencia, las habilidades y las aptitudes necesarias para el desempeño de sus funciones; además que, para obtener dicho documento, los policías municipales deberán contar con un resultado aprobatorio y vigente, lo siguiente:</w:t>
      </w:r>
    </w:p>
    <w:p w:rsidR="00A83BD3" w:rsidRPr="00613C53" w:rsidRDefault="00F41D15">
      <w:pPr>
        <w:numPr>
          <w:ilvl w:val="0"/>
          <w:numId w:val="15"/>
        </w:numPr>
        <w:pBdr>
          <w:top w:val="nil"/>
          <w:left w:val="nil"/>
          <w:bottom w:val="nil"/>
          <w:right w:val="nil"/>
          <w:between w:val="nil"/>
        </w:pBdr>
        <w:tabs>
          <w:tab w:val="left" w:pos="7513"/>
        </w:tabs>
        <w:spacing w:line="360" w:lineRule="auto"/>
        <w:ind w:right="-646"/>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Evaluación de control de confianza;</w:t>
      </w:r>
    </w:p>
    <w:p w:rsidR="00A83BD3" w:rsidRPr="00613C53" w:rsidRDefault="00F41D15">
      <w:pPr>
        <w:numPr>
          <w:ilvl w:val="0"/>
          <w:numId w:val="15"/>
        </w:numPr>
        <w:pBdr>
          <w:top w:val="nil"/>
          <w:left w:val="nil"/>
          <w:bottom w:val="nil"/>
          <w:right w:val="nil"/>
          <w:between w:val="nil"/>
        </w:pBdr>
        <w:tabs>
          <w:tab w:val="left" w:pos="7513"/>
        </w:tabs>
        <w:spacing w:line="360" w:lineRule="auto"/>
        <w:ind w:right="-646"/>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Evaluación de competencias básicas o profesionales;</w:t>
      </w:r>
    </w:p>
    <w:p w:rsidR="00A83BD3" w:rsidRPr="00613C53" w:rsidRDefault="00F41D15">
      <w:pPr>
        <w:numPr>
          <w:ilvl w:val="0"/>
          <w:numId w:val="15"/>
        </w:numPr>
        <w:pBdr>
          <w:top w:val="nil"/>
          <w:left w:val="nil"/>
          <w:bottom w:val="nil"/>
          <w:right w:val="nil"/>
          <w:between w:val="nil"/>
        </w:pBdr>
        <w:tabs>
          <w:tab w:val="left" w:pos="7513"/>
        </w:tabs>
        <w:spacing w:line="360" w:lineRule="auto"/>
        <w:ind w:right="-646"/>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Evaluación del desempeño, y</w:t>
      </w:r>
    </w:p>
    <w:p w:rsidR="00A83BD3" w:rsidRPr="00613C53" w:rsidRDefault="00F41D15">
      <w:pPr>
        <w:numPr>
          <w:ilvl w:val="0"/>
          <w:numId w:val="15"/>
        </w:numPr>
        <w:pBdr>
          <w:top w:val="nil"/>
          <w:left w:val="nil"/>
          <w:bottom w:val="nil"/>
          <w:right w:val="nil"/>
          <w:between w:val="nil"/>
        </w:pBdr>
        <w:tabs>
          <w:tab w:val="left" w:pos="7513"/>
        </w:tabs>
        <w:spacing w:line="360" w:lineRule="auto"/>
        <w:ind w:right="-646"/>
        <w:jc w:val="both"/>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color w:val="000000"/>
          <w:sz w:val="22"/>
          <w:szCs w:val="22"/>
        </w:rPr>
        <w:t>Formación inicial o equivalente.</w:t>
      </w:r>
    </w:p>
    <w:p w:rsidR="00A83BD3" w:rsidRPr="00613C53" w:rsidRDefault="00A83BD3">
      <w:pPr>
        <w:pBdr>
          <w:top w:val="nil"/>
          <w:left w:val="nil"/>
          <w:bottom w:val="nil"/>
          <w:right w:val="nil"/>
          <w:between w:val="nil"/>
        </w:pBdr>
        <w:tabs>
          <w:tab w:val="left" w:pos="7513"/>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Así, el Certificado Único Policial que emite el Centro de Control de Confianza del Estado de México, acredita que el personal dedicado a la seguridad pública cumple con las evaluaciones y formación, para ocupar un cargo de seguridad pública; por lo que, es un requisito indispensable, para poder entrar y permanecer en una institución de seguridad pública.</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Precisado lo anterior, de una revisión al expediente que nos ocupa dentro del Sistema de Acceso a la Información Mexiquense, se advierte que en respuesta no se desprende pronunciamiento del servidor público habilitado.</w:t>
      </w:r>
    </w:p>
    <w:p w:rsidR="00A83BD3" w:rsidRPr="00613C53" w:rsidRDefault="00A83BD3">
      <w:pPr>
        <w:pBdr>
          <w:top w:val="nil"/>
          <w:left w:val="nil"/>
          <w:bottom w:val="nil"/>
          <w:right w:val="nil"/>
          <w:between w:val="nil"/>
        </w:pBdr>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color w:val="000000"/>
        </w:rPr>
        <w:t xml:space="preserve">Atento a lo anterior debe </w:t>
      </w:r>
      <w:r w:rsidRPr="00613C53">
        <w:rPr>
          <w:rFonts w:ascii="Palatino Linotype" w:eastAsia="Palatino Linotype" w:hAnsi="Palatino Linotype" w:cs="Palatino Linotype"/>
        </w:rPr>
        <w:t>hacerse</w:t>
      </w:r>
      <w:r w:rsidRPr="00613C53">
        <w:rPr>
          <w:rFonts w:ascii="Palatino Linotype" w:eastAsia="Palatino Linotype" w:hAnsi="Palatino Linotype" w:cs="Palatino Linotype"/>
          <w:color w:val="000000"/>
        </w:rPr>
        <w:t xml:space="preserve"> alusión al procedimiento de turno de servidor público habilitado, por ello si bien es cierto, el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w:t>
      </w:r>
      <w:r w:rsidRPr="00613C53">
        <w:rPr>
          <w:rFonts w:ascii="Palatino Linotype" w:eastAsia="Palatino Linotype" w:hAnsi="Palatino Linotype" w:cs="Palatino Linotype"/>
          <w:color w:val="000000"/>
        </w:rPr>
        <w:lastRenderedPageBreak/>
        <w:t>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613C53">
        <w:rPr>
          <w:rFonts w:ascii="Palatino Linotype" w:eastAsia="Palatino Linotype" w:hAnsi="Palatino Linotype" w:cs="Palatino Linotype"/>
          <w:b/>
          <w:color w:val="000000"/>
        </w:rPr>
        <w:t xml:space="preserve"> </w:t>
      </w:r>
    </w:p>
    <w:p w:rsidR="00A83BD3" w:rsidRPr="00613C53" w:rsidRDefault="00F41D15">
      <w:pPr>
        <w:tabs>
          <w:tab w:val="left" w:pos="709"/>
        </w:tabs>
        <w:spacing w:line="360" w:lineRule="auto"/>
        <w:ind w:left="851" w:right="-220"/>
        <w:jc w:val="center"/>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sz w:val="22"/>
          <w:szCs w:val="22"/>
        </w:rPr>
        <w:t>“Ley de Transparencia y Acceso a la Información Pública del Estado de México y Municipios</w:t>
      </w:r>
    </w:p>
    <w:p w:rsidR="00A83BD3" w:rsidRPr="00613C53" w:rsidRDefault="00F41D15">
      <w:pPr>
        <w:tabs>
          <w:tab w:val="left" w:pos="709"/>
        </w:tabs>
        <w:spacing w:line="360" w:lineRule="auto"/>
        <w:ind w:left="851"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“Artículo 50. Los sujetos obligados contarán con un área responsable para la atención de las solicitudes de información, a la que se le denominará Unidad de Transparencia. </w:t>
      </w:r>
    </w:p>
    <w:p w:rsidR="00A83BD3" w:rsidRPr="00613C53" w:rsidRDefault="00F41D15">
      <w:pPr>
        <w:tabs>
          <w:tab w:val="left" w:pos="709"/>
        </w:tabs>
        <w:spacing w:line="360" w:lineRule="auto"/>
        <w:ind w:left="851"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Artículo 51. Los sujetos obligados designaran a un responsable para atender la Unidad de Transparencia, quien fungirá como enlace entre éstos y los solicitantes. </w:t>
      </w:r>
      <w:r w:rsidRPr="00613C53">
        <w:rPr>
          <w:rFonts w:ascii="Palatino Linotype" w:eastAsia="Palatino Linotype" w:hAnsi="Palatino Linotype" w:cs="Palatino Linotype"/>
          <w:b/>
          <w:i/>
          <w:sz w:val="22"/>
          <w:szCs w:val="22"/>
          <w:u w:val="single"/>
        </w:rPr>
        <w:t>Dicha Unidad será la encargada de tramitar internamente la solicitud de información</w:t>
      </w:r>
      <w:r w:rsidRPr="00613C53">
        <w:rPr>
          <w:rFonts w:ascii="Palatino Linotype" w:eastAsia="Palatino Linotype" w:hAnsi="Palatino Linotype" w:cs="Palatino Linotype"/>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A83BD3" w:rsidRPr="00613C53" w:rsidRDefault="00F41D15">
      <w:pPr>
        <w:tabs>
          <w:tab w:val="left" w:pos="709"/>
        </w:tabs>
        <w:spacing w:line="360" w:lineRule="auto"/>
        <w:ind w:left="851"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tabs>
          <w:tab w:val="left" w:pos="709"/>
        </w:tabs>
        <w:spacing w:line="360" w:lineRule="auto"/>
        <w:ind w:left="851"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Artículo 53. Las Unidades de Transparencia tendrán las siguientes funciones:</w:t>
      </w:r>
    </w:p>
    <w:p w:rsidR="00A83BD3" w:rsidRPr="00613C53" w:rsidRDefault="00F41D15">
      <w:pPr>
        <w:tabs>
          <w:tab w:val="left" w:pos="709"/>
        </w:tabs>
        <w:spacing w:line="360" w:lineRule="auto"/>
        <w:ind w:left="851"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tabs>
          <w:tab w:val="left" w:pos="709"/>
        </w:tabs>
        <w:spacing w:line="360" w:lineRule="auto"/>
        <w:ind w:left="851"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II. Recibir, tramitar y dar respuesta a las solicitudes de acceso a la información; </w:t>
      </w:r>
    </w:p>
    <w:p w:rsidR="00A83BD3" w:rsidRPr="00613C53" w:rsidRDefault="00F41D15">
      <w:pPr>
        <w:tabs>
          <w:tab w:val="left" w:pos="709"/>
        </w:tabs>
        <w:spacing w:line="360" w:lineRule="auto"/>
        <w:ind w:left="851"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tabs>
          <w:tab w:val="left" w:pos="709"/>
        </w:tabs>
        <w:spacing w:line="360" w:lineRule="auto"/>
        <w:ind w:left="851" w:right="-220"/>
        <w:rPr>
          <w:rFonts w:ascii="Palatino Linotype" w:eastAsia="Palatino Linotype" w:hAnsi="Palatino Linotype" w:cs="Palatino Linotype"/>
          <w:b/>
          <w:i/>
          <w:sz w:val="22"/>
          <w:szCs w:val="22"/>
          <w:u w:val="single"/>
        </w:rPr>
      </w:pPr>
      <w:r w:rsidRPr="00613C53">
        <w:rPr>
          <w:rFonts w:ascii="Palatino Linotype" w:eastAsia="Palatino Linotype" w:hAnsi="Palatino Linotype" w:cs="Palatino Linotype"/>
          <w:b/>
          <w:i/>
          <w:sz w:val="22"/>
          <w:szCs w:val="22"/>
          <w:u w:val="single"/>
        </w:rPr>
        <w:t xml:space="preserve">IV. Realizar, con efectividad, los trámites internos necesarios para la atención de las solicitudes de acceso a la información; </w:t>
      </w:r>
    </w:p>
    <w:p w:rsidR="00A83BD3" w:rsidRPr="00613C53" w:rsidRDefault="00F41D15">
      <w:pPr>
        <w:tabs>
          <w:tab w:val="left" w:pos="709"/>
        </w:tabs>
        <w:spacing w:line="360" w:lineRule="auto"/>
        <w:ind w:left="851"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V. Entregar, en su caso, a los particulares la información solicitada; </w:t>
      </w:r>
    </w:p>
    <w:p w:rsidR="00A83BD3" w:rsidRPr="00613C53" w:rsidRDefault="00F41D15">
      <w:pPr>
        <w:tabs>
          <w:tab w:val="left" w:pos="709"/>
        </w:tabs>
        <w:spacing w:line="360" w:lineRule="auto"/>
        <w:ind w:left="851"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VI. Efectuar las notificaciones a los solicitantes;” (Sic)</w:t>
      </w:r>
    </w:p>
    <w:p w:rsidR="00A83BD3" w:rsidRPr="00613C53" w:rsidRDefault="00A83BD3">
      <w:pPr>
        <w:tabs>
          <w:tab w:val="left" w:pos="709"/>
        </w:tabs>
        <w:spacing w:line="360" w:lineRule="auto"/>
        <w:ind w:left="851" w:right="-646"/>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 xml:space="preserve">Aunado a lo anterior, se debe señalar que aunque la solicitud de información y la respuesta estén dirigidas y atendidas por un </w:t>
      </w:r>
      <w:r w:rsidRPr="00613C53">
        <w:rPr>
          <w:rFonts w:ascii="Palatino Linotype" w:eastAsia="Palatino Linotype" w:hAnsi="Palatino Linotype" w:cs="Palatino Linotype"/>
          <w:b/>
          <w:color w:val="000000"/>
        </w:rPr>
        <w:t>SUJETO OBLIGADO</w:t>
      </w:r>
      <w:r w:rsidRPr="00613C53">
        <w:rPr>
          <w:rFonts w:ascii="Palatino Linotype" w:eastAsia="Palatino Linotype" w:hAnsi="Palatino Linotype" w:cs="Palatino Linotype"/>
          <w:color w:val="000000"/>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3.</w:t>
      </w:r>
      <w:r w:rsidRPr="00613C53">
        <w:rPr>
          <w:rFonts w:ascii="Palatino Linotype" w:eastAsia="Palatino Linotype" w:hAnsi="Palatino Linotype" w:cs="Palatino Linotype"/>
          <w:i/>
          <w:sz w:val="22"/>
          <w:szCs w:val="22"/>
        </w:rPr>
        <w:t xml:space="preserve"> Para los efectos de la presente Ley se entenderá por:</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 xml:space="preserve">XXXIX. Servidor público habilitado: </w:t>
      </w:r>
      <w:r w:rsidRPr="00613C53">
        <w:rPr>
          <w:rFonts w:ascii="Palatino Linotype" w:eastAsia="Palatino Linotype" w:hAnsi="Palatino Linotype" w:cs="Palatino Linotype"/>
          <w:i/>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A83BD3">
      <w:pPr>
        <w:spacing w:line="360" w:lineRule="auto"/>
        <w:ind w:left="567" w:right="-220"/>
        <w:rPr>
          <w:rFonts w:ascii="Palatino Linotype" w:eastAsia="Palatino Linotype" w:hAnsi="Palatino Linotype" w:cs="Palatino Linotype"/>
          <w:i/>
          <w:sz w:val="22"/>
          <w:szCs w:val="22"/>
        </w:rPr>
      </w:pP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58.</w:t>
      </w:r>
      <w:r w:rsidRPr="00613C53">
        <w:rPr>
          <w:rFonts w:ascii="Palatino Linotype" w:eastAsia="Palatino Linotype" w:hAnsi="Palatino Linotype" w:cs="Palatino Linotype"/>
          <w:i/>
          <w:sz w:val="22"/>
          <w:szCs w:val="22"/>
        </w:rPr>
        <w:t xml:space="preserve"> Los servidores públicos habilitados serán designados por el titular del sujeto obligado a propuesta del responsable de la Unidad de Transparencia.</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59.</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u w:val="single"/>
        </w:rPr>
        <w:t>Los servidores públicos habilitados</w:t>
      </w:r>
      <w:r w:rsidRPr="00613C53">
        <w:rPr>
          <w:rFonts w:ascii="Palatino Linotype" w:eastAsia="Palatino Linotype" w:hAnsi="Palatino Linotype" w:cs="Palatino Linotype"/>
          <w:i/>
          <w:sz w:val="22"/>
          <w:szCs w:val="22"/>
        </w:rPr>
        <w:t xml:space="preserve"> tendrán las funciones siguientes:</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I. </w:t>
      </w:r>
      <w:r w:rsidRPr="00613C53">
        <w:rPr>
          <w:rFonts w:ascii="Palatino Linotype" w:eastAsia="Palatino Linotype" w:hAnsi="Palatino Linotype" w:cs="Palatino Linotype"/>
          <w:b/>
          <w:i/>
          <w:sz w:val="22"/>
          <w:szCs w:val="22"/>
          <w:u w:val="single"/>
        </w:rPr>
        <w:t>Localizar la información que le solicite la Unidad de Transparencia</w:t>
      </w: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 xml:space="preserve">II. </w:t>
      </w:r>
      <w:r w:rsidRPr="00613C53">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sidRPr="00613C53">
        <w:rPr>
          <w:rFonts w:ascii="Palatino Linotype" w:eastAsia="Palatino Linotype" w:hAnsi="Palatino Linotype" w:cs="Palatino Linotype"/>
          <w:i/>
          <w:sz w:val="22"/>
          <w:szCs w:val="22"/>
        </w:rPr>
        <w:t>;</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lastRenderedPageBreak/>
        <w:t>III. Apoyar a la Unidad de Transparencia en lo que esta le solicite para el cumplimiento de sus funciones;</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IV. Proporcionar a la Unidad de Transparencia, las modificaciones a la información pública de oficio que obre en su poder;</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VII. Dar cuenta a la Unidad de Transparencia del vencimiento de los plazos de reserva.” (Sic)</w:t>
      </w:r>
    </w:p>
    <w:p w:rsidR="00A83BD3" w:rsidRPr="00613C53" w:rsidRDefault="00A83BD3">
      <w:pPr>
        <w:spacing w:line="360" w:lineRule="auto"/>
        <w:ind w:left="567" w:right="-646"/>
        <w:rPr>
          <w:rFonts w:ascii="Palatino Linotype" w:eastAsia="Palatino Linotype" w:hAnsi="Palatino Linotype" w:cs="Palatino Linotype"/>
          <w:i/>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No obstante, dentro de la solicitud de información se advierte que </w:t>
      </w:r>
      <w:r w:rsidRPr="00613C53">
        <w:rPr>
          <w:rFonts w:ascii="Palatino Linotype" w:eastAsia="Palatino Linotype" w:hAnsi="Palatino Linotype" w:cs="Palatino Linotype"/>
          <w:b/>
          <w:color w:val="000000"/>
        </w:rPr>
        <w:t>LA PARTE RECURRENTE</w:t>
      </w:r>
      <w:r w:rsidRPr="00613C53">
        <w:rPr>
          <w:rFonts w:ascii="Palatino Linotype" w:eastAsia="Palatino Linotype" w:hAnsi="Palatino Linotype" w:cs="Palatino Linotype"/>
          <w:color w:val="000000"/>
        </w:rPr>
        <w:t xml:space="preserve"> pide información relativa al presupuesto asignado para al rubro de seguridad pública, por ello esta se debió turnar al área de </w:t>
      </w:r>
      <w:r w:rsidRPr="00613C53">
        <w:rPr>
          <w:rFonts w:ascii="Palatino Linotype" w:eastAsia="Palatino Linotype" w:hAnsi="Palatino Linotype" w:cs="Palatino Linotype"/>
          <w:b/>
          <w:color w:val="000000"/>
        </w:rPr>
        <w:t>Tesorería; e</w:t>
      </w:r>
      <w:r w:rsidRPr="00613C53">
        <w:rPr>
          <w:rFonts w:ascii="Palatino Linotype" w:eastAsia="Palatino Linotype" w:hAnsi="Palatino Linotype" w:cs="Palatino Linotype"/>
          <w:color w:val="000000"/>
        </w:rPr>
        <w:t>n otras palabras, no se cumplió con lo que, para tal efecto, dispone el artículo 162 de la Ley de Transparencia y Acceso a la Información Pública del Estado de México y Municipios, que índica:</w:t>
      </w:r>
    </w:p>
    <w:p w:rsidR="00A83BD3" w:rsidRPr="00613C53" w:rsidRDefault="00F41D15">
      <w:pPr>
        <w:spacing w:line="360" w:lineRule="auto"/>
        <w:ind w:left="567" w:right="-220"/>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 xml:space="preserve">Artículo 162. </w:t>
      </w:r>
      <w:r w:rsidRPr="00613C53">
        <w:rPr>
          <w:rFonts w:ascii="Palatino Linotype" w:eastAsia="Palatino Linotype" w:hAnsi="Palatino Linotype" w:cs="Palatino Linotype"/>
          <w:i/>
          <w:sz w:val="22"/>
          <w:szCs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13C53">
        <w:rPr>
          <w:rFonts w:ascii="Palatino Linotype" w:eastAsia="Palatino Linotype" w:hAnsi="Palatino Linotype" w:cs="Palatino Linotype"/>
          <w:i/>
          <w:sz w:val="22"/>
          <w:szCs w:val="22"/>
        </w:rPr>
        <w:t xml:space="preserve">” </w:t>
      </w:r>
    </w:p>
    <w:p w:rsidR="00A83BD3" w:rsidRPr="00613C53" w:rsidRDefault="00A83BD3">
      <w:pPr>
        <w:spacing w:line="360" w:lineRule="auto"/>
        <w:ind w:left="567" w:right="-220"/>
        <w:rPr>
          <w:rFonts w:ascii="Palatino Linotype" w:eastAsia="Palatino Linotype" w:hAnsi="Palatino Linotype" w:cs="Palatino Linotype"/>
          <w:i/>
          <w:sz w:val="22"/>
          <w:szCs w:val="22"/>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Para reforzar lo expuesto se trae a colación las atribuciones de las </w:t>
      </w:r>
      <w:r w:rsidRPr="00613C53">
        <w:rPr>
          <w:rFonts w:ascii="Palatino Linotype" w:eastAsia="Palatino Linotype" w:hAnsi="Palatino Linotype" w:cs="Palatino Linotype"/>
        </w:rPr>
        <w:t>tareas</w:t>
      </w:r>
      <w:r w:rsidRPr="00613C53">
        <w:rPr>
          <w:rFonts w:ascii="Palatino Linotype" w:eastAsia="Palatino Linotype" w:hAnsi="Palatino Linotype" w:cs="Palatino Linotype"/>
          <w:color w:val="000000"/>
        </w:rPr>
        <w:t xml:space="preserve"> de Seguridad Pública y Tesorería que se encuentran en Ley Orgánica Municipal del Estado de México como se advierte a continuación:</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b/>
          <w:i/>
          <w:color w:val="000000"/>
          <w:sz w:val="22"/>
          <w:szCs w:val="22"/>
        </w:rPr>
      </w:pPr>
      <w:r w:rsidRPr="00613C53">
        <w:rPr>
          <w:rFonts w:ascii="Palatino Linotype" w:eastAsia="Palatino Linotype" w:hAnsi="Palatino Linotype" w:cs="Palatino Linotype"/>
          <w:b/>
          <w:i/>
          <w:color w:val="000000"/>
          <w:sz w:val="22"/>
          <w:szCs w:val="22"/>
        </w:rPr>
        <w:t>Artículo 22.- Son atribuciones del Director de Seguridad Pública Municipal:</w:t>
      </w:r>
    </w:p>
    <w:p w:rsidR="00A83BD3" w:rsidRPr="00613C53" w:rsidRDefault="00A83BD3">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I. Participar en la elaboración del Programa Municipal de Seguridad Pública y del Programa Municipal de Prevención Social de la Violencia y la Delincuencia con Participación Ciudadana;</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II. Organizar, operar, supervisar y controlar a los integrantes de las instituciones policiales a su cargo;</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III. Aplicar las directrices que conforme a sus atribuciones expresas dicten las autoridades competentes para la prestación del servicio, coordinación, funcionamiento, normatividad técnica y disciplina de los integrantes de las instituciones policiales a su cargo;</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IV. Proponer programas para mejorar y ampliar la cobertura del servicio de seguridad pública;</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V. Contar con las estadísticas delictivas y efectuar la supervisión de las acciones de seguridad pública municipal;</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VI. Promover la capacitación técnica y práctica de las o los integrantes de las instituciones policiales a su cargo;</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VII. Informar a las autoridades competentes sobre los movimientos de altas y bajas de los integrantes de las instituciones policiales a su cargo, así como de sus vehículos, armamento, municiones y equipo;</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VIII. Denunciar oportunamente ante las autoridades competentes el extravío o robo de armamento a su cargo para los efectos legales correspondientes;</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IX. Proporcionar a la Secretaría los informes que le sean solicitados;</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i/>
          <w:color w:val="000000"/>
          <w:sz w:val="22"/>
          <w:szCs w:val="22"/>
        </w:rPr>
        <w:t>X. Auxiliar a las autoridades federales y de otras entidades federativas cuando sea requerido para ello; y</w:t>
      </w:r>
      <w:r w:rsidRPr="00613C53">
        <w:rPr>
          <w:rFonts w:ascii="Palatino Linotype" w:eastAsia="Palatino Linotype" w:hAnsi="Palatino Linotype" w:cs="Palatino Linotype"/>
          <w:color w:val="000000"/>
          <w:sz w:val="22"/>
          <w:szCs w:val="22"/>
        </w:rPr>
        <w:t xml:space="preserve"> </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lastRenderedPageBreak/>
        <w:t>XI. Informar al Presidente o Presidenta Municipal de los resultados y procesos de verificación y evaluaciones de confianza a los que se sometan los integrantes de las instituciones policiales a su cargo, y</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color w:val="000000"/>
          <w:sz w:val="22"/>
          <w:szCs w:val="22"/>
        </w:rPr>
      </w:pPr>
      <w:r w:rsidRPr="00613C53">
        <w:rPr>
          <w:rFonts w:ascii="Palatino Linotype" w:eastAsia="Palatino Linotype" w:hAnsi="Palatino Linotype" w:cs="Palatino Linotype"/>
          <w:i/>
          <w:color w:val="000000"/>
          <w:sz w:val="22"/>
          <w:szCs w:val="22"/>
        </w:rPr>
        <w:t>XII. Las demás que les confieran otras leyes.</w:t>
      </w:r>
      <w:r w:rsidRPr="00613C53">
        <w:rPr>
          <w:rFonts w:ascii="Palatino Linotype" w:eastAsia="Palatino Linotype" w:hAnsi="Palatino Linotype" w:cs="Palatino Linotype"/>
          <w:color w:val="000000"/>
          <w:sz w:val="22"/>
          <w:szCs w:val="22"/>
        </w:rPr>
        <w:t xml:space="preserve"> </w:t>
      </w:r>
    </w:p>
    <w:p w:rsidR="00A83BD3" w:rsidRPr="00613C53" w:rsidRDefault="00A83BD3">
      <w:pPr>
        <w:pBdr>
          <w:top w:val="nil"/>
          <w:left w:val="nil"/>
          <w:bottom w:val="nil"/>
          <w:right w:val="nil"/>
          <w:between w:val="nil"/>
        </w:pBdr>
        <w:spacing w:line="360" w:lineRule="auto"/>
        <w:ind w:left="851" w:right="-220"/>
        <w:rPr>
          <w:rFonts w:ascii="Palatino Linotype" w:eastAsia="Palatino Linotype" w:hAnsi="Palatino Linotype" w:cs="Palatino Linotype"/>
          <w:color w:val="000000"/>
          <w:sz w:val="22"/>
          <w:szCs w:val="22"/>
        </w:rPr>
      </w:pPr>
    </w:p>
    <w:p w:rsidR="00A83BD3" w:rsidRPr="00613C53" w:rsidRDefault="00F41D15">
      <w:pPr>
        <w:pBdr>
          <w:top w:val="nil"/>
          <w:left w:val="nil"/>
          <w:bottom w:val="nil"/>
          <w:right w:val="nil"/>
          <w:between w:val="nil"/>
        </w:pBdr>
        <w:spacing w:line="360" w:lineRule="auto"/>
        <w:ind w:left="851" w:right="-220"/>
        <w:jc w:val="center"/>
        <w:rPr>
          <w:rFonts w:ascii="Palatino Linotype" w:eastAsia="Palatino Linotype" w:hAnsi="Palatino Linotype" w:cs="Palatino Linotype"/>
          <w:b/>
          <w:i/>
          <w:color w:val="000000"/>
          <w:sz w:val="22"/>
          <w:szCs w:val="22"/>
        </w:rPr>
      </w:pPr>
      <w:r w:rsidRPr="00613C53">
        <w:rPr>
          <w:rFonts w:ascii="Palatino Linotype" w:eastAsia="Palatino Linotype" w:hAnsi="Palatino Linotype" w:cs="Palatino Linotype"/>
          <w:b/>
          <w:i/>
          <w:sz w:val="22"/>
          <w:szCs w:val="22"/>
        </w:rPr>
        <w:t>CAPÍTULO</w:t>
      </w:r>
      <w:r w:rsidRPr="00613C53">
        <w:rPr>
          <w:rFonts w:ascii="Palatino Linotype" w:eastAsia="Palatino Linotype" w:hAnsi="Palatino Linotype" w:cs="Palatino Linotype"/>
          <w:b/>
          <w:i/>
          <w:color w:val="000000"/>
          <w:sz w:val="22"/>
          <w:szCs w:val="22"/>
        </w:rPr>
        <w:t xml:space="preserve"> SEGUNDO</w:t>
      </w:r>
    </w:p>
    <w:p w:rsidR="00A83BD3" w:rsidRPr="00613C53" w:rsidRDefault="00F41D15">
      <w:pPr>
        <w:pBdr>
          <w:top w:val="nil"/>
          <w:left w:val="nil"/>
          <w:bottom w:val="nil"/>
          <w:right w:val="nil"/>
          <w:between w:val="nil"/>
        </w:pBdr>
        <w:spacing w:line="360" w:lineRule="auto"/>
        <w:ind w:left="851" w:right="-220"/>
        <w:jc w:val="center"/>
        <w:rPr>
          <w:rFonts w:ascii="Palatino Linotype" w:eastAsia="Palatino Linotype" w:hAnsi="Palatino Linotype" w:cs="Palatino Linotype"/>
          <w:b/>
          <w:i/>
          <w:color w:val="000000"/>
          <w:sz w:val="22"/>
          <w:szCs w:val="22"/>
        </w:rPr>
      </w:pPr>
      <w:r w:rsidRPr="00613C53">
        <w:rPr>
          <w:rFonts w:ascii="Palatino Linotype" w:eastAsia="Palatino Linotype" w:hAnsi="Palatino Linotype" w:cs="Palatino Linotype"/>
          <w:b/>
          <w:i/>
          <w:color w:val="000000"/>
          <w:sz w:val="22"/>
          <w:szCs w:val="22"/>
        </w:rPr>
        <w:t>De la Tesorería Municipal</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Artículo 93.- La tesorería municipal es el órgano encargado de la recaudación de los ingresos municipales y responsable de realizar las erogaciones que haga el ayuntamiento.</w:t>
      </w:r>
    </w:p>
    <w:p w:rsidR="00A83BD3" w:rsidRPr="00613C53" w:rsidRDefault="00A83BD3">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A83BD3" w:rsidRPr="00613C53" w:rsidRDefault="00A83BD3">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Artículo 95.- Son atribuciones del tesorero municipal:</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I. Administrar la hacienda pública municipal, de conformidad con las disposiciones legales aplicables;</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IV. Llevar los registros contables, financieros y administrativos de los ingresos, egresos, e inventarios;</w:t>
      </w:r>
    </w:p>
    <w:p w:rsidR="00A83BD3" w:rsidRPr="00613C53" w:rsidRDefault="00F41D15">
      <w:pPr>
        <w:pBdr>
          <w:top w:val="nil"/>
          <w:left w:val="nil"/>
          <w:bottom w:val="nil"/>
          <w:right w:val="nil"/>
          <w:between w:val="nil"/>
        </w:pBdr>
        <w:spacing w:line="360" w:lineRule="auto"/>
        <w:ind w:left="851" w:right="-220"/>
        <w:rPr>
          <w:rFonts w:ascii="Palatino Linotype" w:eastAsia="Palatino Linotype" w:hAnsi="Palatino Linotype" w:cs="Palatino Linotype"/>
          <w:i/>
          <w:color w:val="000000"/>
          <w:sz w:val="22"/>
          <w:szCs w:val="22"/>
        </w:rPr>
      </w:pPr>
      <w:r w:rsidRPr="00613C53">
        <w:rPr>
          <w:rFonts w:ascii="Palatino Linotype" w:eastAsia="Palatino Linotype" w:hAnsi="Palatino Linotype" w:cs="Palatino Linotype"/>
          <w:i/>
          <w:color w:val="000000"/>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rsidR="00A83BD3" w:rsidRPr="00613C53" w:rsidRDefault="00A83BD3">
      <w:pPr>
        <w:spacing w:line="360" w:lineRule="auto"/>
        <w:ind w:right="-646"/>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 xml:space="preserve">De lo anterior se advierte que las atribuciones del </w:t>
      </w:r>
      <w:r w:rsidRPr="00613C53">
        <w:rPr>
          <w:rFonts w:ascii="Palatino Linotype" w:eastAsia="Palatino Linotype" w:hAnsi="Palatino Linotype" w:cs="Palatino Linotype"/>
          <w:b/>
          <w:color w:val="000000"/>
        </w:rPr>
        <w:t xml:space="preserve">Director de Seguridad Pública </w:t>
      </w:r>
      <w:r w:rsidRPr="00613C53">
        <w:rPr>
          <w:rFonts w:ascii="Palatino Linotype" w:eastAsia="Palatino Linotype" w:hAnsi="Palatino Linotype" w:cs="Palatino Linotype"/>
          <w:color w:val="000000"/>
        </w:rPr>
        <w:t xml:space="preserve">lo es Prevenir la comisión de infracciones, mantener la seguridad, el orden público y la tranquilidad de las personas, por ello se considera el servidor público habilitado idóneo para proporcionar la información solicitada; no obstante ello también de debió turnar la solicitud de información al área de </w:t>
      </w:r>
      <w:r w:rsidRPr="00613C53">
        <w:rPr>
          <w:rFonts w:ascii="Palatino Linotype" w:eastAsia="Palatino Linotype" w:hAnsi="Palatino Linotype" w:cs="Palatino Linotype"/>
          <w:b/>
          <w:color w:val="000000"/>
        </w:rPr>
        <w:t>Tesorería</w:t>
      </w:r>
      <w:r w:rsidRPr="00613C53">
        <w:rPr>
          <w:rFonts w:ascii="Palatino Linotype" w:eastAsia="Palatino Linotype" w:hAnsi="Palatino Linotype" w:cs="Palatino Linotype"/>
          <w:color w:val="000000"/>
        </w:rPr>
        <w:t xml:space="preserve">, pues esta área es encargada de proporcionar oportunamente al ayuntamiento todos los datos o informes que sean necesarios para la formulación del Presupuesto de Egresos Municipales; por ello se ordena se turne de nueva cuenta al </w:t>
      </w:r>
      <w:r w:rsidRPr="00613C53">
        <w:rPr>
          <w:rFonts w:ascii="Palatino Linotype" w:eastAsia="Palatino Linotype" w:hAnsi="Palatino Linotype" w:cs="Palatino Linotype"/>
          <w:b/>
          <w:color w:val="000000"/>
        </w:rPr>
        <w:t>Director de Seguridad Pública</w:t>
      </w:r>
      <w:r w:rsidRPr="00613C53">
        <w:rPr>
          <w:rFonts w:ascii="Palatino Linotype" w:eastAsia="Palatino Linotype" w:hAnsi="Palatino Linotype" w:cs="Palatino Linotype"/>
          <w:color w:val="000000"/>
        </w:rPr>
        <w:t>, relativo a los rubros del  gasto que ejerció el municipio para el pago de equipamiento policial, armamento, pago de patrullas (ya sea adquisición o renta), capacitación policial, desglosado por concepto de pago y especificar el número de policías beneficiados; y también al área de Tesorería para que previa búsqueda exhaustiva en sus archivos de la información haga entrega de la misma.</w:t>
      </w:r>
    </w:p>
    <w:p w:rsidR="00A83BD3" w:rsidRPr="00613C53" w:rsidRDefault="00A83BD3">
      <w:pPr>
        <w:spacing w:line="360" w:lineRule="auto"/>
        <w:ind w:right="-646"/>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tabs>
          <w:tab w:val="left" w:pos="567"/>
        </w:tabs>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Conforme a lo anterior, se logra vislumbrar que la pretensión de </w:t>
      </w:r>
      <w:r w:rsidRPr="00613C53">
        <w:rPr>
          <w:rFonts w:ascii="Palatino Linotype" w:eastAsia="Palatino Linotype" w:hAnsi="Palatino Linotype" w:cs="Palatino Linotype"/>
          <w:b/>
          <w:color w:val="000000"/>
        </w:rPr>
        <w:t>la parte Recurrente</w:t>
      </w:r>
      <w:r w:rsidRPr="00613C53">
        <w:rPr>
          <w:rFonts w:ascii="Palatino Linotype" w:eastAsia="Palatino Linotype" w:hAnsi="Palatino Linotype" w:cs="Palatino Linotype"/>
          <w:color w:val="000000"/>
        </w:rPr>
        <w:t>, es obtener, el certificado único policial, el cual es un requisito para el ingreso y permanencia dentro de las Instituciones de Seguridad Pública, por lo que se determina que la información obra en posesión del Sujeto Obligado, por lo que se ORDENA entregar el soporte documental correspondiente.</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De ser el caso de que la información que se ORDENA entregar contenga datos personales susceptibles de clasificarse como información confidencial, el Sujeto Obligado estará a lo dispuesto en el Considerando QUINTO de la presente resolución.</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color w:val="000000"/>
        </w:rPr>
      </w:pPr>
    </w:p>
    <w:p w:rsidR="00A83BD3" w:rsidRPr="00613C53" w:rsidRDefault="00F41D15">
      <w:pPr>
        <w:spacing w:line="360" w:lineRule="auto"/>
        <w:ind w:right="-646"/>
        <w:jc w:val="both"/>
        <w:rPr>
          <w:rFonts w:ascii="Palatino Linotype" w:eastAsia="Palatino Linotype" w:hAnsi="Palatino Linotype" w:cs="Palatino Linotype"/>
          <w:b/>
        </w:rPr>
      </w:pPr>
      <w:bookmarkStart w:id="0" w:name="_heading=h.gjdgxs" w:colFirst="0" w:colLast="0"/>
      <w:bookmarkEnd w:id="0"/>
      <w:r w:rsidRPr="00613C53">
        <w:rPr>
          <w:rFonts w:ascii="Palatino Linotype" w:eastAsia="Palatino Linotype" w:hAnsi="Palatino Linotype" w:cs="Palatino Linotype"/>
        </w:rPr>
        <w:lastRenderedPageBreak/>
        <w:t xml:space="preserve"> </w:t>
      </w:r>
      <w:r w:rsidRPr="00613C53">
        <w:rPr>
          <w:rFonts w:ascii="Palatino Linotype" w:eastAsia="Palatino Linotype" w:hAnsi="Palatino Linotype" w:cs="Palatino Linotype"/>
          <w:b/>
        </w:rPr>
        <w:t>QUINTO. De la versión pública.</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Con relación a la </w:t>
      </w:r>
      <w:r w:rsidRPr="00613C53">
        <w:rPr>
          <w:rFonts w:ascii="Palatino Linotype" w:eastAsia="Palatino Linotype" w:hAnsi="Palatino Linotype" w:cs="Palatino Linotype"/>
          <w:b/>
          <w:color w:val="000000"/>
        </w:rPr>
        <w:t xml:space="preserve">versión pública </w:t>
      </w:r>
      <w:r w:rsidRPr="00613C53">
        <w:rPr>
          <w:rFonts w:ascii="Palatino Linotype" w:eastAsia="Palatino Linotype" w:hAnsi="Palatino Linotype" w:cs="Palatino Linotype"/>
          <w:color w:val="000000"/>
        </w:rPr>
        <w:t xml:space="preserve">de la información de la que se ordena su entrega, en términos del artículo 143, fracción I y II de la Ley de Transparencia y Acceso a la Información Pública del Estado de México y Municipios, deberá omitirse, eliminarse o suprimirse la información </w:t>
      </w:r>
      <w:r w:rsidRPr="00613C53">
        <w:rPr>
          <w:rFonts w:ascii="Palatino Linotype" w:eastAsia="Palatino Linotype" w:hAnsi="Palatino Linotype" w:cs="Palatino Linotype"/>
          <w:b/>
          <w:color w:val="000000"/>
        </w:rPr>
        <w:t>confidencial</w:t>
      </w:r>
      <w:r w:rsidRPr="00613C53">
        <w:rPr>
          <w:rFonts w:ascii="Palatino Linotype" w:eastAsia="Palatino Linotype" w:hAnsi="Palatino Linotype" w:cs="Palatino Linotype"/>
          <w:color w:val="000000"/>
        </w:rPr>
        <w:t xml:space="preserve">. </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613C53">
        <w:rPr>
          <w:rFonts w:ascii="Palatino Linotype" w:eastAsia="Palatino Linotype" w:hAnsi="Palatino Linotype" w:cs="Palatino Linotype"/>
          <w:b/>
          <w:color w:val="000000"/>
        </w:rPr>
        <w:t>SUJETO OBLIGADO</w:t>
      </w:r>
      <w:r w:rsidRPr="00613C53">
        <w:rPr>
          <w:rFonts w:ascii="Palatino Linotype" w:eastAsia="Palatino Linotype" w:hAnsi="Palatino Linotype" w:cs="Palatino Linotype"/>
          <w:color w:val="000000"/>
        </w:rPr>
        <w:t xml:space="preserve"> emita el Acuerdo de Clasificación correspondiente debidamente fundado y motivado, en el cual se sustente la versión pública, misma que deberá cumplir cabalmente con las formalidades de los </w:t>
      </w:r>
      <w:r w:rsidRPr="00613C53">
        <w:rPr>
          <w:rFonts w:ascii="Palatino Linotype" w:eastAsia="Palatino Linotype" w:hAnsi="Palatino Linotype" w:cs="Palatino Linotype"/>
          <w:color w:val="000000"/>
          <w:u w:val="single"/>
        </w:rPr>
        <w:t>lineamientos generales en materia de clasificación y desclasificación de la información; así como, para la elaboración de versiones públicas</w:t>
      </w:r>
      <w:r w:rsidRPr="00613C53">
        <w:rPr>
          <w:rFonts w:ascii="Palatino Linotype" w:eastAsia="Palatino Linotype" w:hAnsi="Palatino Linotype" w:cs="Palatino Linotype"/>
          <w:color w:val="000000"/>
        </w:rPr>
        <w:t>, publicados en el Diario Oficial de la Federación en fecha 15 de abril de 2016, mediante Acuerdo del Consejo Nacional del Sistema Nacional de Transparencia, Acceso a la Información Pública y Protección de Datos Personales.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Así, respecto de los documentos que </w:t>
      </w:r>
      <w:r w:rsidRPr="00613C53">
        <w:rPr>
          <w:rFonts w:ascii="Palatino Linotype" w:eastAsia="Palatino Linotype" w:hAnsi="Palatino Linotype" w:cs="Palatino Linotype"/>
          <w:b/>
          <w:color w:val="000000"/>
        </w:rPr>
        <w:t xml:space="preserve">EL SUJETO OBLIGADO </w:t>
      </w:r>
      <w:r w:rsidRPr="00613C53">
        <w:rPr>
          <w:rFonts w:ascii="Palatino Linotype" w:eastAsia="Palatino Linotype" w:hAnsi="Palatino Linotype" w:cs="Palatino Linotype"/>
          <w:color w:val="000000"/>
        </w:rPr>
        <w:t xml:space="preserve">ha de </w:t>
      </w:r>
      <w:r w:rsidRPr="00613C53">
        <w:rPr>
          <w:rFonts w:ascii="Palatino Linotype" w:eastAsia="Palatino Linotype" w:hAnsi="Palatino Linotype" w:cs="Palatino Linotype"/>
          <w:b/>
          <w:color w:val="000000"/>
        </w:rPr>
        <w:t>entregar</w:t>
      </w:r>
      <w:r w:rsidRPr="00613C53">
        <w:rPr>
          <w:rFonts w:ascii="Palatino Linotype" w:eastAsia="Palatino Linotype" w:hAnsi="Palatino Linotype" w:cs="Palatino Linotype"/>
          <w:color w:val="000000"/>
        </w:rPr>
        <w:t xml:space="preserve"> en </w:t>
      </w:r>
      <w:r w:rsidRPr="00613C53">
        <w:rPr>
          <w:rFonts w:ascii="Palatino Linotype" w:eastAsia="Palatino Linotype" w:hAnsi="Palatino Linotype" w:cs="Palatino Linotype"/>
          <w:b/>
          <w:color w:val="000000"/>
        </w:rPr>
        <w:t>versión pública</w:t>
      </w:r>
      <w:r w:rsidRPr="00613C53">
        <w:rPr>
          <w:rFonts w:ascii="Palatino Linotype" w:eastAsia="Palatino Linotype" w:hAnsi="Palatino Linotype" w:cs="Palatino Linotype"/>
          <w:color w:val="000000"/>
        </w:rPr>
        <w:t>, se deberá omitir, eliminar o suprimir la información personal de los servidores públicos, como lo es (de manera enunciativa más no limitativa), el Registro Federal de Contribuyentes (RFC), Clave única de Registro de Población (CURP), clave del Instituto de Seguridad Social del Estado de México y Municipios (</w:t>
      </w:r>
      <w:proofErr w:type="spellStart"/>
      <w:r w:rsidRPr="00613C53">
        <w:rPr>
          <w:rFonts w:ascii="Palatino Linotype" w:eastAsia="Palatino Linotype" w:hAnsi="Palatino Linotype" w:cs="Palatino Linotype"/>
          <w:color w:val="000000"/>
        </w:rPr>
        <w:t>ISSEMyM</w:t>
      </w:r>
      <w:proofErr w:type="spellEnd"/>
      <w:r w:rsidRPr="00613C53">
        <w:rPr>
          <w:rFonts w:ascii="Palatino Linotype" w:eastAsia="Palatino Linotype" w:hAnsi="Palatino Linotype" w:cs="Palatino Linotype"/>
          <w:color w:val="000000"/>
        </w:rPr>
        <w:t xml:space="preserve">), los descuentos que se realicen por pensión alimenticia o deducciones estrictamente personales </w:t>
      </w:r>
      <w:r w:rsidRPr="00613C53">
        <w:rPr>
          <w:rFonts w:ascii="Palatino Linotype" w:eastAsia="Palatino Linotype" w:hAnsi="Palatino Linotype" w:cs="Palatino Linotype"/>
          <w:color w:val="000000"/>
        </w:rPr>
        <w:lastRenderedPageBreak/>
        <w:t>o de cualquier índole siempre que, no se encuentren relacionados con los impuestos o las cuotas por seguridad social, número de cuenta o cualquier otro dato que ponga en riesgo la vida, seguridad y salud de dichas personas.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613C53">
        <w:rPr>
          <w:rFonts w:ascii="Palatino Linotype" w:eastAsia="Palatino Linotype" w:hAnsi="Palatino Linotype" w:cs="Palatino Linotype"/>
          <w:color w:val="000000"/>
        </w:rPr>
        <w:t>homoclave</w:t>
      </w:r>
      <w:proofErr w:type="spellEnd"/>
      <w:r w:rsidRPr="00613C53">
        <w:rPr>
          <w:rFonts w:ascii="Palatino Linotype" w:eastAsia="Palatino Linotype" w:hAnsi="Palatino Linotype" w:cs="Palatino Linotype"/>
          <w:color w:val="000000"/>
        </w:rPr>
        <w:t>, la cual para su obtención es necesario acreditar personalidad con documentos oficiales.</w:t>
      </w:r>
    </w:p>
    <w:p w:rsidR="00A83BD3" w:rsidRPr="00613C53" w:rsidRDefault="00A83BD3">
      <w:pPr>
        <w:pBdr>
          <w:top w:val="nil"/>
          <w:left w:val="nil"/>
          <w:bottom w:val="nil"/>
          <w:right w:val="nil"/>
          <w:between w:val="nil"/>
        </w:pBdr>
        <w:ind w:left="720" w:right="-646"/>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color w:val="000000"/>
        </w:rPr>
        <w:t>Al respecto, es aplicable el Criterio 19/17 de la Segunda Época, emitido por el INAI, que dice:</w:t>
      </w:r>
      <w:r w:rsidRPr="00613C53">
        <w:rPr>
          <w:rFonts w:ascii="Palatino Linotype" w:eastAsia="Palatino Linotype" w:hAnsi="Palatino Linotype" w:cs="Palatino Linotype"/>
          <w:b/>
          <w:color w:val="000000"/>
        </w:rPr>
        <w:t xml:space="preserve"> </w:t>
      </w:r>
    </w:p>
    <w:p w:rsidR="00A83BD3" w:rsidRPr="00613C53" w:rsidRDefault="00F41D15">
      <w:pPr>
        <w:tabs>
          <w:tab w:val="left" w:pos="7655"/>
        </w:tabs>
        <w:ind w:left="851" w:right="-220"/>
        <w:jc w:val="both"/>
        <w:rPr>
          <w:rFonts w:ascii="Palatino Linotype" w:eastAsia="Palatino Linotype" w:hAnsi="Palatino Linotype" w:cs="Palatino Linotype"/>
          <w:i/>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Registro Federal de Contribuyentes (RFC) de personas físicas. El RFC es una clave</w:t>
      </w:r>
      <w:r w:rsidRPr="00613C53">
        <w:rPr>
          <w:rFonts w:ascii="Palatino Linotype" w:eastAsia="Palatino Linotype" w:hAnsi="Palatino Linotype" w:cs="Palatino Linotype"/>
          <w:i/>
          <w:sz w:val="22"/>
          <w:szCs w:val="22"/>
        </w:rPr>
        <w:t xml:space="preserve"> de carácter fiscal, única e irrepetible, </w:t>
      </w:r>
      <w:r w:rsidRPr="00613C53">
        <w:rPr>
          <w:rFonts w:ascii="Palatino Linotype" w:eastAsia="Palatino Linotype" w:hAnsi="Palatino Linotype" w:cs="Palatino Linotype"/>
          <w:b/>
          <w:i/>
          <w:sz w:val="22"/>
          <w:szCs w:val="22"/>
        </w:rPr>
        <w:t>que permite identificar al titular, su edad y fecha de nacimiento</w:t>
      </w:r>
      <w:r w:rsidRPr="00613C53">
        <w:rPr>
          <w:rFonts w:ascii="Palatino Linotype" w:eastAsia="Palatino Linotype" w:hAnsi="Palatino Linotype" w:cs="Palatino Linotype"/>
          <w:i/>
          <w:sz w:val="22"/>
          <w:szCs w:val="22"/>
        </w:rPr>
        <w:t xml:space="preserve">, por lo que </w:t>
      </w:r>
      <w:r w:rsidRPr="00613C53">
        <w:rPr>
          <w:rFonts w:ascii="Palatino Linotype" w:eastAsia="Palatino Linotype" w:hAnsi="Palatino Linotype" w:cs="Palatino Linotype"/>
          <w:b/>
          <w:i/>
          <w:sz w:val="22"/>
          <w:szCs w:val="22"/>
        </w:rPr>
        <w:t>es un dato personal de carácter confidencial</w:t>
      </w: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i/>
        </w:rPr>
        <w:t xml:space="preserve"> </w:t>
      </w:r>
    </w:p>
    <w:p w:rsidR="00A83BD3" w:rsidRPr="00613C53" w:rsidRDefault="00A83BD3">
      <w:pPr>
        <w:tabs>
          <w:tab w:val="left" w:pos="7655"/>
        </w:tabs>
        <w:ind w:left="851"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Por cuanto hace a la CURP</w:t>
      </w:r>
      <w:r w:rsidRPr="00613C53">
        <w:rPr>
          <w:rFonts w:ascii="Palatino Linotype" w:eastAsia="Palatino Linotype" w:hAnsi="Palatino Linotype" w:cs="Palatino Linotype"/>
          <w:b/>
          <w:color w:val="000000"/>
        </w:rPr>
        <w:t xml:space="preserve">, </w:t>
      </w:r>
      <w:r w:rsidRPr="00613C53">
        <w:rPr>
          <w:rFonts w:ascii="Palatino Linotype" w:eastAsia="Palatino Linotype" w:hAnsi="Palatino Linotype" w:cs="Palatino Linotype"/>
          <w:color w:val="000000"/>
        </w:rPr>
        <w:t>constituye un dato personal, que tiene como fin llevar registro de cada a cada una de las personas que integran la población del país, se tiene como sustento los artículos 86 y 91 de la Ley General de Población, la cual señala lo siguiente:</w:t>
      </w:r>
    </w:p>
    <w:p w:rsidR="00A83BD3" w:rsidRPr="00613C53" w:rsidRDefault="00F41D15">
      <w:pPr>
        <w:ind w:left="851"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 xml:space="preserve">Artículo 86. </w:t>
      </w:r>
      <w:r w:rsidRPr="00613C53">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rsidR="00A83BD3" w:rsidRPr="00613C53" w:rsidRDefault="00F41D15">
      <w:pPr>
        <w:ind w:left="851" w:right="-79"/>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Artículo 91. Al incorporar a una persona en el Registro Nacional de Población</w:t>
      </w:r>
      <w:r w:rsidRPr="00613C53">
        <w:rPr>
          <w:rFonts w:ascii="Palatino Linotype" w:eastAsia="Palatino Linotype" w:hAnsi="Palatino Linotype" w:cs="Palatino Linotype"/>
          <w:i/>
          <w:sz w:val="22"/>
          <w:szCs w:val="22"/>
        </w:rPr>
        <w:t xml:space="preserve">, se le asignará una clave </w:t>
      </w:r>
      <w:r w:rsidRPr="00613C53">
        <w:rPr>
          <w:rFonts w:ascii="Palatino Linotype" w:eastAsia="Palatino Linotype" w:hAnsi="Palatino Linotype" w:cs="Palatino Linotype"/>
          <w:b/>
          <w:i/>
          <w:sz w:val="22"/>
          <w:szCs w:val="22"/>
        </w:rPr>
        <w:t>que se denominará Clave Única de Registro de Población</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rPr>
        <w:t>Esta servirá para</w:t>
      </w:r>
      <w:r w:rsidRPr="00613C53">
        <w:rPr>
          <w:rFonts w:ascii="Palatino Linotype" w:eastAsia="Palatino Linotype" w:hAnsi="Palatino Linotype" w:cs="Palatino Linotype"/>
          <w:i/>
          <w:sz w:val="22"/>
          <w:szCs w:val="22"/>
        </w:rPr>
        <w:t xml:space="preserve"> registrarla e </w:t>
      </w:r>
      <w:r w:rsidRPr="00613C53">
        <w:rPr>
          <w:rFonts w:ascii="Palatino Linotype" w:eastAsia="Palatino Linotype" w:hAnsi="Palatino Linotype" w:cs="Palatino Linotype"/>
          <w:b/>
          <w:i/>
          <w:sz w:val="22"/>
          <w:szCs w:val="22"/>
        </w:rPr>
        <w:t>identificarla en forma individual</w:t>
      </w:r>
      <w:r w:rsidRPr="00613C53">
        <w:rPr>
          <w:rFonts w:ascii="Palatino Linotype" w:eastAsia="Palatino Linotype" w:hAnsi="Palatino Linotype" w:cs="Palatino Linotype"/>
          <w:i/>
          <w:sz w:val="22"/>
          <w:szCs w:val="22"/>
        </w:rPr>
        <w:t xml:space="preserve">.” </w:t>
      </w:r>
    </w:p>
    <w:p w:rsidR="00A83BD3" w:rsidRPr="00613C53" w:rsidRDefault="00F41D15">
      <w:pPr>
        <w:spacing w:after="240"/>
        <w:ind w:left="851" w:right="-79"/>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sz w:val="22"/>
          <w:szCs w:val="22"/>
        </w:rPr>
        <w:t>(Énfasis añadido)</w:t>
      </w:r>
    </w:p>
    <w:p w:rsidR="00A83BD3" w:rsidRPr="00613C53" w:rsidRDefault="00A83BD3">
      <w:pPr>
        <w:ind w:left="851"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Al respecto, el INAI, a través del Criterio 18/17 de la Segunda Época, señala lo siguiente:</w:t>
      </w:r>
    </w:p>
    <w:p w:rsidR="00A83BD3" w:rsidRPr="00613C53" w:rsidRDefault="00F41D15">
      <w:pPr>
        <w:ind w:left="851" w:right="-79"/>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Clave Única de Registro de Población (CURP).</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613C53">
        <w:rPr>
          <w:rFonts w:ascii="Palatino Linotype" w:eastAsia="Palatino Linotype" w:hAnsi="Palatino Linotype" w:cs="Palatino Linotype"/>
          <w:i/>
          <w:sz w:val="22"/>
          <w:szCs w:val="22"/>
        </w:rPr>
        <w:t xml:space="preserve"> de la misma, </w:t>
      </w:r>
      <w:r w:rsidRPr="00613C53">
        <w:rPr>
          <w:rFonts w:ascii="Palatino Linotype" w:eastAsia="Palatino Linotype" w:hAnsi="Palatino Linotype" w:cs="Palatino Linotype"/>
          <w:b/>
          <w:i/>
          <w:sz w:val="22"/>
          <w:szCs w:val="22"/>
        </w:rPr>
        <w:t xml:space="preserve">como lo son su nombre, apellidos, fecha de nacimiento, lugar de </w:t>
      </w:r>
      <w:r w:rsidRPr="00613C53">
        <w:rPr>
          <w:rFonts w:ascii="Palatino Linotype" w:eastAsia="Palatino Linotype" w:hAnsi="Palatino Linotype" w:cs="Palatino Linotype"/>
          <w:b/>
          <w:i/>
          <w:sz w:val="22"/>
          <w:szCs w:val="22"/>
        </w:rPr>
        <w:lastRenderedPageBreak/>
        <w:t>nacimiento y sexo</w:t>
      </w:r>
      <w:r w:rsidRPr="00613C53">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613C53">
        <w:rPr>
          <w:rFonts w:ascii="Palatino Linotype" w:eastAsia="Palatino Linotype" w:hAnsi="Palatino Linotype" w:cs="Palatino Linotype"/>
          <w:b/>
          <w:i/>
          <w:sz w:val="22"/>
          <w:szCs w:val="22"/>
        </w:rPr>
        <w:t>por lo que la CURP está considerada como información confidencial</w:t>
      </w:r>
      <w:r w:rsidRPr="00613C53">
        <w:rPr>
          <w:rFonts w:ascii="Palatino Linotype" w:eastAsia="Palatino Linotype" w:hAnsi="Palatino Linotype" w:cs="Palatino Linotype"/>
          <w:i/>
          <w:sz w:val="22"/>
          <w:szCs w:val="22"/>
        </w:rPr>
        <w:t xml:space="preserve">. ” </w:t>
      </w:r>
    </w:p>
    <w:p w:rsidR="00A83BD3" w:rsidRPr="00613C53" w:rsidRDefault="00A83BD3">
      <w:pPr>
        <w:ind w:left="851"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Por cuanto hace a la Clave de cualquier tipo de seguridad social,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w:t>
      </w:r>
      <w:r w:rsidRPr="00613C53">
        <w:rPr>
          <w:rFonts w:ascii="Palatino Linotype" w:eastAsia="Palatino Linotype" w:hAnsi="Palatino Linotype" w:cs="Palatino Linotype"/>
          <w:color w:val="000000"/>
        </w:rPr>
        <w:lastRenderedPageBreak/>
        <w:t xml:space="preserve">en virtud de no favorecer en la transparencia y rendición de cuentas, sino, por el contrario, con ello se </w:t>
      </w:r>
      <w:r w:rsidRPr="00613C53">
        <w:rPr>
          <w:rFonts w:ascii="Palatino Linotype" w:eastAsia="Palatino Linotype" w:hAnsi="Palatino Linotype" w:cs="Palatino Linotype"/>
        </w:rPr>
        <w:t>violentaba</w:t>
      </w:r>
      <w:r w:rsidRPr="00613C53">
        <w:rPr>
          <w:rFonts w:ascii="Palatino Linotype" w:eastAsia="Palatino Linotype" w:hAnsi="Palatino Linotype" w:cs="Palatino Linotype"/>
          <w:color w:val="000000"/>
        </w:rPr>
        <w:t xml:space="preserve"> la protección de información confidencial, porque incide en la intimidad de un individuo identificado.</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Por su parte, el artículo 84 de la Ley del Trabajo de los Servidores Públicos del Estado y Municipios, señala:</w:t>
      </w:r>
    </w:p>
    <w:p w:rsidR="00A83BD3" w:rsidRPr="00613C53" w:rsidRDefault="00A83BD3">
      <w:pPr>
        <w:ind w:right="-646"/>
        <w:jc w:val="both"/>
        <w:rPr>
          <w:rFonts w:ascii="Palatino Linotype" w:eastAsia="Palatino Linotype" w:hAnsi="Palatino Linotype" w:cs="Palatino Linotype"/>
        </w:rPr>
      </w:pPr>
    </w:p>
    <w:p w:rsidR="00A83BD3" w:rsidRPr="00613C53" w:rsidRDefault="00F41D15">
      <w:pPr>
        <w:ind w:left="851" w:right="-220"/>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ARTÍCULO 84. Sólo podrán hacerse retenciones, descuentos o deducciones al sueldo de los servidores públicos por concepto de:</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I. Gravámenes fiscales relacionados con el sueldo;</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II. Deudas contraídas con las instituciones públicas o dependencias</w:t>
      </w:r>
      <w:r w:rsidRPr="00613C53">
        <w:rPr>
          <w:rFonts w:ascii="Palatino Linotype" w:eastAsia="Palatino Linotype" w:hAnsi="Palatino Linotype" w:cs="Palatino Linotype"/>
          <w:i/>
          <w:sz w:val="22"/>
          <w:szCs w:val="22"/>
        </w:rPr>
        <w:t xml:space="preserve"> por concepto de anticipos de sueldo, pagos hechos con exceso, errores o pérdidas debidamente comprobados;</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III. Cuotas sindicales</w:t>
      </w:r>
      <w:r w:rsidRPr="00613C53">
        <w:rPr>
          <w:rFonts w:ascii="Palatino Linotype" w:eastAsia="Palatino Linotype" w:hAnsi="Palatino Linotype" w:cs="Palatino Linotype"/>
          <w:i/>
          <w:sz w:val="22"/>
          <w:szCs w:val="22"/>
        </w:rPr>
        <w:t>;</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A83BD3" w:rsidRPr="00613C53" w:rsidRDefault="00F41D15">
      <w:pPr>
        <w:ind w:left="851" w:right="-220"/>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VI. Obligaciones a cargo del servidor público con las que haya consentido</w:t>
      </w:r>
      <w:r w:rsidRPr="00613C53">
        <w:rPr>
          <w:rFonts w:ascii="Palatino Linotype" w:eastAsia="Palatino Linotype" w:hAnsi="Palatino Linotype" w:cs="Palatino Linotype"/>
          <w:i/>
          <w:sz w:val="22"/>
          <w:szCs w:val="22"/>
        </w:rPr>
        <w:t>, derivadas de la adquisición o del uso de habitaciones consideradas como de interés social;</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VII. Faltas de puntualidad o de asistencia injustificadas;</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VIII. Pensiones alimenticias ordenadas por la autoridad judicial;</w:t>
      </w:r>
      <w:r w:rsidRPr="00613C53">
        <w:rPr>
          <w:rFonts w:ascii="Palatino Linotype" w:eastAsia="Palatino Linotype" w:hAnsi="Palatino Linotype" w:cs="Palatino Linotype"/>
          <w:i/>
          <w:sz w:val="22"/>
          <w:szCs w:val="22"/>
        </w:rPr>
        <w:t xml:space="preserve"> o</w:t>
      </w:r>
    </w:p>
    <w:p w:rsidR="00A83BD3" w:rsidRPr="00613C53" w:rsidRDefault="00F41D15">
      <w:pPr>
        <w:ind w:left="851" w:right="-220"/>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IX. Cualquier otro convenido con instituciones de servicios y aceptado por el servidor público.</w:t>
      </w:r>
    </w:p>
    <w:p w:rsidR="00A83BD3" w:rsidRPr="00613C53" w:rsidRDefault="00F41D15">
      <w:pPr>
        <w:ind w:left="851" w:right="-220"/>
        <w:jc w:val="both"/>
        <w:rPr>
          <w:rFonts w:ascii="Palatino Linotype" w:eastAsia="Palatino Linotype" w:hAnsi="Palatino Linotype" w:cs="Palatino Linotype"/>
          <w:sz w:val="22"/>
          <w:szCs w:val="22"/>
        </w:rPr>
      </w:pPr>
      <w:r w:rsidRPr="00613C53">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A83BD3" w:rsidRPr="00613C53" w:rsidRDefault="00A83BD3">
      <w:pPr>
        <w:spacing w:before="240"/>
        <w:ind w:left="851"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 xml:space="preserve">En atención a lo anterior, la ley establece claramente cuáles son esos descuentos o gravámenes que directamente se relacionan con las obligaciones adquiridas como servidores públicos y aquéllos que </w:t>
      </w:r>
      <w:r w:rsidRPr="00613C53">
        <w:rPr>
          <w:rFonts w:ascii="Palatino Linotype" w:eastAsia="Palatino Linotype" w:hAnsi="Palatino Linotype" w:cs="Palatino Linotype"/>
          <w:b/>
          <w:color w:val="000000"/>
        </w:rPr>
        <w:t>únicamente inciden en su vida privada</w:t>
      </w:r>
      <w:r w:rsidRPr="00613C53">
        <w:rPr>
          <w:rFonts w:ascii="Palatino Linotype" w:eastAsia="Palatino Linotype" w:hAnsi="Palatino Linotype" w:cs="Palatino Linotype"/>
          <w:color w:val="000000"/>
        </w:rPr>
        <w:t>. De este modo, descuentos por pensiones alimenticias o créditos adquiridos con instituciones privadas o públicas pero que fueron contraídas en forma individual, son información que debe clasificarse como confidencial.</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No obstante, esta Autoridad reitera que </w:t>
      </w:r>
      <w:r w:rsidRPr="00613C53">
        <w:rPr>
          <w:rFonts w:ascii="Palatino Linotype" w:eastAsia="Palatino Linotype" w:hAnsi="Palatino Linotype" w:cs="Palatino Linotype"/>
          <w:b/>
          <w:color w:val="000000"/>
        </w:rPr>
        <w:t>EL SUJETO OBLIGADO</w:t>
      </w:r>
      <w:r w:rsidRPr="00613C53">
        <w:rPr>
          <w:rFonts w:ascii="Palatino Linotype" w:eastAsia="Palatino Linotype" w:hAnsi="Palatino Linotype" w:cs="Palatino Linotype"/>
          <w:color w:val="000000"/>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Al mismo tiempo, </w:t>
      </w:r>
      <w:r w:rsidRPr="00613C53">
        <w:rPr>
          <w:rFonts w:ascii="Palatino Linotype" w:eastAsia="Palatino Linotype" w:hAnsi="Palatino Linotype" w:cs="Palatino Linotype"/>
          <w:b/>
          <w:color w:val="000000"/>
        </w:rPr>
        <w:t>EL SUJETO OBLIGADO</w:t>
      </w:r>
      <w:r w:rsidRPr="00613C53">
        <w:rPr>
          <w:rFonts w:ascii="Palatino Linotype" w:eastAsia="Palatino Linotype" w:hAnsi="Palatino Linotype" w:cs="Palatino Linotype"/>
          <w:color w:val="000000"/>
        </w:rPr>
        <w:t xml:space="preserve"> deberá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83BD3" w:rsidRPr="00613C53" w:rsidRDefault="00F41D15">
      <w:pPr>
        <w:ind w:left="851" w:right="-220"/>
        <w:jc w:val="center"/>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Ley de Transparencia y Acceso a la Información Pública del Estado de México y Municipios</w:t>
      </w:r>
    </w:p>
    <w:p w:rsidR="00A83BD3" w:rsidRPr="00613C53" w:rsidRDefault="00A83BD3">
      <w:pPr>
        <w:ind w:left="851" w:right="-220"/>
        <w:jc w:val="center"/>
        <w:rPr>
          <w:rFonts w:ascii="Palatino Linotype" w:eastAsia="Palatino Linotype" w:hAnsi="Palatino Linotype" w:cs="Palatino Linotype"/>
          <w:b/>
          <w:i/>
          <w:sz w:val="22"/>
          <w:szCs w:val="22"/>
        </w:rPr>
      </w:pP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lastRenderedPageBreak/>
        <w:t>“</w:t>
      </w:r>
      <w:r w:rsidRPr="00613C53">
        <w:rPr>
          <w:rFonts w:ascii="Palatino Linotype" w:eastAsia="Palatino Linotype" w:hAnsi="Palatino Linotype" w:cs="Palatino Linotype"/>
          <w:b/>
          <w:i/>
          <w:sz w:val="22"/>
          <w:szCs w:val="22"/>
        </w:rPr>
        <w:t xml:space="preserve">Artículo 49. </w:t>
      </w:r>
      <w:r w:rsidRPr="00613C53">
        <w:rPr>
          <w:rFonts w:ascii="Palatino Linotype" w:eastAsia="Palatino Linotype" w:hAnsi="Palatino Linotype" w:cs="Palatino Linotype"/>
          <w:i/>
          <w:sz w:val="22"/>
          <w:szCs w:val="22"/>
        </w:rPr>
        <w:t>Los Comités de Transparencia tendrán las siguientes atribuciones:</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VIII.</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rPr>
        <w:t>Aprobar</w:t>
      </w:r>
      <w:r w:rsidRPr="00613C53">
        <w:rPr>
          <w:rFonts w:ascii="Palatino Linotype" w:eastAsia="Palatino Linotype" w:hAnsi="Palatino Linotype" w:cs="Palatino Linotype"/>
          <w:i/>
          <w:sz w:val="22"/>
          <w:szCs w:val="22"/>
        </w:rPr>
        <w:t>, modificar o revocar la clasificación de la información;</w:t>
      </w:r>
    </w:p>
    <w:p w:rsidR="00A83BD3" w:rsidRPr="00613C53" w:rsidRDefault="00F41D15">
      <w:pPr>
        <w:ind w:left="851" w:right="-220"/>
        <w:jc w:val="both"/>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Artículo 132.</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rPr>
        <w:t>La clasificación de la información se llevará a cabo en el momento en que:</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II.</w:t>
      </w:r>
      <w:r w:rsidRPr="00613C53">
        <w:rPr>
          <w:rFonts w:ascii="Palatino Linotype" w:eastAsia="Palatino Linotype" w:hAnsi="Palatino Linotype" w:cs="Palatino Linotype"/>
          <w:i/>
          <w:sz w:val="22"/>
          <w:szCs w:val="22"/>
        </w:rPr>
        <w:t xml:space="preserve"> Se determine mediante resolución de autoridad competente; o</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III</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rPr>
        <w:t>Se generen versiones públicas para dar cumplimiento a las obligaciones de transparencia previstas en esta Ley</w:t>
      </w:r>
      <w:r w:rsidRPr="00613C53">
        <w:rPr>
          <w:rFonts w:ascii="Palatino Linotype" w:eastAsia="Palatino Linotype" w:hAnsi="Palatino Linotype" w:cs="Palatino Linotype"/>
          <w:i/>
          <w:sz w:val="22"/>
          <w:szCs w:val="22"/>
        </w:rPr>
        <w:t>.”</w:t>
      </w:r>
    </w:p>
    <w:p w:rsidR="00A83BD3" w:rsidRPr="00613C53" w:rsidRDefault="00A83BD3">
      <w:pPr>
        <w:ind w:left="851" w:right="-220"/>
        <w:jc w:val="both"/>
        <w:rPr>
          <w:rFonts w:ascii="Palatino Linotype" w:eastAsia="Palatino Linotype" w:hAnsi="Palatino Linotype" w:cs="Palatino Linotype"/>
          <w:i/>
          <w:sz w:val="22"/>
          <w:szCs w:val="22"/>
        </w:rPr>
      </w:pPr>
    </w:p>
    <w:p w:rsidR="00A83BD3" w:rsidRPr="00613C53" w:rsidRDefault="00F41D15">
      <w:pPr>
        <w:ind w:left="851" w:right="-220"/>
        <w:jc w:val="center"/>
        <w:rPr>
          <w:rFonts w:ascii="Palatino Linotype" w:eastAsia="Palatino Linotype" w:hAnsi="Palatino Linotype" w:cs="Palatino Linotype"/>
          <w:b/>
          <w:i/>
          <w:sz w:val="22"/>
          <w:szCs w:val="22"/>
        </w:rPr>
      </w:pPr>
      <w:r w:rsidRPr="00613C53">
        <w:rPr>
          <w:rFonts w:ascii="Palatino Linotype" w:eastAsia="Palatino Linotype" w:hAnsi="Palatino Linotype" w:cs="Palatino Linotype"/>
          <w:b/>
          <w:i/>
          <w:sz w:val="22"/>
          <w:szCs w:val="22"/>
        </w:rPr>
        <w:t>Lineamientos Generales en materia de Clasificación y Desclasificación de la Información</w:t>
      </w:r>
    </w:p>
    <w:p w:rsidR="00A83BD3" w:rsidRPr="00613C53" w:rsidRDefault="00A83BD3">
      <w:pPr>
        <w:ind w:left="851" w:right="-220"/>
        <w:jc w:val="center"/>
        <w:rPr>
          <w:rFonts w:ascii="Palatino Linotype" w:eastAsia="Palatino Linotype" w:hAnsi="Palatino Linotype" w:cs="Palatino Linotype"/>
          <w:b/>
          <w:i/>
          <w:sz w:val="22"/>
          <w:szCs w:val="22"/>
        </w:rPr>
      </w:pP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w:t>
      </w:r>
      <w:r w:rsidRPr="00613C53">
        <w:rPr>
          <w:rFonts w:ascii="Palatino Linotype" w:eastAsia="Palatino Linotype" w:hAnsi="Palatino Linotype" w:cs="Palatino Linotype"/>
          <w:b/>
          <w:i/>
          <w:sz w:val="22"/>
          <w:szCs w:val="22"/>
        </w:rPr>
        <w:t>Segundo.-</w:t>
      </w:r>
      <w:r w:rsidRPr="00613C53">
        <w:rPr>
          <w:rFonts w:ascii="Palatino Linotype" w:eastAsia="Palatino Linotype" w:hAnsi="Palatino Linotype" w:cs="Palatino Linotype"/>
          <w:i/>
          <w:sz w:val="22"/>
          <w:szCs w:val="22"/>
        </w:rPr>
        <w:t xml:space="preserve"> Para efectos de los presentes Lineamientos Generales, se entenderá por:</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XVIII.</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rPr>
        <w:t>Versión pública:</w:t>
      </w:r>
      <w:r w:rsidRPr="00613C5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13C53">
        <w:rPr>
          <w:rFonts w:ascii="Palatino Linotype" w:eastAsia="Palatino Linotype" w:hAnsi="Palatino Linotype" w:cs="Palatino Linotype"/>
          <w:b/>
          <w:i/>
          <w:sz w:val="22"/>
          <w:szCs w:val="22"/>
        </w:rPr>
        <w:t>fundando y motivando la</w:t>
      </w:r>
      <w:r w:rsidRPr="00613C53">
        <w:rPr>
          <w:rFonts w:ascii="Palatino Linotype" w:eastAsia="Palatino Linotype" w:hAnsi="Palatino Linotype" w:cs="Palatino Linotype"/>
          <w:i/>
          <w:sz w:val="22"/>
          <w:szCs w:val="22"/>
        </w:rPr>
        <w:t xml:space="preserve"> reserva o </w:t>
      </w:r>
      <w:r w:rsidRPr="00613C53">
        <w:rPr>
          <w:rFonts w:ascii="Palatino Linotype" w:eastAsia="Palatino Linotype" w:hAnsi="Palatino Linotype" w:cs="Palatino Linotype"/>
          <w:b/>
          <w:i/>
          <w:sz w:val="22"/>
          <w:szCs w:val="22"/>
        </w:rPr>
        <w:t>confidencialidad</w:t>
      </w:r>
      <w:r w:rsidRPr="00613C53">
        <w:rPr>
          <w:rFonts w:ascii="Palatino Linotype" w:eastAsia="Palatino Linotype" w:hAnsi="Palatino Linotype" w:cs="Palatino Linotype"/>
          <w:i/>
          <w:sz w:val="22"/>
          <w:szCs w:val="22"/>
        </w:rPr>
        <w:t>, a través de la resolución que para tal efecto emita el Comité de Transparencia.</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Cuarto.</w:t>
      </w:r>
      <w:r w:rsidRPr="00613C53">
        <w:rPr>
          <w:rFonts w:ascii="Palatino Linotype" w:eastAsia="Palatino Linotype" w:hAnsi="Palatino Linotype" w:cs="Palatino Linotype"/>
          <w:i/>
          <w:sz w:val="22"/>
          <w:szCs w:val="22"/>
        </w:rPr>
        <w:t xml:space="preserve"> </w:t>
      </w:r>
      <w:r w:rsidRPr="00613C53">
        <w:rPr>
          <w:rFonts w:ascii="Palatino Linotype" w:eastAsia="Palatino Linotype" w:hAnsi="Palatino Linotype" w:cs="Palatino Linotype"/>
          <w:b/>
          <w:i/>
          <w:sz w:val="22"/>
          <w:szCs w:val="22"/>
        </w:rPr>
        <w:t>Para clasificar la información como</w:t>
      </w:r>
      <w:r w:rsidRPr="00613C53">
        <w:rPr>
          <w:rFonts w:ascii="Palatino Linotype" w:eastAsia="Palatino Linotype" w:hAnsi="Palatino Linotype" w:cs="Palatino Linotype"/>
          <w:i/>
          <w:sz w:val="22"/>
          <w:szCs w:val="22"/>
        </w:rPr>
        <w:t xml:space="preserve"> reservada o </w:t>
      </w:r>
      <w:r w:rsidRPr="00613C53">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613C53">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A83BD3" w:rsidRPr="00613C53" w:rsidRDefault="00A83BD3">
      <w:pPr>
        <w:ind w:left="851" w:right="-220"/>
        <w:jc w:val="both"/>
        <w:rPr>
          <w:rFonts w:ascii="Palatino Linotype" w:eastAsia="Palatino Linotype" w:hAnsi="Palatino Linotype" w:cs="Palatino Linotype"/>
          <w:i/>
          <w:sz w:val="22"/>
          <w:szCs w:val="22"/>
        </w:rPr>
      </w:pP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Quinto.</w:t>
      </w:r>
      <w:r w:rsidRPr="00613C5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83BD3" w:rsidRPr="00613C53" w:rsidRDefault="00A83BD3">
      <w:pPr>
        <w:ind w:left="851" w:right="-220"/>
        <w:jc w:val="both"/>
        <w:rPr>
          <w:rFonts w:ascii="Palatino Linotype" w:eastAsia="Palatino Linotype" w:hAnsi="Palatino Linotype" w:cs="Palatino Linotype"/>
          <w:i/>
          <w:sz w:val="22"/>
          <w:szCs w:val="22"/>
        </w:rPr>
      </w:pP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Sexto.</w:t>
      </w:r>
      <w:r w:rsidRPr="00613C53">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rsidR="00A83BD3" w:rsidRPr="00613C53" w:rsidRDefault="00A83BD3">
      <w:pPr>
        <w:ind w:left="851" w:right="-220"/>
        <w:jc w:val="both"/>
        <w:rPr>
          <w:rFonts w:ascii="Palatino Linotype" w:eastAsia="Palatino Linotype" w:hAnsi="Palatino Linotype" w:cs="Palatino Linotype"/>
          <w:i/>
          <w:sz w:val="22"/>
          <w:szCs w:val="22"/>
        </w:rPr>
      </w:pP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Séptimo.</w:t>
      </w:r>
      <w:r w:rsidRPr="00613C53">
        <w:rPr>
          <w:rFonts w:ascii="Palatino Linotype" w:eastAsia="Palatino Linotype" w:hAnsi="Palatino Linotype" w:cs="Palatino Linotype"/>
          <w:i/>
          <w:sz w:val="22"/>
          <w:szCs w:val="22"/>
        </w:rPr>
        <w:t xml:space="preserve"> La clasificación de la información se llevará a cabo en el momento en que:</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w:t>
      </w:r>
      <w:r w:rsidRPr="00613C53">
        <w:rPr>
          <w:rFonts w:ascii="Palatino Linotype" w:eastAsia="Palatino Linotype" w:hAnsi="Palatino Linotype" w:cs="Palatino Linotype"/>
          <w:i/>
          <w:sz w:val="22"/>
          <w:szCs w:val="22"/>
        </w:rPr>
        <w:t xml:space="preserve"> Se reciba una solicitud de acceso a la información;</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II.</w:t>
      </w:r>
      <w:r w:rsidRPr="00613C53">
        <w:rPr>
          <w:rFonts w:ascii="Palatino Linotype" w:eastAsia="Palatino Linotype" w:hAnsi="Palatino Linotype" w:cs="Palatino Linotype"/>
          <w:i/>
          <w:sz w:val="22"/>
          <w:szCs w:val="22"/>
        </w:rPr>
        <w:t xml:space="preserve"> Se determine mediante resolución de autoridad competente, o</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III.</w:t>
      </w:r>
      <w:r w:rsidRPr="00613C5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A83BD3" w:rsidRPr="00613C53" w:rsidRDefault="00A83BD3">
      <w:pPr>
        <w:ind w:left="851" w:right="-220"/>
        <w:jc w:val="both"/>
        <w:rPr>
          <w:rFonts w:ascii="Palatino Linotype" w:eastAsia="Palatino Linotype" w:hAnsi="Palatino Linotype" w:cs="Palatino Linotype"/>
          <w:i/>
          <w:sz w:val="22"/>
          <w:szCs w:val="22"/>
        </w:rPr>
      </w:pP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Octavo.</w:t>
      </w:r>
      <w:r w:rsidRPr="00613C5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A83BD3" w:rsidRPr="00613C53" w:rsidRDefault="00A83BD3">
      <w:pPr>
        <w:ind w:left="851" w:right="-220"/>
        <w:jc w:val="both"/>
        <w:rPr>
          <w:rFonts w:ascii="Palatino Linotype" w:eastAsia="Palatino Linotype" w:hAnsi="Palatino Linotype" w:cs="Palatino Linotype"/>
          <w:i/>
          <w:sz w:val="22"/>
          <w:szCs w:val="22"/>
        </w:rPr>
      </w:pP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A83BD3" w:rsidRPr="00613C53" w:rsidRDefault="00A83BD3">
      <w:pPr>
        <w:ind w:left="851" w:right="-220"/>
        <w:jc w:val="both"/>
        <w:rPr>
          <w:rFonts w:ascii="Palatino Linotype" w:eastAsia="Palatino Linotype" w:hAnsi="Palatino Linotype" w:cs="Palatino Linotype"/>
          <w:i/>
          <w:sz w:val="22"/>
          <w:szCs w:val="22"/>
        </w:rPr>
      </w:pP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Noveno.</w:t>
      </w:r>
      <w:r w:rsidRPr="00613C5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83BD3" w:rsidRPr="00613C53" w:rsidRDefault="00A83BD3">
      <w:pPr>
        <w:ind w:left="851" w:right="-220"/>
        <w:jc w:val="both"/>
        <w:rPr>
          <w:rFonts w:ascii="Palatino Linotype" w:eastAsia="Palatino Linotype" w:hAnsi="Palatino Linotype" w:cs="Palatino Linotype"/>
          <w:i/>
          <w:sz w:val="22"/>
          <w:szCs w:val="22"/>
        </w:rPr>
      </w:pP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Décimo.</w:t>
      </w:r>
      <w:r w:rsidRPr="00613C5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rsidR="00A83BD3" w:rsidRPr="00613C53" w:rsidRDefault="00A83BD3">
      <w:pPr>
        <w:ind w:left="851" w:right="-220"/>
        <w:jc w:val="both"/>
        <w:rPr>
          <w:rFonts w:ascii="Palatino Linotype" w:eastAsia="Palatino Linotype" w:hAnsi="Palatino Linotype" w:cs="Palatino Linotype"/>
          <w:i/>
          <w:sz w:val="22"/>
          <w:szCs w:val="22"/>
        </w:rPr>
      </w:pPr>
    </w:p>
    <w:p w:rsidR="00A83BD3" w:rsidRPr="00613C53" w:rsidRDefault="00F41D15">
      <w:pPr>
        <w:ind w:left="851"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Décimo primero.</w:t>
      </w:r>
      <w:r w:rsidRPr="00613C5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Ahora bien, tal como se precisó en párrafos anteriores, </w:t>
      </w:r>
      <w:r w:rsidRPr="00613C53">
        <w:rPr>
          <w:rFonts w:ascii="Palatino Linotype" w:eastAsia="Palatino Linotype" w:hAnsi="Palatino Linotype" w:cs="Palatino Linotype"/>
          <w:b/>
          <w:color w:val="000000"/>
        </w:rPr>
        <w:t xml:space="preserve">los datos de servidores públicos, entre los que se encuentran el nombre de los trabajadores, por regla general, </w:t>
      </w:r>
      <w:r w:rsidRPr="00613C53">
        <w:rPr>
          <w:rFonts w:ascii="Palatino Linotype" w:eastAsia="Palatino Linotype" w:hAnsi="Palatino Linotype" w:cs="Palatino Linotype"/>
          <w:color w:val="000000"/>
        </w:rPr>
        <w:t>son de naturaleza pública, ya que su publicidad orienta a cumplir los objetivos que persigue la Ley.</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No obstante,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rsidR="00A83BD3" w:rsidRPr="00613C53" w:rsidRDefault="00F41D15">
      <w:pPr>
        <w:tabs>
          <w:tab w:val="left" w:pos="4962"/>
        </w:tabs>
        <w:ind w:left="566" w:right="-220"/>
        <w:jc w:val="both"/>
        <w:rPr>
          <w:rFonts w:ascii="Palatino Linotype" w:eastAsia="Palatino Linotype" w:hAnsi="Palatino Linotype" w:cs="Palatino Linotype"/>
          <w:i/>
          <w:sz w:val="22"/>
          <w:szCs w:val="22"/>
        </w:rPr>
      </w:pPr>
      <w:r w:rsidRPr="00613C53">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613C53">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w:t>
      </w:r>
      <w:r w:rsidRPr="00613C53">
        <w:rPr>
          <w:rFonts w:ascii="Palatino Linotype" w:eastAsia="Palatino Linotype" w:hAnsi="Palatino Linotype" w:cs="Palatino Linotype"/>
          <w:i/>
          <w:sz w:val="22"/>
          <w:szCs w:val="22"/>
        </w:rPr>
        <w:lastRenderedPageBreak/>
        <w:t>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A83BD3" w:rsidRPr="00613C53" w:rsidRDefault="00A83BD3">
      <w:pPr>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En ese orden de ideas, si bien por regla general los nombres de los trabajadores gubernamentales son información pública de oficio, existe una excepción relativa a </w:t>
      </w:r>
      <w:r w:rsidRPr="00613C53">
        <w:rPr>
          <w:rFonts w:ascii="Palatino Linotype" w:eastAsia="Palatino Linotype" w:hAnsi="Palatino Linotype" w:cs="Palatino Linotype"/>
          <w:b/>
          <w:color w:val="000000"/>
        </w:rPr>
        <w:t>aquellos que realicen actividades operativas en materia de seguridad,</w:t>
      </w:r>
      <w:r w:rsidRPr="00613C53">
        <w:rPr>
          <w:rFonts w:ascii="Palatino Linotype" w:eastAsia="Palatino Linotype" w:hAnsi="Palatino Linotype" w:cs="Palatino Linotype"/>
          <w:color w:val="000000"/>
        </w:rPr>
        <w:t xml:space="preserve"> como es el caso de los elementos operativos y la policía municipal.</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En ese contexto, el artículo 6, fracciones XI y XII de dicho ordenamiento jurídico, establece los siguientes conceptos: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9"/>
        </w:numPr>
        <w:pBdr>
          <w:top w:val="nil"/>
          <w:left w:val="nil"/>
          <w:bottom w:val="nil"/>
          <w:right w:val="nil"/>
          <w:between w:val="nil"/>
        </w:pBdr>
        <w:spacing w:line="360" w:lineRule="auto"/>
        <w:ind w:right="-79"/>
        <w:jc w:val="both"/>
        <w:rPr>
          <w:rFonts w:ascii="Palatino Linotype" w:eastAsia="Palatino Linotype" w:hAnsi="Palatino Linotype" w:cs="Palatino Linotype"/>
          <w:b/>
          <w:color w:val="000000"/>
          <w:sz w:val="22"/>
          <w:szCs w:val="22"/>
        </w:rPr>
      </w:pPr>
      <w:r w:rsidRPr="00613C53">
        <w:rPr>
          <w:rFonts w:ascii="Palatino Linotype" w:eastAsia="Palatino Linotype" w:hAnsi="Palatino Linotype" w:cs="Palatino Linotype"/>
          <w:b/>
          <w:color w:val="000000"/>
          <w:sz w:val="22"/>
          <w:szCs w:val="22"/>
        </w:rPr>
        <w:t xml:space="preserve">Instituciones Policiales: </w:t>
      </w:r>
      <w:r w:rsidRPr="00613C53">
        <w:rPr>
          <w:rFonts w:ascii="Palatino Linotype" w:eastAsia="Palatino Linotype" w:hAnsi="Palatino Linotype" w:cs="Palatino Linotype"/>
          <w:color w:val="000000"/>
          <w:sz w:val="22"/>
          <w:szCs w:val="22"/>
        </w:rPr>
        <w:t xml:space="preserve">Son los cuerpos de policía, de vigilancia y custodia de los establecimientos penitenciarios, detención preventiva, centros de arraigo y en general, </w:t>
      </w:r>
      <w:r w:rsidRPr="00613C53">
        <w:rPr>
          <w:rFonts w:ascii="Palatino Linotype" w:eastAsia="Palatino Linotype" w:hAnsi="Palatino Linotype" w:cs="Palatino Linotype"/>
          <w:b/>
          <w:color w:val="000000"/>
          <w:sz w:val="22"/>
          <w:szCs w:val="22"/>
        </w:rPr>
        <w:t>todas las dependencias encargadas de la seguridad pública a nivel</w:t>
      </w:r>
      <w:r w:rsidRPr="00613C53">
        <w:rPr>
          <w:rFonts w:ascii="Palatino Linotype" w:eastAsia="Palatino Linotype" w:hAnsi="Palatino Linotype" w:cs="Palatino Linotype"/>
          <w:color w:val="000000"/>
          <w:sz w:val="22"/>
          <w:szCs w:val="22"/>
        </w:rPr>
        <w:t xml:space="preserve"> estatal y </w:t>
      </w:r>
      <w:r w:rsidRPr="00613C53">
        <w:rPr>
          <w:rFonts w:ascii="Palatino Linotype" w:eastAsia="Palatino Linotype" w:hAnsi="Palatino Linotype" w:cs="Palatino Linotype"/>
          <w:b/>
          <w:color w:val="000000"/>
          <w:sz w:val="22"/>
          <w:szCs w:val="22"/>
        </w:rPr>
        <w:t>municipal.</w:t>
      </w:r>
    </w:p>
    <w:p w:rsidR="00A83BD3" w:rsidRPr="00613C53" w:rsidRDefault="00F41D15">
      <w:pPr>
        <w:numPr>
          <w:ilvl w:val="0"/>
          <w:numId w:val="9"/>
        </w:numPr>
        <w:pBdr>
          <w:top w:val="nil"/>
          <w:left w:val="nil"/>
          <w:bottom w:val="nil"/>
          <w:right w:val="nil"/>
          <w:between w:val="nil"/>
        </w:pBdr>
        <w:spacing w:line="360" w:lineRule="auto"/>
        <w:ind w:right="-79"/>
        <w:jc w:val="both"/>
        <w:rPr>
          <w:rFonts w:ascii="Palatino Linotype" w:eastAsia="Palatino Linotype" w:hAnsi="Palatino Linotype" w:cs="Palatino Linotype"/>
          <w:b/>
          <w:color w:val="000000"/>
          <w:sz w:val="22"/>
          <w:szCs w:val="22"/>
        </w:rPr>
      </w:pPr>
      <w:r w:rsidRPr="00613C53">
        <w:rPr>
          <w:rFonts w:ascii="Palatino Linotype" w:eastAsia="Palatino Linotype" w:hAnsi="Palatino Linotype" w:cs="Palatino Linotype"/>
          <w:b/>
          <w:color w:val="000000"/>
          <w:sz w:val="22"/>
          <w:szCs w:val="22"/>
        </w:rPr>
        <w:t xml:space="preserve">Instituciones de Seguridad Pública: </w:t>
      </w:r>
      <w:r w:rsidRPr="00613C53">
        <w:rPr>
          <w:rFonts w:ascii="Palatino Linotype" w:eastAsia="Palatino Linotype" w:hAnsi="Palatino Linotype" w:cs="Palatino Linotype"/>
          <w:color w:val="000000"/>
          <w:sz w:val="22"/>
          <w:szCs w:val="22"/>
        </w:rPr>
        <w:t xml:space="preserve">Instituciones Policiales, Procuración de Justicia, Sistema Penitenciario y </w:t>
      </w:r>
      <w:r w:rsidRPr="00613C53">
        <w:rPr>
          <w:rFonts w:ascii="Palatino Linotype" w:eastAsia="Palatino Linotype" w:hAnsi="Palatino Linotype" w:cs="Palatino Linotype"/>
          <w:b/>
          <w:color w:val="000000"/>
          <w:sz w:val="22"/>
          <w:szCs w:val="22"/>
        </w:rPr>
        <w:t xml:space="preserve">dependencias encargadas de la seguridad pública a nivel </w:t>
      </w:r>
      <w:r w:rsidRPr="00613C53">
        <w:rPr>
          <w:rFonts w:ascii="Palatino Linotype" w:eastAsia="Palatino Linotype" w:hAnsi="Palatino Linotype" w:cs="Palatino Linotype"/>
          <w:color w:val="000000"/>
          <w:sz w:val="22"/>
          <w:szCs w:val="22"/>
        </w:rPr>
        <w:t xml:space="preserve">estatal y </w:t>
      </w:r>
      <w:r w:rsidRPr="00613C53">
        <w:rPr>
          <w:rFonts w:ascii="Palatino Linotype" w:eastAsia="Palatino Linotype" w:hAnsi="Palatino Linotype" w:cs="Palatino Linotype"/>
          <w:b/>
          <w:color w:val="000000"/>
          <w:sz w:val="22"/>
          <w:szCs w:val="22"/>
        </w:rPr>
        <w:t>municipal.</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b/>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Conforme a lo anterior,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Además, el Instructivo de llenado del Formato “Personal de Seguridad Pública”, del Secretariado Ejecutivo del Sistema Nacional de Seguridad Pública (consultado el veinte de abril de dos mil veintidós, a las dieciocho horas, en la liga electrónica </w:t>
      </w:r>
      <w:hyperlink r:id="rId24">
        <w:r w:rsidRPr="00613C53">
          <w:rPr>
            <w:rFonts w:ascii="Palatino Linotype" w:eastAsia="Palatino Linotype" w:hAnsi="Palatino Linotype" w:cs="Palatino Linotype"/>
            <w:color w:val="0563C1"/>
            <w:u w:val="single"/>
          </w:rPr>
          <w:t>http://secretariadoejecutivo.gob.mx/work/models/SecretariadoEjecutivo/Resource/328/1/images/instructivo_final_edo_fuerza(1).pdf</w:t>
        </w:r>
      </w:hyperlink>
      <w:r w:rsidRPr="00613C53">
        <w:rPr>
          <w:rFonts w:ascii="Palatino Linotype" w:eastAsia="Palatino Linotype" w:hAnsi="Palatino Linotype" w:cs="Palatino Linotype"/>
          <w:color w:val="000000"/>
        </w:rPr>
        <w:t xml:space="preserve">), establece que los elementos operativos de seguridad pública, son aquellos que desempeñan funciones de campo (policiacas, especializadas o equivalentes y que no </w:t>
      </w:r>
      <w:r w:rsidRPr="00613C53">
        <w:rPr>
          <w:rFonts w:ascii="Palatino Linotype" w:eastAsia="Palatino Linotype" w:hAnsi="Palatino Linotype" w:cs="Palatino Linotype"/>
          <w:b/>
          <w:color w:val="000000"/>
        </w:rPr>
        <w:t>desempeña funciones de mando</w:t>
      </w:r>
      <w:r w:rsidRPr="00613C53">
        <w:rPr>
          <w:rFonts w:ascii="Palatino Linotype" w:eastAsia="Palatino Linotype" w:hAnsi="Palatino Linotype" w:cs="Palatino Linotype"/>
          <w:color w:val="000000"/>
        </w:rPr>
        <w:t xml:space="preserve">), entre los cuales, se encuentra </w:t>
      </w:r>
      <w:r w:rsidRPr="00613C53">
        <w:rPr>
          <w:rFonts w:ascii="Palatino Linotype" w:eastAsia="Palatino Linotype" w:hAnsi="Palatino Linotype" w:cs="Palatino Linotype"/>
          <w:b/>
          <w:color w:val="000000"/>
        </w:rPr>
        <w:t>la Policía Municipal</w:t>
      </w:r>
      <w:r w:rsidRPr="00613C53">
        <w:rPr>
          <w:rFonts w:ascii="Palatino Linotype" w:eastAsia="Palatino Linotype" w:hAnsi="Palatino Linotype" w:cs="Palatino Linotype"/>
          <w:color w:val="000000"/>
        </w:rPr>
        <w:t>.</w:t>
      </w:r>
    </w:p>
    <w:p w:rsidR="00A83BD3" w:rsidRPr="00613C53" w:rsidRDefault="00A83BD3">
      <w:pPr>
        <w:tabs>
          <w:tab w:val="left" w:pos="4962"/>
        </w:tabs>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Además, que las Instituciones Policiales, se conforman del personal administrativo, que son los trabajadores de apoyo (chofer, personal de mantenimiento, servicios generales y área </w:t>
      </w:r>
      <w:r w:rsidRPr="00613C53">
        <w:rPr>
          <w:rFonts w:ascii="Palatino Linotype" w:eastAsia="Palatino Linotype" w:hAnsi="Palatino Linotype" w:cs="Palatino Linotype"/>
        </w:rPr>
        <w:t>secretaría</w:t>
      </w:r>
      <w:r w:rsidRPr="00613C53">
        <w:rPr>
          <w:rFonts w:ascii="Palatino Linotype" w:eastAsia="Palatino Linotype" w:hAnsi="Palatino Linotype" w:cs="Palatino Linotype"/>
          <w:color w:val="000000"/>
        </w:rPr>
        <w:t>);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FA1083" w:rsidRPr="00613C53" w:rsidRDefault="00FA1083" w:rsidP="00FA1083">
      <w:pPr>
        <w:pStyle w:val="Prrafodelista"/>
        <w:rPr>
          <w:rFonts w:ascii="Palatino Linotype" w:eastAsia="Palatino Linotype" w:hAnsi="Palatino Linotype" w:cs="Palatino Linotype"/>
          <w:color w:val="000000"/>
        </w:rPr>
      </w:pPr>
    </w:p>
    <w:p w:rsidR="00FA1083" w:rsidRPr="00613C53" w:rsidRDefault="00FA1083" w:rsidP="00FA1083">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sidRPr="00613C53">
        <w:rPr>
          <w:rFonts w:ascii="Palatino Linotype" w:eastAsia="Palatino Linotype" w:hAnsi="Palatino Linotype" w:cs="Palatino Linotype"/>
          <w:color w:val="000000"/>
        </w:rPr>
        <w:t xml:space="preserve">Por tales consideraciones, resulta procedente la reserva del nombre de los elementos operativos de la Dirección de Seguridad Pública Municipal, en términos del artículo 140, fracción IV, </w:t>
      </w:r>
      <w:r w:rsidRPr="00613C53">
        <w:rPr>
          <w:rFonts w:ascii="Palatino Linotype" w:eastAsia="Palatino Linotype" w:hAnsi="Palatino Linotype" w:cs="Palatino Linotype"/>
        </w:rPr>
        <w:t>de</w:t>
      </w:r>
      <w:r w:rsidRPr="00613C53">
        <w:rPr>
          <w:rFonts w:ascii="Palatino Linotype" w:eastAsia="Palatino Linotype" w:hAnsi="Palatino Linotype" w:cs="Palatino Linotype"/>
          <w:color w:val="000000"/>
        </w:rPr>
        <w:t xml:space="preserve"> la Ley de Transparencia y Acceso a la Información Pública del Estado de México y Municipios.</w:t>
      </w:r>
    </w:p>
    <w:p w:rsidR="00FA1083" w:rsidRPr="00613C53" w:rsidRDefault="00FA1083" w:rsidP="00FA1083">
      <w:pPr>
        <w:pStyle w:val="Prrafodelista"/>
        <w:rPr>
          <w:rFonts w:ascii="Palatino Linotype" w:eastAsia="Palatino Linotype" w:hAnsi="Palatino Linotype" w:cs="Palatino Linotype"/>
          <w:color w:val="000000"/>
        </w:rPr>
      </w:pPr>
    </w:p>
    <w:p w:rsidR="00FA1083" w:rsidRPr="00613C53" w:rsidRDefault="00FA1083" w:rsidP="00FA1083">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Finalmente existe información relacionada a equipo policiaco que eventualmente contenga especificaciones técnicas de su equipamiento; es decir los requisitos, características y estándares con que cuentan los equipos, vestimenta, armamento y vehículos utilizados por los cuerpos de seguridad para garantizar su funcionalidad, resistencia, seguridad y cumplimiento normativo.</w:t>
      </w:r>
    </w:p>
    <w:p w:rsidR="00FA1083" w:rsidRPr="00613C53" w:rsidRDefault="00FA1083" w:rsidP="00FA1083">
      <w:pPr>
        <w:pBdr>
          <w:top w:val="nil"/>
          <w:left w:val="nil"/>
          <w:bottom w:val="nil"/>
          <w:right w:val="nil"/>
          <w:between w:val="nil"/>
        </w:pBdr>
        <w:spacing w:line="360" w:lineRule="auto"/>
        <w:ind w:left="720" w:right="-646"/>
        <w:jc w:val="both"/>
        <w:rPr>
          <w:rFonts w:ascii="Palatino Linotype" w:eastAsia="Palatino Linotype" w:hAnsi="Palatino Linotype" w:cs="Palatino Linotype"/>
          <w:color w:val="000000"/>
        </w:rPr>
      </w:pPr>
    </w:p>
    <w:p w:rsidR="00FA1083" w:rsidRPr="00613C53" w:rsidRDefault="00FA1083" w:rsidP="00FA1083">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Estas especificaciones incluyen detalles como materiales de fabricación, niveles de resistencia, dimensiones, peso, capacidades técnicas y certificaciones establecidas por organismos nacionales e internacionales, en México por la Secretaría de Seguridad y Protección Ciudadana.</w:t>
      </w:r>
    </w:p>
    <w:p w:rsidR="00FA1083" w:rsidRPr="00613C53" w:rsidRDefault="00FA1083" w:rsidP="00FA1083">
      <w:pPr>
        <w:pStyle w:val="Prrafodelista"/>
        <w:rPr>
          <w:rFonts w:ascii="Palatino Linotype" w:eastAsia="Palatino Linotype" w:hAnsi="Palatino Linotype" w:cs="Palatino Linotype"/>
          <w:color w:val="000000"/>
        </w:rPr>
      </w:pPr>
    </w:p>
    <w:p w:rsidR="00FA1083" w:rsidRPr="00613C53" w:rsidRDefault="00FA1083" w:rsidP="00FA1083">
      <w:pPr>
        <w:numPr>
          <w:ilvl w:val="0"/>
          <w:numId w:val="11"/>
        </w:numPr>
        <w:pBdr>
          <w:top w:val="nil"/>
          <w:left w:val="nil"/>
          <w:bottom w:val="nil"/>
          <w:right w:val="nil"/>
          <w:between w:val="nil"/>
        </w:pBdr>
        <w:spacing w:line="360" w:lineRule="auto"/>
        <w:ind w:left="0" w:right="-646" w:firstLine="0"/>
        <w:jc w:val="both"/>
        <w:rPr>
          <w:rFonts w:ascii="Palatino Linotype" w:hAnsi="Palatino Linotype" w:cs="Bookman Old Style"/>
        </w:rPr>
      </w:pPr>
      <w:r w:rsidRPr="00613C53">
        <w:rPr>
          <w:rFonts w:ascii="Palatino Linotype" w:eastAsia="Calibri" w:hAnsi="Palatino Linotype" w:cs="Arial"/>
        </w:rPr>
        <w:lastRenderedPageBreak/>
        <w:t xml:space="preserve">Como hemos señalado, el Recurrente desea conocer los pagos erogados relacionados con la </w:t>
      </w:r>
      <w:r w:rsidRPr="00613C53">
        <w:rPr>
          <w:rFonts w:ascii="Palatino Linotype" w:eastAsia="Palatino Linotype" w:hAnsi="Palatino Linotype" w:cs="Palatino Linotype"/>
          <w:color w:val="000000"/>
        </w:rPr>
        <w:t>adquisición</w:t>
      </w:r>
      <w:r w:rsidRPr="00613C53">
        <w:rPr>
          <w:rFonts w:ascii="Palatino Linotype" w:eastAsia="Calibri" w:hAnsi="Palatino Linotype" w:cs="Arial"/>
        </w:rPr>
        <w:t xml:space="preserve"> de bienes, tales como vehículos, material de oficina, equipamientos tácticos y uniformes de tal forma que, lo que busca el particular es conocer en que se han utilizado los recursos públicos.</w:t>
      </w:r>
    </w:p>
    <w:p w:rsidR="00FA1083" w:rsidRPr="00613C53" w:rsidRDefault="00FA1083" w:rsidP="00FA1083">
      <w:pPr>
        <w:pStyle w:val="Prrafodelista"/>
        <w:rPr>
          <w:rFonts w:ascii="Palatino Linotype" w:eastAsia="Calibri" w:hAnsi="Palatino Linotype" w:cs="Arial"/>
        </w:rPr>
      </w:pPr>
    </w:p>
    <w:p w:rsidR="00FA1083" w:rsidRPr="00613C53" w:rsidRDefault="00FA1083" w:rsidP="00FA1083">
      <w:pPr>
        <w:numPr>
          <w:ilvl w:val="0"/>
          <w:numId w:val="11"/>
        </w:numPr>
        <w:pBdr>
          <w:top w:val="nil"/>
          <w:left w:val="nil"/>
          <w:bottom w:val="nil"/>
          <w:right w:val="nil"/>
          <w:between w:val="nil"/>
        </w:pBdr>
        <w:spacing w:line="360" w:lineRule="auto"/>
        <w:ind w:left="0" w:right="-646" w:firstLine="0"/>
        <w:jc w:val="both"/>
        <w:rPr>
          <w:rFonts w:ascii="Palatino Linotype" w:hAnsi="Palatino Linotype" w:cs="Bookman Old Style"/>
        </w:rPr>
      </w:pPr>
      <w:r w:rsidRPr="00613C53">
        <w:rPr>
          <w:rFonts w:ascii="Palatino Linotype" w:eastAsia="Calibri" w:hAnsi="Palatino Linotype" w:cs="Arial"/>
        </w:rPr>
        <w:t>En razón de lo anterior, el permitir el acceso a la información en su versión pública permitirá conocer la información de interés para el Recurrente. Con dicha información se colma el derecho del Recurrente al tiempo que se protege la vida e integridad de los policías.</w:t>
      </w:r>
    </w:p>
    <w:p w:rsidR="00A83BD3" w:rsidRPr="00613C53" w:rsidRDefault="00A83BD3" w:rsidP="00FA1083">
      <w:pPr>
        <w:pBdr>
          <w:top w:val="nil"/>
          <w:left w:val="nil"/>
          <w:bottom w:val="nil"/>
          <w:right w:val="nil"/>
          <w:between w:val="nil"/>
        </w:pBdr>
        <w:spacing w:line="360" w:lineRule="auto"/>
        <w:ind w:right="-646"/>
        <w:rPr>
          <w:rFonts w:ascii="Palatino Linotype" w:eastAsia="Palatino Linotype" w:hAnsi="Palatino Linotype" w:cs="Palatino Linotype"/>
          <w:color w:val="000000"/>
        </w:rPr>
      </w:pPr>
    </w:p>
    <w:p w:rsidR="00FA1083" w:rsidRPr="00613C53" w:rsidRDefault="00FA1083" w:rsidP="00FA1083">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Sin embargo, </w:t>
      </w:r>
      <w:r w:rsidRPr="00613C53">
        <w:rPr>
          <w:rFonts w:ascii="Palatino Linotype" w:eastAsia="Calibri" w:hAnsi="Palatino Linotype" w:cs="Arial"/>
        </w:rPr>
        <w:t>por cuanto hace a las especificaciones detalladas relacionadas con especificaciones que hacen únicos a los uniformes de policía, especificaciones de los candados de mano, tamaño para el cargador, porta cargador, porta pistola, el armamento que puede portar el chaleco táctico, nivel del escudo balístico, nivel de blindaje del casco y chaleco antibalas, porta pistola, y especificaciones de pistolas, si bien no puede sustituirse por información diversa, también lo es que, al realizarse una versión pública la información adicional a la que se pretende clasificar, colma el derecho del Recurrente.</w:t>
      </w:r>
    </w:p>
    <w:p w:rsidR="00FA1083" w:rsidRPr="00613C53" w:rsidRDefault="00FA1083" w:rsidP="00FA1083">
      <w:pPr>
        <w:pBdr>
          <w:top w:val="nil"/>
          <w:left w:val="nil"/>
          <w:bottom w:val="nil"/>
          <w:right w:val="nil"/>
          <w:between w:val="nil"/>
        </w:pBdr>
        <w:spacing w:line="360" w:lineRule="auto"/>
        <w:ind w:right="-646"/>
        <w:rPr>
          <w:rFonts w:ascii="Palatino Linotype" w:eastAsia="Palatino Linotype" w:hAnsi="Palatino Linotype" w:cs="Palatino Linotype"/>
          <w:color w:val="000000"/>
        </w:rPr>
      </w:pPr>
    </w:p>
    <w:p w:rsidR="00FA1083" w:rsidRPr="00613C53" w:rsidRDefault="00FA1083" w:rsidP="00FA1083">
      <w:pPr>
        <w:numPr>
          <w:ilvl w:val="0"/>
          <w:numId w:val="11"/>
        </w:numPr>
        <w:pBdr>
          <w:top w:val="nil"/>
          <w:left w:val="nil"/>
          <w:bottom w:val="nil"/>
          <w:right w:val="nil"/>
          <w:between w:val="nil"/>
        </w:pBdr>
        <w:spacing w:line="360" w:lineRule="auto"/>
        <w:ind w:left="0" w:right="-646" w:firstLine="0"/>
        <w:jc w:val="both"/>
        <w:rPr>
          <w:rFonts w:ascii="Palatino Linotype" w:eastAsia="Calibri" w:hAnsi="Palatino Linotype" w:cs="Arial"/>
        </w:rPr>
      </w:pPr>
      <w:r w:rsidRPr="00613C53">
        <w:rPr>
          <w:rFonts w:ascii="Palatino Linotype" w:eastAsia="Calibri" w:hAnsi="Palatino Linotype" w:cs="Arial"/>
        </w:rPr>
        <w:t xml:space="preserve">A través de una versión pública que proteja la información que, su uso indebido, </w:t>
      </w:r>
      <w:r w:rsidRPr="00613C53">
        <w:rPr>
          <w:rFonts w:ascii="Palatino Linotype" w:eastAsia="Palatino Linotype" w:hAnsi="Palatino Linotype" w:cs="Palatino Linotype"/>
          <w:color w:val="000000"/>
        </w:rPr>
        <w:t>pone</w:t>
      </w:r>
      <w:r w:rsidRPr="00613C53">
        <w:rPr>
          <w:rFonts w:ascii="Palatino Linotype" w:eastAsia="Calibri" w:hAnsi="Palatino Linotype" w:cs="Arial"/>
        </w:rPr>
        <w:t xml:space="preserve"> en riesgo la vida de los elementos de policía, garantiza la protección del bien jurídico tutelado al tiempo que resulta una medida proporcional porque deja al conocimiento del Recurrente información de su interés, como lo es el gasto erogado por la adquisición de los bienes. </w:t>
      </w:r>
    </w:p>
    <w:p w:rsidR="00FA1083" w:rsidRPr="00613C53" w:rsidRDefault="00FA1083" w:rsidP="00FA1083">
      <w:pPr>
        <w:pStyle w:val="Prrafodelista"/>
        <w:rPr>
          <w:rFonts w:ascii="Palatino Linotype" w:eastAsia="Calibri" w:hAnsi="Palatino Linotype" w:cs="Arial"/>
        </w:rPr>
      </w:pPr>
    </w:p>
    <w:p w:rsidR="00FA1083" w:rsidRPr="00613C53" w:rsidRDefault="00FA1083" w:rsidP="00FA1083">
      <w:pPr>
        <w:numPr>
          <w:ilvl w:val="0"/>
          <w:numId w:val="11"/>
        </w:numPr>
        <w:pBdr>
          <w:top w:val="nil"/>
          <w:left w:val="nil"/>
          <w:bottom w:val="nil"/>
          <w:right w:val="nil"/>
          <w:between w:val="nil"/>
        </w:pBdr>
        <w:spacing w:line="360" w:lineRule="auto"/>
        <w:ind w:left="0" w:right="-646" w:firstLine="0"/>
        <w:jc w:val="both"/>
        <w:rPr>
          <w:rFonts w:ascii="Palatino Linotype" w:eastAsia="Calibri" w:hAnsi="Palatino Linotype" w:cs="Arial"/>
        </w:rPr>
      </w:pPr>
      <w:r w:rsidRPr="00613C53">
        <w:rPr>
          <w:rFonts w:ascii="Palatino Linotype" w:hAnsi="Palatino Linotype" w:cs="Bookman Old Style"/>
        </w:rPr>
        <w:lastRenderedPageBreak/>
        <w:t>Ya que al tratarse del armamento mediante el cual los policías ejercen sus funciones de seguridad pública y son parte fundamental para su día a día, son también una herramienta indispensable para usarse al encontrarse en situaciones de riesgo, detener personas que tengan conductas antijurídicas y por supuesto, realizar acciones para salvar su vida e integridad.</w:t>
      </w:r>
    </w:p>
    <w:p w:rsidR="00FA1083" w:rsidRPr="00613C53" w:rsidRDefault="00FA1083" w:rsidP="00FA1083">
      <w:pPr>
        <w:pStyle w:val="Prrafodelista"/>
        <w:rPr>
          <w:rFonts w:ascii="Palatino Linotype" w:eastAsia="Calibri" w:hAnsi="Palatino Linotype" w:cs="Arial"/>
        </w:rPr>
      </w:pPr>
    </w:p>
    <w:p w:rsidR="00FA1083" w:rsidRPr="00613C53" w:rsidRDefault="00FA1083" w:rsidP="00FA1083">
      <w:pPr>
        <w:numPr>
          <w:ilvl w:val="0"/>
          <w:numId w:val="11"/>
        </w:numPr>
        <w:pBdr>
          <w:top w:val="nil"/>
          <w:left w:val="nil"/>
          <w:bottom w:val="nil"/>
          <w:right w:val="nil"/>
          <w:between w:val="nil"/>
        </w:pBdr>
        <w:spacing w:line="360" w:lineRule="auto"/>
        <w:ind w:left="0" w:right="-646" w:firstLine="0"/>
        <w:jc w:val="both"/>
        <w:rPr>
          <w:rFonts w:ascii="Palatino Linotype" w:eastAsia="Calibri" w:hAnsi="Palatino Linotype" w:cs="Arial"/>
        </w:rPr>
      </w:pPr>
      <w:r w:rsidRPr="00613C53">
        <w:rPr>
          <w:rFonts w:ascii="Palatino Linotype" w:eastAsia="Calibri" w:hAnsi="Palatino Linotype" w:cs="Arial"/>
        </w:rPr>
        <w:t>Por ello, se determina que la medida que más se adecua al presente asunto en particular para satisfacer los requerimientos planteados, así como garantizar la protección del bien jurídico tutelado, es entregar los contratos remitidos en informe justificado mediante una versión pública que proteja la información que se ha detallado en líneas anteriores.</w:t>
      </w:r>
    </w:p>
    <w:p w:rsidR="00A83BD3" w:rsidRPr="00613C53" w:rsidRDefault="00A83BD3">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bookmarkStart w:id="1" w:name="_heading=h.30j0zll" w:colFirst="0" w:colLast="0"/>
      <w:bookmarkEnd w:id="1"/>
      <w:r w:rsidRPr="00613C53">
        <w:rPr>
          <w:rFonts w:ascii="Palatino Linotype" w:eastAsia="Palatino Linotype" w:hAnsi="Palatino Linotype" w:cs="Palatino Linotype"/>
          <w:color w:val="000000"/>
        </w:rPr>
        <w:t>Expuesto todo lo anterior</w:t>
      </w:r>
      <w:r w:rsidRPr="00613C53">
        <w:rPr>
          <w:rFonts w:ascii="Palatino Linotype" w:eastAsia="Palatino Linotype" w:hAnsi="Palatino Linotype" w:cs="Palatino Linotype"/>
          <w:b/>
          <w:color w:val="000000"/>
        </w:rPr>
        <w:t xml:space="preserve">, </w:t>
      </w:r>
      <w:r w:rsidRPr="00613C53">
        <w:rPr>
          <w:rFonts w:ascii="Palatino Linotype" w:eastAsia="Palatino Linotype" w:hAnsi="Palatino Linotype" w:cs="Palatino Linotype"/>
          <w:color w:val="000000"/>
        </w:rPr>
        <w:t xml:space="preserve">en términos de lo dispuesto en el artículo 186, fracción III de la Ley de Transparencia y Acceso a la Información Pública del Estado de México y Municipios, el Pleno de este Instituto, estima que las razones o motivos de inconformidad planteadas por </w:t>
      </w:r>
      <w:r w:rsidRPr="00613C53">
        <w:rPr>
          <w:rFonts w:ascii="Palatino Linotype" w:eastAsia="Palatino Linotype" w:hAnsi="Palatino Linotype" w:cs="Palatino Linotype"/>
          <w:b/>
          <w:color w:val="000000"/>
        </w:rPr>
        <w:t>EL RECURRENTE</w:t>
      </w:r>
      <w:r w:rsidRPr="00613C53">
        <w:rPr>
          <w:rFonts w:ascii="Palatino Linotype" w:eastAsia="Palatino Linotype" w:hAnsi="Palatino Linotype" w:cs="Palatino Linotype"/>
          <w:color w:val="000000"/>
        </w:rPr>
        <w:t xml:space="preserve">, resultan fundadas; en consecuencia, este Órgano Garante determina </w:t>
      </w:r>
      <w:r w:rsidR="00596078" w:rsidRPr="00613C53">
        <w:rPr>
          <w:rFonts w:ascii="Palatino Linotype" w:eastAsia="Palatino Linotype" w:hAnsi="Palatino Linotype" w:cs="Palatino Linotype"/>
          <w:b/>
          <w:color w:val="000000"/>
        </w:rPr>
        <w:t>REVOCA</w:t>
      </w:r>
      <w:r w:rsidRPr="00613C53">
        <w:rPr>
          <w:rFonts w:ascii="Palatino Linotype" w:eastAsia="Palatino Linotype" w:hAnsi="Palatino Linotype" w:cs="Palatino Linotype"/>
          <w:b/>
          <w:color w:val="000000"/>
        </w:rPr>
        <w:t>R</w:t>
      </w:r>
      <w:r w:rsidRPr="00613C53">
        <w:rPr>
          <w:rFonts w:ascii="Palatino Linotype" w:eastAsia="Palatino Linotype" w:hAnsi="Palatino Linotype" w:cs="Palatino Linotype"/>
          <w:color w:val="000000"/>
        </w:rPr>
        <w:t xml:space="preserve"> la respuesta otorgada por </w:t>
      </w:r>
      <w:r w:rsidRPr="00613C53">
        <w:rPr>
          <w:rFonts w:ascii="Palatino Linotype" w:eastAsia="Palatino Linotype" w:hAnsi="Palatino Linotype" w:cs="Palatino Linotype"/>
          <w:b/>
          <w:color w:val="000000"/>
        </w:rPr>
        <w:t>EL SUJETO OBLIGADO</w:t>
      </w:r>
      <w:r w:rsidRPr="00613C53">
        <w:rPr>
          <w:rFonts w:ascii="Palatino Linotype" w:eastAsia="Palatino Linotype" w:hAnsi="Palatino Linotype" w:cs="Palatino Linotype"/>
          <w:color w:val="000000"/>
        </w:rPr>
        <w:t xml:space="preserve"> a la solicitud de información que dio trámite al Recurso de Revisión número: </w:t>
      </w:r>
      <w:r w:rsidRPr="00613C53">
        <w:rPr>
          <w:rFonts w:ascii="Palatino Linotype" w:eastAsia="Palatino Linotype" w:hAnsi="Palatino Linotype" w:cs="Palatino Linotype"/>
          <w:b/>
          <w:color w:val="000000"/>
        </w:rPr>
        <w:t xml:space="preserve">00833/INFOEM/IP/RR/2024 </w:t>
      </w:r>
      <w:r w:rsidRPr="00613C53">
        <w:rPr>
          <w:rFonts w:ascii="Palatino Linotype" w:eastAsia="Palatino Linotype" w:hAnsi="Palatino Linotype" w:cs="Palatino Linotype"/>
          <w:color w:val="000000"/>
        </w:rPr>
        <w:t>y ordenar la entrega de los previsto en el presente Considerando.</w:t>
      </w:r>
    </w:p>
    <w:p w:rsidR="00A83BD3" w:rsidRPr="00613C53" w:rsidRDefault="00A83BD3">
      <w:pPr>
        <w:pBdr>
          <w:top w:val="nil"/>
          <w:left w:val="nil"/>
          <w:bottom w:val="nil"/>
          <w:right w:val="nil"/>
          <w:between w:val="nil"/>
        </w:pBdr>
        <w:tabs>
          <w:tab w:val="left" w:pos="0"/>
          <w:tab w:val="left" w:pos="284"/>
        </w:tabs>
        <w:spacing w:line="360" w:lineRule="auto"/>
        <w:ind w:right="-646"/>
        <w:jc w:val="both"/>
        <w:rPr>
          <w:rFonts w:ascii="Palatino Linotype" w:eastAsia="Palatino Linotype" w:hAnsi="Palatino Linotype" w:cs="Palatino Linotype"/>
          <w:color w:val="000000"/>
        </w:rPr>
      </w:pPr>
    </w:p>
    <w:p w:rsidR="00A83BD3" w:rsidRPr="00613C53" w:rsidRDefault="00F41D15">
      <w:pPr>
        <w:numPr>
          <w:ilvl w:val="0"/>
          <w:numId w:val="11"/>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222222"/>
        </w:rPr>
        <w:t xml:space="preserve">Por lo anteriormente expuesto y fundado, este </w:t>
      </w:r>
      <w:r w:rsidRPr="00613C53">
        <w:rPr>
          <w:rFonts w:ascii="Palatino Linotype" w:eastAsia="Palatino Linotype" w:hAnsi="Palatino Linotype" w:cs="Palatino Linotype"/>
          <w:b/>
          <w:color w:val="222222"/>
        </w:rPr>
        <w:t>ÓRGANO GARANTE</w:t>
      </w:r>
      <w:r w:rsidRPr="00613C53">
        <w:rPr>
          <w:rFonts w:ascii="Palatino Linotype" w:eastAsia="Palatino Linotype" w:hAnsi="Palatino Linotype" w:cs="Palatino Linotype"/>
          <w:color w:val="222222"/>
        </w:rPr>
        <w:t xml:space="preserve"> emite los siguientes:</w:t>
      </w:r>
    </w:p>
    <w:p w:rsidR="00A83BD3" w:rsidRPr="00613C53" w:rsidRDefault="00A83BD3">
      <w:pPr>
        <w:pBdr>
          <w:top w:val="nil"/>
          <w:left w:val="nil"/>
          <w:bottom w:val="nil"/>
          <w:right w:val="nil"/>
          <w:between w:val="nil"/>
        </w:pBdr>
        <w:spacing w:line="360" w:lineRule="auto"/>
        <w:ind w:left="720" w:right="-646"/>
        <w:rPr>
          <w:rFonts w:ascii="Palatino Linotype" w:eastAsia="Palatino Linotype" w:hAnsi="Palatino Linotype" w:cs="Palatino Linotype"/>
          <w:i/>
          <w:color w:val="000000"/>
        </w:rPr>
      </w:pPr>
    </w:p>
    <w:p w:rsidR="00A83BD3" w:rsidRPr="00613C53" w:rsidRDefault="00F41D15">
      <w:pPr>
        <w:pBdr>
          <w:top w:val="nil"/>
          <w:left w:val="nil"/>
          <w:bottom w:val="nil"/>
          <w:right w:val="nil"/>
          <w:between w:val="nil"/>
        </w:pBdr>
        <w:spacing w:line="360" w:lineRule="auto"/>
        <w:ind w:right="-646"/>
        <w:jc w:val="center"/>
        <w:rPr>
          <w:rFonts w:ascii="Palatino Linotype" w:eastAsia="Palatino Linotype" w:hAnsi="Palatino Linotype" w:cs="Palatino Linotype"/>
          <w:b/>
          <w:color w:val="000000"/>
        </w:rPr>
      </w:pPr>
      <w:r w:rsidRPr="00613C53">
        <w:rPr>
          <w:rFonts w:ascii="Palatino Linotype" w:eastAsia="Palatino Linotype" w:hAnsi="Palatino Linotype" w:cs="Palatino Linotype"/>
          <w:b/>
          <w:color w:val="000000"/>
        </w:rPr>
        <w:lastRenderedPageBreak/>
        <w:t>R E S O L U T I V O S</w:t>
      </w:r>
    </w:p>
    <w:p w:rsidR="00A83BD3" w:rsidRPr="00613C53" w:rsidRDefault="00A83BD3">
      <w:pPr>
        <w:spacing w:line="360" w:lineRule="auto"/>
        <w:ind w:right="-646"/>
        <w:jc w:val="both"/>
        <w:rPr>
          <w:rFonts w:ascii="Palatino Linotype" w:eastAsia="Palatino Linotype" w:hAnsi="Palatino Linotype" w:cs="Palatino Linotype"/>
          <w:color w:val="000000"/>
        </w:rPr>
      </w:pPr>
    </w:p>
    <w:p w:rsidR="00A83BD3" w:rsidRPr="00613C53" w:rsidRDefault="00F41D15">
      <w:pPr>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b/>
        </w:rPr>
        <w:t xml:space="preserve">PRIMERO. </w:t>
      </w:r>
      <w:r w:rsidRPr="00613C53">
        <w:rPr>
          <w:rFonts w:ascii="Palatino Linotype" w:eastAsia="Palatino Linotype" w:hAnsi="Palatino Linotype" w:cs="Palatino Linotype"/>
        </w:rPr>
        <w:t>Resultan fundadas las</w:t>
      </w:r>
      <w:r w:rsidRPr="00613C53">
        <w:rPr>
          <w:rFonts w:ascii="Palatino Linotype" w:eastAsia="Palatino Linotype" w:hAnsi="Palatino Linotype" w:cs="Palatino Linotype"/>
          <w:b/>
        </w:rPr>
        <w:t xml:space="preserve"> </w:t>
      </w:r>
      <w:r w:rsidRPr="00613C53">
        <w:rPr>
          <w:rFonts w:ascii="Palatino Linotype" w:eastAsia="Palatino Linotype" w:hAnsi="Palatino Linotype" w:cs="Palatino Linotype"/>
        </w:rPr>
        <w:t>razones o motivos de inconformidad hechos valer en el Recurso de Revisión</w:t>
      </w:r>
      <w:r w:rsidRPr="00613C53">
        <w:rPr>
          <w:rFonts w:ascii="Palatino Linotype" w:eastAsia="Palatino Linotype" w:hAnsi="Palatino Linotype" w:cs="Palatino Linotype"/>
          <w:b/>
        </w:rPr>
        <w:t xml:space="preserve"> 00833/INFOEM/IP/RR/2024 </w:t>
      </w:r>
      <w:r w:rsidRPr="00613C53">
        <w:rPr>
          <w:rFonts w:ascii="Palatino Linotype" w:eastAsia="Palatino Linotype" w:hAnsi="Palatino Linotype" w:cs="Palatino Linotype"/>
        </w:rPr>
        <w:t>en términos de los</w:t>
      </w:r>
      <w:r w:rsidRPr="00613C53">
        <w:rPr>
          <w:rFonts w:ascii="Palatino Linotype" w:eastAsia="Palatino Linotype" w:hAnsi="Palatino Linotype" w:cs="Palatino Linotype"/>
          <w:b/>
        </w:rPr>
        <w:t xml:space="preserve"> Considerandos</w:t>
      </w:r>
      <w:r w:rsidRPr="00613C53">
        <w:rPr>
          <w:rFonts w:ascii="Palatino Linotype" w:eastAsia="Palatino Linotype" w:hAnsi="Palatino Linotype" w:cs="Palatino Linotype"/>
        </w:rPr>
        <w:t xml:space="preserve"> </w:t>
      </w:r>
      <w:r w:rsidRPr="00613C53">
        <w:rPr>
          <w:rFonts w:ascii="Palatino Linotype" w:eastAsia="Palatino Linotype" w:hAnsi="Palatino Linotype" w:cs="Palatino Linotype"/>
          <w:b/>
        </w:rPr>
        <w:t>CUARTO y QUINTO</w:t>
      </w:r>
      <w:r w:rsidRPr="00613C53">
        <w:rPr>
          <w:rFonts w:ascii="Palatino Linotype" w:eastAsia="Palatino Linotype" w:hAnsi="Palatino Linotype" w:cs="Palatino Linotype"/>
        </w:rPr>
        <w:t xml:space="preserve"> de la presente Resolución.</w:t>
      </w:r>
    </w:p>
    <w:p w:rsidR="00A83BD3" w:rsidRPr="00613C53" w:rsidRDefault="00A83BD3">
      <w:pPr>
        <w:spacing w:line="360" w:lineRule="auto"/>
        <w:ind w:right="-646"/>
        <w:jc w:val="both"/>
        <w:rPr>
          <w:rFonts w:ascii="Palatino Linotype" w:eastAsia="Palatino Linotype" w:hAnsi="Palatino Linotype" w:cs="Palatino Linotype"/>
          <w:b/>
        </w:rPr>
      </w:pPr>
    </w:p>
    <w:p w:rsidR="00A83BD3" w:rsidRPr="00613C53" w:rsidRDefault="00F41D15">
      <w:pPr>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b/>
        </w:rPr>
        <w:t xml:space="preserve">SEGUNDO. </w:t>
      </w:r>
      <w:r w:rsidRPr="00613C53">
        <w:rPr>
          <w:rFonts w:ascii="Palatino Linotype" w:eastAsia="Palatino Linotype" w:hAnsi="Palatino Linotype" w:cs="Palatino Linotype"/>
        </w:rPr>
        <w:t xml:space="preserve">Se </w:t>
      </w:r>
      <w:r w:rsidRPr="00613C53">
        <w:rPr>
          <w:rFonts w:ascii="Palatino Linotype" w:eastAsia="Palatino Linotype" w:hAnsi="Palatino Linotype" w:cs="Palatino Linotype"/>
          <w:b/>
        </w:rPr>
        <w:t xml:space="preserve">REVOCA </w:t>
      </w:r>
      <w:r w:rsidRPr="00613C53">
        <w:rPr>
          <w:rFonts w:ascii="Palatino Linotype" w:eastAsia="Palatino Linotype" w:hAnsi="Palatino Linotype" w:cs="Palatino Linotype"/>
        </w:rPr>
        <w:t xml:space="preserve">la respuesta a la solicitud  </w:t>
      </w:r>
      <w:r w:rsidRPr="00613C53">
        <w:rPr>
          <w:rFonts w:ascii="Palatino Linotype" w:eastAsia="Palatino Linotype" w:hAnsi="Palatino Linotype" w:cs="Palatino Linotype"/>
          <w:b/>
          <w:color w:val="000000"/>
        </w:rPr>
        <w:t xml:space="preserve">00010/XONACAT/IP/2024 </w:t>
      </w:r>
      <w:r w:rsidRPr="00613C53">
        <w:rPr>
          <w:rFonts w:ascii="Palatino Linotype" w:eastAsia="Palatino Linotype" w:hAnsi="Palatino Linotype" w:cs="Palatino Linotype"/>
        </w:rPr>
        <w:t>emitida por el</w:t>
      </w:r>
      <w:r w:rsidRPr="00613C53">
        <w:rPr>
          <w:rFonts w:ascii="Palatino Linotype" w:eastAsia="Palatino Linotype" w:hAnsi="Palatino Linotype" w:cs="Palatino Linotype"/>
          <w:b/>
        </w:rPr>
        <w:t xml:space="preserve"> Ayuntamiento de </w:t>
      </w:r>
      <w:proofErr w:type="spellStart"/>
      <w:r w:rsidRPr="00613C53">
        <w:rPr>
          <w:rFonts w:ascii="Palatino Linotype" w:eastAsia="Palatino Linotype" w:hAnsi="Palatino Linotype" w:cs="Palatino Linotype"/>
          <w:b/>
        </w:rPr>
        <w:t>Xonacatlán</w:t>
      </w:r>
      <w:proofErr w:type="spellEnd"/>
      <w:r w:rsidRPr="00613C53">
        <w:rPr>
          <w:rFonts w:ascii="Palatino Linotype" w:eastAsia="Palatino Linotype" w:hAnsi="Palatino Linotype" w:cs="Palatino Linotype"/>
          <w:b/>
        </w:rPr>
        <w:t xml:space="preserve"> y se ORDENA </w:t>
      </w:r>
      <w:r w:rsidRPr="00613C53">
        <w:rPr>
          <w:rFonts w:ascii="Palatino Linotype" w:eastAsia="Palatino Linotype" w:hAnsi="Palatino Linotype" w:cs="Palatino Linotype"/>
        </w:rPr>
        <w:t xml:space="preserve">entregar vía Sistema de Acceso a la Información Mexiquense </w:t>
      </w:r>
      <w:r w:rsidRPr="00613C53">
        <w:rPr>
          <w:rFonts w:ascii="Palatino Linotype" w:eastAsia="Palatino Linotype" w:hAnsi="Palatino Linotype" w:cs="Palatino Linotype"/>
          <w:b/>
        </w:rPr>
        <w:t>(SAIMEX)</w:t>
      </w:r>
      <w:r w:rsidRPr="00613C53">
        <w:rPr>
          <w:rFonts w:ascii="Palatino Linotype" w:eastAsia="Palatino Linotype" w:hAnsi="Palatino Linotype" w:cs="Palatino Linotype"/>
        </w:rPr>
        <w:t>, en versión pública, los documentos en donde conste la siguiente información:</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Número de policías municipales con el que cuenta el Ayuntamiento, por áreas o departamentos, al treinta y uno de enero de dos mil veinticuatro. </w:t>
      </w:r>
    </w:p>
    <w:p w:rsidR="00A83BD3" w:rsidRPr="00613C53" w:rsidRDefault="00A83BD3">
      <w:pPr>
        <w:spacing w:line="360" w:lineRule="auto"/>
        <w:ind w:left="851" w:right="-646"/>
        <w:jc w:val="both"/>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Sueldo bruto y neto de los policías por categoría, del primero de enero de dos mil veintidós al treinta y uno de enero de dos mil veinticuatro y en caso de  aumento salarial, monto y recurso con el que se pagó. </w:t>
      </w:r>
    </w:p>
    <w:p w:rsidR="00A83BD3" w:rsidRPr="00613C53" w:rsidRDefault="00A83BD3">
      <w:pPr>
        <w:spacing w:line="360" w:lineRule="auto"/>
        <w:ind w:left="851" w:right="-646"/>
        <w:jc w:val="both"/>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Gasto ejercido en el periodo fiscal 2022 y 2023 para el pago de equipamiento policial, armamento, pago de patrullas (ya sea adquisición o renta), capacitación policial, desglosado por concepto de pago y número de policías beneficiados.  </w:t>
      </w:r>
    </w:p>
    <w:p w:rsidR="00A83BD3" w:rsidRPr="00613C53" w:rsidRDefault="00A83BD3">
      <w:pPr>
        <w:spacing w:line="360" w:lineRule="auto"/>
        <w:ind w:left="851" w:right="-646"/>
        <w:jc w:val="both"/>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 xml:space="preserve">Gasto programado en el periodo fiscal 2024 para el pago de equipamiento policial, armamento, pago de patrullas (ya sea adquisición o renta), capacitación policial, desglosado por concepto de pago y especificar el número de policías beneficiados, al treinta y uno de enero de dos mil veinticuatro. </w:t>
      </w:r>
    </w:p>
    <w:p w:rsidR="00A83BD3" w:rsidRPr="00613C53" w:rsidRDefault="00A83BD3">
      <w:pPr>
        <w:spacing w:line="360" w:lineRule="auto"/>
        <w:ind w:left="851" w:right="-646"/>
        <w:jc w:val="both"/>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Las incidencias delictivas presentadas en el municipio en los años 2022 y 2023 por histórico mensual de los siguientes delitos: abuso sexual, acoso sexual, homicidio culposo, homicidio doloso, lesiones, narcomenudeo, robo con violencia, robo sin violencia, robo a casa habitación, robo a negocio, robo de vehículos, secuestro, violación, violencia de género, violencia familiar. </w:t>
      </w:r>
    </w:p>
    <w:p w:rsidR="00A83BD3" w:rsidRPr="00613C53" w:rsidRDefault="00A83BD3">
      <w:pPr>
        <w:spacing w:line="360" w:lineRule="auto"/>
        <w:ind w:left="851" w:right="-646"/>
        <w:jc w:val="both"/>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Número de elementos incluidos en la Licencia Oficial Colectiva, al treinta y uno de octubre de dos mil veintitrés.</w:t>
      </w:r>
    </w:p>
    <w:p w:rsidR="00A83BD3" w:rsidRPr="00613C53" w:rsidRDefault="00A83BD3">
      <w:pPr>
        <w:spacing w:line="360" w:lineRule="auto"/>
        <w:ind w:left="851" w:right="-646"/>
        <w:jc w:val="both"/>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Número de elementos programados para ser incluidos </w:t>
      </w:r>
      <w:r w:rsidR="00E9335B" w:rsidRPr="00613C53">
        <w:rPr>
          <w:rFonts w:ascii="Palatino Linotype" w:eastAsia="Palatino Linotype" w:hAnsi="Palatino Linotype" w:cs="Palatino Linotype"/>
          <w:color w:val="000000"/>
        </w:rPr>
        <w:t>para el ejercicio</w:t>
      </w:r>
      <w:r w:rsidRPr="00613C53">
        <w:rPr>
          <w:rFonts w:ascii="Palatino Linotype" w:eastAsia="Palatino Linotype" w:hAnsi="Palatino Linotype" w:cs="Palatino Linotype"/>
          <w:color w:val="000000"/>
        </w:rPr>
        <w:t xml:space="preserve"> 2024 en la Licencia Oficial Colectiva, al treinta y uno de enero de dos mil veinticuatro. </w:t>
      </w:r>
    </w:p>
    <w:p w:rsidR="00A83BD3" w:rsidRPr="00613C53" w:rsidRDefault="00A83BD3">
      <w:pPr>
        <w:spacing w:line="360" w:lineRule="auto"/>
        <w:ind w:left="851" w:right="-646"/>
        <w:jc w:val="both"/>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Número de elementos que cuentan con Certificado Único Policial, al treinta y uno de enero de dos mil veinticuatro.</w:t>
      </w:r>
    </w:p>
    <w:p w:rsidR="00A83BD3" w:rsidRPr="00613C53" w:rsidRDefault="00A83BD3">
      <w:pPr>
        <w:pBdr>
          <w:top w:val="nil"/>
          <w:left w:val="nil"/>
          <w:bottom w:val="nil"/>
          <w:right w:val="nil"/>
          <w:between w:val="nil"/>
        </w:pBdr>
        <w:ind w:left="720" w:right="-646"/>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Número de elementos con curso de formación inicial al treinta y uno de enero de dos mil veinticuatro.</w:t>
      </w:r>
    </w:p>
    <w:p w:rsidR="00A83BD3" w:rsidRPr="00613C53" w:rsidRDefault="00A83BD3">
      <w:pPr>
        <w:spacing w:line="360" w:lineRule="auto"/>
        <w:ind w:left="851" w:right="-646"/>
        <w:jc w:val="both"/>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lastRenderedPageBreak/>
        <w:t>Número de elementos con curso de competencias básicas al treinta y uno de enero de dos mil veinticuatro.</w:t>
      </w:r>
    </w:p>
    <w:p w:rsidR="00E9335B" w:rsidRPr="00613C53" w:rsidRDefault="00E9335B" w:rsidP="00E9335B">
      <w:pPr>
        <w:pStyle w:val="Prrafodelista"/>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 xml:space="preserve">Fecha de última evaluación de desempeño, y el promedio general de las evaluaciones en la corporación, al treinta y uno de enero de dos mil veinticuatro. </w:t>
      </w:r>
    </w:p>
    <w:p w:rsidR="00A83BD3" w:rsidRPr="00613C53" w:rsidRDefault="00A83BD3">
      <w:pPr>
        <w:spacing w:line="360" w:lineRule="auto"/>
        <w:ind w:left="851" w:right="-646"/>
        <w:jc w:val="both"/>
        <w:rPr>
          <w:rFonts w:ascii="Palatino Linotype" w:eastAsia="Palatino Linotype" w:hAnsi="Palatino Linotype" w:cs="Palatino Linotype"/>
          <w:color w:val="000000"/>
        </w:rPr>
      </w:pPr>
    </w:p>
    <w:p w:rsidR="00A83BD3" w:rsidRPr="00613C53" w:rsidRDefault="00F41D15">
      <w:pPr>
        <w:numPr>
          <w:ilvl w:val="0"/>
          <w:numId w:val="10"/>
        </w:num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color w:val="000000"/>
        </w:rPr>
        <w:t>Número de elementos progra</w:t>
      </w:r>
      <w:r w:rsidR="00E9335B" w:rsidRPr="00613C53">
        <w:rPr>
          <w:rFonts w:ascii="Palatino Linotype" w:eastAsia="Palatino Linotype" w:hAnsi="Palatino Linotype" w:cs="Palatino Linotype"/>
          <w:color w:val="000000"/>
        </w:rPr>
        <w:t xml:space="preserve">mados para ser incluidos </w:t>
      </w:r>
      <w:r w:rsidR="007120DB" w:rsidRPr="00613C53">
        <w:rPr>
          <w:rFonts w:ascii="Palatino Linotype" w:eastAsia="Palatino Linotype" w:hAnsi="Palatino Linotype" w:cs="Palatino Linotype"/>
          <w:color w:val="000000"/>
        </w:rPr>
        <w:t>para</w:t>
      </w:r>
      <w:r w:rsidRPr="00613C53">
        <w:rPr>
          <w:rFonts w:ascii="Palatino Linotype" w:eastAsia="Palatino Linotype" w:hAnsi="Palatino Linotype" w:cs="Palatino Linotype"/>
          <w:color w:val="000000"/>
        </w:rPr>
        <w:t xml:space="preserve"> el</w:t>
      </w:r>
      <w:r w:rsidR="00E9335B" w:rsidRPr="00613C53">
        <w:rPr>
          <w:rFonts w:ascii="Palatino Linotype" w:eastAsia="Palatino Linotype" w:hAnsi="Palatino Linotype" w:cs="Palatino Linotype"/>
          <w:color w:val="000000"/>
        </w:rPr>
        <w:t xml:space="preserve"> ejercicio</w:t>
      </w:r>
      <w:r w:rsidRPr="00613C53">
        <w:rPr>
          <w:rFonts w:ascii="Palatino Linotype" w:eastAsia="Palatino Linotype" w:hAnsi="Palatino Linotype" w:cs="Palatino Linotype"/>
          <w:color w:val="000000"/>
        </w:rPr>
        <w:t xml:space="preserve"> 2024 en el curso de competencias básicas y formación inicial, al treinta y uno de enero de dos mil veinticuatro. </w:t>
      </w:r>
    </w:p>
    <w:p w:rsidR="00A83BD3" w:rsidRPr="00613C53" w:rsidRDefault="00A83BD3">
      <w:pPr>
        <w:pBdr>
          <w:top w:val="nil"/>
          <w:left w:val="nil"/>
          <w:bottom w:val="nil"/>
          <w:right w:val="nil"/>
          <w:between w:val="nil"/>
        </w:pBdr>
        <w:spacing w:line="360" w:lineRule="auto"/>
        <w:ind w:left="567" w:right="-646"/>
        <w:jc w:val="both"/>
        <w:rPr>
          <w:rFonts w:ascii="Palatino Linotype" w:eastAsia="Palatino Linotype" w:hAnsi="Palatino Linotype" w:cs="Palatino Linotype"/>
          <w:b/>
          <w:color w:val="000000"/>
        </w:rPr>
      </w:pPr>
    </w:p>
    <w:p w:rsidR="00A83BD3" w:rsidRPr="00613C53" w:rsidRDefault="00F41D15">
      <w:pPr>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rPr>
        <w:t>Para efectos de lo anterior se deberá emitir el Acuerdo del Comité de Transparencia en términos de los artículos 49</w:t>
      </w:r>
      <w:r w:rsidR="00A61255" w:rsidRPr="00613C53">
        <w:rPr>
          <w:rFonts w:ascii="Palatino Linotype" w:eastAsia="Palatino Linotype" w:hAnsi="Palatino Linotype" w:cs="Palatino Linotype"/>
        </w:rPr>
        <w:t>,</w:t>
      </w:r>
      <w:r w:rsidRPr="00613C53">
        <w:rPr>
          <w:rFonts w:ascii="Palatino Linotype" w:eastAsia="Palatino Linotype" w:hAnsi="Palatino Linotype" w:cs="Palatino Linotype"/>
        </w:rPr>
        <w:t xml:space="preserve"> fracción VIII y 132</w:t>
      </w:r>
      <w:r w:rsidR="00A61255" w:rsidRPr="00613C53">
        <w:rPr>
          <w:rFonts w:ascii="Palatino Linotype" w:eastAsia="Palatino Linotype" w:hAnsi="Palatino Linotype" w:cs="Palatino Linotype"/>
        </w:rPr>
        <w:t>,</w:t>
      </w:r>
      <w:r w:rsidRPr="00613C53">
        <w:rPr>
          <w:rFonts w:ascii="Palatino Linotype" w:eastAsia="Palatino Linotype" w:hAnsi="Palatino Linotype" w:cs="Palatino Linotype"/>
        </w:rPr>
        <w:t xml:space="preserve"> fracción II</w:t>
      </w:r>
      <w:r w:rsidR="00A61255" w:rsidRPr="00613C53">
        <w:rPr>
          <w:rFonts w:ascii="Palatino Linotype" w:eastAsia="Palatino Linotype" w:hAnsi="Palatino Linotype" w:cs="Palatino Linotype"/>
        </w:rPr>
        <w:t>,</w:t>
      </w:r>
      <w:r w:rsidRPr="00613C53">
        <w:rPr>
          <w:rFonts w:ascii="Palatino Linotype" w:eastAsia="Palatino Linotype" w:hAnsi="Palatino Linotype" w:cs="Palatino Linotype"/>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A83BD3" w:rsidRPr="00613C53" w:rsidRDefault="00A83BD3">
      <w:pPr>
        <w:spacing w:line="360" w:lineRule="auto"/>
        <w:ind w:right="-646"/>
        <w:jc w:val="both"/>
        <w:rPr>
          <w:rFonts w:ascii="Palatino Linotype" w:eastAsia="Palatino Linotype" w:hAnsi="Palatino Linotype" w:cs="Palatino Linotype"/>
        </w:rPr>
      </w:pPr>
      <w:bookmarkStart w:id="2" w:name="_heading=h.1fob9te" w:colFirst="0" w:colLast="0"/>
      <w:bookmarkEnd w:id="2"/>
    </w:p>
    <w:p w:rsidR="00A83BD3" w:rsidRPr="00613C53" w:rsidRDefault="00F41D15">
      <w:pPr>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rPr>
        <w:t xml:space="preserve">Para el caso de que el </w:t>
      </w:r>
      <w:r w:rsidRPr="00613C53">
        <w:rPr>
          <w:rFonts w:ascii="Palatino Linotype" w:eastAsia="Palatino Linotype" w:hAnsi="Palatino Linotype" w:cs="Palatino Linotype"/>
          <w:b/>
        </w:rPr>
        <w:t>SUJETO OBLIGADO</w:t>
      </w:r>
      <w:r w:rsidRPr="00613C53">
        <w:rPr>
          <w:rFonts w:ascii="Palatino Linotype" w:eastAsia="Palatino Linotype" w:hAnsi="Palatino Linotype" w:cs="Palatino Linotype"/>
        </w:rPr>
        <w:t xml:space="preserve"> no cuente la información que se ordena en los incisos </w:t>
      </w:r>
      <w:r w:rsidRPr="00613C53">
        <w:rPr>
          <w:rFonts w:ascii="Palatino Linotype" w:eastAsia="Palatino Linotype" w:hAnsi="Palatino Linotype" w:cs="Palatino Linotype"/>
          <w:b/>
        </w:rPr>
        <w:t>b)</w:t>
      </w:r>
      <w:r w:rsidRPr="00613C53">
        <w:rPr>
          <w:rFonts w:ascii="Palatino Linotype" w:eastAsia="Palatino Linotype" w:hAnsi="Palatino Linotype" w:cs="Palatino Linotype"/>
        </w:rPr>
        <w:t xml:space="preserve"> en su parte relativa a los aumentos salariales, </w:t>
      </w:r>
      <w:r w:rsidR="00C65DC5" w:rsidRPr="00613C53">
        <w:rPr>
          <w:rFonts w:ascii="Palatino Linotype" w:eastAsia="Palatino Linotype" w:hAnsi="Palatino Linotype" w:cs="Palatino Linotype"/>
          <w:b/>
        </w:rPr>
        <w:t>c)</w:t>
      </w:r>
      <w:r w:rsidR="00C65DC5" w:rsidRPr="00613C53">
        <w:rPr>
          <w:rFonts w:ascii="Palatino Linotype" w:eastAsia="Palatino Linotype" w:hAnsi="Palatino Linotype" w:cs="Palatino Linotype"/>
        </w:rPr>
        <w:t xml:space="preserve"> en su parte relativa al número de policías beneficiados, </w:t>
      </w:r>
      <w:r w:rsidRPr="00613C53">
        <w:rPr>
          <w:rFonts w:ascii="Palatino Linotype" w:eastAsia="Palatino Linotype" w:hAnsi="Palatino Linotype" w:cs="Palatino Linotype"/>
          <w:b/>
        </w:rPr>
        <w:t>d)</w:t>
      </w:r>
      <w:r w:rsidRPr="00613C53">
        <w:rPr>
          <w:rFonts w:ascii="Palatino Linotype" w:eastAsia="Palatino Linotype" w:hAnsi="Palatino Linotype" w:cs="Palatino Linotype"/>
        </w:rPr>
        <w:t xml:space="preserve">, </w:t>
      </w:r>
      <w:r w:rsidR="007120DB" w:rsidRPr="00613C53">
        <w:rPr>
          <w:rFonts w:ascii="Palatino Linotype" w:eastAsia="Palatino Linotype" w:hAnsi="Palatino Linotype" w:cs="Palatino Linotype"/>
          <w:b/>
        </w:rPr>
        <w:t>e)</w:t>
      </w:r>
      <w:r w:rsidR="007120DB" w:rsidRPr="00613C53">
        <w:rPr>
          <w:rFonts w:ascii="Palatino Linotype" w:eastAsia="Palatino Linotype" w:hAnsi="Palatino Linotype" w:cs="Palatino Linotype"/>
        </w:rPr>
        <w:t xml:space="preserve">, </w:t>
      </w:r>
      <w:r w:rsidRPr="00613C53">
        <w:rPr>
          <w:rFonts w:ascii="Palatino Linotype" w:eastAsia="Palatino Linotype" w:hAnsi="Palatino Linotype" w:cs="Palatino Linotype"/>
          <w:b/>
        </w:rPr>
        <w:t>g)</w:t>
      </w:r>
      <w:r w:rsidR="00C65DC5" w:rsidRPr="00613C53">
        <w:rPr>
          <w:rFonts w:ascii="Palatino Linotype" w:eastAsia="Palatino Linotype" w:hAnsi="Palatino Linotype" w:cs="Palatino Linotype"/>
        </w:rPr>
        <w:t xml:space="preserve">, </w:t>
      </w:r>
      <w:r w:rsidR="00C65DC5" w:rsidRPr="00613C53">
        <w:rPr>
          <w:rFonts w:ascii="Palatino Linotype" w:eastAsia="Palatino Linotype" w:hAnsi="Palatino Linotype" w:cs="Palatino Linotype"/>
          <w:b/>
        </w:rPr>
        <w:t>k)</w:t>
      </w:r>
      <w:r w:rsidR="00C65DC5" w:rsidRPr="00613C53">
        <w:rPr>
          <w:rFonts w:ascii="Palatino Linotype" w:eastAsia="Palatino Linotype" w:hAnsi="Palatino Linotype" w:cs="Palatino Linotype"/>
        </w:rPr>
        <w:t xml:space="preserve"> en su parte relativa al promedio general </w:t>
      </w:r>
      <w:r w:rsidRPr="00613C53">
        <w:rPr>
          <w:rFonts w:ascii="Palatino Linotype" w:eastAsia="Palatino Linotype" w:hAnsi="Palatino Linotype" w:cs="Palatino Linotype"/>
        </w:rPr>
        <w:t xml:space="preserve">y, </w:t>
      </w:r>
      <w:r w:rsidRPr="00613C53">
        <w:rPr>
          <w:rFonts w:ascii="Palatino Linotype" w:eastAsia="Palatino Linotype" w:hAnsi="Palatino Linotype" w:cs="Palatino Linotype"/>
          <w:b/>
        </w:rPr>
        <w:t>l)</w:t>
      </w:r>
      <w:r w:rsidRPr="00613C53">
        <w:rPr>
          <w:rFonts w:ascii="Palatino Linotype" w:eastAsia="Palatino Linotype" w:hAnsi="Palatino Linotype" w:cs="Palatino Linotype"/>
        </w:rPr>
        <w:t xml:space="preserve">, bastará que lo haga del conocimiento del particular </w:t>
      </w:r>
      <w:r w:rsidRPr="00613C53">
        <w:rPr>
          <w:rFonts w:ascii="Palatino Linotype" w:eastAsia="Palatino Linotype" w:hAnsi="Palatino Linotype" w:cs="Palatino Linotype"/>
          <w:color w:val="222222"/>
        </w:rPr>
        <w:t>conforme al artículo 19 segundo párrafo de la Ley de Transparencia y Acceso a la Información Pública del Estado de México y Municipios.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r w:rsidRPr="00613C53">
        <w:rPr>
          <w:rFonts w:ascii="Palatino Linotype" w:eastAsia="Palatino Linotype" w:hAnsi="Palatino Linotype" w:cs="Palatino Linotype"/>
          <w:b/>
          <w:color w:val="000000"/>
        </w:rPr>
        <w:lastRenderedPageBreak/>
        <w:t xml:space="preserve">TERCERO. </w:t>
      </w:r>
      <w:r w:rsidRPr="00613C53">
        <w:rPr>
          <w:rFonts w:ascii="Palatino Linotype" w:eastAsia="Palatino Linotype" w:hAnsi="Palatino Linotype" w:cs="Palatino Linotype"/>
          <w:b/>
          <w:color w:val="222222"/>
        </w:rPr>
        <w:t>NOTIFÍQUESE</w:t>
      </w:r>
      <w:r w:rsidRPr="00613C53">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13C53">
        <w:rPr>
          <w:rFonts w:ascii="Palatino Linotype" w:eastAsia="Palatino Linotype" w:hAnsi="Palatino Linotype" w:cs="Palatino Linotype"/>
          <w:b/>
          <w:color w:val="222222"/>
        </w:rPr>
        <w:t>dé cumplimiento a lo ordenado dentro del plazo de diez días hábiles,</w:t>
      </w:r>
      <w:r w:rsidRPr="00613C53">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83BD3" w:rsidRPr="00613C53" w:rsidRDefault="00A83BD3">
      <w:pPr>
        <w:spacing w:line="360" w:lineRule="auto"/>
        <w:ind w:right="-646"/>
        <w:jc w:val="both"/>
        <w:rPr>
          <w:rFonts w:ascii="Palatino Linotype" w:eastAsia="Palatino Linotype" w:hAnsi="Palatino Linotype" w:cs="Palatino Linotype"/>
        </w:rPr>
      </w:pPr>
    </w:p>
    <w:p w:rsidR="00A83BD3" w:rsidRPr="00613C53" w:rsidRDefault="00F41D15">
      <w:pPr>
        <w:tabs>
          <w:tab w:val="left" w:pos="284"/>
          <w:tab w:val="left" w:pos="8080"/>
        </w:tabs>
        <w:spacing w:line="360" w:lineRule="auto"/>
        <w:ind w:right="-646"/>
        <w:jc w:val="both"/>
        <w:rPr>
          <w:rFonts w:ascii="Palatino Linotype" w:eastAsia="Palatino Linotype" w:hAnsi="Palatino Linotype" w:cs="Palatino Linotype"/>
          <w:color w:val="222222"/>
        </w:rPr>
      </w:pPr>
      <w:r w:rsidRPr="00613C53">
        <w:rPr>
          <w:rFonts w:ascii="Palatino Linotype" w:eastAsia="Palatino Linotype" w:hAnsi="Palatino Linotype" w:cs="Palatino Linotype"/>
          <w:b/>
        </w:rPr>
        <w:t xml:space="preserve">CUARTO. </w:t>
      </w:r>
      <w:r w:rsidRPr="00613C53">
        <w:rPr>
          <w:rFonts w:ascii="Palatino Linotype" w:eastAsia="Palatino Linotype" w:hAnsi="Palatino Linotype" w:cs="Palatino Linotype"/>
          <w:b/>
          <w:color w:val="222222"/>
        </w:rPr>
        <w:t xml:space="preserve">Notifíquese </w:t>
      </w:r>
      <w:r w:rsidRPr="00613C53">
        <w:rPr>
          <w:rFonts w:ascii="Palatino Linotype" w:eastAsia="Palatino Linotype" w:hAnsi="Palatino Linotype" w:cs="Palatino Linotype"/>
          <w:color w:val="222222"/>
        </w:rPr>
        <w:t xml:space="preserve">al </w:t>
      </w:r>
      <w:r w:rsidRPr="00613C53">
        <w:rPr>
          <w:rFonts w:ascii="Palatino Linotype" w:eastAsia="Palatino Linotype" w:hAnsi="Palatino Linotype" w:cs="Palatino Linotype"/>
          <w:b/>
          <w:color w:val="222222"/>
        </w:rPr>
        <w:t xml:space="preserve">RECURRENTE </w:t>
      </w:r>
      <w:r w:rsidRPr="00613C53">
        <w:rPr>
          <w:rFonts w:ascii="Palatino Linotype" w:eastAsia="Palatino Linotype" w:hAnsi="Palatino Linotype" w:cs="Palatino Linotype"/>
        </w:rPr>
        <w:t>la presente Resolución a través del Sistema de Acceso a la Información Mexiquense (SAIMEX).</w:t>
      </w:r>
    </w:p>
    <w:p w:rsidR="00A83BD3" w:rsidRPr="00613C53" w:rsidRDefault="00A83BD3">
      <w:pPr>
        <w:tabs>
          <w:tab w:val="left" w:pos="284"/>
          <w:tab w:val="left" w:pos="8080"/>
        </w:tabs>
        <w:spacing w:line="360" w:lineRule="auto"/>
        <w:ind w:right="-646"/>
        <w:jc w:val="both"/>
        <w:rPr>
          <w:rFonts w:ascii="Palatino Linotype" w:eastAsia="Palatino Linotype" w:hAnsi="Palatino Linotype" w:cs="Palatino Linotype"/>
          <w:color w:val="222222"/>
        </w:rPr>
      </w:pPr>
    </w:p>
    <w:p w:rsidR="00A83BD3" w:rsidRPr="00613C53" w:rsidRDefault="00F41D15">
      <w:pPr>
        <w:tabs>
          <w:tab w:val="left" w:pos="284"/>
        </w:tabs>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b/>
        </w:rPr>
        <w:t xml:space="preserve">QUINTO. </w:t>
      </w:r>
      <w:r w:rsidRPr="00613C53">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83BD3" w:rsidRPr="00613C53" w:rsidRDefault="00A83BD3">
      <w:pPr>
        <w:tabs>
          <w:tab w:val="left" w:pos="284"/>
        </w:tabs>
        <w:spacing w:line="360" w:lineRule="auto"/>
        <w:ind w:right="-646"/>
        <w:jc w:val="both"/>
        <w:rPr>
          <w:rFonts w:ascii="Palatino Linotype" w:eastAsia="Palatino Linotype" w:hAnsi="Palatino Linotype" w:cs="Palatino Linotype"/>
        </w:rPr>
      </w:pPr>
    </w:p>
    <w:p w:rsidR="00A83BD3" w:rsidRPr="00613C53" w:rsidRDefault="00F41D15">
      <w:pPr>
        <w:spacing w:line="360" w:lineRule="auto"/>
        <w:ind w:right="-646"/>
        <w:jc w:val="both"/>
        <w:rPr>
          <w:rFonts w:ascii="Palatino Linotype" w:eastAsia="Palatino Linotype" w:hAnsi="Palatino Linotype" w:cs="Palatino Linotype"/>
        </w:rPr>
      </w:pPr>
      <w:r w:rsidRPr="00613C53">
        <w:rPr>
          <w:rFonts w:ascii="Palatino Linotype" w:eastAsia="Palatino Linotype" w:hAnsi="Palatino Linotype" w:cs="Palatino Linotype"/>
          <w:b/>
        </w:rPr>
        <w:t xml:space="preserve">SEXTO. </w:t>
      </w:r>
      <w:r w:rsidRPr="00613C53">
        <w:rPr>
          <w:rFonts w:ascii="Palatino Linotype" w:eastAsia="Palatino Linotype" w:hAnsi="Palatino Linotype" w:cs="Palatino Linotype"/>
        </w:rPr>
        <w:t xml:space="preserve">Se hace del conocimiento del RECURRENTE que, de conformidad con lo establecido en el artículo 196 de la Ley de Transparencia y Acceso a la Información Pública del Estado de México y Municipios, </w:t>
      </w:r>
      <w:r w:rsidRPr="00613C53">
        <w:rPr>
          <w:rFonts w:ascii="Palatino Linotype" w:eastAsia="Palatino Linotype" w:hAnsi="Palatino Linotype" w:cs="Palatino Linotype"/>
          <w:color w:val="000000"/>
        </w:rPr>
        <w:t xml:space="preserve">en caso de que considere que la resolución le cause </w:t>
      </w:r>
      <w:r w:rsidRPr="00613C53">
        <w:rPr>
          <w:rFonts w:ascii="Palatino Linotype" w:eastAsia="Palatino Linotype" w:hAnsi="Palatino Linotype" w:cs="Palatino Linotype"/>
          <w:color w:val="000000"/>
        </w:rPr>
        <w:lastRenderedPageBreak/>
        <w:t xml:space="preserve">algún perjuicio podrá </w:t>
      </w:r>
      <w:r w:rsidRPr="00613C53">
        <w:rPr>
          <w:rFonts w:ascii="Palatino Linotype" w:eastAsia="Palatino Linotype" w:hAnsi="Palatino Linotype" w:cs="Palatino Linotype"/>
        </w:rPr>
        <w:t>impugnar vía</w:t>
      </w:r>
      <w:r w:rsidRPr="00613C53">
        <w:rPr>
          <w:rFonts w:ascii="Palatino Linotype" w:eastAsia="Palatino Linotype" w:hAnsi="Palatino Linotype" w:cs="Palatino Linotype"/>
          <w:color w:val="000000"/>
        </w:rPr>
        <w:t xml:space="preserve"> </w:t>
      </w:r>
      <w:r w:rsidRPr="00613C53">
        <w:rPr>
          <w:rFonts w:ascii="Palatino Linotype" w:eastAsia="Palatino Linotype" w:hAnsi="Palatino Linotype" w:cs="Palatino Linotype"/>
        </w:rPr>
        <w:t>juicio de amparo en los términos de las leyes aplicables.</w:t>
      </w:r>
    </w:p>
    <w:p w:rsidR="00A83BD3" w:rsidRPr="00613C53" w:rsidRDefault="00A83BD3">
      <w:pPr>
        <w:spacing w:line="360" w:lineRule="auto"/>
        <w:ind w:right="-646"/>
        <w:jc w:val="both"/>
        <w:rPr>
          <w:rFonts w:ascii="Palatino Linotype" w:eastAsia="Palatino Linotype" w:hAnsi="Palatino Linotype" w:cs="Palatino Linotype"/>
        </w:rPr>
      </w:pPr>
    </w:p>
    <w:p w:rsidR="00A61255" w:rsidRPr="003C7186" w:rsidRDefault="00A61255" w:rsidP="00A61255">
      <w:pPr>
        <w:spacing w:line="360" w:lineRule="auto"/>
        <w:ind w:left="-142" w:right="-234" w:firstLine="1"/>
        <w:jc w:val="both"/>
        <w:rPr>
          <w:rFonts w:ascii="Palatino Linotype" w:hAnsi="Palatino Linotype"/>
        </w:rPr>
      </w:pPr>
      <w:r w:rsidRPr="00613C5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173E93" w:rsidRPr="00613C53">
        <w:rPr>
          <w:rFonts w:ascii="Palatino Linotype" w:hAnsi="Palatino Linotype"/>
        </w:rPr>
        <w:t xml:space="preserve">EMITIENDO VOTO PARTICULAR </w:t>
      </w:r>
      <w:r w:rsidRPr="00613C53">
        <w:rPr>
          <w:rFonts w:ascii="Palatino Linotype" w:hAnsi="Palatino Linotype"/>
        </w:rPr>
        <w:t>Y GUADALUPE RAMÍREZ PEÑA</w:t>
      </w:r>
      <w:r w:rsidR="00173E93" w:rsidRPr="00613C53">
        <w:rPr>
          <w:rFonts w:ascii="Palatino Linotype" w:hAnsi="Palatino Linotype"/>
        </w:rPr>
        <w:t xml:space="preserve"> EMITIENDO VOTO PARTICULAR</w:t>
      </w:r>
      <w:r w:rsidRPr="00613C53">
        <w:rPr>
          <w:rFonts w:ascii="Palatino Linotype" w:hAnsi="Palatino Linotype"/>
        </w:rPr>
        <w:t>; EN LA TERCERA SESIÓN ORDINARIA CELEBRADA EL VEINTINUEVE (29) DE ENERO DE DOS MIL VEINTICINCO, ANTE EL SECRETARIO TÉCNICO DEL PLENO ALEXIS TAPIA RAMÍREZ.</w:t>
      </w:r>
      <w:bookmarkStart w:id="3" w:name="_GoBack"/>
      <w:bookmarkEnd w:id="3"/>
      <w:r w:rsidRPr="003C7186">
        <w:rPr>
          <w:rFonts w:ascii="Palatino Linotype" w:hAnsi="Palatino Linotype"/>
        </w:rPr>
        <w:t xml:space="preserve"> </w:t>
      </w: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p w:rsidR="00A83BD3" w:rsidRDefault="00A83BD3">
      <w:pPr>
        <w:spacing w:line="360" w:lineRule="auto"/>
        <w:ind w:right="-646"/>
        <w:jc w:val="both"/>
        <w:rPr>
          <w:rFonts w:ascii="Palatino Linotype" w:eastAsia="Palatino Linotype" w:hAnsi="Palatino Linotype" w:cs="Palatino Linotype"/>
          <w:color w:val="000000"/>
        </w:rPr>
      </w:pPr>
    </w:p>
    <w:sectPr w:rsidR="00A83BD3">
      <w:headerReference w:type="default" r:id="rId25"/>
      <w:footerReference w:type="default" r:id="rId26"/>
      <w:headerReference w:type="first" r:id="rId27"/>
      <w:footerReference w:type="first" r:id="rId28"/>
      <w:pgSz w:w="12240" w:h="15840"/>
      <w:pgMar w:top="2268" w:right="1701" w:bottom="1985"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0AC" w:rsidRDefault="005330AC">
      <w:r>
        <w:separator/>
      </w:r>
    </w:p>
  </w:endnote>
  <w:endnote w:type="continuationSeparator" w:id="0">
    <w:p w:rsidR="005330AC" w:rsidRDefault="00533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0DB" w:rsidRDefault="007120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613C53">
      <w:rPr>
        <w:rFonts w:ascii="Palatino Linotype" w:eastAsia="Palatino Linotype" w:hAnsi="Palatino Linotype" w:cs="Palatino Linotype"/>
        <w:b/>
        <w:noProof/>
        <w:color w:val="000000"/>
        <w:sz w:val="22"/>
        <w:szCs w:val="22"/>
      </w:rPr>
      <w:t>105</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613C53">
      <w:rPr>
        <w:rFonts w:ascii="Palatino Linotype" w:eastAsia="Palatino Linotype" w:hAnsi="Palatino Linotype" w:cs="Palatino Linotype"/>
        <w:b/>
        <w:noProof/>
        <w:color w:val="000000"/>
        <w:sz w:val="22"/>
        <w:szCs w:val="22"/>
      </w:rPr>
      <w:t>107</w:t>
    </w:r>
    <w:r>
      <w:rPr>
        <w:rFonts w:ascii="Palatino Linotype" w:eastAsia="Palatino Linotype" w:hAnsi="Palatino Linotype" w:cs="Palatino Linotype"/>
        <w:b/>
        <w:color w:val="000000"/>
        <w:sz w:val="22"/>
        <w:szCs w:val="22"/>
      </w:rPr>
      <w:fldChar w:fldCharType="end"/>
    </w:r>
  </w:p>
  <w:p w:rsidR="007120DB" w:rsidRDefault="007120DB">
    <w:pPr>
      <w:pBdr>
        <w:top w:val="nil"/>
        <w:left w:val="nil"/>
        <w:bottom w:val="nil"/>
        <w:right w:val="nil"/>
        <w:between w:val="nil"/>
      </w:pBdr>
      <w:tabs>
        <w:tab w:val="center" w:pos="4252"/>
        <w:tab w:val="right" w:pos="8504"/>
      </w:tabs>
      <w:rPr>
        <w:color w:val="000000"/>
      </w:rPr>
    </w:pPr>
  </w:p>
  <w:p w:rsidR="007120DB" w:rsidRDefault="007120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0DB" w:rsidRDefault="007120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13C5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13C53">
      <w:rPr>
        <w:rFonts w:ascii="Palatino Linotype" w:eastAsia="Palatino Linotype" w:hAnsi="Palatino Linotype" w:cs="Palatino Linotype"/>
        <w:noProof/>
        <w:color w:val="000000"/>
        <w:sz w:val="22"/>
        <w:szCs w:val="22"/>
      </w:rPr>
      <w:t>107</w:t>
    </w:r>
    <w:r>
      <w:rPr>
        <w:rFonts w:ascii="Palatino Linotype" w:eastAsia="Palatino Linotype" w:hAnsi="Palatino Linotype" w:cs="Palatino Linotype"/>
        <w:color w:val="000000"/>
        <w:sz w:val="22"/>
        <w:szCs w:val="22"/>
      </w:rPr>
      <w:fldChar w:fldCharType="end"/>
    </w:r>
  </w:p>
  <w:p w:rsidR="007120DB" w:rsidRDefault="007120DB">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7120DB" w:rsidRDefault="007120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0AC" w:rsidRDefault="005330AC">
      <w:r>
        <w:separator/>
      </w:r>
    </w:p>
  </w:footnote>
  <w:footnote w:type="continuationSeparator" w:id="0">
    <w:p w:rsidR="005330AC" w:rsidRDefault="005330AC">
      <w:r>
        <w:continuationSeparator/>
      </w:r>
    </w:p>
  </w:footnote>
  <w:footnote w:id="1">
    <w:p w:rsidR="007120DB" w:rsidRDefault="007120DB">
      <w:pP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https://www.osfem.gob.mx/04_Iconografia/Ent_Fisc/Doc_Apoy/doc/2022/03_Instr4.pdf</w:t>
      </w:r>
    </w:p>
  </w:footnote>
  <w:footnote w:id="2">
    <w:p w:rsidR="007120DB" w:rsidRDefault="007120D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Disponible para su consulta en </w:t>
      </w:r>
      <w:hyperlink r:id="rId1">
        <w:r>
          <w:rPr>
            <w:rFonts w:ascii="Palatino Linotype" w:eastAsia="Palatino Linotype" w:hAnsi="Palatino Linotype" w:cs="Palatino Linotype"/>
            <w:color w:val="0000FF"/>
            <w:sz w:val="20"/>
            <w:szCs w:val="20"/>
            <w:u w:val="single"/>
          </w:rPr>
          <w:t>https://www.gob.mx/cms/uploads/attachment/file/188142/6._Capacitaci_n_FORTASEG_Centro_Nacional_de_Certificaci_n_y_Acreditaci_n.pdf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0DB" w:rsidRDefault="007120DB">
    <w:pPr>
      <w:widowControl w:val="0"/>
      <w:pBdr>
        <w:top w:val="nil"/>
        <w:left w:val="nil"/>
        <w:bottom w:val="nil"/>
        <w:right w:val="nil"/>
        <w:between w:val="nil"/>
      </w:pBdr>
      <w:spacing w:line="276" w:lineRule="auto"/>
      <w:rPr>
        <w:color w:val="000000"/>
        <w:sz w:val="20"/>
        <w:szCs w:val="20"/>
      </w:rPr>
    </w:pPr>
  </w:p>
  <w:tbl>
    <w:tblPr>
      <w:tblStyle w:val="a1"/>
      <w:tblW w:w="6950"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0"/>
      <w:gridCol w:w="3690"/>
    </w:tblGrid>
    <w:tr w:rsidR="007120DB">
      <w:trPr>
        <w:trHeight w:val="138"/>
        <w:jc w:val="right"/>
      </w:trPr>
      <w:tc>
        <w:tcPr>
          <w:tcW w:w="3260" w:type="dxa"/>
          <w:vAlign w:val="center"/>
        </w:tcPr>
        <w:p w:rsidR="007120DB" w:rsidRDefault="007120DB">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90" w:type="dxa"/>
          <w:vAlign w:val="center"/>
        </w:tcPr>
        <w:p w:rsidR="007120DB" w:rsidRDefault="007120DB">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00833/INFOEM/IP/RR/2024</w:t>
          </w:r>
        </w:p>
      </w:tc>
    </w:tr>
    <w:tr w:rsidR="007120DB">
      <w:trPr>
        <w:trHeight w:val="233"/>
        <w:jc w:val="right"/>
      </w:trPr>
      <w:tc>
        <w:tcPr>
          <w:tcW w:w="3260" w:type="dxa"/>
          <w:vAlign w:val="center"/>
        </w:tcPr>
        <w:p w:rsidR="007120DB" w:rsidRDefault="007120DB">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90" w:type="dxa"/>
          <w:vAlign w:val="center"/>
        </w:tcPr>
        <w:p w:rsidR="007120DB" w:rsidRDefault="007120DB">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Ayuntamiento de </w:t>
          </w:r>
          <w:proofErr w:type="spellStart"/>
          <w:r>
            <w:rPr>
              <w:rFonts w:ascii="Palatino Linotype" w:eastAsia="Palatino Linotype" w:hAnsi="Palatino Linotype" w:cs="Palatino Linotype"/>
              <w:color w:val="000000"/>
            </w:rPr>
            <w:t>Xonacatlán</w:t>
          </w:r>
          <w:proofErr w:type="spellEnd"/>
        </w:p>
      </w:tc>
    </w:tr>
    <w:tr w:rsidR="007120DB">
      <w:trPr>
        <w:trHeight w:val="321"/>
        <w:jc w:val="right"/>
      </w:trPr>
      <w:tc>
        <w:tcPr>
          <w:tcW w:w="3260" w:type="dxa"/>
          <w:vAlign w:val="center"/>
        </w:tcPr>
        <w:p w:rsidR="007120DB" w:rsidRDefault="007120DB">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90" w:type="dxa"/>
          <w:vAlign w:val="center"/>
        </w:tcPr>
        <w:p w:rsidR="007120DB" w:rsidRDefault="007120DB">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7120DB" w:rsidRDefault="007120DB">
    <w:pPr>
      <w:pBdr>
        <w:top w:val="nil"/>
        <w:left w:val="nil"/>
        <w:bottom w:val="nil"/>
        <w:right w:val="nil"/>
        <w:between w:val="nil"/>
      </w:pBdr>
      <w:tabs>
        <w:tab w:val="center" w:pos="4252"/>
        <w:tab w:val="right" w:pos="8504"/>
      </w:tabs>
      <w:rPr>
        <w:color w:val="000000"/>
      </w:rPr>
    </w:pPr>
    <w:r>
      <w:rPr>
        <w:noProof/>
        <w:color w:val="000000"/>
      </w:rPr>
      <w:drawing>
        <wp:anchor distT="0" distB="0" distL="0" distR="0" simplePos="0" relativeHeight="251657216" behindDoc="1" locked="0" layoutInCell="1" hidden="0" allowOverlap="1">
          <wp:simplePos x="0" y="0"/>
          <wp:positionH relativeFrom="page">
            <wp:posOffset>30785</wp:posOffset>
          </wp:positionH>
          <wp:positionV relativeFrom="page">
            <wp:posOffset>30480</wp:posOffset>
          </wp:positionV>
          <wp:extent cx="7695210" cy="10020839"/>
          <wp:effectExtent l="0" t="0" r="0" b="0"/>
          <wp:wrapNone/>
          <wp:docPr id="17415212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95210" cy="10020839"/>
                  </a:xfrm>
                  <a:prstGeom prst="rect">
                    <a:avLst/>
                  </a:prstGeom>
                  <a:ln/>
                </pic:spPr>
              </pic:pic>
            </a:graphicData>
          </a:graphic>
        </wp:anchor>
      </w:drawing>
    </w:r>
  </w:p>
  <w:p w:rsidR="007120DB" w:rsidRDefault="007120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0DB" w:rsidRDefault="005330AC">
    <w:pPr>
      <w:pBdr>
        <w:top w:val="nil"/>
        <w:left w:val="nil"/>
        <w:bottom w:val="nil"/>
        <w:right w:val="nil"/>
        <w:between w:val="nil"/>
      </w:pBdr>
      <w:tabs>
        <w:tab w:val="center" w:pos="4252"/>
        <w:tab w:val="right" w:pos="8504"/>
        <w:tab w:val="left" w:pos="3103"/>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118.65pt;margin-top:-128.35pt;width:663.5pt;height:12in;z-index:-251658240;mso-position-horizontal:absolute;mso-position-horizontal-relative:margin;mso-position-vertical:absolute;mso-position-vertical-relative:margin">
          <v:imagedata r:id="rId1" o:title="image3"/>
          <w10:wrap anchorx="margin" anchory="margin"/>
        </v:shape>
      </w:pict>
    </w:r>
    <w:r w:rsidR="007120DB">
      <w:rPr>
        <w:color w:val="000000"/>
      </w:rPr>
      <w:tab/>
    </w:r>
  </w:p>
  <w:tbl>
    <w:tblPr>
      <w:tblStyle w:val="a2"/>
      <w:tblW w:w="7372"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4111"/>
    </w:tblGrid>
    <w:tr w:rsidR="007120DB">
      <w:trPr>
        <w:trHeight w:val="138"/>
        <w:jc w:val="right"/>
      </w:trPr>
      <w:tc>
        <w:tcPr>
          <w:tcW w:w="3261" w:type="dxa"/>
          <w:vAlign w:val="center"/>
        </w:tcPr>
        <w:p w:rsidR="007120DB" w:rsidRDefault="007120D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rsidR="007120DB" w:rsidRDefault="007120DB">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00833/INFOEM/IP/RR/2024</w:t>
          </w:r>
        </w:p>
      </w:tc>
    </w:tr>
    <w:tr w:rsidR="007120DB">
      <w:trPr>
        <w:trHeight w:val="233"/>
        <w:jc w:val="right"/>
      </w:trPr>
      <w:tc>
        <w:tcPr>
          <w:tcW w:w="3261" w:type="dxa"/>
          <w:vAlign w:val="center"/>
        </w:tcPr>
        <w:p w:rsidR="007120DB" w:rsidRDefault="007120D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tcPr>
        <w:p w:rsidR="007120DB" w:rsidRDefault="00931477">
          <w:pPr>
            <w:pBdr>
              <w:top w:val="nil"/>
              <w:left w:val="nil"/>
              <w:bottom w:val="nil"/>
              <w:right w:val="nil"/>
              <w:between w:val="nil"/>
            </w:pBdr>
            <w:tabs>
              <w:tab w:val="center" w:pos="4252"/>
              <w:tab w:val="right" w:pos="8504"/>
            </w:tabs>
            <w:ind w:right="-107"/>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XXXXXXXXXX</w:t>
          </w:r>
        </w:p>
      </w:tc>
    </w:tr>
    <w:tr w:rsidR="007120DB">
      <w:trPr>
        <w:trHeight w:val="321"/>
        <w:jc w:val="right"/>
      </w:trPr>
      <w:tc>
        <w:tcPr>
          <w:tcW w:w="3261" w:type="dxa"/>
          <w:vAlign w:val="center"/>
        </w:tcPr>
        <w:p w:rsidR="007120DB" w:rsidRDefault="007120D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rsidR="007120DB" w:rsidRDefault="007120DB">
          <w:pPr>
            <w:jc w:val="both"/>
            <w:rPr>
              <w:rFonts w:ascii="Palatino Linotype" w:eastAsia="Palatino Linotype" w:hAnsi="Palatino Linotype" w:cs="Palatino Linotype"/>
            </w:rPr>
          </w:pPr>
          <w:r>
            <w:rPr>
              <w:rFonts w:ascii="Palatino Linotype" w:eastAsia="Palatino Linotype" w:hAnsi="Palatino Linotype" w:cs="Palatino Linotype"/>
              <w:sz w:val="22"/>
              <w:szCs w:val="22"/>
            </w:rPr>
            <w:t xml:space="preserve">Ayuntamiento de </w:t>
          </w:r>
          <w:proofErr w:type="spellStart"/>
          <w:r>
            <w:rPr>
              <w:rFonts w:ascii="Palatino Linotype" w:eastAsia="Palatino Linotype" w:hAnsi="Palatino Linotype" w:cs="Palatino Linotype"/>
              <w:sz w:val="22"/>
              <w:szCs w:val="22"/>
            </w:rPr>
            <w:t>Xonacatlán</w:t>
          </w:r>
          <w:proofErr w:type="spellEnd"/>
        </w:p>
      </w:tc>
    </w:tr>
    <w:tr w:rsidR="007120DB">
      <w:trPr>
        <w:trHeight w:val="321"/>
        <w:jc w:val="right"/>
      </w:trPr>
      <w:tc>
        <w:tcPr>
          <w:tcW w:w="3261" w:type="dxa"/>
          <w:vAlign w:val="center"/>
        </w:tcPr>
        <w:p w:rsidR="007120DB" w:rsidRDefault="007120D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rsidR="007120DB" w:rsidRDefault="007120DB">
          <w:pPr>
            <w:pBdr>
              <w:top w:val="nil"/>
              <w:left w:val="nil"/>
              <w:bottom w:val="nil"/>
              <w:right w:val="nil"/>
              <w:between w:val="nil"/>
            </w:pBdr>
            <w:tabs>
              <w:tab w:val="center" w:pos="4252"/>
              <w:tab w:val="right" w:pos="8504"/>
            </w:tabs>
            <w:ind w:left="3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7120DB" w:rsidRDefault="007120DB">
    <w:pPr>
      <w:pBdr>
        <w:top w:val="nil"/>
        <w:left w:val="nil"/>
        <w:bottom w:val="nil"/>
        <w:right w:val="nil"/>
        <w:between w:val="nil"/>
      </w:pBdr>
      <w:tabs>
        <w:tab w:val="center" w:pos="4252"/>
        <w:tab w:val="right" w:pos="8504"/>
        <w:tab w:val="left" w:pos="3103"/>
      </w:tabs>
      <w:rPr>
        <w:color w:val="000000"/>
      </w:rPr>
    </w:pPr>
  </w:p>
  <w:p w:rsidR="007120DB" w:rsidRDefault="007120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03E91"/>
    <w:multiLevelType w:val="multilevel"/>
    <w:tmpl w:val="1C621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3074C8"/>
    <w:multiLevelType w:val="multilevel"/>
    <w:tmpl w:val="DCBE25F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20B31B48"/>
    <w:multiLevelType w:val="multilevel"/>
    <w:tmpl w:val="BA8405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BD2F32"/>
    <w:multiLevelType w:val="multilevel"/>
    <w:tmpl w:val="A35EFB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A417CB"/>
    <w:multiLevelType w:val="multilevel"/>
    <w:tmpl w:val="E7261E64"/>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2B674E24"/>
    <w:multiLevelType w:val="multilevel"/>
    <w:tmpl w:val="0E844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26054B"/>
    <w:multiLevelType w:val="multilevel"/>
    <w:tmpl w:val="6DD60E64"/>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36505B"/>
    <w:multiLevelType w:val="multilevel"/>
    <w:tmpl w:val="E2706DF4"/>
    <w:lvl w:ilvl="0">
      <w:start w:val="1"/>
      <w:numFmt w:val="bullet"/>
      <w:lvlText w:val="●"/>
      <w:lvlJc w:val="left"/>
      <w:pPr>
        <w:ind w:left="2705" w:hanging="360"/>
      </w:pPr>
      <w:rPr>
        <w:rFonts w:ascii="Noto Sans Symbols" w:eastAsia="Noto Sans Symbols" w:hAnsi="Noto Sans Symbols" w:cs="Noto Sans Symbols"/>
      </w:rPr>
    </w:lvl>
    <w:lvl w:ilvl="1">
      <w:start w:val="1"/>
      <w:numFmt w:val="bullet"/>
      <w:lvlText w:val="o"/>
      <w:lvlJc w:val="left"/>
      <w:pPr>
        <w:ind w:left="3425" w:hanging="360"/>
      </w:pPr>
      <w:rPr>
        <w:rFonts w:ascii="Courier New" w:eastAsia="Courier New" w:hAnsi="Courier New" w:cs="Courier New"/>
      </w:rPr>
    </w:lvl>
    <w:lvl w:ilvl="2">
      <w:start w:val="1"/>
      <w:numFmt w:val="bullet"/>
      <w:lvlText w:val="▪"/>
      <w:lvlJc w:val="left"/>
      <w:pPr>
        <w:ind w:left="4145" w:hanging="360"/>
      </w:pPr>
      <w:rPr>
        <w:rFonts w:ascii="Noto Sans Symbols" w:eastAsia="Noto Sans Symbols" w:hAnsi="Noto Sans Symbols" w:cs="Noto Sans Symbols"/>
      </w:rPr>
    </w:lvl>
    <w:lvl w:ilvl="3">
      <w:start w:val="1"/>
      <w:numFmt w:val="bullet"/>
      <w:lvlText w:val="●"/>
      <w:lvlJc w:val="left"/>
      <w:pPr>
        <w:ind w:left="4865" w:hanging="360"/>
      </w:pPr>
      <w:rPr>
        <w:rFonts w:ascii="Noto Sans Symbols" w:eastAsia="Noto Sans Symbols" w:hAnsi="Noto Sans Symbols" w:cs="Noto Sans Symbols"/>
      </w:rPr>
    </w:lvl>
    <w:lvl w:ilvl="4">
      <w:start w:val="1"/>
      <w:numFmt w:val="bullet"/>
      <w:lvlText w:val="o"/>
      <w:lvlJc w:val="left"/>
      <w:pPr>
        <w:ind w:left="5585" w:hanging="360"/>
      </w:pPr>
      <w:rPr>
        <w:rFonts w:ascii="Courier New" w:eastAsia="Courier New" w:hAnsi="Courier New" w:cs="Courier New"/>
      </w:rPr>
    </w:lvl>
    <w:lvl w:ilvl="5">
      <w:start w:val="1"/>
      <w:numFmt w:val="bullet"/>
      <w:lvlText w:val="▪"/>
      <w:lvlJc w:val="left"/>
      <w:pPr>
        <w:ind w:left="6305" w:hanging="360"/>
      </w:pPr>
      <w:rPr>
        <w:rFonts w:ascii="Noto Sans Symbols" w:eastAsia="Noto Sans Symbols" w:hAnsi="Noto Sans Symbols" w:cs="Noto Sans Symbols"/>
      </w:rPr>
    </w:lvl>
    <w:lvl w:ilvl="6">
      <w:start w:val="1"/>
      <w:numFmt w:val="bullet"/>
      <w:lvlText w:val="●"/>
      <w:lvlJc w:val="left"/>
      <w:pPr>
        <w:ind w:left="7025" w:hanging="360"/>
      </w:pPr>
      <w:rPr>
        <w:rFonts w:ascii="Noto Sans Symbols" w:eastAsia="Noto Sans Symbols" w:hAnsi="Noto Sans Symbols" w:cs="Noto Sans Symbols"/>
      </w:rPr>
    </w:lvl>
    <w:lvl w:ilvl="7">
      <w:start w:val="1"/>
      <w:numFmt w:val="bullet"/>
      <w:lvlText w:val="o"/>
      <w:lvlJc w:val="left"/>
      <w:pPr>
        <w:ind w:left="7745" w:hanging="360"/>
      </w:pPr>
      <w:rPr>
        <w:rFonts w:ascii="Courier New" w:eastAsia="Courier New" w:hAnsi="Courier New" w:cs="Courier New"/>
      </w:rPr>
    </w:lvl>
    <w:lvl w:ilvl="8">
      <w:start w:val="1"/>
      <w:numFmt w:val="bullet"/>
      <w:lvlText w:val="▪"/>
      <w:lvlJc w:val="left"/>
      <w:pPr>
        <w:ind w:left="8465" w:hanging="360"/>
      </w:pPr>
      <w:rPr>
        <w:rFonts w:ascii="Noto Sans Symbols" w:eastAsia="Noto Sans Symbols" w:hAnsi="Noto Sans Symbols" w:cs="Noto Sans Symbols"/>
      </w:rPr>
    </w:lvl>
  </w:abstractNum>
  <w:abstractNum w:abstractNumId="9" w15:restartNumberingAfterBreak="0">
    <w:nsid w:val="51881DE9"/>
    <w:multiLevelType w:val="multilevel"/>
    <w:tmpl w:val="75BC237C"/>
    <w:lvl w:ilvl="0">
      <w:start w:val="1"/>
      <w:numFmt w:val="upperRoman"/>
      <w:lvlText w:val="%1."/>
      <w:lvlJc w:val="left"/>
      <w:pPr>
        <w:ind w:left="644" w:hanging="359"/>
      </w:pPr>
      <w:rPr>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B552D5"/>
    <w:multiLevelType w:val="multilevel"/>
    <w:tmpl w:val="D2BC1A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976B64"/>
    <w:multiLevelType w:val="multilevel"/>
    <w:tmpl w:val="585E95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F121D4"/>
    <w:multiLevelType w:val="multilevel"/>
    <w:tmpl w:val="CF28F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686E04"/>
    <w:multiLevelType w:val="multilevel"/>
    <w:tmpl w:val="E1FAB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D639B5"/>
    <w:multiLevelType w:val="multilevel"/>
    <w:tmpl w:val="0D5E161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7F274B21"/>
    <w:multiLevelType w:val="multilevel"/>
    <w:tmpl w:val="F3C8D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3C7353"/>
    <w:multiLevelType w:val="multilevel"/>
    <w:tmpl w:val="EC84365C"/>
    <w:lvl w:ilvl="0">
      <w:start w:val="1"/>
      <w:numFmt w:val="lowerLetter"/>
      <w:lvlText w:val="%1)"/>
      <w:lvlJc w:val="left"/>
      <w:pPr>
        <w:ind w:left="1713" w:hanging="360"/>
      </w:pPr>
      <w:rPr>
        <w:b/>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num w:numId="1">
    <w:abstractNumId w:val="7"/>
  </w:num>
  <w:num w:numId="2">
    <w:abstractNumId w:val="4"/>
  </w:num>
  <w:num w:numId="3">
    <w:abstractNumId w:val="3"/>
  </w:num>
  <w:num w:numId="4">
    <w:abstractNumId w:val="11"/>
  </w:num>
  <w:num w:numId="5">
    <w:abstractNumId w:val="1"/>
  </w:num>
  <w:num w:numId="6">
    <w:abstractNumId w:val="8"/>
  </w:num>
  <w:num w:numId="7">
    <w:abstractNumId w:val="12"/>
  </w:num>
  <w:num w:numId="8">
    <w:abstractNumId w:val="14"/>
  </w:num>
  <w:num w:numId="9">
    <w:abstractNumId w:val="2"/>
  </w:num>
  <w:num w:numId="10">
    <w:abstractNumId w:val="17"/>
  </w:num>
  <w:num w:numId="11">
    <w:abstractNumId w:val="13"/>
  </w:num>
  <w:num w:numId="12">
    <w:abstractNumId w:val="5"/>
  </w:num>
  <w:num w:numId="13">
    <w:abstractNumId w:val="16"/>
  </w:num>
  <w:num w:numId="14">
    <w:abstractNumId w:val="15"/>
  </w:num>
  <w:num w:numId="15">
    <w:abstractNumId w:val="0"/>
  </w:num>
  <w:num w:numId="16">
    <w:abstractNumId w:val="9"/>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BD3"/>
    <w:rsid w:val="0000648A"/>
    <w:rsid w:val="000742A2"/>
    <w:rsid w:val="00173E93"/>
    <w:rsid w:val="001F3CEB"/>
    <w:rsid w:val="002621F7"/>
    <w:rsid w:val="003F6397"/>
    <w:rsid w:val="005330AC"/>
    <w:rsid w:val="00596078"/>
    <w:rsid w:val="005F27A1"/>
    <w:rsid w:val="00613C53"/>
    <w:rsid w:val="007120DB"/>
    <w:rsid w:val="007638AE"/>
    <w:rsid w:val="008067C1"/>
    <w:rsid w:val="00931477"/>
    <w:rsid w:val="00A61255"/>
    <w:rsid w:val="00A83BD3"/>
    <w:rsid w:val="00C65DC5"/>
    <w:rsid w:val="00D00D55"/>
    <w:rsid w:val="00E9335B"/>
    <w:rsid w:val="00F41D15"/>
    <w:rsid w:val="00FA10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560DB72-EBE5-4499-9D68-920C76FE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A0D"/>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qFormat/>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eastAsia="en-US"/>
    </w:rPr>
  </w:style>
  <w:style w:type="character" w:customStyle="1" w:styleId="SinespaciadoCar">
    <w:name w:val="Sin espaciado Car"/>
    <w:aliases w:val="Francesa Car,INAI Car"/>
    <w:link w:val="Sinespaciado"/>
    <w:uiPriority w:val="1"/>
    <w:qFormat/>
    <w:locked/>
    <w:rsid w:val="009C0940"/>
  </w:style>
  <w:style w:type="table" w:customStyle="1" w:styleId="Tablanormal11">
    <w:name w:val="Tabla normal 11"/>
    <w:basedOn w:val="Tablanormal"/>
    <w:uiPriority w:val="41"/>
    <w:rsid w:val="00BD02D5"/>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1"/>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rPr>
  </w:style>
  <w:style w:type="character" w:customStyle="1" w:styleId="m-698976158124685028gmail-apple-converted-space">
    <w:name w:val="m_-698976158124685028gmail-apple-converted-space"/>
    <w:basedOn w:val="Fuentedeprrafopredeter"/>
    <w:rsid w:val="005C0828"/>
  </w:style>
  <w:style w:type="character" w:customStyle="1" w:styleId="il">
    <w:name w:val="il"/>
    <w:basedOn w:val="Fuentedeprrafopredeter"/>
    <w:rsid w:val="00736D6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cretariadoejecutivo.gob.mx/work/models/SecretariadoEjecutivo/Resource/328/1/images/instructivo_final_edo_fuerza(1).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b.mx/sedena/documentos/expedicion-de-una-licencia-oficial-colectiva"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b.mx/cms/uploads/attachment/file/188142/6._Capacitaci_n_FORTASEG_Centro_Nacional_de_Certificaci_n_y_Acreditaci_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tZs6oSE30VR/gPLPo+/Tcy7DGg==">CgMxLjAyCGguZ2pkZ3hzMgloLjMwajB6bGwyCWguMWZvYjl0ZTgAciExSlZXcnEtS0FOb296Y0tHdjhkem12TlV4ck95dEVMbTQ=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107</Pages>
  <Words>23788</Words>
  <Characters>130839</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INFOEM403</cp:lastModifiedBy>
  <cp:revision>14</cp:revision>
  <dcterms:created xsi:type="dcterms:W3CDTF">2025-01-27T22:40:00Z</dcterms:created>
  <dcterms:modified xsi:type="dcterms:W3CDTF">2025-02-11T00:26:00Z</dcterms:modified>
</cp:coreProperties>
</file>