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bCs w:val="1"/>
          <w:rtl w:val="0"/>
        </w:rPr>
        <w:t xml:space="preserve">veinticinco de noviembre de dos mil veinticinco. </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bCs w:val="1"/>
          <w:rtl w:val="0"/>
        </w:rPr>
        <w:t xml:space="preserve">06829/INFOEM/IP/RR/2025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bCs w:val="1"/>
          <w:color w:val="000000"/>
          <w:rtl w:val="0"/>
        </w:rPr>
        <w:t xml:space="preserve">XXXX XX XXXXXX XX XXXX </w:t>
      </w:r>
      <w:r w:rsidDel="00000000" w:rsidR="00000000" w:rsidRPr="00000000">
        <w:rPr>
          <w:rFonts w:ascii="Palatino Linotype" w:cs="Palatino Linotype" w:eastAsia="Palatino Linotype" w:hAnsi="Palatino Linotype"/>
          <w:rtl w:val="0"/>
        </w:rPr>
        <w:t xml:space="preserve">al cual en lo sucesivo se le denominará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bCs w:val="1"/>
          <w:rtl w:val="0"/>
        </w:rPr>
        <w:t xml:space="preserve">00024/TEJUPIL/IP/2025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bCs w:val="1"/>
          <w:rtl w:val="0"/>
        </w:rPr>
        <w:t xml:space="preserve">Ayuntamiento de Tejupilco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bookmarkStart w:colFirst="0" w:colLast="0" w:name="_heading=h.3znysh7" w:id="0"/>
      <w:bookmarkEnd w:id="0"/>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veinticuatro de mayo de dos mil veinticinco </w:t>
      </w:r>
      <w:r w:rsidDel="00000000" w:rsidR="00000000" w:rsidRPr="00000000">
        <w:rPr>
          <w:rFonts w:ascii="Palatino Linotype" w:cs="Palatino Linotype" w:eastAsia="Palatino Linotype" w:hAnsi="Palatino Linotype"/>
          <w:rtl w:val="0"/>
        </w:rPr>
        <w:t xml:space="preserve">el Recurrente formuló solicitud de acceso a información pública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la cual quedó registrada el </w:t>
      </w:r>
      <w:r w:rsidDel="00000000" w:rsidR="00000000" w:rsidRPr="00000000">
        <w:rPr>
          <w:rFonts w:ascii="Palatino Linotype" w:cs="Palatino Linotype" w:eastAsia="Palatino Linotype" w:hAnsi="Palatino Linotype"/>
          <w:b w:val="1"/>
          <w:bCs w:val="1"/>
          <w:rtl w:val="0"/>
        </w:rPr>
        <w:t xml:space="preserve">veintiséis de mayo de dos mil veinticinco</w:t>
      </w:r>
      <w:r w:rsidDel="00000000" w:rsidR="00000000" w:rsidRPr="00000000">
        <w:rPr>
          <w:rFonts w:ascii="Palatino Linotype" w:cs="Palatino Linotype" w:eastAsia="Palatino Linotype" w:hAnsi="Palatino Linotype"/>
          <w:rtl w:val="0"/>
        </w:rPr>
        <w:t xml:space="preserve">,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iCs w:val="1"/>
        </w:rPr>
      </w:pPr>
      <w:bookmarkStart w:colFirst="0" w:colLast="0" w:name="_heading=h.30j0zll" w:id="1"/>
      <w:bookmarkEnd w:id="1"/>
      <w:r w:rsidDel="00000000" w:rsidR="00000000" w:rsidRPr="00000000">
        <w:rPr>
          <w:rFonts w:ascii="Palatino Linotype" w:cs="Palatino Linotype" w:eastAsia="Palatino Linotype" w:hAnsi="Palatino Linotype"/>
          <w:i w:val="1"/>
          <w:iCs w:val="1"/>
          <w:rtl w:val="0"/>
        </w:rPr>
        <w:t xml:space="preserve">Por medio de la presente y con fundamento en los artículos correspondientes de la Ley de Transparencia y Acceso a la Información Pública del Estado de México y Municipios, solicito atentamente la siguiente información: Relación completa, con ubicación geográfica (preferentemente coordenadas o referencias claras), de todas las paradas autorizadas para el ascenso y descenso de pasajeros de microbuses, camiones de transporte y/o unidades de transporte urbano dentro de la cabecera municipal de Tejupilco, Estado de México. Copia o descripción de los planes, programas, estudios, estrategias o acciones implementadas por el H. Ayuntamiento, la Dirección de Movilidad o cualquier otra área competente, destinadas a: Hacer valer el uso adecuado de las paradas autorizadas de transporte público, Reducir o mitigar el congestionamiento vial en la cabecera municipal. En caso de que la información esté contenida en algún documento técnico o plan de movilidad municipal, solicito acceso a dichos documentos en formato digital, según la disponibilidad. Solicito que la información me sea entregada en formato digital, preferentemente PDF, y en caso de contener bases de datos, en formato abierto (CSV, Excel, etc.). Agradezco de antemano la atención a la presente solicitud.</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cinco de junio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emitió respuesta, la cual es previamente del conocimiento de las partes.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once de junio de dos mil veinticinco </w:t>
      </w:r>
      <w:r w:rsidDel="00000000" w:rsidR="00000000" w:rsidRPr="00000000">
        <w:rPr>
          <w:rFonts w:ascii="Palatino Linotype" w:cs="Palatino Linotype" w:eastAsia="Palatino Linotype" w:hAnsi="Palatino Linotype"/>
          <w:rtl w:val="0"/>
        </w:rPr>
        <w:t xml:space="preserve">el Recurrente interpuso su Recurso de Revisión, a través del cual expresó lo siguiente: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Acto impugnado</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informacion incompleta</w:t>
      </w:r>
      <w:r w:rsidDel="00000000" w:rsidR="00000000" w:rsidRPr="00000000">
        <w:rPr>
          <w:rFonts w:ascii="Palatino Linotype" w:cs="Palatino Linotype" w:eastAsia="Palatino Linotype" w:hAnsi="Palatino Linotype"/>
          <w:i w:val="1"/>
          <w:iCs w:val="1"/>
          <w:rtl w:val="0"/>
        </w:rPr>
        <w:t xml:space="preserve"> Con fundamento en los artículos 138, 139, 140, 141 y 143 de la Ley de Transparencia y Acceso a la Información Pública del Estado de México y Municipios, interpongo recurso de revisión en contra de la respuesta emitida por el H. Ayuntamiento de Tejupilco a la solicitud de información presentada bajo el folio [coloca el folio aquí]. El recurso se presenta por las siguientes razones: El sujeto obligado </w:t>
      </w:r>
      <w:r w:rsidDel="00000000" w:rsidR="00000000" w:rsidRPr="00000000">
        <w:rPr>
          <w:rFonts w:ascii="Palatino Linotype" w:cs="Palatino Linotype" w:eastAsia="Palatino Linotype" w:hAnsi="Palatino Linotype"/>
          <w:b w:val="1"/>
          <w:bCs w:val="1"/>
          <w:i w:val="1"/>
          <w:iCs w:val="1"/>
          <w:rtl w:val="0"/>
        </w:rPr>
        <w:t xml:space="preserve">entregó solamente la información relacionada con las "bases" de transporte público (microbuses), sin atender de manera completa lo solicitado, que incluía específicamente: Paradas autorizadas para el ascenso y descenso de pasajeros dentro de la cabecera municipal. Información sobre señalización, ubicación y mecanismos para hacerlas valer. La información proporcionada no satisface la solicitud, ya que la ubicación de bases no equivale a paradas intermedias de ascenso y descenso, ni evidencia la existencia de señalética o controles operativos.</w:t>
      </w:r>
      <w:r w:rsidDel="00000000" w:rsidR="00000000" w:rsidRPr="00000000">
        <w:rPr>
          <w:rFonts w:ascii="Palatino Linotype" w:cs="Palatino Linotype" w:eastAsia="Palatino Linotype" w:hAnsi="Palatino Linotype"/>
          <w:i w:val="1"/>
          <w:iCs w:val="1"/>
          <w:rtl w:val="0"/>
        </w:rPr>
        <w:t xml:space="preserve"> Además, </w:t>
      </w:r>
      <w:r w:rsidDel="00000000" w:rsidR="00000000" w:rsidRPr="00000000">
        <w:rPr>
          <w:rFonts w:ascii="Palatino Linotype" w:cs="Palatino Linotype" w:eastAsia="Palatino Linotype" w:hAnsi="Palatino Linotype"/>
          <w:b w:val="1"/>
          <w:bCs w:val="1"/>
          <w:i w:val="1"/>
          <w:iCs w:val="1"/>
          <w:rtl w:val="0"/>
        </w:rPr>
        <w:t xml:space="preserve">no se remitió información relativa a estrategias operativas o de movilidad vial en la cabecera municipal que tengan como propósito evitar el congestionamiento derivado del mal uso del transporte público</w:t>
      </w:r>
      <w:r w:rsidDel="00000000" w:rsidR="00000000" w:rsidRPr="00000000">
        <w:rPr>
          <w:rFonts w:ascii="Palatino Linotype" w:cs="Palatino Linotype" w:eastAsia="Palatino Linotype" w:hAnsi="Palatino Linotype"/>
          <w:i w:val="1"/>
          <w:iCs w:val="1"/>
          <w:rtl w:val="0"/>
        </w:rPr>
        <w:t xml:space="preserve">. Por lo anterior, y con base en lo establecido en el artículo 8 y 95 de la misma Ley, que señalan que la información sobre la prestación de servicios públicos y los documentos que generen los sujetos obligados en ejercicio de sus funciones deben ser públicos y accesibles, solicito respetuosamente:”.</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Razones o motivos de la inconformidad: </w:t>
      </w:r>
      <w:r w:rsidDel="00000000" w:rsidR="00000000" w:rsidRPr="00000000">
        <w:rPr>
          <w:rFonts w:ascii="Palatino Linotype" w:cs="Palatino Linotype" w:eastAsia="Palatino Linotype" w:hAnsi="Palatino Linotype"/>
          <w:i w:val="1"/>
          <w:iCs w:val="1"/>
          <w:rtl w:val="0"/>
        </w:rPr>
        <w:t xml:space="preserve">“Que se ordene al Ayuntamiento de Tejupilco </w:t>
      </w:r>
      <w:r w:rsidDel="00000000" w:rsidR="00000000" w:rsidRPr="00000000">
        <w:rPr>
          <w:rFonts w:ascii="Palatino Linotype" w:cs="Palatino Linotype" w:eastAsia="Palatino Linotype" w:hAnsi="Palatino Linotype"/>
          <w:b w:val="1"/>
          <w:bCs w:val="1"/>
          <w:i w:val="1"/>
          <w:iCs w:val="1"/>
          <w:u w:val="single"/>
          <w:rtl w:val="0"/>
        </w:rPr>
        <w:t xml:space="preserve">la entrega completa y actualizada de las paradas autorizadas de ascenso y descenso de pasajeros (no solo bases) dentro de la cabecera municipal, especificando su ubicación, señalización y medidas para su cumplimiento. Que se entregue información o documentación oficial sobre estrategias, reglamentos o acciones específicas para ordenar el transporte y evitar congestión vial en la zona central del municipio</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rtl w:val="0"/>
        </w:rPr>
        <w:t xml:space="preserve">06829/INFOEM/IP/RR/2025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dieciséis de junio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Manifestaciones. </w:t>
      </w: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doce de noviembre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1C">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numPr>
          <w:ilvl w:val="0"/>
          <w:numId w:val="4"/>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28">
      <w:pPr>
        <w:spacing w:after="0"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numPr>
          <w:ilvl w:val="0"/>
          <w:numId w:val="4"/>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A">
      <w:pPr>
        <w:numPr>
          <w:ilvl w:val="0"/>
          <w:numId w:val="4"/>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Conducta de la Autoridad: </w:t>
      </w:r>
      <w:r w:rsidDel="00000000" w:rsidR="00000000" w:rsidRPr="00000000">
        <w:rPr>
          <w:rFonts w:ascii="Palatino Linotype" w:cs="Palatino Linotype" w:eastAsia="Palatino Linotype" w:hAnsi="Palatino Linotype"/>
          <w:rtl w:val="0"/>
        </w:rPr>
        <w:t xml:space="preserve">Las Acciones u omisiones realizadas en el procedimiento. Así como si la autoridad actuó con la debida diligencia.</w:t>
      </w:r>
    </w:p>
    <w:p w:rsidR="00000000" w:rsidDel="00000000" w:rsidP="00000000" w:rsidRDefault="00000000" w:rsidRPr="00000000" w14:paraId="0000002B">
      <w:pPr>
        <w:spacing w:after="0"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numPr>
          <w:ilvl w:val="0"/>
          <w:numId w:val="4"/>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i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6">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7">
      <w:pPr>
        <w:spacing w:after="0" w:line="36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doce de noviembre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w:t>
        <w:tab/>
        <w:t xml:space="preserve">C O N S I D E R A N D O:</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rtl w:val="0"/>
        </w:rPr>
        <w:t xml:space="preserve">cinco de junio de dos mil veinticinco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bCs w:val="1"/>
          <w:rtl w:val="0"/>
        </w:rPr>
        <w:t xml:space="preserve">once de junio de dos mil veinticinco</w:t>
      </w:r>
      <w:r w:rsidDel="00000000" w:rsidR="00000000" w:rsidRPr="00000000">
        <w:rPr>
          <w:rFonts w:ascii="Palatino Linotype" w:cs="Palatino Linotype" w:eastAsia="Palatino Linotype" w:hAnsi="Palatino Linotype"/>
          <w:rtl w:val="0"/>
        </w:rPr>
        <w:t xml:space="preserve">, esto es al cuarto día hábil en que tuvo conocimiento de la respuesta. </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bCs w:val="1"/>
          <w:rtl w:val="0"/>
        </w:rPr>
        <w:t xml:space="preserve"> 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proporcionó un seudónimo,</w:t>
      </w:r>
      <w:r w:rsidDel="00000000" w:rsidR="00000000" w:rsidRPr="00000000">
        <w:rPr>
          <w:rFonts w:ascii="Palatino Linotype" w:cs="Palatino Linotype" w:eastAsia="Palatino Linotype" w:hAnsi="Palatino Linotype"/>
          <w:rtl w:val="0"/>
        </w:rPr>
        <w:t xml:space="preserve">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Las solicitudes </w:t>
      </w:r>
      <w:r w:rsidDel="00000000" w:rsidR="00000000" w:rsidRPr="00000000">
        <w:rPr>
          <w:rFonts w:ascii="Palatino Linotype" w:cs="Palatino Linotype" w:eastAsia="Palatino Linotype" w:hAnsi="Palatino Linotype"/>
          <w:i w:val="1"/>
          <w:iCs w:val="1"/>
          <w:rtl w:val="0"/>
        </w:rPr>
        <w:t xml:space="preserve">anónimas, </w:t>
      </w:r>
      <w:r w:rsidDel="00000000" w:rsidR="00000000" w:rsidRPr="00000000">
        <w:rPr>
          <w:rFonts w:ascii="Palatino Linotype" w:cs="Palatino Linotype" w:eastAsia="Palatino Linotype" w:hAnsi="Palatino Linotype"/>
          <w:b w:val="1"/>
          <w:bCs w:val="1"/>
          <w:i w:val="1"/>
          <w:iCs w:val="1"/>
          <w:rtl w:val="0"/>
        </w:rPr>
        <w:t xml:space="preserve">con nombre incompleto</w:t>
      </w:r>
      <w:r w:rsidDel="00000000" w:rsidR="00000000" w:rsidRPr="00000000">
        <w:rPr>
          <w:rFonts w:ascii="Palatino Linotype" w:cs="Palatino Linotype" w:eastAsia="Palatino Linotype" w:hAnsi="Palatino Linotype"/>
          <w:i w:val="1"/>
          <w:iCs w:val="1"/>
          <w:rtl w:val="0"/>
        </w:rPr>
        <w:t xml:space="preserve"> o seudónimo </w:t>
      </w:r>
      <w:r w:rsidDel="00000000" w:rsidR="00000000" w:rsidRPr="00000000">
        <w:rPr>
          <w:rFonts w:ascii="Palatino Linotype" w:cs="Palatino Linotype" w:eastAsia="Palatino Linotype" w:hAnsi="Palatino Linotype"/>
          <w:b w:val="1"/>
          <w:bCs w:val="1"/>
          <w:i w:val="1"/>
          <w:iCs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iCs w:val="1"/>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49">
      <w:pPr>
        <w:spacing w:after="0" w:line="360" w:lineRule="auto"/>
        <w:ind w:left="42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 hipótesis prevista en el artículo 179, fracción V de la ley de la materia, que a la letra dice:</w:t>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 </w:t>
      </w:r>
      <w:r w:rsidDel="00000000" w:rsidR="00000000" w:rsidRPr="00000000">
        <w:rPr>
          <w:rFonts w:ascii="Palatino Linotype" w:cs="Palatino Linotype" w:eastAsia="Palatino Linotype" w:hAnsi="Palatino Linotype"/>
          <w:i w:val="1"/>
          <w:iCs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4E">
      <w:pPr>
        <w:spacing w:after="0" w:line="36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La entrega de información incompleta;</w:t>
      </w:r>
    </w:p>
    <w:p w:rsidR="00000000" w:rsidDel="00000000" w:rsidP="00000000" w:rsidRDefault="00000000" w:rsidRPr="00000000" w14:paraId="0000004F">
      <w:pPr>
        <w:spacing w:after="0" w:line="36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50">
      <w:pPr>
        <w:spacing w:after="0" w:line="36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y el informe justificado del Sujeto Obligado</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6">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7">
      <w:pPr>
        <w:tabs>
          <w:tab w:val="left" w:leader="none" w:pos="851"/>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5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5E">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5F">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62">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4">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6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F">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1">
      <w:pPr>
        <w:tabs>
          <w:tab w:val="left" w:leader="none" w:pos="7797"/>
        </w:tabs>
        <w:spacing w:after="0" w:lineRule="auto"/>
        <w:ind w:left="709"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72">
      <w:pPr>
        <w:tabs>
          <w:tab w:val="left" w:leader="none" w:pos="7797"/>
        </w:tabs>
        <w:spacing w:after="0" w:lineRule="auto"/>
        <w:ind w:left="709"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3">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4">
      <w:pPr>
        <w:tabs>
          <w:tab w:val="left" w:leader="none" w:pos="7797"/>
        </w:tabs>
        <w:spacing w:after="0" w:lineRule="auto"/>
        <w:ind w:left="709" w:right="616"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que la parte Solicitante requirió se le proporcionara en formato digital, preferentemente PDF, y en caso de contener bases de datos, en formato abierto (CSV, Excel, etc.), lo siguiente: </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Relación completa con ubicación geográfica (preferentemente coordenadas o referencias claras), de todas las paradas autorizadas para el ascenso y descenso de pasajeros de microbuses, camiones de transporte y/o unidades de transporte urbano dentro de la cabecera municipal de Tejupilco, Estado de México. </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Planes, programas, estudios, estrategias o acciones implementadas por el Ayuntamiento, la Dirección de Movilidad o cualquier otra área competente, destinadas a hacer valer el uso adecuado de las paradas autorizadas de transporte público, reducir o mitigar el congestionamiento vial en la cabecera municipal. En caso de que la información esté contenida en algún documento técnico o plan de movilidad municipal.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proporcionó lo siguiente:</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Planos de referencia de las Bases de Microbuses, emitido por la Dirección de Desarrollo Urbano </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Plan Municipal de Desarrollo Urbano de Tejupilco</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Bases registradas por localidad según tipo de transporte, en el que se advierte municipio/localidad, autobús, taxi, mototaxi, bicitaxi, tricitaxi, otros.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arguyendo textualmente lo siguiente: </w:t>
      </w:r>
      <w:r w:rsidDel="00000000" w:rsidR="00000000" w:rsidRPr="00000000">
        <w:rPr>
          <w:rFonts w:ascii="Palatino Linotype" w:cs="Palatino Linotype" w:eastAsia="Palatino Linotype" w:hAnsi="Palatino Linotype"/>
          <w:i w:val="1"/>
          <w:iCs w:val="1"/>
          <w:rtl w:val="0"/>
        </w:rPr>
        <w:t xml:space="preserve">“Que se ordene al Ayuntamiento de Tejupilco la entrega completa y actualizada de las </w:t>
      </w:r>
      <w:r w:rsidDel="00000000" w:rsidR="00000000" w:rsidRPr="00000000">
        <w:rPr>
          <w:rFonts w:ascii="Palatino Linotype" w:cs="Palatino Linotype" w:eastAsia="Palatino Linotype" w:hAnsi="Palatino Linotype"/>
          <w:b w:val="1"/>
          <w:bCs w:val="1"/>
          <w:i w:val="1"/>
          <w:iCs w:val="1"/>
          <w:u w:val="single"/>
          <w:rtl w:val="0"/>
        </w:rPr>
        <w:t xml:space="preserve">paradas autorizadas de ascenso y descenso de pasajeros (no solo bases) dentro de la cabecera municipal, especificando su ubicación, señalización y medidas para su cumplimiento</w:t>
      </w:r>
      <w:r w:rsidDel="00000000" w:rsidR="00000000" w:rsidRPr="00000000">
        <w:rPr>
          <w:rFonts w:ascii="Palatino Linotype" w:cs="Palatino Linotype" w:eastAsia="Palatino Linotype" w:hAnsi="Palatino Linotype"/>
          <w:i w:val="1"/>
          <w:iCs w:val="1"/>
          <w:rtl w:val="0"/>
        </w:rPr>
        <w:t xml:space="preserve">. Que se entregue información o documentación oficial sobre </w:t>
      </w:r>
      <w:r w:rsidDel="00000000" w:rsidR="00000000" w:rsidRPr="00000000">
        <w:rPr>
          <w:rFonts w:ascii="Palatino Linotype" w:cs="Palatino Linotype" w:eastAsia="Palatino Linotype" w:hAnsi="Palatino Linotype"/>
          <w:b w:val="1"/>
          <w:bCs w:val="1"/>
          <w:i w:val="1"/>
          <w:iCs w:val="1"/>
          <w:u w:val="single"/>
          <w:rtl w:val="0"/>
        </w:rPr>
        <w:t xml:space="preserve">estrategias, reglamentos o acciones específicas para ordenar el transporte y evitar congestión vial en la zona central del municipio.</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partes fueron omisas en rendir manifestaciones.</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1276"/>
        </w:tabs>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menester referir que, el Bando Municipal de Policía y Buen Gobierno 2025, se señala en su artículo 133 y 194 lo siguiente: </w:t>
      </w:r>
    </w:p>
    <w:p w:rsidR="00000000" w:rsidDel="00000000" w:rsidP="00000000" w:rsidRDefault="00000000" w:rsidRPr="00000000" w14:paraId="00000086">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133.</w:t>
      </w:r>
      <w:r w:rsidDel="00000000" w:rsidR="00000000" w:rsidRPr="00000000">
        <w:rPr>
          <w:rFonts w:ascii="Palatino Linotype" w:cs="Palatino Linotype" w:eastAsia="Palatino Linotype" w:hAnsi="Palatino Linotype"/>
          <w:i w:val="1"/>
          <w:iCs w:val="1"/>
          <w:rtl w:val="0"/>
        </w:rPr>
        <w:t xml:space="preserve"> El crecimiento urbano ordenado dentro del municipio de Tejupilco, es de orden público e interés social y corresponde al Ayuntamiento, con apego a las Leyes de los Gobiernos Federales y Estatales, con la participación de la ciudadanía y, en su caso, considerando la aprobación de la Legislatura, dictar las medidas necesarias y observar las disposiciones emitidas por el RIU (Reglamento de Imagen Urbana) el cual será de aplicación supletoria; así como el Plan Municipal de Desarrollo Urbano de Tejupilco, publicado en la Gaceta del Gobierno del Estado de México, en las siguientes materias:</w:t>
      </w:r>
    </w:p>
    <w:p w:rsidR="00000000" w:rsidDel="00000000" w:rsidP="00000000" w:rsidRDefault="00000000" w:rsidRPr="00000000" w14:paraId="00000088">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89">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Participar con las instancias correspondientes en el proceso de regulación de la tenencia de la tierra. </w:t>
      </w:r>
    </w:p>
    <w:p w:rsidR="00000000" w:rsidDel="00000000" w:rsidP="00000000" w:rsidRDefault="00000000" w:rsidRPr="00000000" w14:paraId="0000008A">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Uso y destino de suelo. </w:t>
      </w:r>
    </w:p>
    <w:p w:rsidR="00000000" w:rsidDel="00000000" w:rsidP="00000000" w:rsidRDefault="00000000" w:rsidRPr="00000000" w14:paraId="0000008B">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Normar la construcción de vivienda social, social progresiva, popular y residencial, en sus diferentes modalidades. </w:t>
      </w:r>
    </w:p>
    <w:p w:rsidR="00000000" w:rsidDel="00000000" w:rsidP="00000000" w:rsidRDefault="00000000" w:rsidRPr="00000000" w14:paraId="0000008C">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Regular el impacto ambiental y ecológico en coordinación con las instancias correspondientes de las tres órdenes de gobierno. </w:t>
      </w:r>
    </w:p>
    <w:p w:rsidR="00000000" w:rsidDel="00000000" w:rsidP="00000000" w:rsidRDefault="00000000" w:rsidRPr="00000000" w14:paraId="0000008D">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Determinar las reservas territoriales y ecológicas. </w:t>
      </w:r>
    </w:p>
    <w:p w:rsidR="00000000" w:rsidDel="00000000" w:rsidP="00000000" w:rsidRDefault="00000000" w:rsidRPr="00000000" w14:paraId="0000008E">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 Preservar la conservación y el mejoramiento de la imagen urbana y estilo característico de las construcciones dentro del centro histórico de la cabecera municipal. </w:t>
      </w:r>
    </w:p>
    <w:p w:rsidR="00000000" w:rsidDel="00000000" w:rsidP="00000000" w:rsidRDefault="00000000" w:rsidRPr="00000000" w14:paraId="0000008F">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VII. Autorización de las licencias y permisos de construcción particulares y uso de predios, así como de afectación de bienes del municipio o de uso común. </w:t>
      </w:r>
    </w:p>
    <w:p w:rsidR="00000000" w:rsidDel="00000000" w:rsidP="00000000" w:rsidRDefault="00000000" w:rsidRPr="00000000" w14:paraId="00000090">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VIII. Otorgar, actualizar, mantener, conservar e informar a la ciudadanía el nombre oficial de las calles y colonias existentes en el territorio Municipal, a fin de evitar la asignación erro nea de nombres de Colonias y Calles, así como el número oficial correspondiente para definir el domicilio legal de los vecinos y habitantes, conservando la relación con el Reglamento de Imagen Urbana.</w:t>
      </w:r>
    </w:p>
    <w:p w:rsidR="00000000" w:rsidDel="00000000" w:rsidP="00000000" w:rsidRDefault="00000000" w:rsidRPr="00000000" w14:paraId="00000091">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Lo anterior se ajustara a las disposiciones que emita el ayuntamiento.</w:t>
      </w:r>
    </w:p>
    <w:p w:rsidR="00000000" w:rsidDel="00000000" w:rsidP="00000000" w:rsidRDefault="00000000" w:rsidRPr="00000000" w14:paraId="00000092">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IX. Autorizar el diseño y ubicación de anuncios comerciales. </w:t>
      </w:r>
    </w:p>
    <w:p w:rsidR="00000000" w:rsidDel="00000000" w:rsidP="00000000" w:rsidRDefault="00000000" w:rsidRPr="00000000" w14:paraId="00000093">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 Vigilar que los ciudadanos cumplan con el cuidado de la imagen urbana y paisajes, manteniéndola libre de contaminación visual y de libre tránsito, entendiendo esta como publicidad excesiva o mal colocado, grafiti ilegal o cualquier otro objeto que obstruya la visibilidad de señalamientos, monumentos o espacios públicos, así como la movilidad en la vía pública. </w:t>
      </w:r>
    </w:p>
    <w:p w:rsidR="00000000" w:rsidDel="00000000" w:rsidP="00000000" w:rsidRDefault="00000000" w:rsidRPr="00000000" w14:paraId="00000094">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 Proponer una gama de colores, forma y estilo de fachadas para los espacios públicos del Patrimonio Municipal, mismos que se recomendara n a los particulares, con el propio sito de homologar criterios sobre la imagen urbana del municipio. </w:t>
      </w:r>
    </w:p>
    <w:p w:rsidR="00000000" w:rsidDel="00000000" w:rsidP="00000000" w:rsidRDefault="00000000" w:rsidRPr="00000000" w14:paraId="00000095">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XII. Los ciudadanos que tengan su domicilio en el polígono del centro histórico y principales avenidas (27 de Septiembre, Juárez, Independencia y Josefa Ortiz de Domínguez) de la Ciudad de Tejupilco, adoptara n el estilo, forma y color que el Ayuntamiento recomiende para sus fachadas. </w:t>
      </w:r>
    </w:p>
    <w:p w:rsidR="00000000" w:rsidDel="00000000" w:rsidP="00000000" w:rsidRDefault="00000000" w:rsidRPr="00000000" w14:paraId="00000096">
      <w:pPr>
        <w:spacing w:after="0" w:lineRule="auto"/>
        <w:ind w:left="567" w:right="560"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XIII. Determinar, en coordinación con la Delegación Regional de Movilidad del Estado de México, las paradas para el transporte urbano, suburbano y mixto, así como sus paraderos en la cabecera municipal; también, establecer las bases y lanzaderas del transporte mixto (furgoneta y ruleteras) y taxis, necesarias en el municipio. </w:t>
      </w:r>
    </w:p>
    <w:p w:rsidR="00000000" w:rsidDel="00000000" w:rsidP="00000000" w:rsidRDefault="00000000" w:rsidRPr="00000000" w14:paraId="00000097">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XIV. Las demás que le confieran otras disposiciones legales Federales y Estatales, el presente Bando, el Reglamento Municipal de Desarrollo Urbano y las normas de observancia general que apruebe el Ayuntamiento. </w:t>
      </w:r>
    </w:p>
    <w:p w:rsidR="00000000" w:rsidDel="00000000" w:rsidP="00000000" w:rsidRDefault="00000000" w:rsidRPr="00000000" w14:paraId="00000098">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XV. La inobservancia de lo anterior dará causa al inicio del procedimiento administrativo correspondiente, así como a la imposición de sanciones administrativas. </w:t>
      </w:r>
    </w:p>
    <w:p w:rsidR="00000000" w:rsidDel="00000000" w:rsidP="00000000" w:rsidRDefault="00000000" w:rsidRPr="00000000" w14:paraId="00000099">
      <w:pPr>
        <w:spacing w:after="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XVI. Las demás que le confieran otras disposiciones legales Federales y Estatales, el presente Bando, el Plan de Desarrollo Urbano Municipal, el Reglamento de Imagen Urbana y las normas de observancia general que apruebe el Ayuntamiento.</w:t>
      </w:r>
      <w:r w:rsidDel="00000000" w:rsidR="00000000" w:rsidRPr="00000000">
        <w:rPr>
          <w:rtl w:val="0"/>
        </w:rPr>
      </w:r>
    </w:p>
    <w:p w:rsidR="00000000" w:rsidDel="00000000" w:rsidP="00000000" w:rsidRDefault="00000000" w:rsidRPr="00000000" w14:paraId="0000009A">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194</w:t>
      </w:r>
      <w:r w:rsidDel="00000000" w:rsidR="00000000" w:rsidRPr="00000000">
        <w:rPr>
          <w:rFonts w:ascii="Palatino Linotype" w:cs="Palatino Linotype" w:eastAsia="Palatino Linotype" w:hAnsi="Palatino Linotype"/>
          <w:i w:val="1"/>
          <w:iCs w:val="1"/>
          <w:rtl w:val="0"/>
        </w:rPr>
        <w:t xml:space="preserve">. Los prestadores de los servicios públicos concesionados de transporte urbano, estarán obligados a mantener en buen estado las unidades y dar un trato digno y respetuoso a los usuarios, así como obedecer los señalamientos de vialidad, de límite de velocidad dentro de la zona urbana y las paradas para los usuarios que, para tal efecto, han sido previamente destinados.</w:t>
      </w:r>
    </w:p>
    <w:p w:rsidR="00000000" w:rsidDel="00000000" w:rsidP="00000000" w:rsidRDefault="00000000" w:rsidRPr="00000000" w14:paraId="0000009C">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w:t>
      </w:r>
      <w:r w:rsidDel="00000000" w:rsidR="00000000" w:rsidRPr="00000000">
        <w:rPr>
          <w:rFonts w:ascii="Palatino Linotype" w:cs="Palatino Linotype" w:eastAsia="Palatino Linotype" w:hAnsi="Palatino Linotype"/>
          <w:b w:val="1"/>
          <w:bCs w:val="1"/>
          <w:rtl w:val="0"/>
        </w:rPr>
        <w:t xml:space="preserve">que</w:t>
      </w:r>
      <w:r w:rsidDel="00000000" w:rsidR="00000000" w:rsidRPr="00000000">
        <w:rPr>
          <w:rFonts w:ascii="Palatino Linotype" w:cs="Palatino Linotype" w:eastAsia="Palatino Linotype" w:hAnsi="Palatino Linotype"/>
          <w:rtl w:val="0"/>
        </w:rPr>
        <w:t xml:space="preserve">, la Dirección de Desarrollo Urbano en coordinación con la Delegación Regional de Movilidad del Estado de México, deberán determinar las paradas para el transporte urbano, suburbano y mixto, así como sus paraderos en la cabecera municipal, al igual que establecer las bases y lanzaderas del transporte mixto, por lo que, el Sujeto Obligado cuenta con competencia, facultades y funciones para generar, administrar y poseer la información solicitada. </w:t>
      </w:r>
    </w:p>
    <w:p w:rsidR="00000000" w:rsidDel="00000000" w:rsidP="00000000" w:rsidRDefault="00000000" w:rsidRPr="00000000" w14:paraId="0000009E">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relación con los motivos de inconformidad hechos valer por la parte Recurrente, se realiza el siguiente análisis. </w:t>
      </w:r>
    </w:p>
    <w:p w:rsidR="00000000" w:rsidDel="00000000" w:rsidP="00000000" w:rsidRDefault="00000000" w:rsidRPr="00000000" w14:paraId="000000A0">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 </w:t>
      </w:r>
      <w:r w:rsidDel="00000000" w:rsidR="00000000" w:rsidRPr="00000000">
        <w:rPr>
          <w:rFonts w:ascii="Palatino Linotype" w:cs="Palatino Linotype" w:eastAsia="Palatino Linotype" w:hAnsi="Palatino Linotype"/>
          <w:b w:val="1"/>
          <w:bCs w:val="1"/>
          <w:rtl w:val="0"/>
        </w:rPr>
        <w:t xml:space="preserve">relación completa con ubicación geográfica, coordenadas o referencias, de todas las paradas autorizadas para el ascenso y descenso de pasajeros de microbuses, camiones de transporte y/o unidades de transporte urbano dentro de la cabecera municipal</w:t>
      </w:r>
      <w:r w:rsidDel="00000000" w:rsidR="00000000" w:rsidRPr="00000000">
        <w:rPr>
          <w:rFonts w:ascii="Palatino Linotype" w:cs="Palatino Linotype" w:eastAsia="Palatino Linotype" w:hAnsi="Palatino Linotype"/>
          <w:rtl w:val="0"/>
        </w:rPr>
        <w:t xml:space="preserve">, el Sujeto Obligado proporcionó diversos Planos de referencia de las Bases de Microbuses, así como una lista de las Bases registradas por localidad según el tipo de transporte, en el que se advierte municipio/localidad, autobús, taxi, mototaxi, bicitaxi y otros, tal como se observa a continuación: </w:t>
      </w:r>
    </w:p>
    <w:p w:rsidR="00000000" w:rsidDel="00000000" w:rsidP="00000000" w:rsidRDefault="00000000" w:rsidRPr="00000000" w14:paraId="000000A2">
      <w:pPr>
        <w:spacing w:after="0" w:line="360" w:lineRule="auto"/>
        <w:ind w:right="-7"/>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209100" cy="2550727"/>
            <wp:effectExtent b="0" l="0" r="0" t="0"/>
            <wp:docPr id="2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209100" cy="2550727"/>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998980"/>
            <wp:effectExtent b="0" l="0" r="0" t="0"/>
            <wp:docPr id="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56275" cy="199898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si bien, el Ayuntamiento de Tejupilco si bien remitió información relacionada con el listado de las bases registradas por localidad y los planos de referencia de las bases, también lo es que, no existió pronunciamiento relativo a las paradas autorizadas para el ascenso y descenso de pasajeros de los transportes referidos en la solicitud de información. </w:t>
      </w:r>
    </w:p>
    <w:p w:rsidR="00000000" w:rsidDel="00000000" w:rsidP="00000000" w:rsidRDefault="00000000" w:rsidRPr="00000000" w14:paraId="000000A6">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forma que es necesario traer a colación lo que señala el Criterio orientador 02/17 emitido por el entonces Instituto Nacional de Transparencia, Acceso a la Información y Protección de Datos Personales el cual establece lo siguiente:</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567" w:right="701"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567" w:right="70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iCs w:val="1"/>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bCs w:val="1"/>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rtl w:val="0"/>
        </w:rPr>
        <w:t xml:space="preserve">, mientras que la exhaustividad establece que el sujeto obligado </w:t>
      </w:r>
      <w:r w:rsidDel="00000000" w:rsidR="00000000" w:rsidRPr="00000000">
        <w:rPr>
          <w:rFonts w:ascii="Palatino Linotype" w:cs="Palatino Linotype" w:eastAsia="Palatino Linotype" w:hAnsi="Palatino Linotype"/>
          <w:b w:val="1"/>
          <w:bCs w:val="1"/>
          <w:rtl w:val="0"/>
        </w:rPr>
        <w:t xml:space="preserve">deberá atender de manera expresa cada uno de los puntos solicitados</w:t>
      </w:r>
      <w:r w:rsidDel="00000000" w:rsidR="00000000" w:rsidRPr="00000000">
        <w:rPr>
          <w:rFonts w:ascii="Palatino Linotype" w:cs="Palatino Linotype" w:eastAsia="Palatino Linotype" w:hAnsi="Palatino Linotype"/>
          <w:rtl w:val="0"/>
        </w:rPr>
        <w:t xml:space="preserve">, situación que en el presente caso </w:t>
      </w:r>
      <w:r w:rsidDel="00000000" w:rsidR="00000000" w:rsidRPr="00000000">
        <w:rPr>
          <w:rFonts w:ascii="Palatino Linotype" w:cs="Palatino Linotype" w:eastAsia="Palatino Linotype" w:hAnsi="Palatino Linotype"/>
          <w:b w:val="1"/>
          <w:bCs w:val="1"/>
          <w:rtl w:val="0"/>
        </w:rPr>
        <w:t xml:space="preserve">no aconteció, pues el Sujeto Obligado fue omiso en respecto a las paradas autorizadas de los transportes señalados.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De ello, se considera que, el Sujeto Obligado, en razón de que, cuenta con atribuciones para conocer, generar y administrar dicha información; deberá hacer entrega de la información relacionada con </w:t>
      </w:r>
      <w:r w:rsidDel="00000000" w:rsidR="00000000" w:rsidRPr="00000000">
        <w:rPr>
          <w:rFonts w:ascii="Palatino Linotype" w:cs="Palatino Linotype" w:eastAsia="Palatino Linotype" w:hAnsi="Palatino Linotype"/>
          <w:b w:val="1"/>
          <w:bCs w:val="1"/>
          <w:rtl w:val="0"/>
        </w:rPr>
        <w:t xml:space="preserve">los documentos donde consten las paradas autorizadas para el ascenso y descenso de pasajeros de las unidades de transporte urbano vigentes al veintiséis de mayo de dos mil veinticinco.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parte solicitante requirió coordinadas o referencias de dichas paradas autorizadas, no obstante, no se advierte fuente obligacional para que el Sujeto Obligado cuente con tal información, es por lo que, en cuanto a esto, basta con que el Sujeto Obligado lo haga del conocimiento de la parte Recurrente para tener por colmado dicho punto de la solicitud. </w:t>
      </w:r>
    </w:p>
    <w:p w:rsidR="00000000" w:rsidDel="00000000" w:rsidP="00000000" w:rsidRDefault="00000000" w:rsidRPr="00000000" w14:paraId="000000B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after="0" w:line="360" w:lineRule="auto"/>
        <w:ind w:right="-93"/>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En lo que respecta a los </w:t>
      </w:r>
      <w:r w:rsidDel="00000000" w:rsidR="00000000" w:rsidRPr="00000000">
        <w:rPr>
          <w:rFonts w:ascii="Palatino Linotype" w:cs="Palatino Linotype" w:eastAsia="Palatino Linotype" w:hAnsi="Palatino Linotype"/>
          <w:b w:val="1"/>
          <w:bCs w:val="1"/>
          <w:rtl w:val="0"/>
        </w:rPr>
        <w:t xml:space="preserve">planes, programas, estudios, estrategias o acciones implementadas por el Ayuntamiento, la Dirección de Movilidad o cualquier otra área competente, destinadas a hacer valer el uso adecuado de las paradas autorizadas de transporte público, reducir o mitigar el congestionamiento vial en la cabecera municipal</w:t>
      </w:r>
      <w:r w:rsidDel="00000000" w:rsidR="00000000" w:rsidRPr="00000000">
        <w:rPr>
          <w:rFonts w:ascii="Palatino Linotype" w:cs="Palatino Linotype" w:eastAsia="Palatino Linotype" w:hAnsi="Palatino Linotype"/>
          <w:rtl w:val="0"/>
        </w:rPr>
        <w:t xml:space="preserve">, en respuesta, el Sujeto Obligado señaló que,  </w:t>
      </w:r>
      <w:r w:rsidDel="00000000" w:rsidR="00000000" w:rsidRPr="00000000">
        <w:rPr>
          <w:rFonts w:ascii="Palatino Linotype" w:cs="Palatino Linotype" w:eastAsia="Palatino Linotype" w:hAnsi="Palatino Linotype"/>
          <w:i w:val="1"/>
          <w:iCs w:val="1"/>
          <w:rtl w:val="0"/>
        </w:rPr>
        <w:t xml:space="preserve">existen 31 espacios de transporte público, de los cuales en la actualidad se está realizando un diagnostico a detalle de los elementos que si cumplen con autorización o en su defecto que no cuenten con las autorizaciones correspondientes para su correcto funcionamiento. Siendo que, parte del diagnóstico es identificar los espacios óptimos para realizar una propuesta de proyecto urbana - arquitectónica para la colocación de bahías de ascenso y descenso del peatón, en este sentido, se pretende con el proyecto antes mencionado </w:t>
      </w:r>
      <w:r w:rsidDel="00000000" w:rsidR="00000000" w:rsidRPr="00000000">
        <w:rPr>
          <w:rFonts w:ascii="Palatino Linotype" w:cs="Palatino Linotype" w:eastAsia="Palatino Linotype" w:hAnsi="Palatino Linotype"/>
          <w:b w:val="1"/>
          <w:bCs w:val="1"/>
          <w:i w:val="1"/>
          <w:iCs w:val="1"/>
          <w:u w:val="single"/>
          <w:rtl w:val="0"/>
        </w:rPr>
        <w:t xml:space="preserve">lograr un ordenamiento vial y por lo tanto reducir el congestionamiento que afecta a la cabecera municipa</w:t>
      </w:r>
      <w:r w:rsidDel="00000000" w:rsidR="00000000" w:rsidRPr="00000000">
        <w:rPr>
          <w:rFonts w:ascii="Palatino Linotype" w:cs="Palatino Linotype" w:eastAsia="Palatino Linotype" w:hAnsi="Palatino Linotype"/>
          <w:i w:val="1"/>
          <w:iCs w:val="1"/>
          <w:rtl w:val="0"/>
        </w:rPr>
        <w:t xml:space="preserv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Asimismo, refirió que en  el Plan de Desarrollo Urbano Municipal 2022-2024  se plasmaron proyectos estratégicos en donde se establece una propuesta de movilidad que se tomará en cuenta para realizar el diagnóstico urbano- arquitectónico en mención. </w:t>
      </w:r>
    </w:p>
    <w:p w:rsidR="00000000" w:rsidDel="00000000" w:rsidP="00000000" w:rsidRDefault="00000000" w:rsidRPr="00000000" w14:paraId="000000B2">
      <w:pPr>
        <w:spacing w:after="0" w:line="360" w:lineRule="auto"/>
        <w:ind w:right="-93"/>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B3">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adjuntó un plano relacionado con un proyecto estratégico que contiene una propuesta de movilidad, tal como se logra observar a continuación: </w:t>
      </w:r>
    </w:p>
    <w:tbl>
      <w:tblPr>
        <w:tblStyle w:val="Table1"/>
        <w:tblW w:w="90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27"/>
        <w:gridCol w:w="4528"/>
        <w:tblGridChange w:id="0">
          <w:tblGrid>
            <w:gridCol w:w="4527"/>
            <w:gridCol w:w="4528"/>
          </w:tblGrid>
        </w:tblGridChange>
      </w:tblGrid>
      <w:tr>
        <w:trPr>
          <w:cantSplit w:val="0"/>
          <w:tblHeader w:val="0"/>
        </w:trPr>
        <w:tc>
          <w:tcPr/>
          <w:p w:rsidR="00000000" w:rsidDel="00000000" w:rsidP="00000000" w:rsidRDefault="00000000" w:rsidRPr="00000000" w14:paraId="000000B4">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91588" cy="3452460"/>
                  <wp:effectExtent b="0" l="0" r="0" t="0"/>
                  <wp:docPr id="2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591588" cy="34524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5">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662327" cy="3575979"/>
                  <wp:effectExtent b="0" l="0" r="0" t="0"/>
                  <wp:docPr id="2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2327" cy="357597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6">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en razón de que el Sujeto Obligado remitió la información solicitada que obra en sus archivos, en términos del artículo 12 de la Ley de Transparencia de la Entidad, este punto no se tiene por colmado. </w:t>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 procedente </w:t>
      </w:r>
      <w:r w:rsidDel="00000000" w:rsidR="00000000" w:rsidRPr="00000000">
        <w:rPr>
          <w:rFonts w:ascii="Palatino Linotype" w:cs="Palatino Linotype" w:eastAsia="Palatino Linotype" w:hAnsi="Palatino Linotype"/>
          <w:b w:val="1"/>
          <w:bCs w:val="1"/>
          <w:rtl w:val="0"/>
        </w:rPr>
        <w:t xml:space="preserve">MODIFICAR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bCs w:val="1"/>
          <w:rtl w:val="0"/>
        </w:rPr>
        <w:t xml:space="preserve">ORDENAR</w:t>
      </w:r>
      <w:r w:rsidDel="00000000" w:rsidR="00000000" w:rsidRPr="00000000">
        <w:rPr>
          <w:rFonts w:ascii="Palatino Linotype" w:cs="Palatino Linotype" w:eastAsia="Palatino Linotype" w:hAnsi="Palatino Linotype"/>
          <w:rtl w:val="0"/>
        </w:rPr>
        <w:t xml:space="preserve"> la entrega, vía Sistema de Acceso a la Información Mexiquense, de ser procedente, en versión pública, los documentos donde conste siguiente:</w:t>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Las paradas autorizadas para el ascenso y descenso de pasajeros de las unidades de transporte urbano, sus coordinadas o referencias vigentes al veintiséis de mayo de dos mil veinticinco.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567"/>
          <w:tab w:val="left" w:leader="none" w:pos="993"/>
        </w:tabs>
        <w:ind w:left="567"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Para el caso de que la información que se ordena entregar relacionada con las coordenadas o referencias, no obre en los archivos del Sujeto Obligado, este deberá hacerlo del conocimiento del Particular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C3">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0C5">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C6">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C7">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 Información clasificada: Aquella considerada por la presente Ley como reservada o confidencial;</w:t>
      </w:r>
    </w:p>
    <w:p w:rsidR="00000000" w:rsidDel="00000000" w:rsidP="00000000" w:rsidRDefault="00000000" w:rsidRPr="00000000" w14:paraId="000000C8">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C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C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C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C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132.</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0CD">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reciba una solicitud de acceso a la información;</w:t>
      </w:r>
    </w:p>
    <w:p w:rsidR="00000000" w:rsidDel="00000000" w:rsidP="00000000" w:rsidRDefault="00000000" w:rsidRPr="00000000" w14:paraId="000000CE">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 determine mediante resolución de autoridad competente; o</w:t>
      </w:r>
    </w:p>
    <w:p w:rsidR="00000000" w:rsidDel="00000000" w:rsidP="00000000" w:rsidRDefault="00000000" w:rsidRPr="00000000" w14:paraId="000000CF">
      <w:pPr>
        <w:tabs>
          <w:tab w:val="left" w:leader="none" w:pos="1134"/>
        </w:tabs>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 generen versiones públicas para dar cumplimiento a las obligaciones de transparencia previstas en esta Ley.</w:t>
      </w:r>
    </w:p>
    <w:p w:rsidR="00000000" w:rsidDel="00000000" w:rsidP="00000000" w:rsidRDefault="00000000" w:rsidRPr="00000000" w14:paraId="000000D0">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D1">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D2">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D3">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D4">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D5">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D6">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D7">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D9">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Quincuagésimo</w:t>
      </w:r>
      <w:r w:rsidDel="00000000" w:rsidR="00000000" w:rsidRPr="00000000">
        <w:rPr>
          <w:rFonts w:ascii="Palatino Linotype" w:cs="Palatino Linotype" w:eastAsia="Palatino Linotype" w:hAnsi="Palatino Linotype"/>
          <w:i w:val="1"/>
          <w:iCs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primero.</w:t>
      </w:r>
      <w:r w:rsidDel="00000000" w:rsidR="00000000" w:rsidRPr="00000000">
        <w:rPr>
          <w:rFonts w:ascii="Palatino Linotype" w:cs="Palatino Linotype" w:eastAsia="Palatino Linotype" w:hAnsi="Palatino Linotype"/>
          <w:i w:val="1"/>
          <w:iCs w:val="1"/>
          <w:rtl w:val="0"/>
        </w:rPr>
        <w:t xml:space="preserve"> Toda acta del Comité de Transparencia deberá contener: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El número de sesión y fecha; </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del área que solicitó la clasificación de información;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fundamentación legal y motivación correspondiente;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La resolución o resoluciones aprobadas; y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La rúbrica o firma digital de cada integrante del Comité de Transparencia.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Los motivos y razonamientos que sustenten la confirmación o modificación de la prueba de daño;</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Descripción de las partes o secciones reservadas, en caso de clasificación parcial;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El periodo por el que mantendrá su clasificación y fecha de expiración; y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El nombre del titular y área encargada de realizar la versión pública del documento, en su caso.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E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segundo.</w:t>
      </w:r>
      <w:r w:rsidDel="00000000" w:rsidR="00000000" w:rsidRPr="00000000">
        <w:rPr>
          <w:rFonts w:ascii="Palatino Linotype" w:cs="Palatino Linotype" w:eastAsia="Palatino Linotype" w:hAnsi="Palatino Linotype"/>
          <w:i w:val="1"/>
          <w:iCs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E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0EC">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ED">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EE">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Señalar las personas o instancias autorizadas a acceder a la información clasificada.</w:t>
      </w:r>
    </w:p>
    <w:p w:rsidR="00000000" w:rsidDel="00000000" w:rsidP="00000000" w:rsidRDefault="00000000" w:rsidRPr="00000000" w14:paraId="000000EF">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F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Quincuagésimo cuarto.</w:t>
      </w:r>
      <w:r w:rsidDel="00000000" w:rsidR="00000000" w:rsidRPr="00000000">
        <w:rPr>
          <w:rFonts w:ascii="Palatino Linotype" w:cs="Palatino Linotype" w:eastAsia="Palatino Linotype" w:hAnsi="Palatino Linotype"/>
          <w:i w:val="1"/>
          <w:iCs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0F4">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quinto.</w:t>
      </w:r>
      <w:r w:rsidDel="00000000" w:rsidR="00000000" w:rsidRPr="00000000">
        <w:rPr>
          <w:rFonts w:ascii="Palatino Linotype" w:cs="Palatino Linotype" w:eastAsia="Palatino Linotype" w:hAnsi="Palatino Linotype"/>
          <w:i w:val="1"/>
          <w:iCs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0F5">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F6">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séptimo.</w:t>
      </w:r>
      <w:r w:rsidDel="00000000" w:rsidR="00000000" w:rsidRPr="00000000">
        <w:rPr>
          <w:rFonts w:ascii="Palatino Linotype" w:cs="Palatino Linotype" w:eastAsia="Palatino Linotype" w:hAnsi="Palatino Linotype"/>
          <w:i w:val="1"/>
          <w:iCs w:val="1"/>
          <w:rtl w:val="0"/>
        </w:rPr>
        <w:t xml:space="preserve"> Se considera, en principio, como información pública y no podrá omitirse de las versiones públicas la siguiente: </w:t>
      </w:r>
    </w:p>
    <w:p w:rsidR="00000000" w:rsidDel="00000000" w:rsidP="00000000" w:rsidRDefault="00000000" w:rsidRPr="00000000" w14:paraId="000000F7">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0F8">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F9">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FA">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FB">
      <w:pPr>
        <w:spacing w:after="0" w:lineRule="auto"/>
        <w:ind w:left="567" w:right="616"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0F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w:t>
      </w:r>
      <w:r w:rsidDel="00000000" w:rsidR="00000000" w:rsidRPr="00000000">
        <w:rPr>
          <w:rFonts w:ascii="Palatino Linotype" w:cs="Palatino Linotype" w:eastAsia="Palatino Linotype" w:hAnsi="Palatino Linotype"/>
          <w:b w:val="1"/>
          <w:bCs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bCs w:val="1"/>
          <w:rtl w:val="0"/>
        </w:rPr>
        <w:t xml:space="preserve">06829/INFOEM/IP/RR/2025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bCs w:val="1"/>
          <w:rtl w:val="0"/>
        </w:rPr>
        <w:t xml:space="preserve"> MODIFICA </w:t>
      </w:r>
      <w:r w:rsidDel="00000000" w:rsidR="00000000" w:rsidRPr="00000000">
        <w:rPr>
          <w:rFonts w:ascii="Palatino Linotype" w:cs="Palatino Linotype" w:eastAsia="Palatino Linotype" w:hAnsi="Palatino Linotype"/>
          <w:rtl w:val="0"/>
        </w:rPr>
        <w:t xml:space="preserve">la respuesta a la solicitud de información número </w:t>
      </w:r>
      <w:r w:rsidDel="00000000" w:rsidR="00000000" w:rsidRPr="00000000">
        <w:rPr>
          <w:rFonts w:ascii="Palatino Linotype" w:cs="Palatino Linotype" w:eastAsia="Palatino Linotype" w:hAnsi="Palatino Linotype"/>
          <w:b w:val="1"/>
          <w:bCs w:val="1"/>
          <w:rtl w:val="0"/>
        </w:rPr>
        <w:t xml:space="preserve">00024/TEJUPIL/IP/2025. </w:t>
      </w:r>
    </w:p>
    <w:p w:rsidR="00000000" w:rsidDel="00000000" w:rsidP="00000000" w:rsidRDefault="00000000" w:rsidRPr="00000000" w14:paraId="00000100">
      <w:pP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0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2">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w:t>
        <w:tab/>
        <w:t xml:space="preserve">R E S U E L V E:</w:t>
      </w:r>
    </w:p>
    <w:p w:rsidR="00000000" w:rsidDel="00000000" w:rsidP="00000000" w:rsidRDefault="00000000" w:rsidRPr="00000000" w14:paraId="00000103">
      <w:pPr>
        <w:spacing w:after="0" w:line="360" w:lineRule="auto"/>
        <w:ind w:right="49"/>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0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bCs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w:t>
      </w:r>
      <w:r w:rsidDel="00000000" w:rsidR="00000000" w:rsidRPr="00000000">
        <w:rPr>
          <w:rFonts w:ascii="Palatino Linotype" w:cs="Palatino Linotype" w:eastAsia="Palatino Linotype" w:hAnsi="Palatino Linotype"/>
          <w:b w:val="1"/>
          <w:bCs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bCs w:val="1"/>
          <w:rtl w:val="0"/>
        </w:rPr>
        <w:t xml:space="preserve">06829/INFOEM/IP/RR/2025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bCs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bCs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bCs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que, en observancia de los </w:t>
      </w:r>
      <w:r w:rsidDel="00000000" w:rsidR="00000000" w:rsidRPr="00000000">
        <w:rPr>
          <w:rFonts w:ascii="Palatino Linotype" w:cs="Palatino Linotype" w:eastAsia="Palatino Linotype" w:hAnsi="Palatino Linotype"/>
          <w:b w:val="1"/>
          <w:bCs w:val="1"/>
          <w:rtl w:val="0"/>
        </w:rPr>
        <w:t xml:space="preserve">Considerandos Cuarto y Quinto</w:t>
      </w:r>
      <w:r w:rsidDel="00000000" w:rsidR="00000000" w:rsidRPr="00000000">
        <w:rPr>
          <w:rFonts w:ascii="Palatino Linotype" w:cs="Palatino Linotype" w:eastAsia="Palatino Linotype" w:hAnsi="Palatino Linotype"/>
          <w:rtl w:val="0"/>
        </w:rPr>
        <w:t xml:space="preserve">, hagan entrega vía Sistema de Acceso a la Información Mexiquense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de ser el caso, en versión pública, los documentos donde conste lo siguiente:</w:t>
      </w:r>
    </w:p>
    <w:p w:rsidR="00000000" w:rsidDel="00000000" w:rsidP="00000000" w:rsidRDefault="00000000" w:rsidRPr="00000000" w14:paraId="000001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Las paradas autorizadas para el ascenso y descenso de pasajeros de las unidades de transporte urbano, sus coordenadas o referencias vigentes al veintiséis de mayo de dos mil veinticinco.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567"/>
          <w:tab w:val="left" w:leader="none" w:pos="993"/>
        </w:tabs>
        <w:ind w:left="567"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Para el caso de que la información que se ordena entregar relacionada con las coordenadas o referencias, no obre en los archivos del Sujeto Obligado, este deberá hacerlo del conocimiento del Particular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leader="none" w:pos="567"/>
          <w:tab w:val="left" w:leader="none" w:pos="993"/>
        </w:tabs>
        <w:ind w:left="567"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bCs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VEINTICINCO DE NOVIEMBRE DE DOS MIL VEINTICINCO, ANTE EL SECRETARIO TÉCNICO DEL PLENO ALEXIS TAPIA RAMÍREZ. </w:t>
      </w:r>
    </w:p>
    <w:p w:rsidR="00000000" w:rsidDel="00000000" w:rsidP="00000000" w:rsidRDefault="00000000" w:rsidRPr="00000000" w14:paraId="0000011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spacing w:after="0" w:line="360" w:lineRule="auto"/>
        <w:ind w:right="49"/>
        <w:jc w:val="both"/>
        <w:rPr>
          <w:rFonts w:ascii="Palatino Linotype" w:cs="Palatino Linotype" w:eastAsia="Palatino Linotype" w:hAnsi="Palatino Linotype"/>
        </w:rPr>
      </w:pPr>
      <w:bookmarkStart w:colFirst="0" w:colLast="0" w:name="_heading=h.2et92p0" w:id="2"/>
      <w:bookmarkEnd w:id="2"/>
      <w:r w:rsidDel="00000000" w:rsidR="00000000" w:rsidRPr="00000000">
        <w:rPr>
          <w:rtl w:val="0"/>
        </w:rPr>
      </w:r>
    </w:p>
    <w:p w:rsidR="00000000" w:rsidDel="00000000" w:rsidP="00000000" w:rsidRDefault="00000000" w:rsidRPr="00000000" w14:paraId="0000011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after="0" w:line="360" w:lineRule="auto"/>
        <w:ind w:right="49"/>
        <w:jc w:val="both"/>
        <w:rPr>
          <w:rFonts w:ascii="Palatino Linotype" w:cs="Palatino Linotype" w:eastAsia="Palatino Linotype" w:hAnsi="Palatino Linotype"/>
        </w:rPr>
      </w:pPr>
      <w:bookmarkStart w:colFirst="0" w:colLast="0" w:name="_heading=h.lso4pz1vjc3t" w:id="3"/>
      <w:bookmarkEnd w:id="3"/>
      <w:r w:rsidDel="00000000" w:rsidR="00000000" w:rsidRPr="00000000">
        <w:rPr>
          <w:rtl w:val="0"/>
        </w:rPr>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-716277</wp:posOffset>
          </wp:positionH>
          <wp:positionV relativeFrom="paragraph">
            <wp:posOffset>-401952</wp:posOffset>
          </wp:positionV>
          <wp:extent cx="7809876" cy="10165823"/>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06829/INFOEM/IP/RR/2025</w:t>
          </w:r>
        </w:p>
      </w:tc>
    </w:tr>
    <w:tr>
      <w:trPr>
        <w:cantSplit w:val="0"/>
        <w:trHeight w:val="217" w:hRule="atLeast"/>
        <w:tblHeader w:val="0"/>
      </w:trPr>
      <w:tc>
        <w:tcP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Tejupilco</w:t>
          </w:r>
        </w:p>
      </w:tc>
    </w:tr>
    <w:tr>
      <w:trPr>
        <w:cantSplit w:val="0"/>
        <w:tblHeader w:val="0"/>
      </w:trPr>
      <w:tc>
        <w:tcP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280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-692148</wp:posOffset>
          </wp:positionH>
          <wp:positionV relativeFrom="paragraph">
            <wp:posOffset>-248282</wp:posOffset>
          </wp:positionV>
          <wp:extent cx="7809865" cy="10165715"/>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06829/INFOEM/IP/RR/2025</w:t>
          </w:r>
        </w:p>
      </w:tc>
    </w:tr>
    <w:tr>
      <w:trPr>
        <w:cantSplit w:val="0"/>
        <w:tblHeader w:val="0"/>
      </w:trPr>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Recurrente:</w:t>
          </w:r>
        </w:p>
      </w:tc>
      <w:tc>
        <w:tcP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XXXX XX XXXXXX XX XXXX </w:t>
          </w:r>
        </w:p>
      </w:tc>
    </w:tr>
    <w:tr>
      <w:trPr>
        <w:cantSplit w:val="0"/>
        <w:trHeight w:val="152" w:hRule="atLeast"/>
        <w:tblHeader w:val="0"/>
      </w:trPr>
      <w:tc>
        <w:tcPr>
          <w:vAlign w:val="center"/>
        </w:tcPr>
        <w:p w:rsidR="00000000" w:rsidDel="00000000" w:rsidP="00000000" w:rsidRDefault="00000000" w:rsidRPr="00000000" w14:paraId="00000141">
          <w:pP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p w:rsidR="00000000" w:rsidDel="00000000" w:rsidP="00000000" w:rsidRDefault="00000000" w:rsidRPr="00000000" w14:paraId="00000142">
          <w:pP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tl w:val="0"/>
            </w:rPr>
          </w:r>
        </w:p>
      </w:tc>
      <w:tc>
        <w:tcP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Ayuntamiento de Tejupilco</w:t>
          </w:r>
        </w:p>
      </w:tc>
    </w:tr>
    <w:tr>
      <w:trPr>
        <w:cantSplit w:val="0"/>
        <w:tblHeader w:val="0"/>
      </w:trPr>
      <w:tc>
        <w:tcP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7"/>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7"/>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character" w:styleId="Mencinsinresolver3" w:customStyle="1">
    <w:name w:val="Mención sin resolver3"/>
    <w:basedOn w:val="Fuentedeprrafopredeter"/>
    <w:uiPriority w:val="99"/>
    <w:semiHidden w:val="1"/>
    <w:unhideWhenUsed w:val="1"/>
    <w:rsid w:val="0036720C"/>
    <w:rPr>
      <w:color w:val="605e5c"/>
      <w:shd w:color="auto" w:fill="e1dfdd" w:val="clear"/>
    </w:rPr>
  </w:style>
  <w:style w:type="character" w:styleId="Hipervnculovisitado">
    <w:name w:val="FollowedHyperlink"/>
    <w:basedOn w:val="Fuentedeprrafopredeter"/>
    <w:uiPriority w:val="99"/>
    <w:semiHidden w:val="1"/>
    <w:unhideWhenUsed w:val="1"/>
    <w:rsid w:val="00996EF5"/>
    <w:rPr>
      <w:color w:val="954f72" w:themeColor="followedHyperlink"/>
      <w:u w:val="single"/>
    </w:rPr>
  </w:style>
  <w:style w:type="table" w:styleId="a" w:customStyle="1">
    <w:basedOn w:val="TableNormal2"/>
    <w:pPr>
      <w:spacing w:after="0" w:line="240" w:lineRule="auto"/>
    </w:pPr>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top w:w="15.0" w:type="dxa"/>
        <w:left w:w="115.0" w:type="dxa"/>
        <w:bottom w:w="15.0" w:type="dxa"/>
        <w:right w:w="115.0" w:type="dxa"/>
      </w:tblCellMar>
    </w:tblPr>
  </w:style>
  <w:style w:type="table" w:styleId="a1" w:customStyle="1">
    <w:basedOn w:val="TableNormal2"/>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1"/>
    <w:qFormat w:val="1"/>
    <w:rsid w:val="008E7CA6"/>
    <w:pPr>
      <w:autoSpaceDE w:val="0"/>
      <w:autoSpaceDN w:val="0"/>
      <w:adjustRightInd w:val="0"/>
      <w:spacing w:after="0" w:line="240" w:lineRule="auto"/>
      <w:ind w:left="93"/>
    </w:pPr>
    <w:rPr>
      <w:rFonts w:ascii="Times New Roman" w:hAnsi="Times New Roman" w:eastAsiaTheme="minorHAnsi"/>
      <w:sz w:val="23"/>
      <w:szCs w:val="23"/>
    </w:rPr>
  </w:style>
  <w:style w:type="character" w:styleId="TextoindependienteCar" w:customStyle="1">
    <w:name w:val="Texto independiente Car"/>
    <w:basedOn w:val="Fuentedeprrafopredeter"/>
    <w:link w:val="Textoindependiente"/>
    <w:uiPriority w:val="1"/>
    <w:rsid w:val="008E7CA6"/>
    <w:rPr>
      <w:rFonts w:ascii="Times New Roman" w:cs="Times New Roman" w:hAnsi="Times New Roman" w:eastAsiaTheme="minorHAnsi"/>
      <w:sz w:val="23"/>
      <w:szCs w:val="23"/>
      <w:lang w:eastAsia="en-US"/>
    </w:rPr>
  </w:style>
  <w:style w:type="table" w:styleId="a2"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table" w:styleId="a3" w:customStyle="1">
    <w:basedOn w:val="TableNormal1"/>
    <w:pPr>
      <w:spacing w:after="0" w:line="240" w:lineRule="auto"/>
    </w:pPr>
    <w:tblPr>
      <w:tblStyleRowBandSize w:val="1"/>
      <w:tblStyleColBandSize w:val="1"/>
      <w:tblCellMar>
        <w:top w:w="15.0" w:type="dxa"/>
        <w:left w:w="115.0" w:type="dxa"/>
        <w:bottom w:w="15.0" w:type="dxa"/>
        <w:right w:w="115.0" w:type="dxa"/>
      </w:tblCellMar>
    </w:tblPr>
  </w:style>
  <w:style w:type="character" w:styleId="apple-tab-span" w:customStyle="1">
    <w:name w:val="apple-tab-span"/>
    <w:basedOn w:val="Fuentedeprrafopredeter"/>
    <w:rsid w:val="003D3C1C"/>
  </w:style>
  <w:style w:type="table" w:styleId="a4"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5"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5yh9Pnx3+GIbEvmHjZJVAq8fA==">CgMxLjAyCWguM3pueXNoNzIJaC4zMGowemxsMgloLjJldDkycDAyDmgubHNvNHB6MXZqYzN0OAByITFkbWx3UElCM01QQ2twQUl3Z3JoZ3FQQXc3b3pySmk2LQ==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2025-12-15T02:53:00Z</dcterms:created>
  <dc:creator>Cuenta Microsoft</dc:creator>
</cp:coreProperties>
</file>