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dieciocho de junio de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color w:val="000000"/>
          <w:sz w:val="22"/>
          <w:szCs w:val="22"/>
          <w:rtl w:val="0"/>
        </w:rPr>
        <w:t xml:space="preserve">03759/INFOEM/IP/RR/2025</w:t>
      </w: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Fonts w:ascii="Palatino Linotype" w:cs="Palatino Linotype" w:eastAsia="Palatino Linotype" w:hAnsi="Palatino Linotype"/>
          <w:color w:val="ff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interpuesto por</w:t>
      </w:r>
      <w:r w:rsidDel="00000000" w:rsidR="00000000" w:rsidRPr="00000000">
        <w:rPr>
          <w:rFonts w:ascii="Palatino Linotype" w:cs="Palatino Linotype" w:eastAsia="Palatino Linotype" w:hAnsi="Palatino Linotype"/>
          <w:b w:val="1"/>
          <w:sz w:val="22"/>
          <w:szCs w:val="22"/>
          <w:rtl w:val="0"/>
        </w:rPr>
        <w:t xml:space="preserve"> 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sz w:val="22"/>
          <w:szCs w:val="22"/>
          <w:rtl w:val="0"/>
        </w:rPr>
        <w:t xml:space="preserve">Ayuntamiento de Jiquipilco,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veintiocho de febrero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00090/JIQUIPIL/IP/2025,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p>
    <w:p w:rsidR="00000000" w:rsidDel="00000000" w:rsidP="00000000" w:rsidRDefault="00000000" w:rsidRPr="00000000" w14:paraId="00000005">
      <w:pPr>
        <w:spacing w:after="240" w:before="240" w:lineRule="auto"/>
        <w:ind w:left="567" w:right="902" w:firstLine="0"/>
        <w:jc w:val="both"/>
        <w:rPr>
          <w:rFonts w:ascii="Palatino Linotype" w:cs="Palatino Linotype" w:eastAsia="Palatino Linotype" w:hAnsi="Palatino Linotype"/>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“Solicito proporcionen </w:t>
      </w:r>
      <w:r w:rsidDel="00000000" w:rsidR="00000000" w:rsidRPr="00000000">
        <w:rPr>
          <w:rFonts w:ascii="Palatino Linotype" w:cs="Palatino Linotype" w:eastAsia="Palatino Linotype" w:hAnsi="Palatino Linotype"/>
          <w:b w:val="1"/>
          <w:i w:val="1"/>
          <w:sz w:val="22"/>
          <w:szCs w:val="22"/>
          <w:u w:val="single"/>
          <w:rtl w:val="0"/>
        </w:rPr>
        <w:t xml:space="preserve">el puesto que tienen los siguientes servidores públicos, las actividades que realizan y el sueldo que perciben: Brandon Gabino González Gregorio Mendoza Hernández </w:t>
      </w:r>
      <w:r w:rsidDel="00000000" w:rsidR="00000000" w:rsidRPr="00000000">
        <w:rPr>
          <w:rFonts w:ascii="Palatino Linotype" w:cs="Palatino Linotype" w:eastAsia="Palatino Linotype" w:hAnsi="Palatino Linotype"/>
          <w:b w:val="1"/>
          <w:sz w:val="22"/>
          <w:szCs w:val="22"/>
          <w:u w:val="single"/>
          <w:rtl w:val="0"/>
        </w:rPr>
        <w:t xml:space="preserve">XXXXXXXXX XXXXXXX XXXXXXX</w:t>
      </w:r>
      <w:r w:rsidDel="00000000" w:rsidR="00000000" w:rsidRPr="00000000">
        <w:rPr>
          <w:rFonts w:ascii="Palatino Linotype" w:cs="Palatino Linotype" w:eastAsia="Palatino Linotype" w:hAnsi="Palatino Linotype"/>
          <w:i w:val="1"/>
          <w:sz w:val="22"/>
          <w:szCs w:val="22"/>
          <w:rtl w:val="0"/>
        </w:rPr>
        <w:t xml:space="preserve">.” (Sic) </w:t>
      </w:r>
    </w:p>
    <w:p w:rsidR="00000000" w:rsidDel="00000000" w:rsidP="00000000" w:rsidRDefault="00000000" w:rsidRPr="00000000" w14:paraId="00000006">
      <w:pPr>
        <w:spacing w:after="240" w:before="240" w:line="360" w:lineRule="auto"/>
        <w:ind w:right="49"/>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w:t>
      </w:r>
      <w:r w:rsidDel="00000000" w:rsidR="00000000" w:rsidRPr="00000000">
        <w:rPr>
          <w:rFonts w:ascii="Palatino Linotype" w:cs="Palatino Linotype" w:eastAsia="Palatino Linotype" w:hAnsi="Palatino Linotype"/>
          <w:b w:val="1"/>
          <w:sz w:val="22"/>
          <w:szCs w:val="22"/>
          <w:rtl w:val="0"/>
        </w:rPr>
        <w:t xml:space="preserve">del SAIMEX.</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veinticinco de marzo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declaró su incompetencia para atender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8">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REMITE LA RESPUESTA ENTREGADA POR PARTE DEL SERVIDOR PUBLICO HABILITADO (RECURSOS HUMANOS )</w:t>
      </w:r>
    </w:p>
    <w:p w:rsidR="00000000" w:rsidDel="00000000" w:rsidP="00000000" w:rsidRDefault="00000000" w:rsidRPr="00000000" w14:paraId="0000000A">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EN D. OMAR ROBLES JIMENEZ” (Sic)</w:t>
      </w:r>
    </w:p>
    <w:p w:rsidR="00000000" w:rsidDel="00000000" w:rsidP="00000000" w:rsidRDefault="00000000" w:rsidRPr="00000000" w14:paraId="0000000C">
      <w:pPr>
        <w:spacing w:after="240" w:before="240" w:lineRule="auto"/>
        <w:ind w:left="567"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0D">
      <w:pPr>
        <w:spacing w:after="240" w:before="240"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“Scan 24 mar 25 16·28·18.pdf”: </w:t>
      </w:r>
      <w:r w:rsidDel="00000000" w:rsidR="00000000" w:rsidRPr="00000000">
        <w:rPr>
          <w:rFonts w:ascii="Palatino Linotype" w:cs="Palatino Linotype" w:eastAsia="Palatino Linotype" w:hAnsi="Palatino Linotype"/>
          <w:sz w:val="22"/>
          <w:szCs w:val="22"/>
          <w:rtl w:val="0"/>
        </w:rPr>
        <w:t xml:space="preserve">Oficio JIQ/RH/00130/2025, suscrito por la Coordinadora de Recursos Humanos, en el que medularmente refiere el cargo y funciones de los servidores públicos: Brandon Gabino González y Gregorio Mendoza Hernández, asimismo por cuanto hace al servidor público XXXXXXXXX XXXXXXX XXXXXXX informa que después de una búsqueda en los archivos NO OBRA ni se cuenta con registro alguno.</w:t>
      </w:r>
    </w:p>
    <w:p w:rsidR="00000000" w:rsidDel="00000000" w:rsidP="00000000" w:rsidRDefault="00000000" w:rsidRPr="00000000" w14:paraId="0000000E">
      <w:pPr>
        <w:spacing w:after="240" w:before="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treinta y uno de marzo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0F">
      <w:pPr>
        <w:tabs>
          <w:tab w:val="left" w:leader="none" w:pos="2745"/>
        </w:tabs>
        <w:spacing w:after="240" w:before="240" w:lineRule="auto"/>
        <w:ind w:left="567" w:right="90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“La respuesta emitida mediante oficio número JIQ/RH/000130/2025 de fecha 24 de marzo de 2025, </w:t>
      </w:r>
      <w:r w:rsidDel="00000000" w:rsidR="00000000" w:rsidRPr="00000000">
        <w:rPr>
          <w:rFonts w:ascii="Palatino Linotype" w:cs="Palatino Linotype" w:eastAsia="Palatino Linotype" w:hAnsi="Palatino Linotype"/>
          <w:b w:val="1"/>
          <w:i w:val="1"/>
          <w:sz w:val="22"/>
          <w:szCs w:val="22"/>
          <w:u w:val="single"/>
          <w:rtl w:val="0"/>
        </w:rPr>
        <w:t xml:space="preserve">en la cual se omitió dar completa la información solicitada, en razón de que no se proporciono el sueldo que perciben los servidores públicos Brandon Gabino González y Gregorio Mendoza Hernández</w:t>
      </w: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10">
      <w:pPr>
        <w:spacing w:line="276" w:lineRule="auto"/>
        <w:ind w:left="567" w:right="900" w:firstLine="0"/>
        <w:jc w:val="both"/>
        <w:rPr>
          <w:rFonts w:ascii="Palatino Linotype" w:cs="Palatino Linotype" w:eastAsia="Palatino Linotype" w:hAnsi="Palatino Linotype"/>
          <w:i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se entrego la información completa solicitada referente a los sueldos que perciben los servidores públicos señalados</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11">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tres de abril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color w:val="000000"/>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6. Manifestaciones e Informe Justificado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De las constancias que integran el expediente en que se actúa se advierte que durante el periodo de manifestaciones e informe justificado, el </w:t>
      </w:r>
      <w:r w:rsidDel="00000000" w:rsidR="00000000" w:rsidRPr="00000000">
        <w:rPr>
          <w:rFonts w:ascii="Palatino Linotype" w:cs="Palatino Linotype" w:eastAsia="Palatino Linotype" w:hAnsi="Palatino Linotype"/>
          <w:b w:val="1"/>
          <w:color w:val="000000"/>
          <w:sz w:val="22"/>
          <w:szCs w:val="22"/>
          <w:rtl w:val="0"/>
        </w:rPr>
        <w:t xml:space="preserve">veintiséis de mayo de dos mil veinticinco, el Sujeto Obligado </w:t>
      </w:r>
      <w:r w:rsidDel="00000000" w:rsidR="00000000" w:rsidRPr="00000000">
        <w:rPr>
          <w:rFonts w:ascii="Palatino Linotype" w:cs="Palatino Linotype" w:eastAsia="Palatino Linotype" w:hAnsi="Palatino Linotype"/>
          <w:color w:val="000000"/>
          <w:sz w:val="22"/>
          <w:szCs w:val="22"/>
          <w:rtl w:val="0"/>
        </w:rPr>
        <w:t xml:space="preserve">adjuntó el archivo </w:t>
      </w:r>
      <w:r w:rsidDel="00000000" w:rsidR="00000000" w:rsidRPr="00000000">
        <w:rPr>
          <w:rFonts w:ascii="Palatino Linotype" w:cs="Palatino Linotype" w:eastAsia="Palatino Linotype" w:hAnsi="Palatino Linotype"/>
          <w:b w:val="1"/>
          <w:i w:val="1"/>
          <w:color w:val="000000"/>
          <w:sz w:val="22"/>
          <w:szCs w:val="22"/>
          <w:rtl w:val="0"/>
        </w:rPr>
        <w:t xml:space="preserve">“Manifestaciones 00090.pdf”</w:t>
      </w:r>
      <w:r w:rsidDel="00000000" w:rsidR="00000000" w:rsidRPr="00000000">
        <w:rPr>
          <w:rFonts w:ascii="Palatino Linotype" w:cs="Palatino Linotype" w:eastAsia="Palatino Linotype" w:hAnsi="Palatino Linotype"/>
          <w:color w:val="000000"/>
          <w:sz w:val="22"/>
          <w:szCs w:val="22"/>
          <w:rtl w:val="0"/>
        </w:rPr>
        <w:t xml:space="preserve">, el cual contiene el oficio JIQ/RH/000171/2025, el cual da cuenta del cargo, sueldo y funciones de los servidores públicos: Brandon Gabino González y Gregorio Mendoza Hernández, asimismo por cuanto hace a</w:t>
      </w:r>
      <w:r w:rsidDel="00000000" w:rsidR="00000000" w:rsidRPr="00000000">
        <w:rPr>
          <w:rFonts w:ascii="Palatino Linotype" w:cs="Palatino Linotype" w:eastAsia="Palatino Linotype" w:hAnsi="Palatino Linotype"/>
          <w:sz w:val="22"/>
          <w:szCs w:val="22"/>
          <w:rtl w:val="0"/>
        </w:rPr>
        <w:t xml:space="preserve"> XXXXXXXXX XXXXXXX XXXXXXX</w:t>
      </w:r>
      <w:r w:rsidDel="00000000" w:rsidR="00000000" w:rsidRPr="00000000">
        <w:rPr>
          <w:rFonts w:ascii="Palatino Linotype" w:cs="Palatino Linotype" w:eastAsia="Palatino Linotype" w:hAnsi="Palatino Linotype"/>
          <w:color w:val="000000"/>
          <w:sz w:val="22"/>
          <w:szCs w:val="22"/>
          <w:rtl w:val="0"/>
        </w:rPr>
        <w:t xml:space="preserve"> informa que después de una búsqueda en los archivos NO OBRA ni se cuenta con registro alguno.</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284"/>
        </w:tabs>
        <w:spacing w:line="360" w:lineRule="auto"/>
        <w:ind w:right="49"/>
        <w:jc w:val="center"/>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Cabe señalar que una vez analizada esta documentación, se determinó ponerla a la vista de </w:t>
      </w:r>
      <w:r w:rsidDel="00000000" w:rsidR="00000000" w:rsidRPr="00000000">
        <w:rPr>
          <w:rFonts w:ascii="Palatino Linotype" w:cs="Palatino Linotype" w:eastAsia="Palatino Linotype" w:hAnsi="Palatino Linotype"/>
          <w:b w:val="1"/>
          <w:color w:val="000000"/>
          <w:sz w:val="22"/>
          <w:szCs w:val="22"/>
          <w:rtl w:val="0"/>
        </w:rPr>
        <w:t xml:space="preserve">la parte Recurrente</w:t>
      </w:r>
      <w:r w:rsidDel="00000000" w:rsidR="00000000" w:rsidRPr="00000000">
        <w:rPr>
          <w:rFonts w:ascii="Palatino Linotype" w:cs="Palatino Linotype" w:eastAsia="Palatino Linotype" w:hAnsi="Palatino Linotype"/>
          <w:color w:val="000000"/>
          <w:sz w:val="22"/>
          <w:szCs w:val="22"/>
          <w:rtl w:val="0"/>
        </w:rPr>
        <w:t xml:space="preserve"> mediante acuerdo suscrito por la Comisionada Ponente, el </w:t>
      </w:r>
      <w:r w:rsidDel="00000000" w:rsidR="00000000" w:rsidRPr="00000000">
        <w:rPr>
          <w:rFonts w:ascii="Palatino Linotype" w:cs="Palatino Linotype" w:eastAsia="Palatino Linotype" w:hAnsi="Palatino Linotype"/>
          <w:b w:val="1"/>
          <w:color w:val="000000"/>
          <w:sz w:val="22"/>
          <w:szCs w:val="22"/>
          <w:rtl w:val="0"/>
        </w:rPr>
        <w:t xml:space="preserve">tres de junio de dos mil veinticinco</w:t>
      </w:r>
      <w:r w:rsidDel="00000000" w:rsidR="00000000" w:rsidRPr="00000000">
        <w:rPr>
          <w:rFonts w:ascii="Palatino Linotype" w:cs="Palatino Linotype" w:eastAsia="Palatino Linotype" w:hAnsi="Palatino Linotype"/>
          <w:color w:val="000000"/>
          <w:sz w:val="22"/>
          <w:szCs w:val="22"/>
          <w:rtl w:val="0"/>
        </w:rPr>
        <w:t xml:space="preserve">, teniendo así que </w:t>
      </w:r>
      <w:r w:rsidDel="00000000" w:rsidR="00000000" w:rsidRPr="00000000">
        <w:rPr>
          <w:rFonts w:ascii="Palatino Linotype" w:cs="Palatino Linotype" w:eastAsia="Palatino Linotype" w:hAnsi="Palatino Linotype"/>
          <w:b w:val="1"/>
          <w:color w:val="000000"/>
          <w:sz w:val="22"/>
          <w:szCs w:val="22"/>
          <w:rtl w:val="0"/>
        </w:rPr>
        <w:t xml:space="preserve">la parte Recurrente</w:t>
      </w:r>
      <w:r w:rsidDel="00000000" w:rsidR="00000000" w:rsidRPr="00000000">
        <w:rPr>
          <w:rFonts w:ascii="Palatino Linotype" w:cs="Palatino Linotype" w:eastAsia="Palatino Linotype" w:hAnsi="Palatino Linotype"/>
          <w:color w:val="000000"/>
          <w:sz w:val="22"/>
          <w:szCs w:val="22"/>
          <w:rtl w:val="0"/>
        </w:rPr>
        <w:t xml:space="preserve"> fue omisa en pronunciarse,</w:t>
      </w:r>
      <w:r w:rsidDel="00000000" w:rsidR="00000000" w:rsidRPr="00000000">
        <w:rPr>
          <w:rFonts w:ascii="Palatino Linotype" w:cs="Palatino Linotype" w:eastAsia="Palatino Linotype" w:hAnsi="Palatino Linotype"/>
          <w:b w:val="1"/>
          <w:color w:val="000000"/>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por lo que se tiene por precluido su derecho para tal efecto.</w:t>
      </w:r>
      <w:r w:rsidDel="00000000" w:rsidR="00000000" w:rsidRPr="00000000">
        <w:rPr>
          <w:rFonts w:ascii="Palatino Linotype" w:cs="Palatino Linotype" w:eastAsia="Palatino Linotype" w:hAnsi="Palatino Linotype"/>
          <w:b w:val="1"/>
          <w:color w:val="000000"/>
          <w:sz w:val="22"/>
          <w:szCs w:val="22"/>
          <w:rtl w:val="0"/>
        </w:rPr>
        <w:t xml:space="preserve">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7">
      <w:pPr>
        <w:widowControl w:val="0"/>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del término para resolver.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tres de junio del año dos mil veinticinco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1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spacing w:line="360" w:lineRule="auto"/>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numPr>
          <w:ilvl w:val="0"/>
          <w:numId w:val="2"/>
        </w:numPr>
        <w:spacing w:line="360" w:lineRule="auto"/>
        <w:ind w:left="567" w:right="709"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23">
      <w:pPr>
        <w:numPr>
          <w:ilvl w:val="0"/>
          <w:numId w:val="2"/>
        </w:numPr>
        <w:spacing w:line="360" w:lineRule="auto"/>
        <w:ind w:left="567" w:right="709"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24">
      <w:pPr>
        <w:numPr>
          <w:ilvl w:val="0"/>
          <w:numId w:val="2"/>
        </w:numPr>
        <w:spacing w:line="360" w:lineRule="auto"/>
        <w:ind w:left="567" w:right="709"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25">
      <w:pPr>
        <w:spacing w:line="360" w:lineRule="auto"/>
        <w:ind w:left="567" w:right="709"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spacing w:after="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dieciséis de junio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6">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otorgó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veinticinco</w:t>
      </w:r>
      <w:r w:rsidDel="00000000" w:rsidR="00000000" w:rsidRPr="00000000">
        <w:rPr>
          <w:rFonts w:ascii="Palatino Linotype" w:cs="Palatino Linotype" w:eastAsia="Palatino Linotype" w:hAnsi="Palatino Linotype"/>
          <w:b w:val="1"/>
          <w:color w:val="000000"/>
          <w:sz w:val="22"/>
          <w:szCs w:val="22"/>
          <w:rtl w:val="0"/>
        </w:rPr>
        <w:t xml:space="preserve"> de </w:t>
      </w:r>
      <w:r w:rsidDel="00000000" w:rsidR="00000000" w:rsidRPr="00000000">
        <w:rPr>
          <w:rFonts w:ascii="Palatino Linotype" w:cs="Palatino Linotype" w:eastAsia="Palatino Linotype" w:hAnsi="Palatino Linotype"/>
          <w:b w:val="1"/>
          <w:sz w:val="22"/>
          <w:szCs w:val="22"/>
          <w:rtl w:val="0"/>
        </w:rPr>
        <w:t xml:space="preserve">marzo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color w:val="000000"/>
          <w:sz w:val="22"/>
          <w:szCs w:val="22"/>
          <w:rtl w:val="0"/>
        </w:rPr>
        <w:t xml:space="preserve">treinta y uno de marzo</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veinticinco, </w:t>
      </w:r>
      <w:r w:rsidDel="00000000" w:rsidR="00000000" w:rsidRPr="00000000">
        <w:rPr>
          <w:rFonts w:ascii="Palatino Linotype" w:cs="Palatino Linotype" w:eastAsia="Palatino Linotype" w:hAnsi="Palatino Linotype"/>
          <w:sz w:val="22"/>
          <w:szCs w:val="22"/>
          <w:rtl w:val="0"/>
        </w:rPr>
        <w:t xml:space="preserve">esto es, el </w:t>
      </w: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color w:val="000000"/>
          <w:sz w:val="22"/>
          <w:szCs w:val="22"/>
          <w:rtl w:val="0"/>
        </w:rPr>
        <w:t xml:space="preserve">día hábil </w:t>
      </w:r>
      <w:r w:rsidDel="00000000" w:rsidR="00000000" w:rsidRPr="00000000">
        <w:rPr>
          <w:rFonts w:ascii="Palatino Linotype" w:cs="Palatino Linotype" w:eastAsia="Palatino Linotype" w:hAnsi="Palatino Linotype"/>
          <w:b w:val="1"/>
          <w:sz w:val="22"/>
          <w:szCs w:val="22"/>
          <w:rtl w:val="0"/>
        </w:rPr>
        <w:t xml:space="preserve">en el que tuvo conocimiento de la respuesta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A">
      <w:pPr>
        <w:tabs>
          <w:tab w:val="left" w:leader="none" w:pos="7938"/>
        </w:tabs>
        <w:spacing w:after="240" w:before="240" w:line="360" w:lineRule="auto"/>
        <w:jc w:val="both"/>
        <w:rPr>
          <w:rFonts w:ascii="Palatino Linotype" w:cs="Palatino Linotype" w:eastAsia="Palatino Linotype" w:hAnsi="Palatino Linotype"/>
          <w:sz w:val="22"/>
          <w:szCs w:val="22"/>
        </w:rPr>
      </w:pPr>
      <w:bookmarkStart w:colFirst="0" w:colLast="0" w:name="_heading=h.3znysh7" w:id="6"/>
      <w:bookmarkEnd w:id="6"/>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por cuanto hace a la procedibilidad del recurso de revisión, es de suma importancia señalar que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no proporcionó nombre o seudónimo</w:t>
      </w:r>
      <w:r w:rsidDel="00000000" w:rsidR="00000000" w:rsidRPr="00000000">
        <w:rPr>
          <w:rFonts w:ascii="Palatino Linotype" w:cs="Palatino Linotype" w:eastAsia="Palatino Linotype" w:hAnsi="Palatino Linotype"/>
          <w:sz w:val="22"/>
          <w:szCs w:val="22"/>
          <w:rtl w:val="0"/>
        </w:rPr>
        <w:t xml:space="preserve"> con el que desea que se le identifique</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C">
      <w:pP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w:t>
      </w:r>
      <w:r w:rsidDel="00000000" w:rsidR="00000000" w:rsidRPr="00000000">
        <w:rPr>
          <w:rFonts w:ascii="Palatino Linotype" w:cs="Palatino Linotype" w:eastAsia="Palatino Linotype" w:hAnsi="Palatino Linotype"/>
          <w:i w:val="1"/>
          <w:sz w:val="22"/>
          <w:szCs w:val="22"/>
          <w:rtl w:val="0"/>
        </w:rPr>
        <w:t xml:space="preserve">anónimas, con </w:t>
      </w:r>
      <w:r w:rsidDel="00000000" w:rsidR="00000000" w:rsidRPr="00000000">
        <w:rPr>
          <w:rFonts w:ascii="Palatino Linotype" w:cs="Palatino Linotype" w:eastAsia="Palatino Linotype" w:hAnsi="Palatino Linotype"/>
          <w:b w:val="1"/>
          <w:i w:val="1"/>
          <w:sz w:val="22"/>
          <w:szCs w:val="22"/>
          <w:rtl w:val="0"/>
        </w:rPr>
        <w:t xml:space="preserve">nombre incompleto o seudónimo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solicitante."(Énfasis añadido)</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w:t>
      </w:r>
      <w:r w:rsidDel="00000000" w:rsidR="00000000" w:rsidRPr="00000000">
        <w:rPr>
          <w:rFonts w:ascii="Palatino Linotype" w:cs="Palatino Linotype" w:eastAsia="Palatino Linotype" w:hAnsi="Palatino Linotype"/>
          <w:color w:val="000000"/>
          <w:sz w:val="22"/>
          <w:szCs w:val="22"/>
          <w:rtl w:val="0"/>
        </w:rPr>
        <w:t xml:space="preserve">al artículo 179, fracción V del ordenamiento legal citado, que a la letra dice: </w:t>
      </w:r>
    </w:p>
    <w:p w:rsidR="00000000" w:rsidDel="00000000" w:rsidP="00000000" w:rsidRDefault="00000000" w:rsidRPr="00000000" w14:paraId="0000003E">
      <w:pPr>
        <w:spacing w:after="120" w:before="12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179.</w:t>
      </w:r>
      <w:r w:rsidDel="00000000" w:rsidR="00000000" w:rsidRPr="00000000">
        <w:rPr>
          <w:rFonts w:ascii="Palatino Linotype" w:cs="Palatino Linotype" w:eastAsia="Palatino Linotype" w:hAnsi="Palatino Linotype"/>
          <w:i w:val="1"/>
          <w:color w:val="000000"/>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F">
      <w:pPr>
        <w:spacing w:after="120" w:before="12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40">
      <w:pPr>
        <w:spacing w:after="120" w:before="120" w:lineRule="auto"/>
        <w:ind w:left="567" w:right="902"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V. La entrega de información incompleta;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e informe justificado otorgados por el Sujeto Obligado son adecuados y suficientes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360" w:lineRule="auto"/>
        <w:jc w:val="both"/>
        <w:rPr>
          <w:color w:val="000000"/>
          <w:sz w:val="22"/>
          <w:szCs w:val="22"/>
        </w:rPr>
      </w:pPr>
      <w:bookmarkStart w:colFirst="0" w:colLast="0" w:name="_heading=h.2et92p0" w:id="7"/>
      <w:bookmarkEnd w:id="7"/>
      <w:r w:rsidDel="00000000" w:rsidR="00000000" w:rsidRPr="00000000">
        <w:rPr>
          <w:rFonts w:ascii="Palatino Linotype" w:cs="Palatino Linotype" w:eastAsia="Palatino Linotype" w:hAnsi="Palatino Linotype"/>
          <w:b w:val="1"/>
          <w:sz w:val="22"/>
          <w:szCs w:val="22"/>
          <w:rtl w:val="0"/>
        </w:rPr>
        <w:t xml:space="preserve">Cuarto. Estudio del asunto.</w:t>
      </w:r>
      <w:r w:rsidDel="00000000" w:rsidR="00000000" w:rsidRPr="00000000">
        <w:rPr>
          <w:rFonts w:ascii="Palatino Linotype" w:cs="Palatino Linotype" w:eastAsia="Palatino Linotype" w:hAnsi="Palatino Linotype"/>
          <w:b w:val="1"/>
          <w:color w:val="000000"/>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Antes de entrar al análisis de los pronunciamientos del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color w:val="000000"/>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color w:val="000000"/>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Rule="auto"/>
        <w:ind w:left="851" w:right="90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6o.</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Rule="auto"/>
        <w:ind w:left="851" w:right="90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color w:val="000000"/>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en el ámbito de sus respectivas competencias, se regirán por los siguientes principios y bases:</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color w:val="000000"/>
          <w:sz w:val="22"/>
          <w:szCs w:val="22"/>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color w:val="000000"/>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color w:val="000000"/>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III.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color w:val="000000"/>
          <w:sz w:val="22"/>
          <w:szCs w:val="22"/>
          <w:rtl w:val="0"/>
        </w:rPr>
        <w:t xml:space="preserve"> a sus datos personales o a la rectificación de éstos.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IV.</w:t>
      </w:r>
      <w:r w:rsidDel="00000000" w:rsidR="00000000" w:rsidRPr="00000000">
        <w:rPr>
          <w:rFonts w:ascii="Palatino Linotype" w:cs="Palatino Linotype" w:eastAsia="Palatino Linotype" w:hAnsi="Palatino Linotype"/>
          <w:i w:val="1"/>
          <w:color w:val="000000"/>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V. </w:t>
      </w:r>
      <w:r w:rsidDel="00000000" w:rsidR="00000000" w:rsidRPr="00000000">
        <w:rPr>
          <w:rFonts w:ascii="Palatino Linotype" w:cs="Palatino Linotype" w:eastAsia="Palatino Linotype" w:hAnsi="Palatino Linotype"/>
          <w:i w:val="1"/>
          <w:color w:val="000000"/>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VI. </w:t>
      </w:r>
      <w:r w:rsidDel="00000000" w:rsidR="00000000" w:rsidRPr="00000000">
        <w:rPr>
          <w:rFonts w:ascii="Palatino Linotype" w:cs="Palatino Linotype" w:eastAsia="Palatino Linotype" w:hAnsi="Palatino Linotype"/>
          <w:i w:val="1"/>
          <w:color w:val="000000"/>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VII. </w:t>
      </w:r>
      <w:r w:rsidDel="00000000" w:rsidR="00000000" w:rsidRPr="00000000">
        <w:rPr>
          <w:rFonts w:ascii="Palatino Linotype" w:cs="Palatino Linotype" w:eastAsia="Palatino Linotype" w:hAnsi="Palatino Linotype"/>
          <w:i w:val="1"/>
          <w:color w:val="000000"/>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360" w:lineRule="auto"/>
        <w:jc w:val="both"/>
        <w:rPr>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Rule="auto"/>
        <w:ind w:left="709" w:right="76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4</w:t>
      </w:r>
      <w:r w:rsidDel="00000000" w:rsidR="00000000" w:rsidRPr="00000000">
        <w:rPr>
          <w:rFonts w:ascii="Palatino Linotype" w:cs="Palatino Linotype" w:eastAsia="Palatino Linotype" w:hAnsi="Palatino Linotype"/>
          <w:i w:val="1"/>
          <w:color w:val="000000"/>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Rule="auto"/>
        <w:ind w:left="709" w:right="76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Rule="auto"/>
        <w:ind w:left="709" w:right="76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360" w:lineRule="auto"/>
        <w:jc w:val="both"/>
        <w:rPr>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Rule="auto"/>
        <w:ind w:left="567" w:right="758"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12</w:t>
      </w:r>
      <w:r w:rsidDel="00000000" w:rsidR="00000000" w:rsidRPr="00000000">
        <w:rPr>
          <w:rFonts w:ascii="Palatino Linotype" w:cs="Palatino Linotype" w:eastAsia="Palatino Linotype" w:hAnsi="Palatino Linotype"/>
          <w:i w:val="1"/>
          <w:color w:val="000000"/>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Rule="auto"/>
        <w:ind w:left="567" w:right="758"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360" w:lineRule="auto"/>
        <w:jc w:val="both"/>
        <w:rPr>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sz w:val="22"/>
          <w:szCs w:val="22"/>
          <w:rtl w:val="0"/>
        </w:rPr>
        <w:t xml:space="preserve">ad hoc</w:t>
      </w:r>
      <w:r w:rsidDel="00000000" w:rsidR="00000000" w:rsidRPr="00000000">
        <w:rPr>
          <w:rFonts w:ascii="Palatino Linotype" w:cs="Palatino Linotype" w:eastAsia="Palatino Linotype" w:hAnsi="Palatino Linotype"/>
          <w:color w:val="000000"/>
          <w:sz w:val="22"/>
          <w:szCs w:val="22"/>
          <w:rtl w:val="0"/>
        </w:rPr>
        <w:t xml:space="preserve">, para satisfacer el derecho de acceso a la información pública, como así lo establece el criterio orientador 03/17 emitido por el entonces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240" w:lineRule="auto"/>
        <w:ind w:left="567" w:right="90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03/17</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Rule="auto"/>
        <w:ind w:left="567" w:right="90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before="240" w:lineRule="auto"/>
        <w:ind w:left="567" w:right="90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360" w:lineRule="auto"/>
        <w:jc w:val="both"/>
        <w:rPr>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240" w:line="360" w:lineRule="auto"/>
        <w:ind w:right="49"/>
        <w:jc w:val="both"/>
        <w:rPr>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3. </w:t>
      </w:r>
      <w:r w:rsidDel="00000000" w:rsidR="00000000" w:rsidRPr="00000000">
        <w:rPr>
          <w:rFonts w:ascii="Palatino Linotype" w:cs="Palatino Linotype" w:eastAsia="Palatino Linotype" w:hAnsi="Palatino Linotype"/>
          <w:i w:val="1"/>
          <w:color w:val="000000"/>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360" w:lineRule="auto"/>
        <w:jc w:val="both"/>
        <w:rPr>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CRITERIO 0002-11</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color w:val="000000"/>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40" w:before="240" w:lineRule="auto"/>
        <w:ind w:left="567" w:right="567" w:hanging="284"/>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3. </w:t>
      </w:r>
      <w:r w:rsidDel="00000000" w:rsidR="00000000" w:rsidRPr="00000000">
        <w:rPr>
          <w:rFonts w:ascii="Palatino Linotype" w:cs="Palatino Linotype" w:eastAsia="Palatino Linotype" w:hAnsi="Palatino Linotype"/>
          <w:b w:val="1"/>
          <w:i w:val="1"/>
          <w:color w:val="000000"/>
          <w:sz w:val="22"/>
          <w:szCs w:val="22"/>
          <w:rtl w:val="0"/>
        </w:rPr>
        <w:t xml:space="preserve">Que se trate de información registrada en cualquier soporte documental, que en ejercicio de las atribuciones conferidas, se encuentre en posesión de los Sujetos Obligados.” </w:t>
      </w:r>
      <w:r w:rsidDel="00000000" w:rsidR="00000000" w:rsidRPr="00000000">
        <w:rPr>
          <w:rFonts w:ascii="Palatino Linotype" w:cs="Palatino Linotype" w:eastAsia="Palatino Linotype" w:hAnsi="Palatino Linotype"/>
          <w:i w:val="1"/>
          <w:color w:val="000000"/>
          <w:sz w:val="22"/>
          <w:szCs w:val="22"/>
          <w:rtl w:val="0"/>
        </w:rPr>
        <w:t xml:space="preserve">(Énfasis añadido)</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De ahí que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Ahora bien, para profundizar en el estudio del presente asunto, es conveniente recordar que de un análisis a la solicitud de información, se advierte que la parte solicitante requirió al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le proporcionara lo siguiente:</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before="240" w:line="360" w:lineRule="auto"/>
        <w:ind w:left="567" w:right="90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De los servidores públicos referidos en la solicitud de información  </w:t>
      </w:r>
      <w:r w:rsidDel="00000000" w:rsidR="00000000" w:rsidRPr="00000000">
        <w:rPr>
          <w:rFonts w:ascii="Palatino Linotype" w:cs="Palatino Linotype" w:eastAsia="Palatino Linotype" w:hAnsi="Palatino Linotype"/>
          <w:b w:val="1"/>
          <w:color w:val="000000"/>
          <w:sz w:val="22"/>
          <w:szCs w:val="22"/>
          <w:rtl w:val="0"/>
        </w:rPr>
        <w:t xml:space="preserve">00090/JIQUIPIL/IP/2025: </w:t>
      </w:r>
      <w:r w:rsidDel="00000000" w:rsidR="00000000" w:rsidRPr="00000000">
        <w:rPr>
          <w:rtl w:val="0"/>
        </w:rPr>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spacing w:before="240" w:line="360" w:lineRule="auto"/>
        <w:ind w:left="567" w:right="900" w:hanging="141"/>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Puesto </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line="360" w:lineRule="auto"/>
        <w:ind w:left="567" w:right="900" w:hanging="141"/>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Actividades que realizan </w:t>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spacing w:after="240" w:line="360" w:lineRule="auto"/>
        <w:ind w:left="567" w:right="900" w:hanging="141"/>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Sueldo que perciben </w:t>
      </w:r>
    </w:p>
    <w:p w:rsidR="00000000" w:rsidDel="00000000" w:rsidP="00000000" w:rsidRDefault="00000000" w:rsidRPr="00000000" w14:paraId="0000007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a la solicitud de información, 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se pronunció por conducto de la Coordinadora de Recursos Humanos, quien medularmente proporcionó refiere el cargo y funciones de los servidores públicos: Brandon Gabino González y Gregorio Mendoza Hernández, asimismo por cuanto hace al servidor público XXXXXXXXX XXXXXXX XXXXXXX, informa que después de una búsqueda en los archivos no obra ni se cuenta con registro alguno.</w:t>
      </w:r>
    </w:p>
    <w:p w:rsidR="00000000" w:rsidDel="00000000" w:rsidP="00000000" w:rsidRDefault="00000000" w:rsidRPr="00000000" w14:paraId="0000007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 tesitura, una vez conocida 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al no estar conforme con los términos de la misma, interpuso el recurso de revisión que nos ocupa, inconformándose medularmente por la entrega de información incompleta, toda vez que </w:t>
      </w:r>
      <w:r w:rsidDel="00000000" w:rsidR="00000000" w:rsidRPr="00000000">
        <w:rPr>
          <w:rFonts w:ascii="Palatino Linotype" w:cs="Palatino Linotype" w:eastAsia="Palatino Linotype" w:hAnsi="Palatino Linotype"/>
          <w:b w:val="1"/>
          <w:sz w:val="22"/>
          <w:szCs w:val="22"/>
          <w:u w:val="single"/>
          <w:rtl w:val="0"/>
        </w:rPr>
        <w:t xml:space="preserve">no se le hizo entrega del sueldo de los servidores públicos Brandon Gabino González y Gregorio Mendoza Hernández</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Así las cosas, durante la etapa de manifestaciones e informe justificado, se tiene que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hizo entrega del documento donde constan el cargo, sueldo y funciones de los servidores públicos: Brandon Gabino González y Gregorio Mendoza Hernández, asimismo por cuanto hace al servidor público </w:t>
      </w:r>
      <w:r w:rsidDel="00000000" w:rsidR="00000000" w:rsidRPr="00000000">
        <w:rPr>
          <w:rFonts w:ascii="Palatino Linotype" w:cs="Palatino Linotype" w:eastAsia="Palatino Linotype" w:hAnsi="Palatino Linotype"/>
          <w:sz w:val="22"/>
          <w:szCs w:val="22"/>
          <w:rtl w:val="0"/>
        </w:rPr>
        <w:t xml:space="preserve"> XXXXXXXXX XXXXXXX XXXXXXX</w:t>
      </w:r>
      <w:r w:rsidDel="00000000" w:rsidR="00000000" w:rsidRPr="00000000">
        <w:rPr>
          <w:rFonts w:ascii="Palatino Linotype" w:cs="Palatino Linotype" w:eastAsia="Palatino Linotype" w:hAnsi="Palatino Linotype"/>
          <w:color w:val="000000"/>
          <w:sz w:val="22"/>
          <w:szCs w:val="22"/>
          <w:rtl w:val="0"/>
        </w:rPr>
        <w:t xml:space="preserve"> informa que después de una búsqueda en los archivos no obra ni se cuenta con registro alguno.</w:t>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Una vez expuestas las posturas de las partes, resulta pertinente señalar que de una interpretación a los motivos de inconformidad de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se advierte que únicamente impugna lo concerniente </w:t>
      </w:r>
      <w:r w:rsidDel="00000000" w:rsidR="00000000" w:rsidRPr="00000000">
        <w:rPr>
          <w:rFonts w:ascii="Palatino Linotype" w:cs="Palatino Linotype" w:eastAsia="Palatino Linotype" w:hAnsi="Palatino Linotype"/>
          <w:b w:val="1"/>
          <w:sz w:val="22"/>
          <w:szCs w:val="22"/>
          <w:u w:val="single"/>
          <w:rtl w:val="0"/>
        </w:rPr>
        <w:t xml:space="preserve">al sueldo de los servidores públicos Brandon Gabino González y Gregorio Mendoza Hernández</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por lo tanto, los puntos concernientes al puesto, actividades que realizan, así como lo relativo a </w:t>
      </w:r>
      <w:r w:rsidDel="00000000" w:rsidR="00000000" w:rsidRPr="00000000">
        <w:rPr>
          <w:rFonts w:ascii="Palatino Linotype" w:cs="Palatino Linotype" w:eastAsia="Palatino Linotype" w:hAnsi="Palatino Linotype"/>
          <w:sz w:val="22"/>
          <w:szCs w:val="22"/>
          <w:rtl w:val="0"/>
        </w:rPr>
        <w:t xml:space="preserve"> XXXXXXXXX XXXXXXX XXXXXXX</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b w:val="1"/>
          <w:color w:val="000000"/>
          <w:sz w:val="22"/>
          <w:szCs w:val="22"/>
          <w:u w:val="single"/>
          <w:rtl w:val="0"/>
        </w:rPr>
        <w:t xml:space="preserve">no fueron materia de la impugnación del particular</w:t>
      </w:r>
      <w:r w:rsidDel="00000000" w:rsidR="00000000" w:rsidRPr="00000000">
        <w:rPr>
          <w:rFonts w:ascii="Palatino Linotype" w:cs="Palatino Linotype" w:eastAsia="Palatino Linotype" w:hAnsi="Palatino Linotype"/>
          <w:color w:val="000000"/>
          <w:sz w:val="22"/>
          <w:szCs w:val="22"/>
          <w:rtl w:val="0"/>
        </w:rPr>
        <w:t xml:space="preserve">, en consecuencia, dicho punto se considera consentido por </w:t>
      </w:r>
      <w:r w:rsidDel="00000000" w:rsidR="00000000" w:rsidRPr="00000000">
        <w:rPr>
          <w:rFonts w:ascii="Palatino Linotype" w:cs="Palatino Linotype" w:eastAsia="Palatino Linotype" w:hAnsi="Palatino Linotype"/>
          <w:b w:val="1"/>
          <w:color w:val="000000"/>
          <w:sz w:val="22"/>
          <w:szCs w:val="22"/>
          <w:rtl w:val="0"/>
        </w:rPr>
        <w:t xml:space="preserve">la parte Recurrente</w:t>
      </w:r>
      <w:r w:rsidDel="00000000" w:rsidR="00000000" w:rsidRPr="00000000">
        <w:rPr>
          <w:rFonts w:ascii="Palatino Linotype" w:cs="Palatino Linotype" w:eastAsia="Palatino Linotype" w:hAnsi="Palatino Linotype"/>
          <w:color w:val="000000"/>
          <w:sz w:val="22"/>
          <w:szCs w:val="22"/>
          <w:rtl w:val="0"/>
        </w:rPr>
        <w:t xml:space="preserve"> y no será materia del presente análisis. </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Lo anterior se afirma así,</w:t>
      </w:r>
      <w:r w:rsidDel="00000000" w:rsidR="00000000" w:rsidRPr="00000000">
        <w:rPr>
          <w:rFonts w:ascii="Palatino Linotype" w:cs="Palatino Linotype" w:eastAsia="Palatino Linotype" w:hAnsi="Palatino Linotype"/>
          <w:b w:val="1"/>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toda vez que, al no haber realizado manifestaciones de inconformidad al respecto,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satisface parte de la solicitud presentada.</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un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impugna la información entregada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este no expresa Razón o Motivo de Inconformidad en contra de todos los rubros solicitados, dichos rubros deben declararse atendidos, pues se entiende que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after="160" w:line="259"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7B">
      <w:pPr>
        <w:spacing w:after="160" w:line="276" w:lineRule="auto"/>
        <w:ind w:left="851" w:right="900" w:firstLine="0"/>
        <w:jc w:val="both"/>
        <w:rPr>
          <w:rFonts w:ascii="Palatino Linotype" w:cs="Palatino Linotype" w:eastAsia="Palatino Linotype" w:hAnsi="Palatino Linotype"/>
          <w:i w:val="1"/>
          <w:sz w:val="10"/>
          <w:szCs w:val="10"/>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reitera que la parte de </w:t>
      </w:r>
      <w:r w:rsidDel="00000000" w:rsidR="00000000" w:rsidRPr="00000000">
        <w:rPr>
          <w:rFonts w:ascii="Palatino Linotype" w:cs="Palatino Linotype" w:eastAsia="Palatino Linotype" w:hAnsi="Palatino Linotype"/>
          <w:color w:val="000000"/>
          <w:sz w:val="22"/>
          <w:szCs w:val="22"/>
          <w:rtl w:val="0"/>
        </w:rPr>
        <w:t xml:space="preserve">la solicitud que no fue impugnada debe declararse consentida </w:t>
      </w:r>
      <w:r w:rsidDel="00000000" w:rsidR="00000000" w:rsidRPr="00000000">
        <w:rPr>
          <w:rFonts w:ascii="Palatino Linotype" w:cs="Palatino Linotype" w:eastAsia="Palatino Linotype" w:hAnsi="Palatino Linotype"/>
          <w:sz w:val="22"/>
          <w:szCs w:val="22"/>
          <w:rtl w:val="0"/>
        </w:rPr>
        <w:t xml:space="preserve">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razón de que no se realizaron manifestaciones de inconformidad, por lo que no pueden producirse efectos jurídicos tendentes a revocar, confirmar o modificar el acto reclamado ya que se infiere un consentimiento de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ante la falta de impugnación eficaz. </w:t>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spacing w:after="160" w:line="259"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81">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Ahora bien, a efecto de garantizar el efectivo ejercicio del derecho de acceso a la información pública que asiste a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resulta conveniente señalar que </w:t>
      </w:r>
      <w:r w:rsidDel="00000000" w:rsidR="00000000" w:rsidRPr="00000000">
        <w:rPr>
          <w:rFonts w:ascii="Palatino Linotype" w:cs="Palatino Linotype" w:eastAsia="Palatino Linotype" w:hAnsi="Palatino Linotype"/>
          <w:b w:val="1"/>
          <w:sz w:val="22"/>
          <w:szCs w:val="22"/>
          <w:rtl w:val="0"/>
        </w:rPr>
        <w:t xml:space="preserve">el presente análisis versará respecto al sueldo de los servidores públicos Brandon Gabino González y Gregorio Mendoza Hernández.</w:t>
      </w:r>
    </w:p>
    <w:p w:rsidR="00000000" w:rsidDel="00000000" w:rsidP="00000000" w:rsidRDefault="00000000" w:rsidRPr="00000000" w14:paraId="00000082">
      <w:pPr>
        <w:spacing w:line="360" w:lineRule="auto"/>
        <w:jc w:val="both"/>
        <w:rPr>
          <w:rFonts w:ascii="Palatino Linotype" w:cs="Palatino Linotype" w:eastAsia="Palatino Linotype" w:hAnsi="Palatino Linotype"/>
          <w:color w:val="0d0d0d"/>
          <w:sz w:val="22"/>
          <w:szCs w:val="22"/>
        </w:rPr>
      </w:pPr>
      <w:r w:rsidDel="00000000" w:rsidR="00000000" w:rsidRPr="00000000">
        <w:rPr>
          <w:rFonts w:ascii="Palatino Linotype" w:cs="Palatino Linotype" w:eastAsia="Palatino Linotype" w:hAnsi="Palatino Linotype"/>
          <w:sz w:val="22"/>
          <w:szCs w:val="22"/>
          <w:rtl w:val="0"/>
        </w:rPr>
        <w:t xml:space="preserve">Una vez expuestas estas consideraciones, resulta necesario señalar que del análisis a las constancias que conforman el expediente electrónico, se advierte que </w:t>
      </w:r>
      <w:r w:rsidDel="00000000" w:rsidR="00000000" w:rsidRPr="00000000">
        <w:rPr>
          <w:color w:val="000000"/>
          <w:rtl w:val="0"/>
        </w:rPr>
        <w:t xml:space="preserve">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d0d0d"/>
          <w:sz w:val="22"/>
          <w:szCs w:val="22"/>
          <w:rtl w:val="0"/>
        </w:rPr>
        <w:t xml:space="preserve">, turnó la solicitud de información a la Coordinación de Recursos Humanos, la cual de conformidad con el artículo 163 del Bando Municipal, cuenta con las siguientes atribuciones:</w:t>
      </w:r>
    </w:p>
    <w:p w:rsidR="00000000" w:rsidDel="00000000" w:rsidP="00000000" w:rsidRDefault="00000000" w:rsidRPr="00000000" w14:paraId="00000083">
      <w:pPr>
        <w:spacing w:line="360" w:lineRule="auto"/>
        <w:jc w:val="both"/>
        <w:rPr>
          <w:rFonts w:ascii="Palatino Linotype" w:cs="Palatino Linotype" w:eastAsia="Palatino Linotype" w:hAnsi="Palatino Linotype"/>
          <w:color w:val="0d0d0d"/>
          <w:sz w:val="22"/>
          <w:szCs w:val="22"/>
        </w:rPr>
      </w:pPr>
      <w:r w:rsidDel="00000000" w:rsidR="00000000" w:rsidRPr="00000000">
        <w:rPr>
          <w:rtl w:val="0"/>
        </w:rPr>
      </w:r>
    </w:p>
    <w:p w:rsidR="00000000" w:rsidDel="00000000" w:rsidP="00000000" w:rsidRDefault="00000000" w:rsidRPr="00000000" w14:paraId="00000084">
      <w:pPr>
        <w:spacing w:line="276" w:lineRule="auto"/>
        <w:ind w:left="567" w:right="900" w:firstLine="0"/>
        <w:jc w:val="both"/>
        <w:rPr>
          <w:rFonts w:ascii="Palatino Linotype" w:cs="Palatino Linotype" w:eastAsia="Palatino Linotype" w:hAnsi="Palatino Linotype"/>
          <w:i w:val="1"/>
          <w:color w:val="0d0d0d"/>
          <w:sz w:val="22"/>
          <w:szCs w:val="22"/>
        </w:rPr>
      </w:pPr>
      <w:r w:rsidDel="00000000" w:rsidR="00000000" w:rsidRPr="00000000">
        <w:rPr>
          <w:rFonts w:ascii="Palatino Linotype" w:cs="Palatino Linotype" w:eastAsia="Palatino Linotype" w:hAnsi="Palatino Linotype"/>
          <w:i w:val="1"/>
          <w:color w:val="0d0d0d"/>
          <w:sz w:val="22"/>
          <w:szCs w:val="22"/>
          <w:rtl w:val="0"/>
        </w:rPr>
        <w:t xml:space="preserve">“ARTÍCULO 163. </w:t>
      </w:r>
      <w:r w:rsidDel="00000000" w:rsidR="00000000" w:rsidRPr="00000000">
        <w:rPr>
          <w:rFonts w:ascii="Palatino Linotype" w:cs="Palatino Linotype" w:eastAsia="Palatino Linotype" w:hAnsi="Palatino Linotype"/>
          <w:b w:val="1"/>
          <w:i w:val="1"/>
          <w:color w:val="0d0d0d"/>
          <w:sz w:val="22"/>
          <w:szCs w:val="22"/>
          <w:rtl w:val="0"/>
        </w:rPr>
        <w:t xml:space="preserve">La Coordinación de Recursos Humanos, es la unidad administrativa encargada de coordinar las actividades de los trabajadores que forman parte de la Administración Pública Municipal.</w:t>
      </w:r>
      <w:r w:rsidDel="00000000" w:rsidR="00000000" w:rsidRPr="00000000">
        <w:rPr>
          <w:rFonts w:ascii="Palatino Linotype" w:cs="Palatino Linotype" w:eastAsia="Palatino Linotype" w:hAnsi="Palatino Linotype"/>
          <w:i w:val="1"/>
          <w:color w:val="0d0d0d"/>
          <w:sz w:val="22"/>
          <w:szCs w:val="22"/>
          <w:rtl w:val="0"/>
        </w:rPr>
        <w:t xml:space="preserve"> Esta área establecerá los mecanismos necesarios para el buen funcionamiento de la Administración Pública Municipal; </w:t>
      </w:r>
      <w:r w:rsidDel="00000000" w:rsidR="00000000" w:rsidRPr="00000000">
        <w:rPr>
          <w:rFonts w:ascii="Palatino Linotype" w:cs="Palatino Linotype" w:eastAsia="Palatino Linotype" w:hAnsi="Palatino Linotype"/>
          <w:b w:val="1"/>
          <w:i w:val="1"/>
          <w:color w:val="0d0d0d"/>
          <w:sz w:val="22"/>
          <w:szCs w:val="22"/>
          <w:rtl w:val="0"/>
        </w:rPr>
        <w:t xml:space="preserve">tendrá a su cargo la base de datos de los servidores públicos municipales,</w:t>
      </w:r>
      <w:r w:rsidDel="00000000" w:rsidR="00000000" w:rsidRPr="00000000">
        <w:rPr>
          <w:rFonts w:ascii="Palatino Linotype" w:cs="Palatino Linotype" w:eastAsia="Palatino Linotype" w:hAnsi="Palatino Linotype"/>
          <w:i w:val="1"/>
          <w:color w:val="0d0d0d"/>
          <w:sz w:val="22"/>
          <w:szCs w:val="22"/>
          <w:rtl w:val="0"/>
        </w:rPr>
        <w:t xml:space="preserve"> Promoviendo prácticas laborales basadas en la equidad, la inclusión y el bienestar; y regulará los horarios de trabajo, descansos, periodos vacacionales, permisos, incapacidades y demás actividades contribuyendo con ello a construir un gobierno más eficiente, innovador y centrado en las personas que tengan relación con el área humana y tendrá las siguientes atribuciones:</w:t>
      </w:r>
    </w:p>
    <w:p w:rsidR="00000000" w:rsidDel="00000000" w:rsidP="00000000" w:rsidRDefault="00000000" w:rsidRPr="00000000" w14:paraId="00000085">
      <w:pPr>
        <w:spacing w:line="276" w:lineRule="auto"/>
        <w:ind w:left="567" w:right="900" w:firstLine="0"/>
        <w:jc w:val="both"/>
        <w:rPr>
          <w:rFonts w:ascii="Palatino Linotype" w:cs="Palatino Linotype" w:eastAsia="Palatino Linotype" w:hAnsi="Palatino Linotype"/>
          <w:i w:val="1"/>
          <w:color w:val="0d0d0d"/>
          <w:sz w:val="22"/>
          <w:szCs w:val="22"/>
        </w:rPr>
      </w:pPr>
      <w:r w:rsidDel="00000000" w:rsidR="00000000" w:rsidRPr="00000000">
        <w:rPr>
          <w:rFonts w:ascii="Palatino Linotype" w:cs="Palatino Linotype" w:eastAsia="Palatino Linotype" w:hAnsi="Palatino Linotype"/>
          <w:b w:val="1"/>
          <w:i w:val="1"/>
          <w:color w:val="0d0d0d"/>
          <w:sz w:val="22"/>
          <w:szCs w:val="22"/>
          <w:u w:val="single"/>
          <w:rtl w:val="0"/>
        </w:rPr>
        <w:t xml:space="preserve">I. Mantener en resguardo y actualización del Archivo de Personal;” </w:t>
      </w:r>
      <w:r w:rsidDel="00000000" w:rsidR="00000000" w:rsidRPr="00000000">
        <w:rPr>
          <w:rFonts w:ascii="Palatino Linotype" w:cs="Palatino Linotype" w:eastAsia="Palatino Linotype" w:hAnsi="Palatino Linotype"/>
          <w:i w:val="1"/>
          <w:color w:val="0d0d0d"/>
          <w:sz w:val="22"/>
          <w:szCs w:val="22"/>
          <w:rtl w:val="0"/>
        </w:rPr>
        <w:t xml:space="preserve">(Énfasis añadido)</w:t>
      </w:r>
    </w:p>
    <w:p w:rsidR="00000000" w:rsidDel="00000000" w:rsidP="00000000" w:rsidRDefault="00000000" w:rsidRPr="00000000" w14:paraId="00000086">
      <w:pPr>
        <w:spacing w:line="360" w:lineRule="auto"/>
        <w:ind w:left="142"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previamente referido, se advierte que toda vez que se turnó al área encargada del resguardo del archivo de personal y contar con una coordinación de sus actividades, se tiene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 turnó el requerimiento de información a la unidad administrativa competente y esta se pronunció desde la respuesta, es dable afirmar que en el presente asunto</w:t>
      </w:r>
      <w:r w:rsidDel="00000000" w:rsidR="00000000" w:rsidRPr="00000000">
        <w:rPr>
          <w:rFonts w:ascii="Palatino Linotype" w:cs="Palatino Linotype" w:eastAsia="Palatino Linotype" w:hAnsi="Palatino Linotype"/>
          <w:color w:val="222222"/>
          <w:sz w:val="22"/>
          <w:szCs w:val="22"/>
          <w:rtl w:val="0"/>
        </w:rPr>
        <w:t xml:space="preserve"> obra un pronunciamiento de la unidad administrativa competente, por lo que se determina que el </w:t>
      </w:r>
      <w:r w:rsidDel="00000000" w:rsidR="00000000" w:rsidRPr="00000000">
        <w:rPr>
          <w:rFonts w:ascii="Palatino Linotype" w:cs="Palatino Linotype" w:eastAsia="Palatino Linotype" w:hAnsi="Palatino Linotype"/>
          <w:b w:val="1"/>
          <w:color w:val="222222"/>
          <w:sz w:val="22"/>
          <w:szCs w:val="22"/>
          <w:rtl w:val="0"/>
        </w:rPr>
        <w:t xml:space="preserve">Sujeto Obligado</w:t>
      </w:r>
      <w:r w:rsidDel="00000000" w:rsidR="00000000" w:rsidRPr="00000000">
        <w:rPr>
          <w:rFonts w:ascii="Palatino Linotype" w:cs="Palatino Linotype" w:eastAsia="Palatino Linotype" w:hAnsi="Palatino Linotype"/>
          <w:color w:val="222222"/>
          <w:sz w:val="22"/>
          <w:szCs w:val="22"/>
          <w:rtl w:val="0"/>
        </w:rPr>
        <w:t xml:space="preserve"> siguió </w:t>
      </w:r>
      <w:r w:rsidDel="00000000" w:rsidR="00000000" w:rsidRPr="00000000">
        <w:rPr>
          <w:rFonts w:ascii="Palatino Linotype" w:cs="Palatino Linotype" w:eastAsia="Palatino Linotype" w:hAnsi="Palatino Linotype"/>
          <w:color w:val="000000"/>
          <w:sz w:val="22"/>
          <w:szCs w:val="22"/>
          <w:rtl w:val="0"/>
        </w:rPr>
        <w:t xml:space="preserve">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864" w:right="864"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ffffff" w:val="clear"/>
        <w:spacing w:line="360" w:lineRule="auto"/>
        <w:jc w:val="both"/>
        <w:rPr>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864" w:right="864"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“Artículo 162. Las unidades de transparencia deberán garantizar que las solicitudes </w:t>
      </w:r>
      <w:r w:rsidDel="00000000" w:rsidR="00000000" w:rsidRPr="00000000">
        <w:rPr>
          <w:rFonts w:ascii="Palatino Linotype" w:cs="Palatino Linotype" w:eastAsia="Palatino Linotype" w:hAnsi="Palatino Linotype"/>
          <w:b w:val="1"/>
          <w:i w:val="1"/>
          <w:color w:val="000000"/>
          <w:sz w:val="22"/>
          <w:szCs w:val="22"/>
          <w:rtl w:val="0"/>
        </w:rPr>
        <w:t xml:space="preserve">se turnen a todas las Áreas competentes </w:t>
      </w:r>
      <w:r w:rsidDel="00000000" w:rsidR="00000000" w:rsidRPr="00000000">
        <w:rPr>
          <w:rFonts w:ascii="Palatino Linotype" w:cs="Palatino Linotype" w:eastAsia="Palatino Linotype" w:hAnsi="Palatino Linotype"/>
          <w:i w:val="1"/>
          <w:color w:val="000000"/>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Acotado lo anterior, resulta indispensable proceder al análisis de la respuesta, para ello se trae a colación el siguiente esquema de análisis:</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tbl>
      <w:tblPr>
        <w:tblStyle w:val="Table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268"/>
        <w:gridCol w:w="5103"/>
        <w:tblGridChange w:id="0">
          <w:tblGrid>
            <w:gridCol w:w="2263"/>
            <w:gridCol w:w="2268"/>
            <w:gridCol w:w="5103"/>
          </w:tblGrid>
        </w:tblGridChange>
      </w:tblGrid>
      <w:tr>
        <w:trPr>
          <w:cantSplit w:val="0"/>
          <w:tblHeader w:val="0"/>
        </w:trPr>
        <w:tc>
          <w:tcPr>
            <w:shd w:fill="eeece1"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ind w:right="49"/>
              <w:jc w:val="cente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Requerimiento de información</w:t>
            </w:r>
          </w:p>
        </w:tc>
        <w:tc>
          <w:tcPr>
            <w:shd w:fill="eeece1"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ind w:right="49"/>
              <w:jc w:val="cente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Respuesta</w:t>
            </w:r>
          </w:p>
        </w:tc>
        <w:tc>
          <w:tcPr>
            <w:shd w:fill="eeece1"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ind w:right="49"/>
              <w:jc w:val="cente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Informe Justificado</w:t>
            </w:r>
          </w:p>
        </w:tc>
      </w:tr>
      <w:tr>
        <w:trPr>
          <w:cantSplit w:val="0"/>
          <w:tblHeader w:val="0"/>
        </w:trPr>
        <w:tc>
          <w:tcPr/>
          <w:p w:rsidR="00000000" w:rsidDel="00000000" w:rsidP="00000000" w:rsidRDefault="00000000" w:rsidRPr="00000000" w14:paraId="00000092">
            <w:pPr>
              <w:pBdr>
                <w:top w:space="0" w:sz="0" w:val="nil"/>
                <w:left w:space="0" w:sz="0" w:val="nil"/>
                <w:bottom w:space="0" w:sz="0" w:val="nil"/>
                <w:right w:space="0" w:sz="0" w:val="nil"/>
                <w:between w:space="0" w:sz="0" w:val="nil"/>
              </w:pBdr>
              <w:ind w:right="49"/>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sueldo de los servidores públicos Brandon Gabino González y Gregorio Mendoza Hernández</w:t>
            </w:r>
            <w:r w:rsidDel="00000000" w:rsidR="00000000" w:rsidRPr="00000000">
              <w:rPr>
                <w:rtl w:val="0"/>
              </w:rPr>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ind w:right="49"/>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Coordinación de Recursos Humanos: </w:t>
            </w:r>
            <w:r w:rsidDel="00000000" w:rsidR="00000000" w:rsidRPr="00000000">
              <w:rPr>
                <w:rFonts w:ascii="Palatino Linotype" w:cs="Palatino Linotype" w:eastAsia="Palatino Linotype" w:hAnsi="Palatino Linotype"/>
                <w:color w:val="000000"/>
                <w:sz w:val="18"/>
                <w:szCs w:val="18"/>
                <w:rtl w:val="0"/>
              </w:rPr>
              <w:t xml:space="preserve">No se pronunció.</w:t>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284"/>
              </w:tabs>
              <w:ind w:right="49"/>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Coordinación de Recursos Humanos: </w:t>
            </w:r>
            <w:r w:rsidDel="00000000" w:rsidR="00000000" w:rsidRPr="00000000">
              <w:rPr>
                <w:rFonts w:ascii="Palatino Linotype" w:cs="Palatino Linotype" w:eastAsia="Palatino Linotype" w:hAnsi="Palatino Linotype"/>
                <w:color w:val="000000"/>
                <w:sz w:val="18"/>
                <w:szCs w:val="18"/>
                <w:rtl w:val="0"/>
              </w:rPr>
              <w:t xml:space="preserve">Brandon Gabino González, cuenta con un sueldo de $10,000 y Gregorio Mendoza Hernández de $8,500</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cuadro previamente insertado, se tiene que si bien es cierto, en respuesta, omitió pronunciarse respecto del punto en cuestión, no menos cierto es que en informe justificado modificó la falta de pronunciamiento y entregó el sueldo de los servidores públicos en cuestión, sin embargo, no puede validarse la información entregada, en virtud de que no se precisa si se trata del sueldo bruto o neto, ni si se trata de la remuneración quincenal o mensual. </w:t>
      </w:r>
    </w:p>
    <w:p w:rsidR="00000000" w:rsidDel="00000000" w:rsidP="00000000" w:rsidRDefault="00000000" w:rsidRPr="00000000" w14:paraId="00000098">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En otras palabras, si bien proporcionó un sueldo, no refirió el tipo, ni la periodicidad del mismo, por lo que, para atender el requerimiento de información, la Coordinación de Recursos Humanos, deberá realizar una búsqueda exhaustiva y razonable en sus archivos, a efecto de que proporcione el sueldo bruto y neto mensual vigente a la fecha de la solicitud, es decir, al veintiocho de febrero de dos mil veinticinco, de los servidores públicos Brandon Gabino González y Gregorio Mendoza Hernández.</w:t>
      </w:r>
    </w:p>
    <w:p w:rsidR="00000000" w:rsidDel="00000000" w:rsidP="00000000" w:rsidRDefault="00000000" w:rsidRPr="00000000" w14:paraId="00000099">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mayor abundamiento de lo anterior, respecto al sueldo de los servidores públicos, debe señalarse que el artículo 92, fracción VIII de la Ley de Transparencia y Acceso a la Información Pública del Estado de México y Municipios, señala que deberá ponerse a disposición del público, la información relativa a las remuneraciones brutas y netas de los servidores públicos: </w:t>
      </w:r>
    </w:p>
    <w:p w:rsidR="00000000" w:rsidDel="00000000" w:rsidP="00000000" w:rsidRDefault="00000000" w:rsidRPr="00000000" w14:paraId="0000009B">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Del="00000000" w:rsidR="00000000" w:rsidRPr="00000000">
        <w:rPr>
          <w:rtl w:val="0"/>
        </w:rPr>
      </w:r>
    </w:p>
    <w:p w:rsidR="00000000" w:rsidDel="00000000" w:rsidP="00000000" w:rsidRDefault="00000000" w:rsidRPr="00000000" w14:paraId="0000009D">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E">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Del="00000000" w:rsidR="00000000" w:rsidRPr="00000000">
        <w:rPr>
          <w:rtl w:val="0"/>
        </w:rPr>
      </w:r>
    </w:p>
    <w:p w:rsidR="00000000" w:rsidDel="00000000" w:rsidP="00000000" w:rsidRDefault="00000000" w:rsidRPr="00000000" w14:paraId="0000009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Por lo anteriormente analizado, se determina que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si cuenta con atribuciones para contar con la información solicitada, por lo que se determina procedente la entrega de los documentos donde conste el sueldo bruto y neto mensual vigente al veintiocho de febrero de dos mil veinticinco, de los servidores públicos Brandon Gabino González y Gregorio Mendoza Hernández.</w:t>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se tiene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atendió a cabalidad los requerimientos de información del particular, luego entonces, en mérito de todo lo expuesto, es que se determina que los agravios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y es por ello que este Organismo Garante </w:t>
      </w:r>
      <w:r w:rsidDel="00000000" w:rsidR="00000000" w:rsidRPr="00000000">
        <w:rPr>
          <w:rFonts w:ascii="Palatino Linotype" w:cs="Palatino Linotype" w:eastAsia="Palatino Linotype" w:hAnsi="Palatino Linotype"/>
          <w:color w:val="000000"/>
          <w:sz w:val="22"/>
          <w:szCs w:val="22"/>
          <w:rtl w:val="0"/>
        </w:rPr>
        <w:t xml:space="preserve">determina </w:t>
      </w:r>
      <w:r w:rsidDel="00000000" w:rsidR="00000000" w:rsidRPr="00000000">
        <w:rPr>
          <w:rFonts w:ascii="Palatino Linotype" w:cs="Palatino Linotype" w:eastAsia="Palatino Linotype" w:hAnsi="Palatino Linotype"/>
          <w:b w:val="1"/>
          <w:color w:val="000000"/>
          <w:sz w:val="22"/>
          <w:szCs w:val="22"/>
          <w:rtl w:val="0"/>
        </w:rPr>
        <w:t xml:space="preserve">MODIFICAR </w:t>
      </w:r>
      <w:r w:rsidDel="00000000" w:rsidR="00000000" w:rsidRPr="00000000">
        <w:rPr>
          <w:rFonts w:ascii="Palatino Linotype" w:cs="Palatino Linotype" w:eastAsia="Palatino Linotype" w:hAnsi="Palatino Linotype"/>
          <w:color w:val="000000"/>
          <w:sz w:val="22"/>
          <w:szCs w:val="22"/>
          <w:rtl w:val="0"/>
        </w:rPr>
        <w:t xml:space="preserve">la respuesta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del recurso de revisión </w:t>
      </w:r>
      <w:r w:rsidDel="00000000" w:rsidR="00000000" w:rsidRPr="00000000">
        <w:rPr>
          <w:rFonts w:ascii="Palatino Linotype" w:cs="Palatino Linotype" w:eastAsia="Palatino Linotype" w:hAnsi="Palatino Linotype"/>
          <w:b w:val="1"/>
          <w:color w:val="000000"/>
          <w:sz w:val="22"/>
          <w:szCs w:val="22"/>
          <w:rtl w:val="0"/>
        </w:rPr>
        <w:t xml:space="preserve">03759/INFOEM/IP/RR/2025</w:t>
      </w:r>
      <w:r w:rsidDel="00000000" w:rsidR="00000000" w:rsidRPr="00000000">
        <w:rPr>
          <w:rFonts w:ascii="Palatino Linotype" w:cs="Palatino Linotype" w:eastAsia="Palatino Linotype" w:hAnsi="Palatino Linotype"/>
          <w:color w:val="000000"/>
          <w:sz w:val="22"/>
          <w:szCs w:val="22"/>
          <w:rtl w:val="0"/>
        </w:rPr>
        <w:t xml:space="preserve">, para ordenar la entrega de lo siguiente:</w:t>
      </w: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A4">
      <w:pPr>
        <w:numPr>
          <w:ilvl w:val="0"/>
          <w:numId w:val="4"/>
        </w:numPr>
        <w:pBdr>
          <w:top w:space="0" w:sz="0" w:val="nil"/>
          <w:left w:space="0" w:sz="0" w:val="nil"/>
          <w:bottom w:space="0" w:sz="0" w:val="nil"/>
          <w:right w:space="0" w:sz="0" w:val="nil"/>
          <w:between w:space="0" w:sz="0" w:val="nil"/>
        </w:pBdr>
        <w:spacing w:line="276" w:lineRule="auto"/>
        <w:ind w:left="567" w:right="900" w:hanging="141"/>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Los documentos donde conste el sueldo bruto y neto mensual vigente al veintiocho de febrero de dos mil veinticinco, de los servidores públicos Brandon Gabino González y Gregorio Mendoza Hernández.</w:t>
      </w:r>
    </w:p>
    <w:p w:rsidR="00000000" w:rsidDel="00000000" w:rsidP="00000000" w:rsidRDefault="00000000" w:rsidRPr="00000000" w14:paraId="000000A5">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Como fue debidamente apuntado,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0A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0A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0A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los artículos 3, fracciones IX, XX, XXI, XXXII, XLV; 6, 91, 132, 137, 143, fracción I, de la Ley de Transparencia y Acceso a la Información Pública del Estado de México y Municipios vigente establecen:</w:t>
      </w:r>
    </w:p>
    <w:p w:rsidR="00000000" w:rsidDel="00000000" w:rsidP="00000000" w:rsidRDefault="00000000" w:rsidRPr="00000000" w14:paraId="000000A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AA">
      <w:pPr>
        <w:tabs>
          <w:tab w:val="left" w:leader="none" w:pos="1276"/>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B">
      <w:pPr>
        <w:tabs>
          <w:tab w:val="left" w:leader="none" w:pos="1276"/>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0AC">
      <w:pPr>
        <w:tabs>
          <w:tab w:val="left" w:leader="none" w:pos="1276"/>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D">
      <w:pPr>
        <w:tabs>
          <w:tab w:val="left" w:leader="none" w:pos="1276"/>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AE">
      <w:pPr>
        <w:tabs>
          <w:tab w:val="left" w:leader="none" w:pos="1276"/>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AF">
      <w:pPr>
        <w:tabs>
          <w:tab w:val="left" w:leader="none" w:pos="1276"/>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0">
      <w:pPr>
        <w:tabs>
          <w:tab w:val="left" w:leader="none" w:pos="1276"/>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0B1">
      <w:pPr>
        <w:tabs>
          <w:tab w:val="left" w:leader="none" w:pos="1276"/>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2">
      <w:pPr>
        <w:tabs>
          <w:tab w:val="left" w:leader="none" w:pos="1276"/>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B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0B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br w:type="textWrapping"/>
        <w:t xml:space="preserve">…</w:t>
      </w:r>
    </w:p>
    <w:p w:rsidR="00000000" w:rsidDel="00000000" w:rsidP="00000000" w:rsidRDefault="00000000" w:rsidRPr="00000000" w14:paraId="000000B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B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B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B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B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B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0B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B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BE">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0BF">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C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la información que se ordena si bien tiene el carácter información pública en razón de que se trata de documentos que se encuentran en posesión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2"/>
          <w:szCs w:val="22"/>
          <w:rtl w:val="0"/>
        </w:rPr>
        <w:t xml:space="preserve">Registro Federal de Contribuyentes</w:t>
      </w:r>
      <w:r w:rsidDel="00000000" w:rsidR="00000000" w:rsidRPr="00000000">
        <w:rPr>
          <w:rFonts w:ascii="Palatino Linotype" w:cs="Palatino Linotype" w:eastAsia="Palatino Linotype" w:hAnsi="Palatino Linotype"/>
          <w:sz w:val="22"/>
          <w:szCs w:val="22"/>
          <w:rtl w:val="0"/>
        </w:rPr>
        <w:t xml:space="preserve"> (RFC), la </w:t>
      </w:r>
      <w:r w:rsidDel="00000000" w:rsidR="00000000" w:rsidRPr="00000000">
        <w:rPr>
          <w:rFonts w:ascii="Palatino Linotype" w:cs="Palatino Linotype" w:eastAsia="Palatino Linotype" w:hAnsi="Palatino Linotype"/>
          <w:b w:val="1"/>
          <w:sz w:val="22"/>
          <w:szCs w:val="22"/>
          <w:rtl w:val="0"/>
        </w:rPr>
        <w:t xml:space="preserve">Clave Única de Registro de Población</w:t>
      </w:r>
      <w:r w:rsidDel="00000000" w:rsidR="00000000" w:rsidRPr="00000000">
        <w:rPr>
          <w:rFonts w:ascii="Palatino Linotype" w:cs="Palatino Linotype" w:eastAsia="Palatino Linotype" w:hAnsi="Palatino Linotype"/>
          <w:sz w:val="22"/>
          <w:szCs w:val="22"/>
          <w:rtl w:val="0"/>
        </w:rPr>
        <w:t xml:space="preserve"> (CURP), la </w:t>
      </w:r>
      <w:r w:rsidDel="00000000" w:rsidR="00000000" w:rsidRPr="00000000">
        <w:rPr>
          <w:rFonts w:ascii="Palatino Linotype" w:cs="Palatino Linotype" w:eastAsia="Palatino Linotype" w:hAnsi="Palatino Linotype"/>
          <w:b w:val="1"/>
          <w:sz w:val="22"/>
          <w:szCs w:val="22"/>
          <w:rtl w:val="0"/>
        </w:rPr>
        <w:t xml:space="preserve">Clave de cualquier tipo de seguridad social</w:t>
      </w:r>
      <w:r w:rsidDel="00000000" w:rsidR="00000000" w:rsidRPr="00000000">
        <w:rPr>
          <w:rFonts w:ascii="Palatino Linotype" w:cs="Palatino Linotype" w:eastAsia="Palatino Linotype" w:hAnsi="Palatino Linotype"/>
          <w:sz w:val="22"/>
          <w:szCs w:val="22"/>
          <w:rtl w:val="0"/>
        </w:rPr>
        <w:t xml:space="preserve"> (ISSEMYM, u otros), los </w:t>
      </w:r>
      <w:r w:rsidDel="00000000" w:rsidR="00000000" w:rsidRPr="00000000">
        <w:rPr>
          <w:rFonts w:ascii="Palatino Linotype" w:cs="Palatino Linotype" w:eastAsia="Palatino Linotype" w:hAnsi="Palatino Linotype"/>
          <w:b w:val="1"/>
          <w:sz w:val="22"/>
          <w:szCs w:val="22"/>
          <w:rtl w:val="0"/>
        </w:rPr>
        <w:t xml:space="preserve">números de cuentas bancarias</w:t>
      </w:r>
      <w:r w:rsidDel="00000000" w:rsidR="00000000" w:rsidRPr="00000000">
        <w:rPr>
          <w:rFonts w:ascii="Palatino Linotype" w:cs="Palatino Linotype" w:eastAsia="Palatino Linotype" w:hAnsi="Palatino Linotype"/>
          <w:sz w:val="22"/>
          <w:szCs w:val="22"/>
          <w:rtl w:val="0"/>
        </w:rPr>
        <w:t xml:space="preserve">, claves estandarizadas – interbancarias - (CLABES) y de tarjetas, los </w:t>
      </w:r>
      <w:r w:rsidDel="00000000" w:rsidR="00000000" w:rsidRPr="00000000">
        <w:rPr>
          <w:rFonts w:ascii="Palatino Linotype" w:cs="Palatino Linotype" w:eastAsia="Palatino Linotype" w:hAnsi="Palatino Linotype"/>
          <w:b w:val="1"/>
          <w:sz w:val="22"/>
          <w:szCs w:val="22"/>
          <w:rtl w:val="0"/>
        </w:rPr>
        <w:t xml:space="preserve">préstamos o descuentos</w:t>
      </w:r>
      <w:r w:rsidDel="00000000" w:rsidR="00000000" w:rsidRPr="00000000">
        <w:rPr>
          <w:rFonts w:ascii="Palatino Linotype" w:cs="Palatino Linotype" w:eastAsia="Palatino Linotype" w:hAnsi="Palatino Linotype"/>
          <w:sz w:val="22"/>
          <w:szCs w:val="22"/>
          <w:rtl w:val="0"/>
        </w:rPr>
        <w:t xml:space="preserve"> que se le hagan a la persona y que no tengan relación con los impuestos o la cuota por seguridad social, el</w:t>
      </w:r>
      <w:r w:rsidDel="00000000" w:rsidR="00000000" w:rsidRPr="00000000">
        <w:rPr>
          <w:rFonts w:ascii="Palatino Linotype" w:cs="Palatino Linotype" w:eastAsia="Palatino Linotype" w:hAnsi="Palatino Linotype"/>
          <w:b w:val="1"/>
          <w:sz w:val="22"/>
          <w:szCs w:val="22"/>
          <w:rtl w:val="0"/>
        </w:rPr>
        <w:t xml:space="preserve"> número de empleado, </w:t>
      </w:r>
      <w:r w:rsidDel="00000000" w:rsidR="00000000" w:rsidRPr="00000000">
        <w:rPr>
          <w:rFonts w:ascii="Palatino Linotype" w:cs="Palatino Linotype" w:eastAsia="Palatino Linotype" w:hAnsi="Palatino Linotype"/>
          <w:sz w:val="22"/>
          <w:szCs w:val="22"/>
          <w:rtl w:val="0"/>
        </w:rPr>
        <w:t xml:space="preserve">y cualquier información de carácter fiscal.</w:t>
      </w:r>
    </w:p>
    <w:p w:rsidR="00000000" w:rsidDel="00000000" w:rsidP="00000000" w:rsidRDefault="00000000" w:rsidRPr="00000000" w14:paraId="000000C1">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w:t>
      </w:r>
      <w:r w:rsidDel="00000000" w:rsidR="00000000" w:rsidRPr="00000000">
        <w:rPr>
          <w:rFonts w:ascii="Palatino Linotype" w:cs="Palatino Linotype" w:eastAsia="Palatino Linotype" w:hAnsi="Palatino Linotype"/>
          <w:b w:val="1"/>
          <w:sz w:val="22"/>
          <w:szCs w:val="22"/>
          <w:rtl w:val="0"/>
        </w:rPr>
        <w:t xml:space="preserve">Registro Federal de Contribuyentes, RFC,</w:t>
      </w:r>
      <w:r w:rsidDel="00000000" w:rsidR="00000000" w:rsidRPr="00000000">
        <w:rPr>
          <w:rFonts w:ascii="Palatino Linotype" w:cs="Palatino Linotype" w:eastAsia="Palatino Linotype" w:hAnsi="Palatino Linotype"/>
          <w:sz w:val="22"/>
          <w:szCs w:val="22"/>
          <w:rtl w:val="0"/>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0C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entonces Instituto Nacional de Transparencia, Acceso a la Información y Protección de Datos Personales, INAI, a través del Criterio de interpretación con clave de control SO/019/2017, el cual es del tenor literal siguiente:</w:t>
      </w:r>
    </w:p>
    <w:p w:rsidR="00000000" w:rsidDel="00000000" w:rsidP="00000000" w:rsidRDefault="00000000" w:rsidRPr="00000000" w14:paraId="000000C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bookmarkStart w:colFirst="0" w:colLast="0" w:name="_heading=h.lnxbz9" w:id="8"/>
      <w:bookmarkEnd w:id="8"/>
      <w:r w:rsidDel="00000000" w:rsidR="00000000" w:rsidRPr="00000000">
        <w:rPr>
          <w:rFonts w:ascii="Palatino Linotype" w:cs="Palatino Linotype" w:eastAsia="Palatino Linotype" w:hAnsi="Palatino Linotype"/>
          <w:sz w:val="22"/>
          <w:szCs w:val="22"/>
          <w:rtl w:val="0"/>
        </w:rPr>
        <w:t xml:space="preserve">De igual manera la </w:t>
      </w:r>
      <w:r w:rsidDel="00000000" w:rsidR="00000000" w:rsidRPr="00000000">
        <w:rPr>
          <w:rFonts w:ascii="Palatino Linotype" w:cs="Palatino Linotype" w:eastAsia="Palatino Linotype" w:hAnsi="Palatino Linotype"/>
          <w:b w:val="1"/>
          <w:sz w:val="22"/>
          <w:szCs w:val="22"/>
          <w:rtl w:val="0"/>
        </w:rPr>
        <w:t xml:space="preserve">Clave Única de Registro de Población</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CURP,</w:t>
      </w:r>
      <w:r w:rsidDel="00000000" w:rsidR="00000000" w:rsidRPr="00000000">
        <w:rPr>
          <w:rFonts w:ascii="Palatino Linotype" w:cs="Palatino Linotype" w:eastAsia="Palatino Linotype" w:hAnsi="Palatino Linotype"/>
          <w:sz w:val="22"/>
          <w:szCs w:val="22"/>
          <w:rtl w:val="0"/>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entonces Instituto Nacional de Transparencia, Acceso a la Información y Protección de Datos Personales, INAI, conforme al Criterio de interpretación con Clave de control SO/018/2017, el cual refiere:</w:t>
      </w:r>
    </w:p>
    <w:p w:rsidR="00000000" w:rsidDel="00000000" w:rsidP="00000000" w:rsidRDefault="00000000" w:rsidRPr="00000000" w14:paraId="000000C9">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respecta a la </w:t>
      </w:r>
      <w:r w:rsidDel="00000000" w:rsidR="00000000" w:rsidRPr="00000000">
        <w:rPr>
          <w:rFonts w:ascii="Palatino Linotype" w:cs="Palatino Linotype" w:eastAsia="Palatino Linotype" w:hAnsi="Palatino Linotype"/>
          <w:b w:val="1"/>
          <w:sz w:val="22"/>
          <w:szCs w:val="22"/>
          <w:rtl w:val="0"/>
        </w:rPr>
        <w:t xml:space="preserve">clave de seguridad social</w:t>
      </w:r>
      <w:r w:rsidDel="00000000" w:rsidR="00000000" w:rsidRPr="00000000">
        <w:rPr>
          <w:rFonts w:ascii="Palatino Linotype" w:cs="Palatino Linotype" w:eastAsia="Palatino Linotype" w:hAnsi="Palatino Linotype"/>
          <w:sz w:val="22"/>
          <w:szCs w:val="22"/>
          <w:rtl w:val="0"/>
        </w:rPr>
        <w:t xml:space="preserve">, en virtud de que su divulgación no aporta a la transparencia o a la rendición de cuentas y sí provoca una transgresión a la vida privada e intimidad de la persona, esta información también resulta ser de carácter confidencial.</w:t>
      </w:r>
    </w:p>
    <w:p w:rsidR="00000000" w:rsidDel="00000000" w:rsidP="00000000" w:rsidRDefault="00000000" w:rsidRPr="00000000" w14:paraId="000000C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 los </w:t>
      </w:r>
      <w:r w:rsidDel="00000000" w:rsidR="00000000" w:rsidRPr="00000000">
        <w:rPr>
          <w:rFonts w:ascii="Palatino Linotype" w:cs="Palatino Linotype" w:eastAsia="Palatino Linotype" w:hAnsi="Palatino Linotype"/>
          <w:b w:val="1"/>
          <w:sz w:val="22"/>
          <w:szCs w:val="22"/>
          <w:rtl w:val="0"/>
        </w:rPr>
        <w:t xml:space="preserve">números de cuentas bancari</w:t>
      </w:r>
      <w:r w:rsidDel="00000000" w:rsidR="00000000" w:rsidRPr="00000000">
        <w:rPr>
          <w:rFonts w:ascii="Palatino Linotype" w:cs="Palatino Linotype" w:eastAsia="Palatino Linotype" w:hAnsi="Palatino Linotype"/>
          <w:sz w:val="22"/>
          <w:szCs w:val="22"/>
          <w:rtl w:val="0"/>
        </w:rPr>
        <w:t xml:space="preserve">as, </w:t>
      </w:r>
      <w:r w:rsidDel="00000000" w:rsidR="00000000" w:rsidRPr="00000000">
        <w:rPr>
          <w:rFonts w:ascii="Palatino Linotype" w:cs="Palatino Linotype" w:eastAsia="Palatino Linotype" w:hAnsi="Palatino Linotype"/>
          <w:b w:val="1"/>
          <w:sz w:val="22"/>
          <w:szCs w:val="22"/>
          <w:rtl w:val="0"/>
        </w:rPr>
        <w:t xml:space="preserve">claves estandarizadas –interbancarias- (CLABES) y de tarjetas</w:t>
      </w:r>
      <w:r w:rsidDel="00000000" w:rsidR="00000000" w:rsidRPr="00000000">
        <w:rPr>
          <w:rFonts w:ascii="Palatino Linotype" w:cs="Palatino Linotype" w:eastAsia="Palatino Linotype" w:hAnsi="Palatino Linotype"/>
          <w:sz w:val="22"/>
          <w:szCs w:val="22"/>
          <w:rtl w:val="0"/>
        </w:rPr>
        <w:t xml:space="preserve">, el Pleno de este Instituto ha determinado que esa información debe clasificarse como confidencial, y elaborarse una versión pública en la que se teste la misma.</w:t>
      </w:r>
    </w:p>
    <w:p w:rsidR="00000000" w:rsidDel="00000000" w:rsidP="00000000" w:rsidRDefault="00000000" w:rsidRPr="00000000" w14:paraId="000000C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0C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argumentado encuentra sustento en los Criterios de interpretación con  Clave de control SO/010/2017 y SO/011/2017, emitidos por el entonces Instituto Nacional de Transparencia, Acceso a la Información y Protección de Datos Personales, INAI, que llevan por rubro y texto los siguientes:</w:t>
      </w:r>
    </w:p>
    <w:p w:rsidR="00000000" w:rsidDel="00000000" w:rsidP="00000000" w:rsidRDefault="00000000" w:rsidRPr="00000000" w14:paraId="000000D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0D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sz w:val="22"/>
          <w:szCs w:val="22"/>
        </w:rPr>
      </w:pPr>
      <w:bookmarkStart w:colFirst="0" w:colLast="0" w:name="_heading=h.35nkun2" w:id="9"/>
      <w:bookmarkEnd w:id="9"/>
      <w:r w:rsidDel="00000000" w:rsidR="00000000" w:rsidRPr="00000000">
        <w:rPr>
          <w:rFonts w:ascii="Palatino Linotype" w:cs="Palatino Linotype" w:eastAsia="Palatino Linotype" w:hAnsi="Palatino Linotype"/>
          <w:sz w:val="22"/>
          <w:szCs w:val="22"/>
          <w:rtl w:val="0"/>
        </w:rPr>
        <w:t xml:space="preserve">Por cuanto hace a los </w:t>
      </w:r>
      <w:r w:rsidDel="00000000" w:rsidR="00000000" w:rsidRPr="00000000">
        <w:rPr>
          <w:rFonts w:ascii="Palatino Linotype" w:cs="Palatino Linotype" w:eastAsia="Palatino Linotype" w:hAnsi="Palatino Linotype"/>
          <w:b w:val="1"/>
          <w:sz w:val="22"/>
          <w:szCs w:val="22"/>
          <w:rtl w:val="0"/>
        </w:rPr>
        <w:t xml:space="preserve">préstamos o descuentos de carácter personal</w:t>
      </w:r>
      <w:r w:rsidDel="00000000" w:rsidR="00000000" w:rsidRPr="00000000">
        <w:rPr>
          <w:rFonts w:ascii="Palatino Linotype" w:cs="Palatino Linotype" w:eastAsia="Palatino Linotype" w:hAnsi="Palatino Linotype"/>
          <w:sz w:val="22"/>
          <w:szCs w:val="22"/>
          <w:rtl w:val="0"/>
        </w:rPr>
        <w:t xml:space="preserve">, en virtud de no tener relación con la prestación del servicio y al no involucrar instituciones públicas, se consideran datos confidenciales.</w:t>
      </w:r>
    </w:p>
    <w:p w:rsidR="00000000" w:rsidDel="00000000" w:rsidP="00000000" w:rsidRDefault="00000000" w:rsidRPr="00000000" w14:paraId="000000D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0D5">
      <w:pPr>
        <w:spacing w:after="120" w:before="120" w:lineRule="auto"/>
        <w:ind w:left="567" w:right="900" w:firstLine="0"/>
        <w:jc w:val="both"/>
        <w:rPr>
          <w:rFonts w:ascii="Palatino Linotype" w:cs="Palatino Linotype" w:eastAsia="Palatino Linotype" w:hAnsi="Palatino Linotype"/>
          <w:b w:val="1"/>
          <w:i w:val="1"/>
          <w:sz w:val="22"/>
          <w:szCs w:val="22"/>
        </w:rPr>
      </w:pPr>
      <w:bookmarkStart w:colFirst="0" w:colLast="0" w:name="_heading=h.1ksv4uv" w:id="10"/>
      <w:bookmarkEnd w:id="10"/>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0D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Gravámenes fiscales relacionados con el sueldo;</w:t>
      </w:r>
    </w:p>
    <w:p w:rsidR="00000000" w:rsidDel="00000000" w:rsidP="00000000" w:rsidRDefault="00000000" w:rsidRPr="00000000" w14:paraId="000000D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0D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Cuotas sindicales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0D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0D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Obligaciones a cargo del servidor público con las que haya consentido, derivadas de la adquisición o del uso de habitaciones consideradas como de interés social;</w:t>
      </w:r>
    </w:p>
    <w:p w:rsidR="00000000" w:rsidDel="00000000" w:rsidP="00000000" w:rsidRDefault="00000000" w:rsidRPr="00000000" w14:paraId="000000D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Faltas de puntualidad o de asistencia injustificadas;</w:t>
      </w:r>
    </w:p>
    <w:p w:rsidR="00000000" w:rsidDel="00000000" w:rsidP="00000000" w:rsidRDefault="00000000" w:rsidRPr="00000000" w14:paraId="000000D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0DE">
      <w:pPr>
        <w:spacing w:after="120" w:before="120"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0DF">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000000" w:rsidDel="00000000" w:rsidP="00000000" w:rsidRDefault="00000000" w:rsidRPr="00000000" w14:paraId="000000E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los </w:t>
      </w:r>
      <w:r w:rsidDel="00000000" w:rsidR="00000000" w:rsidRPr="00000000">
        <w:rPr>
          <w:rFonts w:ascii="Palatino Linotype" w:cs="Palatino Linotype" w:eastAsia="Palatino Linotype" w:hAnsi="Palatino Linotype"/>
          <w:b w:val="1"/>
          <w:sz w:val="22"/>
          <w:szCs w:val="22"/>
          <w:rtl w:val="0"/>
        </w:rPr>
        <w:t xml:space="preserve">descuentos o deducciones por cuotas sindicales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pensiones alimenticias</w:t>
      </w:r>
      <w:r w:rsidDel="00000000" w:rsidR="00000000" w:rsidRPr="00000000">
        <w:rPr>
          <w:rFonts w:ascii="Palatino Linotype" w:cs="Palatino Linotype" w:eastAsia="Palatino Linotype" w:hAnsi="Palatino Linotype"/>
          <w:sz w:val="22"/>
          <w:szCs w:val="22"/>
          <w:rtl w:val="0"/>
        </w:rPr>
        <w:t xml:space="preserve"> o </w:t>
      </w:r>
      <w:r w:rsidDel="00000000" w:rsidR="00000000" w:rsidRPr="00000000">
        <w:rPr>
          <w:rFonts w:ascii="Palatino Linotype" w:cs="Palatino Linotype" w:eastAsia="Palatino Linotype" w:hAnsi="Palatino Linotype"/>
          <w:b w:val="1"/>
          <w:sz w:val="22"/>
          <w:szCs w:val="22"/>
          <w:rtl w:val="0"/>
        </w:rPr>
        <w:t xml:space="preserve">créditos adquiridos con instituciones privadas</w:t>
      </w:r>
      <w:r w:rsidDel="00000000" w:rsidR="00000000" w:rsidRPr="00000000">
        <w:rPr>
          <w:rFonts w:ascii="Palatino Linotype" w:cs="Palatino Linotype" w:eastAsia="Palatino Linotype" w:hAnsi="Palatino Linotype"/>
          <w:sz w:val="22"/>
          <w:szCs w:val="22"/>
          <w:rtl w:val="0"/>
        </w:rPr>
        <w:t xml:space="preserve">, entre otros que no se relacionen con el gasto público, al revelar parte de las decisiones que adopta una persona respecto del uso y destino de su remuneración salarial, lo cual incide en la manera en que se integra su patrimonio, </w:t>
      </w:r>
      <w:r w:rsidDel="00000000" w:rsidR="00000000" w:rsidRPr="00000000">
        <w:rPr>
          <w:rFonts w:ascii="Palatino Linotype" w:cs="Palatino Linotype" w:eastAsia="Palatino Linotype" w:hAnsi="Palatino Linotype"/>
          <w:b w:val="1"/>
          <w:sz w:val="22"/>
          <w:szCs w:val="22"/>
          <w:rtl w:val="0"/>
        </w:rPr>
        <w:t xml:space="preserve">es información que no es de carácter público, sino que constituye información confidencial</w:t>
      </w:r>
      <w:r w:rsidDel="00000000" w:rsidR="00000000" w:rsidRPr="00000000">
        <w:rPr>
          <w:rFonts w:ascii="Palatino Linotype" w:cs="Palatino Linotype" w:eastAsia="Palatino Linotype" w:hAnsi="Palatino Linotype"/>
          <w:sz w:val="22"/>
          <w:szCs w:val="22"/>
          <w:rtl w:val="0"/>
        </w:rPr>
        <w:t xml:space="preserve"> en virtud de que corresponde con decisiones personales, y por tanto, se debe clasificar.</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0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la información relacionada con los préstamos o descuentos de carácter personal, en virtud de no tener relación con la prestación del servicio y al no involucrar instituciones públicas, se consideran datos confidenciales.</w:t>
      </w:r>
    </w:p>
    <w:p w:rsidR="00000000" w:rsidDel="00000000" w:rsidP="00000000" w:rsidRDefault="00000000" w:rsidRPr="00000000" w14:paraId="000000E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relación al </w:t>
      </w:r>
      <w:r w:rsidDel="00000000" w:rsidR="00000000" w:rsidRPr="00000000">
        <w:rPr>
          <w:rFonts w:ascii="Palatino Linotype" w:cs="Palatino Linotype" w:eastAsia="Palatino Linotype" w:hAnsi="Palatino Linotype"/>
          <w:b w:val="1"/>
          <w:sz w:val="22"/>
          <w:szCs w:val="22"/>
          <w:rtl w:val="0"/>
        </w:rPr>
        <w:t xml:space="preserve">número de empleado</w:t>
      </w:r>
      <w:r w:rsidDel="00000000" w:rsidR="00000000" w:rsidRPr="00000000">
        <w:rPr>
          <w:rFonts w:ascii="Palatino Linotype" w:cs="Palatino Linotype" w:eastAsia="Palatino Linotype" w:hAnsi="Palatino Linotype"/>
          <w:sz w:val="22"/>
          <w:szCs w:val="22"/>
          <w:rtl w:val="0"/>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de interpretación con Clave de control SO/006/2019, que indica lo siguiente:</w:t>
      </w:r>
    </w:p>
    <w:p w:rsidR="00000000" w:rsidDel="00000000" w:rsidP="00000000" w:rsidRDefault="00000000" w:rsidRPr="00000000" w14:paraId="000000E6">
      <w:pPr>
        <w:tabs>
          <w:tab w:val="left" w:leader="none" w:pos="7655"/>
        </w:tabs>
        <w:spacing w:after="120" w:before="120" w:lineRule="auto"/>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“Número de empleado. </w:t>
      </w:r>
      <w:r w:rsidDel="00000000" w:rsidR="00000000" w:rsidRPr="00000000">
        <w:rPr>
          <w:rFonts w:ascii="Palatino Linotype" w:cs="Palatino Linotype" w:eastAsia="Palatino Linotype" w:hAnsi="Palatino Linotype"/>
          <w:i w:val="1"/>
          <w:sz w:val="22"/>
          <w:szCs w:val="22"/>
          <w:rtl w:val="0"/>
        </w:rPr>
        <w:t xml:space="preserve">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000000" w:rsidDel="00000000" w:rsidP="00000000" w:rsidRDefault="00000000" w:rsidRPr="00000000" w14:paraId="000000E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000000" w:rsidDel="00000000" w:rsidP="00000000" w:rsidRDefault="00000000" w:rsidRPr="00000000" w14:paraId="000000E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 la información fiscal</w:t>
      </w:r>
      <w:r w:rsidDel="00000000" w:rsidR="00000000" w:rsidRPr="00000000">
        <w:rPr>
          <w:rFonts w:ascii="Palatino Linotype" w:cs="Palatino Linotype" w:eastAsia="Palatino Linotype" w:hAnsi="Palatino Linotype"/>
          <w:sz w:val="22"/>
          <w:szCs w:val="22"/>
          <w:rtl w:val="0"/>
        </w:rPr>
        <w:t xml:space="preserve">: si derivado del análisis efectuado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0E9">
      <w:pPr>
        <w:widowControl w:val="0"/>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sz w:val="22"/>
          <w:szCs w:val="22"/>
          <w:u w:val="single"/>
          <w:rtl w:val="0"/>
        </w:rPr>
        <w:t xml:space="preserve">razones, motivos o circunstancias especiales</w:t>
      </w:r>
      <w:r w:rsidDel="00000000" w:rsidR="00000000" w:rsidRPr="00000000">
        <w:rPr>
          <w:rFonts w:ascii="Palatino Linotype" w:cs="Palatino Linotype" w:eastAsia="Palatino Linotype" w:hAnsi="Palatino Linotype"/>
          <w:sz w:val="22"/>
          <w:szCs w:val="22"/>
          <w:rtl w:val="0"/>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00000" w:rsidDel="00000000" w:rsidP="00000000" w:rsidRDefault="00000000" w:rsidRPr="00000000" w14:paraId="000000EA">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0E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E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0F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0F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0F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0F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0F4">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respecto a las formalidades que deberá llevar el acuerdo de clasificación que deberá emitir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0F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número de sesión y fecha;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del área que solicitó la clasificación de información; </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fundamentación legal y motivación correspondiente; </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resolución o resoluciones aprobadas; y </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rúbrica o firma digital de cada integrante del Comité de Transparencia. </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motivos y razonamientos que sustenten la confirmación o modificación de la prueba de daño;</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periodo por el que mantendrá su clasificación y fecha de expiración; y </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nombre del titular y área encargada de realizar la versión pública del documento, en su caso. </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000000" w:rsidDel="00000000" w:rsidP="00000000" w:rsidRDefault="00000000" w:rsidRPr="00000000" w14:paraId="00000105">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06">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07">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08">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09">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10A">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120" w:before="120"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0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0E">
      <w:pPr>
        <w:spacing w:after="120" w:before="120"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0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1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1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1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1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1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15">
      <w:pPr>
        <w:spacing w:after="240" w:before="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artículos 5 párrafos </w:t>
      </w:r>
      <w:r w:rsidDel="00000000" w:rsidR="00000000" w:rsidRPr="00000000">
        <w:rPr>
          <w:rFonts w:ascii="Palatino Linotype" w:cs="Palatino Linotype" w:eastAsia="Palatino Linotype" w:hAnsi="Palatino Linotype"/>
          <w:color w:val="000000"/>
          <w:sz w:val="22"/>
          <w:szCs w:val="22"/>
          <w:rtl w:val="0"/>
        </w:rPr>
        <w:t xml:space="preserve">trigésimo noveno, cuadragésimo y cuadragésimo primero,</w:t>
      </w:r>
      <w:r w:rsidDel="00000000" w:rsidR="00000000" w:rsidRPr="00000000">
        <w:rPr>
          <w:rFonts w:ascii="Palatino Linotype" w:cs="Palatino Linotype" w:eastAsia="Palatino Linotype" w:hAnsi="Palatino Linotype"/>
          <w:color w:val="ff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16">
      <w:pPr>
        <w:spacing w:line="259" w:lineRule="auto"/>
        <w:ind w:left="-142" w:right="49"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1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03759/INFOEM/IP/RR/2025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tl w:val="0"/>
        </w:rPr>
      </w:r>
    </w:p>
    <w:p w:rsidR="00000000" w:rsidDel="00000000" w:rsidP="00000000" w:rsidRDefault="00000000" w:rsidRPr="00000000" w14:paraId="00000118">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color w:val="000000"/>
          <w:sz w:val="22"/>
          <w:szCs w:val="22"/>
          <w:rtl w:val="0"/>
        </w:rPr>
        <w:t xml:space="preserve">de ser procedente </w:t>
      </w:r>
      <w:r w:rsidDel="00000000" w:rsidR="00000000" w:rsidRPr="00000000">
        <w:rPr>
          <w:rFonts w:ascii="Palatino Linotype" w:cs="Palatino Linotype" w:eastAsia="Palatino Linotype" w:hAnsi="Palatino Linotype"/>
          <w:b w:val="1"/>
          <w:sz w:val="22"/>
          <w:szCs w:val="22"/>
          <w:rtl w:val="0"/>
        </w:rPr>
        <w:t xml:space="preserve">en</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versión pública</w:t>
      </w:r>
      <w:r w:rsidDel="00000000" w:rsidR="00000000" w:rsidRPr="00000000">
        <w:rPr>
          <w:rFonts w:ascii="Palatino Linotype" w:cs="Palatino Linotype" w:eastAsia="Palatino Linotype" w:hAnsi="Palatino Linotype"/>
          <w:sz w:val="22"/>
          <w:szCs w:val="22"/>
          <w:rtl w:val="0"/>
        </w:rPr>
        <w:t xml:space="preserve"> 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términos de los </w:t>
      </w:r>
      <w:r w:rsidDel="00000000" w:rsidR="00000000" w:rsidRPr="00000000">
        <w:rPr>
          <w:rFonts w:ascii="Palatino Linotype" w:cs="Palatino Linotype" w:eastAsia="Palatino Linotype" w:hAnsi="Palatino Linotype"/>
          <w:b w:val="1"/>
          <w:sz w:val="22"/>
          <w:szCs w:val="22"/>
          <w:rtl w:val="0"/>
        </w:rPr>
        <w:t xml:space="preserve">Considerandos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 </w:t>
      </w:r>
      <w:r w:rsidDel="00000000" w:rsidR="00000000" w:rsidRPr="00000000">
        <w:rPr>
          <w:rFonts w:ascii="Palatino Linotype" w:cs="Palatino Linotype" w:eastAsia="Palatino Linotype" w:hAnsi="Palatino Linotype"/>
          <w:color w:val="000000"/>
          <w:sz w:val="22"/>
          <w:szCs w:val="22"/>
          <w:rtl w:val="0"/>
        </w:rPr>
        <w:t xml:space="preserve">de lo siguiente</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12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Los documentos donde conste el sueldo bruto y neto mensual vigente al veintiocho de febrero de dos mil veinticinco, de los servidores públicos Brandon Gabino González y Gregorio Mendoza Hernández</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12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1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Cuarto. Notifíquese, vía SAIMEX</w:t>
      </w:r>
      <w:r w:rsidDel="00000000" w:rsidR="00000000" w:rsidRPr="00000000">
        <w:rPr>
          <w:rFonts w:ascii="Palatino Linotype" w:cs="Palatino Linotype" w:eastAsia="Palatino Linotype" w:hAnsi="Palatino Linotype"/>
          <w:color w:val="000000"/>
          <w:sz w:val="22"/>
          <w:szCs w:val="22"/>
          <w:rtl w:val="0"/>
        </w:rPr>
        <w:t xml:space="preserve">, al Titular de la Unidad de Transparencia que</w:t>
      </w:r>
      <w:r w:rsidDel="00000000" w:rsidR="00000000" w:rsidRPr="00000000">
        <w:rPr>
          <w:rFonts w:ascii="Palatino Linotype" w:cs="Palatino Linotype" w:eastAsia="Palatino Linotype" w:hAnsi="Palatino Linotype"/>
          <w:b w:val="1"/>
          <w:color w:val="000000"/>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de conformidad </w:t>
      </w:r>
      <w:r w:rsidDel="00000000" w:rsidR="00000000" w:rsidRPr="00000000">
        <w:rPr>
          <w:rFonts w:ascii="Palatino Linotype" w:cs="Palatino Linotype" w:eastAsia="Palatino Linotype" w:hAnsi="Palatino Linotype"/>
          <w:sz w:val="22"/>
          <w:szCs w:val="22"/>
          <w:rtl w:val="0"/>
        </w:rPr>
        <w:t xml:space="preserve">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1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1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DE JUNIO DE DOS MIL VEINTICINCO, ANTE EL SECRETARIO TÉCNICO DEL PLENO ALEXIS TAPIA RAMÍREZ. </w:t>
      </w:r>
    </w:p>
    <w:p w:rsidR="00000000" w:rsidDel="00000000" w:rsidP="00000000" w:rsidRDefault="00000000" w:rsidRPr="00000000" w14:paraId="0000011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spacing w:line="360" w:lineRule="auto"/>
        <w:jc w:val="both"/>
        <w:rPr>
          <w:rFonts w:ascii="Palatino Linotype" w:cs="Palatino Linotype" w:eastAsia="Palatino Linotype" w:hAnsi="Palatino Linotype"/>
        </w:rPr>
      </w:pPr>
      <w:bookmarkStart w:colFirst="0" w:colLast="0" w:name="_heading=h.3rdcrjn" w:id="11"/>
      <w:bookmarkEnd w:id="11"/>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rPr>
      </w:pPr>
      <w:bookmarkStart w:colFirst="0" w:colLast="0" w:name="_heading=h.1t3h5sf" w:id="12"/>
      <w:bookmarkEnd w:id="12"/>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7">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right" w:leader="none" w:pos="0"/>
        </w:tabs>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Resolución RRA2431/17 del Instituto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-1080108</wp:posOffset>
          </wp:positionH>
          <wp:positionV relativeFrom="paragraph">
            <wp:posOffset>-488282</wp:posOffset>
          </wp:positionV>
          <wp:extent cx="7809865" cy="10165715"/>
          <wp:effectExtent b="0" l="0" r="0" t="0"/>
          <wp:wrapNone/>
          <wp:docPr id="4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shd w:fill="auto" w:val="clear"/>
        </w:tcPr>
        <w:p w:rsidR="00000000" w:rsidDel="00000000" w:rsidP="00000000" w:rsidRDefault="00000000" w:rsidRPr="00000000" w14:paraId="0000013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3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03759/INFOEM/IP/RR/2025</w:t>
          </w:r>
        </w:p>
      </w:tc>
    </w:tr>
    <w:tr>
      <w:trPr>
        <w:cantSplit w:val="0"/>
        <w:trHeight w:val="228" w:hRule="atLeast"/>
        <w:tblHeader w:val="0"/>
      </w:trPr>
      <w:tc>
        <w:tcPr>
          <w:shd w:fill="auto" w:val="clear"/>
          <w:vAlign w:val="center"/>
        </w:tcPr>
        <w:p w:rsidR="00000000" w:rsidDel="00000000" w:rsidP="00000000" w:rsidRDefault="00000000" w:rsidRPr="00000000" w14:paraId="0000013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3D">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Jiquipilco</w:t>
          </w:r>
        </w:p>
      </w:tc>
    </w:tr>
    <w:tr>
      <w:trPr>
        <w:cantSplit w:val="0"/>
        <w:tblHeader w:val="0"/>
      </w:trPr>
      <w:tc>
        <w:tcPr>
          <w:shd w:fill="auto" w:val="clear"/>
          <w:vAlign w:val="center"/>
        </w:tcPr>
        <w:p w:rsidR="00000000" w:rsidDel="00000000" w:rsidP="00000000" w:rsidRDefault="00000000" w:rsidRPr="00000000" w14:paraId="0000013E">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3F">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0">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-1079486</wp:posOffset>
          </wp:positionH>
          <wp:positionV relativeFrom="paragraph">
            <wp:posOffset>-328914</wp:posOffset>
          </wp:positionV>
          <wp:extent cx="7809865" cy="10165715"/>
          <wp:effectExtent b="0" l="0" r="0" t="0"/>
          <wp:wrapNone/>
          <wp:docPr id="5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6945.0" w:type="dxa"/>
      <w:jc w:val="left"/>
      <w:tblInd w:w="3261.0" w:type="dxa"/>
      <w:tblLayout w:type="fixed"/>
      <w:tblLook w:val="0400"/>
    </w:tblPr>
    <w:tblGrid>
      <w:gridCol w:w="2551"/>
      <w:gridCol w:w="4394"/>
      <w:tblGridChange w:id="0">
        <w:tblGrid>
          <w:gridCol w:w="2551"/>
          <w:gridCol w:w="4394"/>
        </w:tblGrid>
      </w:tblGridChange>
    </w:tblGrid>
    <w:tr>
      <w:trPr>
        <w:cantSplit w:val="0"/>
        <w:tblHeader w:val="0"/>
      </w:trPr>
      <w:tc>
        <w:tcPr>
          <w:shd w:fill="auto" w:val="clear"/>
          <w:vAlign w:val="center"/>
        </w:tcPr>
        <w:p w:rsidR="00000000" w:rsidDel="00000000" w:rsidP="00000000" w:rsidRDefault="00000000" w:rsidRPr="00000000" w14:paraId="0000014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3">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03759/INFOEM/IP/RR/2025</w:t>
          </w:r>
        </w:p>
      </w:tc>
    </w:tr>
    <w:tr>
      <w:trPr>
        <w:cantSplit w:val="0"/>
        <w:trHeight w:val="265" w:hRule="atLeast"/>
        <w:tblHeader w:val="0"/>
      </w:trPr>
      <w:tc>
        <w:tcPr>
          <w:shd w:fill="auto" w:val="clear"/>
          <w:vAlign w:val="center"/>
        </w:tcPr>
        <w:p w:rsidR="00000000" w:rsidDel="00000000" w:rsidP="00000000" w:rsidRDefault="00000000" w:rsidRPr="00000000" w14:paraId="0000014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45">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w:t>
          </w:r>
        </w:p>
      </w:tc>
    </w:tr>
    <w:tr>
      <w:trPr>
        <w:cantSplit w:val="0"/>
        <w:trHeight w:val="228" w:hRule="atLeast"/>
        <w:tblHeader w:val="0"/>
      </w:trPr>
      <w:tc>
        <w:tcPr>
          <w:shd w:fill="auto" w:val="clear"/>
          <w:vAlign w:val="center"/>
        </w:tcPr>
        <w:p w:rsidR="00000000" w:rsidDel="00000000" w:rsidP="00000000" w:rsidRDefault="00000000" w:rsidRPr="00000000" w14:paraId="0000014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47">
          <w:pPr>
            <w:ind w:left="-45" w:right="45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Jiquipilco</w:t>
          </w:r>
        </w:p>
      </w:tc>
    </w:tr>
    <w:tr>
      <w:trPr>
        <w:cantSplit w:val="0"/>
        <w:tblHeader w:val="0"/>
      </w:trPr>
      <w:tc>
        <w:tcPr>
          <w:shd w:fill="auto" w:val="clear"/>
          <w:vAlign w:val="center"/>
        </w:tcPr>
        <w:p w:rsidR="00000000" w:rsidDel="00000000" w:rsidP="00000000" w:rsidRDefault="00000000" w:rsidRPr="00000000" w14:paraId="0000014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49">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b w:val="1"/>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a" w:customStyle="1">
    <w:basedOn w:val="TableNormal8"/>
    <w:tblPr>
      <w:tblStyleRowBandSize w:val="1"/>
      <w:tblStyleColBandSize w:val="1"/>
      <w:tblCellMar>
        <w:left w:w="115.0" w:type="dxa"/>
        <w:right w:w="115.0" w:type="dxa"/>
      </w:tblCellMar>
    </w:tblPr>
  </w:style>
  <w:style w:type="table" w:styleId="a0" w:customStyle="1">
    <w:basedOn w:val="TableNormal8"/>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rPr>
      <w:lang w:val="es-ES"/>
    </w:r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rPr>
      <w:lang w:val="es-ES"/>
    </w:rPr>
  </w:style>
  <w:style w:type="character" w:styleId="PiedepginaCar" w:customStyle="1">
    <w:name w:val="Pie de página Car"/>
    <w:basedOn w:val="Fuentedeprrafopredeter"/>
    <w:link w:val="Piedepgina"/>
    <w:uiPriority w:val="99"/>
    <w:rsid w:val="00FE2A5A"/>
  </w:style>
  <w:style w:type="paragraph" w:styleId="Prrafodelista">
    <w:name w:val="List Paragraph"/>
    <w:basedOn w:val="Normal"/>
    <w:uiPriority w:val="34"/>
    <w:qFormat w:val="1"/>
    <w:rsid w:val="00FE2A5A"/>
    <w:pPr>
      <w:ind w:left="720"/>
      <w:contextualSpacing w:val="1"/>
    </w:pPr>
    <w:rPr>
      <w:lang w:val="es-ES"/>
    </w:r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012F5"/>
    <w:pPr>
      <w:spacing w:after="100" w:afterAutospacing="1" w:before="100" w:beforeAutospacing="1"/>
    </w:pPr>
    <w:rPr>
      <w:lang w:val="es-ES"/>
    </w:rPr>
  </w:style>
  <w:style w:type="table" w:styleId="a1" w:customStyle="1">
    <w:basedOn w:val="TableNormal8"/>
    <w:tblPr>
      <w:tblStyleRowBandSize w:val="1"/>
      <w:tblStyleColBandSize w:val="1"/>
      <w:tblCellMar>
        <w:left w:w="115.0" w:type="dxa"/>
        <w:right w:w="115.0" w:type="dxa"/>
      </w:tblCellMar>
    </w:tblPr>
  </w:style>
  <w:style w:type="table" w:styleId="a2" w:customStyle="1">
    <w:basedOn w:val="TableNormal8"/>
    <w:tblPr>
      <w:tblStyleRowBandSize w:val="1"/>
      <w:tblStyleColBandSize w:val="1"/>
      <w:tblCellMar>
        <w:left w:w="115.0" w:type="dxa"/>
        <w:right w:w="115.0" w:type="dxa"/>
      </w:tblCellMar>
    </w:tblPr>
  </w:style>
  <w:style w:type="character" w:styleId="apple-tab-span" w:customStyle="1">
    <w:name w:val="apple-tab-span"/>
    <w:basedOn w:val="Fuentedeprrafopredeter"/>
    <w:rsid w:val="00355FC9"/>
  </w:style>
  <w:style w:type="table" w:styleId="a3" w:customStyle="1">
    <w:basedOn w:val="TableNormal7"/>
    <w:tblPr>
      <w:tblStyleRowBandSize w:val="1"/>
      <w:tblStyleColBandSize w:val="1"/>
      <w:tblCellMar>
        <w:left w:w="115.0" w:type="dxa"/>
        <w:right w:w="115.0" w:type="dxa"/>
      </w:tblCellMar>
    </w:tblPr>
  </w:style>
  <w:style w:type="table" w:styleId="a4" w:customStyle="1">
    <w:basedOn w:val="TableNormal7"/>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9C2C49"/>
    <w:rPr>
      <w:color w:val="0000ff"/>
      <w:u w:val="single"/>
    </w:rPr>
  </w:style>
  <w:style w:type="table" w:styleId="a5" w:customStyle="1">
    <w:basedOn w:val="TableNormal6"/>
    <w:tblPr>
      <w:tblStyleRowBandSize w:val="1"/>
      <w:tblStyleColBandSize w:val="1"/>
      <w:tblCellMar>
        <w:left w:w="115.0" w:type="dxa"/>
        <w:right w:w="115.0" w:type="dxa"/>
      </w:tblCellMar>
    </w:tblPr>
  </w:style>
  <w:style w:type="table" w:styleId="a6" w:customStyle="1">
    <w:basedOn w:val="TableNormal6"/>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4"/>
    <w:tblPr>
      <w:tblStyleRowBandSize w:val="1"/>
      <w:tblStyleColBandSize w:val="1"/>
      <w:tblCellMar>
        <w:left w:w="115.0" w:type="dxa"/>
        <w:right w:w="115.0" w:type="dxa"/>
      </w:tblCellMar>
    </w:tblPr>
  </w:style>
  <w:style w:type="table" w:styleId="ad" w:customStyle="1">
    <w:basedOn w:val="TableNormal4"/>
    <w:tblPr>
      <w:tblStyleRowBandSize w:val="1"/>
      <w:tblStyleColBandSize w:val="1"/>
      <w:tblCellMar>
        <w:left w:w="115.0" w:type="dxa"/>
        <w:right w:w="115.0" w:type="dxa"/>
      </w:tblCellMar>
    </w:tblPr>
  </w:style>
  <w:style w:type="table" w:styleId="ae" w:customStyle="1">
    <w:basedOn w:val="TableNormal4"/>
    <w:tblPr>
      <w:tblStyleRowBandSize w:val="1"/>
      <w:tblStyleColBandSize w:val="1"/>
      <w:tblCellMar>
        <w:left w:w="115.0" w:type="dxa"/>
        <w:right w:w="115.0" w:type="dxa"/>
      </w:tblCellMar>
    </w:tbl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left w:w="115.0" w:type="dxa"/>
        <w:right w:w="115.0" w:type="dxa"/>
      </w:tblCellMar>
    </w:tblPr>
  </w:style>
  <w:style w:type="table" w:styleId="af1" w:customStyle="1">
    <w:basedOn w:val="TableNormal2"/>
    <w:tblPr>
      <w:tblStyleRowBandSize w:val="1"/>
      <w:tblStyleColBandSize w:val="1"/>
      <w:tblCellMar>
        <w:left w:w="115.0" w:type="dxa"/>
        <w:right w:w="115.0" w:type="dxa"/>
      </w:tblCellMar>
    </w:tbl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08.0" w:type="dxa"/>
        <w:right w:w="108.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3S6yiMsc8T1I03c9paZ5aRrtAA==">CgMxLjAyCWguMWZvYjl0ZTIIaC5namRneHMyCWguM2R5NnZrbTIJaC4zMGowemxsMgloLjJzOGV5bzEyCGgudHlqY3d0MgloLjN6bnlzaDcyCWguMmV0OTJwMDIIaC5sbnhiejkyCWguMzVua3VuMjIJaC4xa3N2NHV2MgloLjNyZGNyam4yCWguMXQzaDVzZjgAciExa2lLZVJReklxYmJGbzZ2c0lPbmd2U2lvWVdUWUxkbGY=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2025-06-27T19:45:00Z</dcterms:created>
  <dc:creator>USUARIO</dc:creator>
</cp:coreProperties>
</file>