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eastAsia="es-ES"/>
        </w:rPr>
        <w:id w:val="1492215735"/>
        <w:docPartObj>
          <w:docPartGallery w:val="Table of Contents"/>
          <w:docPartUnique/>
        </w:docPartObj>
      </w:sdtPr>
      <w:sdtEndPr>
        <w:rPr>
          <w:b/>
          <w:bCs/>
          <w:sz w:val="22"/>
          <w:szCs w:val="20"/>
        </w:rPr>
      </w:sdtEndPr>
      <w:sdtContent>
        <w:p w14:paraId="1AE18B79" w14:textId="6B195B53" w:rsidR="00AE3DA7" w:rsidRPr="00123F1B" w:rsidRDefault="00AE3DA7" w:rsidP="00395B38">
          <w:pPr>
            <w:pStyle w:val="TtulodeTDC"/>
            <w:spacing w:before="0" w:line="240" w:lineRule="auto"/>
            <w:rPr>
              <w:rFonts w:ascii="Palatino Linotype" w:hAnsi="Palatino Linotype"/>
              <w:color w:val="auto"/>
              <w:sz w:val="24"/>
              <w:szCs w:val="24"/>
            </w:rPr>
          </w:pPr>
          <w:r w:rsidRPr="00123F1B">
            <w:rPr>
              <w:rFonts w:ascii="Palatino Linotype" w:hAnsi="Palatino Linotype"/>
              <w:color w:val="auto"/>
              <w:sz w:val="24"/>
              <w:szCs w:val="24"/>
            </w:rPr>
            <w:t>Contenido</w:t>
          </w:r>
        </w:p>
        <w:p w14:paraId="3EB312A7" w14:textId="77777777" w:rsidR="00AA6EA9" w:rsidRPr="00123F1B" w:rsidRDefault="00AA6EA9" w:rsidP="00395B38">
          <w:pPr>
            <w:spacing w:line="240" w:lineRule="auto"/>
            <w:rPr>
              <w:sz w:val="16"/>
              <w:szCs w:val="16"/>
              <w:lang w:eastAsia="es-MX"/>
            </w:rPr>
          </w:pPr>
        </w:p>
        <w:p w14:paraId="7CF17B89" w14:textId="77777777" w:rsidR="00395B38" w:rsidRPr="00123F1B" w:rsidRDefault="00AE3DA7" w:rsidP="00395B38">
          <w:pPr>
            <w:pStyle w:val="TDC1"/>
            <w:tabs>
              <w:tab w:val="right" w:leader="dot" w:pos="9034"/>
            </w:tabs>
            <w:rPr>
              <w:rFonts w:asciiTheme="minorHAnsi" w:eastAsiaTheme="minorEastAsia" w:hAnsiTheme="minorHAnsi" w:cstheme="minorBidi"/>
              <w:noProof/>
              <w:szCs w:val="22"/>
              <w:lang w:eastAsia="es-MX"/>
            </w:rPr>
          </w:pPr>
          <w:r w:rsidRPr="00123F1B">
            <w:rPr>
              <w:sz w:val="16"/>
              <w:szCs w:val="16"/>
            </w:rPr>
            <w:fldChar w:fldCharType="begin"/>
          </w:r>
          <w:r w:rsidRPr="00123F1B">
            <w:rPr>
              <w:sz w:val="16"/>
              <w:szCs w:val="16"/>
            </w:rPr>
            <w:instrText xml:space="preserve"> TOC \o "1-3" \h \z \u </w:instrText>
          </w:r>
          <w:r w:rsidRPr="00123F1B">
            <w:rPr>
              <w:sz w:val="16"/>
              <w:szCs w:val="16"/>
            </w:rPr>
            <w:fldChar w:fldCharType="separate"/>
          </w:r>
          <w:hyperlink w:anchor="_Toc211450089" w:history="1">
            <w:r w:rsidR="00395B38" w:rsidRPr="00123F1B">
              <w:rPr>
                <w:rStyle w:val="Hipervnculo"/>
                <w:noProof/>
                <w:color w:val="auto"/>
              </w:rPr>
              <w:t>ANTECEDENTES</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_Toc211450089 \h </w:instrText>
            </w:r>
            <w:r w:rsidR="00395B38" w:rsidRPr="00123F1B">
              <w:rPr>
                <w:noProof/>
                <w:webHidden/>
              </w:rPr>
            </w:r>
            <w:r w:rsidR="00395B38" w:rsidRPr="00123F1B">
              <w:rPr>
                <w:noProof/>
                <w:webHidden/>
              </w:rPr>
              <w:fldChar w:fldCharType="separate"/>
            </w:r>
            <w:r w:rsidR="00123F1B">
              <w:rPr>
                <w:noProof/>
                <w:webHidden/>
              </w:rPr>
              <w:t>1</w:t>
            </w:r>
            <w:r w:rsidR="00395B38" w:rsidRPr="00123F1B">
              <w:rPr>
                <w:noProof/>
                <w:webHidden/>
              </w:rPr>
              <w:fldChar w:fldCharType="end"/>
            </w:r>
          </w:hyperlink>
        </w:p>
        <w:p w14:paraId="571D2643" w14:textId="77777777" w:rsidR="00395B38" w:rsidRPr="00123F1B" w:rsidRDefault="00A234CF" w:rsidP="00395B38">
          <w:pPr>
            <w:pStyle w:val="TDC2"/>
            <w:rPr>
              <w:rFonts w:asciiTheme="minorHAnsi" w:eastAsiaTheme="minorEastAsia" w:hAnsiTheme="minorHAnsi" w:cstheme="minorBidi"/>
              <w:noProof/>
              <w:szCs w:val="22"/>
              <w:lang w:eastAsia="es-MX"/>
            </w:rPr>
          </w:pPr>
          <w:hyperlink w:anchor="_Toc211450090" w:history="1">
            <w:r w:rsidR="00395B38" w:rsidRPr="00123F1B">
              <w:rPr>
                <w:rStyle w:val="Hipervnculo"/>
                <w:noProof/>
                <w:color w:val="auto"/>
              </w:rPr>
              <w:t>DE LA SOLICITUD DE INFORMACIÓN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_Toc211450090 \h </w:instrText>
            </w:r>
            <w:r w:rsidR="00395B38" w:rsidRPr="00123F1B">
              <w:rPr>
                <w:noProof/>
                <w:webHidden/>
              </w:rPr>
            </w:r>
            <w:r w:rsidR="00395B38" w:rsidRPr="00123F1B">
              <w:rPr>
                <w:noProof/>
                <w:webHidden/>
              </w:rPr>
              <w:fldChar w:fldCharType="separate"/>
            </w:r>
            <w:r w:rsidR="00123F1B">
              <w:rPr>
                <w:noProof/>
                <w:webHidden/>
              </w:rPr>
              <w:t>1</w:t>
            </w:r>
            <w:r w:rsidR="00395B38" w:rsidRPr="00123F1B">
              <w:rPr>
                <w:noProof/>
                <w:webHidden/>
              </w:rPr>
              <w:fldChar w:fldCharType="end"/>
            </w:r>
          </w:hyperlink>
        </w:p>
        <w:p w14:paraId="1451BCF9"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1" w:history="1">
            <w:r w:rsidR="00395B38" w:rsidRPr="00123F1B">
              <w:rPr>
                <w:rStyle w:val="Hipervnculo"/>
                <w:noProof/>
                <w:color w:val="auto"/>
              </w:rPr>
              <w:t>a) Solicitud de información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_Toc211450091 \h </w:instrText>
            </w:r>
            <w:r w:rsidR="00395B38" w:rsidRPr="00123F1B">
              <w:rPr>
                <w:noProof/>
                <w:webHidden/>
              </w:rPr>
            </w:r>
            <w:r w:rsidR="00395B38" w:rsidRPr="00123F1B">
              <w:rPr>
                <w:noProof/>
                <w:webHidden/>
              </w:rPr>
              <w:fldChar w:fldCharType="separate"/>
            </w:r>
            <w:r w:rsidR="00123F1B">
              <w:rPr>
                <w:noProof/>
                <w:webHidden/>
              </w:rPr>
              <w:t>1</w:t>
            </w:r>
            <w:r w:rsidR="00395B38" w:rsidRPr="00123F1B">
              <w:rPr>
                <w:noProof/>
                <w:webHidden/>
              </w:rPr>
              <w:fldChar w:fldCharType="end"/>
            </w:r>
          </w:hyperlink>
        </w:p>
        <w:p w14:paraId="1ECB4DC3"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2" w:history="1">
            <w:r w:rsidR="00395B38" w:rsidRPr="00123F1B">
              <w:rPr>
                <w:rStyle w:val="Hipervnculo"/>
                <w:noProof/>
                <w:color w:val="auto"/>
              </w:rPr>
              <w:t>b) Solicitud de aclaración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_Toc211450092 \h </w:instrText>
            </w:r>
            <w:r w:rsidR="00395B38" w:rsidRPr="00123F1B">
              <w:rPr>
                <w:noProof/>
                <w:webHidden/>
              </w:rPr>
            </w:r>
            <w:r w:rsidR="00395B38" w:rsidRPr="00123F1B">
              <w:rPr>
                <w:noProof/>
                <w:webHidden/>
              </w:rPr>
              <w:fldChar w:fldCharType="separate"/>
            </w:r>
            <w:r w:rsidR="00123F1B">
              <w:rPr>
                <w:noProof/>
                <w:webHidden/>
              </w:rPr>
              <w:t>2</w:t>
            </w:r>
            <w:r w:rsidR="00395B38" w:rsidRPr="00123F1B">
              <w:rPr>
                <w:noProof/>
                <w:webHidden/>
              </w:rPr>
              <w:fldChar w:fldCharType="end"/>
            </w:r>
          </w:hyperlink>
        </w:p>
        <w:p w14:paraId="7872F93E"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3" w:history="1">
            <w:r w:rsidR="00395B38" w:rsidRPr="00123F1B">
              <w:rPr>
                <w:rStyle w:val="Hipervnculo"/>
                <w:noProof/>
                <w:color w:val="auto"/>
              </w:rPr>
              <w:t xml:space="preserve">c) Respuesta </w:t>
            </w:r>
            <w:r w:rsidR="00395B38" w:rsidRPr="00123F1B">
              <w:rPr>
                <w:rStyle w:val="Hipervnculo"/>
                <w:rFonts w:eastAsia="Calibri"/>
                <w:noProof/>
                <w:color w:val="auto"/>
                <w:lang w:eastAsia="en-US"/>
              </w:rPr>
              <w:t>del Sujeto Obligado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_Toc211450093 \h </w:instrText>
            </w:r>
            <w:r w:rsidR="00395B38" w:rsidRPr="00123F1B">
              <w:rPr>
                <w:noProof/>
                <w:webHidden/>
              </w:rPr>
            </w:r>
            <w:r w:rsidR="00395B38" w:rsidRPr="00123F1B">
              <w:rPr>
                <w:noProof/>
                <w:webHidden/>
              </w:rPr>
              <w:fldChar w:fldCharType="separate"/>
            </w:r>
            <w:r w:rsidR="00123F1B">
              <w:rPr>
                <w:noProof/>
                <w:webHidden/>
              </w:rPr>
              <w:t>2</w:t>
            </w:r>
            <w:r w:rsidR="00395B38" w:rsidRPr="00123F1B">
              <w:rPr>
                <w:noProof/>
                <w:webHidden/>
              </w:rPr>
              <w:fldChar w:fldCharType="end"/>
            </w:r>
          </w:hyperlink>
        </w:p>
        <w:p w14:paraId="6DD0C3B2" w14:textId="77777777" w:rsidR="00395B38" w:rsidRPr="00123F1B" w:rsidRDefault="00A234CF" w:rsidP="00395B38">
          <w:pPr>
            <w:pStyle w:val="TDC2"/>
            <w:rPr>
              <w:rFonts w:asciiTheme="minorHAnsi" w:eastAsiaTheme="minorEastAsia" w:hAnsiTheme="minorHAnsi" w:cstheme="minorBidi"/>
              <w:noProof/>
              <w:szCs w:val="22"/>
              <w:lang w:eastAsia="es-MX"/>
            </w:rPr>
          </w:pPr>
          <w:hyperlink w:anchor="_Toc211450094" w:history="1">
            <w:r w:rsidR="00395B38" w:rsidRPr="00123F1B">
              <w:rPr>
                <w:rStyle w:val="Hipervnculo"/>
                <w:noProof/>
                <w:color w:val="auto"/>
              </w:rPr>
              <w:t>DEL RECURSO DE REVISIÓN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_Toc211450094 \h </w:instrText>
            </w:r>
            <w:r w:rsidR="00395B38" w:rsidRPr="00123F1B">
              <w:rPr>
                <w:noProof/>
                <w:webHidden/>
              </w:rPr>
            </w:r>
            <w:r w:rsidR="00395B38" w:rsidRPr="00123F1B">
              <w:rPr>
                <w:noProof/>
                <w:webHidden/>
              </w:rPr>
              <w:fldChar w:fldCharType="separate"/>
            </w:r>
            <w:r w:rsidR="00123F1B">
              <w:rPr>
                <w:noProof/>
                <w:webHidden/>
              </w:rPr>
              <w:t>3</w:t>
            </w:r>
            <w:r w:rsidR="00395B38" w:rsidRPr="00123F1B">
              <w:rPr>
                <w:noProof/>
                <w:webHidden/>
              </w:rPr>
              <w:fldChar w:fldCharType="end"/>
            </w:r>
          </w:hyperlink>
        </w:p>
        <w:p w14:paraId="7CF06D62"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5" w:history="1">
            <w:r w:rsidR="00395B38" w:rsidRPr="00123F1B">
              <w:rPr>
                <w:rStyle w:val="Hipervnculo"/>
                <w:noProof/>
                <w:color w:val="auto"/>
              </w:rPr>
              <w:t>a) Interposición del Recurso de Revisión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_Toc211450095 \h </w:instrText>
            </w:r>
            <w:r w:rsidR="00395B38" w:rsidRPr="00123F1B">
              <w:rPr>
                <w:noProof/>
                <w:webHidden/>
              </w:rPr>
            </w:r>
            <w:r w:rsidR="00395B38" w:rsidRPr="00123F1B">
              <w:rPr>
                <w:noProof/>
                <w:webHidden/>
              </w:rPr>
              <w:fldChar w:fldCharType="separate"/>
            </w:r>
            <w:r w:rsidR="00123F1B">
              <w:rPr>
                <w:noProof/>
                <w:webHidden/>
              </w:rPr>
              <w:t>3</w:t>
            </w:r>
            <w:r w:rsidR="00395B38" w:rsidRPr="00123F1B">
              <w:rPr>
                <w:noProof/>
                <w:webHidden/>
              </w:rPr>
              <w:fldChar w:fldCharType="end"/>
            </w:r>
          </w:hyperlink>
        </w:p>
        <w:p w14:paraId="2EA15432"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6" w:history="1">
            <w:r w:rsidR="00395B38" w:rsidRPr="00123F1B">
              <w:rPr>
                <w:rStyle w:val="Hipervnculo"/>
                <w:noProof/>
                <w:color w:val="auto"/>
              </w:rPr>
              <w:t>b) Turno del Recurso de Revisión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_Toc211450096 \h </w:instrText>
            </w:r>
            <w:r w:rsidR="00395B38" w:rsidRPr="00123F1B">
              <w:rPr>
                <w:noProof/>
                <w:webHidden/>
              </w:rPr>
            </w:r>
            <w:r w:rsidR="00395B38" w:rsidRPr="00123F1B">
              <w:rPr>
                <w:noProof/>
                <w:webHidden/>
              </w:rPr>
              <w:fldChar w:fldCharType="separate"/>
            </w:r>
            <w:r w:rsidR="00123F1B">
              <w:rPr>
                <w:noProof/>
                <w:webHidden/>
              </w:rPr>
              <w:t>3</w:t>
            </w:r>
            <w:r w:rsidR="00395B38" w:rsidRPr="00123F1B">
              <w:rPr>
                <w:noProof/>
                <w:webHidden/>
              </w:rPr>
              <w:fldChar w:fldCharType="end"/>
            </w:r>
          </w:hyperlink>
        </w:p>
        <w:p w14:paraId="7E27C4EC"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7" w:history="1">
            <w:r w:rsidR="00395B38" w:rsidRPr="00123F1B">
              <w:rPr>
                <w:rStyle w:val="Hipervnculo"/>
                <w:noProof/>
                <w:color w:val="auto"/>
              </w:rPr>
              <w:t>c) Admisión del Recurso de Revisión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_Toc211450097 \h </w:instrText>
            </w:r>
            <w:r w:rsidR="00395B38" w:rsidRPr="00123F1B">
              <w:rPr>
                <w:noProof/>
                <w:webHidden/>
              </w:rPr>
            </w:r>
            <w:r w:rsidR="00395B38" w:rsidRPr="00123F1B">
              <w:rPr>
                <w:noProof/>
                <w:webHidden/>
              </w:rPr>
              <w:fldChar w:fldCharType="separate"/>
            </w:r>
            <w:r w:rsidR="00123F1B">
              <w:rPr>
                <w:noProof/>
                <w:webHidden/>
              </w:rPr>
              <w:t>3</w:t>
            </w:r>
            <w:r w:rsidR="00395B38" w:rsidRPr="00123F1B">
              <w:rPr>
                <w:noProof/>
                <w:webHidden/>
              </w:rPr>
              <w:fldChar w:fldCharType="end"/>
            </w:r>
          </w:hyperlink>
        </w:p>
        <w:p w14:paraId="56BA8BDE"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8" w:history="1">
            <w:r w:rsidR="00395B38" w:rsidRPr="00123F1B">
              <w:rPr>
                <w:rStyle w:val="Hipervnculo"/>
                <w:noProof/>
                <w:color w:val="auto"/>
              </w:rPr>
              <w:t>d) Informe Justificado del Sujeto Obligado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_Toc211450098 \h </w:instrText>
            </w:r>
            <w:r w:rsidR="00395B38" w:rsidRPr="00123F1B">
              <w:rPr>
                <w:noProof/>
                <w:webHidden/>
              </w:rPr>
            </w:r>
            <w:r w:rsidR="00395B38" w:rsidRPr="00123F1B">
              <w:rPr>
                <w:noProof/>
                <w:webHidden/>
              </w:rPr>
              <w:fldChar w:fldCharType="separate"/>
            </w:r>
            <w:r w:rsidR="00123F1B">
              <w:rPr>
                <w:noProof/>
                <w:webHidden/>
              </w:rPr>
              <w:t>4</w:t>
            </w:r>
            <w:r w:rsidR="00395B38" w:rsidRPr="00123F1B">
              <w:rPr>
                <w:noProof/>
                <w:webHidden/>
              </w:rPr>
              <w:fldChar w:fldCharType="end"/>
            </w:r>
          </w:hyperlink>
        </w:p>
        <w:p w14:paraId="4D94A07C"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099" w:history="1">
            <w:r w:rsidR="00395B38" w:rsidRPr="00123F1B">
              <w:rPr>
                <w:rStyle w:val="Hipervnculo"/>
                <w:rFonts w:eastAsia="Calibri"/>
                <w:bCs/>
                <w:noProof/>
                <w:color w:val="auto"/>
                <w:lang w:eastAsia="en-US"/>
              </w:rPr>
              <w:t>e)</w:t>
            </w:r>
            <w:r w:rsidR="00395B38" w:rsidRPr="00123F1B">
              <w:rPr>
                <w:rStyle w:val="Hipervnculo"/>
                <w:noProof/>
                <w:color w:val="auto"/>
              </w:rPr>
              <w:t xml:space="preserve"> Manifestaciones de la Parte Recurrente</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_Toc211450099 \h </w:instrText>
            </w:r>
            <w:r w:rsidR="00395B38" w:rsidRPr="00123F1B">
              <w:rPr>
                <w:noProof/>
                <w:webHidden/>
              </w:rPr>
            </w:r>
            <w:r w:rsidR="00395B38" w:rsidRPr="00123F1B">
              <w:rPr>
                <w:noProof/>
                <w:webHidden/>
              </w:rPr>
              <w:fldChar w:fldCharType="separate"/>
            </w:r>
            <w:r w:rsidR="00123F1B">
              <w:rPr>
                <w:noProof/>
                <w:webHidden/>
              </w:rPr>
              <w:t>7</w:t>
            </w:r>
            <w:r w:rsidR="00395B38" w:rsidRPr="00123F1B">
              <w:rPr>
                <w:noProof/>
                <w:webHidden/>
              </w:rPr>
              <w:fldChar w:fldCharType="end"/>
            </w:r>
          </w:hyperlink>
        </w:p>
        <w:p w14:paraId="59DD90E8"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0" w:history="1">
            <w:r w:rsidR="00395B38" w:rsidRPr="00123F1B">
              <w:rPr>
                <w:rStyle w:val="Hipervnculo"/>
                <w:noProof/>
                <w:color w:val="auto"/>
              </w:rPr>
              <w:t>f) Cierre de instrucción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_Toc211450100 \h </w:instrText>
            </w:r>
            <w:r w:rsidR="00395B38" w:rsidRPr="00123F1B">
              <w:rPr>
                <w:noProof/>
                <w:webHidden/>
              </w:rPr>
            </w:r>
            <w:r w:rsidR="00395B38" w:rsidRPr="00123F1B">
              <w:rPr>
                <w:noProof/>
                <w:webHidden/>
              </w:rPr>
              <w:fldChar w:fldCharType="separate"/>
            </w:r>
            <w:r w:rsidR="00123F1B">
              <w:rPr>
                <w:noProof/>
                <w:webHidden/>
              </w:rPr>
              <w:t>7</w:t>
            </w:r>
            <w:r w:rsidR="00395B38" w:rsidRPr="00123F1B">
              <w:rPr>
                <w:noProof/>
                <w:webHidden/>
              </w:rPr>
              <w:fldChar w:fldCharType="end"/>
            </w:r>
          </w:hyperlink>
        </w:p>
        <w:p w14:paraId="240D08A6" w14:textId="77777777" w:rsidR="00395B38" w:rsidRPr="00123F1B" w:rsidRDefault="00A234CF" w:rsidP="00395B38">
          <w:pPr>
            <w:pStyle w:val="TDC1"/>
            <w:tabs>
              <w:tab w:val="right" w:leader="dot" w:pos="9034"/>
            </w:tabs>
            <w:rPr>
              <w:rFonts w:asciiTheme="minorHAnsi" w:eastAsiaTheme="minorEastAsia" w:hAnsiTheme="minorHAnsi" w:cstheme="minorBidi"/>
              <w:noProof/>
              <w:szCs w:val="22"/>
              <w:lang w:eastAsia="es-MX"/>
            </w:rPr>
          </w:pPr>
          <w:hyperlink w:anchor="_Toc211450101" w:history="1">
            <w:r w:rsidR="00395B38" w:rsidRPr="00123F1B">
              <w:rPr>
                <w:rStyle w:val="Hipervnculo"/>
                <w:rFonts w:eastAsiaTheme="minorHAnsi"/>
                <w:noProof/>
                <w:color w:val="auto"/>
                <w:lang w:eastAsia="en-US"/>
              </w:rPr>
              <w:t>CONSIDERANDOS</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_Toc211450101 \h </w:instrText>
            </w:r>
            <w:r w:rsidR="00395B38" w:rsidRPr="00123F1B">
              <w:rPr>
                <w:noProof/>
                <w:webHidden/>
              </w:rPr>
            </w:r>
            <w:r w:rsidR="00395B38" w:rsidRPr="00123F1B">
              <w:rPr>
                <w:noProof/>
                <w:webHidden/>
              </w:rPr>
              <w:fldChar w:fldCharType="separate"/>
            </w:r>
            <w:r w:rsidR="00123F1B">
              <w:rPr>
                <w:noProof/>
                <w:webHidden/>
              </w:rPr>
              <w:t>7</w:t>
            </w:r>
            <w:r w:rsidR="00395B38" w:rsidRPr="00123F1B">
              <w:rPr>
                <w:noProof/>
                <w:webHidden/>
              </w:rPr>
              <w:fldChar w:fldCharType="end"/>
            </w:r>
          </w:hyperlink>
        </w:p>
        <w:p w14:paraId="23117F27" w14:textId="77777777" w:rsidR="00395B38" w:rsidRPr="00123F1B" w:rsidRDefault="00A234CF" w:rsidP="00395B38">
          <w:pPr>
            <w:pStyle w:val="TDC2"/>
            <w:rPr>
              <w:rFonts w:asciiTheme="minorHAnsi" w:eastAsiaTheme="minorEastAsia" w:hAnsiTheme="minorHAnsi" w:cstheme="minorBidi"/>
              <w:noProof/>
              <w:szCs w:val="22"/>
              <w:lang w:eastAsia="es-MX"/>
            </w:rPr>
          </w:pPr>
          <w:hyperlink w:anchor="_Toc211450102" w:history="1">
            <w:r w:rsidR="00395B38" w:rsidRPr="00123F1B">
              <w:rPr>
                <w:rStyle w:val="Hipervnculo"/>
                <w:rFonts w:eastAsia="Batang"/>
                <w:noProof/>
                <w:color w:val="auto"/>
              </w:rPr>
              <w:t>PRIMERO. Procedibilidad</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_Toc211450102 \h </w:instrText>
            </w:r>
            <w:r w:rsidR="00395B38" w:rsidRPr="00123F1B">
              <w:rPr>
                <w:noProof/>
                <w:webHidden/>
              </w:rPr>
            </w:r>
            <w:r w:rsidR="00395B38" w:rsidRPr="00123F1B">
              <w:rPr>
                <w:noProof/>
                <w:webHidden/>
              </w:rPr>
              <w:fldChar w:fldCharType="separate"/>
            </w:r>
            <w:r w:rsidR="00123F1B">
              <w:rPr>
                <w:noProof/>
                <w:webHidden/>
              </w:rPr>
              <w:t>7</w:t>
            </w:r>
            <w:r w:rsidR="00395B38" w:rsidRPr="00123F1B">
              <w:rPr>
                <w:noProof/>
                <w:webHidden/>
              </w:rPr>
              <w:fldChar w:fldCharType="end"/>
            </w:r>
          </w:hyperlink>
        </w:p>
        <w:p w14:paraId="7147D381"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3" w:history="1">
            <w:r w:rsidR="00395B38" w:rsidRPr="00123F1B">
              <w:rPr>
                <w:rStyle w:val="Hipervnculo"/>
                <w:noProof/>
                <w:color w:val="auto"/>
              </w:rPr>
              <w:t>a) Competencia del Instituto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_Toc211450103 \h </w:instrText>
            </w:r>
            <w:r w:rsidR="00395B38" w:rsidRPr="00123F1B">
              <w:rPr>
                <w:noProof/>
                <w:webHidden/>
              </w:rPr>
            </w:r>
            <w:r w:rsidR="00395B38" w:rsidRPr="00123F1B">
              <w:rPr>
                <w:noProof/>
                <w:webHidden/>
              </w:rPr>
              <w:fldChar w:fldCharType="separate"/>
            </w:r>
            <w:r w:rsidR="00123F1B">
              <w:rPr>
                <w:noProof/>
                <w:webHidden/>
              </w:rPr>
              <w:t>7</w:t>
            </w:r>
            <w:r w:rsidR="00395B38" w:rsidRPr="00123F1B">
              <w:rPr>
                <w:noProof/>
                <w:webHidden/>
              </w:rPr>
              <w:fldChar w:fldCharType="end"/>
            </w:r>
          </w:hyperlink>
        </w:p>
        <w:p w14:paraId="6B8A01FC"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4" w:history="1">
            <w:r w:rsidR="00395B38" w:rsidRPr="00123F1B">
              <w:rPr>
                <w:rStyle w:val="Hipervnculo"/>
                <w:noProof/>
                <w:color w:val="auto"/>
              </w:rPr>
              <w:t>b) Legitimidad de la parte recurrente</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_Toc211450104 \h </w:instrText>
            </w:r>
            <w:r w:rsidR="00395B38" w:rsidRPr="00123F1B">
              <w:rPr>
                <w:noProof/>
                <w:webHidden/>
              </w:rPr>
            </w:r>
            <w:r w:rsidR="00395B38" w:rsidRPr="00123F1B">
              <w:rPr>
                <w:noProof/>
                <w:webHidden/>
              </w:rPr>
              <w:fldChar w:fldCharType="separate"/>
            </w:r>
            <w:r w:rsidR="00123F1B">
              <w:rPr>
                <w:noProof/>
                <w:webHidden/>
              </w:rPr>
              <w:t>8</w:t>
            </w:r>
            <w:r w:rsidR="00395B38" w:rsidRPr="00123F1B">
              <w:rPr>
                <w:noProof/>
                <w:webHidden/>
              </w:rPr>
              <w:fldChar w:fldCharType="end"/>
            </w:r>
          </w:hyperlink>
        </w:p>
        <w:p w14:paraId="287AFFC8"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5" w:history="1">
            <w:r w:rsidR="00395B38" w:rsidRPr="00123F1B">
              <w:rPr>
                <w:rStyle w:val="Hipervnculo"/>
                <w:rFonts w:eastAsia="Calibri"/>
                <w:noProof/>
                <w:color w:val="auto"/>
                <w:lang w:eastAsia="es-ES_tradnl"/>
              </w:rPr>
              <w:t>c) Plazo para interponer el recurso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_Toc211450105 \h </w:instrText>
            </w:r>
            <w:r w:rsidR="00395B38" w:rsidRPr="00123F1B">
              <w:rPr>
                <w:noProof/>
                <w:webHidden/>
              </w:rPr>
            </w:r>
            <w:r w:rsidR="00395B38" w:rsidRPr="00123F1B">
              <w:rPr>
                <w:noProof/>
                <w:webHidden/>
              </w:rPr>
              <w:fldChar w:fldCharType="separate"/>
            </w:r>
            <w:r w:rsidR="00123F1B">
              <w:rPr>
                <w:noProof/>
                <w:webHidden/>
              </w:rPr>
              <w:t>8</w:t>
            </w:r>
            <w:r w:rsidR="00395B38" w:rsidRPr="00123F1B">
              <w:rPr>
                <w:noProof/>
                <w:webHidden/>
              </w:rPr>
              <w:fldChar w:fldCharType="end"/>
            </w:r>
          </w:hyperlink>
        </w:p>
        <w:p w14:paraId="11B37067"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6" w:history="1">
            <w:r w:rsidR="00395B38" w:rsidRPr="00123F1B">
              <w:rPr>
                <w:rStyle w:val="Hipervnculo"/>
                <w:rFonts w:eastAsia="Calibri"/>
                <w:noProof/>
                <w:color w:val="auto"/>
                <w:lang w:eastAsia="es-ES_tradnl"/>
              </w:rPr>
              <w:t>d) Causal de procedencia</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_Toc211450106 \h </w:instrText>
            </w:r>
            <w:r w:rsidR="00395B38" w:rsidRPr="00123F1B">
              <w:rPr>
                <w:noProof/>
                <w:webHidden/>
              </w:rPr>
            </w:r>
            <w:r w:rsidR="00395B38" w:rsidRPr="00123F1B">
              <w:rPr>
                <w:noProof/>
                <w:webHidden/>
              </w:rPr>
              <w:fldChar w:fldCharType="separate"/>
            </w:r>
            <w:r w:rsidR="00123F1B">
              <w:rPr>
                <w:noProof/>
                <w:webHidden/>
              </w:rPr>
              <w:t>10</w:t>
            </w:r>
            <w:r w:rsidR="00395B38" w:rsidRPr="00123F1B">
              <w:rPr>
                <w:noProof/>
                <w:webHidden/>
              </w:rPr>
              <w:fldChar w:fldCharType="end"/>
            </w:r>
          </w:hyperlink>
        </w:p>
        <w:p w14:paraId="2BEBE39B"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7" w:history="1">
            <w:r w:rsidR="00395B38" w:rsidRPr="00123F1B">
              <w:rPr>
                <w:rStyle w:val="Hipervnculo"/>
                <w:noProof/>
                <w:color w:val="auto"/>
              </w:rPr>
              <w:t>e) Requisitos formales para la interposición del recurso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_Toc211450107 \h </w:instrText>
            </w:r>
            <w:r w:rsidR="00395B38" w:rsidRPr="00123F1B">
              <w:rPr>
                <w:noProof/>
                <w:webHidden/>
              </w:rPr>
            </w:r>
            <w:r w:rsidR="00395B38" w:rsidRPr="00123F1B">
              <w:rPr>
                <w:noProof/>
                <w:webHidden/>
              </w:rPr>
              <w:fldChar w:fldCharType="separate"/>
            </w:r>
            <w:r w:rsidR="00123F1B">
              <w:rPr>
                <w:noProof/>
                <w:webHidden/>
              </w:rPr>
              <w:t>11</w:t>
            </w:r>
            <w:r w:rsidR="00395B38" w:rsidRPr="00123F1B">
              <w:rPr>
                <w:noProof/>
                <w:webHidden/>
              </w:rPr>
              <w:fldChar w:fldCharType="end"/>
            </w:r>
          </w:hyperlink>
        </w:p>
        <w:p w14:paraId="13877007" w14:textId="77777777" w:rsidR="00395B38" w:rsidRPr="00123F1B" w:rsidRDefault="00A234CF" w:rsidP="00395B38">
          <w:pPr>
            <w:pStyle w:val="TDC2"/>
            <w:rPr>
              <w:rFonts w:asciiTheme="minorHAnsi" w:eastAsiaTheme="minorEastAsia" w:hAnsiTheme="minorHAnsi" w:cstheme="minorBidi"/>
              <w:noProof/>
              <w:szCs w:val="22"/>
              <w:lang w:eastAsia="es-MX"/>
            </w:rPr>
          </w:pPr>
          <w:hyperlink w:anchor="_Toc211450108" w:history="1">
            <w:r w:rsidR="00395B38" w:rsidRPr="00123F1B">
              <w:rPr>
                <w:rStyle w:val="Hipervnculo"/>
                <w:noProof/>
                <w:color w:val="auto"/>
              </w:rPr>
              <w:t>SEGUNDO. Estudio de Fondo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_Toc211450108 \h </w:instrText>
            </w:r>
            <w:r w:rsidR="00395B38" w:rsidRPr="00123F1B">
              <w:rPr>
                <w:noProof/>
                <w:webHidden/>
              </w:rPr>
            </w:r>
            <w:r w:rsidR="00395B38" w:rsidRPr="00123F1B">
              <w:rPr>
                <w:noProof/>
                <w:webHidden/>
              </w:rPr>
              <w:fldChar w:fldCharType="separate"/>
            </w:r>
            <w:r w:rsidR="00123F1B">
              <w:rPr>
                <w:noProof/>
                <w:webHidden/>
              </w:rPr>
              <w:t>12</w:t>
            </w:r>
            <w:r w:rsidR="00395B38" w:rsidRPr="00123F1B">
              <w:rPr>
                <w:noProof/>
                <w:webHidden/>
              </w:rPr>
              <w:fldChar w:fldCharType="end"/>
            </w:r>
          </w:hyperlink>
        </w:p>
        <w:p w14:paraId="4DE1714B"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09" w:history="1">
            <w:r w:rsidR="00395B38" w:rsidRPr="00123F1B">
              <w:rPr>
                <w:rStyle w:val="Hipervnculo"/>
                <w:noProof/>
                <w:color w:val="auto"/>
              </w:rPr>
              <w:t>a) Mandato de transparencia y responsabilidad del Sujeto Obligado</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_Toc211450109 \h </w:instrText>
            </w:r>
            <w:r w:rsidR="00395B38" w:rsidRPr="00123F1B">
              <w:rPr>
                <w:noProof/>
                <w:webHidden/>
              </w:rPr>
            </w:r>
            <w:r w:rsidR="00395B38" w:rsidRPr="00123F1B">
              <w:rPr>
                <w:noProof/>
                <w:webHidden/>
              </w:rPr>
              <w:fldChar w:fldCharType="separate"/>
            </w:r>
            <w:r w:rsidR="00123F1B">
              <w:rPr>
                <w:noProof/>
                <w:webHidden/>
              </w:rPr>
              <w:t>12</w:t>
            </w:r>
            <w:r w:rsidR="00395B38" w:rsidRPr="00123F1B">
              <w:rPr>
                <w:noProof/>
                <w:webHidden/>
              </w:rPr>
              <w:fldChar w:fldCharType="end"/>
            </w:r>
          </w:hyperlink>
        </w:p>
        <w:p w14:paraId="5CC41F4A"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10" w:history="1">
            <w:r w:rsidR="00395B38" w:rsidRPr="00123F1B">
              <w:rPr>
                <w:rStyle w:val="Hipervnculo"/>
                <w:rFonts w:eastAsia="Calibri"/>
                <w:noProof/>
                <w:color w:val="auto"/>
                <w:lang w:eastAsia="es-ES_tradnl"/>
              </w:rPr>
              <w:t>b) Controversia a resolver</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_Toc211450110 \h </w:instrText>
            </w:r>
            <w:r w:rsidR="00395B38" w:rsidRPr="00123F1B">
              <w:rPr>
                <w:noProof/>
                <w:webHidden/>
              </w:rPr>
            </w:r>
            <w:r w:rsidR="00395B38" w:rsidRPr="00123F1B">
              <w:rPr>
                <w:noProof/>
                <w:webHidden/>
              </w:rPr>
              <w:fldChar w:fldCharType="separate"/>
            </w:r>
            <w:r w:rsidR="00123F1B">
              <w:rPr>
                <w:noProof/>
                <w:webHidden/>
              </w:rPr>
              <w:t>14</w:t>
            </w:r>
            <w:r w:rsidR="00395B38" w:rsidRPr="00123F1B">
              <w:rPr>
                <w:noProof/>
                <w:webHidden/>
              </w:rPr>
              <w:fldChar w:fldCharType="end"/>
            </w:r>
          </w:hyperlink>
        </w:p>
        <w:p w14:paraId="6AF139F0"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11" w:history="1">
            <w:r w:rsidR="00395B38" w:rsidRPr="00123F1B">
              <w:rPr>
                <w:rStyle w:val="Hipervnculo"/>
                <w:noProof/>
                <w:color w:val="auto"/>
              </w:rPr>
              <w:t>c) Estudio de la controversia</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_Toc211450111 \h </w:instrText>
            </w:r>
            <w:r w:rsidR="00395B38" w:rsidRPr="00123F1B">
              <w:rPr>
                <w:noProof/>
                <w:webHidden/>
              </w:rPr>
            </w:r>
            <w:r w:rsidR="00395B38" w:rsidRPr="00123F1B">
              <w:rPr>
                <w:noProof/>
                <w:webHidden/>
              </w:rPr>
              <w:fldChar w:fldCharType="separate"/>
            </w:r>
            <w:r w:rsidR="00123F1B">
              <w:rPr>
                <w:noProof/>
                <w:webHidden/>
              </w:rPr>
              <w:t>15</w:t>
            </w:r>
            <w:r w:rsidR="00395B38" w:rsidRPr="00123F1B">
              <w:rPr>
                <w:noProof/>
                <w:webHidden/>
              </w:rPr>
              <w:fldChar w:fldCharType="end"/>
            </w:r>
          </w:hyperlink>
        </w:p>
        <w:p w14:paraId="4348A725"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12" w:history="1">
            <w:r w:rsidR="00395B38" w:rsidRPr="00123F1B">
              <w:rPr>
                <w:rStyle w:val="Hipervnculo"/>
                <w:noProof/>
                <w:color w:val="auto"/>
              </w:rPr>
              <w:t>d) Versión pública</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_Toc211450112 \h </w:instrText>
            </w:r>
            <w:r w:rsidR="00395B38" w:rsidRPr="00123F1B">
              <w:rPr>
                <w:noProof/>
                <w:webHidden/>
              </w:rPr>
            </w:r>
            <w:r w:rsidR="00395B38" w:rsidRPr="00123F1B">
              <w:rPr>
                <w:noProof/>
                <w:webHidden/>
              </w:rPr>
              <w:fldChar w:fldCharType="separate"/>
            </w:r>
            <w:r w:rsidR="00123F1B">
              <w:rPr>
                <w:noProof/>
                <w:webHidden/>
              </w:rPr>
              <w:t>23</w:t>
            </w:r>
            <w:r w:rsidR="00395B38" w:rsidRPr="00123F1B">
              <w:rPr>
                <w:noProof/>
                <w:webHidden/>
              </w:rPr>
              <w:fldChar w:fldCharType="end"/>
            </w:r>
          </w:hyperlink>
        </w:p>
        <w:p w14:paraId="55411320"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13" w:history="1">
            <w:r w:rsidR="00395B38" w:rsidRPr="00123F1B">
              <w:rPr>
                <w:rStyle w:val="Hipervnculo"/>
                <w:noProof/>
                <w:color w:val="auto"/>
              </w:rPr>
              <w:t>e) Vista al Órgano Interno de Control</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_Toc211450113 \h </w:instrText>
            </w:r>
            <w:r w:rsidR="00395B38" w:rsidRPr="00123F1B">
              <w:rPr>
                <w:noProof/>
                <w:webHidden/>
              </w:rPr>
            </w:r>
            <w:r w:rsidR="00395B38" w:rsidRPr="00123F1B">
              <w:rPr>
                <w:noProof/>
                <w:webHidden/>
              </w:rPr>
              <w:fldChar w:fldCharType="separate"/>
            </w:r>
            <w:r w:rsidR="00123F1B">
              <w:rPr>
                <w:noProof/>
                <w:webHidden/>
              </w:rPr>
              <w:t>39</w:t>
            </w:r>
            <w:r w:rsidR="00395B38" w:rsidRPr="00123F1B">
              <w:rPr>
                <w:noProof/>
                <w:webHidden/>
              </w:rPr>
              <w:fldChar w:fldCharType="end"/>
            </w:r>
          </w:hyperlink>
        </w:p>
        <w:p w14:paraId="3C87A6EA" w14:textId="77777777" w:rsidR="00395B38" w:rsidRPr="00123F1B" w:rsidRDefault="00A234CF" w:rsidP="00395B38">
          <w:pPr>
            <w:pStyle w:val="TDC3"/>
            <w:rPr>
              <w:rFonts w:asciiTheme="minorHAnsi" w:eastAsiaTheme="minorEastAsia" w:hAnsiTheme="minorHAnsi" w:cstheme="minorBidi"/>
              <w:noProof/>
              <w:szCs w:val="22"/>
              <w:lang w:eastAsia="es-MX"/>
            </w:rPr>
          </w:pPr>
          <w:hyperlink w:anchor="_Toc211450114" w:history="1">
            <w:r w:rsidR="00395B38" w:rsidRPr="00123F1B">
              <w:rPr>
                <w:rStyle w:val="Hipervnculo"/>
                <w:noProof/>
                <w:color w:val="auto"/>
              </w:rPr>
              <w:t>f) Conclusión</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_Toc211450114 \h </w:instrText>
            </w:r>
            <w:r w:rsidR="00395B38" w:rsidRPr="00123F1B">
              <w:rPr>
                <w:noProof/>
                <w:webHidden/>
              </w:rPr>
            </w:r>
            <w:r w:rsidR="00395B38" w:rsidRPr="00123F1B">
              <w:rPr>
                <w:noProof/>
                <w:webHidden/>
              </w:rPr>
              <w:fldChar w:fldCharType="separate"/>
            </w:r>
            <w:r w:rsidR="00123F1B">
              <w:rPr>
                <w:noProof/>
                <w:webHidden/>
              </w:rPr>
              <w:t>40</w:t>
            </w:r>
            <w:r w:rsidR="00395B38" w:rsidRPr="00123F1B">
              <w:rPr>
                <w:noProof/>
                <w:webHidden/>
              </w:rPr>
              <w:fldChar w:fldCharType="end"/>
            </w:r>
          </w:hyperlink>
        </w:p>
        <w:p w14:paraId="3B1B3540" w14:textId="77777777" w:rsidR="00395B38" w:rsidRPr="00123F1B" w:rsidRDefault="00A234CF" w:rsidP="00395B38">
          <w:pPr>
            <w:pStyle w:val="TDC1"/>
            <w:tabs>
              <w:tab w:val="right" w:leader="dot" w:pos="9034"/>
            </w:tabs>
            <w:rPr>
              <w:rFonts w:asciiTheme="minorHAnsi" w:eastAsiaTheme="minorEastAsia" w:hAnsiTheme="minorHAnsi" w:cstheme="minorBidi"/>
              <w:noProof/>
              <w:szCs w:val="22"/>
              <w:lang w:eastAsia="es-MX"/>
            </w:rPr>
          </w:pPr>
          <w:hyperlink w:anchor="_Toc211450115" w:history="1">
            <w:r w:rsidR="00395B38" w:rsidRPr="00123F1B">
              <w:rPr>
                <w:rStyle w:val="Hipervnculo"/>
                <w:noProof/>
                <w:color w:val="auto"/>
              </w:rPr>
              <w:t>RESUELVE</w:t>
            </w:r>
            <w:r w:rsidR="00395B38" w:rsidRPr="00123F1B">
              <w:rPr>
                <w:noProof/>
                <w:webHidden/>
              </w:rPr>
              <w:tab/>
            </w:r>
            <w:r w:rsidR="00395B38" w:rsidRPr="00123F1B">
              <w:rPr>
                <w:noProof/>
                <w:webHidden/>
              </w:rPr>
              <w:fldChar w:fldCharType="begin"/>
            </w:r>
            <w:r w:rsidR="00395B38" w:rsidRPr="00123F1B">
              <w:rPr>
                <w:noProof/>
                <w:webHidden/>
              </w:rPr>
              <w:instrText xml:space="preserve"> PAGEREF _Toc211450115 \h </w:instrText>
            </w:r>
            <w:r w:rsidR="00395B38" w:rsidRPr="00123F1B">
              <w:rPr>
                <w:noProof/>
                <w:webHidden/>
              </w:rPr>
            </w:r>
            <w:r w:rsidR="00395B38" w:rsidRPr="00123F1B">
              <w:rPr>
                <w:noProof/>
                <w:webHidden/>
              </w:rPr>
              <w:fldChar w:fldCharType="separate"/>
            </w:r>
            <w:r w:rsidR="00123F1B">
              <w:rPr>
                <w:noProof/>
                <w:webHidden/>
              </w:rPr>
              <w:t>41</w:t>
            </w:r>
            <w:r w:rsidR="00395B38" w:rsidRPr="00123F1B">
              <w:rPr>
                <w:noProof/>
                <w:webHidden/>
              </w:rPr>
              <w:fldChar w:fldCharType="end"/>
            </w:r>
          </w:hyperlink>
        </w:p>
        <w:p w14:paraId="0C82FD7A" w14:textId="3087892D" w:rsidR="009B2945" w:rsidRPr="00123F1B" w:rsidRDefault="00AE3DA7" w:rsidP="00395B38">
          <w:pPr>
            <w:spacing w:line="240" w:lineRule="auto"/>
            <w:rPr>
              <w:b/>
              <w:bCs/>
            </w:rPr>
          </w:pPr>
          <w:r w:rsidRPr="00123F1B">
            <w:rPr>
              <w:b/>
              <w:bCs/>
              <w:sz w:val="16"/>
              <w:szCs w:val="16"/>
            </w:rPr>
            <w:fldChar w:fldCharType="end"/>
          </w:r>
        </w:p>
      </w:sdtContent>
    </w:sdt>
    <w:p w14:paraId="603A07E2" w14:textId="77777777" w:rsidR="00646436" w:rsidRPr="00123F1B" w:rsidRDefault="00646436" w:rsidP="00395B38">
      <w:pPr>
        <w:rPr>
          <w:rFonts w:cs="Tahoma"/>
          <w:szCs w:val="22"/>
        </w:rPr>
        <w:sectPr w:rsidR="00646436" w:rsidRPr="00123F1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45FF3CB" w:rsidR="00775BFC" w:rsidRPr="00123F1B" w:rsidRDefault="00775BFC" w:rsidP="00395B38">
      <w:pPr>
        <w:rPr>
          <w:b/>
        </w:rPr>
      </w:pPr>
      <w:r w:rsidRPr="00123F1B">
        <w:lastRenderedPageBreak/>
        <w:t>Resolución del Pleno del Instituto de Transparencia, Acceso a la Información Pública y Protección de Datos Personales del Estado de México y Municipios, con domicilio en Metepec, Estado de México, de</w:t>
      </w:r>
      <w:r w:rsidR="00E57C8A" w:rsidRPr="00123F1B">
        <w:t>l</w:t>
      </w:r>
      <w:r w:rsidRPr="00123F1B">
        <w:t xml:space="preserve"> </w:t>
      </w:r>
      <w:r w:rsidR="00BC63D9" w:rsidRPr="00123F1B">
        <w:rPr>
          <w:b/>
        </w:rPr>
        <w:t xml:space="preserve">quince de octubre </w:t>
      </w:r>
      <w:r w:rsidR="00372715" w:rsidRPr="00123F1B">
        <w:rPr>
          <w:b/>
        </w:rPr>
        <w:t>de dos mil veinticinco</w:t>
      </w:r>
      <w:r w:rsidR="00BE27D2" w:rsidRPr="00123F1B">
        <w:rPr>
          <w:b/>
        </w:rPr>
        <w:t>.</w:t>
      </w:r>
    </w:p>
    <w:p w14:paraId="0AF3AAC4" w14:textId="77777777" w:rsidR="00775BFC" w:rsidRPr="00123F1B" w:rsidRDefault="00775BFC" w:rsidP="00395B38"/>
    <w:p w14:paraId="40EAE038" w14:textId="26D05A10" w:rsidR="00775BFC" w:rsidRPr="00123F1B" w:rsidRDefault="00775BFC" w:rsidP="00395B38">
      <w:r w:rsidRPr="00123F1B">
        <w:rPr>
          <w:b/>
        </w:rPr>
        <w:t xml:space="preserve">VISTO </w:t>
      </w:r>
      <w:r w:rsidR="00C576E3" w:rsidRPr="00123F1B">
        <w:t>el</w:t>
      </w:r>
      <w:r w:rsidRPr="00123F1B">
        <w:t xml:space="preserve"> expediente</w:t>
      </w:r>
      <w:r w:rsidR="00C576E3" w:rsidRPr="00123F1B">
        <w:t xml:space="preserve"> formado</w:t>
      </w:r>
      <w:r w:rsidRPr="00123F1B">
        <w:t xml:space="preserve"> con motivo de</w:t>
      </w:r>
      <w:r w:rsidR="00C576E3" w:rsidRPr="00123F1B">
        <w:t xml:space="preserve">l </w:t>
      </w:r>
      <w:r w:rsidRPr="00123F1B">
        <w:t xml:space="preserve">Recurso de Revisión </w:t>
      </w:r>
      <w:r w:rsidR="00BC63D9" w:rsidRPr="00123F1B">
        <w:rPr>
          <w:b/>
        </w:rPr>
        <w:t>10332</w:t>
      </w:r>
      <w:r w:rsidR="00A017F4" w:rsidRPr="00123F1B">
        <w:rPr>
          <w:b/>
        </w:rPr>
        <w:t>/INFOEM/IP/RR/2025</w:t>
      </w:r>
      <w:r w:rsidR="00372715" w:rsidRPr="00123F1B">
        <w:rPr>
          <w:b/>
        </w:rPr>
        <w:t xml:space="preserve">, </w:t>
      </w:r>
      <w:r w:rsidRPr="00123F1B">
        <w:t xml:space="preserve">interpuesto por </w:t>
      </w:r>
      <w:r w:rsidR="00AF3056" w:rsidRPr="00123F1B">
        <w:rPr>
          <w:b/>
          <w:bCs/>
        </w:rPr>
        <w:t>una persona de manera anónima</w:t>
      </w:r>
      <w:r w:rsidRPr="00123F1B">
        <w:t xml:space="preserve">, a quien en lo subsecuente se le denominará </w:t>
      </w:r>
      <w:r w:rsidRPr="00123F1B">
        <w:rPr>
          <w:b/>
          <w:bCs/>
        </w:rPr>
        <w:t>LA PARTE RECURRENTE</w:t>
      </w:r>
      <w:r w:rsidRPr="00123F1B">
        <w:t xml:space="preserve">, en contra </w:t>
      </w:r>
      <w:r w:rsidR="006D1510" w:rsidRPr="00123F1B">
        <w:t xml:space="preserve">de la falta de respuesta del </w:t>
      </w:r>
      <w:r w:rsidR="00BC63D9" w:rsidRPr="00123F1B">
        <w:rPr>
          <w:b/>
          <w:bCs/>
        </w:rPr>
        <w:t>Organismo Público Descentralizado para la Prestación de los Servicios de Agua Potable, Alcantarillado y Saneamiento de Teoloyucan</w:t>
      </w:r>
      <w:r w:rsidRPr="00123F1B">
        <w:rPr>
          <w:b/>
          <w:bCs/>
        </w:rPr>
        <w:t>,</w:t>
      </w:r>
      <w:r w:rsidRPr="00123F1B">
        <w:t xml:space="preserve"> en adelante </w:t>
      </w:r>
      <w:r w:rsidRPr="00123F1B">
        <w:rPr>
          <w:b/>
          <w:bCs/>
        </w:rPr>
        <w:t>EL SUJETO OBLIGADO</w:t>
      </w:r>
      <w:r w:rsidRPr="00123F1B">
        <w:rPr>
          <w:rFonts w:eastAsia="Calibri"/>
          <w:lang w:eastAsia="en-US"/>
        </w:rPr>
        <w:t xml:space="preserve">, </w:t>
      </w:r>
      <w:r w:rsidRPr="00123F1B">
        <w:t>se emite la presente Resolución con base en los Antecedentes y Considerandos que se exponen a continuación:</w:t>
      </w:r>
    </w:p>
    <w:p w14:paraId="2116968C" w14:textId="77777777" w:rsidR="00775BFC" w:rsidRPr="00123F1B" w:rsidRDefault="00775BFC" w:rsidP="00395B38"/>
    <w:p w14:paraId="5A444FB6" w14:textId="639D3567" w:rsidR="00664420" w:rsidRPr="00123F1B" w:rsidRDefault="00664420" w:rsidP="00395B38">
      <w:pPr>
        <w:pStyle w:val="Ttulo1"/>
      </w:pPr>
      <w:bookmarkStart w:id="2" w:name="_Toc211450089"/>
      <w:r w:rsidRPr="00123F1B">
        <w:t>ANTECEDENTES</w:t>
      </w:r>
      <w:bookmarkEnd w:id="2"/>
    </w:p>
    <w:p w14:paraId="5CB5034E" w14:textId="77777777" w:rsidR="00AC2DB8" w:rsidRPr="00123F1B" w:rsidRDefault="00AC2DB8" w:rsidP="00395B38"/>
    <w:p w14:paraId="09B2D38F" w14:textId="3180E186" w:rsidR="00664420" w:rsidRPr="00123F1B" w:rsidRDefault="00E37A3F" w:rsidP="00395B38">
      <w:pPr>
        <w:pStyle w:val="Ttulo2"/>
        <w:jc w:val="left"/>
      </w:pPr>
      <w:bookmarkStart w:id="3" w:name="_Toc211450090"/>
      <w:r w:rsidRPr="00123F1B">
        <w:t>DE LA SOLICITUD DE INFORMACIÓN</w:t>
      </w:r>
      <w:bookmarkEnd w:id="3"/>
    </w:p>
    <w:p w14:paraId="2C6AD1A5" w14:textId="4F29218A" w:rsidR="00664420" w:rsidRPr="00123F1B" w:rsidRDefault="00E37A3F" w:rsidP="00395B38">
      <w:pPr>
        <w:pStyle w:val="Ttulo3"/>
      </w:pPr>
      <w:bookmarkStart w:id="4" w:name="_Toc211450091"/>
      <w:r w:rsidRPr="00123F1B">
        <w:t xml:space="preserve">a) </w:t>
      </w:r>
      <w:r w:rsidR="006B10B0" w:rsidRPr="00123F1B">
        <w:t>S</w:t>
      </w:r>
      <w:r w:rsidR="00664420" w:rsidRPr="00123F1B">
        <w:t xml:space="preserve">olicitud de </w:t>
      </w:r>
      <w:r w:rsidR="006B10B0" w:rsidRPr="00123F1B">
        <w:t>i</w:t>
      </w:r>
      <w:r w:rsidR="00664420" w:rsidRPr="00123F1B">
        <w:t>nformación</w:t>
      </w:r>
      <w:bookmarkEnd w:id="4"/>
    </w:p>
    <w:p w14:paraId="06DCD29D" w14:textId="31FB43E2" w:rsidR="009A2D78" w:rsidRPr="00123F1B" w:rsidRDefault="00A24F7F" w:rsidP="00395B38">
      <w:pPr>
        <w:pStyle w:val="Prrafodelista"/>
        <w:tabs>
          <w:tab w:val="left" w:pos="0"/>
        </w:tabs>
        <w:ind w:left="0"/>
        <w:contextualSpacing w:val="0"/>
        <w:rPr>
          <w:rFonts w:cs="Tahoma"/>
        </w:rPr>
      </w:pPr>
      <w:r w:rsidRPr="00123F1B">
        <w:rPr>
          <w:rFonts w:cs="Tahoma"/>
        </w:rPr>
        <w:t>E</w:t>
      </w:r>
      <w:r w:rsidR="00703683" w:rsidRPr="00123F1B">
        <w:rPr>
          <w:rFonts w:cs="Tahoma"/>
        </w:rPr>
        <w:t xml:space="preserve">l </w:t>
      </w:r>
      <w:r w:rsidR="00BC63D9" w:rsidRPr="00123F1B">
        <w:rPr>
          <w:rFonts w:cs="Tahoma"/>
          <w:b/>
        </w:rPr>
        <w:t xml:space="preserve">cuatro de agosto </w:t>
      </w:r>
      <w:r w:rsidR="00AF3056" w:rsidRPr="00123F1B">
        <w:rPr>
          <w:rFonts w:cs="Tahoma"/>
          <w:b/>
        </w:rPr>
        <w:t xml:space="preserve">de </w:t>
      </w:r>
      <w:r w:rsidR="00CA6E9E" w:rsidRPr="00123F1B">
        <w:rPr>
          <w:rFonts w:cs="Tahoma"/>
          <w:b/>
        </w:rPr>
        <w:t>dos mil veinticinco</w:t>
      </w:r>
      <w:r w:rsidR="00664420" w:rsidRPr="00123F1B">
        <w:rPr>
          <w:rFonts w:cs="Tahoma"/>
        </w:rPr>
        <w:t xml:space="preserve">, </w:t>
      </w:r>
      <w:r w:rsidR="006B10B0" w:rsidRPr="00123F1B">
        <w:rPr>
          <w:b/>
          <w:bCs/>
        </w:rPr>
        <w:t>LA PARTE RECURRENTE</w:t>
      </w:r>
      <w:r w:rsidR="00664420" w:rsidRPr="00123F1B">
        <w:rPr>
          <w:rFonts w:cs="Tahoma"/>
        </w:rPr>
        <w:t xml:space="preserve"> presentó </w:t>
      </w:r>
      <w:r w:rsidR="00C576E3" w:rsidRPr="00123F1B">
        <w:rPr>
          <w:rFonts w:cs="Tahoma"/>
        </w:rPr>
        <w:t>la</w:t>
      </w:r>
      <w:r w:rsidR="00664420" w:rsidRPr="00123F1B">
        <w:rPr>
          <w:rFonts w:cs="Tahoma"/>
        </w:rPr>
        <w:t xml:space="preserve"> solicitud</w:t>
      </w:r>
      <w:r w:rsidR="00C576E3" w:rsidRPr="00123F1B">
        <w:rPr>
          <w:rFonts w:cs="Tahoma"/>
        </w:rPr>
        <w:t xml:space="preserve"> </w:t>
      </w:r>
      <w:r w:rsidR="00664420" w:rsidRPr="00123F1B">
        <w:rPr>
          <w:rFonts w:cs="Tahoma"/>
        </w:rPr>
        <w:t xml:space="preserve">de acceso a la información pública </w:t>
      </w:r>
      <w:r w:rsidR="001F3515" w:rsidRPr="00123F1B">
        <w:rPr>
          <w:rFonts w:cs="Tahoma"/>
        </w:rPr>
        <w:t xml:space="preserve">ante el </w:t>
      </w:r>
      <w:r w:rsidR="001F3515" w:rsidRPr="00123F1B">
        <w:rPr>
          <w:rFonts w:cs="Tahoma"/>
          <w:b/>
          <w:bCs/>
        </w:rPr>
        <w:t>SUJETO OBLIGADO</w:t>
      </w:r>
      <w:r w:rsidR="001F3515" w:rsidRPr="00123F1B">
        <w:rPr>
          <w:rFonts w:cs="Tahoma"/>
        </w:rPr>
        <w:t xml:space="preserve">, </w:t>
      </w:r>
      <w:r w:rsidR="00580AA3" w:rsidRPr="00123F1B">
        <w:rPr>
          <w:rFonts w:cs="Tahoma"/>
        </w:rPr>
        <w:t xml:space="preserve">a través del Sistema de Acceso a la Información Mexiquense </w:t>
      </w:r>
      <w:r w:rsidR="00580AA3" w:rsidRPr="00123F1B">
        <w:rPr>
          <w:rFonts w:cs="Tahoma"/>
          <w:b/>
        </w:rPr>
        <w:t>(SAIMEX)</w:t>
      </w:r>
      <w:r w:rsidR="009A2D78" w:rsidRPr="00123F1B">
        <w:rPr>
          <w:rFonts w:cs="Tahoma"/>
        </w:rPr>
        <w:t>. Dicha solicitud</w:t>
      </w:r>
      <w:r w:rsidR="00C576E3" w:rsidRPr="00123F1B">
        <w:rPr>
          <w:rFonts w:cs="Tahoma"/>
        </w:rPr>
        <w:t xml:space="preserve"> </w:t>
      </w:r>
      <w:r w:rsidR="00A017F4" w:rsidRPr="00123F1B">
        <w:rPr>
          <w:rFonts w:cs="Tahoma"/>
        </w:rPr>
        <w:t>q</w:t>
      </w:r>
      <w:r w:rsidR="00C576E3" w:rsidRPr="00123F1B">
        <w:rPr>
          <w:rFonts w:cs="Tahoma"/>
        </w:rPr>
        <w:t>uedó</w:t>
      </w:r>
      <w:r w:rsidR="006B10B0" w:rsidRPr="00123F1B">
        <w:rPr>
          <w:rFonts w:cs="Tahoma"/>
        </w:rPr>
        <w:t xml:space="preserve"> registrada c</w:t>
      </w:r>
      <w:r w:rsidR="00664420" w:rsidRPr="00123F1B">
        <w:rPr>
          <w:rFonts w:cs="Tahoma"/>
        </w:rPr>
        <w:t xml:space="preserve">on </w:t>
      </w:r>
      <w:r w:rsidR="00C576E3" w:rsidRPr="00123F1B">
        <w:rPr>
          <w:rFonts w:cs="Tahoma"/>
        </w:rPr>
        <w:t>e</w:t>
      </w:r>
      <w:r w:rsidR="00E30308" w:rsidRPr="00123F1B">
        <w:rPr>
          <w:rFonts w:cs="Tahoma"/>
        </w:rPr>
        <w:t>l</w:t>
      </w:r>
      <w:r w:rsidR="00C576E3" w:rsidRPr="00123F1B">
        <w:rPr>
          <w:rFonts w:cs="Tahoma"/>
        </w:rPr>
        <w:t xml:space="preserve"> </w:t>
      </w:r>
      <w:r w:rsidR="00664420" w:rsidRPr="00123F1B">
        <w:rPr>
          <w:rFonts w:cs="Tahoma"/>
        </w:rPr>
        <w:t>número de folio</w:t>
      </w:r>
      <w:r w:rsidR="00664420" w:rsidRPr="00123F1B">
        <w:rPr>
          <w:rFonts w:cs="Tahoma"/>
          <w:b/>
          <w:bCs/>
        </w:rPr>
        <w:t xml:space="preserve"> </w:t>
      </w:r>
      <w:r w:rsidR="00BC63D9" w:rsidRPr="00123F1B">
        <w:rPr>
          <w:rFonts w:cs="Tahoma"/>
          <w:b/>
          <w:bCs/>
        </w:rPr>
        <w:t>00247/OPDTEOLOYUCAN/IP/2025</w:t>
      </w:r>
      <w:r w:rsidR="00E30308" w:rsidRPr="00123F1B">
        <w:rPr>
          <w:rFonts w:cs="Tahoma"/>
          <w:b/>
          <w:bCs/>
        </w:rPr>
        <w:t>,</w:t>
      </w:r>
      <w:r w:rsidR="002A3601" w:rsidRPr="00123F1B">
        <w:rPr>
          <w:rFonts w:cs="Tahoma"/>
        </w:rPr>
        <w:t xml:space="preserve"> </w:t>
      </w:r>
      <w:r w:rsidR="00E30308" w:rsidRPr="00123F1B">
        <w:rPr>
          <w:rFonts w:cs="Tahoma"/>
        </w:rPr>
        <w:t xml:space="preserve">y </w:t>
      </w:r>
      <w:r w:rsidR="002A3601" w:rsidRPr="00123F1B">
        <w:rPr>
          <w:rFonts w:cs="Tahoma"/>
        </w:rPr>
        <w:t xml:space="preserve">en ella </w:t>
      </w:r>
      <w:r w:rsidR="009A2D78" w:rsidRPr="00123F1B">
        <w:rPr>
          <w:rFonts w:cs="Tahoma"/>
        </w:rPr>
        <w:t>se requirió la siguiente información:</w:t>
      </w:r>
    </w:p>
    <w:p w14:paraId="6D95A70D" w14:textId="77777777" w:rsidR="00BF2A3F" w:rsidRPr="00123F1B" w:rsidRDefault="00BF2A3F" w:rsidP="00395B38">
      <w:pPr>
        <w:pStyle w:val="Prrafodelista"/>
        <w:tabs>
          <w:tab w:val="left" w:pos="0"/>
        </w:tabs>
        <w:ind w:left="0"/>
        <w:contextualSpacing w:val="0"/>
        <w:rPr>
          <w:rFonts w:cs="Tahoma"/>
        </w:rPr>
      </w:pPr>
    </w:p>
    <w:p w14:paraId="3976661C" w14:textId="1F982CC7" w:rsidR="00C576E3" w:rsidRPr="00123F1B" w:rsidRDefault="00C576E3" w:rsidP="00395B38">
      <w:pPr>
        <w:tabs>
          <w:tab w:val="left" w:pos="4667"/>
        </w:tabs>
        <w:spacing w:line="240" w:lineRule="auto"/>
        <w:ind w:left="851" w:right="822"/>
        <w:rPr>
          <w:rFonts w:cs="Tahoma"/>
          <w:i/>
          <w:szCs w:val="22"/>
        </w:rPr>
      </w:pPr>
      <w:r w:rsidRPr="00123F1B">
        <w:rPr>
          <w:rFonts w:cs="Tahoma"/>
          <w:i/>
          <w:szCs w:val="22"/>
        </w:rPr>
        <w:t>“</w:t>
      </w:r>
      <w:r w:rsidR="00BC63D9" w:rsidRPr="00123F1B">
        <w:rPr>
          <w:rFonts w:cs="Tahoma"/>
          <w:i/>
          <w:szCs w:val="22"/>
        </w:rPr>
        <w:t>solisito los resivos de nomina del 2023 de todo el organismo de agua, lean vien resivos nomina</w:t>
      </w:r>
      <w:r w:rsidRPr="00123F1B">
        <w:rPr>
          <w:rFonts w:cs="Tahoma"/>
          <w:i/>
          <w:szCs w:val="22"/>
        </w:rPr>
        <w:t>” (Sic)</w:t>
      </w:r>
    </w:p>
    <w:p w14:paraId="311EFF85" w14:textId="77777777" w:rsidR="00C576E3" w:rsidRPr="00123F1B" w:rsidRDefault="00C576E3" w:rsidP="00395B38">
      <w:pPr>
        <w:tabs>
          <w:tab w:val="left" w:pos="4667"/>
        </w:tabs>
        <w:ind w:right="-28"/>
        <w:rPr>
          <w:rFonts w:cs="Tahoma"/>
          <w:szCs w:val="22"/>
        </w:rPr>
      </w:pPr>
    </w:p>
    <w:p w14:paraId="0BD6321D" w14:textId="1CAEDD6F" w:rsidR="00664420" w:rsidRPr="00123F1B" w:rsidRDefault="008B4773" w:rsidP="00395B38">
      <w:pPr>
        <w:tabs>
          <w:tab w:val="left" w:pos="4667"/>
        </w:tabs>
        <w:ind w:left="567" w:right="567"/>
        <w:rPr>
          <w:rFonts w:cs="Tahoma"/>
          <w:bCs/>
          <w:i/>
          <w:szCs w:val="22"/>
        </w:rPr>
      </w:pPr>
      <w:r w:rsidRPr="00123F1B">
        <w:rPr>
          <w:rFonts w:cs="Tahoma"/>
          <w:b/>
          <w:bCs/>
          <w:szCs w:val="22"/>
        </w:rPr>
        <w:lastRenderedPageBreak/>
        <w:t>M</w:t>
      </w:r>
      <w:r w:rsidR="009A2D78" w:rsidRPr="00123F1B">
        <w:rPr>
          <w:rFonts w:cs="Tahoma"/>
          <w:b/>
          <w:bCs/>
          <w:szCs w:val="22"/>
        </w:rPr>
        <w:t>odalidad de entrega</w:t>
      </w:r>
      <w:r w:rsidR="009A2D78" w:rsidRPr="00123F1B">
        <w:rPr>
          <w:rFonts w:cs="Tahoma"/>
          <w:bCs/>
          <w:szCs w:val="22"/>
        </w:rPr>
        <w:t>: a</w:t>
      </w:r>
      <w:r w:rsidR="00664420" w:rsidRPr="00123F1B">
        <w:rPr>
          <w:rFonts w:cs="Tahoma"/>
          <w:bCs/>
          <w:i/>
          <w:szCs w:val="22"/>
        </w:rPr>
        <w:t xml:space="preserve"> través del </w:t>
      </w:r>
      <w:r w:rsidR="00664420" w:rsidRPr="00123F1B">
        <w:rPr>
          <w:rFonts w:cs="Tahoma"/>
          <w:b/>
          <w:bCs/>
          <w:i/>
          <w:szCs w:val="22"/>
        </w:rPr>
        <w:t>SAIMEX</w:t>
      </w:r>
      <w:r w:rsidR="009A2D78" w:rsidRPr="00123F1B">
        <w:rPr>
          <w:rFonts w:cs="Tahoma"/>
          <w:bCs/>
          <w:i/>
          <w:szCs w:val="22"/>
        </w:rPr>
        <w:t>.</w:t>
      </w:r>
    </w:p>
    <w:p w14:paraId="146C8DA6" w14:textId="77777777" w:rsidR="00BC63D9" w:rsidRPr="00123F1B" w:rsidRDefault="00BC63D9" w:rsidP="00395B38">
      <w:pPr>
        <w:tabs>
          <w:tab w:val="left" w:pos="4667"/>
        </w:tabs>
        <w:ind w:left="567" w:right="567"/>
        <w:rPr>
          <w:rFonts w:cs="Tahoma"/>
          <w:bCs/>
          <w:i/>
          <w:szCs w:val="22"/>
        </w:rPr>
      </w:pPr>
    </w:p>
    <w:p w14:paraId="006F8147" w14:textId="77777777" w:rsidR="00BC63D9" w:rsidRPr="00123F1B" w:rsidRDefault="00BC63D9" w:rsidP="00395B38">
      <w:pPr>
        <w:pStyle w:val="Ttulo3"/>
      </w:pPr>
      <w:bookmarkStart w:id="5" w:name="_Toc165402858"/>
      <w:bookmarkStart w:id="6" w:name="_Toc210816963"/>
      <w:bookmarkStart w:id="7" w:name="_Toc211450092"/>
      <w:r w:rsidRPr="00123F1B">
        <w:t>b) Solicitud de aclaración</w:t>
      </w:r>
      <w:bookmarkEnd w:id="5"/>
      <w:bookmarkEnd w:id="6"/>
      <w:bookmarkEnd w:id="7"/>
      <w:r w:rsidRPr="00123F1B">
        <w:t xml:space="preserve"> </w:t>
      </w:r>
    </w:p>
    <w:p w14:paraId="50BF3BE9" w14:textId="0B582AAD" w:rsidR="00BC63D9" w:rsidRPr="00123F1B" w:rsidRDefault="00BC63D9" w:rsidP="00395B38">
      <w:r w:rsidRPr="00123F1B">
        <w:t xml:space="preserve">De las constancias que obran en el expediente electrónico, se advierte que </w:t>
      </w:r>
      <w:r w:rsidRPr="00123F1B">
        <w:rPr>
          <w:b/>
        </w:rPr>
        <w:t>el cuatro de agosto de dos mil veinticinco</w:t>
      </w:r>
      <w:r w:rsidRPr="00123F1B">
        <w:t xml:space="preserve">, </w:t>
      </w:r>
      <w:r w:rsidRPr="00123F1B">
        <w:rPr>
          <w:b/>
          <w:bCs/>
        </w:rPr>
        <w:t>EL SUJETO OBLIGADO</w:t>
      </w:r>
      <w:r w:rsidRPr="00123F1B">
        <w:t xml:space="preserve"> requirió a </w:t>
      </w:r>
      <w:r w:rsidRPr="00123F1B">
        <w:rPr>
          <w:b/>
          <w:bCs/>
        </w:rPr>
        <w:t>LA PARTE RECURRENTE</w:t>
      </w:r>
      <w:r w:rsidRPr="00123F1B">
        <w:t xml:space="preserve"> aclarar la solicitud de información pública planteada, en los siguientes términos:</w:t>
      </w:r>
    </w:p>
    <w:p w14:paraId="536A3F8C" w14:textId="77777777" w:rsidR="00BC63D9" w:rsidRPr="00123F1B" w:rsidRDefault="00BC63D9" w:rsidP="00395B38"/>
    <w:p w14:paraId="50460A6F" w14:textId="77777777" w:rsidR="00BC63D9" w:rsidRPr="00123F1B" w:rsidRDefault="00BC63D9" w:rsidP="00395B38">
      <w:pPr>
        <w:pStyle w:val="Puesto"/>
      </w:pPr>
      <w:r w:rsidRPr="00123F1B">
        <w:t>“Con fundamento en el articulo 159 de la Ley de Transparencia y Acceso a la Información Pública del Estado de México y Municipios, se le requiere para que dentro del plazo de diez días hábiles realice lo siguiente:</w:t>
      </w:r>
    </w:p>
    <w:p w14:paraId="569CA7A0" w14:textId="77777777" w:rsidR="00BC63D9" w:rsidRPr="00123F1B" w:rsidRDefault="00BC63D9" w:rsidP="00395B38"/>
    <w:p w14:paraId="2A0B1181" w14:textId="77777777" w:rsidR="00BC63D9" w:rsidRPr="00123F1B" w:rsidRDefault="00BC63D9" w:rsidP="00395B38">
      <w:pPr>
        <w:pStyle w:val="Puesto"/>
      </w:pPr>
      <w:r w:rsidRPr="00123F1B">
        <w:t xml:space="preserve">Se solicita </w:t>
      </w:r>
      <w:r w:rsidRPr="00123F1B">
        <w:rPr>
          <w:b/>
        </w:rPr>
        <w:t>especifique de qué mes y/o quincena requiere los recibos de nómina</w:t>
      </w:r>
      <w:r w:rsidRPr="00123F1B">
        <w:t xml:space="preserve"> para poder dar respuesta a su solicitud o guiarle para presentar su solicitud de forma correcta.</w:t>
      </w:r>
    </w:p>
    <w:p w14:paraId="52D78ED9" w14:textId="77777777" w:rsidR="00BC63D9" w:rsidRPr="00123F1B" w:rsidRDefault="00BC63D9" w:rsidP="00395B38"/>
    <w:p w14:paraId="05AB38CA" w14:textId="77777777" w:rsidR="00BC63D9" w:rsidRPr="00123F1B" w:rsidRDefault="00BC63D9" w:rsidP="00395B38">
      <w:pPr>
        <w:pStyle w:val="Puesto"/>
      </w:pPr>
      <w:r w:rsidRPr="00123F1B">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28FFFFD" w14:textId="77777777" w:rsidR="00BC63D9" w:rsidRPr="00123F1B" w:rsidRDefault="00BC63D9" w:rsidP="00395B38"/>
    <w:p w14:paraId="14AE5655" w14:textId="77777777" w:rsidR="00BC63D9" w:rsidRPr="00123F1B" w:rsidRDefault="00BC63D9" w:rsidP="00395B38">
      <w:pPr>
        <w:pStyle w:val="Puesto"/>
      </w:pPr>
      <w:r w:rsidRPr="00123F1B">
        <w:t>ATENTAMENTE</w:t>
      </w:r>
    </w:p>
    <w:p w14:paraId="595C48A0" w14:textId="77777777" w:rsidR="00BC63D9" w:rsidRPr="00123F1B" w:rsidRDefault="00BC63D9" w:rsidP="00395B38"/>
    <w:p w14:paraId="256E52D5" w14:textId="7F32B026" w:rsidR="00BC63D9" w:rsidRPr="00123F1B" w:rsidRDefault="00BC63D9" w:rsidP="00395B38">
      <w:pPr>
        <w:pStyle w:val="Puesto"/>
      </w:pPr>
      <w:r w:rsidRPr="00123F1B">
        <w:t xml:space="preserve">Karina Ivonne Cortés Rojas” (sic) </w:t>
      </w:r>
    </w:p>
    <w:p w14:paraId="4151DAEE" w14:textId="77777777" w:rsidR="008B17C3" w:rsidRPr="00123F1B" w:rsidRDefault="008B17C3" w:rsidP="00395B38">
      <w:pPr>
        <w:tabs>
          <w:tab w:val="left" w:pos="4667"/>
        </w:tabs>
        <w:ind w:right="567"/>
        <w:rPr>
          <w:rFonts w:cs="Tahoma"/>
          <w:bCs/>
          <w:szCs w:val="22"/>
        </w:rPr>
      </w:pPr>
    </w:p>
    <w:p w14:paraId="3212BA4D" w14:textId="553D8C22" w:rsidR="00664420" w:rsidRPr="00123F1B" w:rsidRDefault="003C0441" w:rsidP="00395B38">
      <w:pPr>
        <w:pStyle w:val="Ttulo3"/>
        <w:rPr>
          <w:rFonts w:eastAsia="Calibri"/>
          <w:lang w:eastAsia="en-US"/>
        </w:rPr>
      </w:pPr>
      <w:bookmarkStart w:id="8" w:name="_Toc165402841"/>
      <w:bookmarkStart w:id="9" w:name="_Toc192768954"/>
      <w:bookmarkStart w:id="10" w:name="_Toc211450093"/>
      <w:r w:rsidRPr="00123F1B">
        <w:t>c</w:t>
      </w:r>
      <w:bookmarkEnd w:id="8"/>
      <w:bookmarkEnd w:id="9"/>
      <w:r w:rsidR="00E37A3F" w:rsidRPr="00123F1B">
        <w:t xml:space="preserve">) </w:t>
      </w:r>
      <w:r w:rsidR="00664420" w:rsidRPr="00123F1B">
        <w:t xml:space="preserve">Respuesta </w:t>
      </w:r>
      <w:r w:rsidR="00664420" w:rsidRPr="00123F1B">
        <w:rPr>
          <w:rFonts w:eastAsia="Calibri"/>
          <w:lang w:eastAsia="en-US"/>
        </w:rPr>
        <w:t>del Sujeto Obligado</w:t>
      </w:r>
      <w:bookmarkEnd w:id="10"/>
    </w:p>
    <w:p w14:paraId="63B5BEA9" w14:textId="0A4F7B0B" w:rsidR="00AC2B99" w:rsidRPr="00123F1B" w:rsidRDefault="00AC2B99" w:rsidP="00395B38">
      <w:pPr>
        <w:rPr>
          <w:rFonts w:cs="Arial"/>
        </w:rPr>
      </w:pPr>
      <w:r w:rsidRPr="00123F1B">
        <w:t xml:space="preserve">De las constancias que obran en el </w:t>
      </w:r>
      <w:r w:rsidRPr="00123F1B">
        <w:rPr>
          <w:b/>
        </w:rPr>
        <w:t>SAIMEX,</w:t>
      </w:r>
      <w:r w:rsidRPr="00123F1B">
        <w:t xml:space="preserve"> se advierte que </w:t>
      </w:r>
      <w:r w:rsidRPr="00123F1B">
        <w:rPr>
          <w:rFonts w:cs="Arial"/>
          <w:b/>
        </w:rPr>
        <w:t>EL SUJETO OBLIGADO</w:t>
      </w:r>
      <w:r w:rsidRPr="00123F1B">
        <w:rPr>
          <w:rFonts w:cs="Arial"/>
        </w:rPr>
        <w:t xml:space="preserve"> no entregó la respuesta a la solicitud de Información Pública realizada por </w:t>
      </w:r>
      <w:r w:rsidRPr="00123F1B">
        <w:rPr>
          <w:b/>
          <w:bCs/>
        </w:rPr>
        <w:t>LA PARTE RECURRENTE</w:t>
      </w:r>
      <w:r w:rsidRPr="00123F1B">
        <w:rPr>
          <w:rFonts w:cs="Arial"/>
        </w:rPr>
        <w:t>.</w:t>
      </w:r>
    </w:p>
    <w:p w14:paraId="0AA59D09" w14:textId="77777777" w:rsidR="00A34B2E" w:rsidRPr="00123F1B" w:rsidRDefault="00A34B2E" w:rsidP="00395B38"/>
    <w:p w14:paraId="5A5DAB9E" w14:textId="414DA7C8" w:rsidR="00E37A3F" w:rsidRPr="00123F1B" w:rsidRDefault="00E37A3F" w:rsidP="00395B38">
      <w:pPr>
        <w:pStyle w:val="Ttulo2"/>
        <w:jc w:val="left"/>
      </w:pPr>
      <w:bookmarkStart w:id="11" w:name="_Toc211450094"/>
      <w:r w:rsidRPr="00123F1B">
        <w:lastRenderedPageBreak/>
        <w:t>DEL</w:t>
      </w:r>
      <w:r w:rsidR="00A8583B" w:rsidRPr="00123F1B">
        <w:t xml:space="preserve"> </w:t>
      </w:r>
      <w:r w:rsidRPr="00123F1B">
        <w:t>RECURSO DE REVISIÓN</w:t>
      </w:r>
      <w:bookmarkEnd w:id="11"/>
    </w:p>
    <w:p w14:paraId="2B216813" w14:textId="0989B653" w:rsidR="00664420" w:rsidRPr="00123F1B" w:rsidRDefault="006E25BC" w:rsidP="00395B38">
      <w:pPr>
        <w:pStyle w:val="Ttulo3"/>
      </w:pPr>
      <w:bookmarkStart w:id="12" w:name="_Toc211450095"/>
      <w:r w:rsidRPr="00123F1B">
        <w:rPr>
          <w:szCs w:val="32"/>
        </w:rPr>
        <w:t>a)</w:t>
      </w:r>
      <w:r w:rsidRPr="00123F1B">
        <w:t xml:space="preserve"> </w:t>
      </w:r>
      <w:r w:rsidR="00664420" w:rsidRPr="00123F1B">
        <w:t>Interposición de</w:t>
      </w:r>
      <w:r w:rsidR="00C576E3" w:rsidRPr="00123F1B">
        <w:t>l</w:t>
      </w:r>
      <w:r w:rsidR="00E30308" w:rsidRPr="00123F1B">
        <w:t xml:space="preserve"> </w:t>
      </w:r>
      <w:r w:rsidR="00664420" w:rsidRPr="00123F1B">
        <w:t>Recurso de Revisión</w:t>
      </w:r>
      <w:bookmarkEnd w:id="12"/>
    </w:p>
    <w:p w14:paraId="2967CE37" w14:textId="1948290D" w:rsidR="00CA6E9E" w:rsidRPr="00123F1B" w:rsidRDefault="00664420" w:rsidP="00395B38">
      <w:pPr>
        <w:ind w:right="-28"/>
        <w:rPr>
          <w:rFonts w:cs="Tahoma"/>
          <w:szCs w:val="22"/>
        </w:rPr>
      </w:pPr>
      <w:r w:rsidRPr="00123F1B">
        <w:rPr>
          <w:rFonts w:cs="Tahoma"/>
          <w:szCs w:val="22"/>
        </w:rPr>
        <w:t>E</w:t>
      </w:r>
      <w:r w:rsidR="00C576E3" w:rsidRPr="00123F1B">
        <w:rPr>
          <w:rFonts w:cs="Tahoma"/>
          <w:szCs w:val="22"/>
        </w:rPr>
        <w:t>l</w:t>
      </w:r>
      <w:r w:rsidR="00F9684F" w:rsidRPr="00123F1B">
        <w:rPr>
          <w:rFonts w:cs="Tahoma"/>
          <w:szCs w:val="22"/>
        </w:rPr>
        <w:t xml:space="preserve"> </w:t>
      </w:r>
      <w:r w:rsidR="00BC63D9" w:rsidRPr="00123F1B">
        <w:rPr>
          <w:rFonts w:cs="Tahoma"/>
          <w:b/>
          <w:bCs/>
          <w:szCs w:val="22"/>
        </w:rPr>
        <w:t>dos de septiembre d</w:t>
      </w:r>
      <w:r w:rsidR="00F9684F" w:rsidRPr="00123F1B">
        <w:rPr>
          <w:rFonts w:cs="Tahoma"/>
          <w:b/>
          <w:bCs/>
          <w:szCs w:val="22"/>
        </w:rPr>
        <w:t>e dos mil veinticinco</w:t>
      </w:r>
      <w:r w:rsidR="00AC2B99" w:rsidRPr="00123F1B">
        <w:rPr>
          <w:rFonts w:cs="Tahoma"/>
          <w:b/>
          <w:bCs/>
          <w:szCs w:val="22"/>
        </w:rPr>
        <w:t>,</w:t>
      </w:r>
      <w:r w:rsidRPr="00123F1B">
        <w:rPr>
          <w:rFonts w:cs="Tahoma"/>
          <w:szCs w:val="22"/>
        </w:rPr>
        <w:t xml:space="preserve"> </w:t>
      </w:r>
      <w:r w:rsidR="00F75D23" w:rsidRPr="00123F1B">
        <w:rPr>
          <w:rFonts w:cs="Tahoma"/>
          <w:b/>
          <w:bCs/>
          <w:szCs w:val="22"/>
        </w:rPr>
        <w:t>LA PARTE RECURRENTE</w:t>
      </w:r>
      <w:r w:rsidR="00F75D23" w:rsidRPr="00123F1B">
        <w:rPr>
          <w:rFonts w:cs="Tahoma"/>
          <w:szCs w:val="22"/>
        </w:rPr>
        <w:t xml:space="preserve"> </w:t>
      </w:r>
      <w:r w:rsidR="00AC2B99" w:rsidRPr="00123F1B">
        <w:rPr>
          <w:rFonts w:cs="Tahoma"/>
          <w:szCs w:val="22"/>
        </w:rPr>
        <w:t>inconforme por la falta de respuesta</w:t>
      </w:r>
      <w:r w:rsidR="00C576E3" w:rsidRPr="00123F1B">
        <w:rPr>
          <w:rFonts w:cs="Tahoma"/>
          <w:szCs w:val="22"/>
        </w:rPr>
        <w:t xml:space="preserve"> </w:t>
      </w:r>
      <w:r w:rsidR="00AC2B99" w:rsidRPr="00123F1B">
        <w:rPr>
          <w:rFonts w:cs="Tahoma"/>
          <w:szCs w:val="22"/>
        </w:rPr>
        <w:t>d</w:t>
      </w:r>
      <w:r w:rsidR="00F75D23" w:rsidRPr="00123F1B">
        <w:rPr>
          <w:rFonts w:cs="Tahoma"/>
          <w:szCs w:val="22"/>
        </w:rPr>
        <w:t xml:space="preserve">el </w:t>
      </w:r>
      <w:r w:rsidR="00F75D23" w:rsidRPr="00123F1B">
        <w:rPr>
          <w:rFonts w:cs="Tahoma"/>
          <w:b/>
          <w:bCs/>
          <w:szCs w:val="22"/>
        </w:rPr>
        <w:t>SUJETO OBLIGADO</w:t>
      </w:r>
      <w:r w:rsidR="00953430" w:rsidRPr="00123F1B">
        <w:rPr>
          <w:rFonts w:cs="Tahoma"/>
          <w:szCs w:val="22"/>
        </w:rPr>
        <w:t>,</w:t>
      </w:r>
      <w:r w:rsidR="00CA6E9E" w:rsidRPr="00123F1B">
        <w:rPr>
          <w:rFonts w:cs="Tahoma"/>
          <w:szCs w:val="22"/>
        </w:rPr>
        <w:t xml:space="preserve"> </w:t>
      </w:r>
      <w:r w:rsidR="008B17C3" w:rsidRPr="00123F1B">
        <w:rPr>
          <w:rFonts w:cs="Tahoma"/>
          <w:szCs w:val="22"/>
        </w:rPr>
        <w:t>presentó</w:t>
      </w:r>
      <w:r w:rsidR="00CA6E9E" w:rsidRPr="00123F1B">
        <w:rPr>
          <w:rFonts w:cs="Tahoma"/>
          <w:szCs w:val="22"/>
        </w:rPr>
        <w:t xml:space="preserve"> el recurso de revisión el cual fue registrado en el </w:t>
      </w:r>
      <w:r w:rsidR="00CA6E9E" w:rsidRPr="00123F1B">
        <w:rPr>
          <w:rFonts w:cs="Tahoma"/>
          <w:b/>
          <w:bCs/>
          <w:szCs w:val="22"/>
        </w:rPr>
        <w:t>SAIMEX</w:t>
      </w:r>
      <w:r w:rsidR="00CA6E9E" w:rsidRPr="00123F1B">
        <w:rPr>
          <w:rFonts w:cs="Tahoma"/>
          <w:szCs w:val="22"/>
        </w:rPr>
        <w:t xml:space="preserve"> con el número de expediente </w:t>
      </w:r>
      <w:r w:rsidR="00BC63D9" w:rsidRPr="00123F1B">
        <w:rPr>
          <w:rFonts w:cs="Tahoma"/>
          <w:b/>
          <w:szCs w:val="22"/>
        </w:rPr>
        <w:t>10332</w:t>
      </w:r>
      <w:r w:rsidR="00A017F4" w:rsidRPr="00123F1B">
        <w:rPr>
          <w:rFonts w:cs="Tahoma"/>
          <w:b/>
          <w:szCs w:val="22"/>
        </w:rPr>
        <w:t>/INFOEM/IP/RR/2025,</w:t>
      </w:r>
      <w:r w:rsidR="00CA6E9E" w:rsidRPr="00123F1B">
        <w:rPr>
          <w:rFonts w:cs="Tahoma"/>
          <w:szCs w:val="22"/>
        </w:rPr>
        <w:t xml:space="preserve"> en el que manifiesta lo siguiente como</w:t>
      </w:r>
      <w:r w:rsidR="00AA7147" w:rsidRPr="00123F1B">
        <w:rPr>
          <w:rFonts w:cs="Tahoma"/>
          <w:szCs w:val="22"/>
        </w:rPr>
        <w:t>:</w:t>
      </w:r>
    </w:p>
    <w:p w14:paraId="213689C5" w14:textId="77777777" w:rsidR="00BF2A3F" w:rsidRPr="00123F1B" w:rsidRDefault="00BF2A3F" w:rsidP="00395B38">
      <w:pPr>
        <w:ind w:right="-28"/>
        <w:rPr>
          <w:rFonts w:cs="Tahoma"/>
          <w:szCs w:val="22"/>
        </w:rPr>
      </w:pPr>
    </w:p>
    <w:p w14:paraId="0C970971" w14:textId="77777777" w:rsidR="008752E8" w:rsidRPr="00123F1B" w:rsidRDefault="008752E8" w:rsidP="00395B38">
      <w:pPr>
        <w:tabs>
          <w:tab w:val="left" w:pos="4667"/>
        </w:tabs>
        <w:ind w:left="567" w:right="539"/>
        <w:rPr>
          <w:rFonts w:cs="Tahoma"/>
          <w:b/>
          <w:iCs/>
        </w:rPr>
      </w:pPr>
      <w:r w:rsidRPr="00123F1B">
        <w:rPr>
          <w:rFonts w:cs="Tahoma"/>
          <w:b/>
          <w:iCs/>
        </w:rPr>
        <w:t>ACTO IMPUGNADO</w:t>
      </w:r>
    </w:p>
    <w:p w14:paraId="445021B5" w14:textId="77777777" w:rsidR="00BF2A3F" w:rsidRPr="00123F1B" w:rsidRDefault="00BF2A3F" w:rsidP="00395B38">
      <w:pPr>
        <w:tabs>
          <w:tab w:val="left" w:pos="4667"/>
        </w:tabs>
        <w:spacing w:line="240" w:lineRule="auto"/>
        <w:ind w:left="851" w:right="822"/>
        <w:rPr>
          <w:rFonts w:cs="Tahoma"/>
          <w:bCs/>
          <w:i/>
        </w:rPr>
      </w:pPr>
    </w:p>
    <w:p w14:paraId="1951E0A3" w14:textId="18C8D3EA" w:rsidR="008752E8" w:rsidRPr="00123F1B" w:rsidRDefault="0060582B" w:rsidP="00395B38">
      <w:pPr>
        <w:tabs>
          <w:tab w:val="left" w:pos="4667"/>
        </w:tabs>
        <w:spacing w:line="240" w:lineRule="auto"/>
        <w:ind w:left="851" w:right="822"/>
        <w:rPr>
          <w:rFonts w:cs="Tahoma"/>
          <w:bCs/>
          <w:i/>
        </w:rPr>
      </w:pPr>
      <w:r w:rsidRPr="00123F1B">
        <w:rPr>
          <w:rFonts w:cs="Tahoma"/>
          <w:bCs/>
          <w:i/>
        </w:rPr>
        <w:t>“</w:t>
      </w:r>
      <w:r w:rsidR="00BC63D9" w:rsidRPr="00123F1B">
        <w:rPr>
          <w:rFonts w:cs="Tahoma"/>
          <w:bCs/>
          <w:i/>
        </w:rPr>
        <w:t>NO ENTREGA INFORMASION</w:t>
      </w:r>
      <w:r w:rsidR="008752E8" w:rsidRPr="00123F1B">
        <w:rPr>
          <w:rFonts w:cs="Tahoma"/>
          <w:bCs/>
          <w:i/>
        </w:rPr>
        <w:t>” (Sic)</w:t>
      </w:r>
    </w:p>
    <w:p w14:paraId="04C4D701" w14:textId="77777777" w:rsidR="00A34B2E" w:rsidRPr="00123F1B" w:rsidRDefault="00A34B2E" w:rsidP="00395B38">
      <w:pPr>
        <w:tabs>
          <w:tab w:val="left" w:pos="4667"/>
        </w:tabs>
        <w:spacing w:line="240" w:lineRule="auto"/>
        <w:ind w:left="851" w:right="822"/>
        <w:rPr>
          <w:rFonts w:cs="Tahoma"/>
          <w:bCs/>
          <w:i/>
        </w:rPr>
      </w:pPr>
    </w:p>
    <w:p w14:paraId="6E7CF2ED" w14:textId="77777777" w:rsidR="008752E8" w:rsidRPr="00123F1B" w:rsidRDefault="008752E8" w:rsidP="00395B38">
      <w:pPr>
        <w:tabs>
          <w:tab w:val="left" w:pos="4667"/>
        </w:tabs>
        <w:ind w:left="567" w:right="539"/>
        <w:rPr>
          <w:rFonts w:cs="Tahoma"/>
          <w:b/>
          <w:iCs/>
        </w:rPr>
      </w:pPr>
      <w:r w:rsidRPr="00123F1B">
        <w:rPr>
          <w:rFonts w:cs="Tahoma"/>
          <w:b/>
          <w:iCs/>
        </w:rPr>
        <w:t>RAZONES O MOTIVOS DE LA INCONFORMIDAD</w:t>
      </w:r>
    </w:p>
    <w:p w14:paraId="512A001C" w14:textId="77777777" w:rsidR="00BF2A3F" w:rsidRPr="00123F1B" w:rsidRDefault="00BF2A3F" w:rsidP="00395B38">
      <w:pPr>
        <w:tabs>
          <w:tab w:val="left" w:pos="4667"/>
        </w:tabs>
        <w:spacing w:line="240" w:lineRule="auto"/>
        <w:ind w:left="851" w:right="822"/>
        <w:rPr>
          <w:rFonts w:cs="Tahoma"/>
          <w:b/>
          <w:iCs/>
        </w:rPr>
      </w:pPr>
    </w:p>
    <w:p w14:paraId="4A8066A8" w14:textId="4E65AA48" w:rsidR="008752E8" w:rsidRPr="00123F1B" w:rsidRDefault="008752E8" w:rsidP="00395B38">
      <w:pPr>
        <w:tabs>
          <w:tab w:val="left" w:pos="4667"/>
        </w:tabs>
        <w:spacing w:line="240" w:lineRule="auto"/>
        <w:ind w:left="851" w:right="822"/>
        <w:rPr>
          <w:rFonts w:cs="Tahoma"/>
          <w:bCs/>
          <w:i/>
        </w:rPr>
      </w:pPr>
      <w:r w:rsidRPr="00123F1B">
        <w:rPr>
          <w:rFonts w:cs="Tahoma"/>
          <w:bCs/>
          <w:i/>
        </w:rPr>
        <w:t>“</w:t>
      </w:r>
      <w:r w:rsidR="00BC63D9" w:rsidRPr="00123F1B">
        <w:rPr>
          <w:rFonts w:cs="Tahoma"/>
          <w:bCs/>
          <w:i/>
        </w:rPr>
        <w:t>NIEGA LA INFORMASION</w:t>
      </w:r>
      <w:r w:rsidRPr="00123F1B">
        <w:rPr>
          <w:rFonts w:cs="Tahoma"/>
          <w:bCs/>
          <w:i/>
        </w:rPr>
        <w:t>” (Sic)</w:t>
      </w:r>
    </w:p>
    <w:p w14:paraId="5D7FCB8F" w14:textId="77777777" w:rsidR="00A017F4" w:rsidRPr="00123F1B" w:rsidRDefault="00A017F4" w:rsidP="00395B38">
      <w:pPr>
        <w:tabs>
          <w:tab w:val="left" w:pos="4667"/>
        </w:tabs>
        <w:spacing w:line="240" w:lineRule="auto"/>
        <w:ind w:left="851" w:right="822"/>
        <w:rPr>
          <w:rFonts w:cs="Tahoma"/>
          <w:bCs/>
          <w:i/>
        </w:rPr>
      </w:pPr>
    </w:p>
    <w:p w14:paraId="6804DEF1" w14:textId="18007698" w:rsidR="00664420" w:rsidRPr="00123F1B" w:rsidRDefault="006E25BC" w:rsidP="00395B38">
      <w:pPr>
        <w:pStyle w:val="Ttulo3"/>
      </w:pPr>
      <w:bookmarkStart w:id="13" w:name="_Toc211450096"/>
      <w:r w:rsidRPr="00123F1B">
        <w:t>b</w:t>
      </w:r>
      <w:r w:rsidR="00664420" w:rsidRPr="00123F1B">
        <w:t>) Turno de</w:t>
      </w:r>
      <w:r w:rsidR="00C576E3" w:rsidRPr="00123F1B">
        <w:t>l</w:t>
      </w:r>
      <w:r w:rsidR="00664420" w:rsidRPr="00123F1B">
        <w:t xml:space="preserve"> Recurso de Revisión</w:t>
      </w:r>
      <w:bookmarkEnd w:id="13"/>
    </w:p>
    <w:p w14:paraId="64CA815B" w14:textId="6BA2222C" w:rsidR="00892DA4" w:rsidRPr="00123F1B" w:rsidRDefault="00C72DAA" w:rsidP="00395B38">
      <w:pPr>
        <w:rPr>
          <w:rFonts w:cs="Arial"/>
        </w:rPr>
      </w:pPr>
      <w:r w:rsidRPr="00123F1B">
        <w:t>Con fundamento en el artículo 185, fracción I de la Ley de Transparencia y Acceso a la Información Pública del Estado de México y Municipios, el</w:t>
      </w:r>
      <w:r w:rsidRPr="00123F1B">
        <w:rPr>
          <w:b/>
          <w:bCs/>
        </w:rPr>
        <w:t xml:space="preserve"> </w:t>
      </w:r>
      <w:r w:rsidR="00BC63D9" w:rsidRPr="00123F1B">
        <w:rPr>
          <w:rFonts w:cs="Tahoma"/>
          <w:b/>
          <w:bCs/>
          <w:szCs w:val="22"/>
        </w:rPr>
        <w:t xml:space="preserve">dos de septiembre </w:t>
      </w:r>
      <w:r w:rsidR="00AA7147" w:rsidRPr="00123F1B">
        <w:rPr>
          <w:rFonts w:cs="Tahoma"/>
          <w:b/>
          <w:bCs/>
          <w:szCs w:val="22"/>
        </w:rPr>
        <w:t>de dos mil veinticinco</w:t>
      </w:r>
      <w:r w:rsidR="00C175A7" w:rsidRPr="00123F1B">
        <w:rPr>
          <w:rFonts w:eastAsia="Palatino Linotype" w:cs="Palatino Linotype"/>
          <w:b/>
        </w:rPr>
        <w:t>,</w:t>
      </w:r>
      <w:r w:rsidRPr="00123F1B">
        <w:t xml:space="preserve"> se </w:t>
      </w:r>
      <w:r w:rsidR="00C576E3" w:rsidRPr="00123F1B">
        <w:t>turnó el</w:t>
      </w:r>
      <w:r w:rsidRPr="00123F1B">
        <w:t xml:space="preserve"> recurso de revisión a través del</w:t>
      </w:r>
      <w:r w:rsidRPr="00123F1B">
        <w:rPr>
          <w:rFonts w:eastAsia="Arial Unicode MS"/>
        </w:rPr>
        <w:t xml:space="preserve"> </w:t>
      </w:r>
      <w:r w:rsidRPr="00123F1B">
        <w:rPr>
          <w:rFonts w:eastAsia="Arial Unicode MS"/>
          <w:b/>
          <w:bCs/>
        </w:rPr>
        <w:t>SAIMEX</w:t>
      </w:r>
      <w:r w:rsidRPr="00123F1B">
        <w:t xml:space="preserve"> </w:t>
      </w:r>
      <w:r w:rsidR="00892DA4" w:rsidRPr="00123F1B">
        <w:t xml:space="preserve">a la </w:t>
      </w:r>
      <w:r w:rsidR="00892DA4" w:rsidRPr="00123F1B">
        <w:rPr>
          <w:b/>
        </w:rPr>
        <w:t>Comisionada Sharon Cristina Morales Martínez</w:t>
      </w:r>
      <w:r w:rsidR="00F9684F" w:rsidRPr="00123F1B">
        <w:rPr>
          <w:b/>
        </w:rPr>
        <w:t>,</w:t>
      </w:r>
      <w:r w:rsidR="00892DA4" w:rsidRPr="00123F1B">
        <w:t xml:space="preserve"> a </w:t>
      </w:r>
      <w:r w:rsidR="00892DA4" w:rsidRPr="00123F1B">
        <w:rPr>
          <w:rFonts w:cs="Arial"/>
        </w:rPr>
        <w:t>efecto de que decretara su admisión o desechamiento.</w:t>
      </w:r>
    </w:p>
    <w:p w14:paraId="386D72B2" w14:textId="77777777" w:rsidR="00A34B2E" w:rsidRPr="00123F1B" w:rsidRDefault="00A34B2E" w:rsidP="00395B38">
      <w:pPr>
        <w:rPr>
          <w:rFonts w:cs="Arial"/>
        </w:rPr>
      </w:pPr>
    </w:p>
    <w:p w14:paraId="3E31EC2D" w14:textId="07E8DD06" w:rsidR="00664420" w:rsidRPr="00123F1B" w:rsidRDefault="006E25BC" w:rsidP="00395B38">
      <w:pPr>
        <w:pStyle w:val="Ttulo3"/>
      </w:pPr>
      <w:bookmarkStart w:id="14" w:name="_Toc211450097"/>
      <w:r w:rsidRPr="00123F1B">
        <w:t>c</w:t>
      </w:r>
      <w:r w:rsidR="00664420" w:rsidRPr="00123F1B">
        <w:t>) Admisión de</w:t>
      </w:r>
      <w:r w:rsidR="00C576E3" w:rsidRPr="00123F1B">
        <w:t>l</w:t>
      </w:r>
      <w:r w:rsidR="00664420" w:rsidRPr="00123F1B">
        <w:t xml:space="preserve"> Recurso de Revisión</w:t>
      </w:r>
      <w:bookmarkEnd w:id="14"/>
    </w:p>
    <w:p w14:paraId="240447D5" w14:textId="1BB94F7E" w:rsidR="000E09C4" w:rsidRPr="00123F1B" w:rsidRDefault="00487CA9" w:rsidP="00395B38">
      <w:pPr>
        <w:rPr>
          <w:rFonts w:cs="Arial"/>
        </w:rPr>
      </w:pPr>
      <w:r w:rsidRPr="00123F1B">
        <w:rPr>
          <w:rFonts w:cs="Arial"/>
        </w:rPr>
        <w:t>E</w:t>
      </w:r>
      <w:r w:rsidR="00C576E3" w:rsidRPr="00123F1B">
        <w:rPr>
          <w:rFonts w:cs="Arial"/>
        </w:rPr>
        <w:t>l</w:t>
      </w:r>
      <w:r w:rsidR="00055FB6" w:rsidRPr="00123F1B">
        <w:rPr>
          <w:rFonts w:cs="Arial"/>
        </w:rPr>
        <w:t xml:space="preserve"> </w:t>
      </w:r>
      <w:r w:rsidR="00BC63D9" w:rsidRPr="00123F1B">
        <w:rPr>
          <w:rFonts w:eastAsia="Palatino Linotype" w:cs="Palatino Linotype"/>
          <w:b/>
        </w:rPr>
        <w:t xml:space="preserve">tres de septiembre </w:t>
      </w:r>
      <w:r w:rsidR="001402A1" w:rsidRPr="00123F1B">
        <w:rPr>
          <w:rFonts w:eastAsia="Palatino Linotype" w:cs="Palatino Linotype"/>
          <w:b/>
        </w:rPr>
        <w:t>de dos mil veinticinco</w:t>
      </w:r>
      <w:r w:rsidR="00F65DE0" w:rsidRPr="00123F1B">
        <w:rPr>
          <w:rFonts w:eastAsia="Palatino Linotype" w:cs="Palatino Linotype"/>
          <w:b/>
        </w:rPr>
        <w:t>,</w:t>
      </w:r>
      <w:r w:rsidR="000E09C4" w:rsidRPr="00123F1B">
        <w:rPr>
          <w:rFonts w:cs="Arial"/>
        </w:rPr>
        <w:t xml:space="preserve"> se acordó la admisión a trámite de</w:t>
      </w:r>
      <w:r w:rsidR="00C576E3" w:rsidRPr="00123F1B">
        <w:rPr>
          <w:rFonts w:cs="Arial"/>
        </w:rPr>
        <w:t>l</w:t>
      </w:r>
      <w:r w:rsidR="000E09C4" w:rsidRPr="00123F1B">
        <w:rPr>
          <w:rFonts w:cs="Arial"/>
        </w:rPr>
        <w:t xml:space="preserve"> Recurso de Revisión y se integró el expediente respectivo, mismo que se puso a disposición de las partes para que, en un plazo de siete días hábiles, manifestaran lo que a su derecho conviniera, </w:t>
      </w:r>
      <w:r w:rsidR="000E09C4" w:rsidRPr="00123F1B">
        <w:rPr>
          <w:rFonts w:cs="Arial"/>
        </w:rPr>
        <w:lastRenderedPageBreak/>
        <w:t>conforme a lo dispuesto por el artículo 185</w:t>
      </w:r>
      <w:r w:rsidR="00865CF4" w:rsidRPr="00123F1B">
        <w:rPr>
          <w:rFonts w:cs="Arial"/>
        </w:rPr>
        <w:t>, fracción II</w:t>
      </w:r>
      <w:r w:rsidR="000E09C4" w:rsidRPr="00123F1B">
        <w:rPr>
          <w:rFonts w:cs="Arial"/>
        </w:rPr>
        <w:t xml:space="preserve"> de la Ley de Transparencia y Acceso a la Información Pública del Estado de México y Municipios.</w:t>
      </w:r>
    </w:p>
    <w:p w14:paraId="7718154D" w14:textId="77777777" w:rsidR="00A34B2E" w:rsidRPr="00123F1B" w:rsidRDefault="00A34B2E" w:rsidP="00395B38">
      <w:pPr>
        <w:rPr>
          <w:rFonts w:cs="Arial"/>
        </w:rPr>
      </w:pPr>
    </w:p>
    <w:p w14:paraId="3B820F58" w14:textId="71F02B3C" w:rsidR="00865CF4" w:rsidRPr="00123F1B" w:rsidRDefault="00C576E3" w:rsidP="00395B38">
      <w:pPr>
        <w:pStyle w:val="Ttulo3"/>
      </w:pPr>
      <w:bookmarkStart w:id="15" w:name="_Toc211450098"/>
      <w:r w:rsidRPr="00123F1B">
        <w:t>d</w:t>
      </w:r>
      <w:r w:rsidR="00664420" w:rsidRPr="00123F1B">
        <w:t xml:space="preserve">) </w:t>
      </w:r>
      <w:r w:rsidR="00865CF4" w:rsidRPr="00123F1B">
        <w:t>Informe Justificado del Sujeto Obligado</w:t>
      </w:r>
      <w:bookmarkEnd w:id="15"/>
    </w:p>
    <w:p w14:paraId="326568C2" w14:textId="7972C42D" w:rsidR="00A34B2E" w:rsidRPr="00123F1B" w:rsidRDefault="00A34B2E" w:rsidP="00395B38">
      <w:pPr>
        <w:rPr>
          <w:rFonts w:cs="Tahoma"/>
          <w:bCs/>
          <w:szCs w:val="24"/>
        </w:rPr>
      </w:pPr>
      <w:r w:rsidRPr="00123F1B">
        <w:rPr>
          <w:rFonts w:cs="Tahoma"/>
          <w:bCs/>
          <w:szCs w:val="24"/>
        </w:rPr>
        <w:t xml:space="preserve">El </w:t>
      </w:r>
      <w:r w:rsidR="00BC63D9" w:rsidRPr="00123F1B">
        <w:rPr>
          <w:rFonts w:cs="Tahoma"/>
          <w:b/>
          <w:szCs w:val="24"/>
        </w:rPr>
        <w:t>once de septiembre de d</w:t>
      </w:r>
      <w:r w:rsidRPr="00123F1B">
        <w:rPr>
          <w:rFonts w:cs="Tahoma"/>
          <w:b/>
          <w:szCs w:val="24"/>
        </w:rPr>
        <w:t>os mil veinticinco EL SUJETO OBLIGADO</w:t>
      </w:r>
      <w:r w:rsidRPr="00123F1B">
        <w:rPr>
          <w:rFonts w:cs="Tahoma"/>
          <w:bCs/>
          <w:szCs w:val="24"/>
        </w:rPr>
        <w:t xml:space="preserve"> rindió su informe justificado a través del </w:t>
      </w:r>
      <w:r w:rsidRPr="00123F1B">
        <w:rPr>
          <w:rFonts w:cs="Tahoma"/>
          <w:b/>
          <w:bCs/>
          <w:szCs w:val="24"/>
        </w:rPr>
        <w:t>SAIMEX</w:t>
      </w:r>
      <w:r w:rsidRPr="00123F1B">
        <w:rPr>
          <w:rFonts w:cs="Tahoma"/>
          <w:bCs/>
          <w:szCs w:val="24"/>
        </w:rPr>
        <w:t xml:space="preserve">, adjuntando para ello los archivos electrónicos que a continuación se describen: </w:t>
      </w:r>
    </w:p>
    <w:p w14:paraId="7770AE51" w14:textId="77777777" w:rsidR="00A34B2E" w:rsidRPr="00123F1B" w:rsidRDefault="00A34B2E" w:rsidP="00395B38">
      <w:pPr>
        <w:rPr>
          <w:rFonts w:cs="Tahoma"/>
          <w:bCs/>
          <w:szCs w:val="24"/>
        </w:rPr>
      </w:pPr>
    </w:p>
    <w:p w14:paraId="376E3F22" w14:textId="0E8871C2" w:rsidR="00DC32A1" w:rsidRPr="00123F1B" w:rsidRDefault="00DC32A1" w:rsidP="00395B38">
      <w:pPr>
        <w:pStyle w:val="Prrafodelista"/>
        <w:numPr>
          <w:ilvl w:val="0"/>
          <w:numId w:val="18"/>
        </w:numPr>
        <w:rPr>
          <w:rFonts w:eastAsiaTheme="majorEastAsia"/>
          <w:b/>
          <w:bCs/>
          <w:i/>
        </w:rPr>
      </w:pPr>
      <w:r w:rsidRPr="00123F1B">
        <w:rPr>
          <w:rFonts w:eastAsiaTheme="majorEastAsia"/>
          <w:b/>
          <w:bCs/>
          <w:i/>
        </w:rPr>
        <w:t xml:space="preserve">RESP-OPD-00247.pdf, </w:t>
      </w:r>
      <w:r w:rsidRPr="00123F1B">
        <w:rPr>
          <w:rFonts w:eastAsiaTheme="majorEastAsia"/>
          <w:bCs/>
        </w:rPr>
        <w:t xml:space="preserve">el cual contiene el oficio ADMONFNZAS/OPD/AVC/165/2025 del nueve de septiembre de dos mil veinticinco, por medio del cual el Subdirector de Administración y Finanzas refiere anexar la información solicitada. </w:t>
      </w:r>
    </w:p>
    <w:p w14:paraId="314D9474" w14:textId="3A80141E" w:rsidR="005F0A97" w:rsidRPr="00123F1B" w:rsidRDefault="005F0A97" w:rsidP="00395B38">
      <w:pPr>
        <w:pStyle w:val="Prrafodelista"/>
        <w:numPr>
          <w:ilvl w:val="0"/>
          <w:numId w:val="18"/>
        </w:numPr>
        <w:rPr>
          <w:rFonts w:eastAsiaTheme="majorEastAsia"/>
          <w:b/>
          <w:bCs/>
          <w:i/>
        </w:rPr>
      </w:pPr>
      <w:r w:rsidRPr="00123F1B">
        <w:rPr>
          <w:rFonts w:eastAsiaTheme="majorEastAsia"/>
          <w:b/>
          <w:bCs/>
          <w:i/>
        </w:rPr>
        <w:t xml:space="preserve">Enero 1.pdf, </w:t>
      </w:r>
      <w:r w:rsidRPr="00123F1B">
        <w:rPr>
          <w:rFonts w:eastAsiaTheme="majorEastAsia"/>
          <w:bCs/>
        </w:rPr>
        <w:t xml:space="preserve">el cual contiene diversos recibos de nómina correspondientes a la primera quincena de enero de dos mil veintitrés. </w:t>
      </w:r>
    </w:p>
    <w:p w14:paraId="41B4E8CA" w14:textId="59919042" w:rsidR="005F0A97" w:rsidRPr="00123F1B" w:rsidRDefault="005F0A97" w:rsidP="00395B38">
      <w:pPr>
        <w:pStyle w:val="Prrafodelista"/>
        <w:numPr>
          <w:ilvl w:val="0"/>
          <w:numId w:val="18"/>
        </w:numPr>
        <w:rPr>
          <w:rFonts w:eastAsiaTheme="majorEastAsia"/>
          <w:b/>
          <w:bCs/>
          <w:i/>
        </w:rPr>
      </w:pPr>
      <w:r w:rsidRPr="00123F1B">
        <w:rPr>
          <w:rFonts w:eastAsiaTheme="majorEastAsia"/>
          <w:b/>
          <w:bCs/>
          <w:i/>
        </w:rPr>
        <w:t xml:space="preserve">Enero 2.pdf, </w:t>
      </w:r>
      <w:r w:rsidRPr="00123F1B">
        <w:rPr>
          <w:rFonts w:eastAsiaTheme="majorEastAsia"/>
          <w:bCs/>
        </w:rPr>
        <w:t xml:space="preserve">el cual contiene diversos recibos de nómina correspondientes a la segunda quincena de enero de dos mil veintitrés. </w:t>
      </w:r>
    </w:p>
    <w:p w14:paraId="22D991E1" w14:textId="773D99A6" w:rsidR="005F0A97" w:rsidRPr="00123F1B" w:rsidRDefault="005F0A97" w:rsidP="00395B38">
      <w:pPr>
        <w:pStyle w:val="Prrafodelista"/>
        <w:numPr>
          <w:ilvl w:val="0"/>
          <w:numId w:val="18"/>
        </w:numPr>
        <w:rPr>
          <w:rFonts w:eastAsiaTheme="majorEastAsia"/>
          <w:b/>
          <w:bCs/>
          <w:i/>
        </w:rPr>
      </w:pPr>
      <w:r w:rsidRPr="00123F1B">
        <w:rPr>
          <w:rFonts w:eastAsiaTheme="majorEastAsia"/>
          <w:b/>
          <w:bCs/>
          <w:i/>
        </w:rPr>
        <w:t xml:space="preserve">Febrero 1.pdf, </w:t>
      </w:r>
      <w:r w:rsidRPr="00123F1B">
        <w:rPr>
          <w:rFonts w:eastAsiaTheme="majorEastAsia"/>
          <w:bCs/>
        </w:rPr>
        <w:t xml:space="preserve">el cual contiene diversos recibos de nómina correspondientes a la primera quincena de febrero de dos mil veintitrés. </w:t>
      </w:r>
    </w:p>
    <w:p w14:paraId="547DF01D" w14:textId="350694A3" w:rsidR="005F0A97" w:rsidRPr="00123F1B" w:rsidRDefault="005F0A97" w:rsidP="00395B38">
      <w:pPr>
        <w:pStyle w:val="Prrafodelista"/>
        <w:numPr>
          <w:ilvl w:val="0"/>
          <w:numId w:val="18"/>
        </w:numPr>
        <w:rPr>
          <w:rFonts w:eastAsiaTheme="majorEastAsia"/>
          <w:b/>
          <w:bCs/>
          <w:i/>
        </w:rPr>
      </w:pPr>
      <w:r w:rsidRPr="00123F1B">
        <w:rPr>
          <w:rFonts w:eastAsiaTheme="majorEastAsia"/>
          <w:b/>
          <w:bCs/>
          <w:i/>
        </w:rPr>
        <w:t xml:space="preserve">Febrero 2.pdf, </w:t>
      </w:r>
      <w:r w:rsidRPr="00123F1B">
        <w:rPr>
          <w:rFonts w:eastAsiaTheme="majorEastAsia"/>
          <w:bCs/>
        </w:rPr>
        <w:t xml:space="preserve">el cual contiene diversos recibos de nómina correspondientes a la </w:t>
      </w:r>
      <w:r w:rsidR="00EF09A2" w:rsidRPr="00123F1B">
        <w:rPr>
          <w:rFonts w:eastAsiaTheme="majorEastAsia"/>
          <w:bCs/>
        </w:rPr>
        <w:t>segunda</w:t>
      </w:r>
      <w:r w:rsidRPr="00123F1B">
        <w:rPr>
          <w:rFonts w:eastAsiaTheme="majorEastAsia"/>
          <w:bCs/>
        </w:rPr>
        <w:t xml:space="preserve"> quincena de febrero de dos mil veintitrés. </w:t>
      </w:r>
    </w:p>
    <w:p w14:paraId="74E0370F" w14:textId="5A5BDA29"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Marzo 1.pdf, </w:t>
      </w:r>
      <w:r w:rsidRPr="00123F1B">
        <w:rPr>
          <w:rFonts w:eastAsiaTheme="majorEastAsia"/>
          <w:bCs/>
        </w:rPr>
        <w:t xml:space="preserve">el cual contiene diversos recibos de nómina correspondientes a la primera quincena de marzo de dos mil veintitrés. </w:t>
      </w:r>
    </w:p>
    <w:p w14:paraId="63956D83" w14:textId="4DE5AD0D" w:rsidR="005F0A97"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Marzo 2.pdf, </w:t>
      </w:r>
      <w:r w:rsidRPr="00123F1B">
        <w:rPr>
          <w:rFonts w:eastAsiaTheme="majorEastAsia"/>
          <w:bCs/>
        </w:rPr>
        <w:t>el cual contiene diversos recibos de nómina correspondientes a la segunda quincena de marzo de dos mil veintitrés.</w:t>
      </w:r>
    </w:p>
    <w:p w14:paraId="084CDCCA" w14:textId="4F05D08A"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lastRenderedPageBreak/>
        <w:t xml:space="preserve">Abril 1.pdf, </w:t>
      </w:r>
      <w:r w:rsidRPr="00123F1B">
        <w:rPr>
          <w:rFonts w:eastAsiaTheme="majorEastAsia"/>
          <w:bCs/>
        </w:rPr>
        <w:t>el cual contiene diversos recibos de nómina correspondientes a la primera quincena de abril de dos mil veintitrés.</w:t>
      </w:r>
    </w:p>
    <w:p w14:paraId="07BEDC78" w14:textId="64A2106E"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Abril 2.pdf, </w:t>
      </w:r>
      <w:r w:rsidRPr="00123F1B">
        <w:rPr>
          <w:rFonts w:eastAsiaTheme="majorEastAsia"/>
          <w:bCs/>
        </w:rPr>
        <w:t>el cual contiene diversos recibos de nómina correspondientes a la segunda quincena de abril de dos mil veintitrés.</w:t>
      </w:r>
    </w:p>
    <w:p w14:paraId="381202EB" w14:textId="4AD9172E"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Mayo 1.pdf, </w:t>
      </w:r>
      <w:r w:rsidRPr="00123F1B">
        <w:rPr>
          <w:rFonts w:eastAsiaTheme="majorEastAsia"/>
          <w:bCs/>
        </w:rPr>
        <w:t>el cual contiene diversos recibos de nómina correspondientes a la primera quincena de mayo de dos mil veintitrés.</w:t>
      </w:r>
    </w:p>
    <w:p w14:paraId="15098FB7" w14:textId="3C22E36D"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Mayo 2.pdf, </w:t>
      </w:r>
      <w:r w:rsidRPr="00123F1B">
        <w:rPr>
          <w:rFonts w:eastAsiaTheme="majorEastAsia"/>
          <w:bCs/>
        </w:rPr>
        <w:t>el cual contiene diversos recibos de nómina correspondientes a la segunda quincena de mayo de dos mil veintitrés.</w:t>
      </w:r>
    </w:p>
    <w:p w14:paraId="6BC298A4" w14:textId="7317355B"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Junio 1.pdf, </w:t>
      </w:r>
      <w:r w:rsidRPr="00123F1B">
        <w:rPr>
          <w:rFonts w:eastAsiaTheme="majorEastAsia"/>
          <w:bCs/>
        </w:rPr>
        <w:t>el cual contiene diversos recibos de nómina correspondientes a la primera quincena de junio de dos mil veintitrés.</w:t>
      </w:r>
    </w:p>
    <w:p w14:paraId="71F0D46D" w14:textId="5795617A"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Junio 2.pdf, </w:t>
      </w:r>
      <w:r w:rsidRPr="00123F1B">
        <w:rPr>
          <w:rFonts w:eastAsiaTheme="majorEastAsia"/>
          <w:bCs/>
        </w:rPr>
        <w:t>el cual contiene diversos recibos de nómina correspondientes a la segunda quincena de junio de dos mil veintitrés.</w:t>
      </w:r>
    </w:p>
    <w:p w14:paraId="680DE139" w14:textId="34BA2CCB"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Julio 1.pdf, </w:t>
      </w:r>
      <w:r w:rsidRPr="00123F1B">
        <w:rPr>
          <w:rFonts w:eastAsiaTheme="majorEastAsia"/>
          <w:bCs/>
        </w:rPr>
        <w:t xml:space="preserve">el cual contiene diversos recibos </w:t>
      </w:r>
      <w:r w:rsidR="00857064" w:rsidRPr="00123F1B">
        <w:rPr>
          <w:rFonts w:eastAsiaTheme="majorEastAsia"/>
          <w:bCs/>
        </w:rPr>
        <w:t>de pago de la prima vacacional</w:t>
      </w:r>
      <w:r w:rsidRPr="00123F1B">
        <w:rPr>
          <w:rFonts w:eastAsiaTheme="majorEastAsia"/>
          <w:bCs/>
        </w:rPr>
        <w:t>.</w:t>
      </w:r>
    </w:p>
    <w:p w14:paraId="57BA594F" w14:textId="1B23AEF0"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Julio 2.pdf, </w:t>
      </w:r>
      <w:r w:rsidRPr="00123F1B">
        <w:rPr>
          <w:rFonts w:eastAsiaTheme="majorEastAsia"/>
          <w:bCs/>
        </w:rPr>
        <w:t xml:space="preserve">el cual contiene diversos recibos de nómina correspondientes a la </w:t>
      </w:r>
      <w:r w:rsidR="00857064" w:rsidRPr="00123F1B">
        <w:rPr>
          <w:rFonts w:eastAsiaTheme="majorEastAsia"/>
          <w:bCs/>
        </w:rPr>
        <w:t>primera</w:t>
      </w:r>
      <w:r w:rsidRPr="00123F1B">
        <w:rPr>
          <w:rFonts w:eastAsiaTheme="majorEastAsia"/>
          <w:bCs/>
        </w:rPr>
        <w:t xml:space="preserve"> quincena de ju</w:t>
      </w:r>
      <w:r w:rsidR="00857064" w:rsidRPr="00123F1B">
        <w:rPr>
          <w:rFonts w:eastAsiaTheme="majorEastAsia"/>
          <w:bCs/>
        </w:rPr>
        <w:t>l</w:t>
      </w:r>
      <w:r w:rsidRPr="00123F1B">
        <w:rPr>
          <w:rFonts w:eastAsiaTheme="majorEastAsia"/>
          <w:bCs/>
        </w:rPr>
        <w:t>io de dos mil veintitrés.</w:t>
      </w:r>
    </w:p>
    <w:p w14:paraId="4FA71415" w14:textId="684E9999" w:rsidR="00EF09A2" w:rsidRPr="00123F1B" w:rsidRDefault="00EF09A2" w:rsidP="00395B38">
      <w:pPr>
        <w:pStyle w:val="Prrafodelista"/>
        <w:numPr>
          <w:ilvl w:val="0"/>
          <w:numId w:val="18"/>
        </w:numPr>
        <w:rPr>
          <w:rFonts w:eastAsiaTheme="majorEastAsia"/>
          <w:b/>
          <w:bCs/>
          <w:i/>
        </w:rPr>
      </w:pPr>
      <w:r w:rsidRPr="00123F1B">
        <w:rPr>
          <w:rFonts w:eastAsiaTheme="majorEastAsia"/>
          <w:b/>
          <w:bCs/>
          <w:i/>
        </w:rPr>
        <w:t xml:space="preserve">Julio 3.pdf, </w:t>
      </w:r>
      <w:r w:rsidRPr="00123F1B">
        <w:rPr>
          <w:rFonts w:eastAsiaTheme="majorEastAsia"/>
          <w:bCs/>
        </w:rPr>
        <w:t xml:space="preserve">el cual contiene diversos recibos de nómina correspondientes a la segunda quincena de </w:t>
      </w:r>
      <w:r w:rsidR="00857064" w:rsidRPr="00123F1B">
        <w:rPr>
          <w:rFonts w:eastAsiaTheme="majorEastAsia"/>
          <w:bCs/>
        </w:rPr>
        <w:t>jul</w:t>
      </w:r>
      <w:r w:rsidRPr="00123F1B">
        <w:rPr>
          <w:rFonts w:eastAsiaTheme="majorEastAsia"/>
          <w:bCs/>
        </w:rPr>
        <w:t>io de dos mil veintitrés.</w:t>
      </w:r>
    </w:p>
    <w:p w14:paraId="5C5A64DA" w14:textId="7A042172"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Agosto 1.pdf, </w:t>
      </w:r>
      <w:r w:rsidRPr="00123F1B">
        <w:rPr>
          <w:rFonts w:eastAsiaTheme="majorEastAsia"/>
          <w:bCs/>
        </w:rPr>
        <w:t>el cual contiene diversos recibos de nómina correspondientes a la primera quincena de agosto de dos mil veintitrés.</w:t>
      </w:r>
    </w:p>
    <w:p w14:paraId="666BD651" w14:textId="79720CC1"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Agosto 2.pdf, </w:t>
      </w:r>
      <w:r w:rsidRPr="00123F1B">
        <w:rPr>
          <w:rFonts w:eastAsiaTheme="majorEastAsia"/>
          <w:bCs/>
        </w:rPr>
        <w:t>el cual contiene diversos recibos de nómina correspondientes a la segunda quincena de agosto de dos mil veintitrés.</w:t>
      </w:r>
    </w:p>
    <w:p w14:paraId="3524AD57" w14:textId="411AA516"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Septiembre 1.pdf, </w:t>
      </w:r>
      <w:r w:rsidRPr="00123F1B">
        <w:rPr>
          <w:rFonts w:eastAsiaTheme="majorEastAsia"/>
          <w:bCs/>
        </w:rPr>
        <w:t>el cual contiene diversos recibos de nómina correspondientes a la primera quincena de septiembre de dos mil veintitrés.</w:t>
      </w:r>
    </w:p>
    <w:p w14:paraId="5B1AC1C3" w14:textId="21E122D5"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Septiembre 2.pdf, </w:t>
      </w:r>
      <w:r w:rsidRPr="00123F1B">
        <w:rPr>
          <w:rFonts w:eastAsiaTheme="majorEastAsia"/>
          <w:bCs/>
        </w:rPr>
        <w:t>el cual contiene diversos recibos de nómina correspondientes a la segunda quincena de septiembre de dos mil veintitrés.</w:t>
      </w:r>
    </w:p>
    <w:p w14:paraId="65ACEB0F" w14:textId="193B0A24"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lastRenderedPageBreak/>
        <w:t xml:space="preserve">Octubre 1.pdf, </w:t>
      </w:r>
      <w:r w:rsidRPr="00123F1B">
        <w:rPr>
          <w:rFonts w:eastAsiaTheme="majorEastAsia"/>
          <w:bCs/>
        </w:rPr>
        <w:t>el cual contiene diversos recibos de nómina correspondientes a la primera quincena de octubre de dos mil veintitrés.</w:t>
      </w:r>
    </w:p>
    <w:p w14:paraId="77F07EBC" w14:textId="5DCC4D46" w:rsidR="00EF09A2"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Octubre 2.pdf, </w:t>
      </w:r>
      <w:r w:rsidRPr="00123F1B">
        <w:rPr>
          <w:rFonts w:eastAsiaTheme="majorEastAsia"/>
          <w:bCs/>
        </w:rPr>
        <w:t>el cual contiene diversos recibos de nómina correspondientes a la segunda quincena de octubre de dos mil veintitrés.</w:t>
      </w:r>
    </w:p>
    <w:p w14:paraId="11D0DE43" w14:textId="7D9FE94D"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Noviembre 1.pdf, </w:t>
      </w:r>
      <w:r w:rsidRPr="00123F1B">
        <w:rPr>
          <w:rFonts w:eastAsiaTheme="majorEastAsia"/>
          <w:bCs/>
        </w:rPr>
        <w:t>el cual contiene diversos recibos de nómina correspondientes a la primera quincena de noviembre de dos mil veintitrés.</w:t>
      </w:r>
    </w:p>
    <w:p w14:paraId="14EB7AF9" w14:textId="6B825811"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Noviembre 2.pdf, </w:t>
      </w:r>
      <w:r w:rsidRPr="00123F1B">
        <w:rPr>
          <w:rFonts w:eastAsiaTheme="majorEastAsia"/>
          <w:bCs/>
        </w:rPr>
        <w:t>el cual contiene diversos recibos de nómina correspondientes a la segunda quincena de noviembre de dos mil veintitrés.</w:t>
      </w:r>
    </w:p>
    <w:p w14:paraId="4CC682E6" w14:textId="340B84FB"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Diciembre 1.pdf, </w:t>
      </w:r>
      <w:r w:rsidRPr="00123F1B">
        <w:rPr>
          <w:rFonts w:eastAsiaTheme="majorEastAsia"/>
          <w:bCs/>
        </w:rPr>
        <w:t>el cual contiene diversos recibos de nómina correspondientes a la primera quincena de diciembre de dos mil veintitrés.</w:t>
      </w:r>
    </w:p>
    <w:p w14:paraId="76988AA4" w14:textId="5427D32A"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Diciembre 2.pdf, </w:t>
      </w:r>
      <w:r w:rsidRPr="00123F1B">
        <w:rPr>
          <w:rFonts w:eastAsiaTheme="majorEastAsia"/>
          <w:bCs/>
        </w:rPr>
        <w:t>el cual contiene diversos recibos de nómina correspondientes a la segunda quincena de diciembre de dos mil veintitrés.</w:t>
      </w:r>
    </w:p>
    <w:p w14:paraId="02B1209C" w14:textId="77777777" w:rsidR="00857064" w:rsidRPr="00123F1B" w:rsidRDefault="00857064" w:rsidP="00395B38">
      <w:pPr>
        <w:pStyle w:val="Prrafodelista"/>
        <w:numPr>
          <w:ilvl w:val="0"/>
          <w:numId w:val="18"/>
        </w:numPr>
        <w:rPr>
          <w:rFonts w:eastAsiaTheme="majorEastAsia"/>
          <w:b/>
          <w:bCs/>
          <w:i/>
        </w:rPr>
      </w:pPr>
      <w:r w:rsidRPr="00123F1B">
        <w:rPr>
          <w:rFonts w:eastAsiaTheme="majorEastAsia"/>
          <w:b/>
          <w:bCs/>
          <w:i/>
        </w:rPr>
        <w:t xml:space="preserve">Prima vacacional Dic.pdf, </w:t>
      </w:r>
      <w:r w:rsidRPr="00123F1B">
        <w:rPr>
          <w:rFonts w:eastAsiaTheme="majorEastAsia"/>
          <w:bCs/>
        </w:rPr>
        <w:t>el cual contiene diversos recibos de pago de la prima vacacional.</w:t>
      </w:r>
    </w:p>
    <w:p w14:paraId="689F1059" w14:textId="72D07FF3" w:rsidR="00DC32A1" w:rsidRPr="00123F1B" w:rsidRDefault="00DC32A1" w:rsidP="00395B38">
      <w:pPr>
        <w:pStyle w:val="Prrafodelista"/>
        <w:numPr>
          <w:ilvl w:val="0"/>
          <w:numId w:val="18"/>
        </w:numPr>
        <w:rPr>
          <w:rFonts w:eastAsiaTheme="majorEastAsia"/>
          <w:b/>
          <w:bCs/>
          <w:i/>
        </w:rPr>
      </w:pPr>
      <w:r w:rsidRPr="00123F1B">
        <w:rPr>
          <w:rFonts w:eastAsiaTheme="majorEastAsia"/>
          <w:b/>
          <w:bCs/>
          <w:i/>
        </w:rPr>
        <w:t xml:space="preserve">ACUERDO-CLASIFICACION-NOMINA-CFDI.pdf, </w:t>
      </w:r>
      <w:r w:rsidR="00DA4E2F" w:rsidRPr="00123F1B">
        <w:rPr>
          <w:rFonts w:eastAsiaTheme="majorEastAsia"/>
          <w:bCs/>
        </w:rPr>
        <w:t xml:space="preserve">el cual contiene el acuerdo por medio del cual el Comité de Transparencia, aprobó la versión pública parcial de la información contenida en los recibos de nómina. </w:t>
      </w:r>
    </w:p>
    <w:p w14:paraId="43C97F05" w14:textId="77777777" w:rsidR="00DA4E2F" w:rsidRPr="00123F1B" w:rsidRDefault="00DA4E2F" w:rsidP="00395B38">
      <w:pPr>
        <w:rPr>
          <w:rFonts w:cs="Tahoma"/>
          <w:bCs/>
          <w:szCs w:val="24"/>
        </w:rPr>
      </w:pPr>
    </w:p>
    <w:p w14:paraId="10CDA23E" w14:textId="46979BB2" w:rsidR="00A34B2E" w:rsidRPr="00123F1B" w:rsidRDefault="00E86F78" w:rsidP="00395B38">
      <w:pPr>
        <w:rPr>
          <w:rFonts w:cs="Tahoma"/>
          <w:bCs/>
          <w:szCs w:val="24"/>
        </w:rPr>
      </w:pPr>
      <w:r w:rsidRPr="00123F1B">
        <w:rPr>
          <w:rFonts w:cs="Tahoma"/>
          <w:bCs/>
          <w:szCs w:val="24"/>
        </w:rPr>
        <w:t xml:space="preserve">Los archivos denominados </w:t>
      </w:r>
      <w:r w:rsidRPr="00123F1B">
        <w:rPr>
          <w:rFonts w:eastAsiaTheme="majorEastAsia"/>
          <w:b/>
          <w:bCs/>
          <w:i/>
        </w:rPr>
        <w:t xml:space="preserve">RESP-OPD-00247.pdf </w:t>
      </w:r>
      <w:r w:rsidRPr="00123F1B">
        <w:rPr>
          <w:rFonts w:eastAsiaTheme="majorEastAsia"/>
          <w:bCs/>
          <w:i/>
        </w:rPr>
        <w:t xml:space="preserve">y </w:t>
      </w:r>
      <w:r w:rsidRPr="00123F1B">
        <w:rPr>
          <w:rFonts w:eastAsiaTheme="majorEastAsia"/>
          <w:b/>
          <w:bCs/>
          <w:i/>
        </w:rPr>
        <w:t>ACUERDO-CLASIFICACION-NOMINA-CFDI.pdf</w:t>
      </w:r>
      <w:r w:rsidRPr="00123F1B">
        <w:rPr>
          <w:rFonts w:cs="Tahoma"/>
          <w:bCs/>
          <w:szCs w:val="24"/>
        </w:rPr>
        <w:t xml:space="preserve">, </w:t>
      </w:r>
      <w:r w:rsidR="00A34B2E" w:rsidRPr="00123F1B">
        <w:rPr>
          <w:rFonts w:cs="Tahoma"/>
          <w:bCs/>
          <w:szCs w:val="24"/>
        </w:rPr>
        <w:t xml:space="preserve">fue puesta a la vista de </w:t>
      </w:r>
      <w:r w:rsidR="00A34B2E" w:rsidRPr="00123F1B">
        <w:rPr>
          <w:rFonts w:cs="Tahoma"/>
          <w:b/>
          <w:szCs w:val="24"/>
        </w:rPr>
        <w:t xml:space="preserve">LA PARTE RECURRENTE </w:t>
      </w:r>
      <w:r w:rsidR="00A34B2E" w:rsidRPr="00123F1B">
        <w:rPr>
          <w:rFonts w:cs="Tahoma"/>
          <w:bCs/>
          <w:szCs w:val="24"/>
        </w:rPr>
        <w:t xml:space="preserve">el </w:t>
      </w:r>
      <w:r w:rsidR="005652B9" w:rsidRPr="00123F1B">
        <w:rPr>
          <w:rFonts w:cs="Tahoma"/>
          <w:b/>
          <w:szCs w:val="24"/>
        </w:rPr>
        <w:t>diecisiete</w:t>
      </w:r>
      <w:r w:rsidR="00DA4E2F" w:rsidRPr="00123F1B">
        <w:rPr>
          <w:rFonts w:cs="Tahoma"/>
          <w:b/>
          <w:szCs w:val="24"/>
        </w:rPr>
        <w:t xml:space="preserve"> </w:t>
      </w:r>
      <w:r w:rsidR="00AF3056" w:rsidRPr="00123F1B">
        <w:rPr>
          <w:rFonts w:cs="Tahoma"/>
          <w:b/>
          <w:szCs w:val="24"/>
        </w:rPr>
        <w:t xml:space="preserve">de septiembre </w:t>
      </w:r>
      <w:r w:rsidR="00A34B2E" w:rsidRPr="00123F1B">
        <w:rPr>
          <w:rFonts w:cs="Tahoma"/>
          <w:b/>
          <w:szCs w:val="24"/>
        </w:rPr>
        <w:t>de dos mil veinticinco</w:t>
      </w:r>
      <w:r w:rsidR="00A34B2E" w:rsidRPr="00123F1B">
        <w:rPr>
          <w:rFonts w:cs="Tahoma"/>
          <w:bCs/>
          <w:szCs w:val="24"/>
        </w:rPr>
        <w:t xml:space="preserve"> para que, en un plazo de tres días hábiles, manifestara lo que a su derecho conviniera, de conformidad con lo establecido en el </w:t>
      </w:r>
      <w:r w:rsidR="00A34B2E" w:rsidRPr="00123F1B">
        <w:rPr>
          <w:rFonts w:cs="Arial"/>
        </w:rPr>
        <w:t>artículo 185, fracción III de la Ley de Transparencia y Acceso a la Información Pública del Estado de México y Municipios</w:t>
      </w:r>
      <w:r w:rsidR="00A34B2E" w:rsidRPr="00123F1B">
        <w:rPr>
          <w:rFonts w:cs="Tahoma"/>
          <w:bCs/>
          <w:szCs w:val="24"/>
        </w:rPr>
        <w:t>.</w:t>
      </w:r>
    </w:p>
    <w:p w14:paraId="3BD5D7A0" w14:textId="77777777" w:rsidR="00A34B2E" w:rsidRPr="00123F1B" w:rsidRDefault="00A34B2E" w:rsidP="00395B38">
      <w:pPr>
        <w:rPr>
          <w:rFonts w:cs="Tahoma"/>
          <w:bCs/>
          <w:szCs w:val="24"/>
        </w:rPr>
      </w:pPr>
    </w:p>
    <w:p w14:paraId="39CC555C" w14:textId="77777777" w:rsidR="00E86F78" w:rsidRPr="00123F1B" w:rsidRDefault="00E86F78" w:rsidP="00395B38">
      <w:pPr>
        <w:rPr>
          <w:rFonts w:cs="Tahoma"/>
          <w:bCs/>
          <w:szCs w:val="24"/>
        </w:rPr>
      </w:pPr>
      <w:r w:rsidRPr="00123F1B">
        <w:rPr>
          <w:rFonts w:cs="Tahoma"/>
          <w:bCs/>
          <w:szCs w:val="24"/>
        </w:rPr>
        <w:lastRenderedPageBreak/>
        <w:t xml:space="preserve">Asimismo, no se omite comentar que los archivos que contienen los recibos de nómina no fueron puestos a la vista de </w:t>
      </w:r>
      <w:r w:rsidRPr="00123F1B">
        <w:rPr>
          <w:rFonts w:cs="Tahoma"/>
          <w:b/>
          <w:bCs/>
          <w:szCs w:val="24"/>
        </w:rPr>
        <w:t xml:space="preserve">LA PARTE RECURRENTE </w:t>
      </w:r>
      <w:r w:rsidRPr="00123F1B">
        <w:rPr>
          <w:rFonts w:cs="Tahoma"/>
          <w:bCs/>
          <w:szCs w:val="24"/>
        </w:rPr>
        <w:t xml:space="preserve">porque la información confidencial no fue testada de manera permanente. </w:t>
      </w:r>
    </w:p>
    <w:p w14:paraId="7E4A104E" w14:textId="6EF3841C" w:rsidR="00E86F78" w:rsidRPr="00123F1B" w:rsidRDefault="00E86F78" w:rsidP="00395B38">
      <w:pPr>
        <w:rPr>
          <w:rFonts w:cs="Tahoma"/>
          <w:bCs/>
          <w:szCs w:val="24"/>
        </w:rPr>
      </w:pPr>
      <w:r w:rsidRPr="00123F1B">
        <w:rPr>
          <w:rFonts w:cs="Tahoma"/>
          <w:bCs/>
          <w:szCs w:val="24"/>
        </w:rPr>
        <w:t xml:space="preserve"> </w:t>
      </w:r>
    </w:p>
    <w:p w14:paraId="755B7730" w14:textId="74FB7976" w:rsidR="00664420" w:rsidRPr="00123F1B" w:rsidRDefault="00C576E3" w:rsidP="00395B38">
      <w:pPr>
        <w:pStyle w:val="Ttulo3"/>
      </w:pPr>
      <w:bookmarkStart w:id="16" w:name="_Toc211450099"/>
      <w:r w:rsidRPr="00123F1B">
        <w:rPr>
          <w:rFonts w:eastAsia="Calibri"/>
          <w:bCs/>
          <w:lang w:eastAsia="en-US"/>
        </w:rPr>
        <w:t>e</w:t>
      </w:r>
      <w:r w:rsidR="00664420" w:rsidRPr="00123F1B">
        <w:rPr>
          <w:rFonts w:eastAsia="Calibri"/>
          <w:bCs/>
          <w:lang w:eastAsia="en-US"/>
        </w:rPr>
        <w:t>)</w:t>
      </w:r>
      <w:r w:rsidR="00664420" w:rsidRPr="00123F1B">
        <w:t xml:space="preserve"> </w:t>
      </w:r>
      <w:r w:rsidR="00865CF4" w:rsidRPr="00123F1B">
        <w:t>Manifestaciones de la Parte Recurrente</w:t>
      </w:r>
      <w:bookmarkEnd w:id="16"/>
    </w:p>
    <w:p w14:paraId="4BDEF4C9" w14:textId="77777777" w:rsidR="00DA4E2F" w:rsidRPr="00123F1B" w:rsidRDefault="00DA4E2F" w:rsidP="00395B38">
      <w:pPr>
        <w:rPr>
          <w:rFonts w:eastAsia="Arial Unicode MS" w:cs="Arial"/>
        </w:rPr>
      </w:pPr>
      <w:r w:rsidRPr="00123F1B">
        <w:rPr>
          <w:rFonts w:cs="Tahoma"/>
          <w:b/>
          <w:szCs w:val="24"/>
        </w:rPr>
        <w:t xml:space="preserve">LA PARTE RECURRENTE </w:t>
      </w:r>
      <w:r w:rsidRPr="00123F1B">
        <w:rPr>
          <w:rFonts w:eastAsia="Arial Unicode MS" w:cs="Arial"/>
        </w:rPr>
        <w:t>no realizó manifestación alguna dentro del término legalmente concedido para tal efecto, ni presentó pruebas o alegatos.</w:t>
      </w:r>
    </w:p>
    <w:p w14:paraId="2FB16B3D" w14:textId="77777777" w:rsidR="00FC7AEF" w:rsidRPr="00123F1B" w:rsidRDefault="00FC7AEF" w:rsidP="00395B38">
      <w:pPr>
        <w:rPr>
          <w:rFonts w:eastAsia="Arial Unicode MS" w:cs="Arial"/>
        </w:rPr>
      </w:pPr>
    </w:p>
    <w:p w14:paraId="0E651988" w14:textId="29632ECF" w:rsidR="00664420" w:rsidRPr="00123F1B" w:rsidRDefault="00E86F78" w:rsidP="00395B38">
      <w:pPr>
        <w:pStyle w:val="Ttulo3"/>
        <w:tabs>
          <w:tab w:val="left" w:pos="6128"/>
        </w:tabs>
      </w:pPr>
      <w:bookmarkStart w:id="17" w:name="_Toc211450100"/>
      <w:r w:rsidRPr="00123F1B">
        <w:t>f</w:t>
      </w:r>
      <w:r w:rsidR="00664420" w:rsidRPr="00123F1B">
        <w:t>) Cierre de instrucción</w:t>
      </w:r>
      <w:bookmarkEnd w:id="17"/>
    </w:p>
    <w:p w14:paraId="79AF95DC" w14:textId="50320F53" w:rsidR="00664420" w:rsidRPr="00123F1B" w:rsidRDefault="00BF091A" w:rsidP="00395B38">
      <w:pPr>
        <w:rPr>
          <w:rFonts w:cs="Tahoma"/>
          <w:szCs w:val="22"/>
        </w:rPr>
      </w:pPr>
      <w:r w:rsidRPr="00123F1B">
        <w:rPr>
          <w:rFonts w:cs="Tahoma"/>
          <w:szCs w:val="22"/>
        </w:rPr>
        <w:t>Al no existir diligencias pendientes por desahogar</w:t>
      </w:r>
      <w:r w:rsidR="00892DA4" w:rsidRPr="00123F1B">
        <w:rPr>
          <w:rFonts w:cs="Arial"/>
        </w:rPr>
        <w:t xml:space="preserve">, </w:t>
      </w:r>
      <w:r w:rsidR="00487CA9" w:rsidRPr="00123F1B">
        <w:rPr>
          <w:rFonts w:cs="Arial"/>
        </w:rPr>
        <w:t>el</w:t>
      </w:r>
      <w:r w:rsidRPr="00123F1B">
        <w:rPr>
          <w:rFonts w:cs="Arial"/>
        </w:rPr>
        <w:t xml:space="preserve"> </w:t>
      </w:r>
      <w:r w:rsidR="00DA4E2F" w:rsidRPr="00123F1B">
        <w:rPr>
          <w:rFonts w:cs="Arial"/>
          <w:b/>
        </w:rPr>
        <w:t xml:space="preserve">ocho </w:t>
      </w:r>
      <w:r w:rsidR="009E4017" w:rsidRPr="00123F1B">
        <w:rPr>
          <w:rFonts w:cs="Arial"/>
          <w:b/>
        </w:rPr>
        <w:t xml:space="preserve">de </w:t>
      </w:r>
      <w:r w:rsidR="00DA4E2F" w:rsidRPr="00123F1B">
        <w:rPr>
          <w:rFonts w:cs="Arial"/>
          <w:b/>
        </w:rPr>
        <w:t xml:space="preserve">octubre </w:t>
      </w:r>
      <w:r w:rsidR="00B4748E" w:rsidRPr="00123F1B">
        <w:rPr>
          <w:rFonts w:cs="Arial"/>
          <w:b/>
        </w:rPr>
        <w:t>de dos mil veinticinco</w:t>
      </w:r>
      <w:r w:rsidR="00F65DE0" w:rsidRPr="00123F1B">
        <w:rPr>
          <w:rFonts w:cs="Arial"/>
          <w:b/>
        </w:rPr>
        <w:t>,</w:t>
      </w:r>
      <w:r w:rsidRPr="00123F1B">
        <w:rPr>
          <w:rFonts w:cs="Arial"/>
        </w:rPr>
        <w:t xml:space="preserve"> la </w:t>
      </w:r>
      <w:r w:rsidRPr="00123F1B">
        <w:rPr>
          <w:rFonts w:cs="Arial"/>
          <w:b/>
          <w:bCs/>
        </w:rPr>
        <w:t xml:space="preserve">Comisionada </w:t>
      </w:r>
      <w:r w:rsidRPr="00123F1B">
        <w:rPr>
          <w:b/>
        </w:rPr>
        <w:t xml:space="preserve">Sharon Cristina Morales Martínez </w:t>
      </w:r>
      <w:r w:rsidRPr="00123F1B">
        <w:rPr>
          <w:rFonts w:cs="Arial"/>
        </w:rPr>
        <w:t>acordó el cierre de instrucción</w:t>
      </w:r>
      <w:r w:rsidR="0011350D" w:rsidRPr="00123F1B">
        <w:rPr>
          <w:rFonts w:cs="Arial"/>
        </w:rPr>
        <w:t xml:space="preserve"> y</w:t>
      </w:r>
      <w:r w:rsidRPr="00123F1B">
        <w:rPr>
          <w:rFonts w:cs="Arial"/>
        </w:rPr>
        <w:t xml:space="preserve"> </w:t>
      </w:r>
      <w:r w:rsidR="0011350D" w:rsidRPr="00123F1B">
        <w:rPr>
          <w:rFonts w:cs="Arial"/>
        </w:rPr>
        <w:t xml:space="preserve">la </w:t>
      </w:r>
      <w:r w:rsidRPr="00123F1B">
        <w:rPr>
          <w:rFonts w:cs="Arial"/>
        </w:rPr>
        <w:t>remisión del expediente a efecto de ser resuelto, de conformidad con lo establecido en el artículo 185 fracciones VI y VIII de la Ley de Transparencia y Acceso a la Información Pública del Estado de México y Municipios</w:t>
      </w:r>
      <w:r w:rsidRPr="00123F1B">
        <w:t>.</w:t>
      </w:r>
      <w:r w:rsidR="0011350D" w:rsidRPr="00123F1B">
        <w:t xml:space="preserve"> Dicho acuerdo </w:t>
      </w:r>
      <w:r w:rsidR="00664420" w:rsidRPr="00123F1B">
        <w:rPr>
          <w:rFonts w:cs="Tahoma"/>
          <w:szCs w:val="22"/>
        </w:rPr>
        <w:t xml:space="preserve">fue notificado a las partes el mismo día a través del </w:t>
      </w:r>
      <w:r w:rsidR="00664420" w:rsidRPr="00123F1B">
        <w:rPr>
          <w:rFonts w:cs="Tahoma"/>
          <w:b/>
          <w:szCs w:val="22"/>
        </w:rPr>
        <w:t>SAIMEX</w:t>
      </w:r>
      <w:r w:rsidR="00664420" w:rsidRPr="00123F1B">
        <w:rPr>
          <w:rFonts w:cs="Tahoma"/>
          <w:szCs w:val="22"/>
        </w:rPr>
        <w:t>.</w:t>
      </w:r>
    </w:p>
    <w:p w14:paraId="719117CE" w14:textId="77777777" w:rsidR="00C576E3" w:rsidRPr="00123F1B" w:rsidRDefault="00C576E3" w:rsidP="00395B38"/>
    <w:p w14:paraId="7A9629DE" w14:textId="77777777" w:rsidR="00664420" w:rsidRPr="00123F1B" w:rsidRDefault="00664420" w:rsidP="00395B38">
      <w:pPr>
        <w:pStyle w:val="Ttulo1"/>
        <w:rPr>
          <w:rFonts w:eastAsiaTheme="minorHAnsi"/>
          <w:lang w:eastAsia="en-US"/>
        </w:rPr>
      </w:pPr>
      <w:bookmarkStart w:id="18" w:name="_Toc211450101"/>
      <w:r w:rsidRPr="00123F1B">
        <w:rPr>
          <w:rFonts w:eastAsiaTheme="minorHAnsi"/>
          <w:lang w:eastAsia="en-US"/>
        </w:rPr>
        <w:t>CONSIDERANDOS</w:t>
      </w:r>
      <w:bookmarkEnd w:id="18"/>
    </w:p>
    <w:p w14:paraId="6DD1243B" w14:textId="77777777" w:rsidR="00664420" w:rsidRPr="00123F1B" w:rsidRDefault="00664420" w:rsidP="00395B38">
      <w:pPr>
        <w:contextualSpacing/>
        <w:jc w:val="center"/>
        <w:rPr>
          <w:rFonts w:eastAsiaTheme="minorHAnsi" w:cs="Tahoma"/>
          <w:b/>
          <w:szCs w:val="22"/>
          <w:lang w:eastAsia="en-US"/>
        </w:rPr>
      </w:pPr>
    </w:p>
    <w:p w14:paraId="0B67CB92" w14:textId="08EB1E07" w:rsidR="00664420" w:rsidRPr="00123F1B" w:rsidRDefault="00664420" w:rsidP="00395B38">
      <w:pPr>
        <w:pStyle w:val="Ttulo2"/>
        <w:rPr>
          <w:rFonts w:eastAsia="Batang"/>
        </w:rPr>
      </w:pPr>
      <w:bookmarkStart w:id="19" w:name="_Toc211450102"/>
      <w:r w:rsidRPr="00123F1B">
        <w:rPr>
          <w:rFonts w:eastAsia="Batang"/>
        </w:rPr>
        <w:t xml:space="preserve">PRIMERO. </w:t>
      </w:r>
      <w:r w:rsidR="00B4748E" w:rsidRPr="00123F1B">
        <w:rPr>
          <w:rFonts w:eastAsia="Batang"/>
        </w:rPr>
        <w:t>Procedibilidad</w:t>
      </w:r>
      <w:bookmarkEnd w:id="19"/>
    </w:p>
    <w:p w14:paraId="39C52BC1" w14:textId="56FCC20D" w:rsidR="00BA55A8" w:rsidRPr="00123F1B" w:rsidRDefault="00BA55A8" w:rsidP="00395B38">
      <w:pPr>
        <w:pStyle w:val="Ttulo3"/>
      </w:pPr>
      <w:bookmarkStart w:id="20" w:name="_Toc211450103"/>
      <w:r w:rsidRPr="00123F1B">
        <w:t>a) Competencia</w:t>
      </w:r>
      <w:r w:rsidR="00150C49" w:rsidRPr="00123F1B">
        <w:t xml:space="preserve"> del Instituto</w:t>
      </w:r>
      <w:bookmarkEnd w:id="20"/>
    </w:p>
    <w:p w14:paraId="56E64942" w14:textId="2F71968A" w:rsidR="0011350D" w:rsidRPr="00123F1B" w:rsidRDefault="0011350D" w:rsidP="00395B38">
      <w:pPr>
        <w:rPr>
          <w:rFonts w:cs="Arial"/>
        </w:rPr>
      </w:pPr>
      <w:r w:rsidRPr="00123F1B">
        <w:t xml:space="preserve">Este Instituto de Transparencia, Acceso a la Información Pública y Protección de Datos Personales del Estado de México y Municipios es competente para conocer y resolver </w:t>
      </w:r>
      <w:r w:rsidR="005F65B7" w:rsidRPr="00123F1B">
        <w:t xml:space="preserve">el </w:t>
      </w:r>
      <w:r w:rsidRPr="00123F1B">
        <w:t xml:space="preserve">presente Recurso de Revisión, conforme a lo dispuesto en los artículos 6, Apartado A de la Constitución Política de los Estados Unidos Mexicanos; 5, </w:t>
      </w:r>
      <w:r w:rsidR="00260F07" w:rsidRPr="00123F1B">
        <w:rPr>
          <w:rFonts w:cs="Tahoma"/>
          <w:bCs/>
          <w:szCs w:val="22"/>
        </w:rPr>
        <w:t xml:space="preserve">párrafos trigésimo noveno, </w:t>
      </w:r>
      <w:r w:rsidR="00260F07" w:rsidRPr="00123F1B">
        <w:rPr>
          <w:rFonts w:cs="Tahoma"/>
          <w:bCs/>
          <w:szCs w:val="22"/>
        </w:rPr>
        <w:lastRenderedPageBreak/>
        <w:t xml:space="preserve">cuadragésimo y cuadragésimo primero, fracciones IV y V, </w:t>
      </w:r>
      <w:r w:rsidRPr="00123F1B">
        <w:t>de la Constitución Política del Estado Libre y Soberano de México; ordinal 2, fracción II, 13, 29, 36, fracciones I y II, 176, 178, 179, 181 párrafo tercero y 185 de la Ley de Transparencia y Acceso a la Información Pública del Estado de México y Municipios</w:t>
      </w:r>
      <w:r w:rsidRPr="00123F1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23F1B" w:rsidRDefault="006946E4" w:rsidP="00395B38">
      <w:pPr>
        <w:rPr>
          <w:rFonts w:cs="Arial"/>
        </w:rPr>
      </w:pPr>
    </w:p>
    <w:p w14:paraId="517A2DD6" w14:textId="4169BE4D" w:rsidR="00664420" w:rsidRPr="00123F1B" w:rsidRDefault="00BA55A8" w:rsidP="00395B38">
      <w:pPr>
        <w:pStyle w:val="Ttulo3"/>
      </w:pPr>
      <w:bookmarkStart w:id="21" w:name="_Toc211450104"/>
      <w:r w:rsidRPr="00123F1B">
        <w:t>b)</w:t>
      </w:r>
      <w:r w:rsidR="00664420" w:rsidRPr="00123F1B">
        <w:t xml:space="preserve"> </w:t>
      </w:r>
      <w:r w:rsidR="00D91CB4" w:rsidRPr="00123F1B">
        <w:t>Legitimidad</w:t>
      </w:r>
      <w:r w:rsidRPr="00123F1B">
        <w:t xml:space="preserve"> de la parte recurrente</w:t>
      </w:r>
      <w:bookmarkEnd w:id="21"/>
    </w:p>
    <w:p w14:paraId="26FEA382" w14:textId="0B06695C" w:rsidR="00D91CB4" w:rsidRPr="00123F1B" w:rsidRDefault="00D91CB4" w:rsidP="00395B38">
      <w:pPr>
        <w:rPr>
          <w:rFonts w:cs="Arial"/>
          <w:bCs/>
        </w:rPr>
      </w:pPr>
      <w:r w:rsidRPr="00123F1B">
        <w:rPr>
          <w:rFonts w:cs="Arial"/>
          <w:bCs/>
        </w:rPr>
        <w:t>El recurso de revisión fue interpuesto por parte legítima, ya que se presentó por la misma persona que formuló la solicitud de acceso a la Información Pública,</w:t>
      </w:r>
      <w:r w:rsidRPr="00123F1B">
        <w:rPr>
          <w:rFonts w:cs="Arial"/>
          <w:b/>
          <w:bCs/>
        </w:rPr>
        <w:t xml:space="preserve"> </w:t>
      </w:r>
      <w:r w:rsidRPr="00123F1B">
        <w:rPr>
          <w:rFonts w:cs="Arial"/>
        </w:rPr>
        <w:t>debido a que los datos de acceso</w:t>
      </w:r>
      <w:r w:rsidRPr="00123F1B">
        <w:rPr>
          <w:rFonts w:cs="Arial"/>
          <w:b/>
          <w:bCs/>
        </w:rPr>
        <w:t xml:space="preserve"> </w:t>
      </w:r>
      <w:r w:rsidRPr="00123F1B">
        <w:rPr>
          <w:rFonts w:cs="Arial"/>
          <w:b/>
        </w:rPr>
        <w:t>SAIMEX</w:t>
      </w:r>
      <w:r w:rsidRPr="00123F1B">
        <w:rPr>
          <w:rFonts w:eastAsia="Calibri" w:cs="Arial"/>
          <w:lang w:eastAsia="en-US"/>
        </w:rPr>
        <w:t xml:space="preserve"> son personales e irrepetibles.</w:t>
      </w:r>
    </w:p>
    <w:p w14:paraId="2C367810" w14:textId="77777777" w:rsidR="00D91CB4" w:rsidRPr="00123F1B" w:rsidRDefault="00D91CB4" w:rsidP="00395B38"/>
    <w:p w14:paraId="496490FC" w14:textId="1A5F3FDB" w:rsidR="00D91CB4" w:rsidRPr="00123F1B" w:rsidRDefault="00BA55A8" w:rsidP="00395B38">
      <w:pPr>
        <w:pStyle w:val="Ttulo3"/>
        <w:rPr>
          <w:rFonts w:eastAsia="Calibri"/>
          <w:lang w:eastAsia="es-ES_tradnl"/>
        </w:rPr>
      </w:pPr>
      <w:bookmarkStart w:id="22" w:name="_Toc211450105"/>
      <w:r w:rsidRPr="00123F1B">
        <w:rPr>
          <w:rFonts w:eastAsia="Calibri"/>
          <w:lang w:eastAsia="es-ES_tradnl"/>
        </w:rPr>
        <w:t>c)</w:t>
      </w:r>
      <w:r w:rsidR="00664420" w:rsidRPr="00123F1B">
        <w:rPr>
          <w:rFonts w:eastAsia="Calibri"/>
          <w:lang w:eastAsia="es-ES_tradnl"/>
        </w:rPr>
        <w:t xml:space="preserve"> </w:t>
      </w:r>
      <w:r w:rsidR="00D91CB4" w:rsidRPr="00123F1B">
        <w:rPr>
          <w:rFonts w:eastAsia="Calibri"/>
          <w:lang w:eastAsia="es-ES_tradnl"/>
        </w:rPr>
        <w:t>Plazo para interponer el recurso</w:t>
      </w:r>
      <w:bookmarkEnd w:id="22"/>
    </w:p>
    <w:p w14:paraId="4BAC4A62" w14:textId="51B10032" w:rsidR="00B4748E" w:rsidRPr="00123F1B" w:rsidRDefault="00F65DE0" w:rsidP="00395B38">
      <w:pPr>
        <w:autoSpaceDE w:val="0"/>
        <w:autoSpaceDN w:val="0"/>
        <w:adjustRightInd w:val="0"/>
        <w:ind w:right="49"/>
        <w:rPr>
          <w:rFonts w:cs="Arial"/>
        </w:rPr>
      </w:pPr>
      <w:r w:rsidRPr="00123F1B">
        <w:rPr>
          <w:rFonts w:cs="Arial"/>
        </w:rPr>
        <w:t xml:space="preserve">Es de precisar que la Ley de Transparencia </w:t>
      </w:r>
      <w:r w:rsidRPr="00123F1B">
        <w:t>y Acceso a la Información Pública del Estado de México y Municipios</w:t>
      </w:r>
      <w:r w:rsidRPr="00123F1B">
        <w:rPr>
          <w:rFonts w:cs="Arial"/>
        </w:rPr>
        <w:t xml:space="preserve">, </w:t>
      </w:r>
      <w:r w:rsidR="00B4748E" w:rsidRPr="00123F1B">
        <w:rPr>
          <w:rFonts w:cs="Arial"/>
        </w:rPr>
        <w:t>describe el término de procedencia de</w:t>
      </w:r>
      <w:r w:rsidR="00D10E9B" w:rsidRPr="00123F1B">
        <w:rPr>
          <w:rFonts w:cs="Arial"/>
        </w:rPr>
        <w:t>l</w:t>
      </w:r>
      <w:r w:rsidR="00B4748E" w:rsidRPr="00123F1B">
        <w:rPr>
          <w:rFonts w:cs="Arial"/>
        </w:rPr>
        <w:t xml:space="preserve"> Recurso</w:t>
      </w:r>
      <w:r w:rsidR="00D10E9B" w:rsidRPr="00123F1B">
        <w:rPr>
          <w:rFonts w:cs="Arial"/>
        </w:rPr>
        <w:t xml:space="preserve"> de</w:t>
      </w:r>
      <w:r w:rsidR="00B4748E" w:rsidRPr="00123F1B">
        <w:rPr>
          <w:rFonts w:cs="Arial"/>
        </w:rPr>
        <w:t xml:space="preserve"> Revisión, como se puede apreciar en el siguiente artículo:</w:t>
      </w:r>
    </w:p>
    <w:p w14:paraId="53530677" w14:textId="77777777" w:rsidR="00BF2A3F" w:rsidRPr="00123F1B" w:rsidRDefault="00BF2A3F" w:rsidP="00395B38">
      <w:pPr>
        <w:autoSpaceDE w:val="0"/>
        <w:autoSpaceDN w:val="0"/>
        <w:adjustRightInd w:val="0"/>
        <w:ind w:right="49"/>
        <w:rPr>
          <w:rFonts w:cs="Arial"/>
        </w:rPr>
      </w:pPr>
    </w:p>
    <w:p w14:paraId="442FED11" w14:textId="77777777" w:rsidR="00F65DE0" w:rsidRPr="00123F1B" w:rsidRDefault="00F65DE0" w:rsidP="00395B38">
      <w:pPr>
        <w:autoSpaceDE w:val="0"/>
        <w:autoSpaceDN w:val="0"/>
        <w:adjustRightInd w:val="0"/>
        <w:spacing w:line="240" w:lineRule="auto"/>
        <w:ind w:left="851" w:right="902"/>
        <w:rPr>
          <w:rFonts w:cs="Arial"/>
          <w:i/>
          <w:szCs w:val="22"/>
        </w:rPr>
      </w:pPr>
      <w:r w:rsidRPr="00123F1B">
        <w:rPr>
          <w:rFonts w:cs="Arial"/>
          <w:b/>
          <w:i/>
          <w:szCs w:val="22"/>
        </w:rPr>
        <w:t>“Artículo 163.</w:t>
      </w:r>
      <w:r w:rsidRPr="00123F1B">
        <w:rPr>
          <w:rFonts w:cs="Arial"/>
          <w:i/>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23F1B" w:rsidRDefault="00F65DE0" w:rsidP="00395B38">
      <w:pPr>
        <w:autoSpaceDE w:val="0"/>
        <w:autoSpaceDN w:val="0"/>
        <w:adjustRightInd w:val="0"/>
        <w:spacing w:line="240" w:lineRule="auto"/>
        <w:ind w:left="851" w:right="902"/>
        <w:rPr>
          <w:rFonts w:cs="Arial"/>
          <w:i/>
          <w:szCs w:val="22"/>
        </w:rPr>
      </w:pPr>
    </w:p>
    <w:p w14:paraId="76F65309" w14:textId="77777777" w:rsidR="00F65DE0" w:rsidRPr="00123F1B" w:rsidRDefault="00F65DE0" w:rsidP="00395B38">
      <w:pPr>
        <w:autoSpaceDE w:val="0"/>
        <w:autoSpaceDN w:val="0"/>
        <w:adjustRightInd w:val="0"/>
        <w:spacing w:line="240" w:lineRule="auto"/>
        <w:ind w:left="851" w:right="902"/>
        <w:rPr>
          <w:rFonts w:cs="Arial"/>
          <w:i/>
          <w:szCs w:val="22"/>
        </w:rPr>
      </w:pPr>
      <w:r w:rsidRPr="00123F1B">
        <w:rPr>
          <w:rFonts w:cs="Arial"/>
          <w:i/>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123F1B" w:rsidRDefault="00B4748E" w:rsidP="00395B38">
      <w:pPr>
        <w:rPr>
          <w:rFonts w:cs="Arial"/>
        </w:rPr>
      </w:pPr>
    </w:p>
    <w:p w14:paraId="40A0EF0C" w14:textId="77777777" w:rsidR="00F65DE0" w:rsidRPr="00123F1B" w:rsidRDefault="00F65DE0" w:rsidP="00395B38">
      <w:pPr>
        <w:rPr>
          <w:rFonts w:cs="Arial"/>
        </w:rPr>
      </w:pPr>
      <w:r w:rsidRPr="00123F1B">
        <w:rPr>
          <w:rFonts w:cs="Arial"/>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123F1B" w:rsidRDefault="00F65DE0" w:rsidP="00395B38">
      <w:pPr>
        <w:rPr>
          <w:rFonts w:cs="Arial"/>
        </w:rPr>
      </w:pPr>
    </w:p>
    <w:p w14:paraId="7D96F726" w14:textId="77777777" w:rsidR="00F65DE0" w:rsidRPr="00123F1B" w:rsidRDefault="00F65DE0" w:rsidP="00395B38">
      <w:pPr>
        <w:rPr>
          <w:rFonts w:cs="Arial"/>
        </w:rPr>
      </w:pPr>
      <w:r w:rsidRPr="00123F1B">
        <w:rPr>
          <w:rFonts w:cs="Arial"/>
        </w:rPr>
        <w:t xml:space="preserve">Derivado de lo anterior, se constituye la figura jurídica de la </w:t>
      </w:r>
      <w:r w:rsidRPr="00123F1B">
        <w:rPr>
          <w:rFonts w:cs="Arial"/>
          <w:b/>
        </w:rPr>
        <w:t>NEGATIVA FICTA</w:t>
      </w:r>
      <w:r w:rsidRPr="00123F1B">
        <w:rPr>
          <w:rFonts w:cs="Arial"/>
        </w:rPr>
        <w:t>, la cual consiste en atribuir un efecto negativo al silencio de la autoridad administrativa frente a las instancias y solicitudes que hagan los particulares.</w:t>
      </w:r>
    </w:p>
    <w:p w14:paraId="23947A0C" w14:textId="77777777" w:rsidR="00F65DE0" w:rsidRPr="00123F1B" w:rsidRDefault="00F65DE0" w:rsidP="00395B38">
      <w:pPr>
        <w:rPr>
          <w:rFonts w:cs="Arial"/>
          <w:szCs w:val="28"/>
        </w:rPr>
      </w:pPr>
    </w:p>
    <w:p w14:paraId="121AE0F9" w14:textId="77777777" w:rsidR="00F65DE0" w:rsidRPr="00123F1B" w:rsidRDefault="00F65DE0" w:rsidP="00395B38">
      <w:pPr>
        <w:rPr>
          <w:rFonts w:cs="Arial"/>
        </w:rPr>
      </w:pPr>
      <w:r w:rsidRPr="00123F1B">
        <w:rPr>
          <w:rFonts w:cs="Arial"/>
        </w:rPr>
        <w:t>Por su parte, el artículo 178 de la Ley de Transparencia local, establece:</w:t>
      </w:r>
    </w:p>
    <w:p w14:paraId="332BEA55" w14:textId="77777777" w:rsidR="00BF2A3F" w:rsidRPr="00123F1B" w:rsidRDefault="00BF2A3F" w:rsidP="00395B38">
      <w:pPr>
        <w:rPr>
          <w:rFonts w:cs="Arial"/>
          <w:szCs w:val="24"/>
        </w:rPr>
      </w:pPr>
    </w:p>
    <w:p w14:paraId="2C35764B" w14:textId="77777777" w:rsidR="00F65DE0" w:rsidRPr="00123F1B" w:rsidRDefault="00F65DE0" w:rsidP="00395B38">
      <w:pPr>
        <w:pStyle w:val="Puesto"/>
        <w:ind w:left="851" w:right="822"/>
      </w:pPr>
      <w:r w:rsidRPr="00123F1B">
        <w:rPr>
          <w:b/>
        </w:rPr>
        <w:t xml:space="preserve">“Artículo 178. </w:t>
      </w:r>
      <w:r w:rsidRPr="00123F1B">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23F1B" w:rsidRDefault="00F65DE0" w:rsidP="00395B38">
      <w:pPr>
        <w:pStyle w:val="Puesto"/>
        <w:ind w:left="851" w:right="822"/>
      </w:pPr>
    </w:p>
    <w:p w14:paraId="3A3BCDBD" w14:textId="77777777" w:rsidR="00F65DE0" w:rsidRPr="00123F1B" w:rsidRDefault="00F65DE0" w:rsidP="00395B38">
      <w:pPr>
        <w:pStyle w:val="Puesto"/>
        <w:ind w:left="851" w:right="822"/>
      </w:pPr>
      <w:r w:rsidRPr="00123F1B">
        <w:rPr>
          <w:b/>
          <w:u w:val="single"/>
        </w:rPr>
        <w:t>A falta de respuesta del sujeto obligado, dentro de los plazos establecidos en esta Ley, a una solicitud de acceso a la Información Pública, el recurso podrá ser interpuesto en cualquier momento</w:t>
      </w:r>
      <w:r w:rsidRPr="00123F1B">
        <w:t>, acompañado con el documento que pruebe la fecha en que presentó la solicitud.</w:t>
      </w:r>
    </w:p>
    <w:p w14:paraId="2350A8F3" w14:textId="77777777" w:rsidR="00F65DE0" w:rsidRPr="00123F1B" w:rsidRDefault="00F65DE0" w:rsidP="00395B38">
      <w:pPr>
        <w:pStyle w:val="Puesto"/>
        <w:ind w:left="851" w:right="822"/>
      </w:pPr>
    </w:p>
    <w:p w14:paraId="686E2B39" w14:textId="77777777" w:rsidR="00F65DE0" w:rsidRPr="00123F1B" w:rsidRDefault="00F65DE0" w:rsidP="00395B38">
      <w:pPr>
        <w:pStyle w:val="Puesto"/>
        <w:ind w:left="851" w:right="822"/>
      </w:pPr>
      <w:r w:rsidRPr="00123F1B">
        <w:t>En el caso de que se interponga ante la Unidad de Transparencia, ésta deberá remitir el Recurso Revisión al Instituto a más tardar al día siguiente de haberlo recibido.”</w:t>
      </w:r>
    </w:p>
    <w:p w14:paraId="657D0558" w14:textId="77777777" w:rsidR="00F65DE0" w:rsidRPr="00123F1B" w:rsidRDefault="00F65DE0" w:rsidP="00395B38">
      <w:pPr>
        <w:pStyle w:val="Puesto"/>
        <w:ind w:left="851" w:right="822"/>
      </w:pPr>
      <w:r w:rsidRPr="00123F1B">
        <w:t xml:space="preserve">(Énfasis añadido) </w:t>
      </w:r>
    </w:p>
    <w:p w14:paraId="0842E06E" w14:textId="77777777" w:rsidR="00F65DE0" w:rsidRPr="00123F1B" w:rsidRDefault="00F65DE0" w:rsidP="00395B38">
      <w:pPr>
        <w:rPr>
          <w:rFonts w:cs="Arial"/>
          <w:sz w:val="20"/>
          <w:szCs w:val="24"/>
        </w:rPr>
      </w:pPr>
    </w:p>
    <w:p w14:paraId="08A89F2D" w14:textId="77777777" w:rsidR="00F65DE0" w:rsidRPr="00123F1B" w:rsidRDefault="00F65DE0" w:rsidP="00395B38">
      <w:pPr>
        <w:rPr>
          <w:rFonts w:cs="Arial"/>
          <w:b/>
        </w:rPr>
      </w:pPr>
      <w:r w:rsidRPr="00123F1B">
        <w:rPr>
          <w:rFonts w:cs="Arial"/>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23F1B">
        <w:rPr>
          <w:rFonts w:cs="Arial"/>
          <w:b/>
        </w:rPr>
        <w:t>SUJETO OBLIGADO.</w:t>
      </w:r>
    </w:p>
    <w:p w14:paraId="446BC28D" w14:textId="77777777" w:rsidR="00FC7AEF" w:rsidRPr="00123F1B" w:rsidRDefault="00FC7AEF" w:rsidP="00395B38">
      <w:pPr>
        <w:rPr>
          <w:rFonts w:cs="Arial"/>
          <w:b/>
          <w:sz w:val="24"/>
        </w:rPr>
      </w:pPr>
    </w:p>
    <w:p w14:paraId="106D37EE" w14:textId="10EB7C60" w:rsidR="00D91CB4" w:rsidRPr="00123F1B" w:rsidRDefault="00F65DE0" w:rsidP="00395B38">
      <w:pPr>
        <w:rPr>
          <w:rFonts w:eastAsia="Calibri"/>
          <w:lang w:eastAsia="es-ES_tradnl"/>
        </w:rPr>
      </w:pPr>
      <w:r w:rsidRPr="00123F1B">
        <w:rPr>
          <w:rFonts w:cs="Arial"/>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23F1B">
        <w:rPr>
          <w:rFonts w:cs="Tahoma"/>
          <w:b/>
          <w:szCs w:val="24"/>
        </w:rPr>
        <w:t>LA PARTE RECURRENTE</w:t>
      </w:r>
      <w:r w:rsidRPr="00123F1B">
        <w:rPr>
          <w:rFonts w:cs="Arial"/>
          <w:b/>
        </w:rPr>
        <w:t xml:space="preserve"> </w:t>
      </w:r>
      <w:r w:rsidRPr="00123F1B">
        <w:rPr>
          <w:rFonts w:cs="Arial"/>
        </w:rPr>
        <w:t>está en libertad de presentar su medio de impugnación en cualquier momento; en consecuencia, se tiene que el presente recurso se interpuso oportunamente.</w:t>
      </w:r>
    </w:p>
    <w:p w14:paraId="49076992" w14:textId="77777777" w:rsidR="00D91CB4" w:rsidRPr="00123F1B" w:rsidRDefault="00D91CB4" w:rsidP="00395B38">
      <w:pPr>
        <w:rPr>
          <w:rFonts w:eastAsia="Palatino Linotype" w:cs="Palatino Linotype"/>
          <w:sz w:val="18"/>
        </w:rPr>
      </w:pPr>
    </w:p>
    <w:p w14:paraId="46C0EB3A" w14:textId="0F931891" w:rsidR="00A53315" w:rsidRPr="00123F1B" w:rsidRDefault="00BA55A8" w:rsidP="00395B38">
      <w:pPr>
        <w:pStyle w:val="Ttulo3"/>
        <w:rPr>
          <w:rFonts w:eastAsia="Calibri"/>
          <w:lang w:eastAsia="es-ES_tradnl"/>
        </w:rPr>
      </w:pPr>
      <w:bookmarkStart w:id="23" w:name="_Toc211450106"/>
      <w:r w:rsidRPr="00123F1B">
        <w:rPr>
          <w:rFonts w:eastAsia="Calibri"/>
          <w:lang w:eastAsia="es-ES_tradnl"/>
        </w:rPr>
        <w:t>d)</w:t>
      </w:r>
      <w:r w:rsidR="00D91CB4" w:rsidRPr="00123F1B">
        <w:rPr>
          <w:rFonts w:eastAsia="Calibri"/>
          <w:lang w:eastAsia="es-ES_tradnl"/>
        </w:rPr>
        <w:t xml:space="preserve"> </w:t>
      </w:r>
      <w:r w:rsidR="0087127C" w:rsidRPr="00123F1B">
        <w:rPr>
          <w:rFonts w:eastAsia="Calibri"/>
          <w:lang w:eastAsia="es-ES_tradnl"/>
        </w:rPr>
        <w:t>Causal de procedencia</w:t>
      </w:r>
      <w:bookmarkEnd w:id="23"/>
      <w:r w:rsidR="0087127C" w:rsidRPr="00123F1B">
        <w:rPr>
          <w:rFonts w:eastAsia="Calibri"/>
          <w:lang w:eastAsia="es-ES_tradnl"/>
        </w:rPr>
        <w:t xml:space="preserve"> </w:t>
      </w:r>
    </w:p>
    <w:p w14:paraId="5ED6B03C" w14:textId="7624B487" w:rsidR="002A6D1F" w:rsidRPr="00123F1B" w:rsidRDefault="002A6D1F" w:rsidP="00395B38">
      <w:pPr>
        <w:textAlignment w:val="baseline"/>
        <w:rPr>
          <w:rFonts w:cs="Arial"/>
          <w:lang w:eastAsia="es-MX"/>
        </w:rPr>
      </w:pPr>
      <w:r w:rsidRPr="00123F1B">
        <w:rPr>
          <w:rFonts w:cs="Arial"/>
        </w:rPr>
        <w:t>Resulta procedente la interposición de</w:t>
      </w:r>
      <w:r w:rsidR="00D10E9B" w:rsidRPr="00123F1B">
        <w:rPr>
          <w:rFonts w:cs="Arial"/>
        </w:rPr>
        <w:t>l</w:t>
      </w:r>
      <w:r w:rsidRPr="00123F1B">
        <w:rPr>
          <w:rFonts w:cs="Arial"/>
        </w:rPr>
        <w:t xml:space="preserve"> recurso de revisión, ya que </w:t>
      </w:r>
      <w:r w:rsidRPr="00123F1B">
        <w:rPr>
          <w:rFonts w:eastAsia="Calibri" w:cs="Tahoma"/>
          <w:szCs w:val="22"/>
          <w:lang w:eastAsia="es-MX"/>
        </w:rPr>
        <w:t>se actualiza la causal de procedencia señalada en el artículo 179, fracción VII</w:t>
      </w:r>
      <w:r w:rsidRPr="00123F1B">
        <w:rPr>
          <w:rFonts w:cs="Arial"/>
        </w:rPr>
        <w:t xml:space="preserve"> de la </w:t>
      </w:r>
      <w:r w:rsidRPr="00123F1B">
        <w:t xml:space="preserve">Ley de Transparencia y Acceso a la Información Pública del Estado de México y Municipios, </w:t>
      </w:r>
      <w:r w:rsidRPr="00123F1B">
        <w:rPr>
          <w:rFonts w:cs="Arial"/>
          <w:lang w:eastAsia="es-MX"/>
        </w:rPr>
        <w:t>la cual dispone:</w:t>
      </w:r>
    </w:p>
    <w:p w14:paraId="36C99652" w14:textId="77777777" w:rsidR="00BF2A3F" w:rsidRPr="00123F1B" w:rsidRDefault="00BF2A3F" w:rsidP="00395B38">
      <w:pPr>
        <w:textAlignment w:val="baseline"/>
        <w:rPr>
          <w:rFonts w:cs="Arial"/>
          <w:lang w:eastAsia="es-MX"/>
        </w:rPr>
      </w:pPr>
    </w:p>
    <w:p w14:paraId="6D33CB3B" w14:textId="77777777" w:rsidR="002A6D1F" w:rsidRPr="00123F1B" w:rsidRDefault="002A6D1F" w:rsidP="00395B38">
      <w:pPr>
        <w:pStyle w:val="Puesto"/>
      </w:pPr>
      <w:r w:rsidRPr="00123F1B">
        <w:t>“</w:t>
      </w:r>
      <w:r w:rsidRPr="00123F1B">
        <w:rPr>
          <w:b/>
        </w:rPr>
        <w:t>Artículo 179.</w:t>
      </w:r>
      <w:r w:rsidRPr="00123F1B">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123F1B" w:rsidRDefault="002A6D1F" w:rsidP="00395B38">
      <w:pPr>
        <w:pStyle w:val="Puesto"/>
      </w:pPr>
      <w:r w:rsidRPr="00123F1B">
        <w:t>…</w:t>
      </w:r>
    </w:p>
    <w:p w14:paraId="1CB07DC2" w14:textId="77777777" w:rsidR="002A6D1F" w:rsidRPr="00123F1B" w:rsidRDefault="002A6D1F" w:rsidP="00395B38">
      <w:pPr>
        <w:pStyle w:val="Puesto"/>
      </w:pPr>
      <w:r w:rsidRPr="00123F1B">
        <w:rPr>
          <w:b/>
        </w:rPr>
        <w:t>VII. La falta de respuesta a una solicitud de acceso a la información</w:t>
      </w:r>
      <w:r w:rsidRPr="00123F1B">
        <w:t>;</w:t>
      </w:r>
    </w:p>
    <w:p w14:paraId="39D54355" w14:textId="77777777" w:rsidR="002A6D1F" w:rsidRPr="00123F1B" w:rsidRDefault="002A6D1F" w:rsidP="00395B38">
      <w:pPr>
        <w:pStyle w:val="Puesto"/>
        <w:rPr>
          <w:b/>
        </w:rPr>
      </w:pPr>
      <w:r w:rsidRPr="00123F1B">
        <w:rPr>
          <w:b/>
        </w:rPr>
        <w:t>…</w:t>
      </w:r>
    </w:p>
    <w:p w14:paraId="4584F523" w14:textId="77777777" w:rsidR="002A6D1F" w:rsidRPr="00123F1B" w:rsidRDefault="002A6D1F" w:rsidP="00395B38">
      <w:pPr>
        <w:pStyle w:val="Puesto"/>
      </w:pPr>
      <w:r w:rsidRPr="00123F1B">
        <w:t>(Énfasis añadido).</w:t>
      </w:r>
    </w:p>
    <w:p w14:paraId="6E98A0A7" w14:textId="77777777" w:rsidR="00BF2A3F" w:rsidRPr="00123F1B" w:rsidRDefault="00BF2A3F" w:rsidP="00395B38"/>
    <w:p w14:paraId="18BD10B7" w14:textId="606A4C94" w:rsidR="002A6D1F" w:rsidRPr="00123F1B" w:rsidRDefault="002A6D1F" w:rsidP="00395B38">
      <w:pPr>
        <w:widowControl w:val="0"/>
        <w:rPr>
          <w:rFonts w:eastAsia="Palatino Linotype" w:cs="Palatino Linotype"/>
        </w:rPr>
      </w:pPr>
      <w:r w:rsidRPr="00123F1B">
        <w:rPr>
          <w:rFonts w:eastAsia="Palatino Linotype" w:cs="Palatino Linotype"/>
        </w:rPr>
        <w:t>El precepto legal citado, establece como supuesto de procedencia de</w:t>
      </w:r>
      <w:r w:rsidR="00D10E9B" w:rsidRPr="00123F1B">
        <w:rPr>
          <w:rFonts w:eastAsia="Palatino Linotype" w:cs="Palatino Linotype"/>
        </w:rPr>
        <w:t>l</w:t>
      </w:r>
      <w:r w:rsidRPr="00123F1B">
        <w:rPr>
          <w:rFonts w:eastAsia="Palatino Linotype" w:cs="Palatino Linotype"/>
        </w:rPr>
        <w:t xml:space="preserve"> Recurso de Revisión, en aquellos casos en que </w:t>
      </w:r>
      <w:r w:rsidRPr="00123F1B">
        <w:rPr>
          <w:rFonts w:eastAsia="Palatino Linotype" w:cs="Palatino Linotype"/>
          <w:b/>
        </w:rPr>
        <w:t>EL SUJETO OBLIGADO</w:t>
      </w:r>
      <w:r w:rsidRPr="00123F1B">
        <w:rPr>
          <w:rFonts w:eastAsia="Palatino Linotype" w:cs="Palatino Linotype"/>
        </w:rPr>
        <w:t xml:space="preserve"> no dé respuesta a lo solicitado; por lo que, en el presente caso, se actualiza dicha causal, ya que </w:t>
      </w:r>
      <w:r w:rsidRPr="00123F1B">
        <w:rPr>
          <w:rFonts w:eastAsia="Palatino Linotype" w:cs="Palatino Linotype"/>
          <w:b/>
        </w:rPr>
        <w:t>EL SUJETO OBLIGADO</w:t>
      </w:r>
      <w:r w:rsidRPr="00123F1B">
        <w:rPr>
          <w:rFonts w:eastAsia="Palatino Linotype" w:cs="Palatino Linotype"/>
        </w:rPr>
        <w:t xml:space="preserve"> omitió dar la </w:t>
      </w:r>
      <w:r w:rsidRPr="00123F1B">
        <w:rPr>
          <w:rFonts w:eastAsia="Palatino Linotype" w:cs="Palatino Linotype"/>
        </w:rPr>
        <w:lastRenderedPageBreak/>
        <w:t xml:space="preserve">respuesta a lo requerido por </w:t>
      </w:r>
      <w:r w:rsidRPr="00123F1B">
        <w:rPr>
          <w:rFonts w:eastAsia="Palatino Linotype" w:cs="Palatino Linotype"/>
          <w:b/>
        </w:rPr>
        <w:t xml:space="preserve">LA PARTE RECURRENTE </w:t>
      </w:r>
      <w:r w:rsidRPr="00123F1B">
        <w:rPr>
          <w:rFonts w:eastAsia="Palatino Linotype" w:cs="Palatino Linotype"/>
        </w:rPr>
        <w:t xml:space="preserve">en su solicitud de acceso a la Información Pública; atento a ello, este Órgano Garante considera que las razones o motivos de inconformidad son </w:t>
      </w:r>
      <w:r w:rsidRPr="00123F1B">
        <w:rPr>
          <w:rFonts w:eastAsia="Palatino Linotype" w:cs="Palatino Linotype"/>
          <w:b/>
        </w:rPr>
        <w:t>fundados</w:t>
      </w:r>
      <w:r w:rsidRPr="00123F1B">
        <w:rPr>
          <w:rFonts w:eastAsia="Palatino Linotype" w:cs="Palatino Linotype"/>
        </w:rPr>
        <w:t>.</w:t>
      </w:r>
    </w:p>
    <w:p w14:paraId="705810D7" w14:textId="77777777" w:rsidR="00BF2A3F" w:rsidRPr="00123F1B" w:rsidRDefault="00BF2A3F" w:rsidP="00395B38">
      <w:pPr>
        <w:widowControl w:val="0"/>
        <w:rPr>
          <w:rFonts w:eastAsia="Palatino Linotype" w:cs="Palatino Linotype"/>
        </w:rPr>
      </w:pPr>
    </w:p>
    <w:p w14:paraId="2284D7EB" w14:textId="3EE1D036" w:rsidR="00BA55A8" w:rsidRPr="00123F1B" w:rsidRDefault="00362A11" w:rsidP="00395B38">
      <w:pPr>
        <w:pStyle w:val="Ttulo3"/>
      </w:pPr>
      <w:bookmarkStart w:id="24" w:name="_Toc211450107"/>
      <w:r w:rsidRPr="00123F1B">
        <w:t>e) Requisitos formales para la interposición del recurso</w:t>
      </w:r>
      <w:bookmarkEnd w:id="24"/>
    </w:p>
    <w:p w14:paraId="1D6205E1" w14:textId="77777777" w:rsidR="00AA7147" w:rsidRPr="00123F1B" w:rsidRDefault="00AA7147" w:rsidP="00395B38">
      <w:pPr>
        <w:rPr>
          <w:rFonts w:cs="Arial"/>
        </w:rPr>
      </w:pPr>
      <w:r w:rsidRPr="00123F1B">
        <w:t xml:space="preserve">Es importante mencionar que, de la revisión del expediente electrónico del </w:t>
      </w:r>
      <w:r w:rsidRPr="00123F1B">
        <w:rPr>
          <w:bCs/>
        </w:rPr>
        <w:t>SAIMEX,</w:t>
      </w:r>
      <w:r w:rsidRPr="00123F1B">
        <w:t xml:space="preserve"> se observa que </w:t>
      </w:r>
      <w:r w:rsidRPr="00123F1B">
        <w:rPr>
          <w:b/>
          <w:bCs/>
        </w:rPr>
        <w:t>LA PARTE RECURRENTE</w:t>
      </w:r>
      <w:r w:rsidRPr="00123F1B">
        <w:t xml:space="preserve"> no proporcionó su nombre para ser identificado, lo que en estricto sentido provoca que </w:t>
      </w:r>
      <w:r w:rsidRPr="00123F1B">
        <w:rPr>
          <w:rFonts w:cs="Arial"/>
        </w:rPr>
        <w:t>no</w:t>
      </w:r>
      <w:r w:rsidRPr="00123F1B">
        <w:t xml:space="preserve"> se colmen los requisitos establecidos en el artículo 180 de la Ley de Transparencia; sin embargo, el artículo 15 de </w:t>
      </w:r>
      <w:r w:rsidRPr="00123F1B">
        <w:rPr>
          <w:rFonts w:cs="Arial"/>
          <w:lang w:eastAsia="es-MX"/>
        </w:rPr>
        <w:t xml:space="preserve">Ley de Transparencia y Acceso a la </w:t>
      </w:r>
      <w:r w:rsidRPr="00123F1B">
        <w:rPr>
          <w:rFonts w:cs="Arial"/>
        </w:rPr>
        <w:t>Información</w:t>
      </w:r>
      <w:r w:rsidRPr="00123F1B">
        <w:rPr>
          <w:rFonts w:cs="Arial"/>
          <w:lang w:eastAsia="es-MX"/>
        </w:rPr>
        <w:t xml:space="preserve"> Pública del Estado de México y Municipios </w:t>
      </w:r>
      <w:r w:rsidRPr="00123F1B">
        <w:rPr>
          <w:rFonts w:cs="Arial"/>
          <w:iCs/>
        </w:rPr>
        <w:t xml:space="preserve">prevé que </w:t>
      </w:r>
      <w:r w:rsidRPr="00123F1B">
        <w:t xml:space="preserve">toda persona tendrá acceso a la información </w:t>
      </w:r>
      <w:r w:rsidRPr="00123F1B">
        <w:rPr>
          <w:rFonts w:cs="Arial"/>
        </w:rPr>
        <w:t xml:space="preserve">sin necesidad de acreditar interés alguno o justificar su utilización, de lo que se infiere que </w:t>
      </w:r>
      <w:r w:rsidRPr="00123F1B">
        <w:rPr>
          <w:rFonts w:cs="Arial"/>
          <w:b/>
          <w:u w:val="single"/>
        </w:rPr>
        <w:t xml:space="preserve">el nombre no es un requisito </w:t>
      </w:r>
      <w:r w:rsidRPr="00123F1B">
        <w:rPr>
          <w:rFonts w:cs="Arial"/>
          <w:b/>
          <w:iCs/>
          <w:u w:val="single"/>
        </w:rPr>
        <w:t>indispensable</w:t>
      </w:r>
      <w:r w:rsidRPr="00123F1B">
        <w:rPr>
          <w:rFonts w:cs="Arial"/>
        </w:rPr>
        <w:t xml:space="preserve"> para que las y los ciudadanos ejerzan el derecho de acceso a la información pública. </w:t>
      </w:r>
    </w:p>
    <w:p w14:paraId="54883DDD" w14:textId="77777777" w:rsidR="00AA7147" w:rsidRPr="00123F1B" w:rsidRDefault="00AA7147" w:rsidP="00395B38">
      <w:pPr>
        <w:rPr>
          <w:rFonts w:cs="Arial"/>
          <w:sz w:val="24"/>
          <w:szCs w:val="24"/>
        </w:rPr>
      </w:pPr>
    </w:p>
    <w:p w14:paraId="09BA18D0" w14:textId="77777777" w:rsidR="00AA7147" w:rsidRPr="00123F1B" w:rsidRDefault="00AA7147" w:rsidP="00395B38">
      <w:r w:rsidRPr="00123F1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23F1B">
        <w:rPr>
          <w:b/>
          <w:bCs/>
        </w:rPr>
        <w:t>LA PARTE RECURRENTE</w:t>
      </w:r>
      <w:r w:rsidRPr="00123F1B">
        <w:rPr>
          <w:b/>
        </w:rPr>
        <w:t>;</w:t>
      </w:r>
      <w:r w:rsidRPr="00123F1B">
        <w:t xml:space="preserve"> por lo que, en el presente caso, al haber sido presentado el recurso de revisión vía </w:t>
      </w:r>
      <w:r w:rsidRPr="00123F1B">
        <w:rPr>
          <w:bCs/>
        </w:rPr>
        <w:t>SAIMEX</w:t>
      </w:r>
      <w:r w:rsidRPr="00123F1B">
        <w:t>, dicho requisito resulta innecesario.</w:t>
      </w:r>
    </w:p>
    <w:p w14:paraId="20AB0FD7" w14:textId="77777777" w:rsidR="0055289D" w:rsidRPr="00123F1B" w:rsidRDefault="0055289D" w:rsidP="00395B38">
      <w:pPr>
        <w:rPr>
          <w:rFonts w:cs="Arial"/>
        </w:rPr>
      </w:pPr>
    </w:p>
    <w:p w14:paraId="457548E9" w14:textId="04B4A1AD" w:rsidR="00C71CEF" w:rsidRPr="00123F1B" w:rsidRDefault="00C71CEF" w:rsidP="00395B38">
      <w:pPr>
        <w:pStyle w:val="Ttulo2"/>
      </w:pPr>
      <w:bookmarkStart w:id="25" w:name="_Toc211450108"/>
      <w:r w:rsidRPr="00123F1B">
        <w:lastRenderedPageBreak/>
        <w:t>SEGUNDO. Estudio de Fondo</w:t>
      </w:r>
      <w:bookmarkEnd w:id="25"/>
    </w:p>
    <w:p w14:paraId="2A308F59" w14:textId="0FF373F0" w:rsidR="00C049E2" w:rsidRPr="00123F1B" w:rsidRDefault="00C71CEF" w:rsidP="00395B38">
      <w:pPr>
        <w:pStyle w:val="Ttulo3"/>
      </w:pPr>
      <w:bookmarkStart w:id="26" w:name="_Toc211450109"/>
      <w:r w:rsidRPr="00123F1B">
        <w:t>a</w:t>
      </w:r>
      <w:r w:rsidR="00C049E2" w:rsidRPr="00123F1B">
        <w:t>) Mandato de transparencia y responsabilidad del Sujeto Obligado</w:t>
      </w:r>
      <w:bookmarkEnd w:id="26"/>
    </w:p>
    <w:p w14:paraId="6901A889" w14:textId="59EEDAE1" w:rsidR="00C049E2" w:rsidRPr="00123F1B" w:rsidRDefault="00C049E2" w:rsidP="00395B38">
      <w:pPr>
        <w:rPr>
          <w:rFonts w:eastAsia="Palatino Linotype"/>
        </w:rPr>
      </w:pPr>
      <w:r w:rsidRPr="00123F1B">
        <w:rPr>
          <w:rFonts w:eastAsia="Palatino Linotype"/>
        </w:rPr>
        <w:t xml:space="preserve">El </w:t>
      </w:r>
      <w:r w:rsidR="00717E59" w:rsidRPr="00123F1B">
        <w:rPr>
          <w:rFonts w:eastAsia="Palatino Linotype"/>
        </w:rPr>
        <w:t>d</w:t>
      </w:r>
      <w:r w:rsidRPr="00123F1B">
        <w:rPr>
          <w:rFonts w:eastAsia="Palatino Linotype"/>
        </w:rPr>
        <w:t xml:space="preserve">erecho de </w:t>
      </w:r>
      <w:r w:rsidR="00717E59" w:rsidRPr="00123F1B">
        <w:rPr>
          <w:rFonts w:eastAsia="Palatino Linotype"/>
        </w:rPr>
        <w:t>a</w:t>
      </w:r>
      <w:r w:rsidRPr="00123F1B">
        <w:rPr>
          <w:rFonts w:eastAsia="Palatino Linotype"/>
        </w:rPr>
        <w:t xml:space="preserve">cceso a la </w:t>
      </w:r>
      <w:r w:rsidR="00717E59" w:rsidRPr="00123F1B">
        <w:rPr>
          <w:rFonts w:eastAsia="Palatino Linotype"/>
        </w:rPr>
        <w:t>i</w:t>
      </w:r>
      <w:r w:rsidRPr="00123F1B">
        <w:rPr>
          <w:rFonts w:eastAsia="Palatino Linotype"/>
        </w:rPr>
        <w:t xml:space="preserve">nformación </w:t>
      </w:r>
      <w:r w:rsidR="00717E59" w:rsidRPr="00123F1B">
        <w:rPr>
          <w:rFonts w:eastAsia="Palatino Linotype"/>
        </w:rPr>
        <w:t>p</w:t>
      </w:r>
      <w:r w:rsidRPr="00123F1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23F1B">
        <w:rPr>
          <w:rFonts w:eastAsia="Palatino Linotype"/>
        </w:rPr>
        <w:t>:</w:t>
      </w:r>
    </w:p>
    <w:p w14:paraId="7D8AF0C7" w14:textId="77777777" w:rsidR="00BF2A3F" w:rsidRPr="00123F1B" w:rsidRDefault="00BF2A3F" w:rsidP="00395B38">
      <w:pPr>
        <w:rPr>
          <w:rFonts w:eastAsia="Palatino Linotype"/>
        </w:rPr>
      </w:pPr>
    </w:p>
    <w:p w14:paraId="05320813" w14:textId="77777777" w:rsidR="00C049E2" w:rsidRPr="00123F1B" w:rsidRDefault="00C049E2" w:rsidP="00395B38">
      <w:pPr>
        <w:spacing w:line="240" w:lineRule="auto"/>
        <w:ind w:left="567" w:right="539"/>
        <w:rPr>
          <w:rFonts w:eastAsia="Palatino Linotype"/>
          <w:b/>
          <w:i/>
        </w:rPr>
      </w:pPr>
      <w:r w:rsidRPr="00123F1B">
        <w:rPr>
          <w:rFonts w:eastAsia="Palatino Linotype"/>
          <w:b/>
          <w:i/>
        </w:rPr>
        <w:t>Constitución Política de los Estados Unidos Mexicanos</w:t>
      </w:r>
    </w:p>
    <w:p w14:paraId="6B6C67B6" w14:textId="77777777" w:rsidR="00C049E2" w:rsidRPr="00123F1B" w:rsidRDefault="00C049E2" w:rsidP="00395B38">
      <w:pPr>
        <w:spacing w:line="240" w:lineRule="auto"/>
        <w:ind w:left="567" w:right="539"/>
        <w:rPr>
          <w:rFonts w:eastAsia="Palatino Linotype"/>
          <w:b/>
          <w:i/>
        </w:rPr>
      </w:pPr>
      <w:r w:rsidRPr="00123F1B">
        <w:rPr>
          <w:rFonts w:eastAsia="Palatino Linotype"/>
          <w:b/>
          <w:i/>
        </w:rPr>
        <w:t>“Artículo 6.</w:t>
      </w:r>
    </w:p>
    <w:p w14:paraId="38D3B4C4" w14:textId="77777777" w:rsidR="00C049E2" w:rsidRPr="00123F1B" w:rsidRDefault="00C049E2" w:rsidP="00395B38">
      <w:pPr>
        <w:spacing w:line="240" w:lineRule="auto"/>
        <w:ind w:left="567" w:right="539"/>
        <w:rPr>
          <w:rFonts w:eastAsia="Palatino Linotype"/>
          <w:i/>
        </w:rPr>
      </w:pPr>
      <w:r w:rsidRPr="00123F1B">
        <w:rPr>
          <w:rFonts w:eastAsia="Palatino Linotype"/>
          <w:i/>
        </w:rPr>
        <w:t>(…)</w:t>
      </w:r>
    </w:p>
    <w:p w14:paraId="2CCAA297" w14:textId="6602827B" w:rsidR="00C049E2" w:rsidRPr="00123F1B" w:rsidRDefault="00C049E2" w:rsidP="00395B38">
      <w:pPr>
        <w:spacing w:line="240" w:lineRule="auto"/>
        <w:ind w:left="567" w:right="539"/>
        <w:rPr>
          <w:rFonts w:eastAsia="Palatino Linotype"/>
          <w:i/>
        </w:rPr>
      </w:pPr>
      <w:r w:rsidRPr="00123F1B">
        <w:rPr>
          <w:rFonts w:eastAsia="Palatino Linotype"/>
          <w:i/>
        </w:rPr>
        <w:t>Para efectos de lo dispuesto en el presente artículo se observará lo siguiente:</w:t>
      </w:r>
    </w:p>
    <w:p w14:paraId="74CC3718" w14:textId="77777777" w:rsidR="00C049E2" w:rsidRPr="00123F1B" w:rsidRDefault="00C049E2" w:rsidP="00395B38">
      <w:pPr>
        <w:spacing w:line="240" w:lineRule="auto"/>
        <w:ind w:left="567" w:right="539"/>
        <w:rPr>
          <w:rFonts w:eastAsia="Palatino Linotype"/>
          <w:b/>
          <w:i/>
        </w:rPr>
      </w:pPr>
      <w:r w:rsidRPr="00123F1B">
        <w:rPr>
          <w:rFonts w:eastAsia="Palatino Linotype"/>
          <w:b/>
          <w:i/>
        </w:rPr>
        <w:t>A</w:t>
      </w:r>
      <w:r w:rsidRPr="00123F1B">
        <w:rPr>
          <w:rFonts w:eastAsia="Palatino Linotype"/>
          <w:i/>
        </w:rPr>
        <w:t xml:space="preserve">. </w:t>
      </w:r>
      <w:r w:rsidRPr="00123F1B">
        <w:rPr>
          <w:rFonts w:eastAsia="Palatino Linotype"/>
          <w:b/>
          <w:i/>
        </w:rPr>
        <w:t>Para el ejercicio del derecho de acceso a la información</w:t>
      </w:r>
      <w:r w:rsidRPr="00123F1B">
        <w:rPr>
          <w:rFonts w:eastAsia="Palatino Linotype"/>
          <w:i/>
        </w:rPr>
        <w:t xml:space="preserve">, la Federación y </w:t>
      </w:r>
      <w:r w:rsidRPr="00123F1B">
        <w:rPr>
          <w:rFonts w:eastAsia="Palatino Linotype"/>
          <w:b/>
          <w:i/>
        </w:rPr>
        <w:t>las entidades federativas, en el ámbito de sus respectivas competencias, se regirán por los siguientes principios y bases:</w:t>
      </w:r>
    </w:p>
    <w:p w14:paraId="596A956B" w14:textId="77777777" w:rsidR="00C049E2" w:rsidRPr="00123F1B" w:rsidRDefault="00C049E2" w:rsidP="00395B38">
      <w:pPr>
        <w:spacing w:line="240" w:lineRule="auto"/>
        <w:ind w:left="567" w:right="539"/>
        <w:rPr>
          <w:rFonts w:eastAsia="Palatino Linotype"/>
          <w:i/>
        </w:rPr>
      </w:pPr>
      <w:r w:rsidRPr="00123F1B">
        <w:rPr>
          <w:rFonts w:eastAsia="Palatino Linotype"/>
          <w:b/>
          <w:i/>
        </w:rPr>
        <w:t xml:space="preserve">I. </w:t>
      </w:r>
      <w:r w:rsidRPr="00123F1B">
        <w:rPr>
          <w:rFonts w:eastAsia="Palatino Linotype"/>
          <w:b/>
          <w:i/>
        </w:rPr>
        <w:tab/>
        <w:t>Toda la información en posesión de cualquier</w:t>
      </w:r>
      <w:r w:rsidRPr="00123F1B">
        <w:rPr>
          <w:rFonts w:eastAsia="Palatino Linotype"/>
          <w:i/>
        </w:rPr>
        <w:t xml:space="preserve"> </w:t>
      </w:r>
      <w:r w:rsidRPr="00123F1B">
        <w:rPr>
          <w:rFonts w:eastAsia="Palatino Linotype"/>
          <w:b/>
          <w:i/>
        </w:rPr>
        <w:t>autoridad</w:t>
      </w:r>
      <w:r w:rsidRPr="00123F1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23F1B">
        <w:rPr>
          <w:rFonts w:eastAsia="Palatino Linotype"/>
          <w:b/>
          <w:i/>
        </w:rPr>
        <w:t>municipal</w:t>
      </w:r>
      <w:r w:rsidRPr="00123F1B">
        <w:rPr>
          <w:rFonts w:eastAsia="Palatino Linotype"/>
          <w:i/>
        </w:rPr>
        <w:t xml:space="preserve">, </w:t>
      </w:r>
      <w:r w:rsidRPr="00123F1B">
        <w:rPr>
          <w:rFonts w:eastAsia="Palatino Linotype"/>
          <w:b/>
          <w:i/>
        </w:rPr>
        <w:t>es pública</w:t>
      </w:r>
      <w:r w:rsidRPr="00123F1B">
        <w:rPr>
          <w:rFonts w:eastAsia="Palatino Linotype"/>
          <w:i/>
        </w:rPr>
        <w:t xml:space="preserve"> y sólo podrá ser reservada temporalmente por razones de interés público y seguridad nacional, en los términos que fijen las leyes. </w:t>
      </w:r>
      <w:r w:rsidRPr="00123F1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23F1B">
        <w:rPr>
          <w:rFonts w:eastAsia="Palatino Linotype"/>
          <w:i/>
        </w:rPr>
        <w:t>, la ley determinará los supuestos específicos bajo los cuales procederá la declaración de inexistencia de la información.”</w:t>
      </w:r>
    </w:p>
    <w:p w14:paraId="68F313E4" w14:textId="77777777" w:rsidR="00C049E2" w:rsidRPr="00123F1B" w:rsidRDefault="00C049E2" w:rsidP="00395B38">
      <w:pPr>
        <w:spacing w:line="240" w:lineRule="auto"/>
        <w:ind w:left="567" w:right="539"/>
        <w:rPr>
          <w:rFonts w:eastAsia="Palatino Linotype"/>
          <w:b/>
          <w:i/>
        </w:rPr>
      </w:pPr>
    </w:p>
    <w:p w14:paraId="504F12DB" w14:textId="77777777" w:rsidR="00C049E2" w:rsidRPr="00123F1B" w:rsidRDefault="00C049E2" w:rsidP="00395B38">
      <w:pPr>
        <w:spacing w:line="240" w:lineRule="auto"/>
        <w:ind w:left="567" w:right="539"/>
        <w:rPr>
          <w:rFonts w:eastAsia="Palatino Linotype"/>
          <w:b/>
          <w:i/>
        </w:rPr>
      </w:pPr>
      <w:r w:rsidRPr="00123F1B">
        <w:rPr>
          <w:rFonts w:eastAsia="Palatino Linotype"/>
          <w:b/>
          <w:i/>
        </w:rPr>
        <w:t>Constitución Política del Estado Libre y Soberano de México</w:t>
      </w:r>
    </w:p>
    <w:p w14:paraId="04932D29" w14:textId="77777777" w:rsidR="00C049E2" w:rsidRPr="00123F1B" w:rsidRDefault="00C049E2" w:rsidP="00395B38">
      <w:pPr>
        <w:spacing w:line="240" w:lineRule="auto"/>
        <w:ind w:left="567" w:right="539"/>
        <w:rPr>
          <w:rFonts w:eastAsia="Palatino Linotype"/>
          <w:i/>
        </w:rPr>
      </w:pPr>
      <w:r w:rsidRPr="00123F1B">
        <w:rPr>
          <w:rFonts w:eastAsia="Palatino Linotype"/>
          <w:b/>
          <w:i/>
        </w:rPr>
        <w:t>“Artículo 5</w:t>
      </w:r>
      <w:r w:rsidRPr="00123F1B">
        <w:rPr>
          <w:rFonts w:eastAsia="Palatino Linotype"/>
          <w:i/>
        </w:rPr>
        <w:t xml:space="preserve">.- </w:t>
      </w:r>
    </w:p>
    <w:p w14:paraId="1D3829F4" w14:textId="77777777" w:rsidR="00C049E2" w:rsidRPr="00123F1B" w:rsidRDefault="00C049E2" w:rsidP="00395B38">
      <w:pPr>
        <w:spacing w:line="240" w:lineRule="auto"/>
        <w:ind w:left="567" w:right="539"/>
        <w:rPr>
          <w:rFonts w:eastAsia="Palatino Linotype"/>
          <w:i/>
        </w:rPr>
      </w:pPr>
      <w:r w:rsidRPr="00123F1B">
        <w:rPr>
          <w:rFonts w:eastAsia="Palatino Linotype"/>
          <w:i/>
        </w:rPr>
        <w:t>(…)</w:t>
      </w:r>
    </w:p>
    <w:p w14:paraId="0EAE47FD" w14:textId="77777777" w:rsidR="00C049E2" w:rsidRPr="00123F1B" w:rsidRDefault="00C049E2" w:rsidP="00395B38">
      <w:pPr>
        <w:spacing w:line="240" w:lineRule="auto"/>
        <w:ind w:left="567" w:right="539"/>
        <w:rPr>
          <w:rFonts w:eastAsia="Palatino Linotype"/>
          <w:i/>
        </w:rPr>
      </w:pPr>
      <w:r w:rsidRPr="00123F1B">
        <w:rPr>
          <w:rFonts w:eastAsia="Palatino Linotype"/>
          <w:b/>
          <w:i/>
        </w:rPr>
        <w:t>El derecho a la información será garantizado por el Estado. La ley establecerá las previsiones que permitan asegurar la protección, el respeto y la difusión de este derecho</w:t>
      </w:r>
      <w:r w:rsidRPr="00123F1B">
        <w:rPr>
          <w:rFonts w:eastAsia="Palatino Linotype"/>
          <w:i/>
        </w:rPr>
        <w:t>.</w:t>
      </w:r>
    </w:p>
    <w:p w14:paraId="4F0C804A" w14:textId="77777777" w:rsidR="00C049E2" w:rsidRPr="00123F1B" w:rsidRDefault="00C049E2" w:rsidP="00395B38">
      <w:pPr>
        <w:spacing w:line="240" w:lineRule="auto"/>
        <w:ind w:left="567" w:right="539"/>
        <w:rPr>
          <w:rFonts w:eastAsia="Palatino Linotype"/>
          <w:i/>
        </w:rPr>
      </w:pPr>
      <w:r w:rsidRPr="00123F1B">
        <w:rPr>
          <w:rFonts w:eastAsia="Palatino Linotype"/>
          <w:i/>
        </w:rPr>
        <w:t xml:space="preserve">Para garantizar el ejercicio del derecho de transparencia, acceso a la información pública y protección de datos personales, los poderes públicos y los organismos autónomos, </w:t>
      </w:r>
      <w:r w:rsidRPr="00123F1B">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123F1B" w:rsidRDefault="00C049E2" w:rsidP="00395B38">
      <w:pPr>
        <w:spacing w:line="240" w:lineRule="auto"/>
        <w:ind w:left="567" w:right="539"/>
        <w:rPr>
          <w:rFonts w:eastAsia="Palatino Linotype"/>
          <w:i/>
        </w:rPr>
      </w:pPr>
      <w:r w:rsidRPr="00123F1B">
        <w:rPr>
          <w:rFonts w:eastAsia="Palatino Linotype"/>
          <w:b/>
          <w:i/>
        </w:rPr>
        <w:t>Este derecho se regirá por los principios y bases siguientes</w:t>
      </w:r>
      <w:r w:rsidRPr="00123F1B">
        <w:rPr>
          <w:rFonts w:eastAsia="Palatino Linotype"/>
          <w:i/>
        </w:rPr>
        <w:t>:</w:t>
      </w:r>
    </w:p>
    <w:p w14:paraId="4A3E8CBA" w14:textId="77777777" w:rsidR="00C049E2" w:rsidRPr="00123F1B" w:rsidRDefault="00C049E2" w:rsidP="00395B38">
      <w:pPr>
        <w:spacing w:line="240" w:lineRule="auto"/>
        <w:ind w:left="567" w:right="539"/>
        <w:rPr>
          <w:rFonts w:eastAsia="Palatino Linotype"/>
          <w:i/>
        </w:rPr>
      </w:pPr>
      <w:r w:rsidRPr="00123F1B">
        <w:rPr>
          <w:rFonts w:eastAsia="Palatino Linotype"/>
          <w:b/>
          <w:i/>
        </w:rPr>
        <w:t>I. Toda la información en posesión de cualquier autoridad, entidad, órgano y organismos de los</w:t>
      </w:r>
      <w:r w:rsidRPr="00123F1B">
        <w:rPr>
          <w:rFonts w:eastAsia="Palatino Linotype"/>
          <w:i/>
        </w:rPr>
        <w:t xml:space="preserve"> Poderes Ejecutivo, Legislativo y Judicial, órganos autónomos, partidos políticos, fideicomisos y fondos públicos estatales y </w:t>
      </w:r>
      <w:r w:rsidRPr="00123F1B">
        <w:rPr>
          <w:rFonts w:eastAsia="Palatino Linotype"/>
          <w:b/>
          <w:i/>
        </w:rPr>
        <w:t>municipales</w:t>
      </w:r>
      <w:r w:rsidRPr="00123F1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23F1B">
        <w:rPr>
          <w:rFonts w:eastAsia="Palatino Linotype"/>
          <w:b/>
          <w:i/>
        </w:rPr>
        <w:t>es pública</w:t>
      </w:r>
      <w:r w:rsidRPr="00123F1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23F1B">
        <w:rPr>
          <w:rFonts w:eastAsia="Palatino Linotype"/>
          <w:b/>
          <w:i/>
        </w:rPr>
        <w:t>En la interpretación de este derecho deberá prevalecer el principio de máxima publicidad</w:t>
      </w:r>
      <w:r w:rsidRPr="00123F1B">
        <w:rPr>
          <w:rFonts w:eastAsia="Palatino Linotype"/>
          <w:i/>
        </w:rPr>
        <w:t xml:space="preserve">. </w:t>
      </w:r>
      <w:r w:rsidRPr="00123F1B">
        <w:rPr>
          <w:rFonts w:eastAsia="Palatino Linotype"/>
          <w:b/>
          <w:i/>
        </w:rPr>
        <w:t>Los sujetos obligados deberán documentar todo acto que derive del ejercicio de sus facultades, competencias o funciones</w:t>
      </w:r>
      <w:r w:rsidRPr="00123F1B">
        <w:rPr>
          <w:rFonts w:eastAsia="Palatino Linotype"/>
          <w:i/>
        </w:rPr>
        <w:t>, la ley determinará los supuestos específicos bajo los cuales procederá la declaración de inexistencia de la información.”</w:t>
      </w:r>
    </w:p>
    <w:p w14:paraId="5CA98E37" w14:textId="77777777" w:rsidR="00C049E2" w:rsidRPr="00123F1B" w:rsidRDefault="00C049E2" w:rsidP="00395B38">
      <w:pPr>
        <w:rPr>
          <w:rFonts w:eastAsia="Palatino Linotype"/>
          <w:b/>
          <w:i/>
        </w:rPr>
      </w:pPr>
    </w:p>
    <w:p w14:paraId="6FC1BB3B" w14:textId="3BF4A33D" w:rsidR="00C049E2" w:rsidRPr="00123F1B" w:rsidRDefault="00717E59" w:rsidP="00395B38">
      <w:pPr>
        <w:rPr>
          <w:rFonts w:eastAsia="Palatino Linotype"/>
          <w:i/>
        </w:rPr>
      </w:pPr>
      <w:r w:rsidRPr="00123F1B">
        <w:rPr>
          <w:rFonts w:eastAsia="Palatino Linotype"/>
        </w:rPr>
        <w:t xml:space="preserve">Asimismo, </w:t>
      </w:r>
      <w:r w:rsidR="00C049E2" w:rsidRPr="00123F1B">
        <w:rPr>
          <w:rFonts w:eastAsia="Palatino Linotype"/>
        </w:rPr>
        <w:t>el artículo 150 de la Ley de Transparencia y Acceso a la Información Pública del Estado de México y Municipios</w:t>
      </w:r>
      <w:r w:rsidR="00057B2D" w:rsidRPr="00123F1B">
        <w:rPr>
          <w:rFonts w:eastAsia="Palatino Linotype"/>
        </w:rPr>
        <w:t xml:space="preserve"> </w:t>
      </w:r>
      <w:r w:rsidR="00E9335C" w:rsidRPr="00123F1B">
        <w:rPr>
          <w:rFonts w:eastAsia="Palatino Linotype"/>
        </w:rPr>
        <w:t xml:space="preserve">indica </w:t>
      </w:r>
      <w:r w:rsidR="00057B2D" w:rsidRPr="00123F1B">
        <w:rPr>
          <w:rFonts w:eastAsia="Palatino Linotype"/>
        </w:rPr>
        <w:t>que</w:t>
      </w:r>
      <w:r w:rsidR="00C049E2" w:rsidRPr="00123F1B">
        <w:rPr>
          <w:rFonts w:eastAsia="Palatino Linotype"/>
        </w:rPr>
        <w:t xml:space="preserve"> la solicitud es la garantía primaria del Derecho de Acceso a la Información, además, establece que se regirá </w:t>
      </w:r>
      <w:r w:rsidR="00C049E2" w:rsidRPr="00123F1B">
        <w:rPr>
          <w:rFonts w:eastAsia="Palatino Linotype"/>
          <w:i/>
        </w:rPr>
        <w:t>por los principios de simplicidad, rapidez</w:t>
      </w:r>
      <w:r w:rsidR="005F65B7" w:rsidRPr="00123F1B">
        <w:rPr>
          <w:rFonts w:eastAsia="Palatino Linotype"/>
          <w:i/>
        </w:rPr>
        <w:t>,</w:t>
      </w:r>
      <w:r w:rsidR="00C049E2" w:rsidRPr="00123F1B">
        <w:rPr>
          <w:rFonts w:eastAsia="Palatino Linotype"/>
          <w:i/>
        </w:rPr>
        <w:t xml:space="preserve"> gratuidad del procedimiento, auxilio y orientación a los particulare</w:t>
      </w:r>
      <w:r w:rsidR="001A58B3" w:rsidRPr="00123F1B">
        <w:rPr>
          <w:rFonts w:eastAsia="Palatino Linotype"/>
          <w:i/>
        </w:rPr>
        <w:t>s.</w:t>
      </w:r>
    </w:p>
    <w:p w14:paraId="033466A6" w14:textId="77777777" w:rsidR="001A58B3" w:rsidRPr="00123F1B" w:rsidRDefault="001A58B3" w:rsidP="00395B38">
      <w:pPr>
        <w:rPr>
          <w:rFonts w:eastAsia="Palatino Linotype"/>
          <w:i/>
        </w:rPr>
      </w:pPr>
    </w:p>
    <w:p w14:paraId="04ADA10B" w14:textId="574A944A" w:rsidR="001A58B3" w:rsidRPr="00123F1B" w:rsidRDefault="00233F17" w:rsidP="00395B38">
      <w:pPr>
        <w:rPr>
          <w:rFonts w:eastAsia="Palatino Linotype" w:cs="Palatino Linotype"/>
          <w:i/>
          <w:szCs w:val="22"/>
        </w:rPr>
      </w:pPr>
      <w:r w:rsidRPr="00123F1B">
        <w:rPr>
          <w:rFonts w:eastAsia="Palatino Linotype" w:cs="Palatino Linotype"/>
        </w:rPr>
        <w:t xml:space="preserve">Por su parte, el artículo 4 de </w:t>
      </w:r>
      <w:r w:rsidR="001A58B3" w:rsidRPr="00123F1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23F1B">
        <w:rPr>
          <w:rFonts w:eastAsia="Palatino Linotype" w:cs="Palatino Linotype"/>
        </w:rPr>
        <w:t>.</w:t>
      </w:r>
    </w:p>
    <w:p w14:paraId="1407DBB8" w14:textId="77777777" w:rsidR="001A58B3" w:rsidRPr="00123F1B" w:rsidRDefault="001A58B3" w:rsidP="00395B38">
      <w:pPr>
        <w:rPr>
          <w:rFonts w:eastAsia="Palatino Linotype" w:cs="Palatino Linotype"/>
        </w:rPr>
      </w:pPr>
    </w:p>
    <w:p w14:paraId="7552AA79" w14:textId="5C52E4A4" w:rsidR="001A58B3" w:rsidRPr="00123F1B" w:rsidRDefault="001A58B3" w:rsidP="00395B38">
      <w:pPr>
        <w:rPr>
          <w:rFonts w:eastAsia="Palatino Linotype" w:cs="Palatino Linotype"/>
        </w:rPr>
      </w:pPr>
      <w:r w:rsidRPr="00123F1B">
        <w:rPr>
          <w:rFonts w:eastAsia="Palatino Linotype" w:cs="Palatino Linotype"/>
        </w:rPr>
        <w:t xml:space="preserve">Esto es, que los Sujetos Obligados </w:t>
      </w:r>
      <w:r w:rsidR="00FA5957" w:rsidRPr="00123F1B">
        <w:rPr>
          <w:rFonts w:eastAsia="Palatino Linotype" w:cs="Palatino Linotype"/>
        </w:rPr>
        <w:t>deben</w:t>
      </w:r>
      <w:r w:rsidRPr="00123F1B">
        <w:rPr>
          <w:rFonts w:eastAsia="Palatino Linotype" w:cs="Palatino Linotype"/>
        </w:rPr>
        <w:t xml:space="preserve"> atender las solicitudes de acceso a la información pública que se les </w:t>
      </w:r>
      <w:r w:rsidR="00FA5957" w:rsidRPr="00123F1B">
        <w:rPr>
          <w:rFonts w:eastAsia="Palatino Linotype" w:cs="Palatino Linotype"/>
        </w:rPr>
        <w:t>sean realizadas,</w:t>
      </w:r>
      <w:r w:rsidRPr="00123F1B">
        <w:rPr>
          <w:rFonts w:eastAsia="Palatino Linotype" w:cs="Palatino Linotype"/>
        </w:rPr>
        <w:t xml:space="preserve"> y proporcionar la información pública que obre en su poder</w:t>
      </w:r>
      <w:r w:rsidR="00FA5957" w:rsidRPr="00123F1B">
        <w:rPr>
          <w:rFonts w:eastAsia="Palatino Linotype" w:cs="Palatino Linotype"/>
        </w:rPr>
        <w:t>,</w:t>
      </w:r>
      <w:r w:rsidRPr="00123F1B">
        <w:rPr>
          <w:rFonts w:eastAsia="Palatino Linotype" w:cs="Palatino Linotype"/>
        </w:rPr>
        <w:t xml:space="preserve"> conforme </w:t>
      </w:r>
      <w:r w:rsidR="00FA5957" w:rsidRPr="00123F1B">
        <w:rPr>
          <w:rFonts w:eastAsia="Palatino Linotype" w:cs="Palatino Linotype"/>
        </w:rPr>
        <w:t>a</w:t>
      </w:r>
      <w:r w:rsidRPr="00123F1B">
        <w:rPr>
          <w:rFonts w:eastAsia="Palatino Linotype" w:cs="Palatino Linotype"/>
        </w:rPr>
        <w:t xml:space="preserve">l estado </w:t>
      </w:r>
      <w:r w:rsidR="00FA5957" w:rsidRPr="00123F1B">
        <w:rPr>
          <w:rFonts w:eastAsia="Palatino Linotype" w:cs="Palatino Linotype"/>
        </w:rPr>
        <w:t xml:space="preserve">en </w:t>
      </w:r>
      <w:r w:rsidRPr="00123F1B">
        <w:rPr>
          <w:rFonts w:eastAsia="Palatino Linotype" w:cs="Palatino Linotype"/>
        </w:rPr>
        <w:t>que se encuentr</w:t>
      </w:r>
      <w:r w:rsidR="00FA5957" w:rsidRPr="00123F1B">
        <w:rPr>
          <w:rFonts w:eastAsia="Palatino Linotype" w:cs="Palatino Linotype"/>
        </w:rPr>
        <w:t>e, sin que sea necesario</w:t>
      </w:r>
      <w:r w:rsidRPr="00123F1B">
        <w:rPr>
          <w:rFonts w:eastAsia="Palatino Linotype" w:cs="Palatino Linotype"/>
        </w:rPr>
        <w:t xml:space="preserve"> </w:t>
      </w:r>
      <w:r w:rsidR="00FA5957" w:rsidRPr="00123F1B">
        <w:rPr>
          <w:rFonts w:eastAsia="Palatino Linotype" w:cs="Palatino Linotype"/>
        </w:rPr>
        <w:t>procesar</w:t>
      </w:r>
      <w:r w:rsidRPr="00123F1B">
        <w:rPr>
          <w:rFonts w:eastAsia="Palatino Linotype" w:cs="Palatino Linotype"/>
        </w:rPr>
        <w:t xml:space="preserve"> la misma, ni presentarla </w:t>
      </w:r>
      <w:r w:rsidRPr="00123F1B">
        <w:rPr>
          <w:rFonts w:eastAsia="Palatino Linotype" w:cs="Palatino Linotype"/>
        </w:rPr>
        <w:lastRenderedPageBreak/>
        <w:t xml:space="preserve">conforme al interés del solicitante; </w:t>
      </w:r>
      <w:r w:rsidR="00FA5957" w:rsidRPr="00123F1B">
        <w:rPr>
          <w:rFonts w:eastAsia="Palatino Linotype" w:cs="Palatino Linotype"/>
        </w:rPr>
        <w:t>tal y como</w:t>
      </w:r>
      <w:r w:rsidRPr="00123F1B">
        <w:rPr>
          <w:rFonts w:eastAsia="Palatino Linotype" w:cs="Palatino Linotype"/>
        </w:rPr>
        <w:t xml:space="preserve"> lo establece el artículo 12 de la Ley de Transparencia y Acceso a la Información Pública del Estado de México y Municipios</w:t>
      </w:r>
      <w:r w:rsidR="00970EB3" w:rsidRPr="00123F1B">
        <w:rPr>
          <w:rFonts w:eastAsia="Palatino Linotype" w:cs="Palatino Linotype"/>
        </w:rPr>
        <w:t>.</w:t>
      </w:r>
    </w:p>
    <w:p w14:paraId="73245195" w14:textId="77777777" w:rsidR="00970EB3" w:rsidRPr="00123F1B" w:rsidRDefault="00970EB3" w:rsidP="00395B38">
      <w:pPr>
        <w:rPr>
          <w:rFonts w:eastAsia="Palatino Linotype" w:cs="Palatino Linotype"/>
        </w:rPr>
      </w:pPr>
    </w:p>
    <w:p w14:paraId="7F62D4DF" w14:textId="775730E1" w:rsidR="001A58B3" w:rsidRPr="00123F1B" w:rsidRDefault="001A58B3" w:rsidP="00395B38">
      <w:pPr>
        <w:rPr>
          <w:rFonts w:eastAsia="Palatino Linotype" w:cs="Palatino Linotype"/>
        </w:rPr>
      </w:pPr>
      <w:r w:rsidRPr="00123F1B">
        <w:rPr>
          <w:rFonts w:eastAsia="Palatino Linotype" w:cs="Palatino Linotype"/>
        </w:rPr>
        <w:t>Es decir, que todo sujeto obligado que genere, recopile, administre, procese, archive, posea o conserven, son responsables de la misma</w:t>
      </w:r>
      <w:r w:rsidR="00970EB3" w:rsidRPr="00123F1B">
        <w:rPr>
          <w:rFonts w:eastAsia="Palatino Linotype" w:cs="Palatino Linotype"/>
        </w:rPr>
        <w:t>,</w:t>
      </w:r>
      <w:r w:rsidRPr="00123F1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23F1B">
        <w:rPr>
          <w:rFonts w:eastAsia="Palatino Linotype" w:cs="Palatino Linotype"/>
        </w:rPr>
        <w:t>o</w:t>
      </w:r>
      <w:r w:rsidRPr="00123F1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23F1B" w:rsidRDefault="001A58B3" w:rsidP="00395B38">
      <w:pPr>
        <w:rPr>
          <w:rFonts w:eastAsia="Palatino Linotype" w:cs="Palatino Linotype"/>
        </w:rPr>
      </w:pPr>
    </w:p>
    <w:p w14:paraId="04E42DFE" w14:textId="573F1198" w:rsidR="001A58B3" w:rsidRPr="00123F1B" w:rsidRDefault="001A58B3" w:rsidP="00395B38">
      <w:pPr>
        <w:rPr>
          <w:rFonts w:eastAsia="Palatino Linotype" w:cs="Palatino Linotype"/>
        </w:rPr>
      </w:pPr>
      <w:r w:rsidRPr="00123F1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23F1B">
        <w:rPr>
          <w:rFonts w:eastAsia="Palatino Linotype" w:cs="Palatino Linotype"/>
        </w:rPr>
        <w:t>, s</w:t>
      </w:r>
      <w:r w:rsidRPr="00123F1B">
        <w:rPr>
          <w:rFonts w:eastAsia="Palatino Linotype" w:cs="Palatino Linotype"/>
        </w:rPr>
        <w:t xml:space="preserve">iempre y cuando no se trate de información reservada o </w:t>
      </w:r>
      <w:r w:rsidR="00331F35" w:rsidRPr="00123F1B">
        <w:rPr>
          <w:rFonts w:eastAsia="Palatino Linotype" w:cs="Palatino Linotype"/>
        </w:rPr>
        <w:t>confidencial.</w:t>
      </w:r>
    </w:p>
    <w:p w14:paraId="40C5219F" w14:textId="77777777" w:rsidR="001A58B3" w:rsidRPr="00123F1B" w:rsidRDefault="001A58B3" w:rsidP="00395B38">
      <w:pPr>
        <w:rPr>
          <w:rFonts w:eastAsia="Palatino Linotype" w:cs="Palatino Linotype"/>
        </w:rPr>
      </w:pPr>
    </w:p>
    <w:p w14:paraId="2E629608" w14:textId="01727E15" w:rsidR="00C049E2" w:rsidRPr="00123F1B" w:rsidRDefault="006067C7" w:rsidP="00395B38">
      <w:pPr>
        <w:rPr>
          <w:rFonts w:eastAsia="Palatino Linotype"/>
        </w:rPr>
      </w:pPr>
      <w:bookmarkStart w:id="27" w:name="_heading=h.2s8eyo1" w:colFirst="0" w:colLast="0"/>
      <w:bookmarkEnd w:id="27"/>
      <w:r w:rsidRPr="00123F1B">
        <w:rPr>
          <w:rFonts w:eastAsia="Palatino Linotype"/>
        </w:rPr>
        <w:t>Con base en lo anterior</w:t>
      </w:r>
      <w:r w:rsidR="00B22A80" w:rsidRPr="00123F1B">
        <w:rPr>
          <w:rFonts w:eastAsia="Palatino Linotype"/>
        </w:rPr>
        <w:t>, se considera que</w:t>
      </w:r>
      <w:r w:rsidR="00C049E2" w:rsidRPr="00123F1B">
        <w:rPr>
          <w:rFonts w:eastAsia="Palatino Linotype"/>
        </w:rPr>
        <w:t xml:space="preserve"> </w:t>
      </w:r>
      <w:r w:rsidR="00B22A80" w:rsidRPr="00123F1B">
        <w:rPr>
          <w:rFonts w:eastAsia="Palatino Linotype"/>
          <w:b/>
          <w:bCs/>
        </w:rPr>
        <w:t>EL</w:t>
      </w:r>
      <w:r w:rsidR="00C049E2" w:rsidRPr="00123F1B">
        <w:rPr>
          <w:rFonts w:eastAsia="Palatino Linotype"/>
        </w:rPr>
        <w:t xml:space="preserve"> </w:t>
      </w:r>
      <w:r w:rsidR="00C049E2" w:rsidRPr="00123F1B">
        <w:rPr>
          <w:rFonts w:eastAsia="Palatino Linotype"/>
          <w:b/>
        </w:rPr>
        <w:t>SUJETO OBLIGADO</w:t>
      </w:r>
      <w:r w:rsidR="00C049E2" w:rsidRPr="00123F1B">
        <w:rPr>
          <w:rFonts w:eastAsia="Palatino Linotype"/>
        </w:rPr>
        <w:t xml:space="preserve"> </w:t>
      </w:r>
      <w:r w:rsidR="00B22A80" w:rsidRPr="00123F1B">
        <w:rPr>
          <w:rFonts w:eastAsia="Palatino Linotype"/>
        </w:rPr>
        <w:t xml:space="preserve">se </w:t>
      </w:r>
      <w:r w:rsidR="00717E59" w:rsidRPr="00123F1B">
        <w:rPr>
          <w:rFonts w:eastAsia="Palatino Linotype"/>
        </w:rPr>
        <w:t>encontraba</w:t>
      </w:r>
      <w:r w:rsidR="00B22A80" w:rsidRPr="00123F1B">
        <w:rPr>
          <w:rFonts w:eastAsia="Palatino Linotype"/>
        </w:rPr>
        <w:t xml:space="preserve"> compelido a</w:t>
      </w:r>
      <w:r w:rsidR="00C049E2" w:rsidRPr="00123F1B">
        <w:rPr>
          <w:rFonts w:eastAsia="Palatino Linotype"/>
        </w:rPr>
        <w:t xml:space="preserve"> atender la solicitud de acceso a la información </w:t>
      </w:r>
      <w:r w:rsidR="00B22A80" w:rsidRPr="00123F1B">
        <w:rPr>
          <w:rFonts w:eastAsia="Palatino Linotype"/>
        </w:rPr>
        <w:t xml:space="preserve">realizada por </w:t>
      </w:r>
      <w:r w:rsidR="00B22A80" w:rsidRPr="00123F1B">
        <w:rPr>
          <w:rFonts w:eastAsia="Palatino Linotype"/>
          <w:b/>
          <w:bCs/>
        </w:rPr>
        <w:t>LA PARTE RECURRENTE</w:t>
      </w:r>
      <w:r w:rsidR="00331F35" w:rsidRPr="00123F1B">
        <w:rPr>
          <w:rFonts w:eastAsia="Palatino Linotype"/>
        </w:rPr>
        <w:t>.</w:t>
      </w:r>
    </w:p>
    <w:p w14:paraId="1E0676E5" w14:textId="77777777" w:rsidR="00EA17F3" w:rsidRPr="00123F1B" w:rsidRDefault="00EA17F3" w:rsidP="00395B38">
      <w:pPr>
        <w:rPr>
          <w:rFonts w:eastAsia="Palatino Linotype"/>
        </w:rPr>
      </w:pPr>
    </w:p>
    <w:p w14:paraId="51A0E8B4" w14:textId="676DCA47" w:rsidR="00664420" w:rsidRPr="00123F1B" w:rsidRDefault="00C71CEF" w:rsidP="00395B38">
      <w:pPr>
        <w:pStyle w:val="Ttulo3"/>
        <w:rPr>
          <w:rFonts w:eastAsia="Calibri"/>
          <w:lang w:eastAsia="es-ES_tradnl"/>
        </w:rPr>
      </w:pPr>
      <w:bookmarkStart w:id="28" w:name="_Toc211450110"/>
      <w:r w:rsidRPr="00123F1B">
        <w:rPr>
          <w:rFonts w:eastAsia="Calibri"/>
          <w:lang w:eastAsia="es-ES_tradnl"/>
        </w:rPr>
        <w:t>b)</w:t>
      </w:r>
      <w:r w:rsidR="00A53315" w:rsidRPr="00123F1B">
        <w:rPr>
          <w:rFonts w:eastAsia="Calibri"/>
          <w:lang w:eastAsia="es-ES_tradnl"/>
        </w:rPr>
        <w:t xml:space="preserve"> </w:t>
      </w:r>
      <w:r w:rsidR="00A21A20" w:rsidRPr="00123F1B">
        <w:rPr>
          <w:rFonts w:eastAsia="Calibri"/>
          <w:lang w:eastAsia="es-ES_tradnl"/>
        </w:rPr>
        <w:t>Controversia a resolver</w:t>
      </w:r>
      <w:bookmarkEnd w:id="28"/>
    </w:p>
    <w:p w14:paraId="29E14635" w14:textId="6490174B" w:rsidR="00E86F78" w:rsidRPr="00123F1B" w:rsidRDefault="00EA17F3" w:rsidP="00395B38">
      <w:pPr>
        <w:rPr>
          <w:rFonts w:eastAsia="Calibri"/>
          <w:lang w:eastAsia="es-ES_tradnl"/>
        </w:rPr>
      </w:pPr>
      <w:r w:rsidRPr="00123F1B">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123F1B">
        <w:rPr>
          <w:rFonts w:eastAsia="Calibri"/>
          <w:lang w:eastAsia="es-ES_tradnl"/>
        </w:rPr>
        <w:lastRenderedPageBreak/>
        <w:t xml:space="preserve">que </w:t>
      </w:r>
      <w:r w:rsidRPr="00123F1B">
        <w:rPr>
          <w:rFonts w:eastAsia="Calibri"/>
          <w:b/>
          <w:bCs/>
          <w:lang w:eastAsia="es-ES_tradnl"/>
        </w:rPr>
        <w:t>LA PARTE RECURRENTE</w:t>
      </w:r>
      <w:r w:rsidRPr="00123F1B">
        <w:rPr>
          <w:rFonts w:eastAsia="Calibri"/>
          <w:lang w:eastAsia="es-ES_tradnl"/>
        </w:rPr>
        <w:t xml:space="preserve"> solicitó </w:t>
      </w:r>
      <w:r w:rsidR="00E86F78" w:rsidRPr="00123F1B">
        <w:rPr>
          <w:rFonts w:eastAsia="Calibri"/>
          <w:lang w:eastAsia="es-ES_tradnl"/>
        </w:rPr>
        <w:t xml:space="preserve">los recibos de nómina correspondientes al año dos mil veintitrés. </w:t>
      </w:r>
    </w:p>
    <w:p w14:paraId="72515647" w14:textId="77777777" w:rsidR="00E86F78" w:rsidRPr="00123F1B" w:rsidRDefault="00E86F78" w:rsidP="00395B38">
      <w:pPr>
        <w:rPr>
          <w:rFonts w:eastAsia="Calibri"/>
          <w:lang w:eastAsia="es-ES_tradnl"/>
        </w:rPr>
      </w:pPr>
    </w:p>
    <w:p w14:paraId="1996356C" w14:textId="57DA471B" w:rsidR="00E213F8" w:rsidRPr="00123F1B" w:rsidRDefault="00E213F8" w:rsidP="00395B38">
      <w:pPr>
        <w:rPr>
          <w:rFonts w:eastAsia="Calibri"/>
          <w:lang w:eastAsia="es-ES_tradnl"/>
        </w:rPr>
      </w:pPr>
      <w:r w:rsidRPr="00123F1B">
        <w:rPr>
          <w:rFonts w:eastAsia="Calibri"/>
          <w:lang w:eastAsia="es-ES_tradnl"/>
        </w:rPr>
        <w:t xml:space="preserve">Al respecto, </w:t>
      </w:r>
      <w:r w:rsidRPr="00123F1B">
        <w:rPr>
          <w:rFonts w:eastAsia="Calibri"/>
          <w:b/>
          <w:lang w:eastAsia="es-ES_tradnl"/>
        </w:rPr>
        <w:t>EL SUJETO OBLIGADO</w:t>
      </w:r>
      <w:r w:rsidRPr="00123F1B">
        <w:rPr>
          <w:rFonts w:ascii="Verdana" w:hAnsi="Verdana"/>
          <w:sz w:val="18"/>
          <w:szCs w:val="18"/>
        </w:rPr>
        <w:t xml:space="preserve"> </w:t>
      </w:r>
      <w:r w:rsidRPr="00123F1B">
        <w:rPr>
          <w:rFonts w:eastAsia="Calibri"/>
          <w:lang w:eastAsia="es-ES_tradnl"/>
        </w:rPr>
        <w:t xml:space="preserve">requirió a </w:t>
      </w:r>
      <w:r w:rsidRPr="00123F1B">
        <w:rPr>
          <w:rFonts w:eastAsia="Calibri"/>
          <w:b/>
          <w:lang w:eastAsia="es-ES_tradnl"/>
        </w:rPr>
        <w:t xml:space="preserve">LA PARTE RECURRENTE </w:t>
      </w:r>
      <w:r w:rsidRPr="00123F1B">
        <w:rPr>
          <w:rFonts w:eastAsia="Calibri"/>
          <w:lang w:eastAsia="es-ES_tradnl"/>
        </w:rPr>
        <w:t>a fin de que especificara de qué mes y/o quincena requería los recibos de nómina</w:t>
      </w:r>
      <w:r w:rsidR="00263B6D" w:rsidRPr="00123F1B">
        <w:rPr>
          <w:rFonts w:eastAsia="Calibri"/>
          <w:lang w:eastAsia="es-ES_tradnl"/>
        </w:rPr>
        <w:t xml:space="preserve">; sin embargo, </w:t>
      </w:r>
      <w:r w:rsidR="00770B21" w:rsidRPr="00123F1B">
        <w:rPr>
          <w:rFonts w:eastAsia="Calibri"/>
          <w:lang w:eastAsia="es-ES_tradnl"/>
        </w:rPr>
        <w:t>dicho requerimiento no fue atendido</w:t>
      </w:r>
      <w:r w:rsidRPr="00123F1B">
        <w:rPr>
          <w:rFonts w:eastAsia="Calibri"/>
          <w:lang w:eastAsia="es-ES_tradnl"/>
        </w:rPr>
        <w:t xml:space="preserve">. </w:t>
      </w:r>
    </w:p>
    <w:p w14:paraId="2211A290" w14:textId="77777777" w:rsidR="00E213F8" w:rsidRPr="00123F1B" w:rsidRDefault="00E213F8" w:rsidP="00395B38">
      <w:pPr>
        <w:rPr>
          <w:rFonts w:eastAsia="Calibri"/>
          <w:lang w:eastAsia="es-ES_tradnl"/>
        </w:rPr>
      </w:pPr>
    </w:p>
    <w:p w14:paraId="1C39E119" w14:textId="41263FAE" w:rsidR="00EA17F3" w:rsidRPr="00123F1B" w:rsidRDefault="00770B21" w:rsidP="00395B38">
      <w:pPr>
        <w:tabs>
          <w:tab w:val="left" w:pos="4962"/>
        </w:tabs>
        <w:contextualSpacing/>
        <w:rPr>
          <w:rFonts w:eastAsiaTheme="minorHAnsi" w:cs="Tahoma"/>
          <w:bCs/>
          <w:iCs/>
          <w:szCs w:val="22"/>
          <w:lang w:eastAsia="en-US"/>
        </w:rPr>
      </w:pPr>
      <w:r w:rsidRPr="00123F1B">
        <w:rPr>
          <w:rFonts w:eastAsiaTheme="minorHAnsi" w:cs="Tahoma"/>
          <w:bCs/>
          <w:iCs/>
          <w:szCs w:val="22"/>
          <w:lang w:eastAsia="en-US"/>
        </w:rPr>
        <w:t xml:space="preserve">Asimismo, es importante referir que </w:t>
      </w:r>
      <w:r w:rsidR="00EA17F3" w:rsidRPr="00123F1B">
        <w:rPr>
          <w:rFonts w:eastAsiaTheme="minorHAnsi" w:cs="Tahoma"/>
          <w:b/>
          <w:bCs/>
          <w:iCs/>
          <w:szCs w:val="22"/>
          <w:lang w:eastAsia="en-US"/>
        </w:rPr>
        <w:t>EL SUJETO OBLIGADO</w:t>
      </w:r>
      <w:r w:rsidR="00EA17F3" w:rsidRPr="00123F1B">
        <w:rPr>
          <w:rFonts w:eastAsiaTheme="minorHAnsi" w:cs="Tahoma"/>
          <w:bCs/>
          <w:iCs/>
          <w:szCs w:val="22"/>
          <w:lang w:eastAsia="en-US"/>
        </w:rPr>
        <w:t xml:space="preserve"> no entregó la respuesta a la solicitud de información pública del particular.</w:t>
      </w:r>
    </w:p>
    <w:p w14:paraId="737D3866" w14:textId="77777777" w:rsidR="00EA17F3" w:rsidRPr="00123F1B" w:rsidRDefault="00EA17F3" w:rsidP="00395B38">
      <w:pPr>
        <w:tabs>
          <w:tab w:val="left" w:pos="4962"/>
        </w:tabs>
        <w:contextualSpacing/>
        <w:rPr>
          <w:rFonts w:eastAsiaTheme="minorHAnsi" w:cs="Tahoma"/>
          <w:bCs/>
          <w:iCs/>
          <w:szCs w:val="22"/>
          <w:lang w:eastAsia="en-US"/>
        </w:rPr>
      </w:pPr>
    </w:p>
    <w:p w14:paraId="25E9835D" w14:textId="1B93B14F" w:rsidR="00EA17F3" w:rsidRPr="00123F1B" w:rsidRDefault="00EA17F3" w:rsidP="00395B38">
      <w:pPr>
        <w:autoSpaceDE w:val="0"/>
        <w:autoSpaceDN w:val="0"/>
        <w:adjustRightInd w:val="0"/>
        <w:ind w:right="-28"/>
        <w:rPr>
          <w:rFonts w:eastAsiaTheme="minorHAnsi" w:cs="Tahoma"/>
          <w:bCs/>
          <w:iCs/>
          <w:szCs w:val="22"/>
          <w:lang w:eastAsia="en-US"/>
        </w:rPr>
      </w:pPr>
      <w:r w:rsidRPr="00123F1B">
        <w:rPr>
          <w:rFonts w:eastAsiaTheme="minorHAnsi" w:cs="Tahoma"/>
          <w:bCs/>
          <w:iCs/>
          <w:szCs w:val="22"/>
          <w:lang w:eastAsia="en-US"/>
        </w:rPr>
        <w:t xml:space="preserve">Ahora bien, en la interposición del presente recurso </w:t>
      </w:r>
      <w:r w:rsidRPr="00123F1B">
        <w:rPr>
          <w:rFonts w:eastAsiaTheme="minorHAnsi" w:cs="Tahoma"/>
          <w:b/>
          <w:iCs/>
          <w:szCs w:val="22"/>
          <w:lang w:eastAsia="en-US"/>
        </w:rPr>
        <w:t>LA PARTE RECURRENTE</w:t>
      </w:r>
      <w:r w:rsidRPr="00123F1B">
        <w:rPr>
          <w:rFonts w:eastAsiaTheme="minorHAnsi" w:cs="Tahoma"/>
          <w:bCs/>
          <w:iCs/>
          <w:szCs w:val="22"/>
          <w:lang w:eastAsia="en-US"/>
        </w:rPr>
        <w:t xml:space="preserve"> se inconformó medularmente por la omisión de dar respuesta a la solicitud. </w:t>
      </w:r>
    </w:p>
    <w:p w14:paraId="0A614641" w14:textId="77777777" w:rsidR="00EA17F3" w:rsidRPr="00123F1B" w:rsidRDefault="00EA17F3" w:rsidP="00395B38">
      <w:pPr>
        <w:tabs>
          <w:tab w:val="left" w:pos="4962"/>
        </w:tabs>
        <w:contextualSpacing/>
        <w:rPr>
          <w:rFonts w:eastAsiaTheme="minorHAnsi" w:cs="Tahoma"/>
          <w:bCs/>
          <w:iCs/>
          <w:szCs w:val="22"/>
          <w:lang w:eastAsia="en-US"/>
        </w:rPr>
      </w:pPr>
    </w:p>
    <w:p w14:paraId="3882D75A" w14:textId="77777777" w:rsidR="00EA17F3" w:rsidRPr="00123F1B" w:rsidRDefault="00EA17F3" w:rsidP="00395B38">
      <w:pPr>
        <w:pStyle w:val="Prrafodelista"/>
        <w:widowControl w:val="0"/>
        <w:autoSpaceDE w:val="0"/>
        <w:autoSpaceDN w:val="0"/>
        <w:adjustRightInd w:val="0"/>
        <w:ind w:left="0"/>
        <w:rPr>
          <w:b/>
        </w:rPr>
      </w:pPr>
      <w:r w:rsidRPr="00123F1B">
        <w:rPr>
          <w:rFonts w:eastAsiaTheme="minorHAnsi" w:cs="Tahoma"/>
          <w:bCs/>
          <w:iCs/>
          <w:szCs w:val="22"/>
          <w:lang w:eastAsia="en-US"/>
        </w:rPr>
        <w:t xml:space="preserve">Derivado de lo anterior, el estudio se centrará en determinar si la información remitida mediante Informe Justificado colma el derecho de acceso a la información ejercido por </w:t>
      </w:r>
      <w:r w:rsidRPr="00123F1B">
        <w:rPr>
          <w:rFonts w:eastAsiaTheme="minorHAnsi" w:cs="Tahoma"/>
          <w:b/>
          <w:iCs/>
          <w:szCs w:val="22"/>
          <w:lang w:eastAsia="en-US"/>
        </w:rPr>
        <w:t>LA PARTE RECURRENTE.</w:t>
      </w:r>
    </w:p>
    <w:p w14:paraId="1C882BA3" w14:textId="77777777" w:rsidR="00EA17F3" w:rsidRPr="00123F1B" w:rsidRDefault="00EA17F3" w:rsidP="00395B38">
      <w:pPr>
        <w:rPr>
          <w:rFonts w:cs="Arial"/>
          <w:lang w:eastAsia="es-MX"/>
        </w:rPr>
      </w:pPr>
    </w:p>
    <w:p w14:paraId="414FD2D5" w14:textId="4408E416" w:rsidR="00664420" w:rsidRPr="00123F1B" w:rsidRDefault="00A21A20" w:rsidP="00395B38">
      <w:pPr>
        <w:pStyle w:val="Ttulo3"/>
      </w:pPr>
      <w:bookmarkStart w:id="29" w:name="_Toc211450111"/>
      <w:r w:rsidRPr="00123F1B">
        <w:t>c)</w:t>
      </w:r>
      <w:r w:rsidR="00664420" w:rsidRPr="00123F1B">
        <w:t xml:space="preserve"> </w:t>
      </w:r>
      <w:r w:rsidRPr="00123F1B">
        <w:t>Estudio de la controversia</w:t>
      </w:r>
      <w:bookmarkEnd w:id="29"/>
    </w:p>
    <w:p w14:paraId="2C9F0378" w14:textId="77777777" w:rsidR="00770B21" w:rsidRPr="00123F1B" w:rsidRDefault="00770B21" w:rsidP="00395B38">
      <w:pPr>
        <w:rPr>
          <w:rFonts w:eastAsia="Calibri" w:cs="Tahoma"/>
          <w:bCs/>
          <w:iCs/>
          <w:szCs w:val="22"/>
          <w:lang w:val="es-ES" w:eastAsia="es-ES_tradnl"/>
        </w:rPr>
      </w:pPr>
      <w:r w:rsidRPr="00123F1B">
        <w:rPr>
          <w:rFonts w:cs="Arial"/>
        </w:rPr>
        <w:t>Primero, es necesario destacar que e</w:t>
      </w:r>
      <w:r w:rsidRPr="00123F1B">
        <w:rPr>
          <w:rFonts w:eastAsia="Calibri" w:cs="Tahoma"/>
          <w:bCs/>
          <w:iCs/>
          <w:szCs w:val="22"/>
          <w:lang w:val="es-ES" w:eastAsia="es-ES_tradnl"/>
        </w:rPr>
        <w:t xml:space="preserve">l artículo 155, fracciones III y IV, de la </w:t>
      </w:r>
      <w:r w:rsidRPr="00123F1B">
        <w:rPr>
          <w:rFonts w:eastAsia="Palatino Linotype" w:cs="Palatino Linotype"/>
        </w:rPr>
        <w:t>Ley de Transparencia y Acceso a la Información Pública del Estado de México y Municipios</w:t>
      </w:r>
      <w:r w:rsidRPr="00123F1B">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6B54D953" w14:textId="77777777" w:rsidR="00770B21" w:rsidRPr="00123F1B" w:rsidRDefault="00770B21" w:rsidP="00395B38">
      <w:pPr>
        <w:rPr>
          <w:rFonts w:eastAsia="Calibri" w:cs="Tahoma"/>
          <w:bCs/>
          <w:iCs/>
          <w:szCs w:val="22"/>
          <w:lang w:val="es-ES" w:eastAsia="es-ES_tradnl"/>
        </w:rPr>
      </w:pPr>
    </w:p>
    <w:p w14:paraId="312230FA" w14:textId="77777777" w:rsidR="00770B21" w:rsidRPr="00123F1B" w:rsidRDefault="00770B21" w:rsidP="00395B38">
      <w:r w:rsidRPr="00123F1B">
        <w:lastRenderedPageBreak/>
        <w:t xml:space="preserve">Por su parte, el artículo 159 de la Ley de Transparencia y Acceso a la Información Pública del Estado de México y Municipios, dispone lo siguiente: </w:t>
      </w:r>
    </w:p>
    <w:p w14:paraId="07BDA8FC" w14:textId="77777777" w:rsidR="00770B21" w:rsidRPr="00123F1B" w:rsidRDefault="00770B21" w:rsidP="00395B38">
      <w:pPr>
        <w:rPr>
          <w:i/>
        </w:rPr>
      </w:pPr>
    </w:p>
    <w:p w14:paraId="12088DF0" w14:textId="77777777" w:rsidR="00770B21" w:rsidRPr="00123F1B" w:rsidRDefault="00770B21" w:rsidP="00395B38">
      <w:pPr>
        <w:spacing w:line="240" w:lineRule="auto"/>
        <w:ind w:left="567" w:right="567"/>
        <w:contextualSpacing/>
        <w:rPr>
          <w:b/>
          <w:i/>
          <w:kern w:val="28"/>
          <w:szCs w:val="56"/>
          <w14:ligatures w14:val="standardContextual"/>
        </w:rPr>
      </w:pPr>
      <w:r w:rsidRPr="00123F1B">
        <w:rPr>
          <w:i/>
          <w:kern w:val="28"/>
          <w:szCs w:val="56"/>
          <w14:ligatures w14:val="standardContextual"/>
        </w:rPr>
        <w:t>“</w:t>
      </w:r>
      <w:r w:rsidRPr="00123F1B">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D39E11D" w14:textId="77777777" w:rsidR="00770B21" w:rsidRPr="00123F1B" w:rsidRDefault="00770B21" w:rsidP="00395B38">
      <w:pPr>
        <w:spacing w:line="240" w:lineRule="auto"/>
        <w:ind w:left="567" w:right="567"/>
        <w:contextualSpacing/>
        <w:rPr>
          <w:i/>
          <w:kern w:val="28"/>
          <w:szCs w:val="56"/>
          <w14:ligatures w14:val="standardContextual"/>
        </w:rPr>
      </w:pPr>
      <w:r w:rsidRPr="00123F1B">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607E06D3" w14:textId="77777777" w:rsidR="00770B21" w:rsidRPr="00123F1B" w:rsidRDefault="00770B21" w:rsidP="00395B38">
      <w:pPr>
        <w:spacing w:line="240" w:lineRule="auto"/>
        <w:ind w:left="567" w:right="567"/>
        <w:contextualSpacing/>
        <w:rPr>
          <w:i/>
          <w:kern w:val="28"/>
          <w:szCs w:val="56"/>
          <w14:ligatures w14:val="standardContextual"/>
        </w:rPr>
      </w:pPr>
      <w:r w:rsidRPr="00123F1B">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5DD8BF11" w14:textId="77777777" w:rsidR="00770B21" w:rsidRPr="00123F1B" w:rsidRDefault="00770B21" w:rsidP="00395B38">
      <w:pPr>
        <w:spacing w:line="240" w:lineRule="auto"/>
        <w:ind w:left="567" w:right="567"/>
        <w:contextualSpacing/>
        <w:rPr>
          <w:i/>
          <w:kern w:val="28"/>
          <w:szCs w:val="56"/>
          <w14:ligatures w14:val="standardContextual"/>
        </w:rPr>
      </w:pPr>
      <w:r w:rsidRPr="00123F1B">
        <w:rPr>
          <w:i/>
          <w:kern w:val="28"/>
          <w:szCs w:val="56"/>
          <w14:ligatures w14:val="standardContextual"/>
        </w:rPr>
        <w:t xml:space="preserve">En el caso de requerimientos parciales no desahogados, se tendrá por presentada la solicitud por lo que respecta a los contenidos de información que no formaron parte del requerimiento.” </w:t>
      </w:r>
    </w:p>
    <w:p w14:paraId="5F26D706" w14:textId="77777777" w:rsidR="00770B21" w:rsidRPr="00123F1B" w:rsidRDefault="00770B21" w:rsidP="00395B38">
      <w:pPr>
        <w:spacing w:line="240" w:lineRule="auto"/>
        <w:ind w:left="567" w:right="567"/>
        <w:contextualSpacing/>
        <w:rPr>
          <w:i/>
          <w:kern w:val="28"/>
          <w:szCs w:val="56"/>
          <w14:ligatures w14:val="standardContextual"/>
        </w:rPr>
      </w:pPr>
      <w:r w:rsidRPr="00123F1B">
        <w:rPr>
          <w:i/>
          <w:kern w:val="28"/>
          <w:szCs w:val="56"/>
          <w14:ligatures w14:val="standardContextual"/>
        </w:rPr>
        <w:t>(Énfasis añadido)</w:t>
      </w:r>
    </w:p>
    <w:p w14:paraId="7013F7F0" w14:textId="77777777" w:rsidR="00770B21" w:rsidRPr="00123F1B" w:rsidRDefault="00770B21" w:rsidP="00395B38">
      <w:pPr>
        <w:rPr>
          <w:i/>
        </w:rPr>
      </w:pPr>
    </w:p>
    <w:p w14:paraId="491BAE91" w14:textId="77777777" w:rsidR="00770B21" w:rsidRPr="00123F1B" w:rsidRDefault="00770B21" w:rsidP="00395B38">
      <w:r w:rsidRPr="00123F1B">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14:paraId="4604DE98" w14:textId="77777777" w:rsidR="00770B21" w:rsidRPr="00123F1B" w:rsidRDefault="00770B21" w:rsidP="00395B38">
      <w:pPr>
        <w:rPr>
          <w:rFonts w:cs="Arial"/>
        </w:rPr>
      </w:pPr>
    </w:p>
    <w:p w14:paraId="4B52803E" w14:textId="6C1618F8" w:rsidR="00770B21" w:rsidRPr="00123F1B" w:rsidRDefault="00770B21" w:rsidP="00395B38">
      <w:pPr>
        <w:rPr>
          <w:rFonts w:eastAsia="Calibri" w:cs="Tahoma"/>
          <w:iCs/>
          <w:szCs w:val="22"/>
          <w:lang w:val="es-ES" w:eastAsia="es-ES_tradnl"/>
        </w:rPr>
      </w:pPr>
      <w:r w:rsidRPr="00123F1B">
        <w:rPr>
          <w:rFonts w:eastAsia="Calibri" w:cs="Tahoma"/>
          <w:bCs/>
          <w:iCs/>
          <w:szCs w:val="22"/>
          <w:lang w:val="es-ES" w:eastAsia="es-ES_tradnl"/>
        </w:rPr>
        <w:t xml:space="preserve">Es así, que del análisis realizado a las documentales que integran el expediente electrónico se advierte que </w:t>
      </w:r>
      <w:r w:rsidRPr="00123F1B">
        <w:rPr>
          <w:rFonts w:eastAsia="Calibri" w:cs="Tahoma"/>
          <w:b/>
          <w:iCs/>
          <w:szCs w:val="22"/>
          <w:lang w:val="es-ES" w:eastAsia="es-ES_tradnl"/>
        </w:rPr>
        <w:t xml:space="preserve">EL SUJETO OBLIGADO </w:t>
      </w:r>
      <w:r w:rsidRPr="00123F1B">
        <w:rPr>
          <w:rFonts w:eastAsia="Calibri" w:cs="Tahoma"/>
          <w:bCs/>
          <w:iCs/>
          <w:szCs w:val="22"/>
          <w:lang w:val="es-ES" w:eastAsia="es-ES_tradnl"/>
        </w:rPr>
        <w:t xml:space="preserve">requirió a </w:t>
      </w:r>
      <w:r w:rsidRPr="00123F1B">
        <w:rPr>
          <w:rFonts w:eastAsia="Calibri" w:cs="Tahoma"/>
          <w:b/>
          <w:iCs/>
          <w:szCs w:val="22"/>
          <w:lang w:val="es-ES" w:eastAsia="es-ES_tradnl"/>
        </w:rPr>
        <w:t xml:space="preserve">LA PARTE RECURRENTE </w:t>
      </w:r>
      <w:r w:rsidRPr="00123F1B">
        <w:rPr>
          <w:rFonts w:eastAsia="Calibri" w:cs="Tahoma"/>
          <w:iCs/>
          <w:szCs w:val="22"/>
          <w:lang w:val="es-ES" w:eastAsia="es-ES_tradnl"/>
        </w:rPr>
        <w:t xml:space="preserve">especificara de </w:t>
      </w:r>
      <w:r w:rsidRPr="00123F1B">
        <w:rPr>
          <w:rFonts w:eastAsia="Calibri" w:cs="Tahoma"/>
          <w:iCs/>
          <w:szCs w:val="22"/>
          <w:lang w:val="es-ES" w:eastAsia="es-ES_tradnl"/>
        </w:rPr>
        <w:lastRenderedPageBreak/>
        <w:t xml:space="preserve">qué mes y/o quincena requería los recibos de nómina; sin embargo, dicho requerimiento no era necesario, pues del contenido de la solicitud se entiende que </w:t>
      </w:r>
      <w:r w:rsidRPr="00123F1B">
        <w:rPr>
          <w:rFonts w:eastAsia="Calibri" w:cs="Tahoma"/>
          <w:b/>
          <w:iCs/>
          <w:szCs w:val="22"/>
          <w:lang w:val="es-ES" w:eastAsia="es-ES_tradnl"/>
        </w:rPr>
        <w:t xml:space="preserve">LA PARTE RECURRENTE </w:t>
      </w:r>
      <w:r w:rsidRPr="00123F1B">
        <w:rPr>
          <w:rFonts w:eastAsia="Calibri" w:cs="Tahoma"/>
          <w:iCs/>
          <w:szCs w:val="22"/>
          <w:lang w:val="es-ES" w:eastAsia="es-ES_tradnl"/>
        </w:rPr>
        <w:t xml:space="preserve">desea tener acceso a todos los recibos de nómina generados en el año dos mil veintitrés. </w:t>
      </w:r>
    </w:p>
    <w:p w14:paraId="45D02BF6" w14:textId="77777777" w:rsidR="00770B21" w:rsidRPr="00123F1B" w:rsidRDefault="00770B21" w:rsidP="00395B38">
      <w:pPr>
        <w:rPr>
          <w:rFonts w:eastAsia="Calibri" w:cs="Tahoma"/>
          <w:b/>
          <w:iCs/>
          <w:szCs w:val="22"/>
          <w:lang w:val="es-ES" w:eastAsia="es-ES_tradnl"/>
        </w:rPr>
      </w:pPr>
    </w:p>
    <w:p w14:paraId="313E9A1D" w14:textId="50927CBA" w:rsidR="00770B21" w:rsidRPr="00123F1B" w:rsidRDefault="00770B21" w:rsidP="00395B38">
      <w:pPr>
        <w:rPr>
          <w:rFonts w:eastAsia="Palatino Linotype" w:cs="Palatino Linotype"/>
        </w:rPr>
      </w:pPr>
      <w:r w:rsidRPr="00123F1B">
        <w:rPr>
          <w:rFonts w:eastAsia="Calibri" w:cs="Tahoma"/>
          <w:iCs/>
          <w:szCs w:val="22"/>
          <w:lang w:val="es-ES" w:eastAsia="es-ES_tradnl"/>
        </w:rPr>
        <w:t xml:space="preserve">Una vez precisado lo anterior, </w:t>
      </w:r>
      <w:r w:rsidRPr="00123F1B">
        <w:rPr>
          <w:rFonts w:cs="Arial"/>
        </w:rPr>
        <w:t xml:space="preserve">se considera necesario </w:t>
      </w:r>
      <w:r w:rsidRPr="00123F1B">
        <w:rPr>
          <w:rFonts w:eastAsia="Palatino Linotype" w:cs="Palatino Linotype"/>
        </w:rPr>
        <w:t xml:space="preserve">traer a colación el contenido del artículo 147 de la Constitución Política del Estado Libre y Soberano de México, el cual establece lo siguiente: </w:t>
      </w:r>
    </w:p>
    <w:p w14:paraId="49AB0CEC" w14:textId="77777777" w:rsidR="00770B21" w:rsidRPr="00123F1B" w:rsidRDefault="00770B21" w:rsidP="00395B38"/>
    <w:p w14:paraId="421B9107" w14:textId="77777777" w:rsidR="00770B21" w:rsidRPr="00123F1B" w:rsidRDefault="00770B21" w:rsidP="00395B38">
      <w:pPr>
        <w:spacing w:line="240" w:lineRule="auto"/>
        <w:ind w:left="567" w:right="567"/>
        <w:contextualSpacing/>
        <w:rPr>
          <w:rFonts w:eastAsia="Palatino Linotype" w:cstheme="majorBidi"/>
          <w:b/>
          <w:i/>
          <w:kern w:val="28"/>
          <w:szCs w:val="56"/>
        </w:rPr>
      </w:pPr>
      <w:r w:rsidRPr="00123F1B">
        <w:rPr>
          <w:rFonts w:eastAsiaTheme="majorEastAsia" w:cstheme="majorBidi"/>
          <w:i/>
          <w:kern w:val="28"/>
          <w:szCs w:val="56"/>
        </w:rPr>
        <w:t>“</w:t>
      </w:r>
      <w:r w:rsidRPr="00123F1B">
        <w:rPr>
          <w:rFonts w:eastAsiaTheme="majorEastAsia" w:cstheme="majorBidi"/>
          <w:b/>
          <w:i/>
          <w:kern w:val="28"/>
          <w:szCs w:val="56"/>
        </w:rPr>
        <w:t>Artículo 147.-</w:t>
      </w:r>
      <w:r w:rsidRPr="00123F1B">
        <w:rPr>
          <w:rFonts w:eastAsiaTheme="majorEastAsia" w:cstheme="majorBidi"/>
          <w:i/>
          <w:kern w:val="28"/>
          <w:szCs w:val="56"/>
        </w:rPr>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w:t>
      </w:r>
      <w:r w:rsidRPr="00123F1B">
        <w:rPr>
          <w:rFonts w:eastAsiaTheme="majorEastAsia" w:cstheme="majorBidi"/>
          <w:b/>
          <w:i/>
          <w:kern w:val="28"/>
          <w:szCs w:val="56"/>
        </w:rPr>
        <w:t>así como los miembros de los ayuntamientos</w:t>
      </w:r>
      <w:r w:rsidRPr="00123F1B">
        <w:rPr>
          <w:rFonts w:eastAsiaTheme="majorEastAsia" w:cstheme="majorBidi"/>
          <w:i/>
          <w:kern w:val="28"/>
          <w:szCs w:val="56"/>
        </w:rPr>
        <w:t xml:space="preserve"> y demás servidores públicos municipales </w:t>
      </w:r>
      <w:r w:rsidRPr="00123F1B">
        <w:rPr>
          <w:rFonts w:eastAsiaTheme="majorEastAsia" w:cstheme="majorBidi"/>
          <w:b/>
          <w:i/>
          <w:kern w:val="28"/>
          <w:szCs w:val="56"/>
        </w:rPr>
        <w:t xml:space="preserve">recibirán una retribución adecuada e irrenunciable por el desempeño de su empleo, cargo o comisión, que será determinada en el presupuesto de egresos que corresponda. </w:t>
      </w:r>
    </w:p>
    <w:p w14:paraId="36978479"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6DC1E202"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La remuneración será determinada anual y equitativamente en el Presupuesto de Egresos correspondiente bajo las bases siguientes:</w:t>
      </w:r>
    </w:p>
    <w:p w14:paraId="42084E94"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53BB5450"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 xml:space="preserve">II. Ningún servidor público podrá recibir remuneración, en términos de la fracción anterior, por el desempeño de su función, empleo, cargo o comisión, mayor a la establecida; </w:t>
      </w:r>
    </w:p>
    <w:p w14:paraId="549E6504"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w:t>
      </w:r>
      <w:r w:rsidRPr="00123F1B">
        <w:rPr>
          <w:rFonts w:eastAsia="Palatino Linotype"/>
          <w:i/>
          <w:kern w:val="28"/>
          <w:szCs w:val="56"/>
        </w:rPr>
        <w:lastRenderedPageBreak/>
        <w:t xml:space="preserve">para el Presidente de la República y la remuneración establecida para la Gobernadora o Gobernador del Estado en el presupuesto correspondiente; </w:t>
      </w:r>
    </w:p>
    <w:p w14:paraId="5B963021"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2BC14E7C"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V. Las remuneraciones y sus tabuladores serán públicos, y deberán especificar y diferenciar la totalidad de sus elementos fijos y variables tanto en efectivo como en especie”</w:t>
      </w:r>
    </w:p>
    <w:p w14:paraId="31ECC57D"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(Énfasis añadido)</w:t>
      </w:r>
    </w:p>
    <w:p w14:paraId="6361091A" w14:textId="77777777" w:rsidR="00770B21" w:rsidRPr="00123F1B" w:rsidRDefault="00770B21" w:rsidP="00395B38">
      <w:pPr>
        <w:ind w:left="851" w:right="899"/>
        <w:rPr>
          <w:rFonts w:eastAsia="Palatino Linotype" w:cs="Palatino Linotype"/>
          <w:i/>
          <w:szCs w:val="22"/>
        </w:rPr>
      </w:pPr>
    </w:p>
    <w:p w14:paraId="1CA7093B" w14:textId="77777777" w:rsidR="00770B21" w:rsidRPr="00123F1B" w:rsidRDefault="00770B21" w:rsidP="00395B38">
      <w:pPr>
        <w:rPr>
          <w:rFonts w:eastAsia="Palatino Linotype" w:cs="Palatino Linotype"/>
        </w:rPr>
      </w:pPr>
      <w:r w:rsidRPr="00123F1B">
        <w:rPr>
          <w:rFonts w:eastAsia="Palatino Linotype" w:cs="Palatino Linotype"/>
        </w:rPr>
        <w:t>En este orden de ideas, el artículo 3°, fracción XXXII, del Código Financiero del Estado de México y Municipios</w:t>
      </w:r>
      <w:r w:rsidRPr="00123F1B">
        <w:rPr>
          <w:rFonts w:eastAsia="Palatino Linotype" w:cs="Palatino Linotype"/>
          <w:vertAlign w:val="superscript"/>
        </w:rPr>
        <w:footnoteReference w:id="1"/>
      </w:r>
      <w:r w:rsidRPr="00123F1B">
        <w:rPr>
          <w:rFonts w:eastAsia="Palatino Linotype" w:cs="Palatino Linotype"/>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4F19EDA8" w14:textId="77777777" w:rsidR="00770B21" w:rsidRPr="00123F1B" w:rsidRDefault="00770B21" w:rsidP="00395B38">
      <w:pPr>
        <w:rPr>
          <w:rFonts w:eastAsia="Palatino Linotype" w:cs="Palatino Linotype"/>
        </w:rPr>
      </w:pPr>
    </w:p>
    <w:p w14:paraId="30BF1BFA" w14:textId="77777777" w:rsidR="00770B21" w:rsidRPr="00123F1B" w:rsidRDefault="00770B21" w:rsidP="00395B38">
      <w:pPr>
        <w:ind w:right="49"/>
        <w:rPr>
          <w:rFonts w:eastAsia="Palatino Linotype" w:cs="Palatino Linotype"/>
        </w:rPr>
      </w:pPr>
      <w:r w:rsidRPr="00123F1B">
        <w:rPr>
          <w:rFonts w:eastAsia="Palatino Linotype" w:cs="Palatino Linotype"/>
        </w:rPr>
        <w:t xml:space="preserve">Resulta importante señalar que por cuanto hace a las percepciones, la Ley Federal del Trabajo que en su artículo 84 establece lo siguiente: </w:t>
      </w:r>
    </w:p>
    <w:p w14:paraId="2EA10669" w14:textId="77777777" w:rsidR="00770B21" w:rsidRPr="00123F1B" w:rsidRDefault="00770B21" w:rsidP="00395B38">
      <w:pPr>
        <w:ind w:right="49"/>
        <w:rPr>
          <w:rFonts w:eastAsia="Palatino Linotype" w:cs="Palatino Linotype"/>
        </w:rPr>
      </w:pPr>
    </w:p>
    <w:p w14:paraId="727FB3A5" w14:textId="77777777" w:rsidR="00770B21" w:rsidRPr="00123F1B" w:rsidRDefault="00770B21" w:rsidP="00395B38">
      <w:pPr>
        <w:spacing w:line="240" w:lineRule="auto"/>
        <w:ind w:left="567" w:right="567"/>
        <w:contextualSpacing/>
        <w:rPr>
          <w:rFonts w:eastAsiaTheme="majorEastAsia" w:cstheme="majorBidi"/>
          <w:i/>
          <w:kern w:val="28"/>
          <w:szCs w:val="56"/>
        </w:rPr>
      </w:pPr>
      <w:bookmarkStart w:id="30" w:name="bookmark=id.gjdgxs"/>
      <w:bookmarkEnd w:id="30"/>
      <w:r w:rsidRPr="00123F1B">
        <w:rPr>
          <w:rFonts w:eastAsiaTheme="majorEastAsia" w:cstheme="majorBidi"/>
          <w:i/>
          <w:kern w:val="28"/>
          <w:szCs w:val="56"/>
        </w:rPr>
        <w:t>“</w:t>
      </w:r>
      <w:r w:rsidRPr="00123F1B">
        <w:rPr>
          <w:rFonts w:eastAsiaTheme="majorEastAsia" w:cstheme="majorBidi"/>
          <w:b/>
          <w:bCs/>
          <w:i/>
          <w:kern w:val="28"/>
          <w:szCs w:val="56"/>
        </w:rPr>
        <w:t>Artículo 84.-</w:t>
      </w:r>
      <w:r w:rsidRPr="00123F1B">
        <w:rPr>
          <w:rFonts w:eastAsiaTheme="majorEastAsia" w:cstheme="majorBidi"/>
          <w:i/>
          <w:kern w:val="28"/>
          <w:szCs w:val="56"/>
        </w:rPr>
        <w:t xml:space="preserve"> El salario se integra con los pagos hechos en efectivo por cuota diaria, gratificaciones, percepciones, habitación, primas, comisiones, prestaciones en especie y cualquiera otra cantidad o prestación que se entregue al trabajador por su trabajo.”</w:t>
      </w:r>
    </w:p>
    <w:p w14:paraId="281BC86A" w14:textId="77777777" w:rsidR="00770B21" w:rsidRPr="00123F1B" w:rsidRDefault="00770B21" w:rsidP="00395B38">
      <w:pPr>
        <w:ind w:left="567" w:right="900"/>
        <w:rPr>
          <w:rFonts w:eastAsia="Palatino Linotype" w:cs="Palatino Linotype"/>
          <w:i/>
          <w:szCs w:val="22"/>
        </w:rPr>
      </w:pPr>
    </w:p>
    <w:p w14:paraId="4CE44D91" w14:textId="77777777" w:rsidR="00770B21" w:rsidRPr="00123F1B" w:rsidRDefault="00770B21" w:rsidP="00395B38">
      <w:pPr>
        <w:rPr>
          <w:rFonts w:eastAsia="Palatino Linotype" w:cs="Palatino Linotype"/>
        </w:rPr>
      </w:pPr>
      <w:bookmarkStart w:id="31" w:name="_heading=h.gjdgxs"/>
      <w:bookmarkEnd w:id="31"/>
      <w:r w:rsidRPr="00123F1B">
        <w:rPr>
          <w:rFonts w:eastAsia="Palatino Linotype" w:cs="Palatino Linotype"/>
        </w:rPr>
        <w:t xml:space="preserve">De igual forma, la Ley del Trabajo de los Servidores Públicos del Estado y Municipios, en su artículo 220 K, establece los documentos que tiene la obligación de conservar </w:t>
      </w:r>
      <w:r w:rsidRPr="00123F1B">
        <w:rPr>
          <w:rFonts w:eastAsia="Palatino Linotype" w:cs="Palatino Linotype"/>
          <w:b/>
        </w:rPr>
        <w:t>EL SUJETO OBLIGADO</w:t>
      </w:r>
      <w:r w:rsidRPr="00123F1B">
        <w:rPr>
          <w:rFonts w:eastAsia="Palatino Linotype" w:cs="Palatino Linotype"/>
        </w:rPr>
        <w:t xml:space="preserve">, entre los que se encuentran los recibos de pagos: </w:t>
      </w:r>
    </w:p>
    <w:p w14:paraId="6D80A351" w14:textId="77777777" w:rsidR="00770B21" w:rsidRPr="00123F1B" w:rsidRDefault="00770B21" w:rsidP="00395B38">
      <w:pPr>
        <w:rPr>
          <w:rFonts w:eastAsia="Palatino Linotype" w:cs="Palatino Linotype"/>
          <w:szCs w:val="22"/>
        </w:rPr>
      </w:pPr>
    </w:p>
    <w:p w14:paraId="7B064CFD"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b/>
          <w:i/>
          <w:kern w:val="28"/>
          <w:szCs w:val="56"/>
        </w:rPr>
        <w:t>“ARTÍCULO 220 K.-</w:t>
      </w:r>
      <w:r w:rsidRPr="00123F1B">
        <w:rPr>
          <w:rFonts w:eastAsia="Palatino Linotype"/>
          <w:i/>
          <w:kern w:val="28"/>
          <w:szCs w:val="56"/>
        </w:rPr>
        <w:t xml:space="preserve"> La institución o dependencia pública tiene la obligación de conservar y exhibir en el proceso los documentos que a continuación se precisan:</w:t>
      </w:r>
    </w:p>
    <w:p w14:paraId="3BC47BC6" w14:textId="77777777" w:rsidR="00770B21" w:rsidRPr="00123F1B" w:rsidRDefault="00770B21" w:rsidP="00395B38">
      <w:pPr>
        <w:spacing w:line="240" w:lineRule="auto"/>
        <w:ind w:left="567" w:right="567"/>
        <w:contextualSpacing/>
        <w:rPr>
          <w:i/>
          <w:kern w:val="28"/>
          <w:szCs w:val="56"/>
        </w:rPr>
      </w:pPr>
      <w:r w:rsidRPr="00123F1B">
        <w:rPr>
          <w:i/>
          <w:kern w:val="28"/>
          <w:szCs w:val="56"/>
        </w:rPr>
        <w:t xml:space="preserve">I. Contratos, Nombramientos o </w:t>
      </w:r>
      <w:r w:rsidRPr="00123F1B">
        <w:rPr>
          <w:kern w:val="28"/>
          <w:szCs w:val="56"/>
        </w:rPr>
        <w:t>Formato Único de Movimientos de Personal, cuando no exista Convenio de condiciones generales de</w:t>
      </w:r>
      <w:r w:rsidRPr="00123F1B">
        <w:rPr>
          <w:i/>
          <w:kern w:val="28"/>
          <w:szCs w:val="56"/>
        </w:rPr>
        <w:t xml:space="preserve"> trabajo aplicable;</w:t>
      </w:r>
    </w:p>
    <w:p w14:paraId="7BCD2A20" w14:textId="77777777" w:rsidR="00770B21" w:rsidRPr="00123F1B" w:rsidRDefault="00770B21" w:rsidP="00395B38">
      <w:pPr>
        <w:spacing w:line="240" w:lineRule="auto"/>
        <w:ind w:left="567" w:right="567"/>
        <w:contextualSpacing/>
        <w:rPr>
          <w:rFonts w:eastAsia="Palatino Linotype"/>
          <w:b/>
          <w:i/>
          <w:kern w:val="28"/>
          <w:szCs w:val="56"/>
        </w:rPr>
      </w:pPr>
      <w:r w:rsidRPr="00123F1B">
        <w:rPr>
          <w:rFonts w:eastAsia="Palatino Linotype"/>
          <w:b/>
          <w:i/>
          <w:kern w:val="28"/>
          <w:szCs w:val="56"/>
        </w:rPr>
        <w:t>II. Recibos de pagos de salarios o las constancias documentales del pago de salario cuando sea por depósito o mediante información electrónica;</w:t>
      </w:r>
    </w:p>
    <w:p w14:paraId="08D60D9B"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III. Controles de asistencia o la información magnética o electrónica de asistencia de los servidores públicos;</w:t>
      </w:r>
    </w:p>
    <w:p w14:paraId="16D4B014" w14:textId="77777777" w:rsidR="00770B21" w:rsidRPr="00123F1B" w:rsidRDefault="00770B21" w:rsidP="00395B38">
      <w:pPr>
        <w:spacing w:line="240" w:lineRule="auto"/>
        <w:ind w:left="567" w:right="567"/>
        <w:contextualSpacing/>
        <w:rPr>
          <w:rFonts w:eastAsia="Palatino Linotype"/>
          <w:b/>
          <w:i/>
          <w:kern w:val="28"/>
          <w:szCs w:val="56"/>
        </w:rPr>
      </w:pPr>
      <w:r w:rsidRPr="00123F1B">
        <w:rPr>
          <w:rFonts w:eastAsia="Palatino Linotype"/>
          <w:b/>
          <w:i/>
          <w:kern w:val="28"/>
          <w:szCs w:val="56"/>
        </w:rPr>
        <w:t>IV. Recibos o las constancias de depósito o del medio de información magnética o electrónica que sean utilizadas para el pago de salarios, prima vacacional, aguinaldo y demás prestaciones establecidas en la presente ley; y</w:t>
      </w:r>
    </w:p>
    <w:p w14:paraId="7873AEA7"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V. Los demás que señalen las leyes.</w:t>
      </w:r>
    </w:p>
    <w:p w14:paraId="09003023" w14:textId="77777777" w:rsidR="00770B21" w:rsidRPr="00123F1B" w:rsidRDefault="00770B21" w:rsidP="00395B38">
      <w:pPr>
        <w:spacing w:line="240" w:lineRule="auto"/>
        <w:ind w:left="567" w:right="567"/>
        <w:contextualSpacing/>
        <w:rPr>
          <w:rFonts w:eastAsia="Palatino Linotype"/>
          <w:i/>
          <w:kern w:val="28"/>
          <w:szCs w:val="56"/>
        </w:rPr>
      </w:pPr>
      <w:r w:rsidRPr="00123F1B">
        <w:rPr>
          <w:rFonts w:eastAsia="Palatino Linotype"/>
          <w:i/>
          <w:kern w:val="28"/>
          <w:szCs w:val="56"/>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7435EBE" w14:textId="77777777" w:rsidR="00770B21" w:rsidRPr="00123F1B" w:rsidRDefault="00770B21" w:rsidP="00395B38">
      <w:pPr>
        <w:rPr>
          <w:rFonts w:eastAsia="Palatino Linotype" w:cs="Palatino Linotype"/>
          <w:szCs w:val="22"/>
        </w:rPr>
      </w:pPr>
    </w:p>
    <w:p w14:paraId="1E96896D" w14:textId="77777777" w:rsidR="00770B21" w:rsidRPr="00123F1B" w:rsidRDefault="00770B21" w:rsidP="00395B38">
      <w:pPr>
        <w:rPr>
          <w:rFonts w:eastAsia="Palatino Linotype" w:cs="Palatino Linotype"/>
        </w:rPr>
      </w:pPr>
      <w:r w:rsidRPr="00123F1B">
        <w:rPr>
          <w:rFonts w:eastAsia="Palatino Linotype" w:cs="Palatino Linotype"/>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2F152EDC" w14:textId="77777777" w:rsidR="00770B21" w:rsidRPr="00123F1B" w:rsidRDefault="00770B21" w:rsidP="00395B38">
      <w:pPr>
        <w:rPr>
          <w:rFonts w:eastAsia="Calibri" w:cs="Tahoma"/>
          <w:iCs/>
          <w:szCs w:val="22"/>
          <w:lang w:val="es-ES" w:eastAsia="es-ES_tradnl"/>
        </w:rPr>
      </w:pPr>
    </w:p>
    <w:p w14:paraId="4AD83CE0" w14:textId="368DE806" w:rsidR="00E00C23" w:rsidRPr="00123F1B" w:rsidRDefault="00770B21" w:rsidP="00395B38">
      <w:pPr>
        <w:rPr>
          <w:rFonts w:eastAsia="Palatino Linotype" w:cs="Palatino Linotype"/>
          <w:b/>
          <w:i/>
        </w:rPr>
      </w:pPr>
      <w:r w:rsidRPr="00123F1B">
        <w:rPr>
          <w:rFonts w:eastAsia="Calibri" w:cs="Tahoma"/>
          <w:iCs/>
          <w:szCs w:val="22"/>
          <w:lang w:val="es-ES" w:eastAsia="es-ES_tradnl"/>
        </w:rPr>
        <w:t xml:space="preserve">Ahora bien, del análisis realizado a las documentales remidas por </w:t>
      </w:r>
      <w:r w:rsidRPr="00123F1B">
        <w:rPr>
          <w:rFonts w:eastAsia="Calibri" w:cs="Tahoma"/>
          <w:b/>
          <w:iCs/>
          <w:szCs w:val="22"/>
          <w:lang w:val="es-ES" w:eastAsia="es-ES_tradnl"/>
        </w:rPr>
        <w:t xml:space="preserve">EL SUJETO OBLIGADO </w:t>
      </w:r>
      <w:r w:rsidR="00025E81" w:rsidRPr="00123F1B">
        <w:rPr>
          <w:rFonts w:eastAsia="Calibri" w:cs="Tahoma"/>
          <w:iCs/>
          <w:szCs w:val="22"/>
          <w:lang w:val="es-ES" w:eastAsia="es-ES_tradnl"/>
        </w:rPr>
        <w:t xml:space="preserve">se advierte que si bien </w:t>
      </w:r>
      <w:r w:rsidR="00025E81" w:rsidRPr="00123F1B">
        <w:rPr>
          <w:rFonts w:eastAsia="Calibri" w:cs="Tahoma"/>
          <w:b/>
          <w:iCs/>
          <w:szCs w:val="22"/>
          <w:lang w:val="es-ES" w:eastAsia="es-ES_tradnl"/>
        </w:rPr>
        <w:t xml:space="preserve">EL SUJETO OBLIGADO </w:t>
      </w:r>
      <w:r w:rsidR="00025E81" w:rsidRPr="00123F1B">
        <w:rPr>
          <w:rFonts w:eastAsia="Calibri" w:cs="Tahoma"/>
          <w:iCs/>
          <w:szCs w:val="22"/>
          <w:lang w:val="es-ES" w:eastAsia="es-ES_tradnl"/>
        </w:rPr>
        <w:t xml:space="preserve">omitió dar respuesta a la solicitud de información; </w:t>
      </w:r>
      <w:r w:rsidRPr="00123F1B">
        <w:rPr>
          <w:rFonts w:eastAsia="Calibri" w:cs="Tahoma"/>
          <w:iCs/>
          <w:szCs w:val="22"/>
          <w:lang w:val="es-ES" w:eastAsia="es-ES_tradnl"/>
        </w:rPr>
        <w:t>mediante Informe Justificado</w:t>
      </w:r>
      <w:r w:rsidR="00025E81" w:rsidRPr="00123F1B">
        <w:rPr>
          <w:rFonts w:eastAsia="Calibri" w:cs="Tahoma"/>
          <w:iCs/>
          <w:szCs w:val="22"/>
          <w:lang w:val="es-ES" w:eastAsia="es-ES_tradnl"/>
        </w:rPr>
        <w:t xml:space="preserve"> pretendió dar atención a lo solicitado por </w:t>
      </w:r>
      <w:r w:rsidR="00025E81" w:rsidRPr="00123F1B">
        <w:rPr>
          <w:rFonts w:eastAsia="Calibri" w:cs="Tahoma"/>
          <w:b/>
          <w:iCs/>
          <w:szCs w:val="22"/>
          <w:lang w:val="es-ES" w:eastAsia="es-ES_tradnl"/>
        </w:rPr>
        <w:t xml:space="preserve">LA </w:t>
      </w:r>
      <w:r w:rsidR="00025E81" w:rsidRPr="00123F1B">
        <w:rPr>
          <w:rFonts w:eastAsia="Calibri" w:cs="Tahoma"/>
          <w:b/>
          <w:iCs/>
          <w:szCs w:val="22"/>
          <w:lang w:val="es-ES" w:eastAsia="es-ES_tradnl"/>
        </w:rPr>
        <w:lastRenderedPageBreak/>
        <w:t xml:space="preserve">PARTE RECURRENTE </w:t>
      </w:r>
      <w:r w:rsidR="00025E81" w:rsidRPr="00123F1B">
        <w:rPr>
          <w:rFonts w:eastAsia="Calibri" w:cs="Tahoma"/>
          <w:iCs/>
          <w:szCs w:val="22"/>
          <w:lang w:val="es-ES" w:eastAsia="es-ES_tradnl"/>
        </w:rPr>
        <w:t>haciendo entrega de</w:t>
      </w:r>
      <w:r w:rsidRPr="00123F1B">
        <w:rPr>
          <w:rFonts w:eastAsia="Calibri" w:cs="Tahoma"/>
          <w:iCs/>
          <w:szCs w:val="22"/>
          <w:lang w:val="es-ES" w:eastAsia="es-ES_tradnl"/>
        </w:rPr>
        <w:t xml:space="preserve"> los recibos de nómina correspondientes al periodo solicitado</w:t>
      </w:r>
      <w:r w:rsidRPr="00123F1B">
        <w:rPr>
          <w:rFonts w:eastAsia="Calibri" w:cs="Tahoma"/>
          <w:b/>
          <w:iCs/>
          <w:szCs w:val="22"/>
          <w:lang w:val="es-ES" w:eastAsia="es-ES_tradnl"/>
        </w:rPr>
        <w:t xml:space="preserve">; </w:t>
      </w:r>
      <w:r w:rsidRPr="00123F1B">
        <w:rPr>
          <w:rFonts w:eastAsia="Calibri" w:cs="Tahoma"/>
          <w:iCs/>
          <w:szCs w:val="22"/>
          <w:lang w:val="es-ES" w:eastAsia="es-ES_tradnl"/>
        </w:rPr>
        <w:t>sin embargo,</w:t>
      </w:r>
      <w:r w:rsidR="00025E81" w:rsidRPr="00123F1B">
        <w:rPr>
          <w:rFonts w:eastAsia="Calibri" w:cs="Tahoma"/>
          <w:iCs/>
          <w:szCs w:val="22"/>
          <w:lang w:val="es-ES" w:eastAsia="es-ES_tradnl"/>
        </w:rPr>
        <w:t xml:space="preserve"> se advirtió que </w:t>
      </w:r>
      <w:r w:rsidRPr="00123F1B">
        <w:rPr>
          <w:rFonts w:eastAsia="Calibri" w:cs="Tahoma"/>
          <w:iCs/>
          <w:szCs w:val="22"/>
          <w:lang w:val="es-ES" w:eastAsia="es-ES_tradnl"/>
        </w:rPr>
        <w:t xml:space="preserve">no fue </w:t>
      </w:r>
      <w:r w:rsidR="00E00C23" w:rsidRPr="00123F1B">
        <w:rPr>
          <w:rFonts w:eastAsia="Calibri" w:cs="Tahoma"/>
          <w:iCs/>
          <w:szCs w:val="22"/>
          <w:lang w:val="es-ES" w:eastAsia="es-ES_tradnl"/>
        </w:rPr>
        <w:t xml:space="preserve">testada la información confidencial de manera permanente, motivo por el cual </w:t>
      </w:r>
      <w:r w:rsidR="00E00C23" w:rsidRPr="00123F1B">
        <w:rPr>
          <w:rFonts w:eastAsia="Palatino Linotype" w:cs="Palatino Linotype"/>
        </w:rPr>
        <w:t xml:space="preserve">este Órgano a fin de garantizar la protección de los datos personales, consideró no ponerlo a la vista del particular. </w:t>
      </w:r>
    </w:p>
    <w:p w14:paraId="7AAC9B8C" w14:textId="77777777" w:rsidR="00E00C23" w:rsidRPr="00123F1B" w:rsidRDefault="00E00C23" w:rsidP="00395B38">
      <w:pPr>
        <w:rPr>
          <w:rFonts w:eastAsia="Calibri" w:cs="Tahoma"/>
          <w:iCs/>
          <w:szCs w:val="22"/>
          <w:lang w:val="es-ES" w:eastAsia="es-ES_tradnl"/>
        </w:rPr>
      </w:pPr>
    </w:p>
    <w:p w14:paraId="45E16A74" w14:textId="381FE10B" w:rsidR="00E00C23" w:rsidRPr="00123F1B" w:rsidRDefault="00E00C23" w:rsidP="00395B38">
      <w:pPr>
        <w:rPr>
          <w:rFonts w:eastAsiaTheme="majorEastAsia"/>
          <w:bCs/>
        </w:rPr>
      </w:pPr>
      <w:r w:rsidRPr="00123F1B">
        <w:rPr>
          <w:rFonts w:eastAsia="Calibri" w:cs="Tahoma"/>
          <w:iCs/>
          <w:szCs w:val="22"/>
          <w:lang w:val="es-ES" w:eastAsia="es-ES_tradnl"/>
        </w:rPr>
        <w:t xml:space="preserve">Asimismo, </w:t>
      </w:r>
      <w:r w:rsidR="00025E81" w:rsidRPr="00123F1B">
        <w:rPr>
          <w:rFonts w:eastAsia="Calibri" w:cs="Tahoma"/>
          <w:iCs/>
          <w:szCs w:val="22"/>
          <w:lang w:val="es-ES" w:eastAsia="es-ES_tradnl"/>
        </w:rPr>
        <w:t xml:space="preserve">se considera necesario precisar </w:t>
      </w:r>
      <w:r w:rsidR="00494D27" w:rsidRPr="00123F1B">
        <w:rPr>
          <w:rFonts w:eastAsia="Calibri" w:cs="Tahoma"/>
          <w:iCs/>
          <w:szCs w:val="22"/>
          <w:lang w:val="es-ES" w:eastAsia="es-ES_tradnl"/>
        </w:rPr>
        <w:t xml:space="preserve">que </w:t>
      </w:r>
      <w:r w:rsidRPr="00123F1B">
        <w:rPr>
          <w:rFonts w:eastAsia="Calibri" w:cs="Tahoma"/>
          <w:iCs/>
          <w:szCs w:val="22"/>
          <w:lang w:val="es-ES" w:eastAsia="es-ES_tradnl"/>
        </w:rPr>
        <w:t xml:space="preserve">del análisis </w:t>
      </w:r>
      <w:r w:rsidRPr="00123F1B">
        <w:rPr>
          <w:rFonts w:eastAsia="Palatino Linotype" w:cs="Palatino Linotype"/>
        </w:rPr>
        <w:t>realizado</w:t>
      </w:r>
      <w:r w:rsidRPr="00123F1B">
        <w:rPr>
          <w:rFonts w:eastAsia="Calibri" w:cs="Tahoma"/>
          <w:iCs/>
          <w:szCs w:val="22"/>
          <w:lang w:val="es-ES" w:eastAsia="es-ES_tradnl"/>
        </w:rPr>
        <w:t xml:space="preserve"> al </w:t>
      </w:r>
      <w:r w:rsidRPr="00123F1B">
        <w:rPr>
          <w:rFonts w:eastAsiaTheme="majorEastAsia"/>
          <w:bCs/>
        </w:rPr>
        <w:t>acuerdo</w:t>
      </w:r>
      <w:r w:rsidR="00494D27" w:rsidRPr="00123F1B">
        <w:rPr>
          <w:rFonts w:eastAsiaTheme="majorEastAsia"/>
          <w:bCs/>
        </w:rPr>
        <w:t xml:space="preserve"> remitido por </w:t>
      </w:r>
      <w:r w:rsidR="00494D27" w:rsidRPr="00123F1B">
        <w:rPr>
          <w:rFonts w:eastAsiaTheme="majorEastAsia"/>
          <w:b/>
          <w:bCs/>
        </w:rPr>
        <w:t xml:space="preserve">EL SUJETO OBLIGADO </w:t>
      </w:r>
      <w:r w:rsidRPr="00123F1B">
        <w:rPr>
          <w:rFonts w:eastAsiaTheme="majorEastAsia"/>
          <w:bCs/>
        </w:rPr>
        <w:t xml:space="preserve">por medio del cual el Comité de Transparencia aprobó la versión pública parcial de la información contenida en los recibos de nómina, </w:t>
      </w:r>
      <w:r w:rsidR="00494D27" w:rsidRPr="00123F1B">
        <w:rPr>
          <w:rFonts w:eastAsiaTheme="majorEastAsia"/>
          <w:bCs/>
        </w:rPr>
        <w:t xml:space="preserve">se advierte que se omitió precisar los fundamentos y razones de todos y cada uno de los datos testados, pues no se advierte a que datos corresponden </w:t>
      </w:r>
      <w:r w:rsidR="00DE1AC5" w:rsidRPr="00123F1B">
        <w:rPr>
          <w:rFonts w:eastAsiaTheme="majorEastAsia"/>
          <w:bCs/>
        </w:rPr>
        <w:t>“entre otros”</w:t>
      </w:r>
      <w:r w:rsidR="007B67CC" w:rsidRPr="00123F1B">
        <w:rPr>
          <w:rFonts w:eastAsiaTheme="majorEastAsia"/>
          <w:bCs/>
        </w:rPr>
        <w:t xml:space="preserve">, para mejor referencia se inserta la siguiente imagen: </w:t>
      </w:r>
      <w:r w:rsidR="00DE1AC5" w:rsidRPr="00123F1B">
        <w:rPr>
          <w:rFonts w:eastAsiaTheme="majorEastAsia"/>
          <w:bCs/>
        </w:rPr>
        <w:t xml:space="preserve"> </w:t>
      </w:r>
    </w:p>
    <w:p w14:paraId="1BB52725" w14:textId="77777777" w:rsidR="00DE1AC5" w:rsidRPr="00123F1B" w:rsidRDefault="00DE1AC5" w:rsidP="00395B38">
      <w:pPr>
        <w:rPr>
          <w:rFonts w:eastAsiaTheme="majorEastAsia"/>
          <w:bCs/>
        </w:rPr>
      </w:pPr>
    </w:p>
    <w:p w14:paraId="526A49A1" w14:textId="437FAB75" w:rsidR="00E00C23" w:rsidRPr="00123F1B" w:rsidRDefault="007B67CC" w:rsidP="00395B38">
      <w:pPr>
        <w:jc w:val="center"/>
        <w:rPr>
          <w:rFonts w:eastAsiaTheme="majorEastAsia"/>
          <w:bCs/>
        </w:rPr>
      </w:pPr>
      <w:r w:rsidRPr="00123F1B">
        <w:rPr>
          <w:rFonts w:eastAsiaTheme="majorEastAsia"/>
          <w:bCs/>
          <w:noProof/>
          <w:lang w:eastAsia="es-MX"/>
          <w14:ligatures w14:val="standardContextual"/>
        </w:rPr>
        <mc:AlternateContent>
          <mc:Choice Requires="wps">
            <w:drawing>
              <wp:anchor distT="0" distB="0" distL="114300" distR="114300" simplePos="0" relativeHeight="251665408" behindDoc="0" locked="0" layoutInCell="1" allowOverlap="1" wp14:anchorId="13E17821" wp14:editId="0F987FC2">
                <wp:simplePos x="0" y="0"/>
                <wp:positionH relativeFrom="column">
                  <wp:posOffset>2910477</wp:posOffset>
                </wp:positionH>
                <wp:positionV relativeFrom="paragraph">
                  <wp:posOffset>3144372</wp:posOffset>
                </wp:positionV>
                <wp:extent cx="961901" cy="153769"/>
                <wp:effectExtent l="0" t="0" r="10160" b="17780"/>
                <wp:wrapNone/>
                <wp:docPr id="2" name="Elipse 2"/>
                <wp:cNvGraphicFramePr/>
                <a:graphic xmlns:a="http://schemas.openxmlformats.org/drawingml/2006/main">
                  <a:graphicData uri="http://schemas.microsoft.com/office/word/2010/wordprocessingShape">
                    <wps:wsp>
                      <wps:cNvSpPr/>
                      <wps:spPr>
                        <a:xfrm>
                          <a:off x="0" y="0"/>
                          <a:ext cx="961901" cy="15376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C3A3F6" id="Elipse 2" o:spid="_x0000_s1026" style="position:absolute;margin-left:229.15pt;margin-top:247.6pt;width:75.75pt;height:1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" filled="f" strokecolor="red" strokeweight="1pt">
                <v:stroke joinstyle="miter"/>
              </v:oval>
            </w:pict>
          </mc:Fallback>
        </mc:AlternateContent>
      </w:r>
      <w:r w:rsidR="00E00C23" w:rsidRPr="00123F1B">
        <w:rPr>
          <w:rFonts w:eastAsiaTheme="majorEastAsia"/>
          <w:bCs/>
          <w:noProof/>
          <w:lang w:eastAsia="es-MX"/>
        </w:rPr>
        <w:drawing>
          <wp:inline distT="0" distB="0" distL="0" distR="0" wp14:anchorId="4C0BFC87" wp14:editId="28427D97">
            <wp:extent cx="4276725" cy="33013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702" cy="3309042"/>
                    </a:xfrm>
                    <a:prstGeom prst="rect">
                      <a:avLst/>
                    </a:prstGeom>
                  </pic:spPr>
                </pic:pic>
              </a:graphicData>
            </a:graphic>
          </wp:inline>
        </w:drawing>
      </w:r>
    </w:p>
    <w:p w14:paraId="6869EC19" w14:textId="77777777" w:rsidR="007B67CC" w:rsidRPr="00123F1B" w:rsidRDefault="00E00C23" w:rsidP="00395B38">
      <w:pPr>
        <w:rPr>
          <w:rFonts w:eastAsiaTheme="majorEastAsia"/>
          <w:bCs/>
        </w:rPr>
      </w:pPr>
      <w:r w:rsidRPr="00123F1B">
        <w:rPr>
          <w:rFonts w:eastAsiaTheme="majorEastAsia"/>
          <w:bCs/>
        </w:rPr>
        <w:t xml:space="preserve"> </w:t>
      </w:r>
    </w:p>
    <w:p w14:paraId="69C71F2D" w14:textId="1F84C2A4" w:rsidR="00674676" w:rsidRPr="00123F1B" w:rsidRDefault="00494D27" w:rsidP="00395B38">
      <w:pPr>
        <w:rPr>
          <w:rFonts w:cs="Arial"/>
          <w:sz w:val="24"/>
          <w:szCs w:val="24"/>
        </w:rPr>
      </w:pPr>
      <w:r w:rsidRPr="00123F1B">
        <w:rPr>
          <w:rFonts w:cs="Arial"/>
          <w:sz w:val="24"/>
          <w:szCs w:val="24"/>
        </w:rPr>
        <w:lastRenderedPageBreak/>
        <w:t xml:space="preserve">Por lo </w:t>
      </w:r>
      <w:r w:rsidR="00025E81" w:rsidRPr="00123F1B">
        <w:rPr>
          <w:rFonts w:cs="Arial"/>
          <w:sz w:val="24"/>
          <w:szCs w:val="24"/>
        </w:rPr>
        <w:t>que</w:t>
      </w:r>
      <w:r w:rsidRPr="00123F1B">
        <w:rPr>
          <w:rFonts w:cs="Arial"/>
          <w:sz w:val="24"/>
          <w:szCs w:val="24"/>
        </w:rPr>
        <w:t xml:space="preserve">, </w:t>
      </w:r>
      <w:r w:rsidR="00674676" w:rsidRPr="00123F1B">
        <w:rPr>
          <w:rFonts w:cs="Arial"/>
          <w:sz w:val="24"/>
          <w:szCs w:val="24"/>
        </w:rPr>
        <w:t>para clasificar ciertos datos contenidos en los documentos con los cuales se da respuesta se debe fundar y motivar correctamente la categorización de la información.</w:t>
      </w:r>
    </w:p>
    <w:p w14:paraId="1703F590" w14:textId="77777777" w:rsidR="00674676" w:rsidRPr="00123F1B" w:rsidRDefault="00674676" w:rsidP="00395B38">
      <w:pPr>
        <w:rPr>
          <w:rFonts w:cs="Arial"/>
          <w:sz w:val="24"/>
          <w:szCs w:val="24"/>
        </w:rPr>
      </w:pPr>
    </w:p>
    <w:p w14:paraId="0DF06497" w14:textId="77777777" w:rsidR="00674676" w:rsidRPr="00123F1B" w:rsidRDefault="00674676" w:rsidP="00395B38">
      <w:pPr>
        <w:rPr>
          <w:rFonts w:cs="Arial"/>
          <w:sz w:val="24"/>
          <w:szCs w:val="24"/>
        </w:rPr>
      </w:pPr>
      <w:r w:rsidRPr="00123F1B">
        <w:rPr>
          <w:rFonts w:cs="Arial"/>
          <w:sz w:val="24"/>
          <w:szCs w:val="24"/>
        </w:rPr>
        <w:t>Lo anterior, atiendo lo señalado en el artículo 149 de la Ley de Transparencia Local, cuyo contenido es de la literalidad siguiente:</w:t>
      </w:r>
    </w:p>
    <w:p w14:paraId="5A4FAF13" w14:textId="77777777" w:rsidR="00674676" w:rsidRPr="00123F1B" w:rsidRDefault="00674676" w:rsidP="00395B38">
      <w:pPr>
        <w:spacing w:line="240" w:lineRule="auto"/>
        <w:rPr>
          <w:sz w:val="24"/>
          <w:szCs w:val="24"/>
        </w:rPr>
      </w:pPr>
    </w:p>
    <w:p w14:paraId="3DFC4AE9" w14:textId="77777777" w:rsidR="00674676" w:rsidRPr="00123F1B" w:rsidRDefault="00674676" w:rsidP="00395B38">
      <w:pPr>
        <w:spacing w:line="240" w:lineRule="auto"/>
        <w:ind w:left="851" w:right="1134"/>
        <w:rPr>
          <w:i/>
          <w:szCs w:val="22"/>
        </w:rPr>
      </w:pPr>
      <w:r w:rsidRPr="00123F1B">
        <w:rPr>
          <w:i/>
          <w:szCs w:val="22"/>
        </w:rPr>
        <w:t>“</w:t>
      </w:r>
      <w:r w:rsidRPr="00123F1B">
        <w:rPr>
          <w:b/>
          <w:i/>
          <w:szCs w:val="22"/>
        </w:rPr>
        <w:t>Artículo 149.</w:t>
      </w:r>
      <w:r w:rsidRPr="00123F1B">
        <w:rPr>
          <w:i/>
          <w:szCs w:val="22"/>
        </w:rPr>
        <w:t xml:space="preserve"> El </w:t>
      </w:r>
      <w:r w:rsidRPr="00123F1B">
        <w:rPr>
          <w:b/>
          <w:i/>
          <w:szCs w:val="22"/>
        </w:rPr>
        <w:t>acuerdo que clasifique la información como confidencial</w:t>
      </w:r>
      <w:r w:rsidRPr="00123F1B">
        <w:rPr>
          <w:i/>
          <w:szCs w:val="22"/>
        </w:rPr>
        <w:t xml:space="preserve"> </w:t>
      </w:r>
      <w:r w:rsidRPr="00123F1B">
        <w:rPr>
          <w:b/>
          <w:i/>
          <w:szCs w:val="22"/>
        </w:rPr>
        <w:t>deberá contener un razonamiento lógico en el que demuestre que la información se encuentra en alguna o algunas de las hipótesis previstas en la presente Ley</w:t>
      </w:r>
      <w:r w:rsidRPr="00123F1B">
        <w:rPr>
          <w:i/>
          <w:szCs w:val="22"/>
        </w:rPr>
        <w:t>.”</w:t>
      </w:r>
    </w:p>
    <w:p w14:paraId="12D2B2C6" w14:textId="77777777" w:rsidR="00674676" w:rsidRPr="00123F1B" w:rsidRDefault="00674676" w:rsidP="00395B38">
      <w:pPr>
        <w:spacing w:line="240" w:lineRule="auto"/>
        <w:rPr>
          <w:rFonts w:cs="Arial"/>
          <w:sz w:val="24"/>
          <w:szCs w:val="24"/>
        </w:rPr>
      </w:pPr>
    </w:p>
    <w:p w14:paraId="38211F83" w14:textId="77777777" w:rsidR="00674676" w:rsidRPr="00123F1B" w:rsidRDefault="00674676" w:rsidP="00395B38">
      <w:pPr>
        <w:rPr>
          <w:rFonts w:cs="Arial"/>
          <w:sz w:val="24"/>
          <w:szCs w:val="24"/>
        </w:rPr>
      </w:pPr>
      <w:r w:rsidRPr="00123F1B">
        <w:rPr>
          <w:rFonts w:cs="Arial"/>
          <w:sz w:val="24"/>
          <w:szCs w:val="24"/>
        </w:rPr>
        <w:t>Atento a ello, es importante referir que la fundamentación y motivación consiste en la obligación que tiene todo ente público de expresar los preceptos jurídicos aplicables al asunto motivo del acto y las razones o argumentos de su actuar.</w:t>
      </w:r>
    </w:p>
    <w:p w14:paraId="69C2A64D" w14:textId="77777777" w:rsidR="00674676" w:rsidRPr="00123F1B" w:rsidRDefault="00674676" w:rsidP="00395B38">
      <w:pPr>
        <w:rPr>
          <w:rFonts w:cs="Arial"/>
          <w:sz w:val="24"/>
          <w:szCs w:val="24"/>
        </w:rPr>
      </w:pPr>
    </w:p>
    <w:p w14:paraId="6B72BD46" w14:textId="77777777" w:rsidR="00674676" w:rsidRPr="00123F1B" w:rsidRDefault="00674676" w:rsidP="00395B38">
      <w:pPr>
        <w:contextualSpacing/>
        <w:rPr>
          <w:rFonts w:cs="Arial"/>
          <w:sz w:val="24"/>
          <w:szCs w:val="24"/>
        </w:rPr>
      </w:pPr>
      <w:r w:rsidRPr="00123F1B">
        <w:rPr>
          <w:rFonts w:cs="Arial"/>
          <w:sz w:val="24"/>
          <w:szCs w:val="24"/>
        </w:rPr>
        <w:t>Al respecto, el máximo tribunal del país ha establecido jurisprudencia respecto a qué debe entenderse por fundamentación y motivación, en los siguientes términos:</w:t>
      </w:r>
    </w:p>
    <w:p w14:paraId="2BD41673" w14:textId="77777777" w:rsidR="00674676" w:rsidRPr="00123F1B" w:rsidRDefault="00674676" w:rsidP="00395B38">
      <w:pPr>
        <w:spacing w:line="240" w:lineRule="auto"/>
        <w:contextualSpacing/>
        <w:rPr>
          <w:rFonts w:cs="Arial"/>
          <w:sz w:val="24"/>
          <w:szCs w:val="24"/>
        </w:rPr>
      </w:pPr>
    </w:p>
    <w:p w14:paraId="026E0289" w14:textId="77777777" w:rsidR="00674676" w:rsidRPr="00123F1B" w:rsidRDefault="00674676" w:rsidP="00395B38">
      <w:pPr>
        <w:pStyle w:val="Puesto"/>
      </w:pPr>
      <w:r w:rsidRPr="00123F1B">
        <w:t>“</w:t>
      </w:r>
      <w:r w:rsidRPr="00123F1B">
        <w:rPr>
          <w:b/>
        </w:rPr>
        <w:t xml:space="preserve">FUNDAMENTACIÓN Y MOTIVACIÓN. </w:t>
      </w:r>
      <w:r w:rsidRPr="00123F1B">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164038E" w14:textId="77777777" w:rsidR="00674676" w:rsidRPr="00123F1B" w:rsidRDefault="00674676" w:rsidP="00395B38">
      <w:pPr>
        <w:spacing w:line="240" w:lineRule="auto"/>
        <w:ind w:left="851" w:right="899"/>
        <w:contextualSpacing/>
        <w:rPr>
          <w:rFonts w:cs="Arial"/>
          <w:i/>
          <w:szCs w:val="24"/>
        </w:rPr>
      </w:pPr>
    </w:p>
    <w:p w14:paraId="04E94ADD" w14:textId="77777777" w:rsidR="00674676" w:rsidRPr="00123F1B" w:rsidRDefault="00674676" w:rsidP="00395B38">
      <w:pPr>
        <w:rPr>
          <w:rFonts w:cs="Arial"/>
          <w:sz w:val="24"/>
          <w:szCs w:val="24"/>
        </w:rPr>
      </w:pPr>
      <w:r w:rsidRPr="00123F1B">
        <w:rPr>
          <w:rFonts w:cs="Arial"/>
          <w:sz w:val="24"/>
          <w:szCs w:val="24"/>
        </w:rPr>
        <w:t xml:space="preserve">Así, en un acto de autoridad se surte la debida fundamentación cuando se cita el precepto legal aplicable al caso concreto y la debida motivación cuando se expresan </w:t>
      </w:r>
      <w:r w:rsidRPr="00123F1B">
        <w:rPr>
          <w:rFonts w:cs="Arial"/>
          <w:sz w:val="24"/>
          <w:szCs w:val="24"/>
        </w:rPr>
        <w:lastRenderedPageBreak/>
        <w:t>las razones, motivos o circunstancias que tomó en cuenta la autoridad para adecuar el hecho a los fundamentos de derecho.</w:t>
      </w:r>
    </w:p>
    <w:p w14:paraId="04E9B676" w14:textId="77777777" w:rsidR="00674676" w:rsidRPr="00123F1B" w:rsidRDefault="00674676" w:rsidP="00395B38">
      <w:pPr>
        <w:rPr>
          <w:rFonts w:cs="Arial"/>
          <w:sz w:val="24"/>
          <w:szCs w:val="24"/>
        </w:rPr>
      </w:pPr>
    </w:p>
    <w:p w14:paraId="15098CDC" w14:textId="77777777" w:rsidR="00674676" w:rsidRPr="00123F1B" w:rsidRDefault="00674676" w:rsidP="00395B38">
      <w:pPr>
        <w:rPr>
          <w:rFonts w:cs="Arial"/>
          <w:sz w:val="24"/>
          <w:szCs w:val="24"/>
        </w:rPr>
      </w:pPr>
      <w:r w:rsidRPr="00123F1B">
        <w:rPr>
          <w:rFonts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A6D8C0B" w14:textId="77777777" w:rsidR="00674676" w:rsidRPr="00123F1B" w:rsidRDefault="00674676" w:rsidP="00395B38">
      <w:pPr>
        <w:spacing w:line="240" w:lineRule="auto"/>
        <w:rPr>
          <w:rFonts w:cs="Arial"/>
          <w:sz w:val="24"/>
          <w:szCs w:val="24"/>
        </w:rPr>
      </w:pPr>
    </w:p>
    <w:p w14:paraId="47A25DB5" w14:textId="77777777" w:rsidR="00674676" w:rsidRPr="00123F1B" w:rsidRDefault="00674676" w:rsidP="00395B38">
      <w:pPr>
        <w:pStyle w:val="Puesto"/>
      </w:pPr>
      <w:r w:rsidRPr="00123F1B">
        <w:t>“</w:t>
      </w:r>
      <w:r w:rsidRPr="00123F1B">
        <w:rPr>
          <w:b/>
        </w:rPr>
        <w:t>FUNDAMENTACIÓN Y MOTIVACIÓN. EL ASPECTO FORMAL DE LA GARANTÍA Y SU FINALIDAD SE TRADUCEN EN EXPLICAR, JUSTIFICAR, POSIBILITAR LA DEFENSA Y COMUNICAR LA DECISIÓN.</w:t>
      </w:r>
      <w:r w:rsidRPr="00123F1B">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AF1CF2E" w14:textId="77777777" w:rsidR="00674676" w:rsidRPr="00123F1B" w:rsidRDefault="00674676" w:rsidP="00395B38">
      <w:pPr>
        <w:spacing w:line="240" w:lineRule="auto"/>
        <w:ind w:left="851" w:right="899"/>
        <w:contextualSpacing/>
        <w:rPr>
          <w:rFonts w:cs="Arial"/>
          <w:i/>
          <w:szCs w:val="24"/>
        </w:rPr>
      </w:pPr>
    </w:p>
    <w:p w14:paraId="69A5FD29" w14:textId="77777777" w:rsidR="00674676" w:rsidRPr="00123F1B" w:rsidRDefault="00674676" w:rsidP="00395B38">
      <w:pPr>
        <w:rPr>
          <w:rFonts w:cs="Arial"/>
          <w:sz w:val="24"/>
          <w:szCs w:val="24"/>
        </w:rPr>
      </w:pPr>
      <w:r w:rsidRPr="00123F1B">
        <w:rPr>
          <w:rFonts w:cs="Arial"/>
          <w:sz w:val="24"/>
          <w:szCs w:val="24"/>
        </w:rPr>
        <w:t xml:space="preserve">Por lo que, la fundamentación y motivación implica que en el acto de autoridad, además de contenerse los supuestos jurídicos aplicables se expliquen claramente, por qué, a través de la utilización de la norma se emitió el acto. De este modo, la persona </w:t>
      </w:r>
      <w:r w:rsidRPr="00123F1B">
        <w:rPr>
          <w:rFonts w:cs="Arial"/>
          <w:sz w:val="24"/>
          <w:szCs w:val="24"/>
        </w:rPr>
        <w:lastRenderedPageBreak/>
        <w:t>que se siente afectada pueda impugnar la decisión, permitiéndole una real y auténtica defensa.</w:t>
      </w:r>
    </w:p>
    <w:p w14:paraId="4E39707E" w14:textId="77777777" w:rsidR="00494D27" w:rsidRPr="00123F1B" w:rsidRDefault="00494D27" w:rsidP="00395B38">
      <w:pPr>
        <w:rPr>
          <w:rFonts w:cs="Arial"/>
          <w:sz w:val="24"/>
          <w:szCs w:val="24"/>
        </w:rPr>
      </w:pPr>
    </w:p>
    <w:p w14:paraId="5724B205" w14:textId="4355D0D6" w:rsidR="00674676" w:rsidRPr="00123F1B" w:rsidRDefault="00494D27" w:rsidP="00395B38">
      <w:pPr>
        <w:rPr>
          <w:rFonts w:eastAsiaTheme="majorEastAsia"/>
          <w:bCs/>
        </w:rPr>
      </w:pPr>
      <w:r w:rsidRPr="00123F1B">
        <w:rPr>
          <w:rFonts w:eastAsiaTheme="majorEastAsia"/>
          <w:bCs/>
        </w:rPr>
        <w:t xml:space="preserve">Es así, que derivado que </w:t>
      </w:r>
      <w:r w:rsidRPr="00123F1B">
        <w:rPr>
          <w:rFonts w:eastAsiaTheme="majorEastAsia"/>
          <w:b/>
          <w:bCs/>
        </w:rPr>
        <w:t xml:space="preserve">EL SUJETO OBLIGADO </w:t>
      </w:r>
      <w:r w:rsidRPr="00123F1B">
        <w:rPr>
          <w:rFonts w:eastAsiaTheme="majorEastAsia"/>
          <w:bCs/>
        </w:rPr>
        <w:t xml:space="preserve">omitió testar de manera permanente la información confidencial y omitió precisar las razones y fundamento de cada dato considera confidencial contenidos de los recibos de nómina, este </w:t>
      </w:r>
      <w:r w:rsidR="00674676" w:rsidRPr="00123F1B">
        <w:rPr>
          <w:rFonts w:eastAsiaTheme="majorEastAsia"/>
          <w:bCs/>
        </w:rPr>
        <w:t xml:space="preserve">Órgano Garante determina ordenar al </w:t>
      </w:r>
      <w:r w:rsidR="00674676" w:rsidRPr="00123F1B">
        <w:rPr>
          <w:rFonts w:eastAsiaTheme="majorEastAsia"/>
          <w:b/>
          <w:bCs/>
        </w:rPr>
        <w:t xml:space="preserve">SUJETO OBLIGADO </w:t>
      </w:r>
      <w:r w:rsidR="00674676" w:rsidRPr="00123F1B">
        <w:rPr>
          <w:rFonts w:eastAsiaTheme="majorEastAsia"/>
          <w:bCs/>
        </w:rPr>
        <w:t xml:space="preserve">haga entrega en </w:t>
      </w:r>
      <w:r w:rsidR="00674676" w:rsidRPr="00123F1B">
        <w:rPr>
          <w:rFonts w:eastAsiaTheme="majorEastAsia"/>
          <w:b/>
          <w:bCs/>
        </w:rPr>
        <w:t>correcta versión pública</w:t>
      </w:r>
      <w:r w:rsidR="00674676" w:rsidRPr="00123F1B">
        <w:rPr>
          <w:rFonts w:eastAsiaTheme="majorEastAsia"/>
          <w:bCs/>
        </w:rPr>
        <w:t xml:space="preserve"> de los recibos de nómina correspondientes al año dos mil veintitrés remitidos en Informe Justificado. </w:t>
      </w:r>
    </w:p>
    <w:p w14:paraId="49F04475" w14:textId="77777777" w:rsidR="00674676" w:rsidRPr="00123F1B" w:rsidRDefault="00674676" w:rsidP="00395B38">
      <w:pPr>
        <w:rPr>
          <w:rFonts w:eastAsiaTheme="majorEastAsia"/>
          <w:bCs/>
        </w:rPr>
      </w:pPr>
    </w:p>
    <w:p w14:paraId="4724369C" w14:textId="0AE7A822" w:rsidR="00674676" w:rsidRPr="00123F1B" w:rsidRDefault="00674676" w:rsidP="00395B38">
      <w:pPr>
        <w:pStyle w:val="Ttulo3"/>
      </w:pPr>
      <w:bookmarkStart w:id="32" w:name="_Toc211450112"/>
      <w:r w:rsidRPr="00123F1B">
        <w:t>d) Versión pública</w:t>
      </w:r>
      <w:bookmarkEnd w:id="32"/>
    </w:p>
    <w:p w14:paraId="534FCBD9" w14:textId="77777777" w:rsidR="00674676" w:rsidRPr="00123F1B" w:rsidRDefault="00674676" w:rsidP="00395B38">
      <w:r w:rsidRPr="00123F1B">
        <w:t xml:space="preserve">Para el caso de que el o los documentos de los cuales se ordena su entrega contengan datos personales susceptibles de ser testados, deberán ser entregados en </w:t>
      </w:r>
      <w:r w:rsidRPr="00123F1B">
        <w:rPr>
          <w:b/>
        </w:rPr>
        <w:t>versión pública</w:t>
      </w:r>
      <w:r w:rsidRPr="00123F1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4C211E" w14:textId="77777777" w:rsidR="00674676" w:rsidRPr="00123F1B" w:rsidRDefault="00674676" w:rsidP="00395B38"/>
    <w:p w14:paraId="7E9F5B34" w14:textId="77777777" w:rsidR="00674676" w:rsidRPr="00123F1B" w:rsidRDefault="00674676" w:rsidP="00395B38">
      <w:r w:rsidRPr="00123F1B">
        <w:t>A este respecto, los artículos 3, fracciones IX, XX, XXI y XLV; 51 y 52 de la Ley de Transparencia y Acceso a la Información Pública del Estado de México y Municipios establecen:</w:t>
      </w:r>
    </w:p>
    <w:p w14:paraId="427ADBE4" w14:textId="77777777" w:rsidR="00674676" w:rsidRPr="00123F1B" w:rsidRDefault="00674676" w:rsidP="00395B38"/>
    <w:p w14:paraId="7E52995C" w14:textId="77777777" w:rsidR="00674676" w:rsidRPr="00123F1B" w:rsidRDefault="00674676" w:rsidP="00395B38">
      <w:pPr>
        <w:spacing w:line="240" w:lineRule="auto"/>
        <w:ind w:left="567" w:right="567"/>
        <w:contextualSpacing/>
        <w:rPr>
          <w:i/>
          <w:kern w:val="28"/>
          <w:szCs w:val="56"/>
        </w:rPr>
      </w:pPr>
      <w:r w:rsidRPr="00123F1B">
        <w:rPr>
          <w:b/>
          <w:i/>
          <w:kern w:val="28"/>
          <w:szCs w:val="56"/>
        </w:rPr>
        <w:lastRenderedPageBreak/>
        <w:t xml:space="preserve">“Artículo 3. </w:t>
      </w:r>
      <w:r w:rsidRPr="00123F1B">
        <w:rPr>
          <w:i/>
          <w:kern w:val="28"/>
          <w:szCs w:val="56"/>
        </w:rPr>
        <w:t xml:space="preserve">Para los efectos de la presente Ley se entenderá por: </w:t>
      </w:r>
    </w:p>
    <w:p w14:paraId="41D24EF7" w14:textId="77777777" w:rsidR="00674676" w:rsidRPr="00123F1B" w:rsidRDefault="00674676" w:rsidP="00395B38">
      <w:pPr>
        <w:spacing w:line="240" w:lineRule="auto"/>
        <w:ind w:left="567" w:right="567"/>
        <w:contextualSpacing/>
        <w:rPr>
          <w:i/>
          <w:kern w:val="28"/>
          <w:szCs w:val="56"/>
        </w:rPr>
      </w:pPr>
      <w:r w:rsidRPr="00123F1B">
        <w:rPr>
          <w:b/>
          <w:i/>
          <w:kern w:val="28"/>
          <w:szCs w:val="56"/>
        </w:rPr>
        <w:t>IX.</w:t>
      </w:r>
      <w:r w:rsidRPr="00123F1B">
        <w:rPr>
          <w:i/>
          <w:kern w:val="28"/>
          <w:szCs w:val="56"/>
        </w:rPr>
        <w:t xml:space="preserve"> </w:t>
      </w:r>
      <w:r w:rsidRPr="00123F1B">
        <w:rPr>
          <w:b/>
          <w:i/>
          <w:kern w:val="28"/>
          <w:szCs w:val="56"/>
        </w:rPr>
        <w:t xml:space="preserve">Datos personales: </w:t>
      </w:r>
      <w:r w:rsidRPr="00123F1B">
        <w:rPr>
          <w:i/>
          <w:kern w:val="28"/>
          <w:szCs w:val="56"/>
        </w:rPr>
        <w:t xml:space="preserve">La información concerniente a una persona, identificada o identificable según lo dispuesto por la Ley de Protección de Datos Personales del Estado de México; </w:t>
      </w:r>
    </w:p>
    <w:p w14:paraId="3C2C2CFA" w14:textId="77777777" w:rsidR="00674676" w:rsidRPr="00123F1B" w:rsidRDefault="00674676" w:rsidP="00395B38"/>
    <w:p w14:paraId="05C64518" w14:textId="77777777" w:rsidR="00674676" w:rsidRPr="00123F1B" w:rsidRDefault="00674676" w:rsidP="00395B38">
      <w:pPr>
        <w:spacing w:line="240" w:lineRule="auto"/>
        <w:ind w:left="567" w:right="567"/>
        <w:contextualSpacing/>
        <w:rPr>
          <w:i/>
          <w:kern w:val="28"/>
          <w:szCs w:val="56"/>
        </w:rPr>
      </w:pPr>
      <w:r w:rsidRPr="00123F1B">
        <w:rPr>
          <w:b/>
          <w:i/>
          <w:kern w:val="28"/>
          <w:szCs w:val="56"/>
        </w:rPr>
        <w:t>XX.</w:t>
      </w:r>
      <w:r w:rsidRPr="00123F1B">
        <w:rPr>
          <w:i/>
          <w:kern w:val="28"/>
          <w:szCs w:val="56"/>
        </w:rPr>
        <w:t xml:space="preserve"> </w:t>
      </w:r>
      <w:r w:rsidRPr="00123F1B">
        <w:rPr>
          <w:b/>
          <w:i/>
          <w:kern w:val="28"/>
          <w:szCs w:val="56"/>
        </w:rPr>
        <w:t>Información clasificada:</w:t>
      </w:r>
      <w:r w:rsidRPr="00123F1B">
        <w:rPr>
          <w:i/>
          <w:kern w:val="28"/>
          <w:szCs w:val="56"/>
        </w:rPr>
        <w:t xml:space="preserve"> Aquella considerada por la presente Ley como reservada o confidencial; </w:t>
      </w:r>
    </w:p>
    <w:p w14:paraId="22556E21" w14:textId="77777777" w:rsidR="00674676" w:rsidRPr="00123F1B" w:rsidRDefault="00674676" w:rsidP="00395B38"/>
    <w:p w14:paraId="426EBB9C" w14:textId="77777777" w:rsidR="00674676" w:rsidRPr="00123F1B" w:rsidRDefault="00674676" w:rsidP="00395B38">
      <w:pPr>
        <w:spacing w:line="240" w:lineRule="auto"/>
        <w:ind w:left="567" w:right="567"/>
        <w:contextualSpacing/>
        <w:rPr>
          <w:i/>
          <w:kern w:val="28"/>
          <w:szCs w:val="56"/>
        </w:rPr>
      </w:pPr>
      <w:r w:rsidRPr="00123F1B">
        <w:rPr>
          <w:b/>
          <w:i/>
          <w:kern w:val="28"/>
          <w:szCs w:val="56"/>
        </w:rPr>
        <w:t>XXI.</w:t>
      </w:r>
      <w:r w:rsidRPr="00123F1B">
        <w:rPr>
          <w:i/>
          <w:kern w:val="28"/>
          <w:szCs w:val="56"/>
        </w:rPr>
        <w:t xml:space="preserve"> </w:t>
      </w:r>
      <w:r w:rsidRPr="00123F1B">
        <w:rPr>
          <w:b/>
          <w:i/>
          <w:kern w:val="28"/>
          <w:szCs w:val="56"/>
        </w:rPr>
        <w:t>Información confidencial</w:t>
      </w:r>
      <w:r w:rsidRPr="00123F1B">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D201E6C" w14:textId="77777777" w:rsidR="00674676" w:rsidRPr="00123F1B" w:rsidRDefault="00674676" w:rsidP="00395B38"/>
    <w:p w14:paraId="443BEB67" w14:textId="77777777" w:rsidR="00674676" w:rsidRPr="00123F1B" w:rsidRDefault="00674676" w:rsidP="00395B38">
      <w:pPr>
        <w:spacing w:line="240" w:lineRule="auto"/>
        <w:ind w:left="567" w:right="567"/>
        <w:contextualSpacing/>
        <w:rPr>
          <w:i/>
          <w:kern w:val="28"/>
          <w:szCs w:val="56"/>
        </w:rPr>
      </w:pPr>
      <w:r w:rsidRPr="00123F1B">
        <w:rPr>
          <w:b/>
          <w:i/>
          <w:kern w:val="28"/>
          <w:szCs w:val="56"/>
        </w:rPr>
        <w:t>XLV. Versión pública:</w:t>
      </w:r>
      <w:r w:rsidRPr="00123F1B">
        <w:rPr>
          <w:i/>
          <w:kern w:val="28"/>
          <w:szCs w:val="56"/>
        </w:rPr>
        <w:t xml:space="preserve"> Documento en el que se elimine, suprime o borra la información clasificada como reservada o confidencial para permitir su acceso. </w:t>
      </w:r>
    </w:p>
    <w:p w14:paraId="49C2A3E9" w14:textId="77777777" w:rsidR="00674676" w:rsidRPr="00123F1B" w:rsidRDefault="00674676" w:rsidP="00395B38"/>
    <w:p w14:paraId="4B170526" w14:textId="77777777" w:rsidR="00674676" w:rsidRPr="00123F1B" w:rsidRDefault="00674676" w:rsidP="00395B38">
      <w:pPr>
        <w:spacing w:line="240" w:lineRule="auto"/>
        <w:ind w:left="567" w:right="567"/>
        <w:contextualSpacing/>
        <w:rPr>
          <w:i/>
          <w:kern w:val="28"/>
          <w:szCs w:val="56"/>
        </w:rPr>
      </w:pPr>
      <w:r w:rsidRPr="00123F1B">
        <w:rPr>
          <w:b/>
          <w:i/>
          <w:kern w:val="28"/>
          <w:szCs w:val="56"/>
        </w:rPr>
        <w:t>Artículo 51.</w:t>
      </w:r>
      <w:r w:rsidRPr="00123F1B">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23F1B">
        <w:rPr>
          <w:b/>
          <w:i/>
          <w:kern w:val="28"/>
          <w:szCs w:val="56"/>
        </w:rPr>
        <w:t xml:space="preserve">y tendrá la responsabilidad de verificar en cada caso que la misma no sea confidencial o reservada. </w:t>
      </w:r>
      <w:r w:rsidRPr="00123F1B">
        <w:rPr>
          <w:i/>
          <w:kern w:val="28"/>
          <w:szCs w:val="56"/>
        </w:rPr>
        <w:t>Dicha Unidad contará con las facultades internas necesarias para gestionar la atención a las solicitudes de información en los términos de la Ley General y la presente Ley.</w:t>
      </w:r>
    </w:p>
    <w:p w14:paraId="4D2D6509" w14:textId="77777777" w:rsidR="00674676" w:rsidRPr="00123F1B" w:rsidRDefault="00674676" w:rsidP="00395B38"/>
    <w:p w14:paraId="6189E921" w14:textId="77777777" w:rsidR="00674676" w:rsidRPr="00123F1B" w:rsidRDefault="00674676" w:rsidP="00395B38">
      <w:pPr>
        <w:spacing w:line="240" w:lineRule="auto"/>
        <w:ind w:left="567" w:right="567"/>
        <w:contextualSpacing/>
        <w:rPr>
          <w:i/>
          <w:kern w:val="28"/>
          <w:szCs w:val="56"/>
        </w:rPr>
      </w:pPr>
      <w:r w:rsidRPr="00123F1B">
        <w:rPr>
          <w:b/>
          <w:i/>
          <w:kern w:val="28"/>
          <w:szCs w:val="56"/>
        </w:rPr>
        <w:t>Artículo 52.</w:t>
      </w:r>
      <w:r w:rsidRPr="00123F1B">
        <w:rPr>
          <w:i/>
          <w:kern w:val="28"/>
          <w:szCs w:val="56"/>
        </w:rPr>
        <w:t xml:space="preserve"> Las solicitudes de acceso a la información y las respuestas que se les dé, incluyendo, en su caso, </w:t>
      </w:r>
      <w:r w:rsidRPr="00123F1B">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123F1B">
        <w:rPr>
          <w:i/>
          <w:kern w:val="28"/>
          <w:szCs w:val="56"/>
        </w:rPr>
        <w:t xml:space="preserve">, siempre y cuando la resolución de referencia se someta a un proceso de disociación, es decir, no haga identificable al titular de tales datos personales.” </w:t>
      </w:r>
      <w:r w:rsidRPr="00123F1B">
        <w:rPr>
          <w:kern w:val="28"/>
          <w:szCs w:val="56"/>
        </w:rPr>
        <w:t>(Énfasis añadido)</w:t>
      </w:r>
    </w:p>
    <w:p w14:paraId="02C16F2F" w14:textId="77777777" w:rsidR="00674676" w:rsidRPr="00123F1B" w:rsidRDefault="00674676" w:rsidP="00395B38"/>
    <w:p w14:paraId="51D30988" w14:textId="77777777" w:rsidR="00674676" w:rsidRPr="00123F1B" w:rsidRDefault="00674676" w:rsidP="00395B38">
      <w:r w:rsidRPr="00123F1B">
        <w:t xml:space="preserve">Así, los datos personales que obren en poder de los Sujetos Obligados deben estar protegidos, adoptando las medidas de seguridad administrativas, físicas y técnicas necesarias para </w:t>
      </w:r>
      <w:r w:rsidRPr="00123F1B">
        <w:lastRenderedPageBreak/>
        <w:t xml:space="preserve">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8218DBD" w14:textId="77777777" w:rsidR="00674676" w:rsidRPr="00123F1B" w:rsidRDefault="00674676" w:rsidP="00395B38"/>
    <w:p w14:paraId="2A474249" w14:textId="77777777" w:rsidR="00674676" w:rsidRPr="00123F1B" w:rsidRDefault="00674676" w:rsidP="00395B38">
      <w:pPr>
        <w:spacing w:line="240" w:lineRule="auto"/>
        <w:ind w:left="567" w:right="567"/>
        <w:contextualSpacing/>
        <w:rPr>
          <w:i/>
          <w:kern w:val="28"/>
          <w:szCs w:val="56"/>
        </w:rPr>
      </w:pPr>
      <w:r w:rsidRPr="00123F1B">
        <w:rPr>
          <w:b/>
          <w:i/>
          <w:kern w:val="28"/>
          <w:szCs w:val="56"/>
        </w:rPr>
        <w:t>“Artículo 22.</w:t>
      </w:r>
      <w:r w:rsidRPr="00123F1B">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0AC6ADF5" w14:textId="77777777" w:rsidR="00674676" w:rsidRPr="00123F1B" w:rsidRDefault="00674676" w:rsidP="00395B38"/>
    <w:p w14:paraId="030C55C4" w14:textId="77777777" w:rsidR="00674676" w:rsidRPr="00123F1B" w:rsidRDefault="00674676" w:rsidP="00395B38">
      <w:pPr>
        <w:spacing w:line="240" w:lineRule="auto"/>
        <w:ind w:left="567" w:right="567"/>
        <w:contextualSpacing/>
        <w:rPr>
          <w:i/>
          <w:kern w:val="28"/>
          <w:szCs w:val="56"/>
        </w:rPr>
      </w:pPr>
      <w:r w:rsidRPr="00123F1B">
        <w:rPr>
          <w:b/>
          <w:i/>
          <w:kern w:val="28"/>
          <w:szCs w:val="56"/>
        </w:rPr>
        <w:t>Artículo 38.</w:t>
      </w:r>
      <w:r w:rsidRPr="00123F1B">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23F1B">
        <w:rPr>
          <w:b/>
          <w:i/>
          <w:kern w:val="28"/>
          <w:szCs w:val="56"/>
        </w:rPr>
        <w:t>”</w:t>
      </w:r>
      <w:r w:rsidRPr="00123F1B">
        <w:rPr>
          <w:i/>
          <w:kern w:val="28"/>
          <w:szCs w:val="56"/>
        </w:rPr>
        <w:t xml:space="preserve"> </w:t>
      </w:r>
    </w:p>
    <w:p w14:paraId="0B42F7CE" w14:textId="77777777" w:rsidR="00674676" w:rsidRPr="00123F1B" w:rsidRDefault="00674676" w:rsidP="00395B38">
      <w:pPr>
        <w:rPr>
          <w:i/>
        </w:rPr>
      </w:pPr>
    </w:p>
    <w:p w14:paraId="232944C6" w14:textId="77777777" w:rsidR="00674676" w:rsidRPr="00123F1B" w:rsidRDefault="00674676" w:rsidP="00395B38">
      <w:r w:rsidRPr="00123F1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1402D7A" w14:textId="77777777" w:rsidR="00674676" w:rsidRPr="00123F1B" w:rsidRDefault="00674676" w:rsidP="00395B38"/>
    <w:p w14:paraId="161D457A" w14:textId="77777777" w:rsidR="00674676" w:rsidRPr="00123F1B" w:rsidRDefault="00674676" w:rsidP="00395B38">
      <w:r w:rsidRPr="00123F1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w:t>
      </w:r>
      <w:r w:rsidRPr="00123F1B">
        <w:lastRenderedPageBreak/>
        <w:t xml:space="preserve">de Sujetos Obligados del Estado de México y Municipios; por consiguiente, se trata de información confidencial que debe ser protegida por </w:t>
      </w:r>
      <w:r w:rsidRPr="00123F1B">
        <w:rPr>
          <w:b/>
        </w:rPr>
        <w:t>EL SUJETO OBLIGADO,</w:t>
      </w:r>
      <w:r w:rsidRPr="00123F1B">
        <w:t xml:space="preserve"> por lo que, todo dato personal susceptible de clasificación debe ser protegido.</w:t>
      </w:r>
    </w:p>
    <w:p w14:paraId="7BFF123A" w14:textId="77777777" w:rsidR="00674676" w:rsidRPr="00123F1B" w:rsidRDefault="00674676" w:rsidP="00395B38"/>
    <w:p w14:paraId="036B31E9" w14:textId="77777777" w:rsidR="00674676" w:rsidRPr="00123F1B" w:rsidRDefault="00674676" w:rsidP="00395B38">
      <w:r w:rsidRPr="00123F1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2666E6B" w14:textId="77777777" w:rsidR="00674676" w:rsidRPr="00123F1B" w:rsidRDefault="00674676" w:rsidP="00395B38"/>
    <w:p w14:paraId="6EA6D03E" w14:textId="77777777" w:rsidR="00674676" w:rsidRPr="00123F1B" w:rsidRDefault="00674676" w:rsidP="00395B38">
      <w:r w:rsidRPr="00123F1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8FBE68" w14:textId="77777777" w:rsidR="00674676" w:rsidRPr="00123F1B" w:rsidRDefault="00674676" w:rsidP="00395B38"/>
    <w:p w14:paraId="75885433" w14:textId="77777777" w:rsidR="00674676" w:rsidRPr="00123F1B" w:rsidRDefault="00674676" w:rsidP="00395B38">
      <w:pPr>
        <w:spacing w:line="240" w:lineRule="auto"/>
        <w:ind w:left="567" w:right="567"/>
        <w:contextualSpacing/>
        <w:jc w:val="center"/>
        <w:rPr>
          <w:b/>
          <w:i/>
          <w:kern w:val="28"/>
          <w:szCs w:val="56"/>
        </w:rPr>
      </w:pPr>
      <w:r w:rsidRPr="00123F1B">
        <w:rPr>
          <w:b/>
          <w:i/>
          <w:kern w:val="28"/>
          <w:szCs w:val="56"/>
        </w:rPr>
        <w:t>Ley de Transparencia y Acceso a la Información Pública del Estado de México y Municipios</w:t>
      </w:r>
    </w:p>
    <w:p w14:paraId="0A13201E" w14:textId="77777777" w:rsidR="00674676" w:rsidRPr="00123F1B" w:rsidRDefault="00674676" w:rsidP="00395B38"/>
    <w:p w14:paraId="1AC3CE7B" w14:textId="77777777" w:rsidR="00674676" w:rsidRPr="00123F1B" w:rsidRDefault="00674676" w:rsidP="00395B38">
      <w:pPr>
        <w:spacing w:line="240" w:lineRule="auto"/>
        <w:ind w:left="567" w:right="567"/>
        <w:contextualSpacing/>
        <w:rPr>
          <w:i/>
          <w:kern w:val="28"/>
          <w:szCs w:val="56"/>
        </w:rPr>
      </w:pPr>
      <w:r w:rsidRPr="00123F1B">
        <w:rPr>
          <w:b/>
          <w:i/>
          <w:kern w:val="28"/>
          <w:szCs w:val="56"/>
        </w:rPr>
        <w:t xml:space="preserve">“Artículo 49. </w:t>
      </w:r>
      <w:r w:rsidRPr="00123F1B">
        <w:rPr>
          <w:i/>
          <w:kern w:val="28"/>
          <w:szCs w:val="56"/>
        </w:rPr>
        <w:t>Los Comités de Transparencia tendrán las siguientes atribuciones:</w:t>
      </w:r>
    </w:p>
    <w:p w14:paraId="64D50545" w14:textId="77777777" w:rsidR="00674676" w:rsidRPr="00123F1B" w:rsidRDefault="00674676" w:rsidP="00395B38">
      <w:pPr>
        <w:spacing w:line="240" w:lineRule="auto"/>
        <w:ind w:left="567" w:right="567"/>
        <w:contextualSpacing/>
        <w:rPr>
          <w:i/>
          <w:kern w:val="28"/>
          <w:szCs w:val="56"/>
        </w:rPr>
      </w:pPr>
      <w:r w:rsidRPr="00123F1B">
        <w:rPr>
          <w:b/>
          <w:i/>
          <w:kern w:val="28"/>
          <w:szCs w:val="56"/>
        </w:rPr>
        <w:t>VIII.</w:t>
      </w:r>
      <w:r w:rsidRPr="00123F1B">
        <w:rPr>
          <w:i/>
          <w:kern w:val="28"/>
          <w:szCs w:val="56"/>
        </w:rPr>
        <w:t xml:space="preserve"> Aprobar, modificar o revocar la clasificación de la información;</w:t>
      </w:r>
    </w:p>
    <w:p w14:paraId="5B3817EF" w14:textId="77777777" w:rsidR="00674676" w:rsidRPr="00123F1B" w:rsidRDefault="00674676" w:rsidP="00395B38"/>
    <w:p w14:paraId="11FB0CEF" w14:textId="77777777" w:rsidR="00674676" w:rsidRPr="00123F1B" w:rsidRDefault="00674676" w:rsidP="00395B38">
      <w:pPr>
        <w:spacing w:line="240" w:lineRule="auto"/>
        <w:ind w:left="567" w:right="567"/>
        <w:contextualSpacing/>
        <w:rPr>
          <w:i/>
          <w:kern w:val="28"/>
          <w:szCs w:val="56"/>
        </w:rPr>
      </w:pPr>
      <w:r w:rsidRPr="00123F1B">
        <w:rPr>
          <w:b/>
          <w:i/>
          <w:kern w:val="28"/>
          <w:szCs w:val="56"/>
        </w:rPr>
        <w:t>Artículo 132.</w:t>
      </w:r>
      <w:r w:rsidRPr="00123F1B">
        <w:rPr>
          <w:i/>
          <w:kern w:val="28"/>
          <w:szCs w:val="56"/>
        </w:rPr>
        <w:t xml:space="preserve"> La clasificación de la información se llevará a cabo en el momento en que:</w:t>
      </w:r>
    </w:p>
    <w:p w14:paraId="672BEFE2" w14:textId="77777777" w:rsidR="00674676" w:rsidRPr="00123F1B" w:rsidRDefault="00674676" w:rsidP="00395B38">
      <w:pPr>
        <w:spacing w:line="240" w:lineRule="auto"/>
        <w:ind w:left="567" w:right="567"/>
        <w:contextualSpacing/>
        <w:rPr>
          <w:i/>
          <w:kern w:val="28"/>
          <w:szCs w:val="56"/>
        </w:rPr>
      </w:pPr>
      <w:r w:rsidRPr="00123F1B">
        <w:rPr>
          <w:b/>
          <w:i/>
          <w:kern w:val="28"/>
          <w:szCs w:val="56"/>
        </w:rPr>
        <w:t>I.</w:t>
      </w:r>
      <w:r w:rsidRPr="00123F1B">
        <w:rPr>
          <w:i/>
          <w:kern w:val="28"/>
          <w:szCs w:val="56"/>
        </w:rPr>
        <w:t xml:space="preserve"> Se reciba una solicitud de acceso a la información;</w:t>
      </w:r>
    </w:p>
    <w:p w14:paraId="1B9EA0BF" w14:textId="77777777" w:rsidR="00674676" w:rsidRPr="00123F1B" w:rsidRDefault="00674676" w:rsidP="00395B38">
      <w:pPr>
        <w:spacing w:line="240" w:lineRule="auto"/>
        <w:ind w:left="567" w:right="567"/>
        <w:contextualSpacing/>
        <w:rPr>
          <w:i/>
          <w:kern w:val="28"/>
          <w:szCs w:val="56"/>
        </w:rPr>
      </w:pPr>
      <w:r w:rsidRPr="00123F1B">
        <w:rPr>
          <w:b/>
          <w:i/>
          <w:kern w:val="28"/>
          <w:szCs w:val="56"/>
        </w:rPr>
        <w:t>II.</w:t>
      </w:r>
      <w:r w:rsidRPr="00123F1B">
        <w:rPr>
          <w:i/>
          <w:kern w:val="28"/>
          <w:szCs w:val="56"/>
        </w:rPr>
        <w:t xml:space="preserve"> Se determine mediante resolución de autoridad competente; o</w:t>
      </w:r>
    </w:p>
    <w:p w14:paraId="2F898B97" w14:textId="77777777" w:rsidR="00674676" w:rsidRPr="00123F1B" w:rsidRDefault="00674676" w:rsidP="00395B38">
      <w:pPr>
        <w:spacing w:line="240" w:lineRule="auto"/>
        <w:ind w:left="567" w:right="567"/>
        <w:contextualSpacing/>
        <w:rPr>
          <w:b/>
          <w:i/>
          <w:kern w:val="28"/>
          <w:szCs w:val="56"/>
        </w:rPr>
      </w:pPr>
      <w:r w:rsidRPr="00123F1B">
        <w:rPr>
          <w:b/>
          <w:i/>
          <w:kern w:val="28"/>
          <w:szCs w:val="56"/>
        </w:rPr>
        <w:lastRenderedPageBreak/>
        <w:t>III.</w:t>
      </w:r>
      <w:r w:rsidRPr="00123F1B">
        <w:rPr>
          <w:i/>
          <w:kern w:val="28"/>
          <w:szCs w:val="56"/>
        </w:rPr>
        <w:t xml:space="preserve"> Se generen versiones públicas para dar cumplimiento a las obligaciones de transparencia previstas en esta Ley.</w:t>
      </w:r>
      <w:r w:rsidRPr="00123F1B">
        <w:rPr>
          <w:b/>
          <w:i/>
          <w:kern w:val="28"/>
          <w:szCs w:val="56"/>
        </w:rPr>
        <w:t>”</w:t>
      </w:r>
    </w:p>
    <w:p w14:paraId="4ABCEF47" w14:textId="77777777" w:rsidR="00674676" w:rsidRPr="00123F1B" w:rsidRDefault="00674676" w:rsidP="00395B38"/>
    <w:p w14:paraId="4D346550" w14:textId="77777777" w:rsidR="00674676" w:rsidRPr="00123F1B" w:rsidRDefault="00674676" w:rsidP="00395B38">
      <w:pPr>
        <w:spacing w:line="240" w:lineRule="auto"/>
        <w:ind w:left="567" w:right="567"/>
        <w:contextualSpacing/>
        <w:rPr>
          <w:i/>
          <w:kern w:val="28"/>
          <w:szCs w:val="56"/>
        </w:rPr>
      </w:pPr>
      <w:r w:rsidRPr="00123F1B">
        <w:rPr>
          <w:b/>
          <w:i/>
          <w:kern w:val="28"/>
          <w:szCs w:val="56"/>
        </w:rPr>
        <w:t>“Segundo. -</w:t>
      </w:r>
      <w:r w:rsidRPr="00123F1B">
        <w:rPr>
          <w:i/>
          <w:kern w:val="28"/>
          <w:szCs w:val="56"/>
        </w:rPr>
        <w:t xml:space="preserve"> Para efectos de los presentes Lineamientos Generales, se entenderá por:</w:t>
      </w:r>
    </w:p>
    <w:p w14:paraId="6E1F84D4" w14:textId="77777777" w:rsidR="00674676" w:rsidRPr="00123F1B" w:rsidRDefault="00674676" w:rsidP="00395B38">
      <w:pPr>
        <w:spacing w:line="240" w:lineRule="auto"/>
        <w:ind w:left="567" w:right="567"/>
        <w:contextualSpacing/>
        <w:rPr>
          <w:i/>
          <w:kern w:val="28"/>
          <w:szCs w:val="56"/>
        </w:rPr>
      </w:pPr>
      <w:r w:rsidRPr="00123F1B">
        <w:rPr>
          <w:b/>
          <w:i/>
          <w:kern w:val="28"/>
          <w:szCs w:val="56"/>
        </w:rPr>
        <w:t>XVIII.</w:t>
      </w:r>
      <w:r w:rsidRPr="00123F1B">
        <w:rPr>
          <w:i/>
          <w:kern w:val="28"/>
          <w:szCs w:val="56"/>
        </w:rPr>
        <w:t xml:space="preserve">  </w:t>
      </w:r>
      <w:r w:rsidRPr="00123F1B">
        <w:rPr>
          <w:b/>
          <w:i/>
          <w:kern w:val="28"/>
          <w:szCs w:val="56"/>
        </w:rPr>
        <w:t>Versión pública:</w:t>
      </w:r>
      <w:r w:rsidRPr="00123F1B">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379FE4" w14:textId="77777777" w:rsidR="00674676" w:rsidRPr="00123F1B" w:rsidRDefault="00674676" w:rsidP="00395B38">
      <w:pPr>
        <w:spacing w:line="240" w:lineRule="auto"/>
        <w:ind w:left="567" w:right="567"/>
        <w:contextualSpacing/>
        <w:rPr>
          <w:i/>
          <w:kern w:val="28"/>
          <w:szCs w:val="56"/>
        </w:rPr>
      </w:pPr>
    </w:p>
    <w:p w14:paraId="52FDD6CD" w14:textId="77777777" w:rsidR="00674676" w:rsidRPr="00123F1B" w:rsidRDefault="00674676" w:rsidP="00395B38">
      <w:pPr>
        <w:spacing w:line="240" w:lineRule="auto"/>
        <w:ind w:left="567" w:right="567"/>
        <w:contextualSpacing/>
        <w:rPr>
          <w:b/>
          <w:i/>
          <w:kern w:val="28"/>
          <w:szCs w:val="56"/>
        </w:rPr>
      </w:pPr>
      <w:r w:rsidRPr="00123F1B">
        <w:rPr>
          <w:b/>
          <w:i/>
          <w:kern w:val="28"/>
          <w:szCs w:val="56"/>
        </w:rPr>
        <w:t>Lineamientos Generales en materia de Clasificación y Desclasificación de la Información</w:t>
      </w:r>
    </w:p>
    <w:p w14:paraId="6F2662AB" w14:textId="77777777" w:rsidR="00674676" w:rsidRPr="00123F1B" w:rsidRDefault="00674676" w:rsidP="00395B38">
      <w:pPr>
        <w:spacing w:line="240" w:lineRule="auto"/>
        <w:ind w:left="567" w:right="567"/>
        <w:contextualSpacing/>
        <w:rPr>
          <w:i/>
          <w:kern w:val="28"/>
          <w:szCs w:val="56"/>
        </w:rPr>
      </w:pPr>
    </w:p>
    <w:p w14:paraId="2EA41F0D" w14:textId="77777777" w:rsidR="00674676" w:rsidRPr="00123F1B" w:rsidRDefault="00674676" w:rsidP="00395B38">
      <w:pPr>
        <w:spacing w:line="240" w:lineRule="auto"/>
        <w:ind w:left="567" w:right="567"/>
        <w:contextualSpacing/>
        <w:rPr>
          <w:i/>
          <w:kern w:val="28"/>
          <w:szCs w:val="56"/>
        </w:rPr>
      </w:pPr>
      <w:r w:rsidRPr="00123F1B">
        <w:rPr>
          <w:b/>
          <w:i/>
          <w:kern w:val="28"/>
          <w:szCs w:val="56"/>
        </w:rPr>
        <w:t>Cuarto.</w:t>
      </w:r>
      <w:r w:rsidRPr="00123F1B">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4802F9" w14:textId="77777777" w:rsidR="00674676" w:rsidRPr="00123F1B" w:rsidRDefault="00674676" w:rsidP="00395B38">
      <w:pPr>
        <w:spacing w:line="240" w:lineRule="auto"/>
        <w:ind w:left="567" w:right="567"/>
        <w:contextualSpacing/>
        <w:rPr>
          <w:i/>
          <w:kern w:val="28"/>
          <w:szCs w:val="56"/>
        </w:rPr>
      </w:pPr>
      <w:r w:rsidRPr="00123F1B">
        <w:rPr>
          <w:i/>
          <w:kern w:val="28"/>
          <w:szCs w:val="56"/>
        </w:rPr>
        <w:t>Los sujetos obligados deberán aplicar, de manera estricta, las excepciones al derecho de acceso a la información y sólo podrán invocarlas cuando acrediten su procedencia.</w:t>
      </w:r>
    </w:p>
    <w:p w14:paraId="0AA6EEB7" w14:textId="77777777" w:rsidR="00674676" w:rsidRPr="00123F1B" w:rsidRDefault="00674676" w:rsidP="00395B38"/>
    <w:p w14:paraId="4120974E" w14:textId="77777777" w:rsidR="00674676" w:rsidRPr="00123F1B" w:rsidRDefault="00674676" w:rsidP="00395B38">
      <w:pPr>
        <w:spacing w:line="240" w:lineRule="auto"/>
        <w:ind w:left="567" w:right="567"/>
        <w:contextualSpacing/>
        <w:rPr>
          <w:i/>
          <w:kern w:val="28"/>
          <w:szCs w:val="56"/>
        </w:rPr>
      </w:pPr>
      <w:r w:rsidRPr="00123F1B">
        <w:rPr>
          <w:b/>
          <w:i/>
          <w:kern w:val="28"/>
          <w:szCs w:val="56"/>
        </w:rPr>
        <w:t>Quinto.</w:t>
      </w:r>
      <w:r w:rsidRPr="00123F1B">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59675A" w14:textId="77777777" w:rsidR="00674676" w:rsidRPr="00123F1B" w:rsidRDefault="00674676" w:rsidP="00395B38"/>
    <w:p w14:paraId="72DE9D44" w14:textId="77777777" w:rsidR="00674676" w:rsidRPr="00123F1B" w:rsidRDefault="00674676" w:rsidP="00395B38">
      <w:pPr>
        <w:spacing w:line="240" w:lineRule="auto"/>
        <w:ind w:left="567" w:right="567"/>
        <w:contextualSpacing/>
        <w:rPr>
          <w:i/>
          <w:kern w:val="28"/>
          <w:szCs w:val="56"/>
        </w:rPr>
      </w:pPr>
      <w:r w:rsidRPr="00123F1B">
        <w:rPr>
          <w:b/>
          <w:i/>
          <w:kern w:val="28"/>
          <w:szCs w:val="56"/>
        </w:rPr>
        <w:t>Sexto.</w:t>
      </w:r>
      <w:r w:rsidRPr="00123F1B">
        <w:rPr>
          <w:i/>
          <w:kern w:val="28"/>
          <w:szCs w:val="56"/>
        </w:rPr>
        <w:t xml:space="preserve"> Se deroga.</w:t>
      </w:r>
    </w:p>
    <w:p w14:paraId="61443509" w14:textId="77777777" w:rsidR="00674676" w:rsidRPr="00123F1B" w:rsidRDefault="00674676" w:rsidP="00395B38"/>
    <w:p w14:paraId="10B37383" w14:textId="77777777" w:rsidR="00674676" w:rsidRPr="00123F1B" w:rsidRDefault="00674676" w:rsidP="00395B38">
      <w:pPr>
        <w:spacing w:line="240" w:lineRule="auto"/>
        <w:ind w:left="567" w:right="567"/>
        <w:contextualSpacing/>
        <w:rPr>
          <w:i/>
          <w:kern w:val="28"/>
          <w:szCs w:val="56"/>
        </w:rPr>
      </w:pPr>
      <w:r w:rsidRPr="00123F1B">
        <w:rPr>
          <w:b/>
          <w:i/>
          <w:kern w:val="28"/>
          <w:szCs w:val="56"/>
        </w:rPr>
        <w:t>Séptimo.</w:t>
      </w:r>
      <w:r w:rsidRPr="00123F1B">
        <w:rPr>
          <w:i/>
          <w:kern w:val="28"/>
          <w:szCs w:val="56"/>
        </w:rPr>
        <w:t xml:space="preserve"> La clasificación de la información se llevará a cabo en el momento en que:</w:t>
      </w:r>
    </w:p>
    <w:p w14:paraId="4F6328E1" w14:textId="77777777" w:rsidR="00674676" w:rsidRPr="00123F1B" w:rsidRDefault="00674676" w:rsidP="00395B38">
      <w:pPr>
        <w:spacing w:line="240" w:lineRule="auto"/>
        <w:ind w:left="567" w:right="567"/>
        <w:contextualSpacing/>
        <w:rPr>
          <w:i/>
          <w:kern w:val="28"/>
          <w:szCs w:val="56"/>
        </w:rPr>
      </w:pPr>
      <w:r w:rsidRPr="00123F1B">
        <w:rPr>
          <w:b/>
          <w:i/>
          <w:kern w:val="28"/>
          <w:szCs w:val="56"/>
        </w:rPr>
        <w:t>I.</w:t>
      </w:r>
      <w:r w:rsidRPr="00123F1B">
        <w:rPr>
          <w:i/>
          <w:kern w:val="28"/>
          <w:szCs w:val="56"/>
        </w:rPr>
        <w:t xml:space="preserve">        Se reciba una solicitud de acceso a la información;</w:t>
      </w:r>
    </w:p>
    <w:p w14:paraId="2A2413BC" w14:textId="77777777" w:rsidR="00674676" w:rsidRPr="00123F1B" w:rsidRDefault="00674676" w:rsidP="00395B38">
      <w:pPr>
        <w:spacing w:line="240" w:lineRule="auto"/>
        <w:ind w:left="567" w:right="567"/>
        <w:contextualSpacing/>
        <w:rPr>
          <w:i/>
          <w:kern w:val="28"/>
          <w:szCs w:val="56"/>
        </w:rPr>
      </w:pPr>
      <w:r w:rsidRPr="00123F1B">
        <w:rPr>
          <w:b/>
          <w:i/>
          <w:kern w:val="28"/>
          <w:szCs w:val="56"/>
        </w:rPr>
        <w:t>II.</w:t>
      </w:r>
      <w:r w:rsidRPr="00123F1B">
        <w:rPr>
          <w:i/>
          <w:kern w:val="28"/>
          <w:szCs w:val="56"/>
        </w:rPr>
        <w:t xml:space="preserve">       Se determine mediante resolución del Comité de Transparencia, el órgano garante competente, o en cumplimiento a una sentencia del Poder Judicial; o</w:t>
      </w:r>
    </w:p>
    <w:p w14:paraId="4515DE86" w14:textId="77777777" w:rsidR="00674676" w:rsidRPr="00123F1B" w:rsidRDefault="00674676" w:rsidP="00395B38">
      <w:pPr>
        <w:spacing w:line="240" w:lineRule="auto"/>
        <w:ind w:left="567" w:right="567"/>
        <w:contextualSpacing/>
        <w:rPr>
          <w:i/>
          <w:kern w:val="28"/>
          <w:szCs w:val="56"/>
        </w:rPr>
      </w:pPr>
      <w:r w:rsidRPr="00123F1B">
        <w:rPr>
          <w:b/>
          <w:i/>
          <w:kern w:val="28"/>
          <w:szCs w:val="56"/>
        </w:rPr>
        <w:lastRenderedPageBreak/>
        <w:t>III.</w:t>
      </w:r>
      <w:r w:rsidRPr="00123F1B">
        <w:rPr>
          <w:i/>
          <w:kern w:val="28"/>
          <w:szCs w:val="56"/>
        </w:rPr>
        <w:t xml:space="preserve">      Se generen versiones públicas para dar cumplimiento a las obligaciones de transparencia previstas en la Ley General, la Ley Federal y las correspondientes de las entidades federativas.</w:t>
      </w:r>
    </w:p>
    <w:p w14:paraId="7306A29A" w14:textId="77777777" w:rsidR="00674676" w:rsidRPr="00123F1B" w:rsidRDefault="00674676" w:rsidP="00395B38">
      <w:pPr>
        <w:spacing w:line="240" w:lineRule="auto"/>
        <w:ind w:left="567" w:right="567"/>
        <w:contextualSpacing/>
        <w:rPr>
          <w:i/>
          <w:kern w:val="28"/>
          <w:szCs w:val="56"/>
        </w:rPr>
      </w:pPr>
      <w:r w:rsidRPr="00123F1B">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098EBAC" w14:textId="77777777" w:rsidR="00674676" w:rsidRPr="00123F1B" w:rsidRDefault="00674676" w:rsidP="00395B38"/>
    <w:p w14:paraId="65961DE4" w14:textId="77777777" w:rsidR="00674676" w:rsidRPr="00123F1B" w:rsidRDefault="00674676" w:rsidP="00395B38">
      <w:pPr>
        <w:spacing w:line="240" w:lineRule="auto"/>
        <w:ind w:left="567" w:right="567"/>
        <w:contextualSpacing/>
        <w:rPr>
          <w:i/>
          <w:kern w:val="28"/>
          <w:szCs w:val="56"/>
        </w:rPr>
      </w:pPr>
      <w:r w:rsidRPr="00123F1B">
        <w:rPr>
          <w:b/>
          <w:i/>
          <w:kern w:val="28"/>
          <w:szCs w:val="56"/>
        </w:rPr>
        <w:t>Octavo.</w:t>
      </w:r>
      <w:r w:rsidRPr="00123F1B">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05B00F" w14:textId="77777777" w:rsidR="00674676" w:rsidRPr="00123F1B" w:rsidRDefault="00674676" w:rsidP="00395B38">
      <w:pPr>
        <w:spacing w:line="240" w:lineRule="auto"/>
        <w:ind w:left="567" w:right="567"/>
        <w:contextualSpacing/>
        <w:rPr>
          <w:i/>
          <w:kern w:val="28"/>
          <w:szCs w:val="56"/>
        </w:rPr>
      </w:pPr>
      <w:r w:rsidRPr="00123F1B">
        <w:rPr>
          <w:i/>
          <w:kern w:val="28"/>
          <w:szCs w:val="56"/>
        </w:rPr>
        <w:t>Para motivar la clasificación se deberán señalar las razones o circunstancias especiales que lo llevaron a concluir que el caso particular se ajusta al supuesto previsto por la norma legal invocada como fundamento.</w:t>
      </w:r>
    </w:p>
    <w:p w14:paraId="34400F6F" w14:textId="77777777" w:rsidR="00674676" w:rsidRPr="00123F1B" w:rsidRDefault="00674676" w:rsidP="00395B38">
      <w:pPr>
        <w:spacing w:line="240" w:lineRule="auto"/>
        <w:ind w:left="567" w:right="567"/>
        <w:contextualSpacing/>
        <w:rPr>
          <w:i/>
          <w:kern w:val="28"/>
          <w:szCs w:val="56"/>
        </w:rPr>
      </w:pPr>
      <w:r w:rsidRPr="00123F1B">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89CE2F4" w14:textId="77777777" w:rsidR="00674676" w:rsidRPr="00123F1B" w:rsidRDefault="00674676" w:rsidP="00395B38"/>
    <w:p w14:paraId="55BB6502" w14:textId="77777777" w:rsidR="00674676" w:rsidRPr="00123F1B" w:rsidRDefault="00674676" w:rsidP="00395B38">
      <w:pPr>
        <w:spacing w:line="240" w:lineRule="auto"/>
        <w:ind w:left="567" w:right="567"/>
        <w:contextualSpacing/>
        <w:rPr>
          <w:i/>
          <w:kern w:val="28"/>
          <w:szCs w:val="56"/>
        </w:rPr>
      </w:pPr>
      <w:r w:rsidRPr="00123F1B">
        <w:rPr>
          <w:b/>
          <w:i/>
          <w:kern w:val="28"/>
          <w:szCs w:val="56"/>
        </w:rPr>
        <w:t>Noveno.</w:t>
      </w:r>
      <w:r w:rsidRPr="00123F1B">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1EEAAD" w14:textId="77777777" w:rsidR="00674676" w:rsidRPr="00123F1B" w:rsidRDefault="00674676" w:rsidP="00395B38"/>
    <w:p w14:paraId="6A1DA65E" w14:textId="77777777" w:rsidR="00674676" w:rsidRPr="00123F1B" w:rsidRDefault="00674676" w:rsidP="00395B38">
      <w:pPr>
        <w:spacing w:line="240" w:lineRule="auto"/>
        <w:ind w:left="567" w:right="567"/>
        <w:contextualSpacing/>
        <w:rPr>
          <w:i/>
          <w:kern w:val="28"/>
          <w:szCs w:val="56"/>
        </w:rPr>
      </w:pPr>
      <w:r w:rsidRPr="00123F1B">
        <w:rPr>
          <w:b/>
          <w:i/>
          <w:kern w:val="28"/>
          <w:szCs w:val="56"/>
        </w:rPr>
        <w:t>Décimo.</w:t>
      </w:r>
      <w:r w:rsidRPr="00123F1B">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E8454D8" w14:textId="77777777" w:rsidR="00674676" w:rsidRPr="00123F1B" w:rsidRDefault="00674676" w:rsidP="00395B38">
      <w:pPr>
        <w:spacing w:line="240" w:lineRule="auto"/>
        <w:ind w:left="567" w:right="567"/>
        <w:contextualSpacing/>
        <w:rPr>
          <w:i/>
          <w:kern w:val="28"/>
          <w:szCs w:val="56"/>
        </w:rPr>
      </w:pPr>
      <w:r w:rsidRPr="00123F1B">
        <w:rPr>
          <w:i/>
          <w:kern w:val="28"/>
          <w:szCs w:val="56"/>
        </w:rPr>
        <w:t>En ausencia de los titulares de las áreas, la información será clasificada o desclasificada por la persona que lo supla, en términos de la normativa que rija la actuación del sujeto obligado.</w:t>
      </w:r>
    </w:p>
    <w:p w14:paraId="05B79D24" w14:textId="77777777" w:rsidR="00674676" w:rsidRPr="00123F1B" w:rsidRDefault="00674676" w:rsidP="00395B38">
      <w:pPr>
        <w:spacing w:line="240" w:lineRule="auto"/>
        <w:ind w:left="567" w:right="567"/>
        <w:contextualSpacing/>
        <w:rPr>
          <w:b/>
          <w:i/>
          <w:kern w:val="28"/>
          <w:szCs w:val="56"/>
        </w:rPr>
      </w:pPr>
      <w:r w:rsidRPr="00123F1B">
        <w:rPr>
          <w:b/>
          <w:i/>
          <w:kern w:val="28"/>
          <w:szCs w:val="56"/>
        </w:rPr>
        <w:t>Décimo primero.</w:t>
      </w:r>
      <w:r w:rsidRPr="00123F1B">
        <w:rPr>
          <w:i/>
          <w:kern w:val="28"/>
          <w:szCs w:val="56"/>
        </w:rPr>
        <w:t xml:space="preserve"> En el intercambio de información entre sujetos obligados para el ejercicio de sus atribuciones, los documentos que se encuentren clasificados deberán llevar </w:t>
      </w:r>
      <w:r w:rsidRPr="00123F1B">
        <w:rPr>
          <w:i/>
          <w:kern w:val="28"/>
          <w:szCs w:val="56"/>
        </w:rPr>
        <w:lastRenderedPageBreak/>
        <w:t>la leyenda correspondiente de conformidad con lo dispuesto en el Capítulo VIII de los presentes lineamientos.</w:t>
      </w:r>
      <w:r w:rsidRPr="00123F1B">
        <w:rPr>
          <w:b/>
          <w:i/>
          <w:kern w:val="28"/>
          <w:szCs w:val="56"/>
        </w:rPr>
        <w:t>”</w:t>
      </w:r>
    </w:p>
    <w:p w14:paraId="70142A2B" w14:textId="77777777" w:rsidR="00674676" w:rsidRPr="00123F1B" w:rsidRDefault="00674676" w:rsidP="00395B38"/>
    <w:p w14:paraId="50A2A762" w14:textId="77777777" w:rsidR="00674676" w:rsidRPr="00123F1B" w:rsidRDefault="00674676" w:rsidP="00395B38">
      <w:r w:rsidRPr="00123F1B">
        <w:t xml:space="preserve">Consecuentemente, se destaca que la versión pública que elabore </w:t>
      </w:r>
      <w:r w:rsidRPr="00123F1B">
        <w:rPr>
          <w:b/>
        </w:rPr>
        <w:t>EL SUJETO OBLIGADO</w:t>
      </w:r>
      <w:r w:rsidRPr="00123F1B">
        <w:t xml:space="preserve"> debe cumplir con las formalidades exigidas en la Ley, por lo que para tal efecto emitirá el </w:t>
      </w:r>
      <w:r w:rsidRPr="00123F1B">
        <w:rPr>
          <w:b/>
        </w:rPr>
        <w:t>Acuerdo del Comité de Transparencia</w:t>
      </w:r>
      <w:r w:rsidRPr="00123F1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AFC4CDF" w14:textId="77777777" w:rsidR="00674676" w:rsidRPr="00123F1B" w:rsidRDefault="00674676" w:rsidP="00395B38"/>
    <w:p w14:paraId="0C1DBA91" w14:textId="77777777" w:rsidR="00674676" w:rsidRPr="00123F1B" w:rsidRDefault="00674676" w:rsidP="00395B38">
      <w:r w:rsidRPr="00123F1B">
        <w:t>Es importante señalar que, para el caso en concreto, se deben tomar en consideración los siguientes datos que de manera enunciativa más no limitativa se pudieran clasificar como confidenciales:</w:t>
      </w:r>
    </w:p>
    <w:p w14:paraId="6B8AFEF3" w14:textId="77777777" w:rsidR="00674676" w:rsidRPr="00123F1B" w:rsidRDefault="00674676" w:rsidP="00395B38"/>
    <w:p w14:paraId="4E63ABE9" w14:textId="77777777" w:rsidR="00674676" w:rsidRPr="00123F1B" w:rsidRDefault="00674676" w:rsidP="00395B38">
      <w:pPr>
        <w:numPr>
          <w:ilvl w:val="0"/>
          <w:numId w:val="20"/>
        </w:numPr>
        <w:pBdr>
          <w:top w:val="nil"/>
          <w:left w:val="nil"/>
          <w:bottom w:val="nil"/>
          <w:right w:val="nil"/>
          <w:between w:val="nil"/>
        </w:pBdr>
        <w:spacing w:after="160" w:line="259" w:lineRule="auto"/>
        <w:jc w:val="left"/>
      </w:pPr>
      <w:r w:rsidRPr="00123F1B">
        <w:rPr>
          <w:rFonts w:eastAsia="Palatino Linotype" w:cs="Palatino Linotype"/>
          <w:b/>
          <w:szCs w:val="22"/>
        </w:rPr>
        <w:t>Registro Federal de Contribuyentes</w:t>
      </w:r>
      <w:r w:rsidRPr="00123F1B">
        <w:rPr>
          <w:rFonts w:eastAsia="Palatino Linotype" w:cs="Palatino Linotype"/>
          <w:szCs w:val="22"/>
        </w:rPr>
        <w:t xml:space="preserve"> </w:t>
      </w:r>
      <w:r w:rsidRPr="00123F1B">
        <w:rPr>
          <w:rFonts w:eastAsia="Palatino Linotype" w:cs="Palatino Linotype"/>
          <w:b/>
          <w:szCs w:val="22"/>
        </w:rPr>
        <w:t>de las personas físicas</w:t>
      </w:r>
    </w:p>
    <w:p w14:paraId="60C6D864" w14:textId="77777777" w:rsidR="00674676" w:rsidRPr="00123F1B" w:rsidRDefault="00674676" w:rsidP="00395B38">
      <w:pPr>
        <w:pBdr>
          <w:top w:val="nil"/>
          <w:left w:val="nil"/>
          <w:bottom w:val="nil"/>
          <w:right w:val="nil"/>
          <w:between w:val="nil"/>
        </w:pBdr>
        <w:ind w:left="720"/>
        <w:rPr>
          <w:rFonts w:eastAsia="Palatino Linotype" w:cs="Palatino Linotype"/>
          <w:szCs w:val="22"/>
        </w:rPr>
      </w:pPr>
    </w:p>
    <w:p w14:paraId="476870DC" w14:textId="77777777" w:rsidR="00674676" w:rsidRPr="00123F1B" w:rsidRDefault="00674676" w:rsidP="00395B38">
      <w:r w:rsidRPr="00123F1B">
        <w:t xml:space="preserve">Constituye un dato personal, ya que se genera con caracteres alfanuméricos obtenidos a partir del nombre en mayúsculas sin acentos ni diéresis y la fecha de nacimiento de cada persona; es decir la primera letra del apellido paterno; seguida de la primera letra Vocal del primer </w:t>
      </w:r>
      <w:r w:rsidRPr="00123F1B">
        <w:lastRenderedPageBreak/>
        <w:t>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0CBE7D6B" w14:textId="77777777" w:rsidR="00674676" w:rsidRPr="00123F1B" w:rsidRDefault="00674676" w:rsidP="00395B38"/>
    <w:p w14:paraId="02DE2F04" w14:textId="77777777" w:rsidR="00674676" w:rsidRPr="00123F1B" w:rsidRDefault="00674676" w:rsidP="00395B38">
      <w:pPr>
        <w:rPr>
          <w:b/>
        </w:rPr>
      </w:pPr>
      <w:r w:rsidRPr="00123F1B">
        <w:t>Al respecto, es aplicable el Criterio 19/17 de la Segunda Época, emitido por el Instituto Nacional de Transparencia, Acceso a la Información y Protección de Datos Personales, que dice:</w:t>
      </w:r>
      <w:r w:rsidRPr="00123F1B">
        <w:rPr>
          <w:b/>
        </w:rPr>
        <w:t xml:space="preserve"> </w:t>
      </w:r>
    </w:p>
    <w:p w14:paraId="20BE6853" w14:textId="77777777" w:rsidR="00674676" w:rsidRPr="00123F1B" w:rsidRDefault="00674676" w:rsidP="00395B38">
      <w:pPr>
        <w:rPr>
          <w:b/>
        </w:rPr>
      </w:pPr>
    </w:p>
    <w:p w14:paraId="43B4F0A7"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b/>
          <w:i/>
          <w:kern w:val="28"/>
          <w:szCs w:val="56"/>
        </w:rPr>
        <w:t>Registro Federal de Contribuyentes (RFC) de personas físicas.</w:t>
      </w:r>
      <w:r w:rsidRPr="00123F1B">
        <w:rPr>
          <w:i/>
          <w:kern w:val="28"/>
          <w:szCs w:val="56"/>
        </w:rPr>
        <w:t xml:space="preserve"> El RFC es una clave de carácter fiscal, única e irrepetible, que permite identificar al titular, su edad y fecha de nacimiento, por lo que es un dato personal de carácter confidencial.</w:t>
      </w:r>
    </w:p>
    <w:p w14:paraId="0F80FF80" w14:textId="77777777" w:rsidR="00674676" w:rsidRPr="00123F1B" w:rsidRDefault="00674676" w:rsidP="00395B38">
      <w:pPr>
        <w:spacing w:line="240" w:lineRule="auto"/>
        <w:ind w:left="567" w:right="567"/>
        <w:contextualSpacing/>
        <w:rPr>
          <w:i/>
          <w:kern w:val="28"/>
          <w:szCs w:val="56"/>
        </w:rPr>
      </w:pPr>
      <w:r w:rsidRPr="00123F1B">
        <w:rPr>
          <w:i/>
          <w:kern w:val="28"/>
          <w:szCs w:val="56"/>
        </w:rPr>
        <w:t xml:space="preserve"> (Énfasis añadido)</w:t>
      </w:r>
    </w:p>
    <w:p w14:paraId="62D69A41" w14:textId="77777777" w:rsidR="00674676" w:rsidRPr="00123F1B" w:rsidRDefault="00674676" w:rsidP="00395B38">
      <w:pPr>
        <w:ind w:left="851" w:right="899"/>
      </w:pPr>
    </w:p>
    <w:p w14:paraId="5DE897C3" w14:textId="77777777" w:rsidR="00674676" w:rsidRPr="00123F1B" w:rsidRDefault="00674676" w:rsidP="00395B38">
      <w:r w:rsidRPr="00123F1B">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F13001D" w14:textId="77777777" w:rsidR="00674676" w:rsidRPr="00123F1B" w:rsidRDefault="00674676" w:rsidP="00395B38"/>
    <w:p w14:paraId="56F81E11"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szCs w:val="22"/>
        </w:rPr>
      </w:pPr>
      <w:r w:rsidRPr="00123F1B">
        <w:rPr>
          <w:rFonts w:eastAsia="Palatino Linotype" w:cs="Palatino Linotype"/>
          <w:b/>
          <w:szCs w:val="22"/>
        </w:rPr>
        <w:t>Clave Única de Registro de Población</w:t>
      </w:r>
    </w:p>
    <w:p w14:paraId="07A66199" w14:textId="77777777" w:rsidR="00674676" w:rsidRPr="00123F1B" w:rsidRDefault="00674676" w:rsidP="00395B38">
      <w:pPr>
        <w:pBdr>
          <w:top w:val="nil"/>
          <w:left w:val="nil"/>
          <w:bottom w:val="nil"/>
          <w:right w:val="nil"/>
          <w:between w:val="nil"/>
        </w:pBdr>
        <w:ind w:left="720"/>
        <w:rPr>
          <w:rFonts w:eastAsia="Palatino Linotype" w:cs="Palatino Linotype"/>
          <w:szCs w:val="22"/>
        </w:rPr>
      </w:pPr>
    </w:p>
    <w:p w14:paraId="14FAE1E2" w14:textId="77777777" w:rsidR="00674676" w:rsidRPr="00123F1B" w:rsidRDefault="00674676" w:rsidP="00395B38">
      <w:r w:rsidRPr="00123F1B">
        <w:lastRenderedPageBreak/>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7B85086" w14:textId="77777777" w:rsidR="00674676" w:rsidRPr="00123F1B" w:rsidRDefault="00674676" w:rsidP="00395B38"/>
    <w:p w14:paraId="74F61212" w14:textId="77777777" w:rsidR="00674676" w:rsidRPr="00123F1B" w:rsidRDefault="00674676" w:rsidP="00395B38">
      <w:r w:rsidRPr="00123F1B">
        <w:t>Lo anterior, tiene sustento en los artículos 86 y 91 de la Ley General de Población, la cual señala lo siguiente:</w:t>
      </w:r>
    </w:p>
    <w:p w14:paraId="1F20443D" w14:textId="77777777" w:rsidR="00674676" w:rsidRPr="00123F1B" w:rsidRDefault="00674676" w:rsidP="00395B38"/>
    <w:p w14:paraId="33E689D7"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b/>
          <w:i/>
          <w:kern w:val="28"/>
          <w:szCs w:val="56"/>
        </w:rPr>
        <w:t xml:space="preserve">Artículo 86. </w:t>
      </w:r>
      <w:r w:rsidRPr="00123F1B">
        <w:rPr>
          <w:i/>
          <w:kern w:val="28"/>
          <w:szCs w:val="56"/>
        </w:rPr>
        <w:t>El Registro Nacional de Población tiene como finalidad registrar a cada una de las personas que integran la población del país, con los datos que permitan certificar y acreditar fehacientemente su identidad.</w:t>
      </w:r>
    </w:p>
    <w:p w14:paraId="2E42C0FE" w14:textId="77777777" w:rsidR="00674676" w:rsidRPr="00123F1B" w:rsidRDefault="00674676" w:rsidP="00395B38">
      <w:pPr>
        <w:spacing w:line="240" w:lineRule="auto"/>
        <w:ind w:left="567" w:right="567"/>
        <w:contextualSpacing/>
        <w:rPr>
          <w:i/>
          <w:kern w:val="28"/>
          <w:szCs w:val="56"/>
        </w:rPr>
      </w:pPr>
      <w:r w:rsidRPr="00123F1B">
        <w:rPr>
          <w:b/>
          <w:i/>
          <w:kern w:val="28"/>
          <w:szCs w:val="56"/>
        </w:rPr>
        <w:t xml:space="preserve">Artículo 91. </w:t>
      </w:r>
      <w:r w:rsidRPr="00123F1B">
        <w:rPr>
          <w:b/>
          <w:i/>
          <w:kern w:val="28"/>
          <w:szCs w:val="56"/>
          <w:u w:val="single"/>
        </w:rPr>
        <w:t>Al incorporar a una persona en el Registro Nacional de Población</w:t>
      </w:r>
      <w:r w:rsidRPr="00123F1B">
        <w:rPr>
          <w:i/>
          <w:kern w:val="28"/>
          <w:szCs w:val="56"/>
        </w:rPr>
        <w:t xml:space="preserve">, se le asignará una clave </w:t>
      </w:r>
      <w:r w:rsidRPr="00123F1B">
        <w:rPr>
          <w:b/>
          <w:i/>
          <w:kern w:val="28"/>
          <w:szCs w:val="56"/>
          <w:u w:val="single"/>
        </w:rPr>
        <w:t>que se denominará Clave Única de Registro de Población</w:t>
      </w:r>
      <w:r w:rsidRPr="00123F1B">
        <w:rPr>
          <w:i/>
          <w:kern w:val="28"/>
          <w:szCs w:val="56"/>
        </w:rPr>
        <w:t xml:space="preserve">. </w:t>
      </w:r>
      <w:r w:rsidRPr="00123F1B">
        <w:rPr>
          <w:b/>
          <w:i/>
          <w:kern w:val="28"/>
          <w:szCs w:val="56"/>
          <w:u w:val="single"/>
        </w:rPr>
        <w:t>Esta servirá para</w:t>
      </w:r>
      <w:r w:rsidRPr="00123F1B">
        <w:rPr>
          <w:i/>
          <w:kern w:val="28"/>
          <w:szCs w:val="56"/>
        </w:rPr>
        <w:t xml:space="preserve"> registrarla e </w:t>
      </w:r>
      <w:r w:rsidRPr="00123F1B">
        <w:rPr>
          <w:b/>
          <w:i/>
          <w:kern w:val="28"/>
          <w:szCs w:val="56"/>
          <w:u w:val="single"/>
        </w:rPr>
        <w:t>identificarla en forma individual</w:t>
      </w:r>
      <w:r w:rsidRPr="00123F1B">
        <w:rPr>
          <w:i/>
          <w:kern w:val="28"/>
          <w:szCs w:val="56"/>
        </w:rPr>
        <w:t xml:space="preserve">.” </w:t>
      </w:r>
    </w:p>
    <w:p w14:paraId="51F2997A" w14:textId="77777777" w:rsidR="00674676" w:rsidRPr="00123F1B" w:rsidRDefault="00674676" w:rsidP="00395B38">
      <w:pPr>
        <w:spacing w:line="240" w:lineRule="auto"/>
        <w:ind w:left="567" w:right="567"/>
        <w:contextualSpacing/>
        <w:rPr>
          <w:i/>
          <w:kern w:val="28"/>
          <w:szCs w:val="56"/>
        </w:rPr>
      </w:pPr>
      <w:r w:rsidRPr="00123F1B">
        <w:rPr>
          <w:i/>
          <w:kern w:val="28"/>
          <w:szCs w:val="56"/>
        </w:rPr>
        <w:t>(Énfasis añadido)</w:t>
      </w:r>
    </w:p>
    <w:p w14:paraId="62F6C8EA" w14:textId="77777777" w:rsidR="00674676" w:rsidRPr="00123F1B" w:rsidRDefault="00674676" w:rsidP="00395B38"/>
    <w:p w14:paraId="3086B2EB" w14:textId="77777777" w:rsidR="00674676" w:rsidRPr="00123F1B" w:rsidRDefault="00674676" w:rsidP="00395B38">
      <w:r w:rsidRPr="00123F1B">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A8AA927" w14:textId="77777777" w:rsidR="00674676" w:rsidRPr="00123F1B" w:rsidRDefault="00674676" w:rsidP="00395B38"/>
    <w:p w14:paraId="74881774" w14:textId="77777777" w:rsidR="00674676" w:rsidRPr="00123F1B" w:rsidRDefault="00674676" w:rsidP="00395B38">
      <w:r w:rsidRPr="00123F1B">
        <w:t>Al respecto, el Instituto Nacional de Transparencia, Acceso a la Información y Protección de Datos Personales (INAI), a través del Criterio 18/17 de la Segunda Época, señala literalmente lo siguiente:</w:t>
      </w:r>
    </w:p>
    <w:p w14:paraId="23F8B8A0" w14:textId="77777777" w:rsidR="00674676" w:rsidRPr="00123F1B" w:rsidRDefault="00674676" w:rsidP="00395B38"/>
    <w:p w14:paraId="17CF92CA"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b/>
          <w:i/>
          <w:kern w:val="28"/>
          <w:szCs w:val="56"/>
        </w:rPr>
        <w:t>Clave Única de Registro de Población (CURP). La Clave Única de Registro de Población</w:t>
      </w:r>
      <w:r w:rsidRPr="00123F1B">
        <w:rPr>
          <w:i/>
          <w:kern w:val="28"/>
          <w:szCs w:val="56"/>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13F1FDC" w14:textId="77777777" w:rsidR="00674676" w:rsidRPr="00123F1B" w:rsidRDefault="00674676" w:rsidP="00395B38">
      <w:pPr>
        <w:spacing w:line="240" w:lineRule="auto"/>
        <w:ind w:left="567" w:right="567"/>
        <w:contextualSpacing/>
        <w:rPr>
          <w:i/>
          <w:kern w:val="28"/>
          <w:szCs w:val="56"/>
        </w:rPr>
      </w:pPr>
      <w:r w:rsidRPr="00123F1B">
        <w:rPr>
          <w:i/>
          <w:kern w:val="28"/>
          <w:szCs w:val="56"/>
        </w:rPr>
        <w:t xml:space="preserve"> (Énfasis añadido)</w:t>
      </w:r>
    </w:p>
    <w:p w14:paraId="3DB5F18C" w14:textId="77777777" w:rsidR="00674676" w:rsidRPr="00123F1B" w:rsidRDefault="00674676" w:rsidP="00395B38">
      <w:pPr>
        <w:ind w:left="851" w:right="902"/>
      </w:pPr>
    </w:p>
    <w:p w14:paraId="08004B4C" w14:textId="77777777" w:rsidR="00674676" w:rsidRPr="00123F1B" w:rsidRDefault="00674676" w:rsidP="00395B38">
      <w:r w:rsidRPr="00123F1B">
        <w:t>De lo anterior, se desprende que la Clave Única de Registro de Población,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55685F" w14:textId="77777777" w:rsidR="00674676" w:rsidRPr="00123F1B" w:rsidRDefault="00674676" w:rsidP="00395B38"/>
    <w:p w14:paraId="7D91BC1B"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b/>
          <w:szCs w:val="22"/>
        </w:rPr>
      </w:pPr>
      <w:r w:rsidRPr="00123F1B">
        <w:rPr>
          <w:rFonts w:eastAsia="Palatino Linotype" w:cs="Palatino Linotype"/>
          <w:b/>
          <w:szCs w:val="22"/>
        </w:rPr>
        <w:t>Clave de cualquier tipo de seguridad social</w:t>
      </w:r>
    </w:p>
    <w:p w14:paraId="5AEA4F78" w14:textId="77777777" w:rsidR="00674676" w:rsidRPr="00123F1B" w:rsidRDefault="00674676" w:rsidP="00395B38"/>
    <w:p w14:paraId="69F78B94" w14:textId="77777777" w:rsidR="00674676" w:rsidRPr="00123F1B" w:rsidRDefault="00674676" w:rsidP="00395B38">
      <w:r w:rsidRPr="00123F1B">
        <w:t xml:space="preserve">Por cuanto hace a la </w:t>
      </w:r>
      <w:r w:rsidRPr="00123F1B">
        <w:rPr>
          <w:b/>
        </w:rPr>
        <w:t>Clave de cualquier tipo de seguridad social</w:t>
      </w:r>
      <w:r w:rsidRPr="00123F1B">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23F1B">
        <w:lastRenderedPageBreak/>
        <w:t>4, fracción XI de la Ley de Protección de Datos Personales en Posesión de Sujetos Obligados del Estado de México y Municipios.</w:t>
      </w:r>
    </w:p>
    <w:p w14:paraId="58B29690" w14:textId="77777777" w:rsidR="00674676" w:rsidRPr="00123F1B" w:rsidRDefault="00674676" w:rsidP="00395B38"/>
    <w:p w14:paraId="5646FE6F"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b/>
          <w:szCs w:val="22"/>
        </w:rPr>
      </w:pPr>
      <w:r w:rsidRPr="00123F1B">
        <w:rPr>
          <w:rFonts w:eastAsia="Palatino Linotype" w:cs="Palatino Linotype"/>
          <w:b/>
          <w:szCs w:val="22"/>
        </w:rPr>
        <w:t>Número de cuenta bancaria de los particulares</w:t>
      </w:r>
    </w:p>
    <w:p w14:paraId="7C9BC648" w14:textId="77777777" w:rsidR="00674676" w:rsidRPr="00123F1B" w:rsidRDefault="00674676" w:rsidP="00395B38">
      <w:pPr>
        <w:pBdr>
          <w:top w:val="nil"/>
          <w:left w:val="nil"/>
          <w:bottom w:val="nil"/>
          <w:right w:val="nil"/>
          <w:between w:val="nil"/>
        </w:pBdr>
        <w:ind w:left="720"/>
        <w:rPr>
          <w:rFonts w:eastAsia="Palatino Linotype" w:cs="Palatino Linotype"/>
          <w:b/>
          <w:szCs w:val="22"/>
        </w:rPr>
      </w:pPr>
    </w:p>
    <w:p w14:paraId="7F12AFD0" w14:textId="77777777" w:rsidR="00674676" w:rsidRPr="00123F1B" w:rsidRDefault="00674676" w:rsidP="00395B38">
      <w:r w:rsidRPr="00123F1B">
        <w:t>Por otro lado, es importante señalar que 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AEFC1EA" w14:textId="77777777" w:rsidR="00674676" w:rsidRPr="00123F1B" w:rsidRDefault="00674676" w:rsidP="00395B38">
      <w:pPr>
        <w:ind w:right="50"/>
      </w:pPr>
    </w:p>
    <w:p w14:paraId="2AEEF185" w14:textId="77777777" w:rsidR="00674676" w:rsidRPr="00123F1B" w:rsidRDefault="00674676" w:rsidP="00395B38">
      <w:pPr>
        <w:ind w:right="51"/>
      </w:pPr>
      <w:r w:rsidRPr="00123F1B">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BB4480B" w14:textId="77777777" w:rsidR="00674676" w:rsidRPr="00123F1B" w:rsidRDefault="00674676" w:rsidP="00395B38">
      <w:pPr>
        <w:ind w:right="51"/>
      </w:pPr>
    </w:p>
    <w:p w14:paraId="3E3CA7D6" w14:textId="77777777" w:rsidR="00674676" w:rsidRPr="00123F1B" w:rsidRDefault="00674676" w:rsidP="00395B38">
      <w:pPr>
        <w:ind w:right="50"/>
      </w:pPr>
      <w:r w:rsidRPr="00123F1B">
        <w:t>Lo anterior encuentra sustento en el criterio 10/17 emitido por el Instituto Nacional de Transparencia y Acceso a la Información Pública del Estado de México y Municipios, que a la letra dicen:</w:t>
      </w:r>
    </w:p>
    <w:p w14:paraId="37FF8E6A" w14:textId="77777777" w:rsidR="00674676" w:rsidRPr="00123F1B" w:rsidRDefault="00674676" w:rsidP="00395B38">
      <w:pPr>
        <w:ind w:right="50"/>
      </w:pPr>
    </w:p>
    <w:p w14:paraId="620751E5" w14:textId="77777777" w:rsidR="00674676" w:rsidRPr="00123F1B" w:rsidRDefault="00674676" w:rsidP="00395B38">
      <w:pPr>
        <w:spacing w:line="240" w:lineRule="auto"/>
        <w:ind w:left="567" w:right="567"/>
        <w:contextualSpacing/>
        <w:rPr>
          <w:i/>
          <w:kern w:val="28"/>
          <w:szCs w:val="56"/>
        </w:rPr>
      </w:pPr>
      <w:r w:rsidRPr="00123F1B">
        <w:rPr>
          <w:b/>
          <w:i/>
          <w:kern w:val="28"/>
          <w:szCs w:val="56"/>
        </w:rPr>
        <w:t>“Cuentas bancarias y/o CLABE interbancaria de personas físicas y morales privadas.</w:t>
      </w:r>
      <w:r w:rsidRPr="00123F1B">
        <w:rPr>
          <w:i/>
          <w:kern w:val="28"/>
          <w:szCs w:val="56"/>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w:t>
      </w:r>
      <w:r w:rsidRPr="00123F1B">
        <w:rPr>
          <w:i/>
          <w:kern w:val="28"/>
          <w:szCs w:val="56"/>
        </w:rPr>
        <w:lastRenderedPageBreak/>
        <w:t>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DDDB2C8" w14:textId="77777777" w:rsidR="00674676" w:rsidRPr="00123F1B" w:rsidRDefault="00674676" w:rsidP="00395B38">
      <w:pPr>
        <w:ind w:left="851" w:right="1134"/>
        <w:jc w:val="center"/>
        <w:rPr>
          <w:b/>
          <w:i/>
        </w:rPr>
      </w:pPr>
    </w:p>
    <w:p w14:paraId="4D206E69"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b/>
          <w:szCs w:val="22"/>
        </w:rPr>
      </w:pPr>
      <w:r w:rsidRPr="00123F1B">
        <w:rPr>
          <w:rFonts w:eastAsia="Palatino Linotype" w:cs="Palatino Linotype"/>
          <w:b/>
          <w:szCs w:val="22"/>
        </w:rPr>
        <w:t>Número de empleado de servidores públicos o su equivalente</w:t>
      </w:r>
    </w:p>
    <w:p w14:paraId="70387E1F" w14:textId="77777777" w:rsidR="00674676" w:rsidRPr="00123F1B" w:rsidRDefault="00674676" w:rsidP="00395B38"/>
    <w:p w14:paraId="424B4C25" w14:textId="77777777" w:rsidR="00674676" w:rsidRPr="00123F1B" w:rsidRDefault="00674676" w:rsidP="00395B38">
      <w:r w:rsidRPr="00123F1B">
        <w:t xml:space="preserve">Por otro lado, es necesario precisar que el </w:t>
      </w:r>
      <w:r w:rsidRPr="00123F1B">
        <w:rPr>
          <w:b/>
        </w:rPr>
        <w:t>número de empleado de servidores públicos o su equivalente</w:t>
      </w:r>
      <w:r w:rsidRPr="00123F1B">
        <w:t xml:space="preserve">, con independencia del nombre que reciba, constituye un instrumento de control interno que permite a las dependencias y entidades identificar a sus trabajadores y a estos les facilita la realización de gestiones en su carácter de empleado. </w:t>
      </w:r>
    </w:p>
    <w:p w14:paraId="5DB4FC09" w14:textId="77777777" w:rsidR="00674676" w:rsidRPr="00123F1B" w:rsidRDefault="00674676" w:rsidP="00395B38">
      <w:pPr>
        <w:pBdr>
          <w:top w:val="nil"/>
          <w:left w:val="nil"/>
          <w:bottom w:val="nil"/>
          <w:right w:val="nil"/>
          <w:between w:val="nil"/>
        </w:pBdr>
        <w:spacing w:before="240" w:after="240"/>
        <w:ind w:right="49"/>
      </w:pPr>
      <w:r w:rsidRPr="00123F1B">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335C1E3" w14:textId="77777777" w:rsidR="00674676" w:rsidRPr="00123F1B" w:rsidRDefault="00674676" w:rsidP="00395B38">
      <w:pPr>
        <w:pBdr>
          <w:top w:val="nil"/>
          <w:left w:val="nil"/>
          <w:bottom w:val="nil"/>
          <w:right w:val="nil"/>
          <w:between w:val="nil"/>
        </w:pBdr>
        <w:spacing w:before="240" w:after="240"/>
        <w:ind w:right="49"/>
      </w:pPr>
      <w:r w:rsidRPr="00123F1B">
        <w:t xml:space="preserve">Lo anterior, toma sustento en el Criterio de Interpretación, de la Segunda Época, con número de registro SO/006/2019, emitido por el Instituto Nacional de Transparencia, Acceso a la Información y Protección de Datos Personales, que establece lo siguiente: </w:t>
      </w:r>
    </w:p>
    <w:p w14:paraId="405BC20F"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b/>
          <w:i/>
          <w:kern w:val="28"/>
          <w:szCs w:val="56"/>
        </w:rPr>
        <w:t>Número de empleado.</w:t>
      </w:r>
      <w:r w:rsidRPr="00123F1B">
        <w:rPr>
          <w:i/>
          <w:kern w:val="28"/>
          <w:szCs w:val="56"/>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B3093D1" w14:textId="77777777" w:rsidR="00674676" w:rsidRPr="00123F1B" w:rsidRDefault="00674676" w:rsidP="00395B38">
      <w:pPr>
        <w:spacing w:line="240" w:lineRule="auto"/>
        <w:ind w:left="567" w:right="567"/>
        <w:contextualSpacing/>
        <w:rPr>
          <w:i/>
          <w:kern w:val="28"/>
          <w:szCs w:val="56"/>
        </w:rPr>
      </w:pPr>
    </w:p>
    <w:p w14:paraId="31A385A7" w14:textId="77777777" w:rsidR="00674676" w:rsidRPr="00123F1B" w:rsidRDefault="00674676" w:rsidP="00395B38">
      <w:pPr>
        <w:pBdr>
          <w:top w:val="nil"/>
          <w:left w:val="nil"/>
          <w:bottom w:val="nil"/>
          <w:right w:val="nil"/>
          <w:between w:val="nil"/>
        </w:pBdr>
        <w:ind w:right="49"/>
      </w:pPr>
      <w:r w:rsidRPr="00123F1B">
        <w:lastRenderedPageBreak/>
        <w:t>Así, se colige que solamente procederá la clasificación del número de empleado, cuando se integre con datos personales de los servidores públicos o funcione como clave de acceso que no requiera una contraseña para ingresar a sistemas o bases de datos. 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94B3181" w14:textId="77777777" w:rsidR="00674676" w:rsidRPr="00123F1B" w:rsidRDefault="00674676" w:rsidP="00395B38">
      <w:pPr>
        <w:pBdr>
          <w:top w:val="nil"/>
          <w:left w:val="nil"/>
          <w:bottom w:val="nil"/>
          <w:right w:val="nil"/>
          <w:between w:val="nil"/>
        </w:pBdr>
        <w:rPr>
          <w:rFonts w:eastAsia="Palatino Linotype" w:cs="Palatino Linotype"/>
          <w:b/>
          <w:szCs w:val="22"/>
        </w:rPr>
      </w:pPr>
    </w:p>
    <w:p w14:paraId="04B719E7"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b/>
          <w:szCs w:val="22"/>
        </w:rPr>
      </w:pPr>
      <w:r w:rsidRPr="00123F1B">
        <w:rPr>
          <w:rFonts w:eastAsia="Palatino Linotype" w:cs="Palatino Linotype"/>
          <w:b/>
          <w:szCs w:val="22"/>
        </w:rPr>
        <w:t>Código bidimensional o Qr</w:t>
      </w:r>
    </w:p>
    <w:p w14:paraId="7F6965F1" w14:textId="77777777" w:rsidR="00674676" w:rsidRPr="00123F1B" w:rsidRDefault="00674676" w:rsidP="00395B38">
      <w:pPr>
        <w:pBdr>
          <w:top w:val="nil"/>
          <w:left w:val="nil"/>
          <w:bottom w:val="nil"/>
          <w:right w:val="nil"/>
          <w:between w:val="nil"/>
        </w:pBdr>
        <w:rPr>
          <w:rFonts w:eastAsia="Palatino Linotype" w:cs="Palatino Linotype"/>
          <w:b/>
          <w:szCs w:val="22"/>
        </w:rPr>
      </w:pPr>
    </w:p>
    <w:p w14:paraId="0978C325" w14:textId="77777777" w:rsidR="00674676" w:rsidRPr="00123F1B" w:rsidRDefault="00674676" w:rsidP="00395B38">
      <w:pPr>
        <w:pBdr>
          <w:top w:val="nil"/>
          <w:left w:val="nil"/>
          <w:bottom w:val="nil"/>
          <w:right w:val="nil"/>
          <w:between w:val="nil"/>
        </w:pBdr>
        <w:ind w:right="49"/>
        <w:rPr>
          <w:rFonts w:eastAsia="Palatino Linotype" w:cs="Palatino Linotype"/>
          <w:szCs w:val="22"/>
          <w:lang w:eastAsia="en-US"/>
        </w:rPr>
      </w:pPr>
      <w:r w:rsidRPr="00123F1B">
        <w:rPr>
          <w:rFonts w:eastAsia="Palatino Linotype" w:cs="Palatino Linotype"/>
          <w:szCs w:val="22"/>
          <w:lang w:eastAsia="en-US"/>
        </w:rPr>
        <w:t xml:space="preserve">En principio, resulta necesario señalar que los comprobantes fiscales digitales por Internet, deben de incluir un código </w:t>
      </w:r>
      <w:r w:rsidRPr="00123F1B">
        <w:t>bidimensional</w:t>
      </w:r>
      <w:r w:rsidRPr="00123F1B">
        <w:rPr>
          <w:rFonts w:eastAsia="Palatino Linotype" w:cs="Palatino Linotype"/>
          <w:szCs w:val="22"/>
          <w:lang w:eastAsia="en-US"/>
        </w:rPr>
        <w:t xml:space="preserve"> conforme al formato </w:t>
      </w:r>
      <w:r w:rsidRPr="00123F1B">
        <w:rPr>
          <w:rFonts w:eastAsia="Palatino Linotype" w:cs="Palatino Linotype"/>
          <w:i/>
          <w:szCs w:val="22"/>
          <w:lang w:eastAsia="en-US"/>
        </w:rPr>
        <w:t>QR Code (Quick Response Code)</w:t>
      </w:r>
      <w:r w:rsidRPr="00123F1B">
        <w:rPr>
          <w:rFonts w:eastAsia="Palatino Linotype" w:cs="Palatino Linotype"/>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5" w:history="1">
        <w:r w:rsidRPr="00123F1B">
          <w:rPr>
            <w:rFonts w:eastAsia="Palatino Linotype" w:cs="Palatino Linotype"/>
            <w:szCs w:val="22"/>
            <w:u w:val="single"/>
            <w:lang w:eastAsia="en-US"/>
          </w:rPr>
          <w:t>http://dof.gob.mx/nota_detalle.php?codigo=5492254&amp;fecha=28/07/2017</w:t>
        </w:r>
      </w:hyperlink>
      <w:r w:rsidRPr="00123F1B">
        <w:rPr>
          <w:rFonts w:eastAsia="Palatino Linotype" w:cs="Palatino Linotype"/>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78E307D4" w14:textId="77777777" w:rsidR="00674676" w:rsidRPr="00123F1B" w:rsidRDefault="00674676" w:rsidP="00395B38">
      <w:pPr>
        <w:spacing w:after="160"/>
        <w:contextualSpacing/>
        <w:rPr>
          <w:rFonts w:eastAsia="Palatino Linotype" w:cs="Palatino Linotype"/>
          <w:szCs w:val="22"/>
          <w:lang w:eastAsia="en-US"/>
        </w:rPr>
      </w:pPr>
      <w:r w:rsidRPr="00123F1B">
        <w:rPr>
          <w:rFonts w:eastAsia="Palatino Linotype" w:cs="Palatino Linotype"/>
          <w:szCs w:val="22"/>
          <w:lang w:eastAsia="en-US"/>
        </w:rPr>
        <w:t xml:space="preserve"> </w:t>
      </w:r>
    </w:p>
    <w:p w14:paraId="38B0425B" w14:textId="77777777" w:rsidR="00674676" w:rsidRPr="00123F1B" w:rsidRDefault="00674676" w:rsidP="00395B38">
      <w:pPr>
        <w:pBdr>
          <w:top w:val="nil"/>
          <w:left w:val="nil"/>
          <w:bottom w:val="nil"/>
          <w:right w:val="nil"/>
          <w:between w:val="nil"/>
        </w:pBdr>
        <w:ind w:right="49"/>
        <w:rPr>
          <w:rFonts w:eastAsia="Palatino Linotype" w:cs="Palatino Linotype"/>
          <w:szCs w:val="22"/>
          <w:lang w:eastAsia="en-US"/>
        </w:rPr>
      </w:pPr>
      <w:r w:rsidRPr="00123F1B">
        <w:rPr>
          <w:rFonts w:eastAsia="Palatino Linotype" w:cs="Palatino Linotype"/>
          <w:szCs w:val="22"/>
          <w:lang w:eastAsia="en-US"/>
        </w:rPr>
        <w:t xml:space="preserve">De tales circunstancias, se considera que dicho dato actualiza la causal de clasificación prevista en el artículo </w:t>
      </w:r>
      <w:r w:rsidRPr="00123F1B">
        <w:t>143</w:t>
      </w:r>
      <w:r w:rsidRPr="00123F1B">
        <w:rPr>
          <w:rFonts w:eastAsia="Palatino Linotype" w:cs="Palatino Linotype"/>
          <w:szCs w:val="22"/>
          <w:lang w:eastAsia="en-US"/>
        </w:rPr>
        <w:t>, fracción I de la Ley de la materia, toda vez que da acceso al Registro Federal de Contribuyentes de los servidores públicos del Sujeto Obligado, datos que tal como se señaló previamente, son clasificados.</w:t>
      </w:r>
    </w:p>
    <w:p w14:paraId="5CEE7E17" w14:textId="77777777" w:rsidR="00674676" w:rsidRPr="00123F1B" w:rsidRDefault="00674676" w:rsidP="00395B38">
      <w:pPr>
        <w:spacing w:after="160"/>
        <w:contextualSpacing/>
        <w:rPr>
          <w:rFonts w:eastAsia="Palatino Linotype" w:cs="Palatino Linotype"/>
          <w:szCs w:val="22"/>
          <w:lang w:eastAsia="en-US"/>
        </w:rPr>
      </w:pPr>
    </w:p>
    <w:p w14:paraId="44681AD0" w14:textId="77777777" w:rsidR="00674676" w:rsidRPr="00123F1B" w:rsidRDefault="00674676" w:rsidP="00395B38">
      <w:pPr>
        <w:numPr>
          <w:ilvl w:val="0"/>
          <w:numId w:val="20"/>
        </w:numPr>
        <w:pBdr>
          <w:top w:val="nil"/>
          <w:left w:val="nil"/>
          <w:bottom w:val="nil"/>
          <w:right w:val="nil"/>
          <w:between w:val="nil"/>
        </w:pBdr>
        <w:spacing w:after="160" w:line="259" w:lineRule="auto"/>
        <w:jc w:val="left"/>
        <w:rPr>
          <w:rFonts w:eastAsia="Palatino Linotype" w:cs="Palatino Linotype"/>
          <w:b/>
          <w:szCs w:val="22"/>
        </w:rPr>
      </w:pPr>
      <w:r w:rsidRPr="00123F1B">
        <w:rPr>
          <w:rFonts w:eastAsia="Palatino Linotype" w:cs="Palatino Linotype"/>
          <w:b/>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68D96AF6" w14:textId="77777777" w:rsidR="00674676" w:rsidRPr="00123F1B" w:rsidRDefault="00674676" w:rsidP="00395B38">
      <w:pPr>
        <w:pBdr>
          <w:top w:val="nil"/>
          <w:left w:val="nil"/>
          <w:bottom w:val="nil"/>
          <w:right w:val="nil"/>
          <w:between w:val="nil"/>
        </w:pBdr>
        <w:ind w:left="720"/>
        <w:rPr>
          <w:rFonts w:eastAsia="Palatino Linotype" w:cs="Palatino Linotype"/>
          <w:b/>
          <w:szCs w:val="22"/>
        </w:rPr>
      </w:pPr>
    </w:p>
    <w:p w14:paraId="77E9518E" w14:textId="77777777" w:rsidR="00674676" w:rsidRPr="00123F1B" w:rsidRDefault="00674676" w:rsidP="00395B38">
      <w:pPr>
        <w:pBdr>
          <w:top w:val="nil"/>
          <w:left w:val="nil"/>
          <w:bottom w:val="nil"/>
          <w:right w:val="nil"/>
          <w:between w:val="nil"/>
        </w:pBdr>
        <w:ind w:right="49"/>
      </w:pPr>
      <w:r w:rsidRPr="00123F1B">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CEAADE5" w14:textId="77777777" w:rsidR="00674676" w:rsidRPr="00123F1B" w:rsidRDefault="00674676" w:rsidP="00395B38">
      <w:pPr>
        <w:pBdr>
          <w:top w:val="nil"/>
          <w:left w:val="nil"/>
          <w:bottom w:val="nil"/>
          <w:right w:val="nil"/>
          <w:between w:val="nil"/>
        </w:pBdr>
        <w:ind w:right="49"/>
      </w:pPr>
    </w:p>
    <w:p w14:paraId="621E0707" w14:textId="77777777" w:rsidR="00674676" w:rsidRPr="00123F1B" w:rsidRDefault="00674676" w:rsidP="00395B38">
      <w:pPr>
        <w:pBdr>
          <w:top w:val="nil"/>
          <w:left w:val="nil"/>
          <w:bottom w:val="nil"/>
          <w:right w:val="nil"/>
          <w:between w:val="nil"/>
        </w:pBdr>
        <w:ind w:right="49"/>
      </w:pPr>
      <w:r w:rsidRPr="00123F1B">
        <w:t>Las cadenas originales y sellos que se agregan a las facturas,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5007368"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p>
    <w:p w14:paraId="6D582AC7" w14:textId="77777777" w:rsidR="00674676" w:rsidRPr="00123F1B" w:rsidRDefault="00674676" w:rsidP="00395B38">
      <w:pPr>
        <w:spacing w:line="240" w:lineRule="auto"/>
        <w:ind w:left="567" w:right="567"/>
        <w:contextualSpacing/>
        <w:rPr>
          <w:i/>
          <w:kern w:val="28"/>
          <w:szCs w:val="56"/>
        </w:rPr>
      </w:pPr>
      <w:r w:rsidRPr="00123F1B">
        <w:rPr>
          <w:i/>
          <w:kern w:val="28"/>
          <w:szCs w:val="56"/>
        </w:rPr>
        <w:t>Elementos utilizados en la generación de Sellos Digitales:</w:t>
      </w:r>
    </w:p>
    <w:p w14:paraId="6A6E17DD"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i/>
          <w:kern w:val="28"/>
          <w:szCs w:val="56"/>
        </w:rPr>
        <w:tab/>
        <w:t>Cadena Original, el elemento a sellar, en este caso de un comprobante fiscal digital a través de Internet.</w:t>
      </w:r>
    </w:p>
    <w:p w14:paraId="1C9677FE"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i/>
          <w:kern w:val="28"/>
          <w:szCs w:val="56"/>
        </w:rPr>
        <w:tab/>
        <w:t>Certificado de Sello Digital y su correspondiente clave privada.</w:t>
      </w:r>
    </w:p>
    <w:p w14:paraId="538604AB" w14:textId="77777777" w:rsidR="00674676" w:rsidRPr="00123F1B" w:rsidRDefault="00674676" w:rsidP="00395B38">
      <w:pPr>
        <w:spacing w:line="240" w:lineRule="auto"/>
        <w:ind w:left="567" w:right="567"/>
        <w:contextualSpacing/>
        <w:rPr>
          <w:i/>
          <w:kern w:val="28"/>
          <w:szCs w:val="56"/>
        </w:rPr>
      </w:pPr>
      <w:r w:rsidRPr="00123F1B">
        <w:rPr>
          <w:i/>
          <w:kern w:val="28"/>
          <w:szCs w:val="56"/>
        </w:rPr>
        <w:lastRenderedPageBreak/>
        <w:t>•</w:t>
      </w:r>
      <w:r w:rsidRPr="00123F1B">
        <w:rPr>
          <w:i/>
          <w:kern w:val="28"/>
          <w:szCs w:val="56"/>
        </w:rPr>
        <w:tab/>
        <w:t>Algoritmos de criptografía de clave pública para firma electrónica avanzada.</w:t>
      </w:r>
    </w:p>
    <w:p w14:paraId="576DF334"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r w:rsidRPr="00123F1B">
        <w:rPr>
          <w:i/>
          <w:kern w:val="28"/>
          <w:szCs w:val="56"/>
        </w:rPr>
        <w:tab/>
        <w:t>Especificaciones de conversión de la firma electrónica avanzada a Base 64.</w:t>
      </w:r>
    </w:p>
    <w:p w14:paraId="3017FEFD" w14:textId="77777777" w:rsidR="00674676" w:rsidRPr="00123F1B" w:rsidRDefault="00674676" w:rsidP="00395B38">
      <w:pPr>
        <w:spacing w:line="240" w:lineRule="auto"/>
        <w:ind w:left="567" w:right="567"/>
        <w:contextualSpacing/>
        <w:rPr>
          <w:i/>
          <w:kern w:val="28"/>
          <w:szCs w:val="56"/>
        </w:rPr>
      </w:pPr>
      <w:r w:rsidRPr="00123F1B">
        <w:rPr>
          <w:i/>
          <w:kern w:val="28"/>
          <w:szCs w:val="56"/>
        </w:rPr>
        <w:t>Para la generación de sellos digitales se utiliza criptografía de clave pública aplicada a una cadena original.</w:t>
      </w:r>
    </w:p>
    <w:p w14:paraId="239DF55F" w14:textId="77777777" w:rsidR="00674676" w:rsidRPr="00123F1B" w:rsidRDefault="00674676" w:rsidP="00395B38">
      <w:pPr>
        <w:spacing w:line="240" w:lineRule="auto"/>
        <w:ind w:left="567" w:right="567"/>
        <w:contextualSpacing/>
        <w:rPr>
          <w:i/>
          <w:kern w:val="28"/>
          <w:szCs w:val="56"/>
        </w:rPr>
      </w:pPr>
      <w:r w:rsidRPr="00123F1B">
        <w:rPr>
          <w:i/>
          <w:kern w:val="28"/>
          <w:szCs w:val="56"/>
        </w:rPr>
        <w:t>Criptografía de la Clave Pública</w:t>
      </w:r>
    </w:p>
    <w:p w14:paraId="7DDAFF98" w14:textId="77777777" w:rsidR="00674676" w:rsidRPr="00123F1B" w:rsidRDefault="00674676" w:rsidP="00395B38">
      <w:pPr>
        <w:spacing w:line="240" w:lineRule="auto"/>
        <w:ind w:left="567" w:right="567"/>
        <w:contextualSpacing/>
        <w:rPr>
          <w:i/>
          <w:kern w:val="28"/>
          <w:szCs w:val="56"/>
        </w:rPr>
      </w:pPr>
      <w:r w:rsidRPr="00123F1B">
        <w:rPr>
          <w:i/>
          <w:kern w:val="28"/>
          <w:szCs w:val="56"/>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58C725D" w14:textId="77777777" w:rsidR="00674676" w:rsidRPr="00123F1B" w:rsidRDefault="00674676" w:rsidP="00395B38">
      <w:pPr>
        <w:spacing w:line="240" w:lineRule="auto"/>
        <w:ind w:left="567" w:right="567"/>
        <w:contextualSpacing/>
        <w:rPr>
          <w:i/>
          <w:kern w:val="28"/>
          <w:szCs w:val="56"/>
        </w:rPr>
      </w:pPr>
      <w:r w:rsidRPr="00123F1B">
        <w:rPr>
          <w:i/>
          <w:kern w:val="28"/>
          <w:szCs w:val="56"/>
        </w:rPr>
        <w:t>…”</w:t>
      </w:r>
    </w:p>
    <w:p w14:paraId="080C3547" w14:textId="77777777" w:rsidR="00674676" w:rsidRPr="00123F1B" w:rsidRDefault="00674676" w:rsidP="00395B38">
      <w:pPr>
        <w:spacing w:line="240" w:lineRule="auto"/>
        <w:ind w:left="567" w:right="567"/>
        <w:contextualSpacing/>
        <w:rPr>
          <w:i/>
          <w:kern w:val="28"/>
          <w:szCs w:val="56"/>
        </w:rPr>
      </w:pPr>
    </w:p>
    <w:p w14:paraId="57648FF3" w14:textId="77777777" w:rsidR="00674676" w:rsidRPr="00123F1B" w:rsidRDefault="00674676" w:rsidP="00395B38">
      <w:pPr>
        <w:pBdr>
          <w:top w:val="nil"/>
          <w:left w:val="nil"/>
          <w:bottom w:val="nil"/>
          <w:right w:val="nil"/>
          <w:between w:val="nil"/>
        </w:pBdr>
        <w:ind w:right="49"/>
      </w:pPr>
      <w:r w:rsidRPr="00123F1B">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47F34F18" w14:textId="77777777" w:rsidR="00674676" w:rsidRPr="00123F1B" w:rsidRDefault="00674676" w:rsidP="00395B38">
      <w:pPr>
        <w:pBdr>
          <w:top w:val="nil"/>
          <w:left w:val="nil"/>
          <w:bottom w:val="nil"/>
          <w:right w:val="nil"/>
          <w:between w:val="nil"/>
        </w:pBdr>
        <w:ind w:right="49"/>
      </w:pPr>
    </w:p>
    <w:p w14:paraId="5C2E222F" w14:textId="77777777" w:rsidR="00674676" w:rsidRPr="00123F1B" w:rsidRDefault="00674676" w:rsidP="00395B38">
      <w:pPr>
        <w:pBdr>
          <w:top w:val="nil"/>
          <w:left w:val="nil"/>
          <w:bottom w:val="nil"/>
          <w:right w:val="nil"/>
          <w:between w:val="nil"/>
        </w:pBdr>
        <w:ind w:right="49"/>
      </w:pPr>
      <w:r w:rsidRPr="00123F1B">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0E25670" w14:textId="77777777" w:rsidR="00674676" w:rsidRPr="00123F1B" w:rsidRDefault="00674676" w:rsidP="00395B38">
      <w:pPr>
        <w:pBdr>
          <w:top w:val="nil"/>
          <w:left w:val="nil"/>
          <w:bottom w:val="nil"/>
          <w:right w:val="nil"/>
          <w:between w:val="nil"/>
        </w:pBdr>
        <w:ind w:right="49"/>
      </w:pPr>
    </w:p>
    <w:p w14:paraId="361B0012" w14:textId="77777777" w:rsidR="00674676" w:rsidRPr="00123F1B" w:rsidRDefault="00674676" w:rsidP="00395B38">
      <w:pPr>
        <w:spacing w:after="160"/>
        <w:rPr>
          <w:rFonts w:eastAsia="Palatino Linotype" w:cs="Palatino Linotype"/>
          <w:szCs w:val="22"/>
          <w:lang w:eastAsia="es-MX"/>
        </w:rPr>
      </w:pPr>
      <w:r w:rsidRPr="00123F1B">
        <w:rPr>
          <w:rFonts w:eastAsia="Palatino Linotype" w:cs="Palatino Linotype"/>
          <w:szCs w:val="22"/>
          <w:lang w:eastAsia="es-MX"/>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w:t>
      </w:r>
      <w:r w:rsidRPr="00123F1B">
        <w:rPr>
          <w:rFonts w:eastAsia="Palatino Linotype" w:cs="Palatino Linotype"/>
          <w:szCs w:val="22"/>
          <w:lang w:eastAsia="es-MX"/>
        </w:rPr>
        <w:lastRenderedPageBreak/>
        <w:t>ejemplo localizado en el documento denominado “Cómo ubicar el Folio Fiscal en una factura”, emitido por el Instituto Nacional electoral, en la cual se advierte que únicamente se encuentra conformado por números, se muestra a continuación:</w:t>
      </w:r>
    </w:p>
    <w:p w14:paraId="44DE9645" w14:textId="77777777" w:rsidR="00674676" w:rsidRPr="00123F1B" w:rsidRDefault="00674676" w:rsidP="00395B38">
      <w:pPr>
        <w:spacing w:after="160"/>
        <w:jc w:val="center"/>
        <w:rPr>
          <w:rFonts w:eastAsia="Palatino Linotype" w:cs="Palatino Linotype"/>
          <w:szCs w:val="22"/>
          <w:lang w:eastAsia="es-MX"/>
        </w:rPr>
      </w:pPr>
      <w:r w:rsidRPr="00123F1B">
        <w:rPr>
          <w:rFonts w:eastAsia="Palatino Linotype" w:cs="Palatino Linotype"/>
          <w:noProof/>
          <w:szCs w:val="22"/>
          <w:lang w:eastAsia="es-MX"/>
        </w:rPr>
        <w:drawing>
          <wp:inline distT="0" distB="0" distL="0" distR="0" wp14:anchorId="4506563A" wp14:editId="1F26DB58">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2A37A5D7" w14:textId="77777777" w:rsidR="00674676" w:rsidRPr="00123F1B" w:rsidRDefault="00674676" w:rsidP="00395B38">
      <w:pPr>
        <w:tabs>
          <w:tab w:val="left" w:pos="4962"/>
        </w:tabs>
        <w:spacing w:after="160"/>
        <w:rPr>
          <w:rFonts w:eastAsia="Palatino Linotype" w:cs="Palatino Linotype"/>
          <w:szCs w:val="22"/>
          <w:lang w:eastAsia="es-MX"/>
        </w:rPr>
      </w:pPr>
    </w:p>
    <w:p w14:paraId="33E1FB9A" w14:textId="77777777" w:rsidR="00674676" w:rsidRPr="00123F1B" w:rsidRDefault="00674676" w:rsidP="00395B38">
      <w:pPr>
        <w:rPr>
          <w:rFonts w:eastAsia="Palatino Linotype" w:cs="Palatino Linotype"/>
          <w:szCs w:val="22"/>
          <w:lang w:eastAsia="es-MX"/>
        </w:rPr>
      </w:pPr>
      <w:r w:rsidRPr="00123F1B">
        <w:rPr>
          <w:rFonts w:eastAsia="Palatino Linotype" w:cs="Palatino Linotype"/>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F7E1C42" w14:textId="77777777" w:rsidR="00674676" w:rsidRPr="00123F1B" w:rsidRDefault="00674676" w:rsidP="00395B38">
      <w:pPr>
        <w:rPr>
          <w:rFonts w:eastAsia="Palatino Linotype" w:cs="Palatino Linotype"/>
          <w:szCs w:val="22"/>
          <w:lang w:eastAsia="es-MX"/>
        </w:rPr>
      </w:pPr>
    </w:p>
    <w:p w14:paraId="240EFD99" w14:textId="77777777" w:rsidR="00674676" w:rsidRPr="00123F1B" w:rsidRDefault="00674676" w:rsidP="00395B38">
      <w:pPr>
        <w:rPr>
          <w:rFonts w:eastAsia="Palatino Linotype" w:cs="Palatino Linotype"/>
          <w:szCs w:val="22"/>
          <w:lang w:eastAsia="es-MX"/>
        </w:rPr>
      </w:pPr>
      <w:r w:rsidRPr="00123F1B">
        <w:rPr>
          <w:rFonts w:eastAsia="Palatino Linotype" w:cs="Palatino Linotype"/>
          <w:szCs w:val="22"/>
          <w:lang w:eastAsia="es-MX"/>
        </w:rPr>
        <w:t xml:space="preserve">Ahora bien, por lo que hace </w:t>
      </w:r>
      <w:r w:rsidRPr="00123F1B">
        <w:rPr>
          <w:rFonts w:eastAsia="Palatino Linotype" w:cs="Palatino Linotype"/>
          <w:b/>
          <w:szCs w:val="22"/>
          <w:lang w:eastAsia="es-MX"/>
        </w:rPr>
        <w:t>Folio Fiscal</w:t>
      </w:r>
      <w:r w:rsidRPr="00123F1B">
        <w:rPr>
          <w:rFonts w:eastAsia="Palatino Linotype" w:cs="Palatino Linotype"/>
          <w:szCs w:val="22"/>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E23A687" w14:textId="77777777" w:rsidR="00674676" w:rsidRPr="00123F1B" w:rsidRDefault="00674676" w:rsidP="00395B38">
      <w:pPr>
        <w:spacing w:after="160"/>
        <w:rPr>
          <w:rFonts w:eastAsia="Palatino Linotype" w:cs="Palatino Linotype"/>
          <w:szCs w:val="22"/>
          <w:lang w:eastAsia="es-MX"/>
        </w:rPr>
      </w:pPr>
      <w:r w:rsidRPr="00123F1B">
        <w:rPr>
          <w:rFonts w:eastAsia="Palatino Linotype" w:cs="Palatino Linotype"/>
          <w:szCs w:val="22"/>
          <w:lang w:eastAsia="es-MX"/>
        </w:rPr>
        <w:t xml:space="preserve"> </w:t>
      </w:r>
    </w:p>
    <w:p w14:paraId="68B881FA" w14:textId="77777777" w:rsidR="00674676" w:rsidRPr="00123F1B" w:rsidRDefault="00674676" w:rsidP="00395B38">
      <w:pPr>
        <w:spacing w:after="160"/>
        <w:jc w:val="center"/>
        <w:rPr>
          <w:rFonts w:eastAsia="Palatino Linotype" w:cs="Palatino Linotype"/>
          <w:szCs w:val="22"/>
          <w:lang w:eastAsia="es-MX"/>
        </w:rPr>
      </w:pPr>
      <w:r w:rsidRPr="00123F1B">
        <w:rPr>
          <w:rFonts w:eastAsia="Palatino Linotype" w:cs="Palatino Linotype"/>
          <w:noProof/>
          <w:szCs w:val="22"/>
          <w:lang w:eastAsia="es-MX"/>
        </w:rPr>
        <w:lastRenderedPageBreak/>
        <w:drawing>
          <wp:inline distT="0" distB="0" distL="0" distR="0" wp14:anchorId="30B98481" wp14:editId="581D11EB">
            <wp:extent cx="4438650" cy="10287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095F3442" w14:textId="77777777" w:rsidR="00674676" w:rsidRPr="00123F1B" w:rsidRDefault="00674676" w:rsidP="00395B38">
      <w:pPr>
        <w:rPr>
          <w:rFonts w:eastAsia="Palatino Linotype" w:cs="Palatino Linotype"/>
          <w:szCs w:val="22"/>
          <w:lang w:eastAsia="es-MX"/>
        </w:rPr>
      </w:pPr>
    </w:p>
    <w:p w14:paraId="246472B0" w14:textId="77777777" w:rsidR="00674676" w:rsidRPr="00123F1B" w:rsidRDefault="00674676" w:rsidP="00395B38">
      <w:pPr>
        <w:rPr>
          <w:rFonts w:eastAsia="Palatino Linotype" w:cs="Palatino Linotype"/>
          <w:szCs w:val="22"/>
          <w:lang w:eastAsia="es-MX"/>
        </w:rPr>
      </w:pPr>
      <w:r w:rsidRPr="00123F1B">
        <w:rPr>
          <w:rFonts w:eastAsia="Palatino Linotype" w:cs="Palatino Linotype"/>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C9091F2" w14:textId="77777777" w:rsidR="00674676" w:rsidRPr="00123F1B" w:rsidRDefault="00674676" w:rsidP="00395B38">
      <w:pPr>
        <w:rPr>
          <w:rFonts w:eastAsia="Palatino Linotype" w:cs="Palatino Linotype"/>
          <w:szCs w:val="22"/>
          <w:lang w:eastAsia="es-MX"/>
        </w:rPr>
      </w:pPr>
    </w:p>
    <w:p w14:paraId="113BB9BF" w14:textId="77777777" w:rsidR="00674676" w:rsidRPr="00123F1B" w:rsidRDefault="00674676" w:rsidP="00395B38">
      <w:pPr>
        <w:rPr>
          <w:rFonts w:eastAsia="Palatino Linotype" w:cs="Palatino Linotype"/>
          <w:szCs w:val="22"/>
          <w:lang w:eastAsia="es-MX"/>
        </w:rPr>
      </w:pPr>
      <w:r w:rsidRPr="00123F1B">
        <w:rPr>
          <w:rFonts w:eastAsia="Palatino Linotype" w:cs="Palatino Linotype"/>
          <w:szCs w:val="22"/>
          <w:lang w:eastAsia="es-MX"/>
        </w:rPr>
        <w:t xml:space="preserve">Ahora bien, por lo que hace al </w:t>
      </w:r>
      <w:r w:rsidRPr="00123F1B">
        <w:rPr>
          <w:rFonts w:eastAsia="Palatino Linotype" w:cs="Palatino Linotype"/>
          <w:b/>
          <w:szCs w:val="22"/>
          <w:lang w:eastAsia="es-MX"/>
        </w:rPr>
        <w:t>número de serie y folio interno</w:t>
      </w:r>
      <w:r w:rsidRPr="00123F1B">
        <w:rPr>
          <w:rFonts w:eastAsia="Palatino Linotype" w:cs="Palatino Linotype"/>
          <w:szCs w:val="22"/>
          <w:lang w:eastAsia="es-MX"/>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0ACDEE8F" w14:textId="77777777" w:rsidR="00684497" w:rsidRPr="00123F1B" w:rsidRDefault="00684497" w:rsidP="00395B38">
      <w:pPr>
        <w:pBdr>
          <w:top w:val="nil"/>
          <w:left w:val="nil"/>
          <w:bottom w:val="nil"/>
          <w:right w:val="nil"/>
          <w:between w:val="nil"/>
        </w:pBdr>
        <w:ind w:right="49"/>
      </w:pPr>
    </w:p>
    <w:p w14:paraId="4ABAEEB6" w14:textId="04564E92" w:rsidR="001B63FA" w:rsidRPr="00123F1B" w:rsidRDefault="00BF2A3F" w:rsidP="00395B38">
      <w:pPr>
        <w:pStyle w:val="Ttulo3"/>
        <w:spacing w:line="360" w:lineRule="auto"/>
      </w:pPr>
      <w:bookmarkStart w:id="33" w:name="_Toc174450536"/>
      <w:bookmarkStart w:id="34" w:name="_Toc211450113"/>
      <w:r w:rsidRPr="00123F1B">
        <w:t>e</w:t>
      </w:r>
      <w:r w:rsidR="001B63FA" w:rsidRPr="00123F1B">
        <w:t>) Vista al Órgano Interno de Control</w:t>
      </w:r>
      <w:bookmarkEnd w:id="33"/>
      <w:bookmarkEnd w:id="34"/>
    </w:p>
    <w:p w14:paraId="09EA9885" w14:textId="16B49650" w:rsidR="001B63FA" w:rsidRPr="00123F1B" w:rsidRDefault="001B63FA" w:rsidP="00395B38">
      <w:pPr>
        <w:ind w:right="49"/>
        <w:rPr>
          <w:rFonts w:eastAsia="Palatino Linotype" w:cs="Palatino Linotype"/>
          <w:lang w:eastAsia="es-MX"/>
        </w:rPr>
      </w:pPr>
      <w:r w:rsidRPr="00123F1B">
        <w:rPr>
          <w:rFonts w:cs="Arial"/>
        </w:rPr>
        <w:t xml:space="preserve">Finalmente, es de señalar que, atendiendo a que </w:t>
      </w:r>
      <w:r w:rsidRPr="00123F1B">
        <w:rPr>
          <w:rFonts w:cs="Arial"/>
          <w:b/>
        </w:rPr>
        <w:t xml:space="preserve">EL SUJETO OBLIGADO </w:t>
      </w:r>
      <w:r w:rsidR="00D10E9B" w:rsidRPr="00123F1B">
        <w:rPr>
          <w:rFonts w:cs="Arial"/>
        </w:rPr>
        <w:t>fue omiso en entregar la</w:t>
      </w:r>
      <w:r w:rsidRPr="00123F1B">
        <w:rPr>
          <w:rFonts w:cs="Arial"/>
        </w:rPr>
        <w:t xml:space="preserve"> respuesta a la solicitud de información pública sujeta a estudio y dado que </w:t>
      </w:r>
      <w:r w:rsidR="00D10E9B" w:rsidRPr="00123F1B">
        <w:rPr>
          <w:rFonts w:cs="Arial"/>
        </w:rPr>
        <w:t>el</w:t>
      </w:r>
      <w:r w:rsidRPr="00123F1B">
        <w:rPr>
          <w:rFonts w:cs="Arial"/>
        </w:rPr>
        <w:t xml:space="preserve"> </w:t>
      </w:r>
      <w:r w:rsidRPr="00123F1B">
        <w:rPr>
          <w:rFonts w:cs="Arial"/>
        </w:rPr>
        <w:lastRenderedPageBreak/>
        <w:t xml:space="preserve">Recurso de Revisión materia del presente asunto, </w:t>
      </w:r>
      <w:r w:rsidRPr="00123F1B">
        <w:t xml:space="preserve">no es el medio para investigar y en su caso, sancionar a servidores públicos </w:t>
      </w:r>
      <w:r w:rsidRPr="00123F1B">
        <w:rPr>
          <w:b/>
        </w:rPr>
        <w:t>por la omisión de la entrega de información pública</w:t>
      </w:r>
      <w:r w:rsidRPr="00123F1B">
        <w:t>, en atención a lo previsto en el artículo 163 de la Ley de la Materia, que señala el plazo de respuesta y atención a solicitudes de información;</w:t>
      </w:r>
      <w:r w:rsidRPr="00123F1B">
        <w:rPr>
          <w:rFonts w:eastAsia="Palatino Linotype" w:cs="Palatino Linotype"/>
          <w:lang w:eastAsia="es-MX"/>
        </w:rPr>
        <w:t xml:space="preserve"> motivo por el cual </w:t>
      </w:r>
      <w:r w:rsidRPr="00123F1B">
        <w:rPr>
          <w:rFonts w:eastAsia="Palatino Linotype" w:cs="Palatino Linotype"/>
          <w:b/>
          <w:lang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23F1B">
        <w:rPr>
          <w:rFonts w:eastAsia="Palatino Linotype" w:cs="Palatino Linotype"/>
          <w:lang w:eastAsia="es-MX"/>
        </w:rPr>
        <w:t>.</w:t>
      </w:r>
    </w:p>
    <w:p w14:paraId="582E073C" w14:textId="77777777" w:rsidR="00BF2A3F" w:rsidRPr="00123F1B" w:rsidRDefault="00BF2A3F" w:rsidP="00395B38">
      <w:pPr>
        <w:ind w:right="49"/>
        <w:rPr>
          <w:rFonts w:eastAsia="Palatino Linotype" w:cs="Palatino Linotype"/>
          <w:lang w:eastAsia="es-MX"/>
        </w:rPr>
      </w:pPr>
    </w:p>
    <w:p w14:paraId="08265D41" w14:textId="699A2047" w:rsidR="00876DBC" w:rsidRPr="00123F1B" w:rsidRDefault="00BF2A3F" w:rsidP="00395B38">
      <w:pPr>
        <w:pStyle w:val="Ttulo3"/>
      </w:pPr>
      <w:bookmarkStart w:id="35" w:name="_Toc211450114"/>
      <w:bookmarkStart w:id="36" w:name="_Hlk173398629"/>
      <w:r w:rsidRPr="00123F1B">
        <w:t>f</w:t>
      </w:r>
      <w:r w:rsidR="00A21A20" w:rsidRPr="00123F1B">
        <w:t>) Conclusión</w:t>
      </w:r>
      <w:bookmarkEnd w:id="35"/>
    </w:p>
    <w:bookmarkEnd w:id="36"/>
    <w:p w14:paraId="51A80F2F" w14:textId="64E0C484" w:rsidR="00037594" w:rsidRPr="00123F1B" w:rsidRDefault="00037594" w:rsidP="00395B38">
      <w:pPr>
        <w:rPr>
          <w:rFonts w:cs="Arial"/>
        </w:rPr>
      </w:pPr>
      <w:r w:rsidRPr="00123F1B">
        <w:rPr>
          <w:rFonts w:cs="Arial"/>
        </w:rPr>
        <w:t xml:space="preserve">En mérito de lo anterior, se determinan </w:t>
      </w:r>
      <w:r w:rsidRPr="00123F1B">
        <w:rPr>
          <w:rFonts w:cs="Arial"/>
          <w:b/>
        </w:rPr>
        <w:t>fundadas</w:t>
      </w:r>
      <w:r w:rsidRPr="00123F1B">
        <w:rPr>
          <w:rFonts w:cs="Arial"/>
        </w:rPr>
        <w:t xml:space="preserve"> las razones o motivos de inconformidad hechos valer por </w:t>
      </w:r>
      <w:r w:rsidRPr="00123F1B">
        <w:rPr>
          <w:rFonts w:cs="Arial"/>
          <w:b/>
        </w:rPr>
        <w:t>EL RECURRENTE</w:t>
      </w:r>
      <w:r w:rsidRPr="00123F1B">
        <w:rPr>
          <w:rFonts w:cs="Arial"/>
        </w:rPr>
        <w:t xml:space="preserve">, por lo que el Pleno de este Instituto estima pertinente </w:t>
      </w:r>
      <w:r w:rsidRPr="00123F1B">
        <w:rPr>
          <w:rFonts w:cs="Arial"/>
          <w:b/>
        </w:rPr>
        <w:t>ORDENAR</w:t>
      </w:r>
      <w:r w:rsidRPr="00123F1B">
        <w:rPr>
          <w:rFonts w:cs="Arial"/>
        </w:rPr>
        <w:t xml:space="preserve"> al </w:t>
      </w:r>
      <w:r w:rsidRPr="00123F1B">
        <w:rPr>
          <w:rFonts w:cs="Arial"/>
          <w:b/>
        </w:rPr>
        <w:t>SUJETO OBLIGADO</w:t>
      </w:r>
      <w:r w:rsidR="00D10E9B" w:rsidRPr="00123F1B">
        <w:rPr>
          <w:rFonts w:cs="Arial"/>
        </w:rPr>
        <w:t xml:space="preserve"> otorgue respuesta a la</w:t>
      </w:r>
      <w:r w:rsidRPr="00123F1B">
        <w:rPr>
          <w:rFonts w:cs="Arial"/>
        </w:rPr>
        <w:t xml:space="preserve"> solicitud de acceso a la información, atendiendo lo señalado en el presente Considerando.</w:t>
      </w:r>
    </w:p>
    <w:p w14:paraId="78D8706B" w14:textId="77777777" w:rsidR="00BF2A3F" w:rsidRPr="00123F1B" w:rsidRDefault="00BF2A3F" w:rsidP="00395B38">
      <w:pPr>
        <w:rPr>
          <w:rFonts w:cs="Arial"/>
        </w:rPr>
      </w:pPr>
    </w:p>
    <w:p w14:paraId="5A4CBBA2" w14:textId="79EC08EC" w:rsidR="007000BA" w:rsidRPr="00123F1B" w:rsidRDefault="00260F07" w:rsidP="00395B38">
      <w:pPr>
        <w:ind w:right="-93"/>
        <w:rPr>
          <w:rFonts w:cs="Tahoma"/>
          <w:bCs/>
          <w:szCs w:val="22"/>
        </w:rPr>
      </w:pPr>
      <w:r w:rsidRPr="00123F1B">
        <w:rPr>
          <w:rFonts w:cs="Tahoma"/>
          <w:bCs/>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F68C80" w14:textId="77777777" w:rsidR="00395B38" w:rsidRPr="00123F1B" w:rsidRDefault="00395B38" w:rsidP="00395B38">
      <w:pPr>
        <w:ind w:right="-93"/>
        <w:rPr>
          <w:rFonts w:cs="Tahoma"/>
          <w:bCs/>
          <w:szCs w:val="22"/>
        </w:rPr>
      </w:pPr>
    </w:p>
    <w:p w14:paraId="4C78E84F" w14:textId="77777777" w:rsidR="00395B38" w:rsidRPr="00123F1B" w:rsidRDefault="00395B38" w:rsidP="00395B38">
      <w:pPr>
        <w:ind w:right="-93"/>
        <w:rPr>
          <w:rFonts w:cs="Tahoma"/>
          <w:bCs/>
          <w:szCs w:val="22"/>
        </w:rPr>
      </w:pPr>
    </w:p>
    <w:p w14:paraId="5575086C" w14:textId="77777777" w:rsidR="00395B38" w:rsidRPr="00123F1B" w:rsidRDefault="00395B38" w:rsidP="00395B38">
      <w:pPr>
        <w:ind w:right="-93"/>
        <w:rPr>
          <w:rFonts w:cs="Tahoma"/>
          <w:bCs/>
          <w:szCs w:val="22"/>
        </w:rPr>
      </w:pPr>
    </w:p>
    <w:p w14:paraId="22F5A059" w14:textId="77777777" w:rsidR="00FB46D5" w:rsidRPr="00123F1B" w:rsidRDefault="00FB46D5" w:rsidP="00395B38">
      <w:pPr>
        <w:ind w:right="-93"/>
        <w:rPr>
          <w:rFonts w:cs="Tahoma"/>
          <w:bCs/>
          <w:szCs w:val="22"/>
        </w:rPr>
      </w:pPr>
    </w:p>
    <w:p w14:paraId="5C396097" w14:textId="7CDD1178" w:rsidR="00664420" w:rsidRPr="00123F1B" w:rsidRDefault="00664420" w:rsidP="00395B38">
      <w:pPr>
        <w:pStyle w:val="Ttulo1"/>
      </w:pPr>
      <w:bookmarkStart w:id="37" w:name="_Toc211450115"/>
      <w:r w:rsidRPr="00123F1B">
        <w:lastRenderedPageBreak/>
        <w:t>RESUELVE</w:t>
      </w:r>
      <w:bookmarkEnd w:id="37"/>
    </w:p>
    <w:p w14:paraId="203B7093" w14:textId="77777777" w:rsidR="00664420" w:rsidRPr="00123F1B" w:rsidRDefault="00664420" w:rsidP="00395B38">
      <w:pPr>
        <w:ind w:right="113"/>
        <w:rPr>
          <w:rFonts w:cs="Arial"/>
          <w:b/>
          <w:sz w:val="16"/>
          <w:szCs w:val="22"/>
        </w:rPr>
      </w:pPr>
    </w:p>
    <w:p w14:paraId="4094281E" w14:textId="77777777" w:rsidR="003E6424" w:rsidRPr="00123F1B" w:rsidRDefault="003E6424" w:rsidP="00395B38">
      <w:pPr>
        <w:rPr>
          <w:rFonts w:cs="Arial"/>
        </w:rPr>
      </w:pPr>
      <w:r w:rsidRPr="00123F1B">
        <w:rPr>
          <w:b/>
          <w:bCs/>
        </w:rPr>
        <w:t>PRIMERO.</w:t>
      </w:r>
      <w:r w:rsidRPr="00123F1B">
        <w:t xml:space="preserve"> </w:t>
      </w:r>
      <w:r w:rsidRPr="00123F1B">
        <w:rPr>
          <w:rFonts w:cs="Arial"/>
        </w:rPr>
        <w:t xml:space="preserve">Resultan </w:t>
      </w:r>
      <w:r w:rsidRPr="00123F1B">
        <w:rPr>
          <w:rFonts w:cs="Arial"/>
          <w:b/>
        </w:rPr>
        <w:t>fundadas</w:t>
      </w:r>
      <w:r w:rsidRPr="00123F1B">
        <w:rPr>
          <w:rFonts w:cs="Arial"/>
        </w:rPr>
        <w:t xml:space="preserve"> las </w:t>
      </w:r>
      <w:r w:rsidRPr="00123F1B">
        <w:rPr>
          <w:rFonts w:eastAsia="Calibri" w:cs="Arial"/>
        </w:rPr>
        <w:t>razones</w:t>
      </w:r>
      <w:r w:rsidRPr="00123F1B">
        <w:rPr>
          <w:rFonts w:cs="Arial"/>
        </w:rPr>
        <w:t xml:space="preserve"> o motivos de inconformidad hechas valer por </w:t>
      </w:r>
      <w:r w:rsidRPr="00123F1B">
        <w:rPr>
          <w:rFonts w:eastAsia="Calibri" w:cs="Tahoma"/>
          <w:b/>
          <w:szCs w:val="22"/>
          <w:lang w:eastAsia="en-US"/>
        </w:rPr>
        <w:t>LA PARTE RECURRENTE</w:t>
      </w:r>
      <w:r w:rsidRPr="00123F1B">
        <w:rPr>
          <w:rFonts w:eastAsia="Calibri" w:cs="Tahoma"/>
          <w:bCs/>
          <w:szCs w:val="22"/>
          <w:lang w:eastAsia="en-US"/>
        </w:rPr>
        <w:t>,</w:t>
      </w:r>
      <w:r w:rsidRPr="00123F1B">
        <w:rPr>
          <w:rFonts w:cs="Arial"/>
        </w:rPr>
        <w:t xml:space="preserve"> en términos del Considerando </w:t>
      </w:r>
      <w:r w:rsidRPr="00123F1B">
        <w:rPr>
          <w:rFonts w:cs="Arial"/>
          <w:b/>
        </w:rPr>
        <w:t>SEGUNDO</w:t>
      </w:r>
      <w:r w:rsidRPr="00123F1B">
        <w:rPr>
          <w:rFonts w:cs="Arial"/>
        </w:rPr>
        <w:t xml:space="preserve"> de la presente resolución.</w:t>
      </w:r>
    </w:p>
    <w:p w14:paraId="2CA29C1E" w14:textId="77777777" w:rsidR="00BF2A3F" w:rsidRPr="00123F1B" w:rsidRDefault="00BF2A3F" w:rsidP="00395B38">
      <w:pPr>
        <w:rPr>
          <w:rFonts w:cs="Arial"/>
        </w:rPr>
      </w:pPr>
    </w:p>
    <w:p w14:paraId="67775EB7" w14:textId="13515E91" w:rsidR="00BF2A3F" w:rsidRPr="00123F1B" w:rsidRDefault="00BF2A3F" w:rsidP="00395B38">
      <w:pPr>
        <w:rPr>
          <w:b/>
        </w:rPr>
      </w:pPr>
      <w:r w:rsidRPr="00123F1B">
        <w:rPr>
          <w:b/>
        </w:rPr>
        <w:t>SEGUNDO.</w:t>
      </w:r>
      <w:r w:rsidRPr="00123F1B">
        <w:t xml:space="preserve"> Se</w:t>
      </w:r>
      <w:r w:rsidRPr="00123F1B">
        <w:rPr>
          <w:b/>
        </w:rPr>
        <w:t xml:space="preserve"> ORDENA </w:t>
      </w:r>
      <w:r w:rsidRPr="00123F1B">
        <w:t xml:space="preserve">al </w:t>
      </w:r>
      <w:r w:rsidRPr="00123F1B">
        <w:rPr>
          <w:b/>
        </w:rPr>
        <w:t xml:space="preserve">SUJETO OBLIGADO </w:t>
      </w:r>
      <w:r w:rsidRPr="00123F1B">
        <w:t xml:space="preserve">atienda la Solicitud de Acceso a la Información Pública que dio origen al Recurso Revisión número </w:t>
      </w:r>
      <w:r w:rsidR="00674676" w:rsidRPr="00123F1B">
        <w:rPr>
          <w:b/>
        </w:rPr>
        <w:t>10332</w:t>
      </w:r>
      <w:r w:rsidRPr="00123F1B">
        <w:rPr>
          <w:b/>
        </w:rPr>
        <w:t xml:space="preserve">/INFOEM/IP/RR/2024, </w:t>
      </w:r>
      <w:r w:rsidRPr="00123F1B">
        <w:t xml:space="preserve">en términos del Considerando </w:t>
      </w:r>
      <w:r w:rsidRPr="00123F1B">
        <w:rPr>
          <w:b/>
        </w:rPr>
        <w:t xml:space="preserve">SEGUNDO </w:t>
      </w:r>
      <w:r w:rsidRPr="00123F1B">
        <w:t xml:space="preserve">y, haga entrega al </w:t>
      </w:r>
      <w:r w:rsidRPr="00123F1B">
        <w:rPr>
          <w:b/>
        </w:rPr>
        <w:t>RECURRENTE</w:t>
      </w:r>
      <w:r w:rsidRPr="00123F1B">
        <w:t xml:space="preserve">, vía </w:t>
      </w:r>
      <w:r w:rsidRPr="00123F1B">
        <w:rPr>
          <w:b/>
        </w:rPr>
        <w:t xml:space="preserve">SAIMEX, </w:t>
      </w:r>
      <w:r w:rsidR="00674676" w:rsidRPr="00123F1B">
        <w:t xml:space="preserve">en </w:t>
      </w:r>
      <w:r w:rsidR="00674676" w:rsidRPr="00123F1B">
        <w:rPr>
          <w:b/>
        </w:rPr>
        <w:t xml:space="preserve">correcta versión pública </w:t>
      </w:r>
      <w:r w:rsidRPr="00123F1B">
        <w:t>lo siguiente:</w:t>
      </w:r>
    </w:p>
    <w:p w14:paraId="69798B7D" w14:textId="77777777" w:rsidR="00BF2A3F" w:rsidRPr="00123F1B" w:rsidRDefault="00BF2A3F" w:rsidP="00395B38">
      <w:pPr>
        <w:widowControl w:val="0"/>
        <w:tabs>
          <w:tab w:val="left" w:pos="1701"/>
        </w:tabs>
      </w:pPr>
    </w:p>
    <w:p w14:paraId="70A1DFD0" w14:textId="03219885" w:rsidR="00674676" w:rsidRPr="00123F1B" w:rsidRDefault="00674676" w:rsidP="00395B38">
      <w:pPr>
        <w:pBdr>
          <w:top w:val="nil"/>
          <w:left w:val="nil"/>
          <w:bottom w:val="nil"/>
          <w:right w:val="nil"/>
          <w:between w:val="nil"/>
        </w:pBdr>
        <w:ind w:left="851" w:right="899"/>
        <w:rPr>
          <w:rFonts w:eastAsia="Palatino Linotype" w:cs="Palatino Linotype"/>
          <w:b/>
          <w:i/>
          <w:szCs w:val="22"/>
        </w:rPr>
      </w:pPr>
      <w:r w:rsidRPr="00123F1B">
        <w:rPr>
          <w:rFonts w:eastAsia="Palatino Linotype" w:cs="Palatino Linotype"/>
          <w:b/>
          <w:i/>
          <w:szCs w:val="22"/>
        </w:rPr>
        <w:t xml:space="preserve">Los recibos de nómina correspondientes al año 2023 remitidos en Informe Justificado. </w:t>
      </w:r>
    </w:p>
    <w:p w14:paraId="68BD35C5" w14:textId="77777777" w:rsidR="00BF2A3F" w:rsidRPr="00123F1B" w:rsidRDefault="00BF2A3F" w:rsidP="00395B38">
      <w:pPr>
        <w:pBdr>
          <w:top w:val="nil"/>
          <w:left w:val="nil"/>
          <w:bottom w:val="nil"/>
          <w:right w:val="nil"/>
          <w:between w:val="nil"/>
        </w:pBdr>
        <w:ind w:left="851" w:right="899"/>
        <w:rPr>
          <w:rFonts w:eastAsia="Palatino Linotype" w:cs="Palatino Linotype"/>
          <w:i/>
          <w:szCs w:val="22"/>
        </w:rPr>
      </w:pPr>
    </w:p>
    <w:p w14:paraId="24F91A34" w14:textId="77777777" w:rsidR="00674676" w:rsidRPr="00123F1B" w:rsidRDefault="00674676" w:rsidP="00395B38">
      <w:pPr>
        <w:rPr>
          <w:bCs/>
        </w:rPr>
      </w:pPr>
      <w:r w:rsidRPr="00123F1B">
        <w:rPr>
          <w:rFonts w:eastAsia="Calibri" w:cs="Tahoma"/>
          <w:bCs/>
          <w:szCs w:val="22"/>
          <w:lang w:eastAsia="en-US"/>
        </w:rPr>
        <w:t xml:space="preserve">Para las </w:t>
      </w:r>
      <w:r w:rsidRPr="00123F1B">
        <w:rPr>
          <w:rFonts w:eastAsia="Palatino Linotype" w:cs="Palatino Linotype"/>
          <w:szCs w:val="22"/>
        </w:rPr>
        <w:t>versiones</w:t>
      </w:r>
      <w:r w:rsidRPr="00123F1B">
        <w:rPr>
          <w:rFonts w:eastAsia="Calibri" w:cs="Tahoma"/>
          <w:bCs/>
          <w:szCs w:val="22"/>
          <w:lang w:eastAsia="en-US"/>
        </w:rPr>
        <w:t xml:space="preserve"> públicas</w:t>
      </w:r>
      <w:r w:rsidRPr="00123F1B">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3CEF0D0" w14:textId="77777777" w:rsidR="00674676" w:rsidRPr="00123F1B" w:rsidRDefault="00674676" w:rsidP="00395B38">
      <w:pPr>
        <w:pBdr>
          <w:top w:val="nil"/>
          <w:left w:val="nil"/>
          <w:bottom w:val="nil"/>
          <w:right w:val="nil"/>
          <w:between w:val="nil"/>
        </w:pBdr>
        <w:ind w:left="851" w:right="899"/>
        <w:rPr>
          <w:rFonts w:eastAsia="Palatino Linotype" w:cs="Palatino Linotype"/>
          <w:i/>
          <w:szCs w:val="22"/>
        </w:rPr>
      </w:pPr>
    </w:p>
    <w:p w14:paraId="74704A9C" w14:textId="16979F7F" w:rsidR="003E6424" w:rsidRPr="00123F1B" w:rsidRDefault="003E6424" w:rsidP="00395B38">
      <w:pPr>
        <w:widowControl w:val="0"/>
        <w:tabs>
          <w:tab w:val="left" w:pos="1701"/>
        </w:tabs>
        <w:autoSpaceDE w:val="0"/>
        <w:autoSpaceDN w:val="0"/>
        <w:adjustRightInd w:val="0"/>
        <w:rPr>
          <w:szCs w:val="17"/>
          <w:lang w:eastAsia="es-ES_tradnl"/>
        </w:rPr>
      </w:pPr>
      <w:r w:rsidRPr="00123F1B">
        <w:rPr>
          <w:b/>
          <w:bCs/>
        </w:rPr>
        <w:t>TERCERO.</w:t>
      </w:r>
      <w:r w:rsidRPr="00123F1B">
        <w:t xml:space="preserve"> </w:t>
      </w:r>
      <w:r w:rsidRPr="00123F1B">
        <w:rPr>
          <w:rFonts w:eastAsia="Calibri" w:cs="Arial"/>
          <w:b/>
          <w:bCs/>
        </w:rPr>
        <w:t>N</w:t>
      </w:r>
      <w:r w:rsidRPr="00123F1B">
        <w:rPr>
          <w:b/>
          <w:szCs w:val="17"/>
          <w:lang w:eastAsia="es-ES_tradnl"/>
        </w:rPr>
        <w:t xml:space="preserve">otifíquese </w:t>
      </w:r>
      <w:r w:rsidRPr="00123F1B">
        <w:rPr>
          <w:szCs w:val="17"/>
          <w:lang w:eastAsia="es-ES_tradnl"/>
        </w:rPr>
        <w:t>vía Sistema de Acceso a la Información Mexiquense (</w:t>
      </w:r>
      <w:r w:rsidRPr="00123F1B">
        <w:rPr>
          <w:b/>
          <w:szCs w:val="17"/>
          <w:lang w:eastAsia="es-ES_tradnl"/>
        </w:rPr>
        <w:t>SAIMEX)</w:t>
      </w:r>
      <w:r w:rsidRPr="00123F1B">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23F1B">
        <w:rPr>
          <w:b/>
          <w:bCs/>
          <w:szCs w:val="17"/>
          <w:lang w:eastAsia="es-ES_tradnl"/>
        </w:rPr>
        <w:t>diez días hábiles</w:t>
      </w:r>
      <w:r w:rsidRPr="00123F1B">
        <w:rPr>
          <w:szCs w:val="17"/>
          <w:lang w:eastAsia="es-ES_tradnl"/>
        </w:rPr>
        <w:t xml:space="preserve">, e informe a este Instituto en un plazo de </w:t>
      </w:r>
      <w:r w:rsidRPr="00123F1B">
        <w:rPr>
          <w:b/>
          <w:bCs/>
          <w:szCs w:val="17"/>
          <w:lang w:eastAsia="es-ES_tradnl"/>
        </w:rPr>
        <w:t xml:space="preserve">tres días hábiles </w:t>
      </w:r>
      <w:r w:rsidRPr="00123F1B">
        <w:rPr>
          <w:szCs w:val="17"/>
          <w:lang w:eastAsia="es-ES_tradnl"/>
        </w:rPr>
        <w:t xml:space="preserve">siguientes sobre el cumplimiento dado a la presente y, se le </w:t>
      </w:r>
      <w:r w:rsidRPr="00123F1B">
        <w:rPr>
          <w:b/>
          <w:szCs w:val="17"/>
          <w:lang w:eastAsia="es-ES_tradnl"/>
        </w:rPr>
        <w:t>apercibe</w:t>
      </w:r>
      <w:r w:rsidRPr="00123F1B">
        <w:rPr>
          <w:szCs w:val="17"/>
          <w:lang w:eastAsia="es-ES_tradnl"/>
        </w:rPr>
        <w:t xml:space="preserve"> que en caso de negarse a cumplir la presente resolución o hacerlo de manera parcial, se le impondrá una </w:t>
      </w:r>
      <w:r w:rsidRPr="00123F1B">
        <w:rPr>
          <w:szCs w:val="17"/>
          <w:lang w:eastAsia="es-ES_tradnl"/>
        </w:rPr>
        <w:lastRenderedPageBreak/>
        <w:t>medida de apremio de conformidad con lo previsto en los artículos 198, 200, fracción III; 214, 215 y 216 de la Ley de Transparencia y Acceso a la Información Pública del Estado de México y Municipios.</w:t>
      </w:r>
    </w:p>
    <w:p w14:paraId="3F1CC378" w14:textId="77777777" w:rsidR="00E72BC5" w:rsidRPr="00123F1B" w:rsidRDefault="00E72BC5" w:rsidP="00395B38">
      <w:pPr>
        <w:widowControl w:val="0"/>
        <w:tabs>
          <w:tab w:val="left" w:pos="1701"/>
        </w:tabs>
        <w:autoSpaceDE w:val="0"/>
        <w:autoSpaceDN w:val="0"/>
        <w:adjustRightInd w:val="0"/>
        <w:rPr>
          <w:szCs w:val="17"/>
          <w:lang w:eastAsia="es-ES_tradnl"/>
        </w:rPr>
      </w:pPr>
    </w:p>
    <w:p w14:paraId="62AE685F" w14:textId="77777777" w:rsidR="003E6424" w:rsidRPr="00123F1B" w:rsidRDefault="003E6424" w:rsidP="00395B38">
      <w:pPr>
        <w:rPr>
          <w:rFonts w:cs="Arial"/>
        </w:rPr>
      </w:pPr>
      <w:r w:rsidRPr="00123F1B">
        <w:rPr>
          <w:b/>
          <w:bCs/>
        </w:rPr>
        <w:t>CUARTO</w:t>
      </w:r>
      <w:r w:rsidRPr="00123F1B">
        <w:t xml:space="preserve">. </w:t>
      </w:r>
      <w:r w:rsidRPr="00123F1B">
        <w:rPr>
          <w:b/>
          <w:szCs w:val="17"/>
          <w:lang w:eastAsia="es-ES_tradnl"/>
        </w:rPr>
        <w:t>Notifíquese</w:t>
      </w:r>
      <w:r w:rsidRPr="00123F1B">
        <w:rPr>
          <w:szCs w:val="17"/>
          <w:lang w:eastAsia="es-ES_tradnl"/>
        </w:rPr>
        <w:t xml:space="preserve"> a </w:t>
      </w:r>
      <w:r w:rsidRPr="00123F1B">
        <w:rPr>
          <w:rFonts w:eastAsia="Calibri" w:cs="Tahoma"/>
          <w:b/>
          <w:szCs w:val="22"/>
          <w:lang w:eastAsia="en-US"/>
        </w:rPr>
        <w:t>LA PARTE RECURRENTE</w:t>
      </w:r>
      <w:r w:rsidRPr="00123F1B">
        <w:rPr>
          <w:szCs w:val="17"/>
          <w:lang w:eastAsia="es-ES_tradnl"/>
        </w:rPr>
        <w:t xml:space="preserve"> la </w:t>
      </w:r>
      <w:r w:rsidRPr="00123F1B">
        <w:rPr>
          <w:rFonts w:cs="Arial"/>
        </w:rPr>
        <w:t>presente</w:t>
      </w:r>
      <w:r w:rsidRPr="00123F1B">
        <w:rPr>
          <w:szCs w:val="17"/>
          <w:lang w:eastAsia="es-ES_tradnl"/>
        </w:rPr>
        <w:t xml:space="preserve"> </w:t>
      </w:r>
      <w:r w:rsidRPr="00123F1B">
        <w:rPr>
          <w:shd w:val="clear" w:color="auto" w:fill="FFFFFF"/>
        </w:rPr>
        <w:t xml:space="preserve">resolución </w:t>
      </w:r>
      <w:r w:rsidRPr="00123F1B">
        <w:rPr>
          <w:szCs w:val="17"/>
          <w:lang w:eastAsia="es-ES_tradnl"/>
        </w:rPr>
        <w:t xml:space="preserve">vía </w:t>
      </w:r>
      <w:r w:rsidRPr="00123F1B">
        <w:rPr>
          <w:rFonts w:cs="Arial"/>
        </w:rPr>
        <w:t>Sistema de Acceso a la Información Mexiquense (</w:t>
      </w:r>
      <w:r w:rsidRPr="00123F1B">
        <w:rPr>
          <w:rFonts w:cs="Arial"/>
          <w:b/>
          <w:bCs/>
        </w:rPr>
        <w:t>SAIMEX)</w:t>
      </w:r>
      <w:r w:rsidRPr="00123F1B">
        <w:rPr>
          <w:rFonts w:cs="Arial"/>
        </w:rPr>
        <w:t>.</w:t>
      </w:r>
    </w:p>
    <w:p w14:paraId="57E6DD60" w14:textId="77777777" w:rsidR="003E6424" w:rsidRPr="00123F1B" w:rsidRDefault="003E6424" w:rsidP="00395B38">
      <w:pPr>
        <w:rPr>
          <w:rFonts w:cs="Arial"/>
        </w:rPr>
      </w:pPr>
    </w:p>
    <w:p w14:paraId="4EC7960C" w14:textId="77777777" w:rsidR="003E6424" w:rsidRPr="00123F1B" w:rsidRDefault="003E6424" w:rsidP="00395B38">
      <w:pPr>
        <w:widowControl w:val="0"/>
        <w:tabs>
          <w:tab w:val="left" w:pos="1276"/>
        </w:tabs>
        <w:autoSpaceDE w:val="0"/>
        <w:autoSpaceDN w:val="0"/>
        <w:adjustRightInd w:val="0"/>
        <w:ind w:right="49"/>
        <w:rPr>
          <w:szCs w:val="17"/>
          <w:lang w:eastAsia="es-ES_tradnl"/>
        </w:rPr>
      </w:pPr>
      <w:r w:rsidRPr="00123F1B">
        <w:rPr>
          <w:rFonts w:cs="Arial"/>
          <w:b/>
          <w:bCs/>
          <w:lang w:eastAsia="es-MX"/>
        </w:rPr>
        <w:t>QUINTO.</w:t>
      </w:r>
      <w:r w:rsidRPr="00123F1B">
        <w:rPr>
          <w:sz w:val="18"/>
          <w:szCs w:val="17"/>
          <w:lang w:eastAsia="es-ES_tradnl"/>
        </w:rPr>
        <w:t xml:space="preserve"> </w:t>
      </w:r>
      <w:r w:rsidRPr="00123F1B">
        <w:rPr>
          <w:b/>
          <w:szCs w:val="17"/>
          <w:lang w:eastAsia="es-ES_tradnl"/>
        </w:rPr>
        <w:t>Hágase</w:t>
      </w:r>
      <w:r w:rsidRPr="00123F1B">
        <w:rPr>
          <w:szCs w:val="17"/>
          <w:lang w:eastAsia="es-ES_tradnl"/>
        </w:rPr>
        <w:t xml:space="preserve"> </w:t>
      </w:r>
      <w:r w:rsidRPr="00123F1B">
        <w:rPr>
          <w:b/>
          <w:szCs w:val="17"/>
          <w:lang w:eastAsia="es-ES_tradnl"/>
        </w:rPr>
        <w:t>del conocimiento a</w:t>
      </w:r>
      <w:r w:rsidRPr="00123F1B">
        <w:rPr>
          <w:szCs w:val="17"/>
          <w:lang w:eastAsia="es-ES_tradnl"/>
        </w:rPr>
        <w:t xml:space="preserve"> </w:t>
      </w:r>
      <w:r w:rsidRPr="00123F1B">
        <w:rPr>
          <w:rFonts w:eastAsia="Calibri" w:cs="Tahoma"/>
          <w:b/>
          <w:szCs w:val="22"/>
          <w:lang w:eastAsia="en-US"/>
        </w:rPr>
        <w:t>LA PARTE RECURRENTE,</w:t>
      </w:r>
      <w:r w:rsidRPr="00123F1B">
        <w:rPr>
          <w:szCs w:val="17"/>
          <w:lang w:eastAsia="es-ES_tradnl"/>
        </w:rPr>
        <w:t xml:space="preserve"> que, de conformidad </w:t>
      </w:r>
      <w:r w:rsidRPr="00123F1B">
        <w:rPr>
          <w:rFonts w:cs="Arial"/>
        </w:rPr>
        <w:t>con</w:t>
      </w:r>
      <w:r w:rsidRPr="00123F1B">
        <w:rPr>
          <w:szCs w:val="17"/>
          <w:lang w:eastAsia="es-ES_tradnl"/>
        </w:rPr>
        <w:t xml:space="preserve"> lo </w:t>
      </w:r>
      <w:r w:rsidRPr="00123F1B">
        <w:rPr>
          <w:rFonts w:cs="Arial"/>
        </w:rPr>
        <w:t>establecido</w:t>
      </w:r>
      <w:r w:rsidRPr="00123F1B">
        <w:rPr>
          <w:szCs w:val="17"/>
          <w:lang w:eastAsia="es-ES_tradnl"/>
        </w:rPr>
        <w:t xml:space="preserve"> en el artículo 196 de la Ley de </w:t>
      </w:r>
      <w:r w:rsidRPr="00123F1B">
        <w:rPr>
          <w:rFonts w:cs="Arial"/>
        </w:rPr>
        <w:t>Transparencia</w:t>
      </w:r>
      <w:r w:rsidRPr="00123F1B">
        <w:rPr>
          <w:szCs w:val="17"/>
          <w:lang w:eastAsia="es-ES_tradnl"/>
        </w:rPr>
        <w:t xml:space="preserve"> y </w:t>
      </w:r>
      <w:r w:rsidRPr="00123F1B">
        <w:rPr>
          <w:rFonts w:cs="Arial"/>
        </w:rPr>
        <w:t>Acceso</w:t>
      </w:r>
      <w:r w:rsidRPr="00123F1B">
        <w:rPr>
          <w:szCs w:val="17"/>
          <w:lang w:eastAsia="es-ES_tradnl"/>
        </w:rPr>
        <w:t xml:space="preserve"> a la Información </w:t>
      </w:r>
      <w:r w:rsidRPr="00123F1B">
        <w:rPr>
          <w:lang w:eastAsia="es-ES_tradnl"/>
        </w:rPr>
        <w:t>Pública</w:t>
      </w:r>
      <w:r w:rsidRPr="00123F1B">
        <w:rPr>
          <w:szCs w:val="17"/>
          <w:lang w:eastAsia="es-ES_tradnl"/>
        </w:rPr>
        <w:t xml:space="preserve"> del Estado de México y Municipios, podrá impugnarla vía Juicio de Amparo en los términos de las leyes aplicables.</w:t>
      </w:r>
    </w:p>
    <w:p w14:paraId="587C6D6C" w14:textId="77777777" w:rsidR="00BF2A3F" w:rsidRPr="00123F1B" w:rsidRDefault="00BF2A3F" w:rsidP="00395B38">
      <w:pPr>
        <w:widowControl w:val="0"/>
        <w:tabs>
          <w:tab w:val="left" w:pos="1276"/>
        </w:tabs>
        <w:autoSpaceDE w:val="0"/>
        <w:autoSpaceDN w:val="0"/>
        <w:adjustRightInd w:val="0"/>
        <w:ind w:right="49"/>
        <w:rPr>
          <w:szCs w:val="17"/>
          <w:lang w:eastAsia="es-ES_tradnl"/>
        </w:rPr>
      </w:pPr>
    </w:p>
    <w:p w14:paraId="3CB3D0B9" w14:textId="7C651C20" w:rsidR="003E6424" w:rsidRPr="00123F1B" w:rsidRDefault="003E6424" w:rsidP="00395B38">
      <w:pPr>
        <w:widowControl w:val="0"/>
        <w:tabs>
          <w:tab w:val="left" w:pos="1701"/>
        </w:tabs>
        <w:autoSpaceDE w:val="0"/>
        <w:autoSpaceDN w:val="0"/>
        <w:adjustRightInd w:val="0"/>
        <w:ind w:right="49"/>
        <w:rPr>
          <w:lang w:eastAsia="es-MX"/>
        </w:rPr>
      </w:pPr>
      <w:r w:rsidRPr="00123F1B">
        <w:rPr>
          <w:rFonts w:cs="Arial"/>
          <w:b/>
          <w:bCs/>
          <w:lang w:eastAsia="es-MX"/>
        </w:rPr>
        <w:t>SEXTO.</w:t>
      </w:r>
      <w:r w:rsidRPr="00123F1B">
        <w:rPr>
          <w:sz w:val="18"/>
          <w:szCs w:val="17"/>
          <w:lang w:eastAsia="es-ES_tradnl"/>
        </w:rPr>
        <w:t xml:space="preserve"> </w:t>
      </w:r>
      <w:r w:rsidRPr="00123F1B">
        <w:rPr>
          <w:b/>
          <w:szCs w:val="17"/>
          <w:lang w:eastAsia="es-ES_tradnl"/>
        </w:rPr>
        <w:t xml:space="preserve">Hágase del conocimiento a </w:t>
      </w:r>
      <w:r w:rsidRPr="00123F1B">
        <w:rPr>
          <w:rFonts w:eastAsia="Calibri" w:cs="Tahoma"/>
          <w:b/>
          <w:szCs w:val="22"/>
          <w:lang w:eastAsia="en-US"/>
        </w:rPr>
        <w:t>LA PARTE RECURRENTE</w:t>
      </w:r>
      <w:r w:rsidRPr="00123F1B">
        <w:rPr>
          <w:szCs w:val="17"/>
          <w:lang w:eastAsia="es-ES_tradnl"/>
        </w:rPr>
        <w:t xml:space="preserve">, que la respuesta que dé </w:t>
      </w:r>
      <w:r w:rsidRPr="00123F1B">
        <w:rPr>
          <w:b/>
          <w:szCs w:val="17"/>
          <w:lang w:eastAsia="es-ES_tradnl"/>
        </w:rPr>
        <w:t>EL SUJETO OBLIGADO</w:t>
      </w:r>
      <w:r w:rsidRPr="00123F1B">
        <w:rPr>
          <w:szCs w:val="17"/>
          <w:lang w:eastAsia="es-ES_tradnl"/>
        </w:rPr>
        <w:t xml:space="preserve"> derivada de la presente resolución </w:t>
      </w:r>
      <w:r w:rsidR="00D10E9B" w:rsidRPr="00123F1B">
        <w:rPr>
          <w:szCs w:val="17"/>
          <w:lang w:eastAsia="es-ES_tradnl"/>
        </w:rPr>
        <w:t>el</w:t>
      </w:r>
      <w:r w:rsidRPr="00123F1B">
        <w:rPr>
          <w:szCs w:val="17"/>
          <w:lang w:eastAsia="es-ES_tradnl"/>
        </w:rPr>
        <w:t xml:space="preserve"> susceptible de ser impugnada nuevamente, mediante Recurso de Revisión, ante el Instituto, en términos del artículo 179, último párrafo de la Ley </w:t>
      </w:r>
      <w:r w:rsidRPr="00123F1B">
        <w:rPr>
          <w:lang w:eastAsia="es-MX"/>
        </w:rPr>
        <w:t>de Transparencia y Acceso a la Información Pública del Estado de México y Municipios.</w:t>
      </w:r>
    </w:p>
    <w:p w14:paraId="387EBE52" w14:textId="77777777" w:rsidR="00BF2A3F" w:rsidRPr="00123F1B" w:rsidRDefault="00BF2A3F" w:rsidP="00395B38">
      <w:pPr>
        <w:widowControl w:val="0"/>
        <w:tabs>
          <w:tab w:val="left" w:pos="1701"/>
        </w:tabs>
        <w:autoSpaceDE w:val="0"/>
        <w:autoSpaceDN w:val="0"/>
        <w:adjustRightInd w:val="0"/>
        <w:ind w:right="49"/>
        <w:rPr>
          <w:szCs w:val="24"/>
          <w:lang w:eastAsia="es-MX"/>
        </w:rPr>
      </w:pPr>
    </w:p>
    <w:p w14:paraId="39C2F61C" w14:textId="175C808B" w:rsidR="00BE27D2" w:rsidRPr="00123F1B" w:rsidRDefault="003E6424" w:rsidP="00395B38">
      <w:pPr>
        <w:rPr>
          <w:szCs w:val="17"/>
          <w:lang w:eastAsia="es-ES_tradnl"/>
        </w:rPr>
      </w:pPr>
      <w:r w:rsidRPr="00123F1B">
        <w:rPr>
          <w:rFonts w:cs="Arial"/>
          <w:b/>
          <w:bCs/>
          <w:szCs w:val="22"/>
          <w:lang w:eastAsia="es-MX"/>
        </w:rPr>
        <w:t>SÉPTIMO</w:t>
      </w:r>
      <w:r w:rsidRPr="00123F1B">
        <w:rPr>
          <w:rFonts w:eastAsia="Calibri" w:cs="Arial"/>
          <w:b/>
          <w:bCs/>
          <w:szCs w:val="22"/>
        </w:rPr>
        <w:t>.</w:t>
      </w:r>
      <w:r w:rsidRPr="00123F1B">
        <w:rPr>
          <w:rFonts w:eastAsia="Calibri" w:cs="Arial"/>
          <w:b/>
          <w:bCs/>
        </w:rPr>
        <w:t xml:space="preserve"> </w:t>
      </w:r>
      <w:r w:rsidRPr="00123F1B">
        <w:rPr>
          <w:b/>
          <w:szCs w:val="17"/>
          <w:lang w:eastAsia="es-ES_tradnl"/>
        </w:rPr>
        <w:t>Gírese oficio</w:t>
      </w:r>
      <w:r w:rsidRPr="00123F1B">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23F1B">
        <w:rPr>
          <w:b/>
          <w:szCs w:val="17"/>
          <w:lang w:eastAsia="es-ES_tradnl"/>
        </w:rPr>
        <w:t>SEGUNDO</w:t>
      </w:r>
      <w:r w:rsidRPr="00123F1B">
        <w:rPr>
          <w:bCs/>
          <w:szCs w:val="17"/>
          <w:lang w:eastAsia="es-ES_tradnl"/>
        </w:rPr>
        <w:t xml:space="preserve"> de la presente resolución</w:t>
      </w:r>
      <w:r w:rsidRPr="00123F1B">
        <w:rPr>
          <w:szCs w:val="17"/>
          <w:lang w:eastAsia="es-ES_tradnl"/>
        </w:rPr>
        <w:t>.</w:t>
      </w:r>
    </w:p>
    <w:p w14:paraId="73BB3E42" w14:textId="77777777" w:rsidR="000C43F1" w:rsidRPr="00123F1B" w:rsidRDefault="000C43F1" w:rsidP="00395B38">
      <w:pPr>
        <w:rPr>
          <w:szCs w:val="17"/>
          <w:lang w:eastAsia="es-ES_tradnl"/>
        </w:rPr>
      </w:pPr>
    </w:p>
    <w:p w14:paraId="2C91C937" w14:textId="4141FA8B" w:rsidR="00AC7520" w:rsidRPr="00123F1B" w:rsidRDefault="00AC7520" w:rsidP="00395B38">
      <w:pPr>
        <w:ind w:right="-93"/>
      </w:pPr>
      <w:r w:rsidRPr="00123F1B">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934238" w:rsidRPr="00123F1B">
        <w:t>,</w:t>
      </w:r>
      <w:r w:rsidRPr="00123F1B">
        <w:t xml:space="preserve"> ANTE EL SECRETARIO TÉCNICO DEL PLENO, ALEXIS TAPIA RAMÍREZ.</w:t>
      </w:r>
    </w:p>
    <w:p w14:paraId="4033B731" w14:textId="4AB96AF0" w:rsidR="00AF6A7A" w:rsidRPr="00395B38" w:rsidRDefault="00AF6A7A" w:rsidP="00395B38">
      <w:pPr>
        <w:rPr>
          <w:rFonts w:eastAsiaTheme="minorEastAsia"/>
          <w:sz w:val="20"/>
        </w:rPr>
      </w:pPr>
      <w:r w:rsidRPr="00123F1B">
        <w:rPr>
          <w:rFonts w:eastAsiaTheme="minorEastAsia"/>
          <w:sz w:val="20"/>
        </w:rPr>
        <w:t>SCMM/AGZ/DEMF/</w:t>
      </w:r>
      <w:r w:rsidR="00BF2A3F" w:rsidRPr="00123F1B">
        <w:rPr>
          <w:rFonts w:eastAsiaTheme="minorEastAsia"/>
          <w:sz w:val="20"/>
        </w:rPr>
        <w:t>RPG</w:t>
      </w:r>
      <w:bookmarkStart w:id="38" w:name="_GoBack"/>
      <w:bookmarkEnd w:id="38"/>
    </w:p>
    <w:p w14:paraId="49D72DA3" w14:textId="77777777" w:rsidR="00664420" w:rsidRPr="00395B38" w:rsidRDefault="00664420" w:rsidP="00395B38">
      <w:pPr>
        <w:ind w:right="-93"/>
        <w:rPr>
          <w:rFonts w:eastAsia="Calibri" w:cs="Tahoma"/>
          <w:bCs/>
          <w:szCs w:val="22"/>
          <w:lang w:eastAsia="en-US"/>
        </w:rPr>
      </w:pPr>
    </w:p>
    <w:p w14:paraId="5EFEA0CD" w14:textId="77777777" w:rsidR="00664420" w:rsidRPr="00395B38" w:rsidRDefault="00664420" w:rsidP="00395B38">
      <w:pPr>
        <w:ind w:right="-93"/>
        <w:rPr>
          <w:rFonts w:eastAsia="Calibri" w:cs="Tahoma"/>
          <w:szCs w:val="22"/>
        </w:rPr>
      </w:pPr>
    </w:p>
    <w:p w14:paraId="696BC976" w14:textId="77777777" w:rsidR="00664420" w:rsidRPr="00395B38" w:rsidRDefault="00664420" w:rsidP="00395B38">
      <w:pPr>
        <w:ind w:right="-93"/>
        <w:rPr>
          <w:rFonts w:eastAsia="Calibri" w:cs="Tahoma"/>
          <w:bCs/>
          <w:szCs w:val="22"/>
          <w:lang w:eastAsia="en-US"/>
        </w:rPr>
      </w:pPr>
    </w:p>
    <w:p w14:paraId="671CB0C5" w14:textId="77777777" w:rsidR="00664420" w:rsidRPr="00395B38" w:rsidRDefault="00664420" w:rsidP="00395B38">
      <w:pPr>
        <w:ind w:right="-93"/>
        <w:rPr>
          <w:rFonts w:eastAsia="Calibri" w:cs="Tahoma"/>
          <w:bCs/>
          <w:szCs w:val="22"/>
          <w:lang w:eastAsia="en-US"/>
        </w:rPr>
      </w:pPr>
    </w:p>
    <w:p w14:paraId="52B66DE7" w14:textId="77777777" w:rsidR="00664420" w:rsidRPr="00395B38" w:rsidRDefault="00664420" w:rsidP="00395B38">
      <w:pPr>
        <w:ind w:right="-93"/>
        <w:rPr>
          <w:rFonts w:eastAsia="Calibri" w:cs="Tahoma"/>
          <w:bCs/>
          <w:szCs w:val="22"/>
          <w:lang w:eastAsia="en-US"/>
        </w:rPr>
      </w:pPr>
    </w:p>
    <w:p w14:paraId="3BA305D1" w14:textId="77777777" w:rsidR="00664420" w:rsidRPr="00395B38" w:rsidRDefault="00664420" w:rsidP="00395B38">
      <w:pPr>
        <w:ind w:right="-93"/>
        <w:rPr>
          <w:rFonts w:eastAsia="Calibri" w:cs="Tahoma"/>
          <w:bCs/>
          <w:szCs w:val="22"/>
          <w:lang w:eastAsia="en-US"/>
        </w:rPr>
      </w:pPr>
    </w:p>
    <w:p w14:paraId="78230707" w14:textId="77777777" w:rsidR="00664420" w:rsidRPr="00395B38" w:rsidRDefault="00664420" w:rsidP="00395B38">
      <w:pPr>
        <w:ind w:right="-93"/>
        <w:rPr>
          <w:rFonts w:eastAsia="Calibri" w:cs="Tahoma"/>
          <w:bCs/>
          <w:szCs w:val="22"/>
          <w:lang w:eastAsia="en-US"/>
        </w:rPr>
      </w:pPr>
    </w:p>
    <w:p w14:paraId="72D18B28" w14:textId="77777777" w:rsidR="00664420" w:rsidRPr="00395B38" w:rsidRDefault="00664420" w:rsidP="00395B38">
      <w:pPr>
        <w:ind w:right="-93"/>
        <w:rPr>
          <w:rFonts w:eastAsia="Calibri" w:cs="Tahoma"/>
          <w:bCs/>
          <w:szCs w:val="22"/>
          <w:lang w:eastAsia="en-US"/>
        </w:rPr>
      </w:pPr>
    </w:p>
    <w:p w14:paraId="6BD461DC" w14:textId="77777777" w:rsidR="00664420" w:rsidRPr="00395B38" w:rsidRDefault="00664420" w:rsidP="00395B38">
      <w:pPr>
        <w:tabs>
          <w:tab w:val="center" w:pos="4568"/>
        </w:tabs>
        <w:ind w:right="-93"/>
        <w:rPr>
          <w:rFonts w:eastAsia="Calibri" w:cs="Tahoma"/>
          <w:bCs/>
          <w:szCs w:val="22"/>
          <w:lang w:eastAsia="en-US"/>
        </w:rPr>
      </w:pPr>
    </w:p>
    <w:p w14:paraId="4DBB1727" w14:textId="77777777" w:rsidR="00664420" w:rsidRPr="00395B38" w:rsidRDefault="00664420" w:rsidP="00395B38">
      <w:pPr>
        <w:tabs>
          <w:tab w:val="center" w:pos="4568"/>
        </w:tabs>
        <w:ind w:right="-93"/>
        <w:rPr>
          <w:rFonts w:eastAsia="Calibri" w:cs="Tahoma"/>
          <w:bCs/>
          <w:szCs w:val="22"/>
          <w:lang w:eastAsia="en-US"/>
        </w:rPr>
      </w:pPr>
    </w:p>
    <w:p w14:paraId="1D74121B" w14:textId="77777777" w:rsidR="00664420" w:rsidRPr="00395B38" w:rsidRDefault="00664420" w:rsidP="00395B38">
      <w:pPr>
        <w:tabs>
          <w:tab w:val="center" w:pos="4568"/>
        </w:tabs>
        <w:ind w:right="-93"/>
        <w:rPr>
          <w:rFonts w:eastAsia="Calibri" w:cs="Tahoma"/>
          <w:bCs/>
          <w:szCs w:val="22"/>
          <w:lang w:eastAsia="en-US"/>
        </w:rPr>
      </w:pPr>
    </w:p>
    <w:p w14:paraId="08E74E9C" w14:textId="77777777" w:rsidR="00664420" w:rsidRPr="00395B38" w:rsidRDefault="00664420" w:rsidP="00395B38">
      <w:pPr>
        <w:tabs>
          <w:tab w:val="center" w:pos="4568"/>
        </w:tabs>
        <w:ind w:right="-93"/>
        <w:rPr>
          <w:rFonts w:eastAsia="Calibri" w:cs="Tahoma"/>
          <w:bCs/>
          <w:szCs w:val="22"/>
          <w:lang w:eastAsia="en-US"/>
        </w:rPr>
      </w:pPr>
    </w:p>
    <w:p w14:paraId="2CBF5E03" w14:textId="77777777" w:rsidR="00664420" w:rsidRPr="00395B38" w:rsidRDefault="00664420" w:rsidP="00395B38">
      <w:pPr>
        <w:tabs>
          <w:tab w:val="center" w:pos="4568"/>
        </w:tabs>
        <w:ind w:right="-93"/>
        <w:rPr>
          <w:rFonts w:eastAsia="Calibri" w:cs="Tahoma"/>
          <w:bCs/>
          <w:szCs w:val="22"/>
          <w:lang w:eastAsia="en-US"/>
        </w:rPr>
      </w:pPr>
    </w:p>
    <w:p w14:paraId="44865A6D" w14:textId="77777777" w:rsidR="00664420" w:rsidRPr="00395B38" w:rsidRDefault="00664420" w:rsidP="00395B38">
      <w:pPr>
        <w:tabs>
          <w:tab w:val="center" w:pos="4568"/>
        </w:tabs>
        <w:ind w:right="-93"/>
        <w:rPr>
          <w:rFonts w:eastAsia="Calibri" w:cs="Tahoma"/>
          <w:bCs/>
          <w:szCs w:val="22"/>
          <w:lang w:eastAsia="en-US"/>
        </w:rPr>
      </w:pPr>
    </w:p>
    <w:p w14:paraId="7147F06B" w14:textId="77777777" w:rsidR="00664420" w:rsidRPr="00395B38" w:rsidRDefault="00664420" w:rsidP="00395B38">
      <w:pPr>
        <w:tabs>
          <w:tab w:val="center" w:pos="4568"/>
        </w:tabs>
        <w:ind w:right="-93"/>
        <w:rPr>
          <w:rFonts w:eastAsia="Calibri" w:cs="Tahoma"/>
          <w:bCs/>
          <w:szCs w:val="22"/>
          <w:lang w:eastAsia="en-US"/>
        </w:rPr>
      </w:pPr>
    </w:p>
    <w:p w14:paraId="6FDF3D7E" w14:textId="77777777" w:rsidR="00664420" w:rsidRPr="00395B38" w:rsidRDefault="00664420" w:rsidP="00395B38">
      <w:pPr>
        <w:tabs>
          <w:tab w:val="center" w:pos="4568"/>
        </w:tabs>
        <w:ind w:right="-93"/>
        <w:rPr>
          <w:rFonts w:eastAsia="Calibri" w:cs="Tahoma"/>
          <w:bCs/>
          <w:szCs w:val="22"/>
          <w:lang w:eastAsia="en-US"/>
        </w:rPr>
      </w:pPr>
    </w:p>
    <w:p w14:paraId="6246F818" w14:textId="77777777" w:rsidR="00664420" w:rsidRPr="00395B38" w:rsidRDefault="00664420" w:rsidP="00395B38">
      <w:pPr>
        <w:tabs>
          <w:tab w:val="center" w:pos="4568"/>
        </w:tabs>
        <w:ind w:right="-93"/>
        <w:rPr>
          <w:rFonts w:eastAsia="Calibri" w:cs="Tahoma"/>
          <w:bCs/>
          <w:szCs w:val="22"/>
          <w:lang w:eastAsia="en-US"/>
        </w:rPr>
      </w:pPr>
    </w:p>
    <w:p w14:paraId="57A88B28" w14:textId="77777777" w:rsidR="00664420" w:rsidRPr="00395B38" w:rsidRDefault="00664420" w:rsidP="00395B38">
      <w:pPr>
        <w:tabs>
          <w:tab w:val="center" w:pos="4568"/>
        </w:tabs>
        <w:ind w:right="-93"/>
        <w:rPr>
          <w:rFonts w:eastAsia="Calibri" w:cs="Tahoma"/>
          <w:bCs/>
          <w:szCs w:val="22"/>
          <w:lang w:eastAsia="en-US"/>
        </w:rPr>
      </w:pPr>
    </w:p>
    <w:p w14:paraId="77EF6095" w14:textId="77777777" w:rsidR="00664420" w:rsidRPr="00395B38" w:rsidRDefault="00664420" w:rsidP="00395B38">
      <w:pPr>
        <w:tabs>
          <w:tab w:val="center" w:pos="4568"/>
        </w:tabs>
        <w:ind w:right="-93"/>
        <w:rPr>
          <w:rFonts w:eastAsia="Calibri" w:cs="Tahoma"/>
          <w:bCs/>
          <w:szCs w:val="22"/>
          <w:lang w:eastAsia="en-US"/>
        </w:rPr>
      </w:pPr>
    </w:p>
    <w:p w14:paraId="35593947" w14:textId="77777777" w:rsidR="00664420" w:rsidRPr="00395B38" w:rsidRDefault="00664420" w:rsidP="00395B38">
      <w:pPr>
        <w:tabs>
          <w:tab w:val="center" w:pos="4568"/>
        </w:tabs>
        <w:ind w:right="-93"/>
        <w:rPr>
          <w:rFonts w:eastAsia="Calibri" w:cs="Tahoma"/>
          <w:bCs/>
          <w:szCs w:val="22"/>
          <w:lang w:eastAsia="en-US"/>
        </w:rPr>
      </w:pPr>
    </w:p>
    <w:p w14:paraId="3AF72A17" w14:textId="77777777" w:rsidR="00664420" w:rsidRPr="00395B38" w:rsidRDefault="00664420" w:rsidP="00395B38">
      <w:pPr>
        <w:tabs>
          <w:tab w:val="center" w:pos="4568"/>
        </w:tabs>
        <w:ind w:right="-93"/>
        <w:rPr>
          <w:rFonts w:eastAsia="Calibri" w:cs="Tahoma"/>
          <w:bCs/>
          <w:szCs w:val="22"/>
          <w:lang w:eastAsia="en-US"/>
        </w:rPr>
      </w:pPr>
    </w:p>
    <w:p w14:paraId="37169144" w14:textId="77777777" w:rsidR="00664420" w:rsidRPr="00395B38" w:rsidRDefault="00664420" w:rsidP="00395B38">
      <w:pPr>
        <w:tabs>
          <w:tab w:val="center" w:pos="4568"/>
        </w:tabs>
        <w:ind w:right="-93"/>
        <w:rPr>
          <w:rFonts w:eastAsia="Calibri" w:cs="Tahoma"/>
          <w:bCs/>
          <w:szCs w:val="22"/>
          <w:lang w:eastAsia="en-US"/>
        </w:rPr>
      </w:pPr>
    </w:p>
    <w:p w14:paraId="77CFC088" w14:textId="77777777" w:rsidR="00664420" w:rsidRPr="00395B38" w:rsidRDefault="00664420" w:rsidP="00395B38">
      <w:pPr>
        <w:tabs>
          <w:tab w:val="center" w:pos="4568"/>
        </w:tabs>
        <w:ind w:right="-93"/>
        <w:rPr>
          <w:rFonts w:eastAsia="Calibri" w:cs="Tahoma"/>
          <w:bCs/>
          <w:szCs w:val="22"/>
          <w:lang w:eastAsia="en-US"/>
        </w:rPr>
      </w:pPr>
    </w:p>
    <w:p w14:paraId="781A11A5" w14:textId="77777777" w:rsidR="00664420" w:rsidRPr="00395B38" w:rsidRDefault="00664420" w:rsidP="00395B38">
      <w:pPr>
        <w:tabs>
          <w:tab w:val="center" w:pos="4568"/>
        </w:tabs>
        <w:ind w:right="-93"/>
        <w:rPr>
          <w:rFonts w:eastAsia="Calibri" w:cs="Tahoma"/>
          <w:bCs/>
          <w:szCs w:val="22"/>
          <w:lang w:eastAsia="en-US"/>
        </w:rPr>
      </w:pPr>
    </w:p>
    <w:p w14:paraId="5B4ADFF3" w14:textId="77777777" w:rsidR="00A131AC" w:rsidRPr="00395B38" w:rsidRDefault="00A131AC" w:rsidP="00395B38"/>
    <w:sectPr w:rsidR="00A131AC" w:rsidRPr="00395B38" w:rsidSect="008B09E4">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2AA0F" w14:textId="77777777" w:rsidR="00A234CF" w:rsidRDefault="00A234CF" w:rsidP="00664420">
      <w:pPr>
        <w:spacing w:line="240" w:lineRule="auto"/>
      </w:pPr>
      <w:r>
        <w:separator/>
      </w:r>
    </w:p>
  </w:endnote>
  <w:endnote w:type="continuationSeparator" w:id="0">
    <w:p w14:paraId="431B5013" w14:textId="77777777" w:rsidR="00A234CF" w:rsidRDefault="00A234C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23751" w:rsidRDefault="00A23751">
    <w:pPr>
      <w:tabs>
        <w:tab w:val="center" w:pos="4550"/>
        <w:tab w:val="left" w:pos="5818"/>
      </w:tabs>
      <w:ind w:right="260"/>
      <w:jc w:val="right"/>
      <w:rPr>
        <w:color w:val="071320" w:themeColor="text2" w:themeShade="80"/>
        <w:sz w:val="24"/>
        <w:szCs w:val="24"/>
      </w:rPr>
    </w:pPr>
  </w:p>
  <w:p w14:paraId="1BCA7F23" w14:textId="77777777" w:rsidR="00A23751" w:rsidRDefault="00A237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F875F85" w:rsidR="00A23751" w:rsidRPr="00B6755F" w:rsidRDefault="00A23751">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123F1B" w:rsidRPr="00123F1B">
      <w:rPr>
        <w:noProof/>
        <w:sz w:val="24"/>
        <w:szCs w:val="24"/>
        <w:lang w:val="es-ES"/>
      </w:rPr>
      <w:t>42</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123F1B" w:rsidRPr="00123F1B">
      <w:rPr>
        <w:noProof/>
        <w:sz w:val="24"/>
        <w:szCs w:val="24"/>
        <w:lang w:val="es-ES"/>
      </w:rPr>
      <w:t>46</w:t>
    </w:r>
    <w:r w:rsidRPr="00B6755F">
      <w:rPr>
        <w:sz w:val="24"/>
        <w:szCs w:val="24"/>
      </w:rPr>
      <w:fldChar w:fldCharType="end"/>
    </w:r>
  </w:p>
  <w:p w14:paraId="310E15C0" w14:textId="77777777" w:rsidR="00A23751" w:rsidRPr="00B6755F" w:rsidRDefault="00A237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BF6A6" w14:textId="77777777" w:rsidR="00A234CF" w:rsidRDefault="00A234CF" w:rsidP="00664420">
      <w:pPr>
        <w:spacing w:line="240" w:lineRule="auto"/>
      </w:pPr>
      <w:r>
        <w:separator/>
      </w:r>
    </w:p>
  </w:footnote>
  <w:footnote w:type="continuationSeparator" w:id="0">
    <w:p w14:paraId="15EF4AF9" w14:textId="77777777" w:rsidR="00A234CF" w:rsidRDefault="00A234CF" w:rsidP="00664420">
      <w:pPr>
        <w:spacing w:line="240" w:lineRule="auto"/>
      </w:pPr>
      <w:r>
        <w:continuationSeparator/>
      </w:r>
    </w:p>
  </w:footnote>
  <w:footnote w:id="1">
    <w:p w14:paraId="1022CB61" w14:textId="77777777" w:rsidR="00A23751" w:rsidRDefault="00A23751" w:rsidP="00770B21">
      <w:pPr>
        <w:pStyle w:val="Textonotapie"/>
        <w:rPr>
          <w:i/>
          <w:sz w:val="18"/>
          <w:szCs w:val="18"/>
        </w:rPr>
      </w:pPr>
      <w:r>
        <w:rPr>
          <w:rStyle w:val="Refdenotaalpie"/>
          <w:rFonts w:eastAsiaTheme="majorEastAsia"/>
        </w:rPr>
        <w:footnoteRef/>
      </w:r>
      <w:r>
        <w:t xml:space="preserve"> </w:t>
      </w:r>
      <w:r>
        <w:rPr>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23751" w:rsidRPr="00330DA7" w14:paraId="070A4B18" w14:textId="77777777" w:rsidTr="003F35FD">
      <w:trPr>
        <w:trHeight w:val="144"/>
        <w:jc w:val="right"/>
      </w:trPr>
      <w:tc>
        <w:tcPr>
          <w:tcW w:w="2727" w:type="dxa"/>
        </w:tcPr>
        <w:p w14:paraId="62B7493A" w14:textId="115A944A" w:rsidR="00A23751" w:rsidRPr="00330DA7" w:rsidRDefault="00A23751"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D8BA973" w:rsidR="00A23751" w:rsidRPr="00A90C72" w:rsidRDefault="00A23751" w:rsidP="00A34B2E">
          <w:pPr>
            <w:tabs>
              <w:tab w:val="right" w:pos="8838"/>
            </w:tabs>
            <w:spacing w:line="240" w:lineRule="auto"/>
            <w:ind w:left="-74" w:right="-105"/>
            <w:rPr>
              <w:rFonts w:eastAsia="Calibri" w:cs="Tahoma"/>
              <w:szCs w:val="22"/>
              <w:lang w:eastAsia="en-US"/>
            </w:rPr>
          </w:pPr>
          <w:r>
            <w:rPr>
              <w:rFonts w:eastAsia="Calibri" w:cs="Tahoma"/>
              <w:szCs w:val="22"/>
              <w:lang w:eastAsia="en-US"/>
            </w:rPr>
            <w:t>10332</w:t>
          </w:r>
          <w:r w:rsidRPr="00A017F4">
            <w:rPr>
              <w:rFonts w:eastAsia="Calibri" w:cs="Tahoma"/>
              <w:szCs w:val="22"/>
              <w:lang w:eastAsia="en-US"/>
            </w:rPr>
            <w:t>/INFOEM/IP/RR/2025</w:t>
          </w:r>
        </w:p>
      </w:tc>
    </w:tr>
    <w:tr w:rsidR="00A23751" w:rsidRPr="00330DA7" w14:paraId="4521E058" w14:textId="77777777" w:rsidTr="003F35FD">
      <w:trPr>
        <w:trHeight w:val="283"/>
        <w:jc w:val="right"/>
      </w:trPr>
      <w:tc>
        <w:tcPr>
          <w:tcW w:w="2727" w:type="dxa"/>
        </w:tcPr>
        <w:p w14:paraId="0B68C086" w14:textId="77777777" w:rsidR="00A23751" w:rsidRPr="00330DA7" w:rsidRDefault="00A23751"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2FF0E6D" w:rsidR="00A23751" w:rsidRPr="00952DD0" w:rsidRDefault="00A23751" w:rsidP="00C37EEF">
          <w:pPr>
            <w:tabs>
              <w:tab w:val="left" w:pos="2834"/>
              <w:tab w:val="right" w:pos="8838"/>
            </w:tabs>
            <w:spacing w:line="240" w:lineRule="auto"/>
            <w:ind w:left="-108" w:right="-105"/>
            <w:rPr>
              <w:rFonts w:eastAsia="Calibri" w:cs="Tahoma"/>
              <w:szCs w:val="22"/>
              <w:lang w:eastAsia="en-US"/>
            </w:rPr>
          </w:pPr>
          <w:r w:rsidRPr="00A63326">
            <w:rPr>
              <w:rFonts w:eastAsia="Calibri" w:cs="Tahoma"/>
              <w:szCs w:val="22"/>
              <w:lang w:eastAsia="en-US"/>
            </w:rPr>
            <w:t>Organismo Público Descentralizado para la Prestación de los Servicios de Agua Potable, Alcantarillado y Saneamiento de Teoloyucan</w:t>
          </w:r>
        </w:p>
      </w:tc>
    </w:tr>
    <w:tr w:rsidR="00A23751" w:rsidRPr="00330DA7" w14:paraId="6331D9B6" w14:textId="77777777" w:rsidTr="003F35FD">
      <w:trPr>
        <w:trHeight w:val="283"/>
        <w:jc w:val="right"/>
      </w:trPr>
      <w:tc>
        <w:tcPr>
          <w:tcW w:w="2727" w:type="dxa"/>
        </w:tcPr>
        <w:p w14:paraId="3FA86BAE" w14:textId="6897C6C7" w:rsidR="00A23751" w:rsidRPr="00330DA7" w:rsidRDefault="00A23751" w:rsidP="00C37EEF">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23751" w:rsidRPr="00EA66FC" w:rsidRDefault="00A23751" w:rsidP="00C37EEF">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A23751" w:rsidRPr="00443C6B" w:rsidRDefault="00A2375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37286137" name="Imagen 3728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23751" w:rsidRPr="00330DA7" w14:paraId="29CFF901" w14:textId="77777777" w:rsidTr="0087127C">
      <w:trPr>
        <w:trHeight w:val="1435"/>
      </w:trPr>
      <w:tc>
        <w:tcPr>
          <w:tcW w:w="283" w:type="dxa"/>
        </w:tcPr>
        <w:p w14:paraId="046B9F8F" w14:textId="77777777" w:rsidR="00A23751" w:rsidRPr="00330DA7" w:rsidRDefault="00A23751" w:rsidP="00C37EEF">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23751" w:rsidRPr="004F2416" w14:paraId="04F272D2" w14:textId="77777777" w:rsidTr="0087127C">
            <w:trPr>
              <w:trHeight w:val="144"/>
            </w:trPr>
            <w:tc>
              <w:tcPr>
                <w:tcW w:w="2727" w:type="dxa"/>
              </w:tcPr>
              <w:p w14:paraId="2FD4DBF6" w14:textId="77777777" w:rsidR="00A23751" w:rsidRPr="004F2416" w:rsidRDefault="00A23751" w:rsidP="00C37EEF">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173113AD" w:rsidR="00A23751" w:rsidRPr="004F2416" w:rsidRDefault="00A23751" w:rsidP="00A34B2E">
                <w:pPr>
                  <w:tabs>
                    <w:tab w:val="right" w:pos="8838"/>
                  </w:tabs>
                  <w:spacing w:line="240" w:lineRule="auto"/>
                  <w:ind w:left="-74" w:right="-105"/>
                  <w:rPr>
                    <w:rFonts w:eastAsia="Calibri" w:cs="Tahoma"/>
                    <w:szCs w:val="22"/>
                    <w:lang w:eastAsia="en-US"/>
                  </w:rPr>
                </w:pPr>
                <w:r>
                  <w:rPr>
                    <w:rFonts w:eastAsia="Calibri" w:cs="Tahoma"/>
                    <w:szCs w:val="22"/>
                    <w:lang w:eastAsia="en-US"/>
                  </w:rPr>
                  <w:t>10332</w:t>
                </w:r>
                <w:r w:rsidRPr="00A017F4">
                  <w:rPr>
                    <w:rFonts w:eastAsia="Calibri" w:cs="Tahoma"/>
                    <w:szCs w:val="22"/>
                    <w:lang w:eastAsia="en-US"/>
                  </w:rPr>
                  <w:t>/INFOEM/IP/RR/2025</w:t>
                </w:r>
              </w:p>
            </w:tc>
            <w:tc>
              <w:tcPr>
                <w:tcW w:w="3402" w:type="dxa"/>
              </w:tcPr>
              <w:p w14:paraId="71DEA1CF" w14:textId="77777777" w:rsidR="00A23751" w:rsidRPr="004F2416" w:rsidRDefault="00A23751" w:rsidP="00C37EEF">
                <w:pPr>
                  <w:tabs>
                    <w:tab w:val="right" w:pos="8838"/>
                  </w:tabs>
                  <w:spacing w:line="240" w:lineRule="auto"/>
                  <w:ind w:left="-74" w:right="-105"/>
                  <w:rPr>
                    <w:rFonts w:eastAsia="Calibri" w:cs="Tahoma"/>
                    <w:szCs w:val="22"/>
                    <w:lang w:eastAsia="en-US"/>
                  </w:rPr>
                </w:pPr>
              </w:p>
            </w:tc>
          </w:tr>
          <w:tr w:rsidR="00A23751" w:rsidRPr="004F2416" w14:paraId="05C58951" w14:textId="77777777" w:rsidTr="0087127C">
            <w:trPr>
              <w:trHeight w:val="144"/>
            </w:trPr>
            <w:tc>
              <w:tcPr>
                <w:tcW w:w="2727" w:type="dxa"/>
              </w:tcPr>
              <w:p w14:paraId="642B9610" w14:textId="77777777" w:rsidR="00A23751" w:rsidRPr="004F2416" w:rsidRDefault="00A23751" w:rsidP="00C37EEF">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F943030" w:rsidR="00A23751" w:rsidRPr="004F2416" w:rsidRDefault="00A23751" w:rsidP="00A34B2E">
                <w:pPr>
                  <w:tabs>
                    <w:tab w:val="right" w:pos="8838"/>
                  </w:tabs>
                  <w:spacing w:line="240" w:lineRule="auto"/>
                  <w:ind w:left="-74" w:right="-105"/>
                  <w:rPr>
                    <w:rFonts w:eastAsia="Calibri" w:cs="Tahoma"/>
                    <w:szCs w:val="22"/>
                    <w:lang w:eastAsia="en-US"/>
                  </w:rPr>
                </w:pPr>
              </w:p>
            </w:tc>
            <w:tc>
              <w:tcPr>
                <w:tcW w:w="3402" w:type="dxa"/>
              </w:tcPr>
              <w:p w14:paraId="73F47F53" w14:textId="77777777" w:rsidR="00A23751" w:rsidRPr="004F2416" w:rsidRDefault="00A23751" w:rsidP="00C37EEF">
                <w:pPr>
                  <w:tabs>
                    <w:tab w:val="left" w:pos="3122"/>
                    <w:tab w:val="right" w:pos="8838"/>
                  </w:tabs>
                  <w:spacing w:line="240" w:lineRule="auto"/>
                  <w:ind w:left="-105" w:right="-105"/>
                  <w:rPr>
                    <w:rFonts w:eastAsia="Calibri" w:cs="Tahoma"/>
                    <w:szCs w:val="22"/>
                    <w:lang w:eastAsia="en-US"/>
                  </w:rPr>
                </w:pPr>
              </w:p>
            </w:tc>
          </w:tr>
          <w:bookmarkEnd w:id="1"/>
          <w:tr w:rsidR="00A23751" w:rsidRPr="004F2416" w14:paraId="00E6CDC1" w14:textId="77777777" w:rsidTr="0087127C">
            <w:trPr>
              <w:trHeight w:val="283"/>
            </w:trPr>
            <w:tc>
              <w:tcPr>
                <w:tcW w:w="2727" w:type="dxa"/>
              </w:tcPr>
              <w:p w14:paraId="0631AD24" w14:textId="77777777" w:rsidR="00A23751" w:rsidRPr="004F2416" w:rsidRDefault="00A23751"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25C8B722" w:rsidR="00A23751" w:rsidRPr="004F2416" w:rsidRDefault="00A23751" w:rsidP="00A34B2E">
                <w:pPr>
                  <w:tabs>
                    <w:tab w:val="right" w:pos="8838"/>
                  </w:tabs>
                  <w:spacing w:line="240" w:lineRule="auto"/>
                  <w:ind w:left="-74" w:right="-105"/>
                  <w:rPr>
                    <w:rFonts w:eastAsia="Calibri" w:cs="Tahoma"/>
                    <w:szCs w:val="22"/>
                    <w:lang w:eastAsia="en-US"/>
                  </w:rPr>
                </w:pPr>
                <w:r w:rsidRPr="00A63326">
                  <w:rPr>
                    <w:rFonts w:eastAsia="Calibri" w:cs="Tahoma"/>
                    <w:szCs w:val="22"/>
                    <w:lang w:eastAsia="en-US"/>
                  </w:rPr>
                  <w:t>Organismo Público Descentralizado para la Prestación de los Servicios de Agua Potable, Alcantarillado y Saneamiento de Teoloyucan</w:t>
                </w:r>
              </w:p>
            </w:tc>
            <w:tc>
              <w:tcPr>
                <w:tcW w:w="3402" w:type="dxa"/>
              </w:tcPr>
              <w:p w14:paraId="3A7DA319" w14:textId="77777777" w:rsidR="00A23751" w:rsidRPr="004F2416" w:rsidRDefault="00A23751" w:rsidP="00C37EEF">
                <w:pPr>
                  <w:tabs>
                    <w:tab w:val="left" w:pos="2834"/>
                    <w:tab w:val="right" w:pos="8838"/>
                  </w:tabs>
                  <w:spacing w:line="240" w:lineRule="auto"/>
                  <w:ind w:left="-108" w:right="-105"/>
                  <w:rPr>
                    <w:rFonts w:eastAsia="Calibri" w:cs="Tahoma"/>
                    <w:szCs w:val="22"/>
                    <w:lang w:eastAsia="en-US"/>
                  </w:rPr>
                </w:pPr>
              </w:p>
            </w:tc>
          </w:tr>
          <w:tr w:rsidR="00A23751" w:rsidRPr="00330DA7" w14:paraId="0F6CD8D2" w14:textId="77777777" w:rsidTr="0087127C">
            <w:trPr>
              <w:trHeight w:val="283"/>
            </w:trPr>
            <w:tc>
              <w:tcPr>
                <w:tcW w:w="2727" w:type="dxa"/>
              </w:tcPr>
              <w:p w14:paraId="31700628" w14:textId="281F62DD" w:rsidR="00A23751" w:rsidRPr="004F2416" w:rsidRDefault="00A23751" w:rsidP="00C37EEF">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A23751" w:rsidRPr="00EA66FC" w:rsidRDefault="00A23751" w:rsidP="00C37EEF">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A23751" w:rsidRPr="00330DA7" w:rsidRDefault="00A23751" w:rsidP="00C37EEF">
                <w:pPr>
                  <w:tabs>
                    <w:tab w:val="right" w:pos="8838"/>
                  </w:tabs>
                  <w:spacing w:line="240" w:lineRule="auto"/>
                  <w:ind w:left="-108" w:right="-105"/>
                  <w:rPr>
                    <w:rFonts w:eastAsia="Calibri" w:cs="Tahoma"/>
                    <w:szCs w:val="22"/>
                    <w:lang w:eastAsia="en-US"/>
                  </w:rPr>
                </w:pPr>
              </w:p>
            </w:tc>
          </w:tr>
        </w:tbl>
        <w:p w14:paraId="5DC6AC61" w14:textId="77777777" w:rsidR="00A23751" w:rsidRPr="00330DA7" w:rsidRDefault="00A23751" w:rsidP="00C37EEF">
          <w:pPr>
            <w:tabs>
              <w:tab w:val="right" w:pos="8838"/>
            </w:tabs>
            <w:spacing w:line="240" w:lineRule="auto"/>
            <w:ind w:left="-28"/>
            <w:rPr>
              <w:rFonts w:ascii="Arial" w:eastAsia="Calibri" w:hAnsi="Arial" w:cs="Arial"/>
              <w:b/>
              <w:szCs w:val="22"/>
              <w:lang w:eastAsia="en-US"/>
            </w:rPr>
          </w:pPr>
        </w:p>
      </w:tc>
    </w:tr>
  </w:tbl>
  <w:p w14:paraId="2A906731" w14:textId="77777777" w:rsidR="00A23751" w:rsidRPr="00765661" w:rsidRDefault="00A234CF"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2.15pt;margin-top:-145.6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60CC2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7910C6"/>
    <w:multiLevelType w:val="hybridMultilevel"/>
    <w:tmpl w:val="6078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AC3B65"/>
    <w:multiLevelType w:val="hybridMultilevel"/>
    <w:tmpl w:val="C0FE6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D22B6E"/>
    <w:multiLevelType w:val="hybridMultilevel"/>
    <w:tmpl w:val="E948F9DE"/>
    <w:lvl w:ilvl="0" w:tplc="2A185A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DC2A56"/>
    <w:multiLevelType w:val="hybridMultilevel"/>
    <w:tmpl w:val="CBCE4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5C42D4"/>
    <w:multiLevelType w:val="hybridMultilevel"/>
    <w:tmpl w:val="0E206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8"/>
  </w:num>
  <w:num w:numId="5">
    <w:abstractNumId w:val="4"/>
  </w:num>
  <w:num w:numId="6">
    <w:abstractNumId w:val="22"/>
  </w:num>
  <w:num w:numId="7">
    <w:abstractNumId w:val="16"/>
  </w:num>
  <w:num w:numId="8">
    <w:abstractNumId w:val="6"/>
  </w:num>
  <w:num w:numId="9">
    <w:abstractNumId w:val="1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3"/>
  </w:num>
  <w:num w:numId="14">
    <w:abstractNumId w:val="5"/>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9"/>
  </w:num>
  <w:num w:numId="20">
    <w:abstractNumId w:val="20"/>
  </w:num>
  <w:num w:numId="21">
    <w:abstractNumId w:val="1"/>
  </w:num>
  <w:num w:numId="22">
    <w:abstractNumId w:val="0"/>
  </w:num>
  <w:num w:numId="23">
    <w:abstractNumId w:val="23"/>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25E81"/>
    <w:rsid w:val="000318BC"/>
    <w:rsid w:val="00031B49"/>
    <w:rsid w:val="00037594"/>
    <w:rsid w:val="00055FB6"/>
    <w:rsid w:val="00057B2D"/>
    <w:rsid w:val="000609A8"/>
    <w:rsid w:val="00063C82"/>
    <w:rsid w:val="00066468"/>
    <w:rsid w:val="00075E34"/>
    <w:rsid w:val="00094B79"/>
    <w:rsid w:val="000A1604"/>
    <w:rsid w:val="000A4B30"/>
    <w:rsid w:val="000B2437"/>
    <w:rsid w:val="000C43F1"/>
    <w:rsid w:val="000D0D67"/>
    <w:rsid w:val="000E052E"/>
    <w:rsid w:val="000E09C4"/>
    <w:rsid w:val="0011350D"/>
    <w:rsid w:val="00123F1B"/>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60F07"/>
    <w:rsid w:val="00263B6D"/>
    <w:rsid w:val="002A3601"/>
    <w:rsid w:val="002A6D1F"/>
    <w:rsid w:val="002B7C6F"/>
    <w:rsid w:val="002C2588"/>
    <w:rsid w:val="002C4294"/>
    <w:rsid w:val="002C5B41"/>
    <w:rsid w:val="002E3B33"/>
    <w:rsid w:val="002E65A3"/>
    <w:rsid w:val="00302476"/>
    <w:rsid w:val="003241BF"/>
    <w:rsid w:val="00331F35"/>
    <w:rsid w:val="0034218F"/>
    <w:rsid w:val="0034474D"/>
    <w:rsid w:val="0034546D"/>
    <w:rsid w:val="00362A11"/>
    <w:rsid w:val="00372715"/>
    <w:rsid w:val="00380417"/>
    <w:rsid w:val="003855B3"/>
    <w:rsid w:val="00395B38"/>
    <w:rsid w:val="003A40C1"/>
    <w:rsid w:val="003B7292"/>
    <w:rsid w:val="003C0441"/>
    <w:rsid w:val="003E6424"/>
    <w:rsid w:val="003F35FD"/>
    <w:rsid w:val="003F4BB8"/>
    <w:rsid w:val="00403661"/>
    <w:rsid w:val="0040558E"/>
    <w:rsid w:val="00407D59"/>
    <w:rsid w:val="0041385B"/>
    <w:rsid w:val="00441BFA"/>
    <w:rsid w:val="00454FBD"/>
    <w:rsid w:val="004739D3"/>
    <w:rsid w:val="00487CA9"/>
    <w:rsid w:val="00494D27"/>
    <w:rsid w:val="004A76D5"/>
    <w:rsid w:val="004B27FD"/>
    <w:rsid w:val="004B5CBF"/>
    <w:rsid w:val="004D7CD8"/>
    <w:rsid w:val="004E5068"/>
    <w:rsid w:val="004F09AF"/>
    <w:rsid w:val="004F2416"/>
    <w:rsid w:val="004F7A00"/>
    <w:rsid w:val="00502486"/>
    <w:rsid w:val="0050447B"/>
    <w:rsid w:val="005143F3"/>
    <w:rsid w:val="00534807"/>
    <w:rsid w:val="005365FA"/>
    <w:rsid w:val="0055027F"/>
    <w:rsid w:val="0055241E"/>
    <w:rsid w:val="0055289D"/>
    <w:rsid w:val="005652B9"/>
    <w:rsid w:val="00565DB0"/>
    <w:rsid w:val="005723CB"/>
    <w:rsid w:val="00575400"/>
    <w:rsid w:val="00580AA3"/>
    <w:rsid w:val="005907D6"/>
    <w:rsid w:val="0059319E"/>
    <w:rsid w:val="005941FB"/>
    <w:rsid w:val="005A0A5F"/>
    <w:rsid w:val="005A4AD5"/>
    <w:rsid w:val="005B18AF"/>
    <w:rsid w:val="005C3C07"/>
    <w:rsid w:val="005D5A50"/>
    <w:rsid w:val="005F0A97"/>
    <w:rsid w:val="005F5301"/>
    <w:rsid w:val="005F65B7"/>
    <w:rsid w:val="0060582B"/>
    <w:rsid w:val="006067C7"/>
    <w:rsid w:val="00615506"/>
    <w:rsid w:val="006159AD"/>
    <w:rsid w:val="006309FC"/>
    <w:rsid w:val="00646436"/>
    <w:rsid w:val="006477B0"/>
    <w:rsid w:val="00650C8A"/>
    <w:rsid w:val="00653544"/>
    <w:rsid w:val="00657C05"/>
    <w:rsid w:val="00664420"/>
    <w:rsid w:val="00674676"/>
    <w:rsid w:val="00684497"/>
    <w:rsid w:val="00685AD3"/>
    <w:rsid w:val="00687396"/>
    <w:rsid w:val="006946E4"/>
    <w:rsid w:val="006B10B0"/>
    <w:rsid w:val="006B4222"/>
    <w:rsid w:val="006C674E"/>
    <w:rsid w:val="006C6DBB"/>
    <w:rsid w:val="006D1510"/>
    <w:rsid w:val="006E25BC"/>
    <w:rsid w:val="006E3A0A"/>
    <w:rsid w:val="006E6BBC"/>
    <w:rsid w:val="006F7768"/>
    <w:rsid w:val="007000BA"/>
    <w:rsid w:val="00703683"/>
    <w:rsid w:val="00717E59"/>
    <w:rsid w:val="00721BEC"/>
    <w:rsid w:val="0072596F"/>
    <w:rsid w:val="00736C57"/>
    <w:rsid w:val="00757B03"/>
    <w:rsid w:val="00770B21"/>
    <w:rsid w:val="00775BFC"/>
    <w:rsid w:val="00780258"/>
    <w:rsid w:val="007B6074"/>
    <w:rsid w:val="007B67CC"/>
    <w:rsid w:val="007C5C93"/>
    <w:rsid w:val="007C6EB2"/>
    <w:rsid w:val="007D1C55"/>
    <w:rsid w:val="007D317F"/>
    <w:rsid w:val="007F5D06"/>
    <w:rsid w:val="0081471E"/>
    <w:rsid w:val="00826CB5"/>
    <w:rsid w:val="0084341B"/>
    <w:rsid w:val="00857064"/>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B66D0"/>
    <w:rsid w:val="008C31AC"/>
    <w:rsid w:val="008C48EE"/>
    <w:rsid w:val="00900C44"/>
    <w:rsid w:val="00910FD2"/>
    <w:rsid w:val="00914291"/>
    <w:rsid w:val="009232CD"/>
    <w:rsid w:val="00924E80"/>
    <w:rsid w:val="00931437"/>
    <w:rsid w:val="00934238"/>
    <w:rsid w:val="009372CC"/>
    <w:rsid w:val="00952D40"/>
    <w:rsid w:val="00953430"/>
    <w:rsid w:val="009578F9"/>
    <w:rsid w:val="00970EB3"/>
    <w:rsid w:val="00974932"/>
    <w:rsid w:val="009824E4"/>
    <w:rsid w:val="009950D7"/>
    <w:rsid w:val="009A2D78"/>
    <w:rsid w:val="009A7C10"/>
    <w:rsid w:val="009B2945"/>
    <w:rsid w:val="009D0146"/>
    <w:rsid w:val="009D2BD7"/>
    <w:rsid w:val="009D5021"/>
    <w:rsid w:val="009D75C9"/>
    <w:rsid w:val="009E17B9"/>
    <w:rsid w:val="009E4017"/>
    <w:rsid w:val="009F38D9"/>
    <w:rsid w:val="009F797C"/>
    <w:rsid w:val="00A017F4"/>
    <w:rsid w:val="00A131AC"/>
    <w:rsid w:val="00A16D85"/>
    <w:rsid w:val="00A17059"/>
    <w:rsid w:val="00A203C6"/>
    <w:rsid w:val="00A21A20"/>
    <w:rsid w:val="00A234CF"/>
    <w:rsid w:val="00A23751"/>
    <w:rsid w:val="00A24F7F"/>
    <w:rsid w:val="00A304F5"/>
    <w:rsid w:val="00A3293F"/>
    <w:rsid w:val="00A34B2E"/>
    <w:rsid w:val="00A36386"/>
    <w:rsid w:val="00A53315"/>
    <w:rsid w:val="00A63326"/>
    <w:rsid w:val="00A65695"/>
    <w:rsid w:val="00A713F6"/>
    <w:rsid w:val="00A72820"/>
    <w:rsid w:val="00A8583B"/>
    <w:rsid w:val="00A85F82"/>
    <w:rsid w:val="00A8772E"/>
    <w:rsid w:val="00A90525"/>
    <w:rsid w:val="00A9208D"/>
    <w:rsid w:val="00AA26B0"/>
    <w:rsid w:val="00AA6EA9"/>
    <w:rsid w:val="00AA7147"/>
    <w:rsid w:val="00AB20B3"/>
    <w:rsid w:val="00AC2B99"/>
    <w:rsid w:val="00AC2DB8"/>
    <w:rsid w:val="00AC3CA0"/>
    <w:rsid w:val="00AC7520"/>
    <w:rsid w:val="00AE3DA7"/>
    <w:rsid w:val="00AE5C5C"/>
    <w:rsid w:val="00AF03C4"/>
    <w:rsid w:val="00AF3056"/>
    <w:rsid w:val="00AF6A7A"/>
    <w:rsid w:val="00B16BA7"/>
    <w:rsid w:val="00B22A80"/>
    <w:rsid w:val="00B4748E"/>
    <w:rsid w:val="00B50440"/>
    <w:rsid w:val="00B62B67"/>
    <w:rsid w:val="00B6755F"/>
    <w:rsid w:val="00BA55A8"/>
    <w:rsid w:val="00BB2ABF"/>
    <w:rsid w:val="00BB64F4"/>
    <w:rsid w:val="00BC63D9"/>
    <w:rsid w:val="00BD3F4F"/>
    <w:rsid w:val="00BE27D2"/>
    <w:rsid w:val="00BF0221"/>
    <w:rsid w:val="00BF091A"/>
    <w:rsid w:val="00BF2A3F"/>
    <w:rsid w:val="00BF36B7"/>
    <w:rsid w:val="00C049E2"/>
    <w:rsid w:val="00C175A7"/>
    <w:rsid w:val="00C36795"/>
    <w:rsid w:val="00C37EEF"/>
    <w:rsid w:val="00C400BC"/>
    <w:rsid w:val="00C461EC"/>
    <w:rsid w:val="00C507D4"/>
    <w:rsid w:val="00C576E3"/>
    <w:rsid w:val="00C71CEF"/>
    <w:rsid w:val="00C72715"/>
    <w:rsid w:val="00C72DAA"/>
    <w:rsid w:val="00C74127"/>
    <w:rsid w:val="00C84B9F"/>
    <w:rsid w:val="00CA6CFD"/>
    <w:rsid w:val="00CA6E9E"/>
    <w:rsid w:val="00CB06BD"/>
    <w:rsid w:val="00CD0B92"/>
    <w:rsid w:val="00CD3DF5"/>
    <w:rsid w:val="00CE29D3"/>
    <w:rsid w:val="00CF2D8B"/>
    <w:rsid w:val="00CF7586"/>
    <w:rsid w:val="00D036D3"/>
    <w:rsid w:val="00D10E9B"/>
    <w:rsid w:val="00D21B92"/>
    <w:rsid w:val="00D240D6"/>
    <w:rsid w:val="00D2790D"/>
    <w:rsid w:val="00D34F6F"/>
    <w:rsid w:val="00D41B3C"/>
    <w:rsid w:val="00D51ECD"/>
    <w:rsid w:val="00D6170E"/>
    <w:rsid w:val="00D61EA4"/>
    <w:rsid w:val="00D671B1"/>
    <w:rsid w:val="00D84118"/>
    <w:rsid w:val="00D91CB4"/>
    <w:rsid w:val="00DA4E2F"/>
    <w:rsid w:val="00DB20D7"/>
    <w:rsid w:val="00DC32A1"/>
    <w:rsid w:val="00DD37B0"/>
    <w:rsid w:val="00DD5F50"/>
    <w:rsid w:val="00DD6EF3"/>
    <w:rsid w:val="00DE1133"/>
    <w:rsid w:val="00DE1AC5"/>
    <w:rsid w:val="00DE5866"/>
    <w:rsid w:val="00DF03AD"/>
    <w:rsid w:val="00E00C23"/>
    <w:rsid w:val="00E06F53"/>
    <w:rsid w:val="00E07DEA"/>
    <w:rsid w:val="00E11530"/>
    <w:rsid w:val="00E16BF5"/>
    <w:rsid w:val="00E213F8"/>
    <w:rsid w:val="00E234FB"/>
    <w:rsid w:val="00E25DD8"/>
    <w:rsid w:val="00E260B1"/>
    <w:rsid w:val="00E30308"/>
    <w:rsid w:val="00E339F5"/>
    <w:rsid w:val="00E37A3F"/>
    <w:rsid w:val="00E57C8A"/>
    <w:rsid w:val="00E62E6A"/>
    <w:rsid w:val="00E72BC5"/>
    <w:rsid w:val="00E76281"/>
    <w:rsid w:val="00E81F14"/>
    <w:rsid w:val="00E8255F"/>
    <w:rsid w:val="00E834F8"/>
    <w:rsid w:val="00E83EF5"/>
    <w:rsid w:val="00E86F78"/>
    <w:rsid w:val="00E9335C"/>
    <w:rsid w:val="00E937AE"/>
    <w:rsid w:val="00E96806"/>
    <w:rsid w:val="00EA0D03"/>
    <w:rsid w:val="00EA16DC"/>
    <w:rsid w:val="00EA17F3"/>
    <w:rsid w:val="00EA1B35"/>
    <w:rsid w:val="00EB07D9"/>
    <w:rsid w:val="00EB1C3E"/>
    <w:rsid w:val="00EC083F"/>
    <w:rsid w:val="00ED1C1E"/>
    <w:rsid w:val="00EF09A2"/>
    <w:rsid w:val="00F07EE6"/>
    <w:rsid w:val="00F1385D"/>
    <w:rsid w:val="00F17375"/>
    <w:rsid w:val="00F33CC8"/>
    <w:rsid w:val="00F42A9C"/>
    <w:rsid w:val="00F43A32"/>
    <w:rsid w:val="00F65DE0"/>
    <w:rsid w:val="00F75D23"/>
    <w:rsid w:val="00F9684F"/>
    <w:rsid w:val="00FA5957"/>
    <w:rsid w:val="00FB3134"/>
    <w:rsid w:val="00FB46D5"/>
    <w:rsid w:val="00FB5256"/>
    <w:rsid w:val="00FC3CE0"/>
    <w:rsid w:val="00FC7AEF"/>
    <w:rsid w:val="00FD06A8"/>
    <w:rsid w:val="00FE078E"/>
    <w:rsid w:val="00FE4DD9"/>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character" w:customStyle="1" w:styleId="selectable-text">
    <w:name w:val="selectable-text"/>
    <w:basedOn w:val="Fuentedeprrafopredeter"/>
    <w:rsid w:val="003F4BB8"/>
  </w:style>
  <w:style w:type="character" w:customStyle="1" w:styleId="Mencinsinresolver1">
    <w:name w:val="Mención sin resolver1"/>
    <w:basedOn w:val="Fuentedeprrafopredeter"/>
    <w:uiPriority w:val="99"/>
    <w:semiHidden/>
    <w:unhideWhenUsed/>
    <w:rsid w:val="00AF3056"/>
    <w:rPr>
      <w:color w:val="605E5C"/>
      <w:shd w:val="clear" w:color="auto" w:fill="E1DFDD"/>
    </w:rPr>
  </w:style>
  <w:style w:type="paragraph" w:styleId="Lista2">
    <w:name w:val="List 2"/>
    <w:basedOn w:val="Normal"/>
    <w:uiPriority w:val="99"/>
    <w:unhideWhenUsed/>
    <w:rsid w:val="00AF3056"/>
    <w:pPr>
      <w:ind w:left="566" w:hanging="283"/>
      <w:contextualSpacing/>
    </w:pPr>
  </w:style>
  <w:style w:type="paragraph" w:styleId="Listaconvietas2">
    <w:name w:val="List Bullet 2"/>
    <w:basedOn w:val="Normal"/>
    <w:uiPriority w:val="99"/>
    <w:unhideWhenUsed/>
    <w:rsid w:val="00AF3056"/>
    <w:pPr>
      <w:numPr>
        <w:numId w:val="22"/>
      </w:numPr>
      <w:contextualSpacing/>
    </w:pPr>
  </w:style>
  <w:style w:type="paragraph" w:styleId="Continuarlista">
    <w:name w:val="List Continue"/>
    <w:basedOn w:val="Normal"/>
    <w:uiPriority w:val="99"/>
    <w:unhideWhenUsed/>
    <w:rsid w:val="00AF3056"/>
    <w:pPr>
      <w:spacing w:after="120"/>
      <w:ind w:left="283"/>
      <w:contextualSpacing/>
    </w:pPr>
  </w:style>
  <w:style w:type="paragraph" w:styleId="Continuarlista2">
    <w:name w:val="List Continue 2"/>
    <w:basedOn w:val="Normal"/>
    <w:uiPriority w:val="99"/>
    <w:unhideWhenUsed/>
    <w:rsid w:val="00AF3056"/>
    <w:pPr>
      <w:spacing w:after="120"/>
      <w:ind w:left="566"/>
      <w:contextualSpacing/>
    </w:pPr>
  </w:style>
  <w:style w:type="paragraph" w:styleId="Textoindependiente">
    <w:name w:val="Body Text"/>
    <w:basedOn w:val="Normal"/>
    <w:link w:val="TextoindependienteCar"/>
    <w:uiPriority w:val="99"/>
    <w:unhideWhenUsed/>
    <w:rsid w:val="00AF3056"/>
    <w:pPr>
      <w:spacing w:after="120"/>
    </w:pPr>
  </w:style>
  <w:style w:type="character" w:customStyle="1" w:styleId="TextoindependienteCar">
    <w:name w:val="Texto independiente Car"/>
    <w:basedOn w:val="Fuentedeprrafopredeter"/>
    <w:link w:val="Textoindependiente"/>
    <w:uiPriority w:val="99"/>
    <w:rsid w:val="00AF3056"/>
    <w:rPr>
      <w:rFonts w:ascii="Palatino Linotype" w:eastAsia="Times New Roman" w:hAnsi="Palatino Linotype" w:cs="Times New Roman"/>
      <w:kern w:val="0"/>
      <w:szCs w:val="20"/>
      <w:lang w:eastAsia="es-ES"/>
      <w14:ligatures w14:val="none"/>
    </w:rPr>
  </w:style>
  <w:style w:type="paragraph" w:styleId="Sangradetextonormal">
    <w:name w:val="Body Text Indent"/>
    <w:basedOn w:val="Normal"/>
    <w:link w:val="SangradetextonormalCar"/>
    <w:uiPriority w:val="99"/>
    <w:unhideWhenUsed/>
    <w:rsid w:val="00AF3056"/>
    <w:pPr>
      <w:spacing w:after="120"/>
      <w:ind w:left="283"/>
    </w:pPr>
  </w:style>
  <w:style w:type="character" w:customStyle="1" w:styleId="SangradetextonormalCar">
    <w:name w:val="Sangría de texto normal Car"/>
    <w:basedOn w:val="Fuentedeprrafopredeter"/>
    <w:link w:val="Sangradetextonormal"/>
    <w:uiPriority w:val="99"/>
    <w:rsid w:val="00AF3056"/>
    <w:rPr>
      <w:rFonts w:ascii="Palatino Linotype" w:eastAsia="Times New Roman" w:hAnsi="Palatino Linotype" w:cs="Times New Roman"/>
      <w:kern w:val="0"/>
      <w:szCs w:val="2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AF305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F3056"/>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30408015">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74209278">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of.gob.mx/nota_detalle.php?codigo=5492254&amp;fecha=28/07/201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C3338C5E-5E78-4C21-B862-F1A9AAA4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11405</Words>
  <Characters>62728</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2025-10-17T02:46:00Z</cp:lastPrinted>
  <dcterms:created xsi:type="dcterms:W3CDTF">2025-10-09T02:14:00Z</dcterms:created>
  <dcterms:modified xsi:type="dcterms:W3CDTF">2025-10-17T02:46:00Z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