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2FB9D" w14:textId="77777777" w:rsidR="00B16304" w:rsidRDefault="00B16304">
      <w:pPr>
        <w:spacing w:line="360" w:lineRule="auto"/>
        <w:jc w:val="both"/>
        <w:rPr>
          <w:rFonts w:ascii="Palatino Linotype" w:eastAsia="Palatino Linotype" w:hAnsi="Palatino Linotype" w:cs="Palatino Linotype"/>
          <w:sz w:val="22"/>
          <w:szCs w:val="22"/>
        </w:rPr>
      </w:pPr>
    </w:p>
    <w:p w14:paraId="704B6CF4"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seis de agosto de dos mil veinticinco. </w:t>
      </w:r>
    </w:p>
    <w:p w14:paraId="189FD251" w14:textId="77777777" w:rsidR="00B16304" w:rsidRPr="00F55CEC" w:rsidRDefault="00B16304">
      <w:pPr>
        <w:spacing w:line="360" w:lineRule="auto"/>
        <w:jc w:val="both"/>
        <w:rPr>
          <w:rFonts w:ascii="Palatino Linotype" w:eastAsia="Palatino Linotype" w:hAnsi="Palatino Linotype" w:cs="Palatino Linotype"/>
          <w:b/>
          <w:sz w:val="22"/>
          <w:szCs w:val="22"/>
        </w:rPr>
      </w:pPr>
    </w:p>
    <w:p w14:paraId="465422B3" w14:textId="1D680720"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VISTO</w:t>
      </w:r>
      <w:r w:rsidRPr="00F55CEC">
        <w:rPr>
          <w:rFonts w:ascii="Palatino Linotype" w:eastAsia="Palatino Linotype" w:hAnsi="Palatino Linotype" w:cs="Palatino Linotype"/>
          <w:sz w:val="22"/>
          <w:szCs w:val="22"/>
        </w:rPr>
        <w:t xml:space="preserve"> el expediente formado con motivo del recurso de revisión </w:t>
      </w:r>
      <w:r w:rsidRPr="00F55CEC">
        <w:rPr>
          <w:rFonts w:ascii="Palatino Linotype" w:eastAsia="Palatino Linotype" w:hAnsi="Palatino Linotype" w:cs="Palatino Linotype"/>
          <w:b/>
          <w:sz w:val="22"/>
          <w:szCs w:val="22"/>
        </w:rPr>
        <w:t>05194/INFOEM/IP/RR/2025</w:t>
      </w:r>
      <w:r w:rsidRPr="00F55CEC">
        <w:rPr>
          <w:rFonts w:ascii="Palatino Linotype" w:eastAsia="Palatino Linotype" w:hAnsi="Palatino Linotype" w:cs="Palatino Linotype"/>
          <w:sz w:val="22"/>
          <w:szCs w:val="22"/>
        </w:rPr>
        <w:t>, interpuesto por</w:t>
      </w:r>
      <w:r w:rsidRPr="00F55CEC">
        <w:rPr>
          <w:rFonts w:ascii="Palatino Linotype" w:eastAsia="Palatino Linotype" w:hAnsi="Palatino Linotype" w:cs="Palatino Linotype"/>
          <w:b/>
          <w:sz w:val="22"/>
          <w:szCs w:val="22"/>
        </w:rPr>
        <w:t xml:space="preserve"> </w:t>
      </w:r>
      <w:r w:rsidR="00132540">
        <w:rPr>
          <w:rFonts w:ascii="Palatino Linotype" w:eastAsia="Palatino Linotype" w:hAnsi="Palatino Linotype" w:cs="Palatino Linotype"/>
          <w:b/>
          <w:sz w:val="22"/>
          <w:szCs w:val="22"/>
        </w:rPr>
        <w:t>XXXXXX XXXXX XXXXXX XXXXX</w:t>
      </w:r>
      <w:r w:rsidRPr="00F55CEC">
        <w:rPr>
          <w:rFonts w:ascii="Palatino Linotype" w:eastAsia="Palatino Linotype" w:hAnsi="Palatino Linotype" w:cs="Palatino Linotype"/>
          <w:b/>
          <w:sz w:val="22"/>
          <w:szCs w:val="22"/>
        </w:rPr>
        <w:t>,</w:t>
      </w:r>
      <w:r w:rsidRPr="00F55CEC">
        <w:rPr>
          <w:rFonts w:ascii="Palatino Linotype" w:eastAsia="Palatino Linotype" w:hAnsi="Palatino Linotype" w:cs="Palatino Linotype"/>
          <w:sz w:val="22"/>
          <w:szCs w:val="22"/>
        </w:rPr>
        <w:t xml:space="preserve"> en lo sucesivo la parte </w:t>
      </w:r>
      <w:r w:rsidRPr="00F55CEC">
        <w:rPr>
          <w:rFonts w:ascii="Palatino Linotype" w:eastAsia="Palatino Linotype" w:hAnsi="Palatino Linotype" w:cs="Palatino Linotype"/>
          <w:b/>
          <w:sz w:val="22"/>
          <w:szCs w:val="22"/>
        </w:rPr>
        <w:t>Recurrente,</w:t>
      </w:r>
      <w:r w:rsidRPr="00F55CEC">
        <w:rPr>
          <w:rFonts w:ascii="Palatino Linotype" w:eastAsia="Palatino Linotype" w:hAnsi="Palatino Linotype" w:cs="Palatino Linotype"/>
          <w:sz w:val="22"/>
          <w:szCs w:val="22"/>
        </w:rPr>
        <w:t xml:space="preserve"> en contra de la respuesta a su solicitud por parte del </w:t>
      </w:r>
      <w:r w:rsidRPr="00F55CEC">
        <w:rPr>
          <w:rFonts w:ascii="Palatino Linotype" w:eastAsia="Palatino Linotype" w:hAnsi="Palatino Linotype" w:cs="Palatino Linotype"/>
          <w:b/>
          <w:sz w:val="22"/>
          <w:szCs w:val="22"/>
        </w:rPr>
        <w:t xml:space="preserve">Ayuntamiento de Tecámac, </w:t>
      </w:r>
      <w:r w:rsidRPr="00F55CEC">
        <w:rPr>
          <w:rFonts w:ascii="Palatino Linotype" w:eastAsia="Palatino Linotype" w:hAnsi="Palatino Linotype" w:cs="Palatino Linotype"/>
          <w:sz w:val="22"/>
          <w:szCs w:val="22"/>
        </w:rPr>
        <w:t xml:space="preserve">en lo sucesivo el </w:t>
      </w:r>
      <w:r w:rsidRPr="00F55CEC">
        <w:rPr>
          <w:rFonts w:ascii="Palatino Linotype" w:eastAsia="Palatino Linotype" w:hAnsi="Palatino Linotype" w:cs="Palatino Linotype"/>
          <w:b/>
          <w:sz w:val="22"/>
          <w:szCs w:val="22"/>
        </w:rPr>
        <w:t xml:space="preserve">Sujeto Obligado, </w:t>
      </w:r>
      <w:r w:rsidRPr="00F55CEC">
        <w:rPr>
          <w:rFonts w:ascii="Palatino Linotype" w:eastAsia="Palatino Linotype" w:hAnsi="Palatino Linotype" w:cs="Palatino Linotype"/>
          <w:sz w:val="22"/>
          <w:szCs w:val="22"/>
        </w:rPr>
        <w:t xml:space="preserve">se procede a dictar la presente resolución con base en los siguientes: </w:t>
      </w:r>
    </w:p>
    <w:p w14:paraId="24C40C7D" w14:textId="77777777" w:rsidR="00B16304" w:rsidRPr="00F55CEC" w:rsidRDefault="00F52AF7">
      <w:pPr>
        <w:spacing w:line="360" w:lineRule="auto"/>
        <w:jc w:val="center"/>
        <w:rPr>
          <w:rFonts w:ascii="Palatino Linotype" w:eastAsia="Palatino Linotype" w:hAnsi="Palatino Linotype" w:cs="Palatino Linotype"/>
          <w:b/>
          <w:sz w:val="22"/>
          <w:szCs w:val="22"/>
        </w:rPr>
      </w:pPr>
      <w:r w:rsidRPr="00F55CEC">
        <w:rPr>
          <w:rFonts w:ascii="Palatino Linotype" w:eastAsia="Palatino Linotype" w:hAnsi="Palatino Linotype" w:cs="Palatino Linotype"/>
          <w:b/>
          <w:sz w:val="22"/>
          <w:szCs w:val="22"/>
        </w:rPr>
        <w:t>I. A N T E C E D E N T E S</w:t>
      </w:r>
    </w:p>
    <w:p w14:paraId="101FDAA0"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1. Solicitud de acceso a la información.</w:t>
      </w:r>
      <w:r w:rsidRPr="00F55CEC">
        <w:rPr>
          <w:rFonts w:ascii="Palatino Linotype" w:eastAsia="Palatino Linotype" w:hAnsi="Palatino Linotype" w:cs="Palatino Linotype"/>
          <w:sz w:val="22"/>
          <w:szCs w:val="22"/>
        </w:rPr>
        <w:t xml:space="preserve"> Con fecha </w:t>
      </w:r>
      <w:r w:rsidRPr="00F55CEC">
        <w:rPr>
          <w:rFonts w:ascii="Palatino Linotype" w:eastAsia="Palatino Linotype" w:hAnsi="Palatino Linotype" w:cs="Palatino Linotype"/>
          <w:b/>
          <w:sz w:val="22"/>
          <w:szCs w:val="22"/>
        </w:rPr>
        <w:t>siete de abril de dos mil veinticinco,</w:t>
      </w:r>
      <w:r w:rsidRPr="00F55CEC">
        <w:rPr>
          <w:rFonts w:ascii="Palatino Linotype" w:eastAsia="Palatino Linotype" w:hAnsi="Palatino Linotype" w:cs="Palatino Linotype"/>
          <w:sz w:val="22"/>
          <w:szCs w:val="22"/>
        </w:rPr>
        <w:t xml:space="preserve"> la parte </w:t>
      </w:r>
      <w:r w:rsidRPr="00F55CEC">
        <w:rPr>
          <w:rFonts w:ascii="Palatino Linotype" w:eastAsia="Palatino Linotype" w:hAnsi="Palatino Linotype" w:cs="Palatino Linotype"/>
          <w:b/>
          <w:sz w:val="22"/>
          <w:szCs w:val="22"/>
        </w:rPr>
        <w:t xml:space="preserve">Recurrente </w:t>
      </w:r>
      <w:r w:rsidRPr="00F55CEC">
        <w:rPr>
          <w:rFonts w:ascii="Palatino Linotype" w:eastAsia="Palatino Linotype" w:hAnsi="Palatino Linotype" w:cs="Palatino Linotype"/>
          <w:sz w:val="22"/>
          <w:szCs w:val="22"/>
        </w:rPr>
        <w:t xml:space="preserve">presentó, través del Sistema de Acceso a la Información Mexiquense, en lo subsecuente el </w:t>
      </w:r>
      <w:r w:rsidRPr="00F55CEC">
        <w:rPr>
          <w:rFonts w:ascii="Palatino Linotype" w:eastAsia="Palatino Linotype" w:hAnsi="Palatino Linotype" w:cs="Palatino Linotype"/>
          <w:b/>
          <w:sz w:val="22"/>
          <w:szCs w:val="22"/>
        </w:rPr>
        <w:t>SAIMEX,</w:t>
      </w:r>
      <w:r w:rsidRPr="00F55CEC">
        <w:rPr>
          <w:rFonts w:ascii="Palatino Linotype" w:eastAsia="Palatino Linotype" w:hAnsi="Palatino Linotype" w:cs="Palatino Linotype"/>
          <w:sz w:val="22"/>
          <w:szCs w:val="22"/>
        </w:rPr>
        <w:t xml:space="preserve"> ante 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la solicitud de acceso a la información pública, a la que se le asignó el número</w:t>
      </w:r>
      <w:r w:rsidRPr="00F55CEC">
        <w:rPr>
          <w:rFonts w:ascii="Palatino Linotype" w:eastAsia="Palatino Linotype" w:hAnsi="Palatino Linotype" w:cs="Palatino Linotype"/>
          <w:b/>
          <w:sz w:val="22"/>
          <w:szCs w:val="22"/>
        </w:rPr>
        <w:t xml:space="preserve"> 00134/TECAMAC/IP/2025, </w:t>
      </w:r>
      <w:r w:rsidRPr="00F55CEC">
        <w:rPr>
          <w:rFonts w:ascii="Palatino Linotype" w:eastAsia="Palatino Linotype" w:hAnsi="Palatino Linotype" w:cs="Palatino Linotype"/>
          <w:sz w:val="22"/>
          <w:szCs w:val="22"/>
        </w:rPr>
        <w:t xml:space="preserve">mediante la cual requirió la información siguiente: </w:t>
      </w:r>
    </w:p>
    <w:p w14:paraId="3112DCFB" w14:textId="77777777" w:rsidR="00B16304" w:rsidRPr="00F55CEC" w:rsidRDefault="00F52AF7">
      <w:pPr>
        <w:ind w:left="851" w:right="902"/>
        <w:jc w:val="both"/>
        <w:rPr>
          <w:rFonts w:ascii="Palatino Linotype" w:eastAsia="Palatino Linotype" w:hAnsi="Palatino Linotype" w:cs="Palatino Linotype"/>
          <w:i/>
          <w:sz w:val="22"/>
          <w:szCs w:val="22"/>
        </w:rPr>
      </w:pPr>
      <w:bookmarkStart w:id="0" w:name="_heading=h.gjdgxs" w:colFirst="0" w:colLast="0"/>
      <w:bookmarkEnd w:id="0"/>
      <w:r w:rsidRPr="00F55CEC">
        <w:rPr>
          <w:rFonts w:ascii="Palatino Linotype" w:eastAsia="Palatino Linotype" w:hAnsi="Palatino Linotype" w:cs="Palatino Linotype"/>
          <w:i/>
          <w:sz w:val="22"/>
          <w:szCs w:val="22"/>
        </w:rPr>
        <w:t xml:space="preserve">“EVIDENCIA COMPROBABLE DEL CUMPLIMIENTO DEL SEGUNDO PARRAFO DEL ARTICULO 28 DE LA LEY ORGANICA MUNICIPAL DEL ESTADO DE MÉXICO REFERENTE A QUE:" Las sesiones de los ayuntamientos serán públicas y deberán trasmitirse a través de la página de internet del municipio". </w:t>
      </w:r>
      <w:r w:rsidRPr="00F55CEC">
        <w:rPr>
          <w:rFonts w:ascii="Palatino Linotype" w:eastAsia="Palatino Linotype" w:hAnsi="Palatino Linotype" w:cs="Palatino Linotype"/>
          <w:b/>
          <w:i/>
          <w:sz w:val="22"/>
          <w:szCs w:val="22"/>
        </w:rPr>
        <w:t>EN LO QUE RESPECTA A LA OCTAVA, NOVENA Y DECIMA SESIONES ORDINARIAS DE CABILDO DEL AYUNTAMIENTO DE TECÁMAC</w:t>
      </w:r>
      <w:r w:rsidRPr="00F55CEC">
        <w:rPr>
          <w:rFonts w:ascii="Palatino Linotype" w:eastAsia="Palatino Linotype" w:hAnsi="Palatino Linotype" w:cs="Palatino Linotype"/>
          <w:i/>
          <w:sz w:val="22"/>
          <w:szCs w:val="22"/>
        </w:rPr>
        <w:t>.” (Sic)</w:t>
      </w:r>
    </w:p>
    <w:p w14:paraId="3BB44D25" w14:textId="77777777" w:rsidR="00B16304" w:rsidRPr="00F55CEC" w:rsidRDefault="00B16304">
      <w:pPr>
        <w:ind w:left="851" w:right="902"/>
        <w:jc w:val="both"/>
        <w:rPr>
          <w:rFonts w:ascii="Palatino Linotype" w:eastAsia="Palatino Linotype" w:hAnsi="Palatino Linotype" w:cs="Palatino Linotype"/>
          <w:i/>
          <w:sz w:val="22"/>
          <w:szCs w:val="22"/>
        </w:rPr>
      </w:pPr>
    </w:p>
    <w:p w14:paraId="0F00549E"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Modalidad de Entrega:</w:t>
      </w:r>
      <w:r w:rsidRPr="00F55CEC">
        <w:rPr>
          <w:rFonts w:ascii="Palatino Linotype" w:eastAsia="Palatino Linotype" w:hAnsi="Palatino Linotype" w:cs="Palatino Linotype"/>
          <w:sz w:val="22"/>
          <w:szCs w:val="22"/>
        </w:rPr>
        <w:t xml:space="preserve"> A través de SAIMEX.</w:t>
      </w:r>
    </w:p>
    <w:p w14:paraId="1ABAF284"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10F65F83" w14:textId="77777777" w:rsidR="00B16304" w:rsidRPr="00F55CEC" w:rsidRDefault="00F52AF7">
      <w:pPr>
        <w:spacing w:line="360" w:lineRule="auto"/>
        <w:jc w:val="both"/>
        <w:rPr>
          <w:rFonts w:ascii="Palatino Linotype" w:eastAsia="Palatino Linotype" w:hAnsi="Palatino Linotype" w:cs="Palatino Linotype"/>
          <w:b/>
          <w:sz w:val="22"/>
          <w:szCs w:val="22"/>
        </w:rPr>
      </w:pPr>
      <w:r w:rsidRPr="00F55CEC">
        <w:rPr>
          <w:rFonts w:ascii="Palatino Linotype" w:eastAsia="Palatino Linotype" w:hAnsi="Palatino Linotype" w:cs="Palatino Linotype"/>
          <w:b/>
          <w:sz w:val="22"/>
          <w:szCs w:val="22"/>
        </w:rPr>
        <w:lastRenderedPageBreak/>
        <w:t xml:space="preserve">2. Respuesta. </w:t>
      </w:r>
      <w:r w:rsidRPr="00F55CEC">
        <w:rPr>
          <w:rFonts w:ascii="Palatino Linotype" w:eastAsia="Palatino Linotype" w:hAnsi="Palatino Linotype" w:cs="Palatino Linotype"/>
          <w:sz w:val="22"/>
          <w:szCs w:val="22"/>
        </w:rPr>
        <w:t xml:space="preserve">Con fecha </w:t>
      </w:r>
      <w:r w:rsidRPr="00F55CEC">
        <w:rPr>
          <w:rFonts w:ascii="Palatino Linotype" w:eastAsia="Palatino Linotype" w:hAnsi="Palatino Linotype" w:cs="Palatino Linotype"/>
          <w:b/>
          <w:sz w:val="22"/>
          <w:szCs w:val="22"/>
        </w:rPr>
        <w:t>siete de mayo de dos mil veinticinco,</w:t>
      </w:r>
      <w:r w:rsidRPr="00F55CEC">
        <w:rPr>
          <w:rFonts w:ascii="Palatino Linotype" w:eastAsia="Palatino Linotype" w:hAnsi="Palatino Linotype" w:cs="Palatino Linotype"/>
          <w:sz w:val="22"/>
          <w:szCs w:val="22"/>
        </w:rPr>
        <w:t xml:space="preserve"> el </w:t>
      </w:r>
      <w:r w:rsidRPr="00F55CEC">
        <w:rPr>
          <w:rFonts w:ascii="Palatino Linotype" w:eastAsia="Palatino Linotype" w:hAnsi="Palatino Linotype" w:cs="Palatino Linotype"/>
          <w:b/>
          <w:sz w:val="22"/>
          <w:szCs w:val="22"/>
        </w:rPr>
        <w:t xml:space="preserve">Sujeto Obligado </w:t>
      </w:r>
      <w:r w:rsidRPr="00F55CEC">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56BAE8D9" w14:textId="77777777" w:rsidR="00B16304" w:rsidRPr="00F55CEC" w:rsidRDefault="00F52AF7">
      <w:pPr>
        <w:ind w:left="851" w:right="902"/>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83B8E1" w14:textId="77777777" w:rsidR="00B16304" w:rsidRPr="00F55CEC" w:rsidRDefault="00F52AF7">
      <w:pPr>
        <w:ind w:left="851" w:right="902"/>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EN VIRTUD DE NO VULNERAR EL DERECHO DE ACCESO A LA INFORMACIÓN PÚBLICA SE EMITE LA RESPUESTA AL FOLIO DE SOLICITUD 00134/TECAMAC/IP/2025, PARA LOS EFECTOS A LOS QUE HAYA LUGAR.</w:t>
      </w:r>
    </w:p>
    <w:p w14:paraId="675866BA" w14:textId="77777777" w:rsidR="00B16304" w:rsidRPr="00F55CEC" w:rsidRDefault="00F52AF7">
      <w:pPr>
        <w:ind w:left="851" w:right="902"/>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ATENTAMENTE</w:t>
      </w:r>
    </w:p>
    <w:p w14:paraId="4569E95A" w14:textId="77777777" w:rsidR="00B16304" w:rsidRPr="00F55CEC" w:rsidRDefault="00F52AF7">
      <w:pPr>
        <w:ind w:left="851" w:right="902"/>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LIC. CARLOS ALONSO HERNÁNDEZ PELÁEZ” (Sic)</w:t>
      </w:r>
    </w:p>
    <w:p w14:paraId="0B29FE3C" w14:textId="77777777" w:rsidR="00B16304" w:rsidRPr="00F55CEC" w:rsidRDefault="00B16304">
      <w:pPr>
        <w:ind w:left="851" w:right="902"/>
        <w:jc w:val="both"/>
        <w:rPr>
          <w:rFonts w:ascii="Palatino Linotype" w:eastAsia="Palatino Linotype" w:hAnsi="Palatino Linotype" w:cs="Palatino Linotype"/>
          <w:i/>
          <w:sz w:val="22"/>
          <w:szCs w:val="22"/>
        </w:rPr>
      </w:pPr>
    </w:p>
    <w:p w14:paraId="650B03C9" w14:textId="77777777" w:rsidR="00B16304" w:rsidRPr="00F55CEC" w:rsidRDefault="00F52AF7">
      <w:pP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xml:space="preserve"> adjuntó el archivo electrónico denominado </w:t>
      </w:r>
      <w:r w:rsidRPr="00F55CEC">
        <w:rPr>
          <w:rFonts w:ascii="Palatino Linotype" w:eastAsia="Palatino Linotype" w:hAnsi="Palatino Linotype" w:cs="Palatino Linotype"/>
          <w:b/>
          <w:i/>
          <w:sz w:val="22"/>
          <w:szCs w:val="22"/>
        </w:rPr>
        <w:t>“Contestación al folio 134.pdf”</w:t>
      </w:r>
      <w:r w:rsidRPr="00F55CEC">
        <w:rPr>
          <w:rFonts w:ascii="Palatino Linotype" w:eastAsia="Palatino Linotype" w:hAnsi="Palatino Linotype" w:cs="Palatino Linotype"/>
          <w:sz w:val="22"/>
          <w:szCs w:val="22"/>
        </w:rPr>
        <w:t xml:space="preserve">, el cual contiene el oficio número SA/2100/2024 de fecha veintinueve de abril de dos mil veinticinco, signado por el Secretario del Ayuntamiento, en el que informó que, el Ayuntamiento conforme a lo dispuesto por el artículo 28 de la Ley Orgánica Municipal del Estado de México transmite las sesiones de cabildo en vivo a través de la página oficial de Facebook </w:t>
      </w:r>
      <w:r w:rsidRPr="00F55CEC">
        <w:rPr>
          <w:rFonts w:ascii="Palatino Linotype" w:eastAsia="Palatino Linotype" w:hAnsi="Palatino Linotype" w:cs="Palatino Linotype"/>
          <w:i/>
          <w:sz w:val="22"/>
          <w:szCs w:val="22"/>
        </w:rPr>
        <w:t>"Tecámac, Ayuntamiento del Bicentenario 2025-2027"</w:t>
      </w:r>
      <w:r w:rsidRPr="00F55CEC">
        <w:rPr>
          <w:rFonts w:ascii="Palatino Linotype" w:eastAsia="Palatino Linotype" w:hAnsi="Palatino Linotype" w:cs="Palatino Linotype"/>
          <w:sz w:val="22"/>
          <w:szCs w:val="22"/>
        </w:rPr>
        <w:t xml:space="preserve">, la cual se encuentra disponible para su consulta en el siguiente link de acceso: </w:t>
      </w:r>
      <w:hyperlink r:id="rId8">
        <w:r w:rsidRPr="00F55CEC">
          <w:rPr>
            <w:rFonts w:ascii="Palatino Linotype" w:eastAsia="Palatino Linotype" w:hAnsi="Palatino Linotype" w:cs="Palatino Linotype"/>
            <w:color w:val="0000FF"/>
            <w:sz w:val="22"/>
            <w:szCs w:val="22"/>
            <w:u w:val="single"/>
          </w:rPr>
          <w:t>https://www.facebook.com/AytoTecamac/</w:t>
        </w:r>
      </w:hyperlink>
      <w:r w:rsidRPr="00F55CEC">
        <w:rPr>
          <w:rFonts w:ascii="Palatino Linotype" w:eastAsia="Palatino Linotype" w:hAnsi="Palatino Linotype" w:cs="Palatino Linotype"/>
          <w:sz w:val="22"/>
          <w:szCs w:val="22"/>
        </w:rPr>
        <w:t xml:space="preserve">. </w:t>
      </w:r>
    </w:p>
    <w:p w14:paraId="729D1480"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0F287494" w14:textId="77777777" w:rsidR="00B16304" w:rsidRPr="00F55CEC" w:rsidRDefault="00F52AF7">
      <w:pP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 xml:space="preserve">3. Interposición del recurso de revisión. </w:t>
      </w:r>
      <w:r w:rsidRPr="00F55CEC">
        <w:rPr>
          <w:rFonts w:ascii="Palatino Linotype" w:eastAsia="Palatino Linotype" w:hAnsi="Palatino Linotype" w:cs="Palatino Linotype"/>
          <w:sz w:val="22"/>
          <w:szCs w:val="22"/>
        </w:rPr>
        <w:t xml:space="preserve">Inconforme con los términos de la respuesta emitida por parte del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xml:space="preserve">, el </w:t>
      </w:r>
      <w:r w:rsidRPr="00F55CEC">
        <w:rPr>
          <w:rFonts w:ascii="Palatino Linotype" w:eastAsia="Palatino Linotype" w:hAnsi="Palatino Linotype" w:cs="Palatino Linotype"/>
          <w:b/>
          <w:sz w:val="22"/>
          <w:szCs w:val="22"/>
        </w:rPr>
        <w:t>siete de mayo del año dos mil veinticinco,</w:t>
      </w:r>
      <w:r w:rsidRPr="00F55CEC">
        <w:rPr>
          <w:rFonts w:ascii="Palatino Linotype" w:eastAsia="Palatino Linotype" w:hAnsi="Palatino Linotype" w:cs="Palatino Linotype"/>
          <w:sz w:val="22"/>
          <w:szCs w:val="22"/>
        </w:rPr>
        <w:t xml:space="preserve"> la parte </w:t>
      </w:r>
      <w:r w:rsidRPr="00F55CEC">
        <w:rPr>
          <w:rFonts w:ascii="Palatino Linotype" w:eastAsia="Palatino Linotype" w:hAnsi="Palatino Linotype" w:cs="Palatino Linotype"/>
          <w:b/>
          <w:sz w:val="22"/>
          <w:szCs w:val="22"/>
        </w:rPr>
        <w:t>Recurrente</w:t>
      </w:r>
      <w:r w:rsidRPr="00F55CEC">
        <w:rPr>
          <w:rFonts w:ascii="Palatino Linotype" w:eastAsia="Palatino Linotype" w:hAnsi="Palatino Linotype" w:cs="Palatino Linotype"/>
          <w:sz w:val="22"/>
          <w:szCs w:val="22"/>
        </w:rPr>
        <w:t xml:space="preserve"> interpuso el recurso de revisión a través de </w:t>
      </w:r>
      <w:r w:rsidRPr="00F55CEC">
        <w:rPr>
          <w:rFonts w:ascii="Palatino Linotype" w:eastAsia="Palatino Linotype" w:hAnsi="Palatino Linotype" w:cs="Palatino Linotype"/>
          <w:b/>
          <w:sz w:val="22"/>
          <w:szCs w:val="22"/>
        </w:rPr>
        <w:t xml:space="preserve">SAIMEX, </w:t>
      </w:r>
      <w:r w:rsidRPr="00F55CEC">
        <w:rPr>
          <w:rFonts w:ascii="Palatino Linotype" w:eastAsia="Palatino Linotype" w:hAnsi="Palatino Linotype" w:cs="Palatino Linotype"/>
          <w:sz w:val="22"/>
          <w:szCs w:val="22"/>
        </w:rPr>
        <w:t>en donde se manifestó de la siguiente manera:</w:t>
      </w:r>
    </w:p>
    <w:p w14:paraId="1E0D11D5"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7671D777"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0863EE30"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7CB567F3" w14:textId="77777777" w:rsidR="00B16304" w:rsidRPr="00F55CEC" w:rsidRDefault="00F52AF7">
      <w:pPr>
        <w:tabs>
          <w:tab w:val="left" w:pos="2745"/>
        </w:tabs>
        <w:spacing w:line="360" w:lineRule="auto"/>
        <w:ind w:left="851" w:right="616"/>
        <w:jc w:val="both"/>
        <w:rPr>
          <w:rFonts w:ascii="Palatino Linotype" w:eastAsia="Palatino Linotype" w:hAnsi="Palatino Linotype" w:cs="Palatino Linotype"/>
          <w:b/>
          <w:sz w:val="22"/>
          <w:szCs w:val="22"/>
        </w:rPr>
      </w:pPr>
      <w:r w:rsidRPr="00F55CEC">
        <w:rPr>
          <w:rFonts w:ascii="Palatino Linotype" w:eastAsia="Palatino Linotype" w:hAnsi="Palatino Linotype" w:cs="Palatino Linotype"/>
          <w:b/>
          <w:sz w:val="22"/>
          <w:szCs w:val="22"/>
        </w:rPr>
        <w:lastRenderedPageBreak/>
        <w:t xml:space="preserve">Acto impugnado: </w:t>
      </w:r>
      <w:r w:rsidRPr="00F55CEC">
        <w:rPr>
          <w:rFonts w:ascii="Palatino Linotype" w:eastAsia="Palatino Linotype" w:hAnsi="Palatino Linotype" w:cs="Palatino Linotype"/>
          <w:b/>
          <w:sz w:val="22"/>
          <w:szCs w:val="22"/>
        </w:rPr>
        <w:tab/>
      </w:r>
    </w:p>
    <w:p w14:paraId="5661BE2D" w14:textId="77777777" w:rsidR="00B16304" w:rsidRPr="00F55CEC" w:rsidRDefault="00F52AF7">
      <w:pPr>
        <w:spacing w:line="360" w:lineRule="auto"/>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“EL SUJETO OBLIGADO NO DA LA EVIDENCIA COMPROBABLE DEL CUMPLIMIENTO DEL SEGUNDO PARRAFO DEL ARTICULO 28 DE LA LEY ORGANICA MUNICIPAL DEL ESTADO DE MÉXICO REFERENTE A QUE :" Las sesiones de los ayuntamientos serán públicas y deberán trasmitirse a través de la página de internet del municipio". EN LO QUE RESPECTA A LA OCTAVA, NOVENA Y DECIMA SESIONES ORDINARIAS DE CABILDO DEL AYUNTAMIENTO DE TECÁMAC.” (Sic)</w:t>
      </w:r>
    </w:p>
    <w:p w14:paraId="7EC9A993" w14:textId="77777777" w:rsidR="00B16304" w:rsidRPr="00F55CEC" w:rsidRDefault="00B16304">
      <w:pPr>
        <w:spacing w:line="360" w:lineRule="auto"/>
        <w:ind w:left="851" w:right="616"/>
        <w:jc w:val="both"/>
        <w:rPr>
          <w:rFonts w:ascii="Palatino Linotype" w:eastAsia="Palatino Linotype" w:hAnsi="Palatino Linotype" w:cs="Palatino Linotype"/>
          <w:i/>
          <w:sz w:val="22"/>
          <w:szCs w:val="22"/>
        </w:rPr>
      </w:pPr>
    </w:p>
    <w:p w14:paraId="197B5574" w14:textId="77777777" w:rsidR="00B16304" w:rsidRPr="00F55CEC" w:rsidRDefault="00F52AF7">
      <w:pPr>
        <w:spacing w:line="360" w:lineRule="auto"/>
        <w:ind w:left="851" w:right="616"/>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Y Razones o motivos de inconformidad</w:t>
      </w:r>
      <w:r w:rsidRPr="00F55CEC">
        <w:rPr>
          <w:rFonts w:ascii="Palatino Linotype" w:eastAsia="Palatino Linotype" w:hAnsi="Palatino Linotype" w:cs="Palatino Linotype"/>
          <w:sz w:val="22"/>
          <w:szCs w:val="22"/>
        </w:rPr>
        <w:t>:</w:t>
      </w:r>
    </w:p>
    <w:p w14:paraId="2B8A1018" w14:textId="77777777" w:rsidR="00B16304" w:rsidRPr="00F55CEC" w:rsidRDefault="00F52AF7">
      <w:pPr>
        <w:spacing w:line="360" w:lineRule="auto"/>
        <w:ind w:left="851" w:right="616"/>
        <w:jc w:val="both"/>
        <w:rPr>
          <w:rFonts w:ascii="Palatino Linotype" w:eastAsia="Palatino Linotype" w:hAnsi="Palatino Linotype" w:cs="Palatino Linotype"/>
          <w:i/>
          <w:sz w:val="22"/>
          <w:szCs w:val="22"/>
        </w:rPr>
      </w:pPr>
      <w:bookmarkStart w:id="1" w:name="_heading=h.30j0zll" w:colFirst="0" w:colLast="0"/>
      <w:bookmarkEnd w:id="1"/>
      <w:r w:rsidRPr="00F55CEC">
        <w:rPr>
          <w:rFonts w:ascii="Palatino Linotype" w:eastAsia="Palatino Linotype" w:hAnsi="Palatino Linotype" w:cs="Palatino Linotype"/>
          <w:i/>
          <w:sz w:val="22"/>
          <w:szCs w:val="22"/>
        </w:rPr>
        <w:t xml:space="preserve">“EL </w:t>
      </w:r>
      <w:r w:rsidRPr="00F55CEC">
        <w:rPr>
          <w:rFonts w:ascii="Palatino Linotype" w:eastAsia="Palatino Linotype" w:hAnsi="Palatino Linotype" w:cs="Palatino Linotype"/>
          <w:b/>
          <w:i/>
          <w:sz w:val="22"/>
          <w:szCs w:val="22"/>
        </w:rPr>
        <w:t>SUJETO OBLIGADO NO DA LA EVIDENCIA COMPROBABLE</w:t>
      </w:r>
      <w:r w:rsidRPr="00F55CEC">
        <w:rPr>
          <w:rFonts w:ascii="Palatino Linotype" w:eastAsia="Palatino Linotype" w:hAnsi="Palatino Linotype" w:cs="Palatino Linotype"/>
          <w:i/>
          <w:sz w:val="22"/>
          <w:szCs w:val="22"/>
        </w:rPr>
        <w:t xml:space="preserve"> DEL CUMPLIMIENTO DEL SEGUNDO PARRAFO DEL ARTICULO 28 DE LA LEY ORGANICA MUNICIPAL DEL ESTADO DE MÉXICO REFERENTE A QUE :" Las sesiones de los ayuntamientos serán públicas y deberán trasmitirse a través de la página de internet del municipio". EN LO QUE RESPECTA A LA OCTAVA, NOVENA Y DECIMA SESIONES ORDINARIAS DE CABILDO DEL AYUNTAMIENTO DE TECÁMAC. </w:t>
      </w:r>
      <w:r w:rsidRPr="00F55CEC">
        <w:rPr>
          <w:rFonts w:ascii="Palatino Linotype" w:eastAsia="Palatino Linotype" w:hAnsi="Palatino Linotype" w:cs="Palatino Linotype"/>
          <w:b/>
          <w:i/>
          <w:sz w:val="22"/>
          <w:szCs w:val="22"/>
        </w:rPr>
        <w:t>REMITE EN SU RESPUESTA A UNA PAGINA DE FACEBOOK DONDE NO SE APRECIA LO SOLICITADO</w:t>
      </w:r>
      <w:r w:rsidRPr="00F55CEC">
        <w:rPr>
          <w:rFonts w:ascii="Palatino Linotype" w:eastAsia="Palatino Linotype" w:hAnsi="Palatino Linotype" w:cs="Palatino Linotype"/>
          <w:i/>
          <w:sz w:val="22"/>
          <w:szCs w:val="22"/>
        </w:rPr>
        <w:t>.” (Sic)</w:t>
      </w:r>
    </w:p>
    <w:p w14:paraId="6A983119" w14:textId="77777777" w:rsidR="00B16304" w:rsidRPr="00F55CEC" w:rsidRDefault="00B16304">
      <w:pPr>
        <w:spacing w:line="360" w:lineRule="auto"/>
        <w:ind w:right="51"/>
        <w:jc w:val="both"/>
        <w:rPr>
          <w:rFonts w:ascii="Palatino Linotype" w:eastAsia="Palatino Linotype" w:hAnsi="Palatino Linotype" w:cs="Palatino Linotype"/>
          <w:b/>
          <w:sz w:val="22"/>
          <w:szCs w:val="22"/>
        </w:rPr>
      </w:pPr>
    </w:p>
    <w:p w14:paraId="6BA077C0" w14:textId="77777777" w:rsidR="00B16304" w:rsidRPr="00F55CEC" w:rsidRDefault="00F52AF7">
      <w:pPr>
        <w:spacing w:line="360" w:lineRule="auto"/>
        <w:ind w:right="51"/>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 xml:space="preserve">4. Turno. </w:t>
      </w:r>
      <w:r w:rsidRPr="00F55CE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55CEC">
        <w:rPr>
          <w:rFonts w:ascii="Palatino Linotype" w:eastAsia="Palatino Linotype" w:hAnsi="Palatino Linotype" w:cs="Palatino Linotype"/>
          <w:b/>
          <w:sz w:val="22"/>
          <w:szCs w:val="22"/>
        </w:rPr>
        <w:t xml:space="preserve">Guadalupe Ramírez Peña, </w:t>
      </w:r>
      <w:r w:rsidRPr="00F55CEC">
        <w:rPr>
          <w:rFonts w:ascii="Palatino Linotype" w:eastAsia="Palatino Linotype" w:hAnsi="Palatino Linotype" w:cs="Palatino Linotype"/>
          <w:sz w:val="22"/>
          <w:szCs w:val="22"/>
        </w:rPr>
        <w:t xml:space="preserve">a efecto de que analizara sobre su admisión o su </w:t>
      </w:r>
      <w:proofErr w:type="spellStart"/>
      <w:r w:rsidRPr="00F55CEC">
        <w:rPr>
          <w:rFonts w:ascii="Palatino Linotype" w:eastAsia="Palatino Linotype" w:hAnsi="Palatino Linotype" w:cs="Palatino Linotype"/>
          <w:sz w:val="22"/>
          <w:szCs w:val="22"/>
        </w:rPr>
        <w:t>desechamiento</w:t>
      </w:r>
      <w:proofErr w:type="spellEnd"/>
      <w:r w:rsidRPr="00F55CEC">
        <w:rPr>
          <w:rFonts w:ascii="Palatino Linotype" w:eastAsia="Palatino Linotype" w:hAnsi="Palatino Linotype" w:cs="Palatino Linotype"/>
          <w:sz w:val="22"/>
          <w:szCs w:val="22"/>
        </w:rPr>
        <w:t>.</w:t>
      </w:r>
    </w:p>
    <w:p w14:paraId="061F01A1" w14:textId="77777777" w:rsidR="00B16304" w:rsidRPr="00F55CEC" w:rsidRDefault="00B16304">
      <w:pPr>
        <w:spacing w:line="360" w:lineRule="auto"/>
        <w:ind w:right="51"/>
        <w:jc w:val="both"/>
        <w:rPr>
          <w:rFonts w:ascii="Palatino Linotype" w:eastAsia="Palatino Linotype" w:hAnsi="Palatino Linotype" w:cs="Palatino Linotype"/>
          <w:sz w:val="22"/>
          <w:szCs w:val="22"/>
        </w:rPr>
      </w:pPr>
    </w:p>
    <w:p w14:paraId="6E8E4125"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lastRenderedPageBreak/>
        <w:t>5. Admisión del Recurso de revisión.</w:t>
      </w:r>
      <w:r w:rsidRPr="00F55CEC">
        <w:rPr>
          <w:rFonts w:ascii="Palatino Linotype" w:eastAsia="Palatino Linotype" w:hAnsi="Palatino Linotype" w:cs="Palatino Linotype"/>
          <w:sz w:val="22"/>
          <w:szCs w:val="22"/>
        </w:rPr>
        <w:t xml:space="preserve"> Con fecha</w:t>
      </w:r>
      <w:r w:rsidRPr="00F55CEC">
        <w:rPr>
          <w:rFonts w:ascii="Palatino Linotype" w:eastAsia="Palatino Linotype" w:hAnsi="Palatino Linotype" w:cs="Palatino Linotype"/>
          <w:b/>
          <w:sz w:val="22"/>
          <w:szCs w:val="22"/>
        </w:rPr>
        <w:t xml:space="preserve"> doce de mayo de dos mil veinticinco, </w:t>
      </w:r>
      <w:r w:rsidRPr="00F55CEC">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55CEC">
        <w:rPr>
          <w:rFonts w:ascii="Palatino Linotype" w:eastAsia="Palatino Linotype" w:hAnsi="Palatino Linotype" w:cs="Palatino Linotype"/>
          <w:b/>
          <w:sz w:val="22"/>
          <w:szCs w:val="22"/>
        </w:rPr>
        <w:t xml:space="preserve">Sujeto Obligado </w:t>
      </w:r>
      <w:r w:rsidRPr="00F55CEC">
        <w:rPr>
          <w:rFonts w:ascii="Palatino Linotype" w:eastAsia="Palatino Linotype" w:hAnsi="Palatino Linotype" w:cs="Palatino Linotype"/>
          <w:sz w:val="22"/>
          <w:szCs w:val="22"/>
        </w:rPr>
        <w:t>presentara su informe justificado.</w:t>
      </w:r>
    </w:p>
    <w:p w14:paraId="62662977"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0451B258" w14:textId="77777777" w:rsidR="00B16304" w:rsidRPr="00F55CEC" w:rsidRDefault="00F52AF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bookmarkStart w:id="2" w:name="_heading=h.2s8eyo1" w:colFirst="0" w:colLast="0"/>
      <w:bookmarkEnd w:id="2"/>
      <w:r w:rsidRPr="00F55CEC">
        <w:rPr>
          <w:rFonts w:ascii="Palatino Linotype" w:eastAsia="Palatino Linotype" w:hAnsi="Palatino Linotype" w:cs="Palatino Linotype"/>
          <w:b/>
          <w:sz w:val="22"/>
          <w:szCs w:val="22"/>
        </w:rPr>
        <w:t>6. Manifestaciones</w:t>
      </w:r>
      <w:r w:rsidRPr="00F55CEC">
        <w:rPr>
          <w:rFonts w:ascii="Palatino Linotype" w:eastAsia="Palatino Linotype" w:hAnsi="Palatino Linotype" w:cs="Palatino Linotype"/>
          <w:sz w:val="22"/>
          <w:szCs w:val="22"/>
        </w:rPr>
        <w:t xml:space="preserve">. De las constancias del expediente electrónico del SAIMEX, se observa que 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xml:space="preserve"> fue omiso en rendir su informe justificado; así como, la parte </w:t>
      </w:r>
      <w:r w:rsidRPr="00F55CEC">
        <w:rPr>
          <w:rFonts w:ascii="Palatino Linotype" w:eastAsia="Palatino Linotype" w:hAnsi="Palatino Linotype" w:cs="Palatino Linotype"/>
          <w:b/>
          <w:sz w:val="22"/>
          <w:szCs w:val="22"/>
        </w:rPr>
        <w:t xml:space="preserve">Recurrente </w:t>
      </w:r>
      <w:r w:rsidRPr="00F55CEC">
        <w:rPr>
          <w:rFonts w:ascii="Palatino Linotype" w:eastAsia="Palatino Linotype" w:hAnsi="Palatino Linotype" w:cs="Palatino Linotype"/>
          <w:sz w:val="22"/>
          <w:szCs w:val="22"/>
        </w:rPr>
        <w:t>fue omisa en hacer valer manifestaciones o rendir alegatos que conforme a derecho resultaran procedentes, como se muestra:</w:t>
      </w:r>
    </w:p>
    <w:p w14:paraId="4D3393F6" w14:textId="77777777" w:rsidR="00B16304" w:rsidRPr="00F55CEC" w:rsidRDefault="00B16304">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4EC034D5"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noProof/>
          <w:sz w:val="22"/>
          <w:szCs w:val="22"/>
          <w:lang w:val="es-MX"/>
        </w:rPr>
        <w:drawing>
          <wp:inline distT="0" distB="0" distL="0" distR="0" wp14:anchorId="05FC3D06" wp14:editId="38BDCDF8">
            <wp:extent cx="5612130" cy="1268095"/>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2130" cy="1268095"/>
                    </a:xfrm>
                    <a:prstGeom prst="rect">
                      <a:avLst/>
                    </a:prstGeom>
                    <a:ln/>
                  </pic:spPr>
                </pic:pic>
              </a:graphicData>
            </a:graphic>
          </wp:inline>
        </w:drawing>
      </w:r>
    </w:p>
    <w:p w14:paraId="3EB7C1DF"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2A955078"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 xml:space="preserve">7. Cierre de instrucción. </w:t>
      </w:r>
      <w:r w:rsidRPr="00F55CE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F55CEC">
        <w:rPr>
          <w:rFonts w:ascii="Palatino Linotype" w:eastAsia="Palatino Linotype" w:hAnsi="Palatino Linotype" w:cs="Palatino Linotype"/>
          <w:b/>
          <w:sz w:val="22"/>
          <w:szCs w:val="22"/>
        </w:rPr>
        <w:t xml:space="preserve">diez de julio de dos mil veinticinco, </w:t>
      </w:r>
      <w:r w:rsidRPr="00F55CEC">
        <w:rPr>
          <w:rFonts w:ascii="Palatino Linotype" w:eastAsia="Palatino Linotype" w:hAnsi="Palatino Linotype" w:cs="Palatino Linotype"/>
          <w:sz w:val="22"/>
          <w:szCs w:val="22"/>
        </w:rPr>
        <w:t>la Comisionada Ponente determinó el cierre de instrucción en términos de la fracción VI del artículo 185 de la Ley de Transparencia y Acceso a la Información Pública del Estado de México y Municipios.</w:t>
      </w:r>
    </w:p>
    <w:p w14:paraId="3D3CD7DF" w14:textId="77777777" w:rsidR="00B16304" w:rsidRPr="00F55CEC" w:rsidRDefault="00B16304">
      <w:pPr>
        <w:widowControl w:val="0"/>
        <w:spacing w:line="360" w:lineRule="auto"/>
        <w:jc w:val="both"/>
        <w:rPr>
          <w:rFonts w:ascii="Palatino Linotype" w:eastAsia="Palatino Linotype" w:hAnsi="Palatino Linotype" w:cs="Palatino Linotype"/>
          <w:b/>
          <w:sz w:val="22"/>
          <w:szCs w:val="22"/>
        </w:rPr>
      </w:pPr>
    </w:p>
    <w:p w14:paraId="62325C67" w14:textId="77777777" w:rsidR="00B16304" w:rsidRPr="00F55CEC" w:rsidRDefault="00F52AF7">
      <w:pPr>
        <w:widowControl w:val="0"/>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8. Ampliación del plazo.</w:t>
      </w:r>
      <w:r w:rsidRPr="00F55CEC">
        <w:rPr>
          <w:rFonts w:ascii="Palatino Linotype" w:eastAsia="Palatino Linotype" w:hAnsi="Palatino Linotype" w:cs="Palatino Linotype"/>
          <w:sz w:val="22"/>
          <w:szCs w:val="22"/>
        </w:rPr>
        <w:t xml:space="preserve"> En fecha </w:t>
      </w:r>
      <w:r w:rsidRPr="00F55CEC">
        <w:rPr>
          <w:rFonts w:ascii="Palatino Linotype" w:eastAsia="Palatino Linotype" w:hAnsi="Palatino Linotype" w:cs="Palatino Linotype"/>
          <w:b/>
          <w:sz w:val="22"/>
          <w:szCs w:val="22"/>
        </w:rPr>
        <w:t>diez de julio del año dos mil veinticinco</w:t>
      </w:r>
      <w:r w:rsidRPr="00F55CEC">
        <w:rPr>
          <w:rFonts w:ascii="Palatino Linotype" w:eastAsia="Palatino Linotype" w:hAnsi="Palatino Linotype" w:cs="Palatino Linotype"/>
          <w:sz w:val="22"/>
          <w:szCs w:val="22"/>
        </w:rPr>
        <w:t xml:space="preserve">, con fundamento en el artículo 181, párrafo tercero de la Ley de Transparencia y Acceso a la Información Pública del Estado de México y Municipios, se acordó la ampliación del plazo </w:t>
      </w:r>
      <w:r w:rsidRPr="00F55CEC">
        <w:rPr>
          <w:rFonts w:ascii="Palatino Linotype" w:eastAsia="Palatino Linotype" w:hAnsi="Palatino Linotype" w:cs="Palatino Linotype"/>
          <w:sz w:val="22"/>
          <w:szCs w:val="22"/>
        </w:rPr>
        <w:lastRenderedPageBreak/>
        <w:t>para su resolución.</w:t>
      </w:r>
    </w:p>
    <w:p w14:paraId="410FC5D1" w14:textId="77777777" w:rsidR="00B16304" w:rsidRPr="00F55CEC" w:rsidRDefault="00B16304">
      <w:pPr>
        <w:widowControl w:val="0"/>
        <w:spacing w:line="360" w:lineRule="auto"/>
        <w:jc w:val="both"/>
        <w:rPr>
          <w:rFonts w:ascii="Palatino Linotype" w:eastAsia="Palatino Linotype" w:hAnsi="Palatino Linotype" w:cs="Palatino Linotype"/>
          <w:sz w:val="22"/>
          <w:szCs w:val="22"/>
        </w:rPr>
      </w:pPr>
    </w:p>
    <w:p w14:paraId="1524BA12" w14:textId="77777777" w:rsidR="00B16304" w:rsidRPr="00F55CEC" w:rsidRDefault="00F52AF7">
      <w:pPr>
        <w:widowControl w:val="0"/>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3D030188"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375E92B4"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22EC421"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1726FD6F"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D53DD3"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08B1B1D4"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3FFD441"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287E8AF8" w14:textId="77777777" w:rsidR="00B16304" w:rsidRPr="00F55CEC" w:rsidRDefault="00F52AF7">
      <w:pPr>
        <w:spacing w:line="360" w:lineRule="auto"/>
        <w:jc w:val="both"/>
        <w:rPr>
          <w:rFonts w:ascii="Palatino Linotype" w:eastAsia="Palatino Linotype" w:hAnsi="Palatino Linotype" w:cs="Palatino Linotype"/>
          <w:strike/>
          <w:sz w:val="22"/>
          <w:szCs w:val="22"/>
        </w:rPr>
      </w:pPr>
      <w:r w:rsidRPr="00F55CEC">
        <w:rPr>
          <w:rFonts w:ascii="Palatino Linotype" w:eastAsia="Palatino Linotype" w:hAnsi="Palatino Linotype" w:cs="Palatino Linotype"/>
          <w:sz w:val="22"/>
          <w:szCs w:val="22"/>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9A61F44"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150A3F02" w14:textId="77777777" w:rsidR="00B16304" w:rsidRPr="00F55CEC" w:rsidRDefault="00F52AF7">
      <w:pPr>
        <w:numPr>
          <w:ilvl w:val="0"/>
          <w:numId w:val="6"/>
        </w:numPr>
        <w:ind w:left="851"/>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451FF842" w14:textId="77777777" w:rsidR="00B16304" w:rsidRPr="00F55CEC" w:rsidRDefault="00B16304">
      <w:pPr>
        <w:ind w:left="851" w:hanging="360"/>
        <w:jc w:val="both"/>
        <w:rPr>
          <w:rFonts w:ascii="Palatino Linotype" w:eastAsia="Palatino Linotype" w:hAnsi="Palatino Linotype" w:cs="Palatino Linotype"/>
          <w:sz w:val="22"/>
          <w:szCs w:val="22"/>
        </w:rPr>
      </w:pPr>
    </w:p>
    <w:p w14:paraId="7683CF38" w14:textId="77777777" w:rsidR="00B16304" w:rsidRPr="00F55CEC" w:rsidRDefault="00F52AF7">
      <w:pPr>
        <w:numPr>
          <w:ilvl w:val="0"/>
          <w:numId w:val="6"/>
        </w:numPr>
        <w:ind w:left="851"/>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Actividad Procesal del interesado. Acciones u omisiones del interesado.</w:t>
      </w:r>
    </w:p>
    <w:p w14:paraId="39B18FFB" w14:textId="77777777" w:rsidR="00B16304" w:rsidRPr="00F55CEC" w:rsidRDefault="00B16304">
      <w:pPr>
        <w:ind w:left="851" w:hanging="360"/>
        <w:jc w:val="both"/>
        <w:rPr>
          <w:rFonts w:ascii="Palatino Linotype" w:eastAsia="Palatino Linotype" w:hAnsi="Palatino Linotype" w:cs="Palatino Linotype"/>
          <w:sz w:val="22"/>
          <w:szCs w:val="22"/>
        </w:rPr>
      </w:pPr>
    </w:p>
    <w:p w14:paraId="6BED54BE" w14:textId="77777777" w:rsidR="00B16304" w:rsidRPr="00F55CEC" w:rsidRDefault="00F52AF7">
      <w:pPr>
        <w:numPr>
          <w:ilvl w:val="0"/>
          <w:numId w:val="6"/>
        </w:numPr>
        <w:ind w:left="851"/>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0AD8DE95" w14:textId="77777777" w:rsidR="00B16304" w:rsidRPr="00F55CEC" w:rsidRDefault="00B16304">
      <w:pPr>
        <w:ind w:left="851" w:hanging="360"/>
        <w:rPr>
          <w:rFonts w:ascii="Palatino Linotype" w:eastAsia="Palatino Linotype" w:hAnsi="Palatino Linotype" w:cs="Palatino Linotype"/>
          <w:sz w:val="22"/>
          <w:szCs w:val="22"/>
        </w:rPr>
      </w:pPr>
    </w:p>
    <w:p w14:paraId="3CDFC0C9" w14:textId="77777777" w:rsidR="00B16304" w:rsidRPr="00F55CEC" w:rsidRDefault="00F52AF7">
      <w:pPr>
        <w:ind w:left="851" w:hanging="360"/>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6EF3C3DF"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18AE2E96"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D3DEB9C"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7B84A592" w14:textId="77777777" w:rsidR="00B16304" w:rsidRPr="00F55CEC" w:rsidRDefault="00F52AF7">
      <w:pPr>
        <w:spacing w:line="360" w:lineRule="auto"/>
        <w:jc w:val="both"/>
        <w:rPr>
          <w:rFonts w:ascii="Palatino Linotype" w:eastAsia="Palatino Linotype" w:hAnsi="Palatino Linotype" w:cs="Palatino Linotype"/>
          <w:b/>
          <w:sz w:val="22"/>
          <w:szCs w:val="22"/>
        </w:rPr>
      </w:pPr>
      <w:r w:rsidRPr="00F55CEC">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F55CEC">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F55CEC">
        <w:rPr>
          <w:rFonts w:ascii="Palatino Linotype" w:eastAsia="Palatino Linotype" w:hAnsi="Palatino Linotype" w:cs="Palatino Linotype"/>
          <w:sz w:val="22"/>
          <w:szCs w:val="22"/>
        </w:rPr>
        <w:t>, visible en la Gaceta del Seminario Judicial de la Federación con el registro digital 205635.</w:t>
      </w:r>
    </w:p>
    <w:p w14:paraId="2AD0D371"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284C6434"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Razones por las cuales cabe concluir que, la resolución al recurso de revisión se solventa hasta esta fecha, debido a que existe una excesiva carga de trabajo en desproporción a la </w:t>
      </w:r>
      <w:r w:rsidRPr="00F55CEC">
        <w:rPr>
          <w:rFonts w:ascii="Palatino Linotype" w:eastAsia="Palatino Linotype" w:hAnsi="Palatino Linotype" w:cs="Palatino Linotype"/>
          <w:sz w:val="22"/>
          <w:szCs w:val="22"/>
        </w:rPr>
        <w:lastRenderedPageBreak/>
        <w:t>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5ACE3AD"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24A733F3"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D80AB6C"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0C3D2647"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 </w:t>
      </w:r>
      <w:r w:rsidRPr="00F55CEC">
        <w:rPr>
          <w:rFonts w:ascii="Palatino Linotype" w:eastAsia="Palatino Linotype" w:hAnsi="Palatino Linotype" w:cs="Palatino Linotype"/>
          <w:i/>
          <w:sz w:val="22"/>
          <w:szCs w:val="22"/>
        </w:rPr>
        <w:t>“PLAZO RAZONABLE PARA RESOLVER. DIMENSIÓN Y EFECTOS DE ESTE CONCEPTO CUANDO SE ADUCE EXCESIVA CARGA DE TRABAJO.”</w:t>
      </w:r>
      <w:r w:rsidRPr="00F55CEC">
        <w:rPr>
          <w:rFonts w:ascii="Palatino Linotype" w:eastAsia="Palatino Linotype" w:hAnsi="Palatino Linotype" w:cs="Palatino Linotype"/>
          <w:sz w:val="22"/>
          <w:szCs w:val="22"/>
        </w:rPr>
        <w:t xml:space="preserve"> consultable en el Seminario Judicial de la Federación y su gaceta, con el registro digital 2002351.</w:t>
      </w:r>
    </w:p>
    <w:p w14:paraId="20F235AE" w14:textId="77777777" w:rsidR="00B16304" w:rsidRPr="00F55CEC" w:rsidRDefault="00B16304">
      <w:pPr>
        <w:spacing w:line="360" w:lineRule="auto"/>
        <w:jc w:val="both"/>
        <w:rPr>
          <w:rFonts w:ascii="Palatino Linotype" w:eastAsia="Palatino Linotype" w:hAnsi="Palatino Linotype" w:cs="Palatino Linotype"/>
          <w:b/>
          <w:sz w:val="22"/>
          <w:szCs w:val="22"/>
        </w:rPr>
      </w:pPr>
    </w:p>
    <w:p w14:paraId="07021D6B"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F55CEC">
        <w:rPr>
          <w:rFonts w:ascii="Palatino Linotype" w:eastAsia="Palatino Linotype" w:hAnsi="Palatino Linotype" w:cs="Palatino Linotype"/>
          <w:sz w:val="22"/>
          <w:szCs w:val="22"/>
        </w:rPr>
        <w:t>, visible en el Seminario Judicial de la Federación y su gaceta, con el registro digital 2002350.</w:t>
      </w:r>
    </w:p>
    <w:p w14:paraId="772F571A"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6E2D7A5A"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61BBBCEA"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7A4B3E56"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33A36793" w14:textId="77777777" w:rsidR="00B16304" w:rsidRPr="00F55CEC" w:rsidRDefault="00F52AF7">
      <w:pPr>
        <w:widowControl w:val="0"/>
        <w:spacing w:line="360" w:lineRule="auto"/>
        <w:jc w:val="center"/>
        <w:rPr>
          <w:rFonts w:ascii="Palatino Linotype" w:eastAsia="Palatino Linotype" w:hAnsi="Palatino Linotype" w:cs="Palatino Linotype"/>
          <w:b/>
          <w:sz w:val="22"/>
          <w:szCs w:val="22"/>
        </w:rPr>
      </w:pPr>
      <w:r w:rsidRPr="00F55CEC">
        <w:rPr>
          <w:rFonts w:ascii="Palatino Linotype" w:eastAsia="Palatino Linotype" w:hAnsi="Palatino Linotype" w:cs="Palatino Linotype"/>
          <w:b/>
          <w:sz w:val="22"/>
          <w:szCs w:val="22"/>
        </w:rPr>
        <w:t>II. C O N S I D E R A N D O S</w:t>
      </w:r>
    </w:p>
    <w:p w14:paraId="1EC92F79" w14:textId="77777777" w:rsidR="00B16304" w:rsidRPr="00F55CEC" w:rsidRDefault="00B16304">
      <w:pPr>
        <w:widowControl w:val="0"/>
        <w:pBdr>
          <w:top w:val="nil"/>
          <w:left w:val="nil"/>
          <w:bottom w:val="nil"/>
          <w:right w:val="nil"/>
          <w:between w:val="nil"/>
        </w:pBdr>
        <w:spacing w:line="360" w:lineRule="auto"/>
        <w:ind w:left="1080"/>
        <w:rPr>
          <w:rFonts w:ascii="Palatino Linotype" w:eastAsia="Palatino Linotype" w:hAnsi="Palatino Linotype" w:cs="Palatino Linotype"/>
          <w:b/>
          <w:sz w:val="22"/>
          <w:szCs w:val="22"/>
        </w:rPr>
      </w:pPr>
    </w:p>
    <w:p w14:paraId="272EE9DC"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Primero. Competencia.</w:t>
      </w:r>
      <w:r w:rsidRPr="00F55CE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DCE598A"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004DDAF4" w14:textId="77777777" w:rsidR="00B16304" w:rsidRPr="00F55CEC" w:rsidRDefault="00F52AF7">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F55CEC">
        <w:rPr>
          <w:rFonts w:ascii="Palatino Linotype" w:eastAsia="Palatino Linotype" w:hAnsi="Palatino Linotype" w:cs="Palatino Linotype"/>
          <w:b/>
          <w:sz w:val="22"/>
          <w:szCs w:val="22"/>
        </w:rPr>
        <w:t xml:space="preserve">Segundo. Oportunidad y Procedibilidad del Recurso de Revisión. </w:t>
      </w:r>
      <w:r w:rsidRPr="00F55CEC">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5D5719F"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2874B655" w14:textId="77777777" w:rsidR="00B16304" w:rsidRPr="00F55CEC" w:rsidRDefault="00B16304">
      <w:pPr>
        <w:ind w:left="851" w:right="900"/>
        <w:jc w:val="both"/>
        <w:rPr>
          <w:rFonts w:ascii="Palatino Linotype" w:eastAsia="Palatino Linotype" w:hAnsi="Palatino Linotype" w:cs="Palatino Linotype"/>
          <w:i/>
          <w:sz w:val="22"/>
          <w:szCs w:val="22"/>
        </w:rPr>
      </w:pPr>
    </w:p>
    <w:p w14:paraId="2083AD61"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w:t>
      </w:r>
      <w:r w:rsidRPr="00F55CEC">
        <w:rPr>
          <w:rFonts w:ascii="Palatino Linotype" w:eastAsia="Palatino Linotype" w:hAnsi="Palatino Linotype" w:cs="Palatino Linotype"/>
          <w:b/>
          <w:i/>
          <w:sz w:val="22"/>
          <w:szCs w:val="22"/>
        </w:rPr>
        <w:t xml:space="preserve">Artículo 178. </w:t>
      </w:r>
      <w:r w:rsidRPr="00F55CEC">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69F1530" w14:textId="77777777" w:rsidR="00B16304" w:rsidRPr="00F55CEC" w:rsidRDefault="00B16304">
      <w:pPr>
        <w:ind w:left="851" w:right="900"/>
        <w:jc w:val="both"/>
        <w:rPr>
          <w:rFonts w:ascii="Palatino Linotype" w:eastAsia="Palatino Linotype" w:hAnsi="Palatino Linotype" w:cs="Palatino Linotype"/>
          <w:i/>
          <w:sz w:val="22"/>
          <w:szCs w:val="22"/>
        </w:rPr>
      </w:pPr>
    </w:p>
    <w:p w14:paraId="4FFCC00F" w14:textId="77777777" w:rsidR="00B16304" w:rsidRPr="00F55CEC" w:rsidRDefault="00F52AF7">
      <w:pP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lastRenderedPageBreak/>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xml:space="preserve"> remitió la respuesta a la solicitud de información el día </w:t>
      </w:r>
      <w:r w:rsidRPr="00F55CEC">
        <w:rPr>
          <w:rFonts w:ascii="Palatino Linotype" w:eastAsia="Palatino Linotype" w:hAnsi="Palatino Linotype" w:cs="Palatino Linotype"/>
          <w:b/>
          <w:sz w:val="22"/>
          <w:szCs w:val="22"/>
        </w:rPr>
        <w:t xml:space="preserve">siete de mayo de dos mil veinticinco, </w:t>
      </w:r>
      <w:r w:rsidRPr="00F55CEC">
        <w:rPr>
          <w:rFonts w:ascii="Palatino Linotype" w:eastAsia="Palatino Linotype" w:hAnsi="Palatino Linotype" w:cs="Palatino Linotype"/>
          <w:sz w:val="22"/>
          <w:szCs w:val="22"/>
        </w:rPr>
        <w:t xml:space="preserve">mientras que el recurso de revisión interpuesto por la parte </w:t>
      </w:r>
      <w:r w:rsidRPr="00F55CEC">
        <w:rPr>
          <w:rFonts w:ascii="Palatino Linotype" w:eastAsia="Palatino Linotype" w:hAnsi="Palatino Linotype" w:cs="Palatino Linotype"/>
          <w:b/>
          <w:sz w:val="22"/>
          <w:szCs w:val="22"/>
        </w:rPr>
        <w:t>Recurrente</w:t>
      </w:r>
      <w:r w:rsidRPr="00F55CEC">
        <w:rPr>
          <w:rFonts w:ascii="Palatino Linotype" w:eastAsia="Palatino Linotype" w:hAnsi="Palatino Linotype" w:cs="Palatino Linotype"/>
          <w:sz w:val="22"/>
          <w:szCs w:val="22"/>
        </w:rPr>
        <w:t xml:space="preserve">, se tuvo por presentado el día </w:t>
      </w:r>
      <w:r w:rsidRPr="00F55CEC">
        <w:rPr>
          <w:rFonts w:ascii="Palatino Linotype" w:eastAsia="Palatino Linotype" w:hAnsi="Palatino Linotype" w:cs="Palatino Linotype"/>
          <w:b/>
          <w:sz w:val="22"/>
          <w:szCs w:val="22"/>
        </w:rPr>
        <w:t>siete de mayo de dos mil veinticinco</w:t>
      </w:r>
      <w:r w:rsidRPr="00F55CEC">
        <w:rPr>
          <w:rFonts w:ascii="Palatino Linotype" w:eastAsia="Palatino Linotype" w:hAnsi="Palatino Linotype" w:cs="Palatino Linotype"/>
          <w:sz w:val="22"/>
          <w:szCs w:val="22"/>
        </w:rPr>
        <w:t>; esto es, el mismo día hábil en que tuvo conocimiento de la respuesta.</w:t>
      </w:r>
    </w:p>
    <w:p w14:paraId="2E60CF66" w14:textId="77777777" w:rsidR="00B16304" w:rsidRPr="00F55CEC" w:rsidRDefault="00F52AF7">
      <w:pPr>
        <w:spacing w:before="240" w:after="240" w:line="360" w:lineRule="auto"/>
        <w:jc w:val="both"/>
        <w:rPr>
          <w:rFonts w:ascii="Palatino Linotype" w:eastAsia="Palatino Linotype" w:hAnsi="Palatino Linotype" w:cs="Palatino Linotype"/>
        </w:rPr>
      </w:pPr>
      <w:r w:rsidRPr="00F55CEC">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53014EA0" w14:textId="77777777" w:rsidR="00B16304" w:rsidRPr="00F55CEC" w:rsidRDefault="00F52AF7">
      <w:pPr>
        <w:spacing w:before="120" w:after="120"/>
        <w:ind w:left="851" w:right="902"/>
        <w:jc w:val="both"/>
        <w:rPr>
          <w:rFonts w:ascii="Palatino Linotype" w:eastAsia="Palatino Linotype" w:hAnsi="Palatino Linotype" w:cs="Palatino Linotype"/>
          <w:i/>
        </w:rPr>
      </w:pPr>
      <w:r w:rsidRPr="00F55CEC">
        <w:rPr>
          <w:rFonts w:ascii="Palatino Linotype" w:eastAsia="Palatino Linotype" w:hAnsi="Palatino Linotype" w:cs="Palatino Linotype"/>
          <w:b/>
          <w:i/>
        </w:rPr>
        <w:t>“RECURSO DE RECLAMACIÓN. SU INTERPOSICIÓN NO ES EXTEMPORÁNEA SI SE REALIZA ANTES DE QUE INICIE EL PLAZO PARA HACERLO</w:t>
      </w:r>
      <w:r w:rsidRPr="00F55CEC">
        <w:rPr>
          <w:rFonts w:ascii="Palatino Linotype" w:eastAsia="Palatino Linotype" w:hAnsi="Palatino Linotype" w:cs="Palatino Linotype"/>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w:t>
      </w:r>
      <w:r w:rsidRPr="00F55CEC">
        <w:rPr>
          <w:rFonts w:ascii="Palatino Linotype" w:eastAsia="Palatino Linotype" w:hAnsi="Palatino Linotype" w:cs="Palatino Linotype"/>
          <w:i/>
        </w:rPr>
        <w:lastRenderedPageBreak/>
        <w:t>que el escrito correspondiente se presente antes de iniciado ese término. De ahí que si dicho recurso se interpone antes de que inicie el plazo para hacerlo, su presentación no es extemporánea.”</w:t>
      </w:r>
    </w:p>
    <w:p w14:paraId="74323068"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4477EF48" w14:textId="77777777" w:rsidR="00B16304" w:rsidRPr="00F55CEC" w:rsidRDefault="00F52AF7">
      <w:pP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8236D67"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1228F6DE"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VI de la ley de la materia, que a la letra dice:</w:t>
      </w:r>
    </w:p>
    <w:p w14:paraId="48934C15" w14:textId="77777777" w:rsidR="00B16304" w:rsidRPr="00F55CEC" w:rsidRDefault="00B16304">
      <w:pPr>
        <w:ind w:left="851" w:right="616"/>
        <w:jc w:val="both"/>
        <w:rPr>
          <w:rFonts w:ascii="Palatino Linotype" w:eastAsia="Palatino Linotype" w:hAnsi="Palatino Linotype" w:cs="Palatino Linotype"/>
          <w:i/>
          <w:sz w:val="22"/>
          <w:szCs w:val="22"/>
        </w:rPr>
      </w:pPr>
    </w:p>
    <w:p w14:paraId="55DAACA0"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w:t>
      </w:r>
      <w:r w:rsidRPr="00F55CEC">
        <w:rPr>
          <w:rFonts w:ascii="Palatino Linotype" w:eastAsia="Palatino Linotype" w:hAnsi="Palatino Linotype" w:cs="Palatino Linotype"/>
          <w:b/>
          <w:i/>
          <w:sz w:val="22"/>
          <w:szCs w:val="22"/>
        </w:rPr>
        <w:t xml:space="preserve">Artículo 179. </w:t>
      </w:r>
      <w:r w:rsidRPr="00F55CE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11D5EA6"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w:t>
      </w:r>
    </w:p>
    <w:p w14:paraId="1EC4EF0F"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VI. La entrega de información que no corresponda con lo solicitado;…” (Sic)</w:t>
      </w:r>
    </w:p>
    <w:p w14:paraId="0413C362" w14:textId="77777777" w:rsidR="00B16304" w:rsidRPr="00F55CEC" w:rsidRDefault="00B16304">
      <w:pPr>
        <w:ind w:left="851" w:right="616"/>
        <w:jc w:val="both"/>
        <w:rPr>
          <w:rFonts w:ascii="Palatino Linotype" w:eastAsia="Palatino Linotype" w:hAnsi="Palatino Linotype" w:cs="Palatino Linotype"/>
          <w:i/>
          <w:sz w:val="22"/>
          <w:szCs w:val="22"/>
        </w:rPr>
      </w:pPr>
    </w:p>
    <w:p w14:paraId="053B2B2C"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Tercero. Materia de Revisión</w:t>
      </w:r>
      <w:r w:rsidRPr="00F55CEC">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F55CEC">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F55CEC">
        <w:rPr>
          <w:rFonts w:ascii="Palatino Linotype" w:eastAsia="Palatino Linotype" w:hAnsi="Palatino Linotype" w:cs="Palatino Linotype"/>
          <w:sz w:val="22"/>
          <w:szCs w:val="22"/>
        </w:rPr>
        <w:t xml:space="preserve">del </w:t>
      </w:r>
      <w:r w:rsidRPr="00F55CEC">
        <w:rPr>
          <w:rFonts w:ascii="Palatino Linotype" w:eastAsia="Palatino Linotype" w:hAnsi="Palatino Linotype" w:cs="Palatino Linotype"/>
          <w:b/>
          <w:sz w:val="22"/>
          <w:szCs w:val="22"/>
        </w:rPr>
        <w:t>Recurrente</w:t>
      </w:r>
      <w:r w:rsidRPr="00F55CEC">
        <w:rPr>
          <w:rFonts w:ascii="Palatino Linotype" w:eastAsia="Palatino Linotype" w:hAnsi="Palatino Linotype" w:cs="Palatino Linotype"/>
          <w:sz w:val="22"/>
          <w:szCs w:val="22"/>
        </w:rPr>
        <w:t>, o en su defecto, en caso de ser procedente, ordenar la entrega de información.</w:t>
      </w:r>
    </w:p>
    <w:p w14:paraId="49F3DCAC"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2B659A56"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 xml:space="preserve">Cuarto. Estudio de fondo del asunto. </w:t>
      </w:r>
      <w:r w:rsidRPr="00F55CEC">
        <w:rPr>
          <w:rFonts w:ascii="Palatino Linotype" w:eastAsia="Palatino Linotype" w:hAnsi="Palatino Linotype" w:cs="Palatino Linotype"/>
          <w:sz w:val="22"/>
          <w:szCs w:val="22"/>
        </w:rPr>
        <w:t xml:space="preserve">Es conveniente analizar si la respuesta del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w:t>
      </w:r>
      <w:r w:rsidRPr="00F55CEC">
        <w:rPr>
          <w:rFonts w:ascii="Palatino Linotype" w:eastAsia="Palatino Linotype" w:hAnsi="Palatino Linotype" w:cs="Palatino Linotype"/>
          <w:sz w:val="22"/>
          <w:szCs w:val="22"/>
        </w:rPr>
        <w:lastRenderedPageBreak/>
        <w:t>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3DEA5A3"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3F855A99"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w:t>
      </w:r>
      <w:r w:rsidRPr="00F55CEC">
        <w:rPr>
          <w:rFonts w:ascii="Palatino Linotype" w:eastAsia="Palatino Linotype" w:hAnsi="Palatino Linotype" w:cs="Palatino Linotype"/>
          <w:b/>
          <w:i/>
          <w:sz w:val="22"/>
          <w:szCs w:val="22"/>
        </w:rPr>
        <w:t>Artículo 4</w:t>
      </w:r>
      <w:r w:rsidRPr="00F55CE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9F16723"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55CE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D0E9576"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55CEC">
        <w:rPr>
          <w:rFonts w:ascii="Palatino Linotype" w:eastAsia="Palatino Linotype" w:hAnsi="Palatino Linotype" w:cs="Palatino Linotype"/>
          <w:i/>
          <w:sz w:val="22"/>
          <w:szCs w:val="22"/>
        </w:rPr>
        <w:t>.”(Sic)</w:t>
      </w:r>
    </w:p>
    <w:p w14:paraId="7388B17F"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5E0E48F9"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51271C4"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0FA348F8"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w:t>
      </w:r>
      <w:r w:rsidRPr="00F55CEC">
        <w:rPr>
          <w:rFonts w:ascii="Palatino Linotype" w:eastAsia="Palatino Linotype" w:hAnsi="Palatino Linotype" w:cs="Palatino Linotype"/>
          <w:b/>
          <w:i/>
          <w:sz w:val="22"/>
          <w:szCs w:val="22"/>
        </w:rPr>
        <w:t>Artículo 12.-</w:t>
      </w:r>
      <w:r w:rsidRPr="00F55CE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63300A1" w14:textId="77777777" w:rsidR="00B16304" w:rsidRPr="00F55CEC" w:rsidRDefault="00B16304">
      <w:pPr>
        <w:ind w:left="851" w:right="616"/>
        <w:jc w:val="both"/>
        <w:rPr>
          <w:rFonts w:ascii="Palatino Linotype" w:eastAsia="Palatino Linotype" w:hAnsi="Palatino Linotype" w:cs="Palatino Linotype"/>
          <w:i/>
          <w:sz w:val="22"/>
          <w:szCs w:val="22"/>
        </w:rPr>
      </w:pPr>
    </w:p>
    <w:p w14:paraId="6DABCC3E"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F55CEC">
        <w:rPr>
          <w:rFonts w:ascii="Palatino Linotype" w:eastAsia="Palatino Linotype" w:hAnsi="Palatino Linotype" w:cs="Palatino Linotype"/>
          <w:i/>
          <w:sz w:val="22"/>
          <w:szCs w:val="22"/>
        </w:rPr>
        <w:t xml:space="preserve">. </w:t>
      </w:r>
      <w:r w:rsidRPr="00F55CEC">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F55CEC">
        <w:rPr>
          <w:rFonts w:ascii="Palatino Linotype" w:eastAsia="Palatino Linotype" w:hAnsi="Palatino Linotype" w:cs="Palatino Linotype"/>
          <w:i/>
          <w:sz w:val="22"/>
          <w:szCs w:val="22"/>
        </w:rPr>
        <w:t>.” (Sic)</w:t>
      </w:r>
    </w:p>
    <w:p w14:paraId="72C769B8" w14:textId="77777777" w:rsidR="00B16304" w:rsidRPr="00F55CEC" w:rsidRDefault="00B16304">
      <w:pPr>
        <w:spacing w:line="360" w:lineRule="auto"/>
        <w:ind w:right="-93"/>
        <w:jc w:val="both"/>
        <w:rPr>
          <w:rFonts w:ascii="Palatino Linotype" w:eastAsia="Palatino Linotype" w:hAnsi="Palatino Linotype" w:cs="Palatino Linotype"/>
          <w:sz w:val="22"/>
          <w:szCs w:val="22"/>
        </w:rPr>
      </w:pPr>
    </w:p>
    <w:p w14:paraId="672FBA24" w14:textId="77777777" w:rsidR="00B16304" w:rsidRPr="00F55CEC" w:rsidRDefault="00F52AF7">
      <w:pPr>
        <w:spacing w:line="360" w:lineRule="auto"/>
        <w:ind w:right="-93"/>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2D04F27D" w14:textId="77777777" w:rsidR="00B16304" w:rsidRPr="00F55CEC" w:rsidRDefault="00B16304">
      <w:pPr>
        <w:spacing w:line="360" w:lineRule="auto"/>
        <w:ind w:right="-93"/>
        <w:jc w:val="both"/>
        <w:rPr>
          <w:rFonts w:ascii="Palatino Linotype" w:eastAsia="Palatino Linotype" w:hAnsi="Palatino Linotype" w:cs="Palatino Linotype"/>
          <w:sz w:val="22"/>
          <w:szCs w:val="22"/>
        </w:rPr>
      </w:pPr>
    </w:p>
    <w:p w14:paraId="31D75F1B" w14:textId="77777777" w:rsidR="00B16304" w:rsidRPr="00F55CEC" w:rsidRDefault="00F52AF7">
      <w:pPr>
        <w:spacing w:line="360" w:lineRule="auto"/>
        <w:jc w:val="both"/>
        <w:rPr>
          <w:rFonts w:ascii="Palatino Linotype" w:eastAsia="Palatino Linotype" w:hAnsi="Palatino Linotype" w:cs="Palatino Linotype"/>
          <w:b/>
          <w:sz w:val="22"/>
          <w:szCs w:val="22"/>
        </w:rPr>
      </w:pPr>
      <w:r w:rsidRPr="00F55CEC">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F55CEC">
        <w:rPr>
          <w:rFonts w:ascii="Palatino Linotype" w:eastAsia="Palatino Linotype" w:hAnsi="Palatino Linotype" w:cs="Palatino Linotype"/>
          <w:b/>
          <w:sz w:val="22"/>
          <w:szCs w:val="22"/>
        </w:rPr>
        <w:t xml:space="preserve"> </w:t>
      </w:r>
    </w:p>
    <w:p w14:paraId="2E686367" w14:textId="77777777" w:rsidR="00B16304" w:rsidRPr="00F55CEC" w:rsidRDefault="00B16304">
      <w:pPr>
        <w:ind w:left="851" w:right="850"/>
        <w:jc w:val="both"/>
        <w:rPr>
          <w:rFonts w:ascii="Palatino Linotype" w:eastAsia="Palatino Linotype" w:hAnsi="Palatino Linotype" w:cs="Palatino Linotype"/>
          <w:sz w:val="22"/>
          <w:szCs w:val="22"/>
        </w:rPr>
      </w:pPr>
    </w:p>
    <w:p w14:paraId="75BA4307"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w:t>
      </w:r>
      <w:r w:rsidRPr="00F55CEC">
        <w:rPr>
          <w:rFonts w:ascii="Palatino Linotype" w:eastAsia="Palatino Linotype" w:hAnsi="Palatino Linotype" w:cs="Palatino Linotype"/>
          <w:b/>
          <w:i/>
          <w:sz w:val="22"/>
          <w:szCs w:val="22"/>
        </w:rPr>
        <w:t>No existe obligación de elaborar documentos ad hoc para atender las solicitudes de acceso a la información.</w:t>
      </w:r>
      <w:r w:rsidRPr="00F55CE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5AA50DE"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Resoluciones: </w:t>
      </w:r>
    </w:p>
    <w:p w14:paraId="71ED08B9"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RRA 0050/16. Instituto Nacional para la Evaluación de la Educación. 13 julio de 2016. Por unanimidad. Comisionado Ponente: Francisco Javier Acuña Llamas.</w:t>
      </w:r>
    </w:p>
    <w:p w14:paraId="2D748444"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lastRenderedPageBreak/>
        <w:t xml:space="preserve">∙ RRA 0310/16. Instituto Nacional de Transparencia, Acceso a la Información y Protección de Datos Personales. 10 de agosto de 2016. Por unanimidad. Comisionada Ponente. Areli Cano Guadiana. </w:t>
      </w:r>
    </w:p>
    <w:p w14:paraId="6A02DD46"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RRA 1889/16. Secretaría de Hacienda y Crédito Público. 05 de octubre de 2016. Por unanimidad. Comisionada Ponente. Ximena Puente de la Mora.”(Sic)</w:t>
      </w:r>
    </w:p>
    <w:p w14:paraId="0AEFA598" w14:textId="77777777" w:rsidR="00B16304" w:rsidRPr="00F55CEC" w:rsidRDefault="00B16304">
      <w:pPr>
        <w:spacing w:line="360" w:lineRule="auto"/>
        <w:ind w:right="-93"/>
        <w:jc w:val="both"/>
        <w:rPr>
          <w:rFonts w:ascii="Palatino Linotype" w:eastAsia="Palatino Linotype" w:hAnsi="Palatino Linotype" w:cs="Palatino Linotype"/>
          <w:sz w:val="22"/>
          <w:szCs w:val="22"/>
        </w:rPr>
      </w:pPr>
    </w:p>
    <w:p w14:paraId="26B05F8F"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74EB249"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011A8359" w14:textId="77777777" w:rsidR="00B16304" w:rsidRPr="00F55CEC" w:rsidRDefault="00F52AF7">
      <w:pP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12DA53A"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7F288F3D"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20C1590" w14:textId="77777777" w:rsidR="00B16304" w:rsidRPr="00F55CEC" w:rsidRDefault="00B16304">
      <w:pPr>
        <w:ind w:left="851" w:right="899"/>
        <w:jc w:val="both"/>
        <w:rPr>
          <w:rFonts w:ascii="Palatino Linotype" w:eastAsia="Palatino Linotype" w:hAnsi="Palatino Linotype" w:cs="Palatino Linotype"/>
          <w:i/>
          <w:sz w:val="22"/>
          <w:szCs w:val="22"/>
        </w:rPr>
      </w:pPr>
    </w:p>
    <w:p w14:paraId="34A41FA3"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w:t>
      </w:r>
      <w:r w:rsidRPr="00F55CEC">
        <w:rPr>
          <w:rFonts w:ascii="Palatino Linotype" w:eastAsia="Palatino Linotype" w:hAnsi="Palatino Linotype" w:cs="Palatino Linotype"/>
          <w:b/>
          <w:i/>
          <w:sz w:val="22"/>
          <w:szCs w:val="22"/>
        </w:rPr>
        <w:t xml:space="preserve">Artículo 3. </w:t>
      </w:r>
      <w:r w:rsidRPr="00F55CEC">
        <w:rPr>
          <w:rFonts w:ascii="Palatino Linotype" w:eastAsia="Palatino Linotype" w:hAnsi="Palatino Linotype" w:cs="Palatino Linotype"/>
          <w:i/>
          <w:sz w:val="22"/>
          <w:szCs w:val="22"/>
        </w:rPr>
        <w:t>Para los efectos de la presente Ley se entenderá por:</w:t>
      </w:r>
    </w:p>
    <w:p w14:paraId="175E8064"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lastRenderedPageBreak/>
        <w:t>…</w:t>
      </w:r>
    </w:p>
    <w:p w14:paraId="1F703D71"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XI. Documento:</w:t>
      </w:r>
      <w:r w:rsidRPr="00F55CEC">
        <w:rPr>
          <w:rFonts w:ascii="Palatino Linotype" w:eastAsia="Palatino Linotype" w:hAnsi="Palatino Linotype" w:cs="Palatino Linotype"/>
          <w:i/>
          <w:sz w:val="22"/>
          <w:szCs w:val="22"/>
        </w:rPr>
        <w:t xml:space="preserve"> Los expedientes, reportes, estudios, actas</w:t>
      </w:r>
      <w:r w:rsidRPr="00F55CEC">
        <w:rPr>
          <w:rFonts w:ascii="Palatino Linotype" w:eastAsia="Palatino Linotype" w:hAnsi="Palatino Linotype" w:cs="Palatino Linotype"/>
          <w:b/>
          <w:i/>
          <w:sz w:val="22"/>
          <w:szCs w:val="22"/>
        </w:rPr>
        <w:t>,</w:t>
      </w:r>
      <w:r w:rsidRPr="00F55CE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FF1EBF9" w14:textId="77777777" w:rsidR="00B16304" w:rsidRPr="00F55CEC" w:rsidRDefault="00B16304">
      <w:pPr>
        <w:ind w:left="851" w:right="899"/>
        <w:jc w:val="both"/>
        <w:rPr>
          <w:rFonts w:ascii="Palatino Linotype" w:eastAsia="Palatino Linotype" w:hAnsi="Palatino Linotype" w:cs="Palatino Linotype"/>
          <w:sz w:val="22"/>
          <w:szCs w:val="22"/>
        </w:rPr>
      </w:pPr>
    </w:p>
    <w:p w14:paraId="6EF673B7"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FC21F86" w14:textId="77777777" w:rsidR="00B16304" w:rsidRPr="00F55CEC" w:rsidRDefault="00B16304">
      <w:pPr>
        <w:ind w:left="851" w:right="899"/>
        <w:jc w:val="both"/>
        <w:rPr>
          <w:rFonts w:ascii="Palatino Linotype" w:eastAsia="Palatino Linotype" w:hAnsi="Palatino Linotype" w:cs="Palatino Linotype"/>
          <w:sz w:val="22"/>
          <w:szCs w:val="22"/>
        </w:rPr>
      </w:pPr>
    </w:p>
    <w:p w14:paraId="5540552F" w14:textId="77777777" w:rsidR="00B16304" w:rsidRPr="00F55CEC" w:rsidRDefault="00F52AF7">
      <w:pPr>
        <w:ind w:left="851" w:right="616"/>
        <w:jc w:val="both"/>
        <w:rPr>
          <w:rFonts w:ascii="Palatino Linotype" w:eastAsia="Palatino Linotype" w:hAnsi="Palatino Linotype" w:cs="Palatino Linotype"/>
          <w:b/>
          <w:i/>
          <w:sz w:val="22"/>
          <w:szCs w:val="22"/>
        </w:rPr>
      </w:pPr>
      <w:r w:rsidRPr="00F55CEC">
        <w:rPr>
          <w:rFonts w:ascii="Palatino Linotype" w:eastAsia="Palatino Linotype" w:hAnsi="Palatino Linotype" w:cs="Palatino Linotype"/>
          <w:b/>
          <w:sz w:val="22"/>
          <w:szCs w:val="22"/>
        </w:rPr>
        <w:t>“</w:t>
      </w:r>
      <w:r w:rsidRPr="00F55CEC">
        <w:rPr>
          <w:rFonts w:ascii="Palatino Linotype" w:eastAsia="Palatino Linotype" w:hAnsi="Palatino Linotype" w:cs="Palatino Linotype"/>
          <w:b/>
          <w:i/>
          <w:sz w:val="22"/>
          <w:szCs w:val="22"/>
        </w:rPr>
        <w:t>CRITERIO 0002-11</w:t>
      </w:r>
    </w:p>
    <w:p w14:paraId="2010CF82"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55CE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FF56320"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3E8A59B"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F260320" w14:textId="77777777" w:rsidR="00B16304" w:rsidRPr="00F55CEC" w:rsidRDefault="00F52AF7">
      <w:pPr>
        <w:ind w:left="851" w:right="616"/>
        <w:jc w:val="both"/>
        <w:rPr>
          <w:rFonts w:ascii="Palatino Linotype" w:eastAsia="Palatino Linotype" w:hAnsi="Palatino Linotype" w:cs="Palatino Linotype"/>
          <w:b/>
          <w:i/>
          <w:sz w:val="22"/>
          <w:szCs w:val="22"/>
        </w:rPr>
      </w:pPr>
      <w:r w:rsidRPr="00F55CEC">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052B7F9" w14:textId="77777777" w:rsidR="00B16304" w:rsidRPr="00F55CEC" w:rsidRDefault="00F52AF7">
      <w:pPr>
        <w:ind w:left="851" w:right="616"/>
        <w:jc w:val="both"/>
        <w:rPr>
          <w:rFonts w:ascii="Palatino Linotype" w:eastAsia="Palatino Linotype" w:hAnsi="Palatino Linotype" w:cs="Palatino Linotype"/>
          <w:b/>
          <w:i/>
          <w:sz w:val="22"/>
          <w:szCs w:val="22"/>
        </w:rPr>
      </w:pPr>
      <w:r w:rsidRPr="00F55CEC">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00687AAB"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43368FDF"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lastRenderedPageBreak/>
        <w:t>Ahora bien, del análisis de la solicitud de información motivo del recurso de revisión que ahora se resuelve, se advierte que el particular requirió al Ayuntamiento de Tecámac, lo siguiente:</w:t>
      </w:r>
    </w:p>
    <w:p w14:paraId="1F3A2422" w14:textId="77777777" w:rsidR="00B16304" w:rsidRPr="00F55CEC" w:rsidRDefault="00F52AF7">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i/>
          <w:color w:val="000000"/>
          <w:sz w:val="22"/>
          <w:szCs w:val="22"/>
        </w:rPr>
      </w:pPr>
      <w:r w:rsidRPr="00F55CEC">
        <w:rPr>
          <w:rFonts w:ascii="Palatino Linotype" w:eastAsia="Palatino Linotype" w:hAnsi="Palatino Linotype" w:cs="Palatino Linotype"/>
          <w:b/>
          <w:i/>
          <w:color w:val="000000"/>
          <w:sz w:val="22"/>
          <w:szCs w:val="22"/>
        </w:rPr>
        <w:t>Evidencia de la publicación de la Octava, Novena y Décima Sesión Ordinaria de Cabildo en la página del ayuntamiento de Tecámac, en cumplimiento del artículo 28 de la Ley Orgánica Municipal del Estado de México.</w:t>
      </w:r>
    </w:p>
    <w:p w14:paraId="1489012C" w14:textId="77777777" w:rsidR="00B16304" w:rsidRPr="00F55CEC" w:rsidRDefault="00B16304">
      <w:pPr>
        <w:pBdr>
          <w:top w:val="nil"/>
          <w:left w:val="nil"/>
          <w:bottom w:val="nil"/>
          <w:right w:val="nil"/>
          <w:between w:val="nil"/>
        </w:pBdr>
        <w:spacing w:line="276" w:lineRule="auto"/>
        <w:ind w:left="851" w:right="616" w:hanging="360"/>
        <w:jc w:val="both"/>
        <w:rPr>
          <w:rFonts w:ascii="Palatino Linotype" w:eastAsia="Palatino Linotype" w:hAnsi="Palatino Linotype" w:cs="Palatino Linotype"/>
          <w:i/>
          <w:color w:val="000000"/>
          <w:sz w:val="22"/>
          <w:szCs w:val="22"/>
        </w:rPr>
      </w:pPr>
    </w:p>
    <w:p w14:paraId="66FEC023" w14:textId="77777777" w:rsidR="00B16304" w:rsidRPr="00F55CEC" w:rsidRDefault="00F52AF7">
      <w:pP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En respuesta el Secretario del Ayuntamiento de Tecámac informó que conforme a lo dispuesto por el artículo 28 de la Ley Orgánica Municipal del Estado de México, el ayuntamiento transmite las sesiones de cabildo en vivo a través de la página oficial de Facebook </w:t>
      </w:r>
      <w:r w:rsidRPr="00F55CEC">
        <w:rPr>
          <w:rFonts w:ascii="Palatino Linotype" w:eastAsia="Palatino Linotype" w:hAnsi="Palatino Linotype" w:cs="Palatino Linotype"/>
          <w:i/>
          <w:sz w:val="22"/>
          <w:szCs w:val="22"/>
        </w:rPr>
        <w:t>"Tecámac, Ayuntamiento del Bicentenario 2025-2027"</w:t>
      </w:r>
      <w:r w:rsidRPr="00F55CEC">
        <w:rPr>
          <w:rFonts w:ascii="Palatino Linotype" w:eastAsia="Palatino Linotype" w:hAnsi="Palatino Linotype" w:cs="Palatino Linotype"/>
          <w:sz w:val="22"/>
          <w:szCs w:val="22"/>
        </w:rPr>
        <w:t xml:space="preserve">, la cual se encuentra disponible para su consulta en el siguiente link de acceso: </w:t>
      </w:r>
      <w:hyperlink r:id="rId10">
        <w:r w:rsidRPr="00F55CEC">
          <w:rPr>
            <w:rFonts w:ascii="Palatino Linotype" w:eastAsia="Palatino Linotype" w:hAnsi="Palatino Linotype" w:cs="Palatino Linotype"/>
            <w:color w:val="0000FF"/>
            <w:sz w:val="22"/>
            <w:szCs w:val="22"/>
            <w:u w:val="single"/>
          </w:rPr>
          <w:t>https://www.facebook.com/AytoTecamac/</w:t>
        </w:r>
      </w:hyperlink>
      <w:r w:rsidRPr="00F55CEC">
        <w:rPr>
          <w:rFonts w:ascii="Palatino Linotype" w:eastAsia="Palatino Linotype" w:hAnsi="Palatino Linotype" w:cs="Palatino Linotype"/>
          <w:sz w:val="22"/>
          <w:szCs w:val="22"/>
        </w:rPr>
        <w:t xml:space="preserve">. </w:t>
      </w:r>
    </w:p>
    <w:p w14:paraId="561DDFAC"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531AA4F9" w14:textId="77777777" w:rsidR="00B16304" w:rsidRPr="00F55CEC" w:rsidRDefault="00F52AF7">
      <w:pP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Conocida la respuesta, de una revisión del acto impugnado como motivos de inconformidad, la parte </w:t>
      </w:r>
      <w:r w:rsidRPr="00F55CEC">
        <w:rPr>
          <w:rFonts w:ascii="Palatino Linotype" w:eastAsia="Palatino Linotype" w:hAnsi="Palatino Linotype" w:cs="Palatino Linotype"/>
          <w:b/>
          <w:sz w:val="22"/>
          <w:szCs w:val="22"/>
        </w:rPr>
        <w:t>Recurrente</w:t>
      </w:r>
      <w:r w:rsidRPr="00F55CEC">
        <w:rPr>
          <w:rFonts w:ascii="Palatino Linotype" w:eastAsia="Palatino Linotype" w:hAnsi="Palatino Linotype" w:cs="Palatino Linotype"/>
          <w:sz w:val="22"/>
          <w:szCs w:val="22"/>
        </w:rPr>
        <w:t xml:space="preserve"> se inconformó porque remite a una página de Facebook donde no se aprecia lo solicitado.</w:t>
      </w:r>
    </w:p>
    <w:p w14:paraId="4037B5FB"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344D29A3" w14:textId="77777777" w:rsidR="00B16304" w:rsidRPr="00F55CEC" w:rsidRDefault="00F52AF7">
      <w:pPr>
        <w:widowControl w:val="0"/>
        <w:tabs>
          <w:tab w:val="left" w:pos="1701"/>
          <w:tab w:val="left" w:pos="1843"/>
        </w:tabs>
        <w:spacing w:line="360" w:lineRule="auto"/>
        <w:jc w:val="both"/>
        <w:rPr>
          <w:rFonts w:ascii="Palatino Linotype" w:eastAsia="Palatino Linotype" w:hAnsi="Palatino Linotype" w:cs="Palatino Linotype"/>
          <w:color w:val="000000"/>
          <w:sz w:val="22"/>
          <w:szCs w:val="22"/>
        </w:rPr>
      </w:pPr>
      <w:r w:rsidRPr="00F55CEC">
        <w:rPr>
          <w:rFonts w:ascii="Palatino Linotype" w:eastAsia="Palatino Linotype" w:hAnsi="Palatino Linotype" w:cs="Palatino Linotype"/>
          <w:sz w:val="22"/>
          <w:szCs w:val="22"/>
        </w:rPr>
        <w:t xml:space="preserve">Una vez notificado el recurso de revisión, de las constancias que obran en el </w:t>
      </w:r>
      <w:r w:rsidRPr="00F55CEC">
        <w:rPr>
          <w:rFonts w:ascii="Palatino Linotype" w:eastAsia="Palatino Linotype" w:hAnsi="Palatino Linotype" w:cs="Palatino Linotype"/>
          <w:b/>
          <w:sz w:val="22"/>
          <w:szCs w:val="22"/>
        </w:rPr>
        <w:t>SAIMEX,</w:t>
      </w:r>
      <w:r w:rsidRPr="00F55CEC">
        <w:rPr>
          <w:rFonts w:ascii="Palatino Linotype" w:eastAsia="Palatino Linotype" w:hAnsi="Palatino Linotype" w:cs="Palatino Linotype"/>
          <w:sz w:val="22"/>
          <w:szCs w:val="22"/>
        </w:rPr>
        <w:t xml:space="preserve"> se advierte que </w:t>
      </w:r>
      <w:r w:rsidRPr="00F55CEC">
        <w:rPr>
          <w:rFonts w:ascii="Palatino Linotype" w:eastAsia="Palatino Linotype" w:hAnsi="Palatino Linotype" w:cs="Palatino Linotype"/>
          <w:color w:val="000000"/>
          <w:sz w:val="22"/>
          <w:szCs w:val="22"/>
        </w:rPr>
        <w:t xml:space="preserve">el </w:t>
      </w:r>
      <w:r w:rsidRPr="00F55CEC">
        <w:rPr>
          <w:rFonts w:ascii="Palatino Linotype" w:eastAsia="Palatino Linotype" w:hAnsi="Palatino Linotype" w:cs="Palatino Linotype"/>
          <w:b/>
          <w:color w:val="000000"/>
          <w:sz w:val="22"/>
          <w:szCs w:val="22"/>
        </w:rPr>
        <w:t>Recurrente</w:t>
      </w:r>
      <w:r w:rsidRPr="00F55CEC">
        <w:rPr>
          <w:rFonts w:ascii="Palatino Linotype" w:eastAsia="Palatino Linotype" w:hAnsi="Palatino Linotype" w:cs="Palatino Linotype"/>
          <w:color w:val="000000"/>
          <w:sz w:val="22"/>
          <w:szCs w:val="22"/>
        </w:rPr>
        <w:t xml:space="preserve"> no realizó manifestaciones, alegatos o pruebas que a su derecho convinieran y por su parte el </w:t>
      </w:r>
      <w:r w:rsidRPr="00F55CEC">
        <w:rPr>
          <w:rFonts w:ascii="Palatino Linotype" w:eastAsia="Palatino Linotype" w:hAnsi="Palatino Linotype" w:cs="Palatino Linotype"/>
          <w:b/>
          <w:color w:val="000000"/>
          <w:sz w:val="22"/>
          <w:szCs w:val="22"/>
        </w:rPr>
        <w:t xml:space="preserve">Sujeto Obligado </w:t>
      </w:r>
      <w:r w:rsidRPr="00F55CEC">
        <w:rPr>
          <w:rFonts w:ascii="Palatino Linotype" w:eastAsia="Palatino Linotype" w:hAnsi="Palatino Linotype" w:cs="Palatino Linotype"/>
          <w:color w:val="000000"/>
          <w:sz w:val="22"/>
          <w:szCs w:val="22"/>
        </w:rPr>
        <w:t>tampoco</w:t>
      </w:r>
      <w:r w:rsidRPr="00F55CEC">
        <w:rPr>
          <w:rFonts w:ascii="Palatino Linotype" w:eastAsia="Palatino Linotype" w:hAnsi="Palatino Linotype" w:cs="Palatino Linotype"/>
          <w:b/>
          <w:color w:val="000000"/>
          <w:sz w:val="22"/>
          <w:szCs w:val="22"/>
        </w:rPr>
        <w:t xml:space="preserve"> </w:t>
      </w:r>
      <w:r w:rsidRPr="00F55CEC">
        <w:rPr>
          <w:rFonts w:ascii="Palatino Linotype" w:eastAsia="Palatino Linotype" w:hAnsi="Palatino Linotype" w:cs="Palatino Linotype"/>
          <w:sz w:val="22"/>
          <w:szCs w:val="22"/>
        </w:rPr>
        <w:t>rindió su informe justificado</w:t>
      </w:r>
      <w:r w:rsidRPr="00F55CEC">
        <w:rPr>
          <w:rFonts w:ascii="Palatino Linotype" w:eastAsia="Palatino Linotype" w:hAnsi="Palatino Linotype" w:cs="Palatino Linotype"/>
          <w:color w:val="000000"/>
          <w:sz w:val="22"/>
          <w:szCs w:val="22"/>
        </w:rPr>
        <w:t xml:space="preserve">. </w:t>
      </w:r>
    </w:p>
    <w:p w14:paraId="0F4328AF" w14:textId="77777777" w:rsidR="00B16304" w:rsidRPr="00F55CEC" w:rsidRDefault="00B16304">
      <w:pPr>
        <w:widowControl w:val="0"/>
        <w:tabs>
          <w:tab w:val="left" w:pos="1701"/>
          <w:tab w:val="left" w:pos="1843"/>
        </w:tabs>
        <w:spacing w:line="360" w:lineRule="auto"/>
        <w:jc w:val="both"/>
        <w:rPr>
          <w:rFonts w:ascii="Palatino Linotype" w:eastAsia="Palatino Linotype" w:hAnsi="Palatino Linotype" w:cs="Palatino Linotype"/>
          <w:color w:val="000000"/>
          <w:sz w:val="22"/>
          <w:szCs w:val="22"/>
        </w:rPr>
      </w:pPr>
    </w:p>
    <w:p w14:paraId="1E7C8C94"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En virtud de lo anterior, se determina que la información emitida por 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xml:space="preserve"> en su respuesta, no cumple con lo establecido por los artículos 4, 12 y 24 último párrafo de la Ley de Transparencia y Acceso a la Información Pública del Estado de México y Municipios; de ahí que, los motivos de inconformidad acontecen fundados para revocar la </w:t>
      </w:r>
      <w:r w:rsidRPr="00F55CEC">
        <w:rPr>
          <w:rFonts w:ascii="Palatino Linotype" w:eastAsia="Palatino Linotype" w:hAnsi="Palatino Linotype" w:cs="Palatino Linotype"/>
          <w:sz w:val="22"/>
          <w:szCs w:val="22"/>
        </w:rPr>
        <w:lastRenderedPageBreak/>
        <w:t xml:space="preserve">respuesta del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en razón de las consideraciones de derecho que a continuación se exponen:</w:t>
      </w:r>
    </w:p>
    <w:p w14:paraId="2B29DCCA"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0007EEC1"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Precisado lo anterior, se procede analizar la naturaleza de la información solicitada; por ello, es conviene traer a colación los artículos 115 fracción I párrafo cuarto de la Constitución Política de los Estados Unidos Mexicanos y 16 de la Ley Orgánica Municipal vigente en la entidad, que a la letra dicen: </w:t>
      </w:r>
    </w:p>
    <w:p w14:paraId="4B5F0C86" w14:textId="77777777" w:rsidR="00B16304" w:rsidRPr="00F55CEC" w:rsidRDefault="00B16304">
      <w:pPr>
        <w:ind w:left="720" w:right="142"/>
        <w:rPr>
          <w:rFonts w:ascii="Palatino Linotype" w:eastAsia="Palatino Linotype" w:hAnsi="Palatino Linotype" w:cs="Palatino Linotype"/>
          <w:sz w:val="22"/>
          <w:szCs w:val="22"/>
        </w:rPr>
      </w:pPr>
    </w:p>
    <w:p w14:paraId="1870432E" w14:textId="77777777" w:rsidR="00B16304" w:rsidRPr="00F55CEC" w:rsidRDefault="00F52AF7">
      <w:pPr>
        <w:ind w:left="851" w:right="567"/>
        <w:jc w:val="both"/>
        <w:rPr>
          <w:rFonts w:ascii="Palatino Linotype" w:eastAsia="Palatino Linotype" w:hAnsi="Palatino Linotype" w:cs="Palatino Linotype"/>
          <w:b/>
          <w:i/>
          <w:sz w:val="22"/>
          <w:szCs w:val="22"/>
        </w:rPr>
      </w:pPr>
      <w:r w:rsidRPr="00F55CEC">
        <w:rPr>
          <w:rFonts w:ascii="Palatino Linotype" w:eastAsia="Palatino Linotype" w:hAnsi="Palatino Linotype" w:cs="Palatino Linotype"/>
          <w:b/>
          <w:i/>
          <w:sz w:val="22"/>
          <w:szCs w:val="22"/>
        </w:rPr>
        <w:t>“Articulo 115.</w:t>
      </w:r>
    </w:p>
    <w:p w14:paraId="25CDFC4D" w14:textId="77777777" w:rsidR="00B16304" w:rsidRPr="00F55CEC" w:rsidRDefault="00F52AF7">
      <w:pPr>
        <w:ind w:left="851" w:right="567"/>
        <w:jc w:val="both"/>
        <w:rPr>
          <w:rFonts w:ascii="Palatino Linotype" w:eastAsia="Palatino Linotype" w:hAnsi="Palatino Linotype" w:cs="Palatino Linotype"/>
          <w:b/>
          <w:i/>
          <w:sz w:val="22"/>
          <w:szCs w:val="22"/>
        </w:rPr>
      </w:pPr>
      <w:r w:rsidRPr="00F55CEC">
        <w:rPr>
          <w:rFonts w:ascii="Palatino Linotype" w:eastAsia="Palatino Linotype" w:hAnsi="Palatino Linotype" w:cs="Palatino Linotype"/>
          <w:b/>
          <w:i/>
          <w:sz w:val="22"/>
          <w:szCs w:val="22"/>
        </w:rPr>
        <w:t>…</w:t>
      </w:r>
    </w:p>
    <w:p w14:paraId="6A54DF7A" w14:textId="77777777" w:rsidR="00B16304" w:rsidRPr="00F55CEC" w:rsidRDefault="00F52AF7">
      <w:pPr>
        <w:numPr>
          <w:ilvl w:val="0"/>
          <w:numId w:val="8"/>
        </w:numPr>
        <w:ind w:left="851" w:right="567" w:firstLine="0"/>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 </w:t>
      </w:r>
      <w:r w:rsidRPr="00F55CEC">
        <w:rPr>
          <w:rFonts w:ascii="Palatino Linotype" w:eastAsia="Palatino Linotype" w:hAnsi="Palatino Linotype" w:cs="Palatino Linotype"/>
          <w:b/>
          <w:i/>
          <w:sz w:val="22"/>
          <w:szCs w:val="22"/>
        </w:rPr>
        <w:t>Cada Municipio será gobernado por un Ayuntamiento de elección popular directa, integrado por un Presidente Municipal y el número de regidores y síndicos que la ley determine.</w:t>
      </w:r>
      <w:r w:rsidRPr="00F55CEC">
        <w:rPr>
          <w:rFonts w:ascii="Palatino Linotype" w:eastAsia="Palatino Linotype" w:hAnsi="Palatino Linotype" w:cs="Palatino Linotype"/>
          <w:i/>
          <w:sz w:val="22"/>
          <w:szCs w:val="22"/>
        </w:rPr>
        <w:t xml:space="preserve"> La competencia que esta Constitución otorga al gobierno municipal se ejercerá por el Ayuntamiento de manera exclusiva y no habrá autoridad intermedia alguna entre éste y el gobierno del Estado.”(Sic).</w:t>
      </w:r>
    </w:p>
    <w:p w14:paraId="550E2C6D" w14:textId="77777777" w:rsidR="00B16304" w:rsidRPr="00F55CEC" w:rsidRDefault="00F52AF7">
      <w:pPr>
        <w:ind w:left="851" w:right="567"/>
        <w:jc w:val="both"/>
        <w:rPr>
          <w:rFonts w:ascii="Palatino Linotype" w:eastAsia="Palatino Linotype" w:hAnsi="Palatino Linotype" w:cs="Palatino Linotype"/>
          <w:b/>
          <w:i/>
          <w:sz w:val="22"/>
          <w:szCs w:val="22"/>
        </w:rPr>
      </w:pPr>
      <w:r w:rsidRPr="00F55CEC">
        <w:rPr>
          <w:rFonts w:ascii="Palatino Linotype" w:eastAsia="Palatino Linotype" w:hAnsi="Palatino Linotype" w:cs="Palatino Linotype"/>
          <w:b/>
          <w:i/>
          <w:sz w:val="22"/>
          <w:szCs w:val="22"/>
        </w:rPr>
        <w:t>II.</w:t>
      </w:r>
      <w:r w:rsidRPr="00F55CEC">
        <w:rPr>
          <w:rFonts w:ascii="Palatino Linotype" w:eastAsia="Palatino Linotype" w:hAnsi="Palatino Linotype" w:cs="Palatino Linotype"/>
          <w:i/>
          <w:sz w:val="22"/>
          <w:szCs w:val="22"/>
        </w:rPr>
        <w:t xml:space="preserve"> </w:t>
      </w:r>
      <w:r w:rsidRPr="00F55CEC">
        <w:rPr>
          <w:rFonts w:ascii="Palatino Linotype" w:eastAsia="Palatino Linotype" w:hAnsi="Palatino Linotype" w:cs="Palatino Linotype"/>
          <w:b/>
          <w:i/>
          <w:sz w:val="22"/>
          <w:szCs w:val="22"/>
        </w:rPr>
        <w:t>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1BCB3B06" w14:textId="77777777" w:rsidR="00B16304" w:rsidRPr="00F55CEC" w:rsidRDefault="00F52AF7">
      <w:pPr>
        <w:ind w:left="851" w:right="567"/>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w:t>
      </w:r>
    </w:p>
    <w:p w14:paraId="5EA41E75" w14:textId="77777777" w:rsidR="00B16304" w:rsidRPr="00F55CEC" w:rsidRDefault="00F52AF7">
      <w:pPr>
        <w:ind w:left="851" w:right="567"/>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Artículo 16.- Los Ayuntamientos se renovarán cada tres años, iniciarán su periodo el 1 de enero del año inmediato siguiente al de las elecciones municipales ordinarias y concluirán el 31 de diciembre del año de las elecciones para su renovación; y se integrarán por:</w:t>
      </w:r>
    </w:p>
    <w:p w14:paraId="59316111" w14:textId="77777777" w:rsidR="00B16304" w:rsidRPr="00F55CEC" w:rsidRDefault="00F52AF7">
      <w:pPr>
        <w:ind w:left="851" w:right="567"/>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w:t>
      </w:r>
    </w:p>
    <w:p w14:paraId="5665BEF6" w14:textId="77777777" w:rsidR="00B16304" w:rsidRPr="00F55CEC" w:rsidRDefault="00F52AF7">
      <w:pPr>
        <w:ind w:left="851" w:right="567"/>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II. Un presidente, un síndico y siete regidores, electos por planilla según el principio de mayoría relativa y hasta seis regidores designados según el principio de </w:t>
      </w:r>
      <w:r w:rsidRPr="00F55CEC">
        <w:rPr>
          <w:rFonts w:ascii="Palatino Linotype" w:eastAsia="Palatino Linotype" w:hAnsi="Palatino Linotype" w:cs="Palatino Linotype"/>
          <w:i/>
          <w:sz w:val="22"/>
          <w:szCs w:val="22"/>
        </w:rPr>
        <w:lastRenderedPageBreak/>
        <w:t>representación proporcional, cuando se trate de municipios que tengan una población de más de 150 mil y menos de 500 mil habitantes;</w:t>
      </w:r>
    </w:p>
    <w:p w14:paraId="185BD1E4" w14:textId="77777777" w:rsidR="00B16304" w:rsidRPr="00F55CEC" w:rsidRDefault="00F52AF7">
      <w:pPr>
        <w:ind w:left="851" w:right="567"/>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14:paraId="158FC83C" w14:textId="77777777" w:rsidR="00B16304" w:rsidRPr="00F55CEC" w:rsidRDefault="00F52AF7">
      <w:pPr>
        <w:ind w:left="851" w:right="567"/>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habitantes.”(Sic).</w:t>
      </w:r>
    </w:p>
    <w:p w14:paraId="4801664F" w14:textId="77777777" w:rsidR="00B16304" w:rsidRPr="00F55CEC" w:rsidRDefault="00B16304">
      <w:pPr>
        <w:tabs>
          <w:tab w:val="left" w:pos="567"/>
        </w:tabs>
        <w:spacing w:line="360" w:lineRule="auto"/>
        <w:ind w:left="567" w:right="567"/>
        <w:jc w:val="both"/>
        <w:rPr>
          <w:rFonts w:ascii="Palatino Linotype" w:eastAsia="Palatino Linotype" w:hAnsi="Palatino Linotype" w:cs="Palatino Linotype"/>
          <w:sz w:val="22"/>
          <w:szCs w:val="22"/>
        </w:rPr>
      </w:pPr>
    </w:p>
    <w:p w14:paraId="78BECD98" w14:textId="77777777" w:rsidR="00B16304" w:rsidRPr="00F55CEC" w:rsidRDefault="00F52AF7">
      <w:pPr>
        <w:spacing w:line="360" w:lineRule="auto"/>
        <w:ind w:right="-567"/>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En este orden de ideas el artículo 28 y 48 de la Ley Orgánica Municipal del Estado de México,</w:t>
      </w:r>
      <w:r w:rsidRPr="00F55CEC">
        <w:rPr>
          <w:rFonts w:ascii="Palatino Linotype" w:eastAsia="Palatino Linotype" w:hAnsi="Palatino Linotype" w:cs="Palatino Linotype"/>
          <w:b/>
          <w:sz w:val="22"/>
          <w:szCs w:val="22"/>
        </w:rPr>
        <w:t xml:space="preserve"> </w:t>
      </w:r>
      <w:r w:rsidRPr="00F55CEC">
        <w:rPr>
          <w:rFonts w:ascii="Palatino Linotype" w:eastAsia="Palatino Linotype" w:hAnsi="Palatino Linotype" w:cs="Palatino Linotype"/>
          <w:sz w:val="22"/>
          <w:szCs w:val="22"/>
        </w:rPr>
        <w:t>establece lo siguiente:</w:t>
      </w:r>
    </w:p>
    <w:p w14:paraId="4AE24BCF" w14:textId="77777777" w:rsidR="00B16304" w:rsidRPr="00F55CEC" w:rsidRDefault="00B16304">
      <w:pPr>
        <w:spacing w:line="360" w:lineRule="auto"/>
        <w:ind w:left="426" w:right="-567"/>
        <w:jc w:val="both"/>
        <w:rPr>
          <w:rFonts w:ascii="Palatino Linotype" w:eastAsia="Palatino Linotype" w:hAnsi="Palatino Linotype" w:cs="Palatino Linotype"/>
          <w:sz w:val="22"/>
          <w:szCs w:val="22"/>
        </w:rPr>
      </w:pPr>
    </w:p>
    <w:p w14:paraId="66832D52"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“Artículo 28.- Los ayuntamientos </w:t>
      </w:r>
      <w:r w:rsidRPr="00F55CEC">
        <w:rPr>
          <w:rFonts w:ascii="Palatino Linotype" w:eastAsia="Palatino Linotype" w:hAnsi="Palatino Linotype" w:cs="Palatino Linotype"/>
          <w:b/>
          <w:i/>
          <w:sz w:val="22"/>
          <w:szCs w:val="22"/>
        </w:rPr>
        <w:t xml:space="preserve">sesionarán cuando menos una vez cada ocho días en </w:t>
      </w:r>
      <w:r w:rsidRPr="00F55CEC">
        <w:rPr>
          <w:rFonts w:ascii="Palatino Linotype" w:eastAsia="Palatino Linotype" w:hAnsi="Palatino Linotype" w:cs="Palatino Linotype"/>
          <w:b/>
          <w:i/>
          <w:sz w:val="22"/>
          <w:szCs w:val="22"/>
          <w:u w:val="single"/>
        </w:rPr>
        <w:t>sesión ordinaria</w:t>
      </w:r>
      <w:r w:rsidRPr="00F55CEC">
        <w:rPr>
          <w:rFonts w:ascii="Palatino Linotype" w:eastAsia="Palatino Linotype" w:hAnsi="Palatino Linotype" w:cs="Palatino Linotype"/>
          <w:b/>
          <w:i/>
          <w:sz w:val="22"/>
          <w:szCs w:val="22"/>
        </w:rPr>
        <w:t xml:space="preserve"> o cuantas veces sea necesario en asuntos de urgente resolución por medio de </w:t>
      </w:r>
      <w:r w:rsidRPr="00F55CEC">
        <w:rPr>
          <w:rFonts w:ascii="Palatino Linotype" w:eastAsia="Palatino Linotype" w:hAnsi="Palatino Linotype" w:cs="Palatino Linotype"/>
          <w:b/>
          <w:i/>
          <w:sz w:val="22"/>
          <w:szCs w:val="22"/>
          <w:u w:val="single"/>
        </w:rPr>
        <w:t>sesiones extraordinarias</w:t>
      </w:r>
      <w:r w:rsidRPr="00F55CEC">
        <w:rPr>
          <w:rFonts w:ascii="Palatino Linotype" w:eastAsia="Palatino Linotype" w:hAnsi="Palatino Linotype" w:cs="Palatino Linotype"/>
          <w:i/>
          <w:sz w:val="22"/>
          <w:szCs w:val="22"/>
        </w:rPr>
        <w:t xml:space="preserve">, a petición de la mayoría de sus miembros y podrán declararse en sesión permanente cuando la importancia del asunto lo requiera. </w:t>
      </w:r>
    </w:p>
    <w:p w14:paraId="516E9CEC" w14:textId="77777777" w:rsidR="00B16304" w:rsidRPr="00F55CEC" w:rsidRDefault="00F52AF7">
      <w:pPr>
        <w:tabs>
          <w:tab w:val="left" w:pos="851"/>
        </w:tabs>
        <w:ind w:left="851" w:right="616"/>
        <w:jc w:val="both"/>
        <w:rPr>
          <w:rFonts w:ascii="Palatino Linotype" w:eastAsia="Palatino Linotype" w:hAnsi="Palatino Linotype" w:cs="Palatino Linotype"/>
          <w:b/>
          <w:i/>
          <w:sz w:val="22"/>
          <w:szCs w:val="22"/>
          <w:u w:val="single"/>
        </w:rPr>
      </w:pPr>
      <w:r w:rsidRPr="00F55CEC">
        <w:rPr>
          <w:rFonts w:ascii="Palatino Linotype" w:eastAsia="Palatino Linotype" w:hAnsi="Palatino Linotype" w:cs="Palatino Linotype"/>
          <w:b/>
          <w:i/>
          <w:sz w:val="22"/>
          <w:szCs w:val="22"/>
          <w:u w:val="single"/>
        </w:rPr>
        <w:t>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14:paraId="1B86E66C"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Las sesiones de los ayuntamientos se celebrarán en la sala de cabildos; y cuando la solemnidad del caso lo requiera, en el recinto previamente declarado oficial para tal objeto. </w:t>
      </w:r>
    </w:p>
    <w:p w14:paraId="21428B29"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Los Ayuntamientos deberán publicar el orden del día con un mínimo de doce horas antes de la realización de las sesiones de cabildo en cualquiera de sus modalidades, en la página de internet del municipio, así como en los estrados de la Secretaría del Ayuntamiento, salvo en los casos justificados de emergencia, desastre, amenaza, peligro o riesgo de acuerdo con el Código Administrativo del Estado de México. </w:t>
      </w:r>
    </w:p>
    <w:p w14:paraId="10E17A24"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vivo en la página oficial de internet, plataformas, redes sociales, radio o televisión de acceso gratuito de los municipios, en las cuales se deberá garantizar </w:t>
      </w:r>
      <w:r w:rsidRPr="00F55CEC">
        <w:rPr>
          <w:rFonts w:ascii="Palatino Linotype" w:eastAsia="Palatino Linotype" w:hAnsi="Palatino Linotype" w:cs="Palatino Linotype"/>
          <w:i/>
          <w:sz w:val="22"/>
          <w:szCs w:val="22"/>
        </w:rPr>
        <w:lastRenderedPageBreak/>
        <w:t xml:space="preserve">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 </w:t>
      </w:r>
    </w:p>
    <w:p w14:paraId="35176D2D"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 xml:space="preserve">Los ayuntamientos sesionarán en </w:t>
      </w:r>
      <w:r w:rsidRPr="00F55CEC">
        <w:rPr>
          <w:rFonts w:ascii="Palatino Linotype" w:eastAsia="Palatino Linotype" w:hAnsi="Palatino Linotype" w:cs="Palatino Linotype"/>
          <w:b/>
          <w:i/>
          <w:sz w:val="22"/>
          <w:szCs w:val="22"/>
          <w:u w:val="single"/>
        </w:rPr>
        <w:t>cabildo abierto</w:t>
      </w:r>
      <w:r w:rsidRPr="00F55CEC">
        <w:rPr>
          <w:rFonts w:ascii="Palatino Linotype" w:eastAsia="Palatino Linotype" w:hAnsi="Palatino Linotype" w:cs="Palatino Linotype"/>
          <w:b/>
          <w:i/>
          <w:sz w:val="22"/>
          <w:szCs w:val="22"/>
        </w:rPr>
        <w:t xml:space="preserve"> cuando menos bimestralmente, y de manera anual, durante el mes de agosto, se realizarán cabildos juveniles</w:t>
      </w:r>
      <w:r w:rsidRPr="00F55CEC">
        <w:rPr>
          <w:rFonts w:ascii="Palatino Linotype" w:eastAsia="Palatino Linotype" w:hAnsi="Palatino Linotype" w:cs="Palatino Linotype"/>
          <w:i/>
          <w:sz w:val="22"/>
          <w:szCs w:val="22"/>
        </w:rPr>
        <w:t xml:space="preserve">. </w:t>
      </w:r>
    </w:p>
    <w:p w14:paraId="5EC436BB"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El cabildo abierto son las sesiones que celebra el Ayuntamiento, en las que las personas habitantes involucradas participan directamente con derecho a voz, pero sin voto, a fin de discutir asuntos de interés y con competencia sobre el mismo</w:t>
      </w:r>
      <w:r w:rsidRPr="00F55CEC">
        <w:rPr>
          <w:rFonts w:ascii="Palatino Linotype" w:eastAsia="Palatino Linotype" w:hAnsi="Palatino Linotype" w:cs="Palatino Linotype"/>
          <w:i/>
          <w:sz w:val="22"/>
          <w:szCs w:val="22"/>
        </w:rPr>
        <w:t xml:space="preserve">. </w:t>
      </w:r>
    </w:p>
    <w:p w14:paraId="2874868A"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u w:val="single"/>
        </w:rPr>
        <w:t>El cabildo juvenil</w:t>
      </w:r>
      <w:r w:rsidRPr="00F55CEC">
        <w:rPr>
          <w:rFonts w:ascii="Palatino Linotype" w:eastAsia="Palatino Linotype" w:hAnsi="Palatino Linotype" w:cs="Palatino Linotype"/>
          <w:b/>
          <w:i/>
          <w:sz w:val="22"/>
          <w:szCs w:val="22"/>
        </w:rPr>
        <w:t xml:space="preserve"> son las sesiones que celebra el Ayuntamiento una vez al año, en el marco del Día Internacional de la Juventud, en las que las personas jóvenes habitantes del municipio participan directamente con derecho a voz, pero sin voto, a fin de incentivar su participación e involucramiento en los asuntos públicos, así como discutir cuestiones de interés para la comunidad</w:t>
      </w:r>
      <w:r w:rsidRPr="00F55CEC">
        <w:rPr>
          <w:rFonts w:ascii="Palatino Linotype" w:eastAsia="Palatino Linotype" w:hAnsi="Palatino Linotype" w:cs="Palatino Linotype"/>
          <w:i/>
          <w:sz w:val="22"/>
          <w:szCs w:val="22"/>
        </w:rPr>
        <w:t xml:space="preserve">. En este tipo de sesiones el Ayuntamiento escuchará las opiniones de los participantes quedando asentadas en las actas de las Sesiones, y podrán considerarlas al dictaminar sus resoluciones. </w:t>
      </w:r>
    </w:p>
    <w:p w14:paraId="195A3779"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En el caso de los cabildos juveniles, la persona Titular de la Secretaría del Ayuntamiento remitirá, en un plazo de 15 días hábiles, una copia de dicha acta de sesión de cabildo al Instituto Mexiquense de la Juventud. </w:t>
      </w:r>
    </w:p>
    <w:p w14:paraId="350EE08B"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El Ayuntamiento deberá emitir una convocatoria pública quince días naturales previos a la celebración del Cabildo abierto o juvenil para que las personas habitantes del municipio que tengan interés se registren como participantes ante la Secretaría del Ayuntamiento. </w:t>
      </w:r>
    </w:p>
    <w:p w14:paraId="16C90832"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Para la celebración de las sesiones se deberá contar con un orden del día que contenga como mínimo: </w:t>
      </w:r>
    </w:p>
    <w:p w14:paraId="394C1585"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a) Lista de Asistencia y en su caso declaración del quórum legal; </w:t>
      </w:r>
    </w:p>
    <w:p w14:paraId="36E2615D"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b) Lectura, discusión y en su caso aprobación del acta de la sesión anterior; </w:t>
      </w:r>
    </w:p>
    <w:p w14:paraId="25BE02A8"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c) Aprobación del orden del día; </w:t>
      </w:r>
    </w:p>
    <w:p w14:paraId="0578A0A8"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d) Presentación de asuntos y turno a Comisiones; </w:t>
      </w:r>
    </w:p>
    <w:p w14:paraId="7FB7F44A"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e) Lectura, discusión y en su caso, aprobación de los acuerdos, y </w:t>
      </w:r>
    </w:p>
    <w:p w14:paraId="4F23C1FA"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f) Asuntos generales. </w:t>
      </w:r>
    </w:p>
    <w:p w14:paraId="29D580D8"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Cuando asista público a las sesiones observará respeto y compostura, cuidando quien las presida que por ningún motivo tome parte en las deliberaciones del ayuntamiento, ni exprese manifestaciones que alteren el orden en el recinto. Quien presida la sesión hará preservar el orden público, pudiendo ordenar al infractor abandonar el salón o en caso de reincidencia remitirlo a la autoridad competente para la sanción procedente.</w:t>
      </w:r>
    </w:p>
    <w:p w14:paraId="7EBC9CF5"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lastRenderedPageBreak/>
        <w:t>…</w:t>
      </w:r>
    </w:p>
    <w:p w14:paraId="24DE4F94"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Artículo 48.- La persona titular de la presidencia municipal tiene las siguientes atribuciones: </w:t>
      </w:r>
    </w:p>
    <w:p w14:paraId="7F9F9BE1"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w:t>
      </w:r>
      <w:r w:rsidRPr="00F55CEC">
        <w:rPr>
          <w:rFonts w:ascii="Palatino Linotype" w:eastAsia="Palatino Linotype" w:hAnsi="Palatino Linotype" w:cs="Palatino Linotype"/>
          <w:b/>
          <w:i/>
          <w:sz w:val="22"/>
          <w:szCs w:val="22"/>
        </w:rPr>
        <w:t>. Presidir y dirigir las sesiones del ayuntamiento</w:t>
      </w:r>
    </w:p>
    <w:p w14:paraId="292C1301" w14:textId="77777777" w:rsidR="00B16304" w:rsidRPr="00F55CEC" w:rsidRDefault="00F52AF7">
      <w:pPr>
        <w:tabs>
          <w:tab w:val="left" w:pos="851"/>
        </w:tabs>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w:t>
      </w:r>
    </w:p>
    <w:p w14:paraId="1AE1E867" w14:textId="77777777" w:rsidR="00B16304" w:rsidRPr="00F55CEC" w:rsidRDefault="00F52AF7">
      <w:pPr>
        <w:tabs>
          <w:tab w:val="left" w:pos="851"/>
        </w:tabs>
        <w:ind w:left="851" w:right="616"/>
        <w:jc w:val="both"/>
        <w:rPr>
          <w:rFonts w:ascii="Palatino Linotype" w:eastAsia="Palatino Linotype" w:hAnsi="Palatino Linotype" w:cs="Palatino Linotype"/>
          <w:b/>
          <w:i/>
          <w:sz w:val="22"/>
          <w:szCs w:val="22"/>
        </w:rPr>
      </w:pPr>
      <w:r w:rsidRPr="00F55CEC">
        <w:rPr>
          <w:rFonts w:ascii="Palatino Linotype" w:eastAsia="Palatino Linotype" w:hAnsi="Palatino Linotype" w:cs="Palatino Linotype"/>
          <w:b/>
          <w:i/>
          <w:sz w:val="22"/>
          <w:szCs w:val="22"/>
        </w:rPr>
        <w:t>V. Convocar a sesiones ordinarias y extraordinarias a los integrantes del ayuntamiento…” (Sic)</w:t>
      </w:r>
    </w:p>
    <w:p w14:paraId="679D857E" w14:textId="77777777" w:rsidR="00B16304" w:rsidRPr="00F55CEC" w:rsidRDefault="00B16304">
      <w:pPr>
        <w:tabs>
          <w:tab w:val="left" w:pos="851"/>
        </w:tabs>
        <w:ind w:left="851" w:right="616"/>
        <w:jc w:val="both"/>
        <w:rPr>
          <w:rFonts w:ascii="Palatino Linotype" w:eastAsia="Palatino Linotype" w:hAnsi="Palatino Linotype" w:cs="Palatino Linotype"/>
          <w:b/>
          <w:i/>
          <w:sz w:val="22"/>
          <w:szCs w:val="22"/>
        </w:rPr>
      </w:pPr>
    </w:p>
    <w:p w14:paraId="211716F4" w14:textId="77777777" w:rsidR="00B16304" w:rsidRPr="00F55CEC" w:rsidRDefault="00F52AF7">
      <w:pP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De los anteriores preceptos legales podemos advertir que el Ayuntamiento de Tecámac de la presente administración debió haber celebrado sesiones de cabildo, las cuales se enlistas a continuación:</w:t>
      </w:r>
    </w:p>
    <w:p w14:paraId="0DD862DD"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4155720E" w14:textId="77777777" w:rsidR="00B16304" w:rsidRPr="00F55CEC" w:rsidRDefault="00F52AF7">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Sesiones de cabildo ordinarias, cuando menos una vez cada ocho días.</w:t>
      </w:r>
    </w:p>
    <w:p w14:paraId="06055EA7" w14:textId="77777777" w:rsidR="00B16304" w:rsidRPr="00F55CEC" w:rsidRDefault="00F52AF7">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Sesiones de cabildo extraordinarias, cuantas veces sea necesario en asuntos de urgente resolución.</w:t>
      </w:r>
    </w:p>
    <w:p w14:paraId="170CDECC" w14:textId="77777777" w:rsidR="00B16304" w:rsidRPr="00F55CEC" w:rsidRDefault="00F52AF7">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Sesiones de cabildo abierto, cuando menos bimestralmente.</w:t>
      </w:r>
    </w:p>
    <w:p w14:paraId="63CBFF70" w14:textId="77777777" w:rsidR="00B16304" w:rsidRPr="00F55CEC" w:rsidRDefault="00F52AF7">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Sesiones de cabildo juvenil, cuando menos una vez al año. </w:t>
      </w:r>
    </w:p>
    <w:p w14:paraId="241368E5" w14:textId="77777777" w:rsidR="00B16304" w:rsidRPr="00F55CEC" w:rsidRDefault="00B1630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7ABE0AD" w14:textId="77777777" w:rsidR="00B16304" w:rsidRPr="00F55CEC" w:rsidRDefault="00F52AF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Del mismo modo se advierte que las sesiones de los ayuntamientos serán públicas y </w:t>
      </w:r>
      <w:r w:rsidRPr="00F55CEC">
        <w:rPr>
          <w:rFonts w:ascii="Palatino Linotype" w:eastAsia="Palatino Linotype" w:hAnsi="Palatino Linotype" w:cs="Palatino Linotype"/>
          <w:sz w:val="22"/>
          <w:szCs w:val="22"/>
          <w:u w:val="single"/>
        </w:rPr>
        <w:t>deberán transmitirse en vivo a través de su página oficial de internet</w:t>
      </w:r>
      <w:r w:rsidRPr="00F55CEC">
        <w:rPr>
          <w:rFonts w:ascii="Palatino Linotype" w:eastAsia="Palatino Linotype" w:hAnsi="Palatino Linotype" w:cs="Palatino Linotype"/>
          <w:sz w:val="22"/>
          <w:szCs w:val="22"/>
        </w:rPr>
        <w:t>, plataformas, redes sociales, radio o televisión de acceso gratuito, debiendo garantizar la identificación de los miembros del cabildo mencionando su nombre y cargo, así como sus intervenciones y el sentido de su voto.</w:t>
      </w:r>
    </w:p>
    <w:p w14:paraId="37D70B44" w14:textId="77777777" w:rsidR="00B16304" w:rsidRPr="00F55CEC" w:rsidRDefault="00B1630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FD7EEF1" w14:textId="77777777" w:rsidR="00B16304" w:rsidRPr="00F55CEC" w:rsidRDefault="00F52AF7">
      <w:pPr>
        <w:spacing w:line="360" w:lineRule="auto"/>
        <w:ind w:right="4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sz w:val="22"/>
          <w:szCs w:val="22"/>
        </w:rPr>
        <w:t>Es transcendental mencionar que el Ayuntamiento, como órgano colegiado y deliberante, es la autoridad máxima en un municipio, y cuyas decisiones se establecen a través de las sesiones de cabildo que para tal efecto lleve a cabo, tal y como lo establece el artículo 30 de la misma Ley Orgánica que a la letra dice:</w:t>
      </w:r>
    </w:p>
    <w:p w14:paraId="29F67915" w14:textId="77777777" w:rsidR="00B16304" w:rsidRPr="00F55CEC" w:rsidRDefault="00B16304">
      <w:pPr>
        <w:spacing w:line="360" w:lineRule="auto"/>
        <w:ind w:left="426" w:right="-567"/>
        <w:jc w:val="both"/>
        <w:rPr>
          <w:rFonts w:ascii="Palatino Linotype" w:eastAsia="Palatino Linotype" w:hAnsi="Palatino Linotype" w:cs="Palatino Linotype"/>
          <w:i/>
          <w:sz w:val="22"/>
          <w:szCs w:val="22"/>
        </w:rPr>
      </w:pPr>
    </w:p>
    <w:p w14:paraId="6F8FD2D3"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lastRenderedPageBreak/>
        <w:t>“</w:t>
      </w:r>
      <w:r w:rsidRPr="00F55CEC">
        <w:rPr>
          <w:rFonts w:ascii="Palatino Linotype" w:eastAsia="Palatino Linotype" w:hAnsi="Palatino Linotype" w:cs="Palatino Linotype"/>
          <w:b/>
          <w:i/>
          <w:sz w:val="22"/>
          <w:szCs w:val="22"/>
        </w:rPr>
        <w:t>Artículo 30. Las sesiones del ayuntamiento serán presididas por el presidente municipal</w:t>
      </w:r>
      <w:r w:rsidRPr="00F55CEC">
        <w:rPr>
          <w:rFonts w:ascii="Palatino Linotype" w:eastAsia="Palatino Linotype" w:hAnsi="Palatino Linotype" w:cs="Palatino Linotype"/>
          <w:i/>
          <w:sz w:val="22"/>
          <w:szCs w:val="22"/>
        </w:rPr>
        <w:t xml:space="preserve"> o por quien lo sustituya legalmente; </w:t>
      </w:r>
      <w:r w:rsidRPr="00F55CEC">
        <w:rPr>
          <w:rFonts w:ascii="Palatino Linotype" w:eastAsia="Palatino Linotype" w:hAnsi="Palatino Linotype" w:cs="Palatino Linotype"/>
          <w:b/>
          <w:i/>
          <w:sz w:val="22"/>
          <w:szCs w:val="22"/>
          <w:u w:val="single"/>
        </w:rPr>
        <w:t>constarán en un libro que deberá contener las actas en las cuales deberán asentarse los extractos de los acuerdos y asuntos tratados y el resultado de la votación</w:t>
      </w:r>
      <w:r w:rsidRPr="00F55CEC">
        <w:rPr>
          <w:rFonts w:ascii="Palatino Linotype" w:eastAsia="Palatino Linotype" w:hAnsi="Palatino Linotype" w:cs="Palatino Linotype"/>
          <w:i/>
          <w:sz w:val="22"/>
          <w:szCs w:val="22"/>
        </w:rPr>
        <w:t xml:space="preserve">. </w:t>
      </w:r>
    </w:p>
    <w:p w14:paraId="7B97CB54"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p>
    <w:p w14:paraId="09605E43"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 xml:space="preserve">De las actas, se les entregará copia certificada en formato físico o electrónico a los integrantes del Ayuntamiento que lo soliciten en un plazo no mayor de ocho días hábiles. </w:t>
      </w:r>
    </w:p>
    <w:p w14:paraId="510CF6D9"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Los documentos electrónicos en el que consten las firmas electrónicas avanzadas o el sello electrónico de los integrantes del Ayuntamiento tendrá el carácter de copia certificada. </w:t>
      </w:r>
    </w:p>
    <w:p w14:paraId="7966B9BF"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14:paraId="74F0C932"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Para cada sesión se deberá contar con una versión estenográfica o videograbada que permita hacer las aclaraciones pertinentes, la cual formará parte del acta correspondiente. </w:t>
      </w:r>
      <w:r w:rsidRPr="00F55CEC">
        <w:rPr>
          <w:rFonts w:ascii="Palatino Linotype" w:eastAsia="Palatino Linotype" w:hAnsi="Palatino Linotype" w:cs="Palatino Linotype"/>
          <w:b/>
          <w:i/>
          <w:sz w:val="22"/>
          <w:szCs w:val="22"/>
          <w:u w:val="single"/>
        </w:rPr>
        <w:t>La versión estenográfica o videograbada deberá estar disponible en la página de internet del Ayuntamiento</w:t>
      </w:r>
      <w:r w:rsidRPr="00F55CEC">
        <w:rPr>
          <w:rFonts w:ascii="Palatino Linotype" w:eastAsia="Palatino Linotype" w:hAnsi="Palatino Linotype" w:cs="Palatino Linotype"/>
          <w:i/>
          <w:sz w:val="22"/>
          <w:szCs w:val="22"/>
        </w:rPr>
        <w:t xml:space="preserve"> y en las oficinas de la Secretaría del Ayuntamiento.” (Sic)</w:t>
      </w:r>
    </w:p>
    <w:p w14:paraId="54638A42" w14:textId="77777777" w:rsidR="00B16304" w:rsidRPr="00F55CEC" w:rsidRDefault="00B16304">
      <w:pPr>
        <w:spacing w:line="360" w:lineRule="auto"/>
        <w:ind w:left="426" w:right="616"/>
        <w:jc w:val="both"/>
        <w:rPr>
          <w:rFonts w:ascii="Palatino Linotype" w:eastAsia="Palatino Linotype" w:hAnsi="Palatino Linotype" w:cs="Palatino Linotype"/>
          <w:i/>
          <w:sz w:val="22"/>
          <w:szCs w:val="22"/>
        </w:rPr>
      </w:pPr>
    </w:p>
    <w:p w14:paraId="09BBF300" w14:textId="77777777" w:rsidR="00B16304" w:rsidRPr="00F55CEC" w:rsidRDefault="00F52AF7">
      <w:pPr>
        <w:spacing w:line="360" w:lineRule="auto"/>
        <w:ind w:right="-567"/>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sz w:val="22"/>
          <w:szCs w:val="22"/>
        </w:rPr>
        <w:t>De igual forma, el artículo 91 de dicho ordenamiento señala:</w:t>
      </w:r>
    </w:p>
    <w:p w14:paraId="0A66057E" w14:textId="77777777" w:rsidR="00B16304" w:rsidRPr="00F55CEC" w:rsidRDefault="00B16304">
      <w:pPr>
        <w:ind w:left="851"/>
        <w:jc w:val="both"/>
        <w:rPr>
          <w:rFonts w:ascii="Palatino Linotype" w:eastAsia="Palatino Linotype" w:hAnsi="Palatino Linotype" w:cs="Palatino Linotype"/>
          <w:b/>
          <w:i/>
          <w:sz w:val="22"/>
          <w:szCs w:val="22"/>
        </w:rPr>
      </w:pPr>
    </w:p>
    <w:p w14:paraId="06ED78FC"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“Artículo 91.- La Secretaría del Ayuntamiento estará a cargo de un Secretario</w:t>
      </w:r>
      <w:r w:rsidRPr="00F55CEC">
        <w:rPr>
          <w:rFonts w:ascii="Palatino Linotype" w:eastAsia="Palatino Linotype" w:hAnsi="Palatino Linotype" w:cs="Palatino Linotype"/>
          <w:i/>
          <w:sz w:val="22"/>
          <w:szCs w:val="22"/>
        </w:rPr>
        <w:t xml:space="preserve">, el que, sin ser miembro del mismo, deberá ser nombrado por el propio Ayuntamiento a propuesta del Presidente Municipal como lo marca el artículo 31 de la presente ley. Sus faltas temporales serán cubiertas por quien designe el Ayuntamiento y </w:t>
      </w:r>
      <w:r w:rsidRPr="00F55CEC">
        <w:rPr>
          <w:rFonts w:ascii="Palatino Linotype" w:eastAsia="Palatino Linotype" w:hAnsi="Palatino Linotype" w:cs="Palatino Linotype"/>
          <w:b/>
          <w:i/>
          <w:sz w:val="22"/>
          <w:szCs w:val="22"/>
        </w:rPr>
        <w:t>sus atribuciones son las siguientes</w:t>
      </w:r>
      <w:r w:rsidRPr="00F55CEC">
        <w:rPr>
          <w:rFonts w:ascii="Palatino Linotype" w:eastAsia="Palatino Linotype" w:hAnsi="Palatino Linotype" w:cs="Palatino Linotype"/>
          <w:i/>
          <w:sz w:val="22"/>
          <w:szCs w:val="22"/>
        </w:rPr>
        <w:t>:</w:t>
      </w:r>
    </w:p>
    <w:p w14:paraId="5F471697" w14:textId="77777777" w:rsidR="00B16304" w:rsidRPr="00F55CEC" w:rsidRDefault="00F52AF7">
      <w:pPr>
        <w:ind w:left="851" w:right="616"/>
        <w:jc w:val="both"/>
        <w:rPr>
          <w:rFonts w:ascii="Palatino Linotype" w:eastAsia="Palatino Linotype" w:hAnsi="Palatino Linotype" w:cs="Palatino Linotype"/>
          <w:b/>
          <w:i/>
          <w:sz w:val="22"/>
          <w:szCs w:val="22"/>
        </w:rPr>
      </w:pPr>
      <w:r w:rsidRPr="00F55CEC">
        <w:rPr>
          <w:rFonts w:ascii="Palatino Linotype" w:eastAsia="Palatino Linotype" w:hAnsi="Palatino Linotype" w:cs="Palatino Linotype"/>
          <w:b/>
          <w:i/>
          <w:sz w:val="22"/>
          <w:szCs w:val="22"/>
        </w:rPr>
        <w:t>I. Asistir a las sesiones del ayuntamiento y levantar las actas correspondientes;</w:t>
      </w:r>
    </w:p>
    <w:p w14:paraId="453A7DCA" w14:textId="77777777" w:rsidR="00B16304" w:rsidRPr="00F55CEC" w:rsidRDefault="00F52AF7">
      <w:pPr>
        <w:ind w:left="851" w:right="616"/>
        <w:jc w:val="both"/>
        <w:rPr>
          <w:rFonts w:ascii="Palatino Linotype" w:eastAsia="Palatino Linotype" w:hAnsi="Palatino Linotype" w:cs="Palatino Linotype"/>
          <w:b/>
          <w:i/>
          <w:sz w:val="22"/>
          <w:szCs w:val="22"/>
        </w:rPr>
      </w:pPr>
      <w:r w:rsidRPr="00F55CEC">
        <w:rPr>
          <w:rFonts w:ascii="Palatino Linotype" w:eastAsia="Palatino Linotype" w:hAnsi="Palatino Linotype" w:cs="Palatino Linotype"/>
          <w:b/>
          <w:i/>
          <w:sz w:val="22"/>
          <w:szCs w:val="22"/>
        </w:rPr>
        <w:t>…</w:t>
      </w:r>
    </w:p>
    <w:p w14:paraId="6FF88D8A"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III. Dar cuenta en la primera sesión de cada mes</w:t>
      </w:r>
      <w:r w:rsidRPr="00F55CEC">
        <w:rPr>
          <w:rFonts w:ascii="Palatino Linotype" w:eastAsia="Palatino Linotype" w:hAnsi="Palatino Linotype" w:cs="Palatino Linotype"/>
          <w:i/>
          <w:sz w:val="22"/>
          <w:szCs w:val="22"/>
        </w:rPr>
        <w:t xml:space="preserve">, </w:t>
      </w:r>
      <w:r w:rsidRPr="00F55CEC">
        <w:rPr>
          <w:rFonts w:ascii="Palatino Linotype" w:eastAsia="Palatino Linotype" w:hAnsi="Palatino Linotype" w:cs="Palatino Linotype"/>
          <w:b/>
          <w:i/>
          <w:sz w:val="22"/>
          <w:szCs w:val="22"/>
        </w:rPr>
        <w:t>del número</w:t>
      </w:r>
      <w:r w:rsidRPr="00F55CEC">
        <w:rPr>
          <w:rFonts w:ascii="Palatino Linotype" w:eastAsia="Palatino Linotype" w:hAnsi="Palatino Linotype" w:cs="Palatino Linotype"/>
          <w:i/>
          <w:sz w:val="22"/>
          <w:szCs w:val="22"/>
        </w:rPr>
        <w:t xml:space="preserve"> y contenido de los expedientes pasados a comisión, con mención de los que hayan sido resueltos y de los pendientes;</w:t>
      </w:r>
    </w:p>
    <w:p w14:paraId="2D5ADB33"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lastRenderedPageBreak/>
        <w:t>…</w:t>
      </w:r>
    </w:p>
    <w:p w14:paraId="1197F4F1"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IV. Llevar y conservar los libros de actas de cabildo, obteniendo las firmas de los asistentes a las sesiones… (Sic)</w:t>
      </w:r>
    </w:p>
    <w:p w14:paraId="0D9C8AFC" w14:textId="77777777" w:rsidR="00B16304" w:rsidRPr="00F55CEC" w:rsidRDefault="00B16304">
      <w:pPr>
        <w:spacing w:line="360" w:lineRule="auto"/>
        <w:ind w:right="-567"/>
        <w:jc w:val="both"/>
        <w:rPr>
          <w:rFonts w:ascii="Palatino Linotype" w:eastAsia="Palatino Linotype" w:hAnsi="Palatino Linotype" w:cs="Palatino Linotype"/>
          <w:i/>
          <w:sz w:val="22"/>
          <w:szCs w:val="22"/>
        </w:rPr>
      </w:pPr>
    </w:p>
    <w:p w14:paraId="498C9952" w14:textId="77777777" w:rsidR="00B16304" w:rsidRPr="00F55CEC" w:rsidRDefault="00F52AF7">
      <w:pP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Con base en lo anterior, se acredita que el Ayuntamiento de Tecámac, como órgano colegiado, tuvo que sesionar ordinariamente cuando menos una vez cada ocho días, con la mayoría de sus integrantes, mismas que debieron ser transmitidas en vivo a través de su página oficial de internet, plataformas, redes sociales, radio o televisión de acceso gratuito para el conocimiento de los habitantes del municipio, las cuales serán presididas por el Presidente Municipal de </w:t>
      </w:r>
      <w:r w:rsidRPr="00F55CEC">
        <w:rPr>
          <w:rFonts w:ascii="Palatino Linotype" w:eastAsia="Palatino Linotype" w:hAnsi="Palatino Linotype" w:cs="Palatino Linotype"/>
          <w:b/>
          <w:sz w:val="22"/>
          <w:szCs w:val="22"/>
        </w:rPr>
        <w:t xml:space="preserve">Sujeto Obligado. </w:t>
      </w:r>
    </w:p>
    <w:p w14:paraId="31E2CC56"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64C5C825" w14:textId="77777777" w:rsidR="00B16304" w:rsidRPr="00F55CEC" w:rsidRDefault="00F52AF7">
      <w:pP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Establecido lo anterior, se advierte que 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xml:space="preserve">, turnó la solicitud de información a la Secretaría del Ayuntamiento; por lo que, es oportuno hacer referencia al </w:t>
      </w:r>
      <w:r w:rsidRPr="00F55CEC">
        <w:rPr>
          <w:rFonts w:ascii="Palatino Linotype" w:eastAsia="Palatino Linotype" w:hAnsi="Palatino Linotype" w:cs="Palatino Linotype"/>
          <w:b/>
          <w:sz w:val="22"/>
          <w:szCs w:val="22"/>
        </w:rPr>
        <w:t>procedimiento de búsqueda que deben de seguir los Sujetos Obligados para localizar la información</w:t>
      </w:r>
      <w:r w:rsidRPr="00F55CEC">
        <w:rPr>
          <w:rFonts w:ascii="Palatino Linotype" w:eastAsia="Palatino Linotype" w:hAnsi="Palatino Linotype" w:cs="Palatino Linotype"/>
          <w:sz w:val="22"/>
          <w:szCs w:val="22"/>
        </w:rPr>
        <w:t>, el cual se encuentra previsto en los artículos 160 y 162 de la Ley de Transparencia y Acceso a la Información Pública del Estado de México y Municipios, mismo que es el siguiente:</w:t>
      </w:r>
    </w:p>
    <w:p w14:paraId="129C2988" w14:textId="77777777" w:rsidR="00B16304" w:rsidRPr="00F55CEC" w:rsidRDefault="00B16304">
      <w:pPr>
        <w:spacing w:line="360" w:lineRule="auto"/>
        <w:rPr>
          <w:rFonts w:ascii="Palatino Linotype" w:eastAsia="Palatino Linotype" w:hAnsi="Palatino Linotype" w:cs="Palatino Linotype"/>
          <w:sz w:val="22"/>
          <w:szCs w:val="22"/>
        </w:rPr>
      </w:pPr>
    </w:p>
    <w:p w14:paraId="0BF20413" w14:textId="77777777" w:rsidR="00B16304" w:rsidRPr="00F55CEC" w:rsidRDefault="00F52AF7">
      <w:pPr>
        <w:numPr>
          <w:ilvl w:val="0"/>
          <w:numId w:val="4"/>
        </w:num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 y</w:t>
      </w:r>
    </w:p>
    <w:p w14:paraId="5E93132F" w14:textId="77777777" w:rsidR="00B16304" w:rsidRPr="00F55CEC" w:rsidRDefault="00B16304">
      <w:pPr>
        <w:spacing w:line="360" w:lineRule="auto"/>
        <w:ind w:left="720"/>
        <w:jc w:val="both"/>
        <w:rPr>
          <w:rFonts w:ascii="Palatino Linotype" w:eastAsia="Palatino Linotype" w:hAnsi="Palatino Linotype" w:cs="Palatino Linotype"/>
          <w:sz w:val="22"/>
          <w:szCs w:val="22"/>
        </w:rPr>
      </w:pPr>
    </w:p>
    <w:p w14:paraId="4B53DA73" w14:textId="77777777" w:rsidR="00B16304" w:rsidRPr="00F55CEC" w:rsidRDefault="00F52AF7">
      <w:pPr>
        <w:numPr>
          <w:ilvl w:val="0"/>
          <w:numId w:val="4"/>
        </w:num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AF04897" w14:textId="77777777" w:rsidR="00B16304" w:rsidRPr="00F55CEC" w:rsidRDefault="00B16304">
      <w:pPr>
        <w:spacing w:line="360" w:lineRule="auto"/>
        <w:rPr>
          <w:rFonts w:ascii="Palatino Linotype" w:eastAsia="Palatino Linotype" w:hAnsi="Palatino Linotype" w:cs="Palatino Linotype"/>
          <w:sz w:val="22"/>
          <w:szCs w:val="22"/>
        </w:rPr>
      </w:pPr>
    </w:p>
    <w:p w14:paraId="1F1DA864"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Así, a efecto de verificar si 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xml:space="preserve"> cumplió con el procedimiento de búsqueda, es necesario traer a colación los artículos 2.85, 2.86 y 2.89 del Código Reglamentario de Tecámac, que establece que el Ayuntamiento cuenta con una Secretaría del Ayuntamiento y una Dirección de Comunicación Social que tendrán las funciones siguientes:</w:t>
      </w:r>
    </w:p>
    <w:p w14:paraId="4FD1CE95"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3EEF0431"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w:t>
      </w:r>
      <w:r w:rsidRPr="00F55CEC">
        <w:rPr>
          <w:rFonts w:ascii="Palatino Linotype" w:eastAsia="Palatino Linotype" w:hAnsi="Palatino Linotype" w:cs="Palatino Linotype"/>
          <w:b/>
          <w:i/>
          <w:sz w:val="22"/>
          <w:szCs w:val="22"/>
        </w:rPr>
        <w:t>Artículo 2.85. La Secretaría del Ayuntamiento</w:t>
      </w:r>
      <w:r w:rsidRPr="00F55CEC">
        <w:rPr>
          <w:rFonts w:ascii="Palatino Linotype" w:eastAsia="Palatino Linotype" w:hAnsi="Palatino Linotype" w:cs="Palatino Linotype"/>
          <w:i/>
          <w:sz w:val="22"/>
          <w:szCs w:val="22"/>
        </w:rPr>
        <w:t xml:space="preserve"> es la dependencia cuyas facultades están previstas en los artículos 28, 30 y 91 de la Ley Orgánica, y sin perjuicio de dichas atribuciones, facilitará a los integrantes del Ayuntamiento los elementos necesarios para el ejercicio de sus funciones.</w:t>
      </w:r>
    </w:p>
    <w:p w14:paraId="7280B260"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w:t>
      </w:r>
    </w:p>
    <w:p w14:paraId="4E480044"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La Secretaría del Ayuntamiento estará a cargo de una persona titular que será denominada “Secretario o Secretaria del Ayuntamiento” el que, sin ser miembro del mismo, deberá ser nombrado por el propio Ayuntamiento a propuesta de la Presidencia Municipal. Sus faltas temporales serán cubiertas por quien designe el Ayuntamiento y sus atribuciones son las siguientes:</w:t>
      </w:r>
    </w:p>
    <w:p w14:paraId="3B3F000E" w14:textId="77777777" w:rsidR="00B16304" w:rsidRPr="00F55CEC" w:rsidRDefault="00B16304">
      <w:pPr>
        <w:tabs>
          <w:tab w:val="left" w:pos="709"/>
        </w:tabs>
        <w:ind w:left="567" w:right="618"/>
        <w:jc w:val="both"/>
        <w:rPr>
          <w:rFonts w:ascii="Palatino Linotype" w:eastAsia="Palatino Linotype" w:hAnsi="Palatino Linotype" w:cs="Palatino Linotype"/>
          <w:i/>
          <w:sz w:val="22"/>
          <w:szCs w:val="22"/>
        </w:rPr>
      </w:pPr>
    </w:p>
    <w:p w14:paraId="7AF1DA45" w14:textId="77777777" w:rsidR="00B16304" w:rsidRPr="00F55CEC" w:rsidRDefault="00F52AF7">
      <w:pPr>
        <w:tabs>
          <w:tab w:val="left" w:pos="709"/>
        </w:tabs>
        <w:ind w:left="567" w:right="618"/>
        <w:jc w:val="both"/>
        <w:rPr>
          <w:rFonts w:ascii="Palatino Linotype" w:eastAsia="Palatino Linotype" w:hAnsi="Palatino Linotype" w:cs="Palatino Linotype"/>
          <w:b/>
          <w:i/>
          <w:sz w:val="22"/>
          <w:szCs w:val="22"/>
        </w:rPr>
      </w:pPr>
      <w:r w:rsidRPr="00F55CEC">
        <w:rPr>
          <w:rFonts w:ascii="Palatino Linotype" w:eastAsia="Palatino Linotype" w:hAnsi="Palatino Linotype" w:cs="Palatino Linotype"/>
          <w:b/>
          <w:i/>
          <w:sz w:val="22"/>
          <w:szCs w:val="22"/>
        </w:rPr>
        <w:t>Artículo 2.86.</w:t>
      </w:r>
      <w:r w:rsidRPr="00F55CEC">
        <w:rPr>
          <w:rFonts w:ascii="Palatino Linotype" w:eastAsia="Palatino Linotype" w:hAnsi="Palatino Linotype" w:cs="Palatino Linotype"/>
          <w:i/>
          <w:sz w:val="22"/>
          <w:szCs w:val="22"/>
        </w:rPr>
        <w:t xml:space="preserve"> Para el desempeño de sus funciones</w:t>
      </w:r>
      <w:r w:rsidRPr="00F55CEC">
        <w:rPr>
          <w:rFonts w:ascii="Palatino Linotype" w:eastAsia="Palatino Linotype" w:hAnsi="Palatino Linotype" w:cs="Palatino Linotype"/>
          <w:b/>
          <w:i/>
          <w:sz w:val="22"/>
          <w:szCs w:val="22"/>
        </w:rPr>
        <w:t>, la Secretaría del Ayuntamiento se auxiliará por las siguientes áreas administrativas:</w:t>
      </w:r>
    </w:p>
    <w:p w14:paraId="2B4F8A52"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 Coordinación de Atención y Seguimiento del Órgano de Gobierno Municipal</w:t>
      </w:r>
    </w:p>
    <w:p w14:paraId="257A2C01" w14:textId="77777777" w:rsidR="00B16304" w:rsidRPr="00F55CEC" w:rsidRDefault="00F52AF7">
      <w:pPr>
        <w:tabs>
          <w:tab w:val="left" w:pos="709"/>
        </w:tabs>
        <w:ind w:left="567" w:right="618"/>
        <w:jc w:val="both"/>
        <w:rPr>
          <w:rFonts w:ascii="Palatino Linotype" w:eastAsia="Palatino Linotype" w:hAnsi="Palatino Linotype" w:cs="Palatino Linotype"/>
          <w:b/>
          <w:i/>
          <w:sz w:val="22"/>
          <w:szCs w:val="22"/>
        </w:rPr>
      </w:pPr>
      <w:r w:rsidRPr="00F55CEC">
        <w:rPr>
          <w:rFonts w:ascii="Palatino Linotype" w:eastAsia="Palatino Linotype" w:hAnsi="Palatino Linotype" w:cs="Palatino Linotype"/>
          <w:b/>
          <w:i/>
          <w:sz w:val="22"/>
          <w:szCs w:val="22"/>
        </w:rPr>
        <w:t>a. Departamento de Actas y Sesiones de Cabildo</w:t>
      </w:r>
    </w:p>
    <w:p w14:paraId="5AF6EF63"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b. Departamento de Seguimiento de Acuerdos y Órganos Colegiados.</w:t>
      </w:r>
    </w:p>
    <w:p w14:paraId="4E4A9EAD"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w:t>
      </w:r>
    </w:p>
    <w:p w14:paraId="1FB63A67" w14:textId="77777777" w:rsidR="00B16304" w:rsidRPr="00F55CEC" w:rsidRDefault="00F52AF7">
      <w:pPr>
        <w:tabs>
          <w:tab w:val="left" w:pos="709"/>
        </w:tabs>
        <w:ind w:left="567" w:right="618"/>
        <w:jc w:val="both"/>
        <w:rPr>
          <w:rFonts w:ascii="Palatino Linotype" w:eastAsia="Palatino Linotype" w:hAnsi="Palatino Linotype" w:cs="Palatino Linotype"/>
          <w:b/>
          <w:i/>
          <w:sz w:val="22"/>
          <w:szCs w:val="22"/>
        </w:rPr>
      </w:pPr>
      <w:r w:rsidRPr="00F55CEC">
        <w:rPr>
          <w:rFonts w:ascii="Palatino Linotype" w:eastAsia="Palatino Linotype" w:hAnsi="Palatino Linotype" w:cs="Palatino Linotype"/>
          <w:b/>
          <w:i/>
          <w:sz w:val="22"/>
          <w:szCs w:val="22"/>
        </w:rPr>
        <w:t>Artículo 2.89. El Departamento de Actas y Sesiones de Cabildo tendrá las siguientes facultades:</w:t>
      </w:r>
    </w:p>
    <w:p w14:paraId="2CEB35F2"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 Elaborar, revisar y resguardar las actas de Cabildo, asegurando su correcta documentación y conservación.</w:t>
      </w:r>
    </w:p>
    <w:p w14:paraId="5681450D"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II. Elaborar, el proyecto de Gaceta Municipal, que integra las actas de cabildo y otros documentos oficiales que requieren ser </w:t>
      </w:r>
      <w:proofErr w:type="spellStart"/>
      <w:r w:rsidRPr="00F55CEC">
        <w:rPr>
          <w:rFonts w:ascii="Palatino Linotype" w:eastAsia="Palatino Linotype" w:hAnsi="Palatino Linotype" w:cs="Palatino Linotype"/>
          <w:i/>
          <w:sz w:val="22"/>
          <w:szCs w:val="22"/>
        </w:rPr>
        <w:t>públicados</w:t>
      </w:r>
      <w:proofErr w:type="spellEnd"/>
      <w:r w:rsidRPr="00F55CEC">
        <w:rPr>
          <w:rFonts w:ascii="Palatino Linotype" w:eastAsia="Palatino Linotype" w:hAnsi="Palatino Linotype" w:cs="Palatino Linotype"/>
          <w:i/>
          <w:sz w:val="22"/>
          <w:szCs w:val="22"/>
        </w:rPr>
        <w:t xml:space="preserve"> conforme a las necesidades del servició.</w:t>
      </w:r>
    </w:p>
    <w:p w14:paraId="3842F025"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III. Organizar las sesiones de Cabildo, verificando que se cumplan los protocolos establecidos y que la información documental sea entregada en tiempo y forma a los integrantes del Órgano de Gobierno.</w:t>
      </w:r>
    </w:p>
    <w:p w14:paraId="7B038EE9"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IV. Asistir en la preparación de la documentación necesaria para las sesiones de Cabildo y dar seguimiento a su integración en el archivo correspondiente.</w:t>
      </w:r>
    </w:p>
    <w:p w14:paraId="528E67D2"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V. Coordinar la logística de las sesiones, incluyendo la verificación de quórum, votaciones y registro de participaciones.</w:t>
      </w:r>
    </w:p>
    <w:p w14:paraId="3C31C1C6" w14:textId="77777777" w:rsidR="00B16304" w:rsidRPr="00F55CEC" w:rsidRDefault="00F52AF7">
      <w:pPr>
        <w:tabs>
          <w:tab w:val="left" w:pos="709"/>
        </w:tabs>
        <w:ind w:left="567" w:right="618"/>
        <w:jc w:val="both"/>
        <w:rPr>
          <w:rFonts w:ascii="Palatino Linotype" w:eastAsia="Palatino Linotype" w:hAnsi="Palatino Linotype" w:cs="Palatino Linotype"/>
          <w:b/>
          <w:i/>
          <w:sz w:val="22"/>
          <w:szCs w:val="22"/>
          <w:u w:val="single"/>
        </w:rPr>
      </w:pPr>
      <w:r w:rsidRPr="00F55CEC">
        <w:rPr>
          <w:rFonts w:ascii="Palatino Linotype" w:eastAsia="Palatino Linotype" w:hAnsi="Palatino Linotype" w:cs="Palatino Linotype"/>
          <w:b/>
          <w:i/>
          <w:sz w:val="22"/>
          <w:szCs w:val="22"/>
          <w:u w:val="single"/>
        </w:rPr>
        <w:lastRenderedPageBreak/>
        <w:t>VI. Proporcionar asistencia técnica para la grabación, transmisión y documentación audiovisual de las sesiones.</w:t>
      </w:r>
    </w:p>
    <w:p w14:paraId="5BE3A4A4"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VII. Auxiliar en la certificación de documentación oficial del Cabildo, bajo la supervisión de la Coordinación.</w:t>
      </w:r>
    </w:p>
    <w:p w14:paraId="47300E01"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VIII. Reportar a la Coordinación de Atención y Seguimiento al Órgano de Gobierno Municipal el cumplimiento de sus funciones y cualquier incidencia detectada.</w:t>
      </w:r>
    </w:p>
    <w:p w14:paraId="199621D2"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w:t>
      </w:r>
    </w:p>
    <w:p w14:paraId="2F9C2685"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 xml:space="preserve">Artículo 2.26. </w:t>
      </w:r>
      <w:r w:rsidRPr="00F55CEC">
        <w:rPr>
          <w:rFonts w:ascii="Palatino Linotype" w:eastAsia="Palatino Linotype" w:hAnsi="Palatino Linotype" w:cs="Palatino Linotype"/>
          <w:i/>
          <w:sz w:val="22"/>
          <w:szCs w:val="22"/>
        </w:rPr>
        <w:t xml:space="preserve">La </w:t>
      </w:r>
      <w:r w:rsidRPr="00F55CEC">
        <w:rPr>
          <w:rFonts w:ascii="Palatino Linotype" w:eastAsia="Palatino Linotype" w:hAnsi="Palatino Linotype" w:cs="Palatino Linotype"/>
          <w:b/>
          <w:i/>
          <w:sz w:val="22"/>
          <w:szCs w:val="22"/>
        </w:rPr>
        <w:t xml:space="preserve">Dirección de Comunicación Social es el área administrativa especializada, que auxilia a la persona titular de la presidencia municipal para la implementación de </w:t>
      </w:r>
      <w:r w:rsidRPr="00F55CEC">
        <w:rPr>
          <w:rFonts w:ascii="Palatino Linotype" w:eastAsia="Palatino Linotype" w:hAnsi="Palatino Linotype" w:cs="Palatino Linotype"/>
          <w:i/>
          <w:sz w:val="22"/>
          <w:szCs w:val="22"/>
        </w:rPr>
        <w:t xml:space="preserve">los lineamientos, políticas y acciones en materia de comunicación social, que entre otros objetivos comprende </w:t>
      </w:r>
      <w:r w:rsidRPr="00F55CEC">
        <w:rPr>
          <w:rFonts w:ascii="Palatino Linotype" w:eastAsia="Palatino Linotype" w:hAnsi="Palatino Linotype" w:cs="Palatino Linotype"/>
          <w:b/>
          <w:i/>
          <w:sz w:val="22"/>
          <w:szCs w:val="22"/>
        </w:rPr>
        <w:t>asesorar a las dependencias administrativas con</w:t>
      </w:r>
      <w:r w:rsidRPr="00F55CEC">
        <w:rPr>
          <w:rFonts w:ascii="Palatino Linotype" w:eastAsia="Palatino Linotype" w:hAnsi="Palatino Linotype" w:cs="Palatino Linotype"/>
          <w:i/>
          <w:sz w:val="22"/>
          <w:szCs w:val="22"/>
        </w:rPr>
        <w:t xml:space="preserve"> el diseño de los manuales y elementos de identidad gráfica, formatos, sellos oficiales, páginas web y de redes sociales y por otro lado, proporcionar a los ciudadanos a través de medios tradicionales de prensa escrita, radio o televisión, al igual que mediante </w:t>
      </w:r>
      <w:r w:rsidRPr="00F55CEC">
        <w:rPr>
          <w:rFonts w:ascii="Palatino Linotype" w:eastAsia="Palatino Linotype" w:hAnsi="Palatino Linotype" w:cs="Palatino Linotype"/>
          <w:b/>
          <w:i/>
          <w:sz w:val="22"/>
          <w:szCs w:val="22"/>
        </w:rPr>
        <w:t>la creación, administración y actualización en perfiles oficiales de redes sociales de información objetiva, clara, oportuna y puntual sobre los programas, proyectos y acciones que lleve a cabo el gobierno municipal</w:t>
      </w:r>
      <w:r w:rsidRPr="00F55CEC">
        <w:rPr>
          <w:rFonts w:ascii="Palatino Linotype" w:eastAsia="Palatino Linotype" w:hAnsi="Palatino Linotype" w:cs="Palatino Linotype"/>
          <w:i/>
          <w:sz w:val="22"/>
          <w:szCs w:val="22"/>
        </w:rPr>
        <w:t xml:space="preserve"> y sus dependencias al igual que sobre la problemática del municipio y sus comunidades; las acciones de beneficio social de los otros órdenes de gobierno y poderes de la unión y del Estado.</w:t>
      </w:r>
    </w:p>
    <w:p w14:paraId="147E7CC2"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Artículo 2.27.</w:t>
      </w:r>
      <w:r w:rsidRPr="00F55CEC">
        <w:rPr>
          <w:rFonts w:ascii="Palatino Linotype" w:eastAsia="Palatino Linotype" w:hAnsi="Palatino Linotype" w:cs="Palatino Linotype"/>
          <w:i/>
          <w:sz w:val="22"/>
          <w:szCs w:val="22"/>
        </w:rPr>
        <w:t xml:space="preserve"> Su titular será denominado o denominada titular de la Dirección de Comunicación Social y tendrá las siguientes </w:t>
      </w:r>
      <w:r w:rsidRPr="00F55CEC">
        <w:rPr>
          <w:rFonts w:ascii="Palatino Linotype" w:eastAsia="Palatino Linotype" w:hAnsi="Palatino Linotype" w:cs="Palatino Linotype"/>
          <w:b/>
          <w:i/>
          <w:sz w:val="22"/>
          <w:szCs w:val="22"/>
        </w:rPr>
        <w:t>facultades y atribuciones</w:t>
      </w:r>
      <w:r w:rsidRPr="00F55CEC">
        <w:rPr>
          <w:rFonts w:ascii="Palatino Linotype" w:eastAsia="Palatino Linotype" w:hAnsi="Palatino Linotype" w:cs="Palatino Linotype"/>
          <w:i/>
          <w:sz w:val="22"/>
          <w:szCs w:val="22"/>
        </w:rPr>
        <w:t>:</w:t>
      </w:r>
    </w:p>
    <w:p w14:paraId="5384DA0B"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 Diseñar, implementar y evaluar los manuales de identidad grafica del gobierno y la administración municipal centralizada y descentralizada;</w:t>
      </w:r>
    </w:p>
    <w:p w14:paraId="2AADC159"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u w:val="single"/>
        </w:rPr>
        <w:t xml:space="preserve">II. Diseñar, operar y actualizar las páginas institucionales de redes sociales del gobierno </w:t>
      </w:r>
      <w:r w:rsidRPr="00F55CEC">
        <w:rPr>
          <w:rFonts w:ascii="Palatino Linotype" w:eastAsia="Palatino Linotype" w:hAnsi="Palatino Linotype" w:cs="Palatino Linotype"/>
          <w:i/>
          <w:sz w:val="22"/>
          <w:szCs w:val="22"/>
        </w:rPr>
        <w:t>y en su caso las unidades administrativas de la Administración Pública Municipal centralizada y descentralizada;</w:t>
      </w:r>
    </w:p>
    <w:p w14:paraId="66DF35A4"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III. Diseñar e implementar estrategias para la comunicación tradicional y digital al interior del Ayuntamiento y con la ciudadanía en general;</w:t>
      </w:r>
    </w:p>
    <w:p w14:paraId="1C19CB44"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IV. Promover y difundir los programas, proyectos, obras, acciones, ceremonias y eventos que realice el gobierno y las dependencias de la Administración Pública Municipal;</w:t>
      </w:r>
    </w:p>
    <w:p w14:paraId="2497BEC1"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V. Ser la responsable de la redacción, diseño, corrección de estilo, impresión y estrategia de difusión de los informes de gobierno del o la Persona Titular de la presidencia Municipal; y</w:t>
      </w:r>
    </w:p>
    <w:p w14:paraId="6C7DBDCA" w14:textId="77777777" w:rsidR="00B16304" w:rsidRPr="00F55CEC" w:rsidRDefault="00F52AF7">
      <w:pPr>
        <w:tabs>
          <w:tab w:val="left" w:pos="709"/>
        </w:tabs>
        <w:ind w:left="567" w:right="618"/>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VI. Las demás que en forma expresa le establezcan el Ayuntamiento, la Presidencia Municipal y otros ordenamientos jurídicos aplicables.”</w:t>
      </w:r>
    </w:p>
    <w:p w14:paraId="2EE6D9C2" w14:textId="77777777" w:rsidR="00B16304" w:rsidRPr="00F55CEC" w:rsidRDefault="00B16304">
      <w:pPr>
        <w:tabs>
          <w:tab w:val="left" w:pos="709"/>
        </w:tabs>
        <w:ind w:right="618"/>
        <w:jc w:val="both"/>
        <w:rPr>
          <w:rFonts w:ascii="Palatino Linotype" w:eastAsia="Palatino Linotype" w:hAnsi="Palatino Linotype" w:cs="Palatino Linotype"/>
          <w:i/>
          <w:sz w:val="22"/>
          <w:szCs w:val="22"/>
        </w:rPr>
      </w:pPr>
    </w:p>
    <w:p w14:paraId="693CA630"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Por lo cual, se logra colegir que 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xml:space="preserve"> no cumplió con el procedimiento de búsqueda establecido en el artículo 162 de la Ley de Transparencia y Acceso a la Información </w:t>
      </w:r>
      <w:r w:rsidRPr="00F55CEC">
        <w:rPr>
          <w:rFonts w:ascii="Palatino Linotype" w:eastAsia="Palatino Linotype" w:hAnsi="Palatino Linotype" w:cs="Palatino Linotype"/>
          <w:sz w:val="22"/>
          <w:szCs w:val="22"/>
        </w:rPr>
        <w:lastRenderedPageBreak/>
        <w:t xml:space="preserve">Pública del Estado de México y Municipios, toda vez, que no gestionó el requerimiento de información a todas las áreas competentes para conocer de lo peticionado, a saber, la Dirección de Comunicación Social, encargada de diseñar, operar y actualizar las páginas institucionales de redes sociales del gobierno.  </w:t>
      </w:r>
    </w:p>
    <w:p w14:paraId="56C080EA" w14:textId="77777777" w:rsidR="00B16304" w:rsidRPr="00F55CEC" w:rsidRDefault="00B16304">
      <w:pPr>
        <w:spacing w:line="360" w:lineRule="auto"/>
        <w:rPr>
          <w:rFonts w:ascii="Palatino Linotype" w:eastAsia="Palatino Linotype" w:hAnsi="Palatino Linotype" w:cs="Palatino Linotype"/>
          <w:sz w:val="22"/>
          <w:szCs w:val="22"/>
        </w:rPr>
      </w:pPr>
    </w:p>
    <w:p w14:paraId="321E660D" w14:textId="77777777" w:rsidR="00B16304" w:rsidRPr="00F55CEC" w:rsidRDefault="00F52AF7">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Ahora bien, conviene recordar que en respuesta la Secretaría del Ayuntamiento informó que el Ayuntamiento conforme a lo dispuesto por el artículo 28 de la Ley Orgánica Municipal del Estado de México transmite las sesiones de cabildo en vivo a través de la página oficial de Facebook "</w:t>
      </w:r>
      <w:r w:rsidRPr="00F55CEC">
        <w:rPr>
          <w:rFonts w:ascii="Palatino Linotype" w:eastAsia="Palatino Linotype" w:hAnsi="Palatino Linotype" w:cs="Palatino Linotype"/>
          <w:i/>
          <w:sz w:val="22"/>
          <w:szCs w:val="22"/>
        </w:rPr>
        <w:t>Tecámac, Ayuntamiento del Bicentenario 2025-2027"</w:t>
      </w:r>
      <w:r w:rsidRPr="00F55CEC">
        <w:rPr>
          <w:rFonts w:ascii="Palatino Linotype" w:eastAsia="Palatino Linotype" w:hAnsi="Palatino Linotype" w:cs="Palatino Linotype"/>
          <w:sz w:val="22"/>
          <w:szCs w:val="22"/>
        </w:rPr>
        <w:t xml:space="preserve">, la cual se encuentra disponible para su consulta en el siguiente link de acceso: </w:t>
      </w:r>
      <w:hyperlink r:id="rId11">
        <w:r w:rsidRPr="00F55CEC">
          <w:rPr>
            <w:rFonts w:ascii="Palatino Linotype" w:eastAsia="Palatino Linotype" w:hAnsi="Palatino Linotype" w:cs="Palatino Linotype"/>
            <w:color w:val="0000FF"/>
            <w:sz w:val="22"/>
            <w:szCs w:val="22"/>
            <w:u w:val="single"/>
          </w:rPr>
          <w:t>https://www.facebook.com/AytoTecamac/</w:t>
        </w:r>
      </w:hyperlink>
      <w:r w:rsidRPr="00F55CEC">
        <w:rPr>
          <w:rFonts w:ascii="Palatino Linotype" w:eastAsia="Palatino Linotype" w:hAnsi="Palatino Linotype" w:cs="Palatino Linotype"/>
          <w:sz w:val="22"/>
          <w:szCs w:val="22"/>
        </w:rPr>
        <w:t xml:space="preserve">. </w:t>
      </w:r>
    </w:p>
    <w:p w14:paraId="533DE0C8" w14:textId="77777777" w:rsidR="00B16304" w:rsidRPr="00F55CEC" w:rsidRDefault="00B16304">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p>
    <w:p w14:paraId="07E52D41" w14:textId="77777777" w:rsidR="00B16304" w:rsidRPr="00F55CEC" w:rsidRDefault="00F52AF7">
      <w:pP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Por tal motivo, es necesario precisar que la Ley de Transparencia y Acceso a la Información Pública del Estado de México y Municipios establece en su artículo 11 que en la entrega de la información se deberá garantizar que ésta sea accesible, actualizada, completa, congruente, confiable, verificable, veraz, integral, oportuna y expedita. Asimismo, el artículo 161 de la Ley en comento, refiere lo siguiente:</w:t>
      </w:r>
    </w:p>
    <w:p w14:paraId="7E05CCDC" w14:textId="77777777" w:rsidR="00B16304" w:rsidRPr="00F55CEC" w:rsidRDefault="00B16304">
      <w:pPr>
        <w:spacing w:line="360" w:lineRule="auto"/>
        <w:ind w:left="851" w:right="616"/>
        <w:jc w:val="both"/>
        <w:rPr>
          <w:rFonts w:ascii="Palatino Linotype" w:eastAsia="Palatino Linotype" w:hAnsi="Palatino Linotype" w:cs="Palatino Linotype"/>
          <w:sz w:val="22"/>
          <w:szCs w:val="22"/>
        </w:rPr>
      </w:pPr>
    </w:p>
    <w:p w14:paraId="3F91013E"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8E981F6"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(Énfasis añadido)</w:t>
      </w:r>
    </w:p>
    <w:p w14:paraId="712B9D6B"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31431705" w14:textId="77777777" w:rsidR="00B16304" w:rsidRPr="00F55CEC" w:rsidRDefault="00F52AF7">
      <w:pP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w:t>
      </w:r>
      <w:r w:rsidRPr="00F55CEC">
        <w:rPr>
          <w:rFonts w:ascii="Palatino Linotype" w:eastAsia="Palatino Linotype" w:hAnsi="Palatino Linotype" w:cs="Palatino Linotype"/>
          <w:sz w:val="22"/>
          <w:szCs w:val="22"/>
        </w:rPr>
        <w:lastRenderedPageBreak/>
        <w:t>enunciativa más no limitativa, el sitio oficial del Sujeto Obligado y/o las páginas institucionales. Los Sujetos Obligado deben indicar la dirección electrónica donde obra la información solicitada. Esta dirección electrónica debe ser precisa, de tal modo que no implique realizar una búsqueda en toda la información que ahí se encuentre, debiendo cumplir una serie de requisitos, a saber:</w:t>
      </w:r>
    </w:p>
    <w:p w14:paraId="75D6EC1C"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512CF172" w14:textId="77777777" w:rsidR="00B16304" w:rsidRPr="00F55CEC" w:rsidRDefault="00F52AF7">
      <w:pPr>
        <w:spacing w:line="360" w:lineRule="auto"/>
        <w:ind w:left="284"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La dirección electrónica debe señalarse en un plazo no mayor a cinco días hábiles;</w:t>
      </w:r>
    </w:p>
    <w:p w14:paraId="4437853F" w14:textId="77777777" w:rsidR="00B16304" w:rsidRPr="00F55CEC" w:rsidRDefault="00F52AF7">
      <w:pPr>
        <w:spacing w:line="360" w:lineRule="auto"/>
        <w:ind w:left="284"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La dirección electrónica debe ser precisa, de tal modo que no implique realizar una búsqueda en toda la información que ahí se encuentre; y,</w:t>
      </w:r>
    </w:p>
    <w:p w14:paraId="20FF8BC5" w14:textId="77777777" w:rsidR="00B16304" w:rsidRPr="00F55CEC" w:rsidRDefault="00F52AF7">
      <w:pPr>
        <w:spacing w:line="360" w:lineRule="auto"/>
        <w:ind w:left="284"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La dirección electrónica debe ir acompañada del procedimiento a seguir, en caso de que la información se encuentre en distintos puntos del sitio electrónico referido; y,</w:t>
      </w:r>
    </w:p>
    <w:p w14:paraId="06A1BBCB" w14:textId="77777777" w:rsidR="00B16304" w:rsidRPr="00F55CEC" w:rsidRDefault="00F52AF7">
      <w:pPr>
        <w:spacing w:line="360" w:lineRule="auto"/>
        <w:ind w:left="284"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 La dirección electrónica se debe entregar en formato abierto, para que el </w:t>
      </w:r>
      <w:r w:rsidRPr="00F55CEC">
        <w:rPr>
          <w:rFonts w:ascii="Palatino Linotype" w:eastAsia="Palatino Linotype" w:hAnsi="Palatino Linotype" w:cs="Palatino Linotype"/>
          <w:b/>
          <w:sz w:val="22"/>
          <w:szCs w:val="22"/>
        </w:rPr>
        <w:t>Recurrente</w:t>
      </w:r>
      <w:r w:rsidRPr="00F55CEC">
        <w:rPr>
          <w:rFonts w:ascii="Palatino Linotype" w:eastAsia="Palatino Linotype" w:hAnsi="Palatino Linotype" w:cs="Palatino Linotype"/>
          <w:sz w:val="22"/>
          <w:szCs w:val="22"/>
        </w:rPr>
        <w:t xml:space="preserve"> pueda copiar y pegar sin la necesidad de transcribir la liga electrónica.</w:t>
      </w:r>
    </w:p>
    <w:p w14:paraId="05AE0935"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00A3DB0C"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291715F4"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75B20D20"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En ese contexto, el artículo 3°, fracciones VIII y XVI de la Ley de Transparencia y Acceso a la Información Pública del Estado de México y Municipios, precisan lo siguiente:</w:t>
      </w:r>
    </w:p>
    <w:p w14:paraId="4AAE8803"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24A4B53B" w14:textId="77777777" w:rsidR="00B16304" w:rsidRPr="00F55CEC" w:rsidRDefault="00F52AF7">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F55CEC">
        <w:rPr>
          <w:rFonts w:ascii="Palatino Linotype" w:eastAsia="Palatino Linotype" w:hAnsi="Palatino Linotype" w:cs="Palatino Linotype"/>
          <w:b/>
          <w:sz w:val="22"/>
          <w:szCs w:val="22"/>
        </w:rPr>
        <w:t xml:space="preserve">Dato abierto: </w:t>
      </w:r>
      <w:r w:rsidRPr="00F55CEC">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5DC95F9D" w14:textId="77777777" w:rsidR="00B16304" w:rsidRPr="00F55CEC" w:rsidRDefault="00B16304">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1165F94F" w14:textId="77777777" w:rsidR="00B16304" w:rsidRPr="00F55CEC" w:rsidRDefault="00F52AF7">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F55CEC">
        <w:rPr>
          <w:rFonts w:ascii="Palatino Linotype" w:eastAsia="Palatino Linotype" w:hAnsi="Palatino Linotype" w:cs="Palatino Linotype"/>
          <w:b/>
          <w:sz w:val="22"/>
          <w:szCs w:val="22"/>
        </w:rPr>
        <w:lastRenderedPageBreak/>
        <w:t xml:space="preserve">Formato accesible: </w:t>
      </w:r>
      <w:r w:rsidRPr="00F55CEC">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1019F510"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4EDB247A"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Conforme a lo anterior, se considera que en el caso de que la información peticionada obre en ligas electrónicas, el</w:t>
      </w:r>
      <w:r w:rsidRPr="00F55CEC">
        <w:rPr>
          <w:rFonts w:ascii="Palatino Linotype" w:eastAsia="Palatino Linotype" w:hAnsi="Palatino Linotype" w:cs="Palatino Linotype"/>
          <w:b/>
          <w:sz w:val="22"/>
          <w:szCs w:val="22"/>
        </w:rPr>
        <w:t xml:space="preserve"> Sujeto Obligado</w:t>
      </w:r>
      <w:r w:rsidRPr="00F55CEC">
        <w:rPr>
          <w:rFonts w:ascii="Palatino Linotype" w:eastAsia="Palatino Linotype" w:hAnsi="Palatino Linotype" w:cs="Palatino Linotype"/>
          <w:sz w:val="22"/>
          <w:szCs w:val="22"/>
        </w:rPr>
        <w:t xml:space="preserve"> deberá privilegiar la entrega de estas, en datos abiertos, es decir, en un formato que permita la accesibilidad y facilidad a los Particulares, para obtener la información contenida estas.</w:t>
      </w:r>
    </w:p>
    <w:p w14:paraId="481348F7"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26E3141C" w14:textId="77777777" w:rsidR="00B16304" w:rsidRPr="00F55CEC" w:rsidRDefault="00F52AF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En el presente asunto, 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xml:space="preserve"> entregó una dirección electrónica en formato que al seleccionarlo te dirige al siguiente apartado. </w:t>
      </w:r>
    </w:p>
    <w:p w14:paraId="70872A9E" w14:textId="77777777" w:rsidR="00B16304" w:rsidRPr="00F55CEC" w:rsidRDefault="00F52AF7">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noProof/>
          <w:sz w:val="22"/>
          <w:szCs w:val="22"/>
          <w:lang w:val="es-MX"/>
        </w:rPr>
        <w:drawing>
          <wp:inline distT="0" distB="0" distL="0" distR="0" wp14:anchorId="6493852C" wp14:editId="0A68E046">
            <wp:extent cx="5341215" cy="2193713"/>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341215" cy="2193713"/>
                    </a:xfrm>
                    <a:prstGeom prst="rect">
                      <a:avLst/>
                    </a:prstGeom>
                    <a:ln/>
                  </pic:spPr>
                </pic:pic>
              </a:graphicData>
            </a:graphic>
          </wp:inline>
        </w:drawing>
      </w:r>
    </w:p>
    <w:p w14:paraId="0C7AF54C" w14:textId="77777777" w:rsidR="00B16304" w:rsidRPr="00F55CEC" w:rsidRDefault="00B16304">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p>
    <w:p w14:paraId="64212EDD" w14:textId="77777777" w:rsidR="00B16304" w:rsidRPr="00F55CEC" w:rsidRDefault="00F52AF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Es así que, de la imagen de referencia, se advierte que la dirección electrónica que proporcionó 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xml:space="preserve"> dirige a la red social Facebook del Ayuntamiento de Tecámac, del que no se visualiza la información solicitada por la parte </w:t>
      </w:r>
      <w:r w:rsidRPr="00F55CEC">
        <w:rPr>
          <w:rFonts w:ascii="Palatino Linotype" w:eastAsia="Palatino Linotype" w:hAnsi="Palatino Linotype" w:cs="Palatino Linotype"/>
          <w:b/>
          <w:sz w:val="22"/>
          <w:szCs w:val="22"/>
        </w:rPr>
        <w:t>Recurrente</w:t>
      </w:r>
      <w:r w:rsidRPr="00F55CEC">
        <w:rPr>
          <w:rFonts w:ascii="Palatino Linotype" w:eastAsia="Palatino Linotype" w:hAnsi="Palatino Linotype" w:cs="Palatino Linotype"/>
          <w:sz w:val="22"/>
          <w:szCs w:val="22"/>
        </w:rPr>
        <w:t>, por tanto, la liga proporcionada no satisface los requerimientos de información.</w:t>
      </w:r>
    </w:p>
    <w:p w14:paraId="680FAE59" w14:textId="77777777" w:rsidR="00B16304" w:rsidRPr="00F55CEC" w:rsidRDefault="00B163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CA072E9" w14:textId="77777777" w:rsidR="00B16304" w:rsidRPr="00F55CEC" w:rsidRDefault="00F52AF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4" w:name="_heading=h.67gc2fcmgnig" w:colFirst="0" w:colLast="0"/>
      <w:bookmarkEnd w:id="4"/>
      <w:r w:rsidRPr="00F55CEC">
        <w:rPr>
          <w:rFonts w:ascii="Palatino Linotype" w:eastAsia="Palatino Linotype" w:hAnsi="Palatino Linotype" w:cs="Palatino Linotype"/>
          <w:sz w:val="22"/>
          <w:szCs w:val="22"/>
        </w:rPr>
        <w:lastRenderedPageBreak/>
        <w:t xml:space="preserve">De lo hasta aquí expuesto, se concluye que los motivos de inconformidad de la parte </w:t>
      </w:r>
      <w:r w:rsidRPr="00F55CEC">
        <w:rPr>
          <w:rFonts w:ascii="Palatino Linotype" w:eastAsia="Palatino Linotype" w:hAnsi="Palatino Linotype" w:cs="Palatino Linotype"/>
          <w:b/>
          <w:sz w:val="22"/>
          <w:szCs w:val="22"/>
        </w:rPr>
        <w:t>Recurrente</w:t>
      </w:r>
      <w:r w:rsidRPr="00F55CEC">
        <w:rPr>
          <w:rFonts w:ascii="Palatino Linotype" w:eastAsia="Palatino Linotype" w:hAnsi="Palatino Linotype" w:cs="Palatino Linotype"/>
          <w:sz w:val="22"/>
          <w:szCs w:val="22"/>
        </w:rPr>
        <w:t xml:space="preserve"> devienen fundados, siendo procedente Revocar la respuesta proporcionada por el Sujeto Obligado en términos del artículo 186 fracción III de la Ley de Transparencia y Acceso a la Información Pública del Estado de México y Municipios y ordenar la entrega del o los documentos que den cuenta de la transmisión de la Octava, Novena y Décima Sesión Ordinaria de Cabildo a través de su</w:t>
      </w:r>
      <w:r w:rsidRPr="00F55CEC">
        <w:rPr>
          <w:rFonts w:ascii="Palatino Linotype" w:eastAsia="Palatino Linotype" w:hAnsi="Palatino Linotype" w:cs="Palatino Linotype"/>
          <w:b/>
          <w:i/>
          <w:sz w:val="22"/>
          <w:szCs w:val="22"/>
          <w:u w:val="single"/>
        </w:rPr>
        <w:t xml:space="preserve"> página oficial de internet, plataformas, redes sociales, radio o televisión de acceso gratuito</w:t>
      </w:r>
      <w:r w:rsidRPr="00F55CEC">
        <w:rPr>
          <w:rFonts w:ascii="Palatino Linotype" w:eastAsia="Palatino Linotype" w:hAnsi="Palatino Linotype" w:cs="Palatino Linotype"/>
          <w:sz w:val="22"/>
          <w:szCs w:val="22"/>
        </w:rPr>
        <w:t>, al siete de abril de dos mil veinticinco, de ser procedente en versión pública.</w:t>
      </w:r>
    </w:p>
    <w:p w14:paraId="726521AB" w14:textId="77777777" w:rsidR="00B16304" w:rsidRPr="00F55CEC" w:rsidRDefault="00B163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CC992D6" w14:textId="77777777" w:rsidR="00B16304" w:rsidRPr="00F55CEC" w:rsidRDefault="00F52AF7">
      <w:pP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 xml:space="preserve">Quinto. Versión Pública. </w:t>
      </w:r>
      <w:r w:rsidRPr="00F55CEC">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F55CEC">
        <w:rPr>
          <w:rFonts w:ascii="Palatino Linotype" w:eastAsia="Palatino Linotype" w:hAnsi="Palatino Linotype" w:cs="Palatino Linotype"/>
          <w:b/>
          <w:sz w:val="22"/>
          <w:szCs w:val="22"/>
        </w:rPr>
        <w:t>RECURRENTE</w:t>
      </w:r>
      <w:r w:rsidRPr="00F55CEC">
        <w:rPr>
          <w:rFonts w:ascii="Palatino Linotype" w:eastAsia="Palatino Linotype" w:hAnsi="Palatino Linotype" w:cs="Palatino Linotype"/>
          <w:sz w:val="22"/>
          <w:szCs w:val="22"/>
        </w:rPr>
        <w:t xml:space="preserve"> sin menoscabar el derecho a la protección de los datos personales de terceros.</w:t>
      </w:r>
    </w:p>
    <w:p w14:paraId="4C12DD01"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0AB55139" w14:textId="77777777" w:rsidR="00B16304" w:rsidRPr="00F55CEC" w:rsidRDefault="00F52AF7">
      <w:pPr>
        <w:spacing w:line="360" w:lineRule="auto"/>
        <w:ind w:right="50"/>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68F9B3B9" w14:textId="77777777" w:rsidR="00B16304" w:rsidRPr="00F55CEC" w:rsidRDefault="00F52AF7">
      <w:pPr>
        <w:ind w:left="993" w:right="1041"/>
        <w:jc w:val="both"/>
        <w:rPr>
          <w:rFonts w:ascii="Palatino Linotype" w:eastAsia="Palatino Linotype" w:hAnsi="Palatino Linotype" w:cs="Palatino Linotype"/>
          <w:b/>
          <w:i/>
          <w:sz w:val="22"/>
          <w:szCs w:val="22"/>
        </w:rPr>
      </w:pPr>
      <w:r w:rsidRPr="00F55CEC">
        <w:rPr>
          <w:rFonts w:ascii="Palatino Linotype" w:eastAsia="Palatino Linotype" w:hAnsi="Palatino Linotype" w:cs="Palatino Linotype"/>
          <w:b/>
          <w:i/>
          <w:sz w:val="22"/>
          <w:szCs w:val="22"/>
        </w:rPr>
        <w:t xml:space="preserve"> “Artículo 3. Para los efectos de la presente Ley se entenderá por:</w:t>
      </w:r>
    </w:p>
    <w:p w14:paraId="4E70AD01" w14:textId="77777777" w:rsidR="00B16304" w:rsidRPr="00F55CEC" w:rsidRDefault="00F52AF7">
      <w:pPr>
        <w:ind w:left="993" w:right="1041"/>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IX. Datos personales:</w:t>
      </w:r>
      <w:r w:rsidRPr="00F55CEC">
        <w:rPr>
          <w:rFonts w:ascii="Palatino Linotype" w:eastAsia="Palatino Linotype" w:hAnsi="Palatino Linotype" w:cs="Palatino Linotype"/>
          <w:i/>
          <w:sz w:val="22"/>
          <w:szCs w:val="22"/>
        </w:rPr>
        <w:t xml:space="preserve"> </w:t>
      </w:r>
      <w:r w:rsidRPr="00F55CEC">
        <w:rPr>
          <w:rFonts w:ascii="Palatino Linotype" w:eastAsia="Palatino Linotype" w:hAnsi="Palatino Linotype" w:cs="Palatino Linotype"/>
          <w:b/>
          <w:i/>
          <w:sz w:val="22"/>
          <w:szCs w:val="22"/>
        </w:rPr>
        <w:t>La información concerniente a una persona, identificada o identificable</w:t>
      </w:r>
      <w:r w:rsidRPr="00F55CEC">
        <w:rPr>
          <w:rFonts w:ascii="Palatino Linotype" w:eastAsia="Palatino Linotype" w:hAnsi="Palatino Linotype" w:cs="Palatino Linotype"/>
          <w:i/>
          <w:sz w:val="22"/>
          <w:szCs w:val="22"/>
        </w:rPr>
        <w:t xml:space="preserve"> según lo dispuesto por la Ley de Protección de Datos Personales del Estado de México;</w:t>
      </w:r>
    </w:p>
    <w:p w14:paraId="53A9CF50" w14:textId="77777777" w:rsidR="00B16304" w:rsidRPr="00F55CEC" w:rsidRDefault="00F52AF7">
      <w:pPr>
        <w:ind w:left="993" w:right="1041"/>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XX. Información clasificada:</w:t>
      </w:r>
      <w:r w:rsidRPr="00F55CEC">
        <w:rPr>
          <w:rFonts w:ascii="Palatino Linotype" w:eastAsia="Palatino Linotype" w:hAnsi="Palatino Linotype" w:cs="Palatino Linotype"/>
          <w:i/>
          <w:sz w:val="22"/>
          <w:szCs w:val="22"/>
        </w:rPr>
        <w:t xml:space="preserve"> Aquella considerada por la presente Ley como reservada o confidencial;</w:t>
      </w:r>
    </w:p>
    <w:p w14:paraId="348302A2" w14:textId="77777777" w:rsidR="00B16304" w:rsidRPr="00F55CEC" w:rsidRDefault="00F52AF7">
      <w:pPr>
        <w:ind w:left="993" w:right="1041"/>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lastRenderedPageBreak/>
        <w:t>XXXII. Protección de Datos Personales:</w:t>
      </w:r>
      <w:r w:rsidRPr="00F55CEC">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2108E123" w14:textId="77777777" w:rsidR="00B16304" w:rsidRPr="00F55CEC" w:rsidRDefault="00F52AF7">
      <w:pPr>
        <w:ind w:left="993" w:right="1041"/>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XLV. Versión pública</w:t>
      </w:r>
      <w:r w:rsidRPr="00F55CEC">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CB1BED9" w14:textId="77777777" w:rsidR="00B16304" w:rsidRPr="00F55CEC" w:rsidRDefault="00B16304">
      <w:pPr>
        <w:ind w:left="993" w:right="1041"/>
        <w:jc w:val="both"/>
        <w:rPr>
          <w:rFonts w:ascii="Palatino Linotype" w:eastAsia="Palatino Linotype" w:hAnsi="Palatino Linotype" w:cs="Palatino Linotype"/>
          <w:i/>
          <w:sz w:val="22"/>
          <w:szCs w:val="22"/>
        </w:rPr>
      </w:pPr>
    </w:p>
    <w:p w14:paraId="79F38171"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“Artículo 6.</w:t>
      </w:r>
      <w:r w:rsidRPr="00F55CEC">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DB9BA93" w14:textId="77777777" w:rsidR="00B16304" w:rsidRPr="00F55CEC" w:rsidRDefault="00B16304">
      <w:pPr>
        <w:ind w:left="851" w:right="616"/>
        <w:jc w:val="both"/>
        <w:rPr>
          <w:rFonts w:ascii="Palatino Linotype" w:eastAsia="Palatino Linotype" w:hAnsi="Palatino Linotype" w:cs="Palatino Linotype"/>
          <w:i/>
          <w:sz w:val="22"/>
          <w:szCs w:val="22"/>
        </w:rPr>
      </w:pPr>
    </w:p>
    <w:p w14:paraId="293749E2" w14:textId="77777777" w:rsidR="00B16304" w:rsidRPr="00F55CEC" w:rsidRDefault="00F52AF7">
      <w:pPr>
        <w:ind w:left="851" w:right="616"/>
        <w:jc w:val="both"/>
        <w:rPr>
          <w:rFonts w:ascii="Palatino Linotype" w:eastAsia="Palatino Linotype" w:hAnsi="Palatino Linotype" w:cs="Palatino Linotype"/>
          <w:b/>
          <w:i/>
          <w:sz w:val="22"/>
          <w:szCs w:val="22"/>
        </w:rPr>
      </w:pPr>
      <w:r w:rsidRPr="00F55CEC">
        <w:rPr>
          <w:rFonts w:ascii="Palatino Linotype" w:eastAsia="Palatino Linotype" w:hAnsi="Palatino Linotype" w:cs="Palatino Linotype"/>
          <w:b/>
          <w:i/>
          <w:sz w:val="22"/>
          <w:szCs w:val="22"/>
        </w:rPr>
        <w:t>“Artículo 137.</w:t>
      </w:r>
      <w:r w:rsidRPr="00F55CEC">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91A2A95" w14:textId="77777777" w:rsidR="00B16304" w:rsidRPr="00F55CEC" w:rsidRDefault="00B16304">
      <w:pPr>
        <w:ind w:left="851" w:right="616"/>
        <w:jc w:val="both"/>
        <w:rPr>
          <w:rFonts w:ascii="Palatino Linotype" w:eastAsia="Palatino Linotype" w:hAnsi="Palatino Linotype" w:cs="Palatino Linotype"/>
          <w:b/>
          <w:i/>
          <w:sz w:val="22"/>
          <w:szCs w:val="22"/>
        </w:rPr>
      </w:pPr>
    </w:p>
    <w:p w14:paraId="0BE07AE9"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“Artículo 143</w:t>
      </w:r>
      <w:r w:rsidRPr="00F55CE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DD7FBE2"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I.</w:t>
      </w:r>
      <w:r w:rsidRPr="00F55CEC">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1E6F2A2"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3F6E90D" w14:textId="77777777" w:rsidR="00B16304" w:rsidRPr="00F55CEC" w:rsidRDefault="00F52AF7">
      <w:pPr>
        <w:ind w:left="851" w:right="616"/>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2257540B" w14:textId="77777777" w:rsidR="00B16304" w:rsidRPr="00F55CEC" w:rsidRDefault="00B16304">
      <w:pPr>
        <w:ind w:left="993" w:right="1041"/>
        <w:jc w:val="both"/>
        <w:rPr>
          <w:rFonts w:ascii="Palatino Linotype" w:eastAsia="Palatino Linotype" w:hAnsi="Palatino Linotype" w:cs="Palatino Linotype"/>
          <w:i/>
          <w:sz w:val="22"/>
          <w:szCs w:val="22"/>
        </w:rPr>
      </w:pPr>
    </w:p>
    <w:p w14:paraId="0B3FE5F1" w14:textId="77777777" w:rsidR="00B16304" w:rsidRPr="00F55CEC" w:rsidRDefault="00F52AF7">
      <w:pPr>
        <w:spacing w:line="360" w:lineRule="auto"/>
        <w:ind w:right="51"/>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w:t>
      </w:r>
      <w:r w:rsidRPr="00F55CEC">
        <w:rPr>
          <w:rFonts w:ascii="Palatino Linotype" w:eastAsia="Palatino Linotype" w:hAnsi="Palatino Linotype" w:cs="Palatino Linotype"/>
          <w:sz w:val="22"/>
          <w:szCs w:val="22"/>
        </w:rPr>
        <w:lastRenderedPageBreak/>
        <w:t xml:space="preserve">pública de la parte </w:t>
      </w:r>
      <w:r w:rsidRPr="00F55CEC">
        <w:rPr>
          <w:rFonts w:ascii="Palatino Linotype" w:eastAsia="Palatino Linotype" w:hAnsi="Palatino Linotype" w:cs="Palatino Linotype"/>
          <w:b/>
          <w:sz w:val="22"/>
          <w:szCs w:val="22"/>
        </w:rPr>
        <w:t>Recurrente</w:t>
      </w:r>
      <w:r w:rsidRPr="00F55CEC">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D650E04" w14:textId="77777777" w:rsidR="00B16304" w:rsidRPr="00F55CEC" w:rsidRDefault="00B16304">
      <w:pPr>
        <w:spacing w:line="360" w:lineRule="auto"/>
        <w:ind w:right="51"/>
        <w:jc w:val="both"/>
        <w:rPr>
          <w:rFonts w:ascii="Palatino Linotype" w:eastAsia="Palatino Linotype" w:hAnsi="Palatino Linotype" w:cs="Palatino Linotype"/>
          <w:sz w:val="22"/>
          <w:szCs w:val="22"/>
        </w:rPr>
      </w:pPr>
    </w:p>
    <w:p w14:paraId="18D78386" w14:textId="77777777" w:rsidR="00B16304" w:rsidRPr="00F55CEC" w:rsidRDefault="00F52AF7">
      <w:pPr>
        <w:spacing w:line="360" w:lineRule="auto"/>
        <w:ind w:right="50"/>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EDD7DE1" w14:textId="77777777" w:rsidR="00B16304" w:rsidRPr="00F55CEC" w:rsidRDefault="00B16304">
      <w:pPr>
        <w:spacing w:line="360" w:lineRule="auto"/>
        <w:ind w:right="51"/>
        <w:jc w:val="both"/>
        <w:rPr>
          <w:rFonts w:ascii="Palatino Linotype" w:eastAsia="Palatino Linotype" w:hAnsi="Palatino Linotype" w:cs="Palatino Linotype"/>
          <w:sz w:val="22"/>
          <w:szCs w:val="22"/>
        </w:rPr>
      </w:pPr>
    </w:p>
    <w:p w14:paraId="3232DE2E" w14:textId="77777777" w:rsidR="00B16304" w:rsidRPr="00F55CEC" w:rsidRDefault="00F52AF7">
      <w:pPr>
        <w:spacing w:line="360" w:lineRule="auto"/>
        <w:ind w:right="51"/>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64826273" w14:textId="77777777" w:rsidR="00B16304" w:rsidRPr="00F55CEC" w:rsidRDefault="00F52AF7">
      <w:pPr>
        <w:ind w:left="992" w:right="1043"/>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“Artículo 49.</w:t>
      </w:r>
      <w:r w:rsidRPr="00F55CEC">
        <w:rPr>
          <w:rFonts w:ascii="Palatino Linotype" w:eastAsia="Palatino Linotype" w:hAnsi="Palatino Linotype" w:cs="Palatino Linotype"/>
          <w:i/>
          <w:sz w:val="22"/>
          <w:szCs w:val="22"/>
        </w:rPr>
        <w:t xml:space="preserve"> </w:t>
      </w:r>
      <w:r w:rsidRPr="00F55CEC">
        <w:rPr>
          <w:rFonts w:ascii="Palatino Linotype" w:eastAsia="Palatino Linotype" w:hAnsi="Palatino Linotype" w:cs="Palatino Linotype"/>
          <w:b/>
          <w:i/>
          <w:sz w:val="22"/>
          <w:szCs w:val="22"/>
        </w:rPr>
        <w:t>Los Comités de Transparencia</w:t>
      </w:r>
      <w:r w:rsidRPr="00F55CEC">
        <w:rPr>
          <w:rFonts w:ascii="Palatino Linotype" w:eastAsia="Palatino Linotype" w:hAnsi="Palatino Linotype" w:cs="Palatino Linotype"/>
          <w:i/>
          <w:sz w:val="22"/>
          <w:szCs w:val="22"/>
        </w:rPr>
        <w:t xml:space="preserve"> tendrán las siguientes atribuciones:</w:t>
      </w:r>
    </w:p>
    <w:p w14:paraId="7907CA83" w14:textId="77777777" w:rsidR="00B16304" w:rsidRPr="00F55CEC" w:rsidRDefault="00F52AF7">
      <w:pPr>
        <w:ind w:left="992" w:right="1043"/>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VIII. Aprobar, modificar o revocar la clasificación de la información</w:t>
      </w:r>
      <w:r w:rsidRPr="00F55CEC">
        <w:rPr>
          <w:rFonts w:ascii="Palatino Linotype" w:eastAsia="Palatino Linotype" w:hAnsi="Palatino Linotype" w:cs="Palatino Linotype"/>
          <w:i/>
          <w:sz w:val="22"/>
          <w:szCs w:val="22"/>
        </w:rPr>
        <w:t>…”</w:t>
      </w:r>
    </w:p>
    <w:p w14:paraId="3AF103A5" w14:textId="77777777" w:rsidR="00B16304" w:rsidRPr="00F55CEC" w:rsidRDefault="00F52AF7">
      <w:pPr>
        <w:ind w:left="992" w:right="1043"/>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w:t>
      </w:r>
      <w:r w:rsidRPr="00F55CEC">
        <w:rPr>
          <w:rFonts w:ascii="Palatino Linotype" w:eastAsia="Palatino Linotype" w:hAnsi="Palatino Linotype" w:cs="Palatino Linotype"/>
          <w:b/>
          <w:i/>
          <w:sz w:val="22"/>
          <w:szCs w:val="22"/>
        </w:rPr>
        <w:t>Artículo 53.</w:t>
      </w:r>
      <w:r w:rsidRPr="00F55CEC">
        <w:rPr>
          <w:rFonts w:ascii="Palatino Linotype" w:eastAsia="Palatino Linotype" w:hAnsi="Palatino Linotype" w:cs="Palatino Linotype"/>
          <w:i/>
          <w:sz w:val="22"/>
          <w:szCs w:val="22"/>
        </w:rPr>
        <w:t xml:space="preserve"> Las </w:t>
      </w:r>
      <w:r w:rsidRPr="00F55CEC">
        <w:rPr>
          <w:rFonts w:ascii="Palatino Linotype" w:eastAsia="Palatino Linotype" w:hAnsi="Palatino Linotype" w:cs="Palatino Linotype"/>
          <w:b/>
          <w:i/>
          <w:sz w:val="22"/>
          <w:szCs w:val="22"/>
        </w:rPr>
        <w:t>Unidades de Transparencia</w:t>
      </w:r>
      <w:r w:rsidRPr="00F55CEC">
        <w:rPr>
          <w:rFonts w:ascii="Palatino Linotype" w:eastAsia="Palatino Linotype" w:hAnsi="Palatino Linotype" w:cs="Palatino Linotype"/>
          <w:i/>
          <w:sz w:val="22"/>
          <w:szCs w:val="22"/>
        </w:rPr>
        <w:t xml:space="preserve"> tendrán las siguientes </w:t>
      </w:r>
      <w:r w:rsidRPr="00F55CEC">
        <w:rPr>
          <w:rFonts w:ascii="Palatino Linotype" w:eastAsia="Palatino Linotype" w:hAnsi="Palatino Linotype" w:cs="Palatino Linotype"/>
          <w:b/>
          <w:i/>
          <w:sz w:val="22"/>
          <w:szCs w:val="22"/>
        </w:rPr>
        <w:t>funciones</w:t>
      </w:r>
      <w:r w:rsidRPr="00F55CEC">
        <w:rPr>
          <w:rFonts w:ascii="Palatino Linotype" w:eastAsia="Palatino Linotype" w:hAnsi="Palatino Linotype" w:cs="Palatino Linotype"/>
          <w:i/>
          <w:sz w:val="22"/>
          <w:szCs w:val="22"/>
        </w:rPr>
        <w:t>:</w:t>
      </w:r>
    </w:p>
    <w:p w14:paraId="4B2594C0" w14:textId="77777777" w:rsidR="00B16304" w:rsidRPr="00F55CEC" w:rsidRDefault="00F52AF7">
      <w:pPr>
        <w:ind w:left="992" w:right="1043"/>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X. Presentar ante el Comité, el proyecto de clasificación de información</w:t>
      </w:r>
      <w:r w:rsidRPr="00F55CEC">
        <w:rPr>
          <w:rFonts w:ascii="Palatino Linotype" w:eastAsia="Palatino Linotype" w:hAnsi="Palatino Linotype" w:cs="Palatino Linotype"/>
          <w:i/>
          <w:sz w:val="22"/>
          <w:szCs w:val="22"/>
        </w:rPr>
        <w:t xml:space="preserve">…” </w:t>
      </w:r>
    </w:p>
    <w:p w14:paraId="7BC87259" w14:textId="77777777" w:rsidR="00B16304" w:rsidRPr="00F55CEC" w:rsidRDefault="00F52AF7">
      <w:pPr>
        <w:ind w:left="992" w:right="1043"/>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“Artículo 59.</w:t>
      </w:r>
      <w:r w:rsidRPr="00F55CEC">
        <w:rPr>
          <w:rFonts w:ascii="Palatino Linotype" w:eastAsia="Palatino Linotype" w:hAnsi="Palatino Linotype" w:cs="Palatino Linotype"/>
          <w:i/>
          <w:sz w:val="22"/>
          <w:szCs w:val="22"/>
        </w:rPr>
        <w:t xml:space="preserve"> Los </w:t>
      </w:r>
      <w:r w:rsidRPr="00F55CEC">
        <w:rPr>
          <w:rFonts w:ascii="Palatino Linotype" w:eastAsia="Palatino Linotype" w:hAnsi="Palatino Linotype" w:cs="Palatino Linotype"/>
          <w:b/>
          <w:i/>
          <w:sz w:val="22"/>
          <w:szCs w:val="22"/>
        </w:rPr>
        <w:t>servidores públicos habilitados</w:t>
      </w:r>
      <w:r w:rsidRPr="00F55CEC">
        <w:rPr>
          <w:rFonts w:ascii="Palatino Linotype" w:eastAsia="Palatino Linotype" w:hAnsi="Palatino Linotype" w:cs="Palatino Linotype"/>
          <w:i/>
          <w:sz w:val="22"/>
          <w:szCs w:val="22"/>
        </w:rPr>
        <w:t xml:space="preserve"> tendrán las </w:t>
      </w:r>
      <w:r w:rsidRPr="00F55CEC">
        <w:rPr>
          <w:rFonts w:ascii="Palatino Linotype" w:eastAsia="Palatino Linotype" w:hAnsi="Palatino Linotype" w:cs="Palatino Linotype"/>
          <w:b/>
          <w:i/>
          <w:sz w:val="22"/>
          <w:szCs w:val="22"/>
        </w:rPr>
        <w:t>funciones</w:t>
      </w:r>
      <w:r w:rsidRPr="00F55CEC">
        <w:rPr>
          <w:rFonts w:ascii="Palatino Linotype" w:eastAsia="Palatino Linotype" w:hAnsi="Palatino Linotype" w:cs="Palatino Linotype"/>
          <w:i/>
          <w:sz w:val="22"/>
          <w:szCs w:val="22"/>
        </w:rPr>
        <w:t xml:space="preserve"> siguientes:</w:t>
      </w:r>
    </w:p>
    <w:p w14:paraId="53D7B00D" w14:textId="77777777" w:rsidR="00B16304" w:rsidRPr="00F55CEC" w:rsidRDefault="00F52AF7">
      <w:pPr>
        <w:ind w:left="992" w:right="1043"/>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F55CEC">
        <w:rPr>
          <w:rFonts w:ascii="Palatino Linotype" w:eastAsia="Palatino Linotype" w:hAnsi="Palatino Linotype" w:cs="Palatino Linotype"/>
          <w:i/>
          <w:sz w:val="22"/>
          <w:szCs w:val="22"/>
        </w:rPr>
        <w:t>, la cual tendrá los fundamentos y argumentos en que se basa dicha propuesta…” (Sic)</w:t>
      </w:r>
    </w:p>
    <w:p w14:paraId="1489B5F9" w14:textId="77777777" w:rsidR="00B16304" w:rsidRPr="00F55CEC" w:rsidRDefault="00B16304">
      <w:pPr>
        <w:ind w:left="992" w:right="1043"/>
        <w:jc w:val="both"/>
        <w:rPr>
          <w:rFonts w:ascii="Palatino Linotype" w:eastAsia="Palatino Linotype" w:hAnsi="Palatino Linotype" w:cs="Palatino Linotype"/>
          <w:i/>
          <w:sz w:val="22"/>
          <w:szCs w:val="22"/>
        </w:rPr>
      </w:pPr>
    </w:p>
    <w:p w14:paraId="0216BD5E"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D6B838F"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60A2D892"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25B3ECA"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6184BED8" w14:textId="77777777" w:rsidR="00B16304" w:rsidRPr="00F55CEC" w:rsidRDefault="00F52AF7">
      <w:pPr>
        <w:ind w:left="993" w:right="1041"/>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w:t>
      </w:r>
      <w:r w:rsidRPr="00F55CEC">
        <w:rPr>
          <w:rFonts w:ascii="Palatino Linotype" w:eastAsia="Palatino Linotype" w:hAnsi="Palatino Linotype" w:cs="Palatino Linotype"/>
          <w:b/>
          <w:i/>
          <w:sz w:val="22"/>
          <w:szCs w:val="22"/>
        </w:rPr>
        <w:t>Artículo 149.</w:t>
      </w:r>
      <w:r w:rsidRPr="00F55CEC">
        <w:rPr>
          <w:rFonts w:ascii="Palatino Linotype" w:eastAsia="Palatino Linotype" w:hAnsi="Palatino Linotype" w:cs="Palatino Linotype"/>
          <w:i/>
          <w:sz w:val="22"/>
          <w:szCs w:val="22"/>
        </w:rPr>
        <w:t xml:space="preserve"> El </w:t>
      </w:r>
      <w:r w:rsidRPr="00F55CEC">
        <w:rPr>
          <w:rFonts w:ascii="Palatino Linotype" w:eastAsia="Palatino Linotype" w:hAnsi="Palatino Linotype" w:cs="Palatino Linotype"/>
          <w:b/>
          <w:i/>
          <w:sz w:val="22"/>
          <w:szCs w:val="22"/>
        </w:rPr>
        <w:t>acuerdo que clasifique la información como confidencial</w:t>
      </w:r>
      <w:r w:rsidRPr="00F55CEC">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3C9A6126" w14:textId="77777777" w:rsidR="00B16304" w:rsidRPr="00F55CEC" w:rsidRDefault="00B16304">
      <w:pPr>
        <w:spacing w:line="360" w:lineRule="auto"/>
        <w:ind w:right="51"/>
        <w:jc w:val="both"/>
        <w:rPr>
          <w:rFonts w:ascii="Palatino Linotype" w:eastAsia="Palatino Linotype" w:hAnsi="Palatino Linotype" w:cs="Palatino Linotype"/>
          <w:i/>
          <w:sz w:val="22"/>
          <w:szCs w:val="22"/>
        </w:rPr>
      </w:pPr>
    </w:p>
    <w:p w14:paraId="098DD23D" w14:textId="77777777" w:rsidR="00B16304" w:rsidRPr="00F55CEC" w:rsidRDefault="00F52AF7">
      <w:pPr>
        <w:spacing w:line="360" w:lineRule="auto"/>
        <w:ind w:right="51"/>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Es decir, 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0C72310" w14:textId="77777777" w:rsidR="00B16304" w:rsidRPr="00F55CEC" w:rsidRDefault="00B16304">
      <w:pPr>
        <w:spacing w:line="360" w:lineRule="auto"/>
        <w:ind w:right="51"/>
        <w:jc w:val="both"/>
        <w:rPr>
          <w:rFonts w:ascii="Palatino Linotype" w:eastAsia="Palatino Linotype" w:hAnsi="Palatino Linotype" w:cs="Palatino Linotype"/>
          <w:sz w:val="22"/>
          <w:szCs w:val="22"/>
        </w:rPr>
      </w:pPr>
    </w:p>
    <w:p w14:paraId="1298D96F"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Al respecto, se destaca que la versión pública que elabore 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xml:space="preserve"> debe cumplir con las formalidades exigidas en la Ley; es decir, resulta necesario que el Comité de </w:t>
      </w:r>
      <w:r w:rsidRPr="00F55CEC">
        <w:rPr>
          <w:rFonts w:ascii="Palatino Linotype" w:eastAsia="Palatino Linotype" w:hAnsi="Palatino Linotype" w:cs="Palatino Linotype"/>
          <w:sz w:val="22"/>
          <w:szCs w:val="22"/>
        </w:rPr>
        <w:lastRenderedPageBreak/>
        <w:t xml:space="preserve">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F55CEC">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F55CEC">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0CDA28C8" w14:textId="77777777" w:rsidR="00B16304" w:rsidRPr="00F55CEC" w:rsidRDefault="00B16304">
      <w:pPr>
        <w:ind w:left="709" w:right="709"/>
        <w:jc w:val="both"/>
        <w:rPr>
          <w:rFonts w:ascii="Palatino Linotype" w:eastAsia="Palatino Linotype" w:hAnsi="Palatino Linotype" w:cs="Palatino Linotype"/>
          <w:b/>
          <w:i/>
          <w:sz w:val="22"/>
          <w:szCs w:val="22"/>
        </w:rPr>
      </w:pPr>
    </w:p>
    <w:p w14:paraId="285B2FA3"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D3F55C8"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i/>
          <w:sz w:val="22"/>
          <w:szCs w:val="22"/>
        </w:rPr>
        <w:t>“</w:t>
      </w:r>
      <w:r w:rsidRPr="00F55CEC">
        <w:rPr>
          <w:rFonts w:ascii="Palatino Linotype" w:eastAsia="Palatino Linotype" w:hAnsi="Palatino Linotype" w:cs="Palatino Linotype"/>
          <w:b/>
          <w:i/>
          <w:sz w:val="22"/>
          <w:szCs w:val="22"/>
        </w:rPr>
        <w:t>Segundo.-</w:t>
      </w:r>
      <w:r w:rsidRPr="00F55CEC">
        <w:rPr>
          <w:rFonts w:ascii="Palatino Linotype" w:eastAsia="Palatino Linotype" w:hAnsi="Palatino Linotype" w:cs="Palatino Linotype"/>
          <w:i/>
          <w:sz w:val="22"/>
          <w:szCs w:val="22"/>
        </w:rPr>
        <w:t xml:space="preserve"> Para efectos de los presentes Lineamientos Generales, se entenderá por:</w:t>
      </w:r>
    </w:p>
    <w:p w14:paraId="11CAC422"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i/>
          <w:sz w:val="22"/>
          <w:szCs w:val="22"/>
        </w:rPr>
        <w:t>XVIII.</w:t>
      </w:r>
      <w:r w:rsidRPr="00F55CEC">
        <w:rPr>
          <w:rFonts w:ascii="Palatino Linotype" w:eastAsia="Palatino Linotype" w:hAnsi="Palatino Linotype" w:cs="Palatino Linotype"/>
          <w:i/>
          <w:sz w:val="22"/>
          <w:szCs w:val="22"/>
        </w:rPr>
        <w:t xml:space="preserve"> </w:t>
      </w:r>
      <w:r w:rsidRPr="00F55CEC">
        <w:rPr>
          <w:rFonts w:ascii="Palatino Linotype" w:eastAsia="Palatino Linotype" w:hAnsi="Palatino Linotype" w:cs="Palatino Linotype"/>
          <w:b/>
          <w:i/>
          <w:sz w:val="22"/>
          <w:szCs w:val="22"/>
        </w:rPr>
        <w:t>Versión pública:</w:t>
      </w:r>
      <w:r w:rsidRPr="00F55CE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F55CEC">
        <w:rPr>
          <w:rFonts w:ascii="Palatino Linotype" w:eastAsia="Palatino Linotype" w:hAnsi="Palatino Linotype" w:cs="Palatino Linotype"/>
          <w:b/>
          <w:i/>
          <w:sz w:val="22"/>
          <w:szCs w:val="22"/>
          <w:u w:val="single"/>
        </w:rPr>
        <w:t>fundando y motivando la</w:t>
      </w:r>
      <w:r w:rsidRPr="00F55CEC">
        <w:rPr>
          <w:rFonts w:ascii="Palatino Linotype" w:eastAsia="Palatino Linotype" w:hAnsi="Palatino Linotype" w:cs="Palatino Linotype"/>
          <w:i/>
          <w:sz w:val="22"/>
          <w:szCs w:val="22"/>
        </w:rPr>
        <w:t xml:space="preserve"> reserva o </w:t>
      </w:r>
      <w:r w:rsidRPr="00F55CEC">
        <w:rPr>
          <w:rFonts w:ascii="Palatino Linotype" w:eastAsia="Palatino Linotype" w:hAnsi="Palatino Linotype" w:cs="Palatino Linotype"/>
          <w:b/>
          <w:i/>
          <w:sz w:val="22"/>
          <w:szCs w:val="22"/>
          <w:u w:val="single"/>
        </w:rPr>
        <w:t>confidencialidad</w:t>
      </w:r>
      <w:r w:rsidRPr="00F55CEC">
        <w:rPr>
          <w:rFonts w:ascii="Palatino Linotype" w:eastAsia="Palatino Linotype" w:hAnsi="Palatino Linotype" w:cs="Palatino Linotype"/>
          <w:i/>
          <w:sz w:val="22"/>
          <w:szCs w:val="22"/>
        </w:rPr>
        <w:t>, a través de la resolución que para tal efecto emita el Comité de Transparencia.</w:t>
      </w:r>
    </w:p>
    <w:p w14:paraId="2AD3041A"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i/>
          <w:sz w:val="22"/>
          <w:szCs w:val="22"/>
        </w:rPr>
        <w:t>Cuarto.</w:t>
      </w:r>
      <w:r w:rsidRPr="00F55CEC">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C511250"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D388218"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i/>
          <w:sz w:val="22"/>
          <w:szCs w:val="22"/>
        </w:rPr>
        <w:t>Quinto.</w:t>
      </w:r>
      <w:r w:rsidRPr="00F55CE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BE3B674"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i/>
          <w:sz w:val="22"/>
          <w:szCs w:val="22"/>
        </w:rPr>
        <w:t>…</w:t>
      </w:r>
    </w:p>
    <w:p w14:paraId="39DB2A8D"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i/>
          <w:sz w:val="22"/>
          <w:szCs w:val="22"/>
        </w:rPr>
        <w:lastRenderedPageBreak/>
        <w:t>Séptimo.</w:t>
      </w:r>
      <w:r w:rsidRPr="00F55CEC">
        <w:rPr>
          <w:rFonts w:ascii="Palatino Linotype" w:eastAsia="Palatino Linotype" w:hAnsi="Palatino Linotype" w:cs="Palatino Linotype"/>
          <w:i/>
          <w:sz w:val="22"/>
          <w:szCs w:val="22"/>
        </w:rPr>
        <w:t xml:space="preserve"> La clasificación de la información se llevará a cabo en el momento en que:</w:t>
      </w:r>
    </w:p>
    <w:p w14:paraId="27FC35B8"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i/>
          <w:sz w:val="22"/>
          <w:szCs w:val="22"/>
        </w:rPr>
        <w:t>I.</w:t>
      </w:r>
      <w:r w:rsidRPr="00F55CEC">
        <w:rPr>
          <w:rFonts w:ascii="Palatino Linotype" w:eastAsia="Palatino Linotype" w:hAnsi="Palatino Linotype" w:cs="Palatino Linotype"/>
          <w:i/>
          <w:sz w:val="22"/>
          <w:szCs w:val="22"/>
        </w:rPr>
        <w:t xml:space="preserve"> Se reciba una solicitud de acceso a la información;</w:t>
      </w:r>
    </w:p>
    <w:p w14:paraId="11A5AD29"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II.</w:t>
      </w:r>
      <w:r w:rsidRPr="00F55CEC">
        <w:rPr>
          <w:rFonts w:ascii="Palatino Linotype" w:eastAsia="Palatino Linotype" w:hAnsi="Palatino Linotype" w:cs="Palatino Linotype"/>
          <w:i/>
          <w:sz w:val="22"/>
          <w:szCs w:val="22"/>
        </w:rPr>
        <w:t xml:space="preserve"> Se  determine mediante resolución del Comité de Transparencia, el órgano garante </w:t>
      </w:r>
    </w:p>
    <w:p w14:paraId="1BF0C527"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i/>
          <w:sz w:val="22"/>
          <w:szCs w:val="22"/>
        </w:rPr>
        <w:t>competente, o en cumplimiento a una sentencia del Poder Judicial; o</w:t>
      </w:r>
    </w:p>
    <w:p w14:paraId="7EC8390A"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i/>
          <w:sz w:val="22"/>
          <w:szCs w:val="22"/>
        </w:rPr>
        <w:t>III.</w:t>
      </w:r>
      <w:r w:rsidRPr="00F55CE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2412699"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872A00F"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i/>
          <w:sz w:val="22"/>
          <w:szCs w:val="22"/>
        </w:rPr>
        <w:t>Octavo.</w:t>
      </w:r>
      <w:r w:rsidRPr="00F55CE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0734F8A"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2BF5725"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417F0381"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i/>
          <w:sz w:val="22"/>
          <w:szCs w:val="22"/>
        </w:rPr>
        <w:t>Noveno.</w:t>
      </w:r>
      <w:r w:rsidRPr="00F55CE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0B63644"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i/>
          <w:sz w:val="22"/>
          <w:szCs w:val="22"/>
        </w:rPr>
        <w:t>Décimo.</w:t>
      </w:r>
      <w:r w:rsidRPr="00F55CE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94CB6B5"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F09F5B9"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Décimo primero.</w:t>
      </w:r>
      <w:r w:rsidRPr="00F55CE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C24AE59" w14:textId="77777777" w:rsidR="00B16304" w:rsidRPr="00F55CEC" w:rsidRDefault="00B16304">
      <w:pPr>
        <w:pBdr>
          <w:top w:val="nil"/>
          <w:left w:val="nil"/>
          <w:bottom w:val="nil"/>
          <w:right w:val="nil"/>
          <w:between w:val="nil"/>
        </w:pBdr>
        <w:ind w:right="709"/>
        <w:jc w:val="both"/>
        <w:rPr>
          <w:rFonts w:ascii="Palatino Linotype" w:eastAsia="Palatino Linotype" w:hAnsi="Palatino Linotype" w:cs="Palatino Linotype"/>
          <w:sz w:val="22"/>
          <w:szCs w:val="22"/>
        </w:rPr>
      </w:pPr>
    </w:p>
    <w:p w14:paraId="664154C9"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i/>
          <w:sz w:val="22"/>
          <w:szCs w:val="22"/>
        </w:rPr>
        <w:lastRenderedPageBreak/>
        <w:t>[…]</w:t>
      </w:r>
    </w:p>
    <w:p w14:paraId="735E95A8" w14:textId="77777777" w:rsidR="00B16304" w:rsidRPr="00F55CEC" w:rsidRDefault="00F52AF7">
      <w:pPr>
        <w:pBdr>
          <w:top w:val="nil"/>
          <w:left w:val="nil"/>
          <w:bottom w:val="nil"/>
          <w:right w:val="nil"/>
          <w:between w:val="nil"/>
        </w:pBdr>
        <w:ind w:left="709" w:right="709"/>
        <w:jc w:val="center"/>
        <w:rPr>
          <w:rFonts w:ascii="Palatino Linotype" w:eastAsia="Palatino Linotype" w:hAnsi="Palatino Linotype" w:cs="Palatino Linotype"/>
          <w:sz w:val="22"/>
          <w:szCs w:val="22"/>
        </w:rPr>
      </w:pPr>
      <w:r w:rsidRPr="00F55CEC">
        <w:rPr>
          <w:rFonts w:ascii="Palatino Linotype" w:eastAsia="Palatino Linotype" w:hAnsi="Palatino Linotype" w:cs="Palatino Linotype"/>
          <w:b/>
          <w:i/>
          <w:sz w:val="22"/>
          <w:szCs w:val="22"/>
        </w:rPr>
        <w:t>CAPÍTULO VIII</w:t>
      </w:r>
    </w:p>
    <w:p w14:paraId="0EA04ACA" w14:textId="77777777" w:rsidR="00B16304" w:rsidRPr="00F55CEC" w:rsidRDefault="00F52AF7">
      <w:pPr>
        <w:pBdr>
          <w:top w:val="nil"/>
          <w:left w:val="nil"/>
          <w:bottom w:val="nil"/>
          <w:right w:val="nil"/>
          <w:between w:val="nil"/>
        </w:pBdr>
        <w:ind w:left="709" w:right="709"/>
        <w:jc w:val="center"/>
        <w:rPr>
          <w:rFonts w:ascii="Palatino Linotype" w:eastAsia="Palatino Linotype" w:hAnsi="Palatino Linotype" w:cs="Palatino Linotype"/>
          <w:b/>
          <w:i/>
          <w:sz w:val="22"/>
          <w:szCs w:val="22"/>
        </w:rPr>
      </w:pPr>
      <w:r w:rsidRPr="00F55CEC">
        <w:rPr>
          <w:rFonts w:ascii="Palatino Linotype" w:eastAsia="Palatino Linotype" w:hAnsi="Palatino Linotype" w:cs="Palatino Linotype"/>
          <w:b/>
          <w:i/>
          <w:sz w:val="22"/>
          <w:szCs w:val="22"/>
        </w:rPr>
        <w:t>DE LOS ELEMENTOS PARA LA CLASIFICACIÓN</w:t>
      </w:r>
    </w:p>
    <w:p w14:paraId="3661EB7E"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Quincuagésimo</w:t>
      </w:r>
      <w:r w:rsidRPr="00F55CEC">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65941EE2"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Quincuagésimo primero</w:t>
      </w:r>
      <w:r w:rsidRPr="00F55CEC">
        <w:rPr>
          <w:rFonts w:ascii="Palatino Linotype" w:eastAsia="Palatino Linotype" w:hAnsi="Palatino Linotype" w:cs="Palatino Linotype"/>
          <w:i/>
          <w:sz w:val="22"/>
          <w:szCs w:val="22"/>
        </w:rPr>
        <w:t>. Toda acta del Comité de Transparencia deberá contener:</w:t>
      </w:r>
    </w:p>
    <w:p w14:paraId="7E71A355"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I. El número de sesión y fecha; </w:t>
      </w:r>
    </w:p>
    <w:p w14:paraId="6893EEE9"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II. El nombre del área que solicitó la clasificación de información;</w:t>
      </w:r>
    </w:p>
    <w:p w14:paraId="0E414461"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III. La fundamentación legal y motivación correspondiente;</w:t>
      </w:r>
    </w:p>
    <w:p w14:paraId="78E8E7A5"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IV. La resolución o resoluciones aprobadas; y</w:t>
      </w:r>
    </w:p>
    <w:p w14:paraId="1A0B9DCE"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V. La rúbrica o firma digital de cada integrante del Comité de Transparencia. </w:t>
      </w:r>
    </w:p>
    <w:p w14:paraId="4AB19ADD"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1A8EDE83"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 Los motivos y razonamientos que sustenten la confirmación o modificación de la prueba de daño;</w:t>
      </w:r>
    </w:p>
    <w:p w14:paraId="75FB1357"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II. Descripción de las partes o secciones reservadas, en caso de clasificación parcial;</w:t>
      </w:r>
    </w:p>
    <w:p w14:paraId="3C21E2F2"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III. El periodo por el que mantendrá su clasificación y fecha de expiración; y</w:t>
      </w:r>
    </w:p>
    <w:p w14:paraId="7B0C3EF1"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IV. El nombre del titular y área encargada de realizar la versión pública del documento, en su caso.</w:t>
      </w:r>
    </w:p>
    <w:p w14:paraId="1FD7AC5F"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FFC8610"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5AFED95"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b/>
          <w:i/>
          <w:sz w:val="22"/>
          <w:szCs w:val="22"/>
        </w:rPr>
        <w:t>Quincuagésimo segundo</w:t>
      </w:r>
      <w:r w:rsidRPr="00F55CEC">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93A1178"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53BD061A"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5A007A9"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3752ADAB"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55CEC">
        <w:rPr>
          <w:rFonts w:ascii="Palatino Linotype" w:eastAsia="Palatino Linotype" w:hAnsi="Palatino Linotype" w:cs="Palatino Linotype"/>
          <w:i/>
          <w:sz w:val="22"/>
          <w:szCs w:val="22"/>
        </w:rPr>
        <w:t>III. Señalar las personas o instancias autorizadas a acceder a la información clasificada.</w:t>
      </w:r>
    </w:p>
    <w:p w14:paraId="79DD59B3" w14:textId="77777777" w:rsidR="00B16304" w:rsidRPr="00F55CEC" w:rsidRDefault="00F52AF7">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 (Sic)</w:t>
      </w:r>
    </w:p>
    <w:p w14:paraId="3BC72D66" w14:textId="77777777" w:rsidR="00B16304" w:rsidRPr="00F55CEC" w:rsidRDefault="00B16304">
      <w:pPr>
        <w:rPr>
          <w:rFonts w:ascii="Palatino Linotype" w:eastAsia="Palatino Linotype" w:hAnsi="Palatino Linotype" w:cs="Palatino Linotype"/>
          <w:sz w:val="22"/>
          <w:szCs w:val="22"/>
        </w:rPr>
      </w:pPr>
    </w:p>
    <w:p w14:paraId="6325882E"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31E63CA8"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68B1BABE" w14:textId="77777777" w:rsidR="00B16304" w:rsidRPr="00F55CEC" w:rsidRDefault="00F52AF7">
      <w:pPr>
        <w:shd w:val="clear" w:color="auto" w:fill="FFFFFF"/>
        <w:spacing w:line="360" w:lineRule="auto"/>
        <w:ind w:right="51"/>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F55CEC">
        <w:rPr>
          <w:rFonts w:ascii="Palatino Linotype" w:eastAsia="Palatino Linotype" w:hAnsi="Palatino Linotype" w:cs="Palatino Linotype"/>
          <w:b/>
          <w:sz w:val="22"/>
          <w:szCs w:val="22"/>
        </w:rPr>
        <w:t>recurrente</w:t>
      </w:r>
      <w:r w:rsidRPr="00F55CEC">
        <w:rPr>
          <w:rFonts w:ascii="Palatino Linotype" w:eastAsia="Palatino Linotype" w:hAnsi="Palatino Linotype" w:cs="Palatino Linotype"/>
          <w:sz w:val="22"/>
          <w:szCs w:val="22"/>
        </w:rPr>
        <w:t>.</w:t>
      </w:r>
    </w:p>
    <w:p w14:paraId="0555F055"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4CF1902B"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sz w:val="22"/>
          <w:szCs w:val="22"/>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6A34B0AA" w14:textId="77777777" w:rsidR="00B16304" w:rsidRPr="00F55CEC" w:rsidRDefault="00F52AF7">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F55CEC">
        <w:rPr>
          <w:rFonts w:ascii="Palatino Linotype" w:eastAsia="Palatino Linotype" w:hAnsi="Palatino Linotype" w:cs="Palatino Linotype"/>
          <w:b/>
          <w:sz w:val="22"/>
          <w:szCs w:val="22"/>
        </w:rPr>
        <w:t>R E S U E L V E:</w:t>
      </w:r>
    </w:p>
    <w:p w14:paraId="026A4AF2"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 xml:space="preserve">Primero. </w:t>
      </w:r>
      <w:r w:rsidRPr="00F55CEC">
        <w:rPr>
          <w:rFonts w:ascii="Palatino Linotype" w:eastAsia="Palatino Linotype" w:hAnsi="Palatino Linotype" w:cs="Palatino Linotype"/>
          <w:sz w:val="22"/>
          <w:szCs w:val="22"/>
        </w:rPr>
        <w:t xml:space="preserve">Resultan fundados los motivos de inconformidad hechos valer por la parte </w:t>
      </w:r>
      <w:r w:rsidRPr="00F55CEC">
        <w:rPr>
          <w:rFonts w:ascii="Palatino Linotype" w:eastAsia="Palatino Linotype" w:hAnsi="Palatino Linotype" w:cs="Palatino Linotype"/>
          <w:b/>
          <w:sz w:val="22"/>
          <w:szCs w:val="22"/>
        </w:rPr>
        <w:t>Recurrente</w:t>
      </w:r>
      <w:r w:rsidRPr="00F55CEC">
        <w:rPr>
          <w:rFonts w:ascii="Palatino Linotype" w:eastAsia="Palatino Linotype" w:hAnsi="Palatino Linotype" w:cs="Palatino Linotype"/>
          <w:sz w:val="22"/>
          <w:szCs w:val="22"/>
        </w:rPr>
        <w:t xml:space="preserve"> en el Recurso de Revisión </w:t>
      </w:r>
      <w:r w:rsidRPr="00F55CEC">
        <w:rPr>
          <w:rFonts w:ascii="Palatino Linotype" w:eastAsia="Palatino Linotype" w:hAnsi="Palatino Linotype" w:cs="Palatino Linotype"/>
          <w:b/>
          <w:sz w:val="22"/>
          <w:szCs w:val="22"/>
        </w:rPr>
        <w:t xml:space="preserve">05194/INFOEM/IP/RR/2025; </w:t>
      </w:r>
      <w:r w:rsidRPr="00F55CEC">
        <w:rPr>
          <w:rFonts w:ascii="Palatino Linotype" w:eastAsia="Palatino Linotype" w:hAnsi="Palatino Linotype" w:cs="Palatino Linotype"/>
          <w:sz w:val="22"/>
          <w:szCs w:val="22"/>
        </w:rPr>
        <w:t xml:space="preserve">por lo que, en términos </w:t>
      </w:r>
      <w:r w:rsidRPr="00F55CEC">
        <w:rPr>
          <w:rFonts w:ascii="Palatino Linotype" w:eastAsia="Palatino Linotype" w:hAnsi="Palatino Linotype" w:cs="Palatino Linotype"/>
          <w:sz w:val="22"/>
          <w:szCs w:val="22"/>
        </w:rPr>
        <w:lastRenderedPageBreak/>
        <w:t xml:space="preserve">del considerando </w:t>
      </w:r>
      <w:r w:rsidRPr="00F55CEC">
        <w:rPr>
          <w:rFonts w:ascii="Palatino Linotype" w:eastAsia="Palatino Linotype" w:hAnsi="Palatino Linotype" w:cs="Palatino Linotype"/>
          <w:b/>
          <w:sz w:val="22"/>
          <w:szCs w:val="22"/>
        </w:rPr>
        <w:t xml:space="preserve">Cuarto </w:t>
      </w:r>
      <w:r w:rsidRPr="00F55CEC">
        <w:rPr>
          <w:rFonts w:ascii="Palatino Linotype" w:eastAsia="Palatino Linotype" w:hAnsi="Palatino Linotype" w:cs="Palatino Linotype"/>
          <w:sz w:val="22"/>
          <w:szCs w:val="22"/>
        </w:rPr>
        <w:t xml:space="preserve">de esta resolución, se </w:t>
      </w:r>
      <w:r w:rsidRPr="00F55CEC">
        <w:rPr>
          <w:rFonts w:ascii="Palatino Linotype" w:eastAsia="Palatino Linotype" w:hAnsi="Palatino Linotype" w:cs="Palatino Linotype"/>
          <w:b/>
          <w:sz w:val="22"/>
          <w:szCs w:val="22"/>
        </w:rPr>
        <w:t xml:space="preserve">Revoca </w:t>
      </w:r>
      <w:r w:rsidRPr="00F55CEC">
        <w:rPr>
          <w:rFonts w:ascii="Palatino Linotype" w:eastAsia="Palatino Linotype" w:hAnsi="Palatino Linotype" w:cs="Palatino Linotype"/>
          <w:sz w:val="22"/>
          <w:szCs w:val="22"/>
        </w:rPr>
        <w:t xml:space="preserve">la respuesta emitida por 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w:t>
      </w:r>
    </w:p>
    <w:p w14:paraId="42C9C995" w14:textId="77777777" w:rsidR="00B16304" w:rsidRPr="00F55CEC" w:rsidRDefault="00B16304">
      <w:pPr>
        <w:spacing w:line="360" w:lineRule="auto"/>
        <w:jc w:val="both"/>
        <w:rPr>
          <w:rFonts w:ascii="Palatino Linotype" w:eastAsia="Palatino Linotype" w:hAnsi="Palatino Linotype" w:cs="Palatino Linotype"/>
          <w:sz w:val="22"/>
          <w:szCs w:val="22"/>
        </w:rPr>
      </w:pPr>
    </w:p>
    <w:p w14:paraId="52471E4A" w14:textId="77777777" w:rsidR="00B16304" w:rsidRPr="00F55CEC" w:rsidRDefault="00F52AF7">
      <w:pP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 xml:space="preserve">Segundo. </w:t>
      </w:r>
      <w:r w:rsidRPr="00F55CEC">
        <w:rPr>
          <w:rFonts w:ascii="Palatino Linotype" w:eastAsia="Palatino Linotype" w:hAnsi="Palatino Linotype" w:cs="Palatino Linotype"/>
          <w:sz w:val="22"/>
          <w:szCs w:val="22"/>
        </w:rPr>
        <w:t>Se</w:t>
      </w:r>
      <w:r w:rsidRPr="00F55CEC">
        <w:rPr>
          <w:rFonts w:ascii="Palatino Linotype" w:eastAsia="Palatino Linotype" w:hAnsi="Palatino Linotype" w:cs="Palatino Linotype"/>
          <w:b/>
          <w:sz w:val="22"/>
          <w:szCs w:val="22"/>
        </w:rPr>
        <w:t xml:space="preserve"> ordena </w:t>
      </w:r>
      <w:r w:rsidRPr="00F55CEC">
        <w:rPr>
          <w:rFonts w:ascii="Palatino Linotype" w:eastAsia="Palatino Linotype" w:hAnsi="Palatino Linotype" w:cs="Palatino Linotype"/>
          <w:sz w:val="22"/>
          <w:szCs w:val="22"/>
        </w:rPr>
        <w:t xml:space="preserve">al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xml:space="preserve"> a que,</w:t>
      </w:r>
      <w:r w:rsidRPr="00F55CEC">
        <w:rPr>
          <w:rFonts w:ascii="Palatino Linotype" w:eastAsia="Palatino Linotype" w:hAnsi="Palatino Linotype" w:cs="Palatino Linotype"/>
          <w:b/>
          <w:sz w:val="22"/>
          <w:szCs w:val="22"/>
        </w:rPr>
        <w:t xml:space="preserve"> </w:t>
      </w:r>
      <w:r w:rsidRPr="00F55CEC">
        <w:rPr>
          <w:rFonts w:ascii="Palatino Linotype" w:eastAsia="Palatino Linotype" w:hAnsi="Palatino Linotype" w:cs="Palatino Linotype"/>
          <w:sz w:val="22"/>
          <w:szCs w:val="22"/>
        </w:rPr>
        <w:t>en términos del Considerando Cuarto y Quinto, haga entrega vía SAIMEX, en versión pública de ser procedente, de lo siguiente:</w:t>
      </w:r>
    </w:p>
    <w:p w14:paraId="0D61E077"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7EECF810" w14:textId="77777777" w:rsidR="00B16304" w:rsidRPr="00F55CEC" w:rsidRDefault="00F52AF7">
      <w:pPr>
        <w:numPr>
          <w:ilvl w:val="0"/>
          <w:numId w:val="5"/>
        </w:numPr>
        <w:pBdr>
          <w:top w:val="nil"/>
          <w:left w:val="nil"/>
          <w:bottom w:val="nil"/>
          <w:right w:val="nil"/>
          <w:between w:val="nil"/>
        </w:pBdr>
        <w:spacing w:line="276" w:lineRule="auto"/>
        <w:ind w:left="851" w:right="629" w:firstLine="0"/>
        <w:jc w:val="both"/>
        <w:rPr>
          <w:rFonts w:ascii="Palatino Linotype" w:eastAsia="Palatino Linotype" w:hAnsi="Palatino Linotype" w:cs="Palatino Linotype"/>
          <w:i/>
          <w:color w:val="000000"/>
          <w:sz w:val="22"/>
          <w:szCs w:val="22"/>
        </w:rPr>
      </w:pPr>
      <w:r w:rsidRPr="00F55CEC">
        <w:rPr>
          <w:rFonts w:ascii="Palatino Linotype" w:eastAsia="Palatino Linotype" w:hAnsi="Palatino Linotype" w:cs="Palatino Linotype"/>
          <w:color w:val="000000"/>
          <w:sz w:val="22"/>
          <w:szCs w:val="22"/>
        </w:rPr>
        <w:t xml:space="preserve">El o los documentos que den cuenta de la </w:t>
      </w:r>
      <w:r w:rsidRPr="00F55CEC">
        <w:rPr>
          <w:rFonts w:ascii="Palatino Linotype" w:eastAsia="Palatino Linotype" w:hAnsi="Palatino Linotype" w:cs="Palatino Linotype"/>
          <w:sz w:val="22"/>
          <w:szCs w:val="22"/>
        </w:rPr>
        <w:t>transmisión</w:t>
      </w:r>
      <w:r w:rsidRPr="00F55CEC">
        <w:rPr>
          <w:rFonts w:ascii="Palatino Linotype" w:eastAsia="Palatino Linotype" w:hAnsi="Palatino Linotype" w:cs="Palatino Linotype"/>
          <w:color w:val="000000"/>
          <w:sz w:val="22"/>
          <w:szCs w:val="22"/>
        </w:rPr>
        <w:t xml:space="preserve"> de la Octava, Novena y Décima Sesión Ordinaria de Cabildo, a través de</w:t>
      </w:r>
      <w:r w:rsidRPr="00F55CEC">
        <w:rPr>
          <w:rFonts w:ascii="Palatino Linotype" w:eastAsia="Palatino Linotype" w:hAnsi="Palatino Linotype" w:cs="Palatino Linotype"/>
          <w:sz w:val="22"/>
          <w:szCs w:val="22"/>
        </w:rPr>
        <w:t xml:space="preserve"> su página oficial de internet, plataformas, redes sociales, radio o televisión de acceso gratuito</w:t>
      </w:r>
      <w:r w:rsidRPr="00F55CEC">
        <w:rPr>
          <w:rFonts w:ascii="Palatino Linotype" w:eastAsia="Palatino Linotype" w:hAnsi="Palatino Linotype" w:cs="Palatino Linotype"/>
          <w:color w:val="000000"/>
          <w:sz w:val="22"/>
          <w:szCs w:val="22"/>
        </w:rPr>
        <w:t>, al siete de abril de dos mil veinticinco.</w:t>
      </w:r>
    </w:p>
    <w:p w14:paraId="63F57EE9" w14:textId="77777777" w:rsidR="00B16304" w:rsidRPr="00F55CEC" w:rsidRDefault="00B16304">
      <w:pPr>
        <w:pBdr>
          <w:top w:val="nil"/>
          <w:left w:val="nil"/>
          <w:bottom w:val="nil"/>
          <w:right w:val="nil"/>
          <w:between w:val="nil"/>
        </w:pBdr>
        <w:spacing w:line="276" w:lineRule="auto"/>
        <w:ind w:left="851" w:right="629"/>
        <w:jc w:val="both"/>
        <w:rPr>
          <w:rFonts w:ascii="Palatino Linotype" w:eastAsia="Palatino Linotype" w:hAnsi="Palatino Linotype" w:cs="Palatino Linotype"/>
          <w:color w:val="000000"/>
          <w:sz w:val="22"/>
          <w:szCs w:val="22"/>
        </w:rPr>
      </w:pPr>
    </w:p>
    <w:p w14:paraId="5C12AFA6" w14:textId="77777777" w:rsidR="00B16304" w:rsidRPr="00F55CEC" w:rsidRDefault="00F52AF7">
      <w:pPr>
        <w:pBdr>
          <w:top w:val="nil"/>
          <w:left w:val="nil"/>
          <w:bottom w:val="nil"/>
          <w:right w:val="nil"/>
          <w:between w:val="nil"/>
        </w:pBdr>
        <w:spacing w:line="276" w:lineRule="auto"/>
        <w:ind w:left="851" w:right="629"/>
        <w:jc w:val="both"/>
        <w:rPr>
          <w:rFonts w:ascii="Palatino Linotype" w:eastAsia="Palatino Linotype" w:hAnsi="Palatino Linotype" w:cs="Palatino Linotype"/>
          <w:i/>
          <w:color w:val="000000"/>
          <w:sz w:val="22"/>
          <w:szCs w:val="22"/>
        </w:rPr>
      </w:pPr>
      <w:r w:rsidRPr="00F55CEC">
        <w:rPr>
          <w:rFonts w:ascii="Palatino Linotype" w:eastAsia="Palatino Linotype" w:hAnsi="Palatino Linotype" w:cs="Palatino Linotype"/>
          <w:i/>
          <w:color w:val="000000"/>
          <w:sz w:val="22"/>
          <w:szCs w:val="22"/>
        </w:rPr>
        <w:t>De ser procedente,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53E94892" w14:textId="77777777" w:rsidR="00B16304" w:rsidRPr="00F55CEC" w:rsidRDefault="00B16304">
      <w:pPr>
        <w:pBdr>
          <w:top w:val="nil"/>
          <w:left w:val="nil"/>
          <w:bottom w:val="nil"/>
          <w:right w:val="nil"/>
          <w:between w:val="nil"/>
        </w:pBdr>
        <w:ind w:left="720" w:right="40"/>
        <w:jc w:val="both"/>
        <w:rPr>
          <w:rFonts w:ascii="Palatino Linotype" w:eastAsia="Palatino Linotype" w:hAnsi="Palatino Linotype" w:cs="Palatino Linotype"/>
          <w:i/>
          <w:sz w:val="22"/>
          <w:szCs w:val="22"/>
        </w:rPr>
      </w:pPr>
    </w:p>
    <w:p w14:paraId="3791FE01" w14:textId="77777777" w:rsidR="00B16304" w:rsidRPr="00F55CEC" w:rsidRDefault="00F52AF7">
      <w:pP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 xml:space="preserve">Tercero. Notifíquese, </w:t>
      </w:r>
      <w:r w:rsidRPr="00F55CEC">
        <w:rPr>
          <w:rFonts w:ascii="Palatino Linotype" w:eastAsia="Palatino Linotype" w:hAnsi="Palatino Linotype" w:cs="Palatino Linotype"/>
          <w:sz w:val="22"/>
          <w:szCs w:val="22"/>
        </w:rPr>
        <w:t xml:space="preserve">vía </w:t>
      </w:r>
      <w:r w:rsidRPr="00F55CEC">
        <w:rPr>
          <w:rFonts w:ascii="Palatino Linotype" w:eastAsia="Palatino Linotype" w:hAnsi="Palatino Linotype" w:cs="Palatino Linotype"/>
          <w:b/>
          <w:sz w:val="22"/>
          <w:szCs w:val="22"/>
        </w:rPr>
        <w:t>SAIMEX</w:t>
      </w:r>
      <w:r w:rsidRPr="00F55CEC">
        <w:rPr>
          <w:rFonts w:ascii="Palatino Linotype" w:eastAsia="Palatino Linotype" w:hAnsi="Palatino Linotype" w:cs="Palatino Linotype"/>
          <w:sz w:val="22"/>
          <w:szCs w:val="22"/>
        </w:rPr>
        <w:t xml:space="preserve">, al Titular de la Unidad de Transparencia del </w:t>
      </w:r>
      <w:r w:rsidRPr="00F55CEC">
        <w:rPr>
          <w:rFonts w:ascii="Palatino Linotype" w:eastAsia="Palatino Linotype" w:hAnsi="Palatino Linotype" w:cs="Palatino Linotype"/>
          <w:b/>
          <w:sz w:val="22"/>
          <w:szCs w:val="22"/>
        </w:rPr>
        <w:t>Sujeto Obligado,</w:t>
      </w:r>
      <w:r w:rsidRPr="00F55CEC">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6CA3497" w14:textId="77777777" w:rsidR="00B16304" w:rsidRPr="00F55CEC" w:rsidRDefault="00B16304">
      <w:pPr>
        <w:spacing w:line="360" w:lineRule="auto"/>
        <w:ind w:right="49"/>
        <w:jc w:val="both"/>
        <w:rPr>
          <w:rFonts w:ascii="Palatino Linotype" w:eastAsia="Palatino Linotype" w:hAnsi="Palatino Linotype" w:cs="Palatino Linotype"/>
          <w:b/>
          <w:sz w:val="22"/>
          <w:szCs w:val="22"/>
        </w:rPr>
      </w:pPr>
    </w:p>
    <w:p w14:paraId="465088F4" w14:textId="77777777" w:rsidR="00B16304" w:rsidRPr="00F55CEC" w:rsidRDefault="00F52AF7">
      <w:pPr>
        <w:spacing w:line="360" w:lineRule="auto"/>
        <w:ind w:right="49"/>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Cuarto. Notifíquese vía SAIMEX</w:t>
      </w:r>
      <w:r w:rsidRPr="00F55CEC">
        <w:rPr>
          <w:rFonts w:ascii="Palatino Linotype" w:eastAsia="Palatino Linotype" w:hAnsi="Palatino Linotype" w:cs="Palatino Linotype"/>
          <w:sz w:val="22"/>
          <w:szCs w:val="22"/>
        </w:rPr>
        <w:t xml:space="preserve">, a la parte </w:t>
      </w:r>
      <w:r w:rsidRPr="00F55CEC">
        <w:rPr>
          <w:rFonts w:ascii="Palatino Linotype" w:eastAsia="Palatino Linotype" w:hAnsi="Palatino Linotype" w:cs="Palatino Linotype"/>
          <w:b/>
          <w:sz w:val="22"/>
          <w:szCs w:val="22"/>
        </w:rPr>
        <w:t>Recurrente</w:t>
      </w:r>
      <w:r w:rsidRPr="00F55CEC">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w:t>
      </w:r>
      <w:r w:rsidRPr="00F55CEC">
        <w:rPr>
          <w:rFonts w:ascii="Palatino Linotype" w:eastAsia="Palatino Linotype" w:hAnsi="Palatino Linotype" w:cs="Palatino Linotype"/>
          <w:sz w:val="22"/>
          <w:szCs w:val="22"/>
        </w:rPr>
        <w:lastRenderedPageBreak/>
        <w:t>Acceso a la Información Pública del Estado de México y Municipios, podrá impugnar la presente resolución vía Juicio de Amparo en los términos de las leyes aplicables.</w:t>
      </w:r>
    </w:p>
    <w:p w14:paraId="1AA2DB79" w14:textId="77777777" w:rsidR="00B16304" w:rsidRPr="00F55CEC" w:rsidRDefault="00B16304">
      <w:pPr>
        <w:spacing w:line="360" w:lineRule="auto"/>
        <w:ind w:right="49"/>
        <w:jc w:val="both"/>
        <w:rPr>
          <w:rFonts w:ascii="Palatino Linotype" w:eastAsia="Palatino Linotype" w:hAnsi="Palatino Linotype" w:cs="Palatino Linotype"/>
          <w:sz w:val="22"/>
          <w:szCs w:val="22"/>
        </w:rPr>
      </w:pPr>
    </w:p>
    <w:p w14:paraId="74CA7AD5" w14:textId="77777777" w:rsidR="00B16304" w:rsidRPr="00F55CEC" w:rsidRDefault="00F52AF7">
      <w:pPr>
        <w:spacing w:line="360" w:lineRule="auto"/>
        <w:jc w:val="both"/>
        <w:rPr>
          <w:rFonts w:ascii="Palatino Linotype" w:eastAsia="Palatino Linotype" w:hAnsi="Palatino Linotype" w:cs="Palatino Linotype"/>
          <w:sz w:val="22"/>
          <w:szCs w:val="22"/>
        </w:rPr>
      </w:pPr>
      <w:r w:rsidRPr="00F55CEC">
        <w:rPr>
          <w:rFonts w:ascii="Palatino Linotype" w:eastAsia="Palatino Linotype" w:hAnsi="Palatino Linotype" w:cs="Palatino Linotype"/>
          <w:b/>
          <w:sz w:val="22"/>
          <w:szCs w:val="22"/>
        </w:rPr>
        <w:t>Quinto.</w:t>
      </w:r>
      <w:r w:rsidRPr="00F55CEC">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6D74155" w14:textId="77777777" w:rsidR="00B16304" w:rsidRPr="00F55CEC" w:rsidRDefault="00B16304">
      <w:pPr>
        <w:spacing w:line="360" w:lineRule="auto"/>
        <w:jc w:val="both"/>
        <w:rPr>
          <w:rFonts w:ascii="Palatino Linotype" w:eastAsia="Palatino Linotype" w:hAnsi="Palatino Linotype" w:cs="Palatino Linotype"/>
          <w:b/>
          <w:sz w:val="22"/>
          <w:szCs w:val="22"/>
        </w:rPr>
      </w:pPr>
    </w:p>
    <w:p w14:paraId="5AF20868" w14:textId="6516E74A" w:rsidR="00B16304" w:rsidRDefault="00F52AF7">
      <w:pPr>
        <w:spacing w:line="360" w:lineRule="auto"/>
        <w:jc w:val="both"/>
        <w:rPr>
          <w:rFonts w:ascii="Palatino Linotype" w:eastAsia="Palatino Linotype" w:hAnsi="Palatino Linotype" w:cs="Palatino Linotype"/>
          <w:sz w:val="22"/>
          <w:szCs w:val="22"/>
        </w:rPr>
      </w:pPr>
      <w:bookmarkStart w:id="5" w:name="_heading=h.17dp8vu" w:colFirst="0" w:colLast="0"/>
      <w:bookmarkEnd w:id="5"/>
      <w:r w:rsidRPr="00F55CEC">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w:t>
      </w:r>
      <w:r w:rsidR="009E1303" w:rsidRPr="00F55CEC">
        <w:rPr>
          <w:rFonts w:ascii="Palatino Linotype" w:eastAsia="Palatino Linotype" w:hAnsi="Palatino Linotype" w:cs="Palatino Linotype"/>
          <w:sz w:val="22"/>
          <w:szCs w:val="22"/>
        </w:rPr>
        <w:t>SEIS DE AGOSTO</w:t>
      </w:r>
      <w:r w:rsidRPr="00F55CEC">
        <w:rPr>
          <w:rFonts w:ascii="Palatino Linotype" w:eastAsia="Palatino Linotype" w:hAnsi="Palatino Linotype" w:cs="Palatino Linotype"/>
          <w:sz w:val="22"/>
          <w:szCs w:val="22"/>
        </w:rPr>
        <w:t xml:space="preserve"> DE DOS MIL VEINTICINCO, ANTE EL SECRETARIO TÉCNICO DEL PLENO ALEXIS TAPIA RAMÍREZ.</w:t>
      </w:r>
    </w:p>
    <w:p w14:paraId="12397645" w14:textId="77777777" w:rsidR="00B16304" w:rsidRDefault="00B16304">
      <w:pPr>
        <w:spacing w:line="360" w:lineRule="auto"/>
        <w:jc w:val="both"/>
        <w:rPr>
          <w:rFonts w:ascii="Palatino Linotype" w:eastAsia="Palatino Linotype" w:hAnsi="Palatino Linotype" w:cs="Palatino Linotype"/>
          <w:sz w:val="22"/>
          <w:szCs w:val="22"/>
        </w:rPr>
      </w:pPr>
    </w:p>
    <w:p w14:paraId="417AEB8A" w14:textId="77777777" w:rsidR="00B16304" w:rsidRDefault="00B16304">
      <w:pPr>
        <w:spacing w:line="360" w:lineRule="auto"/>
        <w:jc w:val="both"/>
        <w:rPr>
          <w:rFonts w:ascii="Palatino Linotype" w:eastAsia="Palatino Linotype" w:hAnsi="Palatino Linotype" w:cs="Palatino Linotype"/>
          <w:sz w:val="22"/>
          <w:szCs w:val="22"/>
        </w:rPr>
      </w:pPr>
    </w:p>
    <w:p w14:paraId="23AAE8FF" w14:textId="77777777" w:rsidR="00B16304" w:rsidRDefault="00B16304">
      <w:pPr>
        <w:spacing w:line="360" w:lineRule="auto"/>
        <w:jc w:val="both"/>
        <w:rPr>
          <w:rFonts w:ascii="Palatino Linotype" w:eastAsia="Palatino Linotype" w:hAnsi="Palatino Linotype" w:cs="Palatino Linotype"/>
          <w:sz w:val="22"/>
          <w:szCs w:val="22"/>
        </w:rPr>
      </w:pPr>
    </w:p>
    <w:p w14:paraId="6EB94CA2" w14:textId="77777777" w:rsidR="00B16304" w:rsidRDefault="00B16304">
      <w:pPr>
        <w:spacing w:line="360" w:lineRule="auto"/>
        <w:jc w:val="both"/>
        <w:rPr>
          <w:rFonts w:ascii="Palatino Linotype" w:eastAsia="Palatino Linotype" w:hAnsi="Palatino Linotype" w:cs="Palatino Linotype"/>
          <w:sz w:val="22"/>
          <w:szCs w:val="22"/>
        </w:rPr>
      </w:pPr>
    </w:p>
    <w:p w14:paraId="55BDE66D" w14:textId="77777777" w:rsidR="00B16304" w:rsidRDefault="00B16304">
      <w:pPr>
        <w:spacing w:line="360" w:lineRule="auto"/>
        <w:jc w:val="both"/>
        <w:rPr>
          <w:rFonts w:ascii="Palatino Linotype" w:eastAsia="Palatino Linotype" w:hAnsi="Palatino Linotype" w:cs="Palatino Linotype"/>
          <w:sz w:val="22"/>
          <w:szCs w:val="22"/>
        </w:rPr>
      </w:pPr>
    </w:p>
    <w:p w14:paraId="713DBBEF" w14:textId="77777777" w:rsidR="00B16304" w:rsidRDefault="00B16304">
      <w:pPr>
        <w:spacing w:line="360" w:lineRule="auto"/>
        <w:jc w:val="both"/>
        <w:rPr>
          <w:rFonts w:ascii="Palatino Linotype" w:eastAsia="Palatino Linotype" w:hAnsi="Palatino Linotype" w:cs="Palatino Linotype"/>
          <w:sz w:val="22"/>
          <w:szCs w:val="22"/>
        </w:rPr>
      </w:pPr>
    </w:p>
    <w:p w14:paraId="685FC5F2" w14:textId="77777777" w:rsidR="00B16304" w:rsidRDefault="00B16304">
      <w:pPr>
        <w:spacing w:line="360" w:lineRule="auto"/>
        <w:jc w:val="both"/>
        <w:rPr>
          <w:rFonts w:ascii="Palatino Linotype" w:eastAsia="Palatino Linotype" w:hAnsi="Palatino Linotype" w:cs="Palatino Linotype"/>
          <w:sz w:val="22"/>
          <w:szCs w:val="22"/>
        </w:rPr>
      </w:pPr>
    </w:p>
    <w:p w14:paraId="3D39B426" w14:textId="77777777" w:rsidR="00B16304" w:rsidRDefault="00B16304">
      <w:pPr>
        <w:spacing w:line="360" w:lineRule="auto"/>
        <w:jc w:val="both"/>
        <w:rPr>
          <w:rFonts w:ascii="Palatino Linotype" w:eastAsia="Palatino Linotype" w:hAnsi="Palatino Linotype" w:cs="Palatino Linotype"/>
          <w:sz w:val="22"/>
          <w:szCs w:val="22"/>
        </w:rPr>
      </w:pPr>
    </w:p>
    <w:p w14:paraId="69C0EA79" w14:textId="77777777" w:rsidR="00B16304" w:rsidRDefault="00B16304">
      <w:pPr>
        <w:spacing w:line="360" w:lineRule="auto"/>
        <w:jc w:val="both"/>
        <w:rPr>
          <w:rFonts w:ascii="Palatino Linotype" w:eastAsia="Palatino Linotype" w:hAnsi="Palatino Linotype" w:cs="Palatino Linotype"/>
          <w:sz w:val="22"/>
          <w:szCs w:val="22"/>
        </w:rPr>
      </w:pPr>
    </w:p>
    <w:p w14:paraId="28F0078A" w14:textId="77777777" w:rsidR="00B16304" w:rsidRDefault="00B16304">
      <w:pPr>
        <w:spacing w:line="360" w:lineRule="auto"/>
        <w:jc w:val="both"/>
        <w:rPr>
          <w:rFonts w:ascii="Palatino Linotype" w:eastAsia="Palatino Linotype" w:hAnsi="Palatino Linotype" w:cs="Palatino Linotype"/>
          <w:sz w:val="22"/>
          <w:szCs w:val="22"/>
        </w:rPr>
      </w:pPr>
    </w:p>
    <w:p w14:paraId="1B5DFBF9" w14:textId="77777777" w:rsidR="00B16304" w:rsidRDefault="00B16304">
      <w:pPr>
        <w:spacing w:line="360" w:lineRule="auto"/>
        <w:jc w:val="both"/>
        <w:rPr>
          <w:rFonts w:ascii="Palatino Linotype" w:eastAsia="Palatino Linotype" w:hAnsi="Palatino Linotype" w:cs="Palatino Linotype"/>
          <w:sz w:val="22"/>
          <w:szCs w:val="22"/>
        </w:rPr>
      </w:pPr>
    </w:p>
    <w:p w14:paraId="7F9833D4" w14:textId="77777777" w:rsidR="00B16304" w:rsidRDefault="00B16304">
      <w:pPr>
        <w:spacing w:line="360" w:lineRule="auto"/>
        <w:jc w:val="both"/>
        <w:rPr>
          <w:rFonts w:ascii="Palatino Linotype" w:eastAsia="Palatino Linotype" w:hAnsi="Palatino Linotype" w:cs="Palatino Linotype"/>
          <w:sz w:val="22"/>
          <w:szCs w:val="22"/>
        </w:rPr>
      </w:pPr>
    </w:p>
    <w:p w14:paraId="0D094AF3" w14:textId="77777777" w:rsidR="00B16304" w:rsidRDefault="00B16304">
      <w:pPr>
        <w:spacing w:line="360" w:lineRule="auto"/>
        <w:jc w:val="both"/>
        <w:rPr>
          <w:rFonts w:ascii="Palatino Linotype" w:eastAsia="Palatino Linotype" w:hAnsi="Palatino Linotype" w:cs="Palatino Linotype"/>
          <w:sz w:val="22"/>
          <w:szCs w:val="22"/>
        </w:rPr>
      </w:pPr>
    </w:p>
    <w:p w14:paraId="388CF45D" w14:textId="77777777" w:rsidR="00B16304" w:rsidRDefault="00B16304">
      <w:pPr>
        <w:spacing w:line="360" w:lineRule="auto"/>
        <w:jc w:val="both"/>
        <w:rPr>
          <w:rFonts w:ascii="Palatino Linotype" w:eastAsia="Palatino Linotype" w:hAnsi="Palatino Linotype" w:cs="Palatino Linotype"/>
          <w:sz w:val="22"/>
          <w:szCs w:val="22"/>
        </w:rPr>
      </w:pPr>
    </w:p>
    <w:p w14:paraId="12877472" w14:textId="77777777" w:rsidR="00B16304" w:rsidRDefault="00B16304">
      <w:pPr>
        <w:spacing w:line="360" w:lineRule="auto"/>
        <w:jc w:val="both"/>
        <w:rPr>
          <w:rFonts w:ascii="Palatino Linotype" w:eastAsia="Palatino Linotype" w:hAnsi="Palatino Linotype" w:cs="Palatino Linotype"/>
          <w:sz w:val="22"/>
          <w:szCs w:val="22"/>
        </w:rPr>
      </w:pPr>
    </w:p>
    <w:p w14:paraId="718AF907" w14:textId="77777777" w:rsidR="00B16304" w:rsidRDefault="00B16304">
      <w:pPr>
        <w:spacing w:line="360" w:lineRule="auto"/>
        <w:jc w:val="both"/>
        <w:rPr>
          <w:rFonts w:ascii="Palatino Linotype" w:eastAsia="Palatino Linotype" w:hAnsi="Palatino Linotype" w:cs="Palatino Linotype"/>
          <w:sz w:val="22"/>
          <w:szCs w:val="22"/>
        </w:rPr>
      </w:pPr>
    </w:p>
    <w:p w14:paraId="7B80638C" w14:textId="77777777" w:rsidR="00B16304" w:rsidRDefault="00B16304">
      <w:pPr>
        <w:spacing w:line="360" w:lineRule="auto"/>
        <w:jc w:val="both"/>
        <w:rPr>
          <w:rFonts w:ascii="Palatino Linotype" w:eastAsia="Palatino Linotype" w:hAnsi="Palatino Linotype" w:cs="Palatino Linotype"/>
          <w:sz w:val="22"/>
          <w:szCs w:val="22"/>
        </w:rPr>
      </w:pPr>
    </w:p>
    <w:p w14:paraId="0777E22E" w14:textId="77777777" w:rsidR="00B16304" w:rsidRDefault="00B16304">
      <w:pPr>
        <w:spacing w:line="360" w:lineRule="auto"/>
        <w:jc w:val="both"/>
        <w:rPr>
          <w:rFonts w:ascii="Palatino Linotype" w:eastAsia="Palatino Linotype" w:hAnsi="Palatino Linotype" w:cs="Palatino Linotype"/>
          <w:sz w:val="22"/>
          <w:szCs w:val="22"/>
        </w:rPr>
      </w:pPr>
    </w:p>
    <w:p w14:paraId="1D2CBCFB" w14:textId="77777777" w:rsidR="00B16304" w:rsidRDefault="00B16304">
      <w:pPr>
        <w:spacing w:line="360" w:lineRule="auto"/>
        <w:jc w:val="both"/>
        <w:rPr>
          <w:rFonts w:ascii="Palatino Linotype" w:eastAsia="Palatino Linotype" w:hAnsi="Palatino Linotype" w:cs="Palatino Linotype"/>
          <w:sz w:val="22"/>
          <w:szCs w:val="22"/>
        </w:rPr>
      </w:pPr>
    </w:p>
    <w:p w14:paraId="585A9A7C" w14:textId="77777777" w:rsidR="00B16304" w:rsidRDefault="00B16304">
      <w:pPr>
        <w:spacing w:line="360" w:lineRule="auto"/>
        <w:jc w:val="both"/>
        <w:rPr>
          <w:rFonts w:ascii="Palatino Linotype" w:eastAsia="Palatino Linotype" w:hAnsi="Palatino Linotype" w:cs="Palatino Linotype"/>
          <w:sz w:val="22"/>
          <w:szCs w:val="22"/>
        </w:rPr>
      </w:pPr>
    </w:p>
    <w:p w14:paraId="26E574D2" w14:textId="77777777" w:rsidR="00B16304" w:rsidRDefault="00B16304">
      <w:pPr>
        <w:spacing w:line="360" w:lineRule="auto"/>
        <w:jc w:val="both"/>
        <w:rPr>
          <w:rFonts w:ascii="Palatino Linotype" w:eastAsia="Palatino Linotype" w:hAnsi="Palatino Linotype" w:cs="Palatino Linotype"/>
          <w:sz w:val="22"/>
          <w:szCs w:val="22"/>
        </w:rPr>
      </w:pPr>
    </w:p>
    <w:p w14:paraId="4BBF53BC" w14:textId="77777777" w:rsidR="00B16304" w:rsidRDefault="00B16304">
      <w:pPr>
        <w:spacing w:line="360" w:lineRule="auto"/>
        <w:jc w:val="both"/>
        <w:rPr>
          <w:rFonts w:ascii="Palatino Linotype" w:eastAsia="Palatino Linotype" w:hAnsi="Palatino Linotype" w:cs="Palatino Linotype"/>
          <w:sz w:val="22"/>
          <w:szCs w:val="22"/>
        </w:rPr>
      </w:pPr>
    </w:p>
    <w:sectPr w:rsidR="00B16304">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A7EF1" w14:textId="77777777" w:rsidR="00016AAE" w:rsidRDefault="00016AAE">
      <w:r>
        <w:separator/>
      </w:r>
    </w:p>
  </w:endnote>
  <w:endnote w:type="continuationSeparator" w:id="0">
    <w:p w14:paraId="3D335AF4" w14:textId="77777777" w:rsidR="00016AAE" w:rsidRDefault="00016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EA17F955-A654-4C4F-A04C-3299D037F96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B6ECAA4-15C2-42EF-B23B-D514F72EC25F}"/>
    <w:embedBold r:id="rId3" w:fontKey="{F926E687-94C5-45A1-A30F-9E1E13C4F035}"/>
  </w:font>
  <w:font w:name="Cambria">
    <w:panose1 w:val="02040503050406030204"/>
    <w:charset w:val="00"/>
    <w:family w:val="roman"/>
    <w:pitch w:val="variable"/>
    <w:sig w:usb0="E00006FF" w:usb1="420024FF" w:usb2="02000000" w:usb3="00000000" w:csb0="0000019F" w:csb1="00000000"/>
    <w:embedRegular r:id="rId4" w:fontKey="{5D2D5F59-EA97-4CD4-9E86-8C39026DFFCB}"/>
    <w:embedBold r:id="rId5" w:fontKey="{3F361E3A-E93F-4242-819D-516ADE2C4D29}"/>
    <w:embedItalic r:id="rId6" w:fontKey="{2C68FA5A-8084-4525-89F9-BCA93F8F8874}"/>
    <w:embedBoldItalic r:id="rId7" w:fontKey="{2849F1DC-E13B-48A3-ABAA-36DAE45AC024}"/>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embedRegular r:id="rId8" w:fontKey="{0862791A-21F1-47A2-A630-7C7DA2B5C8EE}"/>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9" w:fontKey="{42CCA7B3-37DA-42A4-8B61-5A71BC23C608}"/>
    <w:embedItalic r:id="rId10" w:fontKey="{D581DE33-78CD-4E0E-AAC4-463BF13E6F8D}"/>
  </w:font>
  <w:font w:name="Palatino Linotype">
    <w:panose1 w:val="02040502050505030304"/>
    <w:charset w:val="00"/>
    <w:family w:val="roman"/>
    <w:pitch w:val="variable"/>
    <w:sig w:usb0="E0000287" w:usb1="40000013" w:usb2="00000000" w:usb3="00000000" w:csb0="0000019F" w:csb1="00000000"/>
    <w:embedRegular r:id="rId11" w:fontKey="{02E8F5FE-3AC4-41B3-8F41-3825E37B5E93}"/>
    <w:embedBold r:id="rId12" w:fontKey="{05A9C6CD-C0FF-4B9A-B8BD-A3324E4B93FD}"/>
    <w:embedItalic r:id="rId13" w:fontKey="{82C0634A-2EAD-4C9C-A752-909EF435C790}"/>
    <w:embedBoldItalic r:id="rId14" w:fontKey="{6465C321-F420-4155-80C2-7F2B3D8FF2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8BEA" w14:textId="77777777" w:rsidR="00B16304" w:rsidRDefault="00F52AF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55CEC">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55CEC">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7DEB766E" w14:textId="77777777" w:rsidR="00B16304" w:rsidRDefault="00B1630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06647" w14:textId="77777777" w:rsidR="00B16304" w:rsidRDefault="00F52AF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55CE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55CEC">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7C9074DA" w14:textId="77777777" w:rsidR="00B16304" w:rsidRDefault="00B1630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6A4B1" w14:textId="77777777" w:rsidR="00016AAE" w:rsidRDefault="00016AAE">
      <w:r>
        <w:separator/>
      </w:r>
    </w:p>
  </w:footnote>
  <w:footnote w:type="continuationSeparator" w:id="0">
    <w:p w14:paraId="320C1E3A" w14:textId="77777777" w:rsidR="00016AAE" w:rsidRDefault="00016A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A136" w14:textId="77777777" w:rsidR="00B16304" w:rsidRDefault="00F52AF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60307DD" wp14:editId="6D518F8F">
          <wp:simplePos x="0" y="0"/>
          <wp:positionH relativeFrom="column">
            <wp:posOffset>-1080131</wp:posOffset>
          </wp:positionH>
          <wp:positionV relativeFrom="paragraph">
            <wp:posOffset>-488311</wp:posOffset>
          </wp:positionV>
          <wp:extent cx="7809865" cy="10165715"/>
          <wp:effectExtent l="0" t="0" r="0" b="0"/>
          <wp:wrapNone/>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B16304" w14:paraId="183B68E6" w14:textId="77777777">
      <w:tc>
        <w:tcPr>
          <w:tcW w:w="2489" w:type="dxa"/>
        </w:tcPr>
        <w:p w14:paraId="53827067" w14:textId="77777777" w:rsidR="00B16304" w:rsidRDefault="00F52A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4E1F0CD0" w14:textId="77777777" w:rsidR="00B16304" w:rsidRDefault="00F52AF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05194/INFOEM/IP/RR/2025</w:t>
          </w:r>
        </w:p>
      </w:tc>
    </w:tr>
    <w:tr w:rsidR="00B16304" w14:paraId="1922EEE4" w14:textId="77777777">
      <w:trPr>
        <w:trHeight w:val="228"/>
      </w:trPr>
      <w:tc>
        <w:tcPr>
          <w:tcW w:w="2489" w:type="dxa"/>
          <w:vAlign w:val="center"/>
        </w:tcPr>
        <w:p w14:paraId="3A33F128" w14:textId="77777777" w:rsidR="00B16304" w:rsidRDefault="00F52A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75B76ECF" w14:textId="77777777" w:rsidR="00B16304" w:rsidRDefault="00F52AF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Tecámac</w:t>
          </w:r>
        </w:p>
      </w:tc>
    </w:tr>
    <w:tr w:rsidR="00B16304" w14:paraId="0B614AE7" w14:textId="77777777">
      <w:tc>
        <w:tcPr>
          <w:tcW w:w="2489" w:type="dxa"/>
          <w:vAlign w:val="center"/>
        </w:tcPr>
        <w:p w14:paraId="6C3365AF" w14:textId="77777777" w:rsidR="00B16304" w:rsidRDefault="00F52AF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0AD0E802" w14:textId="77777777" w:rsidR="00B16304" w:rsidRDefault="00F52AF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E833FE8" w14:textId="77777777" w:rsidR="00B16304" w:rsidRDefault="00F52AF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F3AD5" w14:textId="77777777" w:rsidR="00B16304" w:rsidRDefault="00B1630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670" w:type="dxa"/>
      <w:tblInd w:w="3261" w:type="dxa"/>
      <w:tblLayout w:type="fixed"/>
      <w:tblLook w:val="0400" w:firstRow="0" w:lastRow="0" w:firstColumn="0" w:lastColumn="0" w:noHBand="0" w:noVBand="1"/>
    </w:tblPr>
    <w:tblGrid>
      <w:gridCol w:w="2551"/>
      <w:gridCol w:w="3119"/>
    </w:tblGrid>
    <w:tr w:rsidR="00B16304" w14:paraId="698F5EC0" w14:textId="77777777">
      <w:tc>
        <w:tcPr>
          <w:tcW w:w="2551" w:type="dxa"/>
          <w:vAlign w:val="center"/>
        </w:tcPr>
        <w:p w14:paraId="38B0C0AA" w14:textId="77777777" w:rsidR="00B16304" w:rsidRDefault="00F52A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FDC17F1" w14:textId="77777777" w:rsidR="00B16304" w:rsidRDefault="00F52AF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05194/INFOEM/IP/RR/2025</w:t>
          </w:r>
        </w:p>
      </w:tc>
    </w:tr>
    <w:tr w:rsidR="00B16304" w14:paraId="16F3A903" w14:textId="77777777">
      <w:trPr>
        <w:trHeight w:val="130"/>
      </w:trPr>
      <w:tc>
        <w:tcPr>
          <w:tcW w:w="2551" w:type="dxa"/>
          <w:vAlign w:val="center"/>
        </w:tcPr>
        <w:p w14:paraId="3C32E2A9" w14:textId="77777777" w:rsidR="00B16304" w:rsidRDefault="00F52A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72E515A" w14:textId="18D26152" w:rsidR="00B16304" w:rsidRDefault="0013254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XXXXX XXXXXX XXXXX </w:t>
          </w:r>
        </w:p>
      </w:tc>
    </w:tr>
    <w:tr w:rsidR="00B16304" w14:paraId="40172D7F" w14:textId="77777777">
      <w:trPr>
        <w:trHeight w:val="228"/>
      </w:trPr>
      <w:tc>
        <w:tcPr>
          <w:tcW w:w="2551" w:type="dxa"/>
          <w:vAlign w:val="center"/>
        </w:tcPr>
        <w:p w14:paraId="1CA79E3A" w14:textId="77777777" w:rsidR="00B16304" w:rsidRDefault="00F52A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656DCB25" w14:textId="77777777" w:rsidR="00B16304" w:rsidRDefault="00F52AF7">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Tecámac</w:t>
          </w:r>
        </w:p>
      </w:tc>
    </w:tr>
    <w:tr w:rsidR="00B16304" w14:paraId="07FBB9F3" w14:textId="77777777">
      <w:tc>
        <w:tcPr>
          <w:tcW w:w="2551" w:type="dxa"/>
          <w:vAlign w:val="center"/>
        </w:tcPr>
        <w:p w14:paraId="54393FEC" w14:textId="77777777" w:rsidR="00B16304" w:rsidRDefault="00F52A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335611F5" w14:textId="77777777" w:rsidR="00B16304" w:rsidRDefault="00F52AF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F195FDD" w14:textId="77777777" w:rsidR="00B16304" w:rsidRDefault="00F52AF7">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6CFD5EE7" wp14:editId="4F2EAACB">
          <wp:simplePos x="0" y="0"/>
          <wp:positionH relativeFrom="column">
            <wp:posOffset>-1089656</wp:posOffset>
          </wp:positionH>
          <wp:positionV relativeFrom="paragraph">
            <wp:posOffset>-1169667</wp:posOffset>
          </wp:positionV>
          <wp:extent cx="7809865" cy="10165715"/>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E2921"/>
    <w:multiLevelType w:val="multilevel"/>
    <w:tmpl w:val="315E4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2C0408"/>
    <w:multiLevelType w:val="multilevel"/>
    <w:tmpl w:val="A0185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DB4F9D"/>
    <w:multiLevelType w:val="multilevel"/>
    <w:tmpl w:val="0D6E821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0C6C37"/>
    <w:multiLevelType w:val="multilevel"/>
    <w:tmpl w:val="B6A696E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507E3F7F"/>
    <w:multiLevelType w:val="multilevel"/>
    <w:tmpl w:val="6D1680D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37F668C"/>
    <w:multiLevelType w:val="multilevel"/>
    <w:tmpl w:val="AE324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3718D4"/>
    <w:multiLevelType w:val="multilevel"/>
    <w:tmpl w:val="7D96791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F50CAD"/>
    <w:multiLevelType w:val="multilevel"/>
    <w:tmpl w:val="14CC1B7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5"/>
  </w:num>
  <w:num w:numId="2">
    <w:abstractNumId w:val="2"/>
  </w:num>
  <w:num w:numId="3">
    <w:abstractNumId w:val="6"/>
  </w:num>
  <w:num w:numId="4">
    <w:abstractNumId w:val="4"/>
  </w:num>
  <w:num w:numId="5">
    <w:abstractNumId w:val="1"/>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304"/>
    <w:rsid w:val="00016AAE"/>
    <w:rsid w:val="00132540"/>
    <w:rsid w:val="00477F5F"/>
    <w:rsid w:val="009E1303"/>
    <w:rsid w:val="00B16304"/>
    <w:rsid w:val="00C25A19"/>
    <w:rsid w:val="00E00CD9"/>
    <w:rsid w:val="00F52AF7"/>
    <w:rsid w:val="00F55C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37D0A"/>
  <w15:docId w15:val="{10B2C7E8-6C17-45D0-890C-1084F2733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uiPriority w:val="9"/>
    <w:semiHidden/>
    <w:rsid w:val="003B73CD"/>
    <w:rPr>
      <w:b/>
      <w:bCs/>
      <w:sz w:val="28"/>
      <w:szCs w:val="28"/>
      <w:lang w:val="en-US" w:eastAsia="en-US"/>
    </w:rPr>
  </w:style>
  <w:style w:type="character" w:customStyle="1" w:styleId="Ttulo5Car">
    <w:name w:val="Título 5 Car"/>
    <w:basedOn w:val="Fuentedeprrafopredeter"/>
    <w:uiPriority w:val="9"/>
    <w:semiHidden/>
    <w:rsid w:val="003B73CD"/>
    <w:rPr>
      <w:b/>
      <w:bCs/>
      <w:i/>
      <w:iCs/>
      <w:sz w:val="26"/>
      <w:szCs w:val="26"/>
      <w:lang w:val="en-US" w:eastAsia="en-US"/>
    </w:rPr>
  </w:style>
  <w:style w:type="character" w:customStyle="1" w:styleId="Ttulo6Car">
    <w:name w:val="Título 6 Car"/>
    <w:basedOn w:val="Fuentedeprrafopredeter"/>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acebook.com/AytoTecamac/"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ytoTecamac/"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acebook.com/AytoTecamac/"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26+8ZNvaFymxkFF7Qd/PHFtS9Q==">CgMxLjAyCGguZ2pkZ3hzMgloLjMwajB6bGwyCWguMnM4ZXlvMTIIaC50eWpjd3QyDmguNjdnYzJmY21nbmlnMgloLjE3ZHA4dnU4AHIhMWJZcVNlN2ItZlZRQmM0QnlZLXRLQlJrTktnbjlTM1hj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10835</Words>
  <Characters>59593</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2025-08-08T20:11:00Z</cp:lastPrinted>
  <dcterms:created xsi:type="dcterms:W3CDTF">2025-09-03T02:24:00Z</dcterms:created>
  <dcterms:modified xsi:type="dcterms:W3CDTF">2025-09-03T02:24:00Z</dcterms:modified>
</cp:coreProperties>
</file>