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bookmarkStart w:colFirst="0" w:colLast="0" w:name="_heading=h.3rdcrjn"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veintiuno de mayo de dos mil veinticinco. </w:t>
      </w:r>
    </w:p>
    <w:p w:rsidR="00000000" w:rsidDel="00000000" w:rsidP="00000000" w:rsidRDefault="00000000" w:rsidRPr="00000000" w14:paraId="00000002">
      <w:pPr>
        <w:tabs>
          <w:tab w:val="left" w:leader="none" w:pos="5812"/>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3">
      <w:pPr>
        <w:tabs>
          <w:tab w:val="left" w:leader="none" w:pos="581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02724/INFOEM/IP/RR/2025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un particular que no proporcionó nombre o seudónimo para ser identificado,</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la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00012/DIFCOCOTITLAN/IP/2025, </w:t>
      </w:r>
      <w:r w:rsidDel="00000000" w:rsidR="00000000" w:rsidRPr="00000000">
        <w:rPr>
          <w:rFonts w:ascii="Palatino Linotype" w:cs="Palatino Linotype" w:eastAsia="Palatino Linotype" w:hAnsi="Palatino Linotype"/>
          <w:sz w:val="22"/>
          <w:szCs w:val="22"/>
          <w:rtl w:val="0"/>
        </w:rPr>
        <w:t xml:space="preserve">por parte del </w:t>
      </w: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Cocotitlán,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4">
      <w:pPr>
        <w:tabs>
          <w:tab w:val="left" w:leader="none" w:pos="581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6">
      <w:pPr>
        <w:spacing w:line="360" w:lineRule="auto"/>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bookmarkStart w:colFirst="0" w:colLast="0" w:name="_heading=h.4d34og8" w:id="1"/>
      <w:bookmarkEnd w:id="1"/>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catorce de febrero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mediante la cual requirió la información siguiente: </w:t>
      </w:r>
    </w:p>
    <w:p w:rsidR="00000000" w:rsidDel="00000000" w:rsidP="00000000" w:rsidRDefault="00000000" w:rsidRPr="00000000" w14:paraId="00000008">
      <w:pPr>
        <w:ind w:left="851" w:right="902" w:firstLine="0"/>
        <w:jc w:val="both"/>
        <w:rPr>
          <w:rFonts w:ascii="Palatino Linotype" w:cs="Palatino Linotype" w:eastAsia="Palatino Linotype" w:hAnsi="Palatino Linotype"/>
          <w:i w:val="1"/>
          <w:sz w:val="22"/>
          <w:szCs w:val="22"/>
        </w:rPr>
      </w:pPr>
      <w:bookmarkStart w:colFirst="0" w:colLast="0" w:name="_heading=h.gjdgxs" w:id="2"/>
      <w:bookmarkEnd w:id="2"/>
      <w:r w:rsidDel="00000000" w:rsidR="00000000" w:rsidRPr="00000000">
        <w:rPr>
          <w:rtl w:val="0"/>
        </w:rPr>
      </w:r>
    </w:p>
    <w:p w:rsidR="00000000" w:rsidDel="00000000" w:rsidP="00000000" w:rsidRDefault="00000000" w:rsidRPr="00000000" w14:paraId="00000009">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medio de la presente solicito en </w:t>
      </w:r>
      <w:r w:rsidDel="00000000" w:rsidR="00000000" w:rsidRPr="00000000">
        <w:rPr>
          <w:rFonts w:ascii="Palatino Linotype" w:cs="Palatino Linotype" w:eastAsia="Palatino Linotype" w:hAnsi="Palatino Linotype"/>
          <w:b w:val="1"/>
          <w:i w:val="1"/>
          <w:sz w:val="22"/>
          <w:szCs w:val="22"/>
          <w:rtl w:val="0"/>
        </w:rPr>
        <w:t xml:space="preserve">copias certificadas</w:t>
      </w:r>
      <w:r w:rsidDel="00000000" w:rsidR="00000000" w:rsidRPr="00000000">
        <w:rPr>
          <w:rFonts w:ascii="Palatino Linotype" w:cs="Palatino Linotype" w:eastAsia="Palatino Linotype" w:hAnsi="Palatino Linotype"/>
          <w:i w:val="1"/>
          <w:sz w:val="22"/>
          <w:szCs w:val="22"/>
          <w:rtl w:val="0"/>
        </w:rPr>
        <w:t xml:space="preserve"> las primera y segunda nómina del mes de enero de tofo el personal del dif municipal de Cocotitlán administración 2025-2027, asi como también remitir su organigrama adjuntando su acta de gobierno donde fue a probado.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p>
    <w:p w:rsidR="00000000" w:rsidDel="00000000" w:rsidP="00000000" w:rsidRDefault="00000000" w:rsidRPr="00000000" w14:paraId="0000000A">
      <w:pPr>
        <w:ind w:left="851" w:right="90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bookmarkStart w:colFirst="0" w:colLast="0" w:name="_heading=h.3dy6vkm" w:id="3"/>
      <w:bookmarkEnd w:id="3"/>
      <w:r w:rsidDel="00000000" w:rsidR="00000000" w:rsidRPr="00000000">
        <w:rPr>
          <w:rFonts w:ascii="Palatino Linotype" w:cs="Palatino Linotype" w:eastAsia="Palatino Linotype" w:hAnsi="Palatino Linotype"/>
          <w:b w:val="1"/>
          <w:sz w:val="22"/>
          <w:szCs w:val="22"/>
          <w:rtl w:val="0"/>
        </w:rPr>
        <w:t xml:space="preserve">Modalidad de Entrega: </w:t>
      </w:r>
      <w:r w:rsidDel="00000000" w:rsidR="00000000" w:rsidRPr="00000000">
        <w:rPr>
          <w:rFonts w:ascii="Palatino Linotype" w:cs="Palatino Linotype" w:eastAsia="Palatino Linotype" w:hAnsi="Palatino Linotype"/>
          <w:sz w:val="22"/>
          <w:szCs w:val="22"/>
          <w:rtl w:val="0"/>
        </w:rPr>
        <w:t xml:space="preserve">A través del SAIMEX. </w:t>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diez de marzo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p>
    <w:p w:rsidR="00000000" w:rsidDel="00000000" w:rsidP="00000000" w:rsidRDefault="00000000" w:rsidRPr="00000000" w14:paraId="0000000D">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E">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los artículos 150, 151, 152 y 160 de la Ley de Transparencia y Acceso a la Información Pública del Estado de México y Municipios, me permito adjuntar a este el catálogo de servicios y sus costos, para el cotejo del solicitante. De la misma manera, le recordamos que usted dispone de un plazo de 15 días hábiles, contados a partir de que le fue notificada esta respuesta, para interponer un Recurso de Revisión en términos del Artículo 176° de la Ley de Transparencia y Acceso a la Información Pública del Estado de México y Municipios.</w:t>
      </w:r>
    </w:p>
    <w:p w:rsidR="00000000" w:rsidDel="00000000" w:rsidP="00000000" w:rsidRDefault="00000000" w:rsidRPr="00000000" w14:paraId="0000000F">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 (sic)</w:t>
      </w:r>
    </w:p>
    <w:p w:rsidR="00000000" w:rsidDel="00000000" w:rsidP="00000000" w:rsidRDefault="00000000" w:rsidRPr="00000000" w14:paraId="00000010">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1">
      <w:pPr>
        <w:spacing w:line="360" w:lineRule="auto"/>
        <w:ind w:right="49"/>
        <w:jc w:val="both"/>
        <w:rPr>
          <w:rFonts w:ascii="Palatino Linotype" w:cs="Palatino Linotype" w:eastAsia="Palatino Linotype" w:hAnsi="Palatino Linotype"/>
          <w:sz w:val="22"/>
          <w:szCs w:val="22"/>
        </w:rPr>
      </w:pPr>
      <w:bookmarkStart w:colFirst="0" w:colLast="0" w:name="_heading=h.du5lsx238laa" w:id="4"/>
      <w:bookmarkEnd w:id="4"/>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adjuntó lo siguiente: </w:t>
      </w:r>
    </w:p>
    <w:p w:rsidR="00000000" w:rsidDel="00000000" w:rsidP="00000000" w:rsidRDefault="00000000" w:rsidRPr="00000000" w14:paraId="0000001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12-UT.pdf: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de fecha diez de marzo de dos mil veinticinco, signado por la Titular de la Unidad de Transparencia, mediante el cual informó la entrega de la información solicitada para el cotejo del solicitante, la cual da en contestación el área de la Dirección General y Tesorería, ambas adscritas al Organismo Descentralizado. </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12-Tes.pdf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número DIF/TESORERIA/008/2025 de fecha siete de marzo de dos mil veinticuatro, signado por el Tesorero Municipal, mediante el cual informó que la expedición de las copias certificadas que se requieren tienen una tarifa de $46.00 por la primera hoja y $22.00 por cada hoja subsecuente, por lo que al requerir copia certificada de la primera y segunda nómina del mes de enero de todo el personal del DIF Municipal de Cocotitlán, se cuenta con 34 servidores públicos, siendo un total de 68 copias certificadas, adicionando una copia certificada del organigrama, más el acta de gobierno en donde fue aprobad</w:t>
      </w:r>
      <w:r w:rsidDel="00000000" w:rsidR="00000000" w:rsidRPr="00000000">
        <w:rPr>
          <w:rFonts w:ascii="Palatino Linotype" w:cs="Palatino Linotype" w:eastAsia="Palatino Linotype" w:hAnsi="Palatino Linotype"/>
          <w:sz w:val="22"/>
          <w:szCs w:val="22"/>
          <w:rtl w:val="0"/>
        </w:rPr>
        <w:t xml:space="preserve">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siendo un total de 70 copias. </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que, solicita al particular el pago de manera anticipada al área de caja, un total de $1,564.00 mxn.  </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ORGANIDRAMA 2025 COCO 28-2.pdf: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Organigrama del Sistema Municipal para el Desarrollo Integral de la Familia de Cocotitlán 2025-2027. </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12-DG.pdf: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número DIF/DIRECCION/0024/2025 de fecha diez de marzo de dos mil veinticinco, signado por la Directora General, mediante el cual informó al particular que deberá pasar a pagar de manera anticipada la certificación en el área de caja, en cuanto al organigrama, se adjunta en copia simple. </w:t>
      </w:r>
    </w:p>
    <w:p w:rsidR="00000000" w:rsidDel="00000000" w:rsidP="00000000" w:rsidRDefault="00000000" w:rsidRPr="00000000" w14:paraId="00000018">
      <w:pP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diez de marzo de dos mil veinticinco,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p>
    <w:p w:rsidR="00000000" w:rsidDel="00000000" w:rsidP="00000000" w:rsidRDefault="00000000" w:rsidRPr="00000000" w14:paraId="0000001A">
      <w:pPr>
        <w:tabs>
          <w:tab w:val="left" w:leader="none" w:pos="2745"/>
        </w:tabs>
        <w:spacing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B">
      <w:pPr>
        <w:tabs>
          <w:tab w:val="left" w:leader="none" w:pos="2745"/>
        </w:tabs>
        <w:spacing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p>
    <w:p w:rsidR="00000000" w:rsidDel="00000000" w:rsidP="00000000" w:rsidRDefault="00000000" w:rsidRPr="00000000" w14:paraId="0000001C">
      <w:pPr>
        <w:tabs>
          <w:tab w:val="left" w:leader="none" w:pos="2745"/>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adjunta la Información que se le solicita.” (sic)</w:t>
      </w:r>
    </w:p>
    <w:p w:rsidR="00000000" w:rsidDel="00000000" w:rsidP="00000000" w:rsidRDefault="00000000" w:rsidRPr="00000000" w14:paraId="0000001D">
      <w:pPr>
        <w:tabs>
          <w:tab w:val="left" w:leader="none" w:pos="2745"/>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E">
      <w:pPr>
        <w:spacing w:line="276" w:lineRule="auto"/>
        <w:ind w:left="851" w:right="616" w:firstLine="0"/>
        <w:jc w:val="both"/>
        <w:rPr>
          <w:rFonts w:ascii="Palatino Linotype" w:cs="Palatino Linotype" w:eastAsia="Palatino Linotype" w:hAnsi="Palatino Linotype"/>
          <w:sz w:val="22"/>
          <w:szCs w:val="22"/>
        </w:rPr>
      </w:pPr>
      <w:bookmarkStart w:colFirst="0" w:colLast="0" w:name="_heading=h.30j0zll" w:id="5"/>
      <w:bookmarkEnd w:id="5"/>
      <w:r w:rsidDel="00000000" w:rsidR="00000000" w:rsidRPr="00000000">
        <w:rPr>
          <w:rFonts w:ascii="Palatino Linotype" w:cs="Palatino Linotype" w:eastAsia="Palatino Linotype" w:hAnsi="Palatino Linotype"/>
          <w:b w:val="1"/>
          <w:sz w:val="22"/>
          <w:szCs w:val="22"/>
          <w:rtl w:val="0"/>
        </w:rPr>
        <w:t xml:space="preserve">Y, Razones o motivos de inconformidad</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1F">
      <w:pPr>
        <w:tabs>
          <w:tab w:val="left" w:leader="none" w:pos="2745"/>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remite información que se le solicitó y se solicitan un pago exorbitante pago por la información que es pública,” (sic)</w:t>
      </w:r>
    </w:p>
    <w:p w:rsidR="00000000" w:rsidDel="00000000" w:rsidP="00000000" w:rsidRDefault="00000000" w:rsidRPr="00000000" w14:paraId="00000020">
      <w:pPr>
        <w:tabs>
          <w:tab w:val="left" w:leader="none" w:pos="2745"/>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2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trece de marzo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bookmarkStart w:colFirst="0" w:colLast="0" w:name="_heading=h.2s8eyo1" w:id="6"/>
      <w:bookmarkEnd w:id="6"/>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se desprende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omitió realizar manifestaciones, mientras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rindió su informe justificado en fecha </w:t>
      </w:r>
      <w:r w:rsidDel="00000000" w:rsidR="00000000" w:rsidRPr="00000000">
        <w:rPr>
          <w:rFonts w:ascii="Palatino Linotype" w:cs="Palatino Linotype" w:eastAsia="Palatino Linotype" w:hAnsi="Palatino Linotype"/>
          <w:b w:val="1"/>
          <w:sz w:val="22"/>
          <w:szCs w:val="22"/>
          <w:rtl w:val="0"/>
        </w:rPr>
        <w:t xml:space="preserve">veintiocho de marzo de dos mil veinticinco</w:t>
      </w:r>
      <w:r w:rsidDel="00000000" w:rsidR="00000000" w:rsidRPr="00000000">
        <w:rPr>
          <w:rFonts w:ascii="Palatino Linotype" w:cs="Palatino Linotype" w:eastAsia="Palatino Linotype" w:hAnsi="Palatino Linotype"/>
          <w:sz w:val="22"/>
          <w:szCs w:val="22"/>
          <w:rtl w:val="0"/>
        </w:rPr>
        <w:t xml:space="preserve">, en los siguientes términos:</w:t>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bookmarkStart w:colFirst="0" w:colLast="0" w:name="_heading=h.muiwpu5hbeog" w:id="7"/>
      <w:bookmarkEnd w:id="7"/>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Manifestaciones 12-25.pdf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número COCO/TRANSPARENCIA-16-26/03/2025, de fecha veinticinco de marzo de dos mil veinticinco, signado por la Titular de la Unidad de Transparencia, mediante el cual informó que en ningún momento se negó el acceso a la información, más sin embargo, los pagos de las copias certificadas tienen un costo porque requieren ser revisadas y autenticadas por una autoridad competente. Este proceso toma tiempo y requiere recursos, por lo que se cobra una tarifa, la cual está establecida por el Código Financiero del Estado de México, artículo 73 fracción I, incisos Ay B del Código Financiero del Estado de México y Municipios, así como el artículo 160 de la Ley de Transparencia y Acceso a la información Pública del Estado de México y sus Municipios.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otra parte, solicitó establecer la cuota por gastos de reproducción y elaboración de lo requerido por el solicitante, sin antes previo a un análisis para que el Organismo Descentralizado expida un recibo de pago y la invitación al solicitante a visitar sus instalaciones para el pago correspondiente y así mismo a recoger cada uno de los documentos solicitados con su certificación correspondiente. </w:t>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 que fue puesto a la vista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doce de mayo de dos mil veinticinco</w:t>
      </w:r>
      <w:r w:rsidDel="00000000" w:rsidR="00000000" w:rsidRPr="00000000">
        <w:rPr>
          <w:rFonts w:ascii="Palatino Linotype" w:cs="Palatino Linotype" w:eastAsia="Palatino Linotype" w:hAnsi="Palatino Linotype"/>
          <w:sz w:val="22"/>
          <w:szCs w:val="22"/>
          <w:rtl w:val="0"/>
        </w:rPr>
        <w:t xml:space="preserve">; no obstante, fue omisa en ejercer dicha prerrogativa.</w:t>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7. Ampliación de plazo: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doce de mayo de dos mil veinticinco, </w:t>
      </w:r>
      <w:r w:rsidDel="00000000" w:rsidR="00000000" w:rsidRPr="00000000">
        <w:rPr>
          <w:rFonts w:ascii="Palatino Linotype" w:cs="Palatino Linotype" w:eastAsia="Palatino Linotype" w:hAnsi="Palatino Linotype"/>
          <w:sz w:val="22"/>
          <w:szCs w:val="22"/>
          <w:rtl w:val="0"/>
        </w:rPr>
        <w:t xml:space="preserve">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sz w:val="22"/>
          <w:szCs w:val="22"/>
          <w:rtl w:val="0"/>
        </w:rPr>
        <w:t xml:space="preserve">diecinueve de mayo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0">
      <w:pPr>
        <w:widowControl w:val="0"/>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31">
      <w:pPr>
        <w:widowControl w:val="0"/>
        <w:spacing w:line="360" w:lineRule="auto"/>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bookmarkStart w:colFirst="0" w:colLast="0" w:name="_heading=h.tyjcwt" w:id="8"/>
      <w:bookmarkEnd w:id="8"/>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bookmarkStart w:colFirst="0" w:colLast="0" w:name="_heading=h.3znysh7" w:id="9"/>
      <w:bookmarkEnd w:id="9"/>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día </w:t>
      </w:r>
      <w:r w:rsidDel="00000000" w:rsidR="00000000" w:rsidRPr="00000000">
        <w:rPr>
          <w:rFonts w:ascii="Palatino Linotype" w:cs="Palatino Linotype" w:eastAsia="Palatino Linotype" w:hAnsi="Palatino Linotype"/>
          <w:b w:val="1"/>
          <w:sz w:val="22"/>
          <w:szCs w:val="22"/>
          <w:rtl w:val="0"/>
        </w:rPr>
        <w:t xml:space="preserve">diez de marzo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se tuvo por presentado el día </w:t>
      </w:r>
      <w:r w:rsidDel="00000000" w:rsidR="00000000" w:rsidRPr="00000000">
        <w:rPr>
          <w:rFonts w:ascii="Palatino Linotype" w:cs="Palatino Linotype" w:eastAsia="Palatino Linotype" w:hAnsi="Palatino Linotype"/>
          <w:b w:val="1"/>
          <w:sz w:val="22"/>
          <w:szCs w:val="22"/>
          <w:rtl w:val="0"/>
        </w:rPr>
        <w:t xml:space="preserve">diez de marzo de dos mil veinticinco, </w:t>
      </w:r>
      <w:r w:rsidDel="00000000" w:rsidR="00000000" w:rsidRPr="00000000">
        <w:rPr>
          <w:rFonts w:ascii="Palatino Linotype" w:cs="Palatino Linotype" w:eastAsia="Palatino Linotype" w:hAnsi="Palatino Linotype"/>
          <w:sz w:val="22"/>
          <w:szCs w:val="22"/>
          <w:rtl w:val="0"/>
        </w:rPr>
        <w:t xml:space="preserve">esto es el mismo día hábil en el que tuvo conocimiento de la respuesta impugnada. </w:t>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así como la fecha en que se interpuso el recurso de revisión, se concluye que el presente recurso de revisión se encuentra dentro de los márgenes temporales previstos las disposiciones legales referidas.</w:t>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3A">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3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rsidR="00000000" w:rsidDel="00000000" w:rsidP="00000000" w:rsidRDefault="00000000" w:rsidRPr="00000000" w14:paraId="0000003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X del ordenamiento legal citado, que a la letra dice: </w:t>
      </w:r>
    </w:p>
    <w:p w:rsidR="00000000" w:rsidDel="00000000" w:rsidP="00000000" w:rsidRDefault="00000000" w:rsidRPr="00000000" w14:paraId="00000040">
      <w:pPr>
        <w:tabs>
          <w:tab w:val="left" w:leader="none" w:pos="7938"/>
        </w:tabs>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1">
      <w:pPr>
        <w:tabs>
          <w:tab w:val="left" w:leader="none" w:pos="723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2">
      <w:pPr>
        <w:tabs>
          <w:tab w:val="left" w:leader="none" w:pos="7230"/>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43">
      <w:pPr>
        <w:tabs>
          <w:tab w:val="left" w:leader="none" w:pos="7230"/>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Los costos o tiempos de entrega de la información;</w:t>
      </w:r>
      <w:r w:rsidDel="00000000" w:rsidR="00000000" w:rsidRPr="00000000">
        <w:rPr>
          <w:rtl w:val="0"/>
        </w:rPr>
      </w:r>
    </w:p>
    <w:p w:rsidR="00000000" w:rsidDel="00000000" w:rsidP="00000000" w:rsidRDefault="00000000" w:rsidRPr="00000000" w14:paraId="00000044">
      <w:pPr>
        <w:tabs>
          <w:tab w:val="left" w:leader="none" w:pos="7230"/>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45">
      <w:pPr>
        <w:tabs>
          <w:tab w:val="left" w:leader="none" w:pos="7938"/>
        </w:tabs>
        <w:ind w:left="1134"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47">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bookmarkStart w:colFirst="0" w:colLast="0" w:name="_heading=h.2et92p0" w:id="10"/>
      <w:bookmarkEnd w:id="10"/>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49">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A">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D">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4F">
      <w:pPr>
        <w:ind w:left="851" w:right="90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50">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1">
      <w:pPr>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52">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3">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4">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de interpretación con clave de control SO/003/2017, emitido por el entonces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56">
      <w:pPr>
        <w:ind w:left="1134"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7">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rsidR="00000000" w:rsidDel="00000000" w:rsidP="00000000" w:rsidRDefault="00000000" w:rsidRPr="00000000" w14:paraId="00000058">
      <w:pPr>
        <w:ind w:left="1134"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C">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D">
      <w:pPr>
        <w:tabs>
          <w:tab w:val="left" w:leader="none" w:pos="7371"/>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E">
      <w:pPr>
        <w:tabs>
          <w:tab w:val="left" w:leader="none" w:pos="7371"/>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F">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2">
      <w:pPr>
        <w:ind w:left="851" w:right="902"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6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6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5">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6">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7">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68">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A">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6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D">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información consistente en lo siguiente:</w:t>
      </w:r>
    </w:p>
    <w:p w:rsidR="00000000" w:rsidDel="00000000" w:rsidP="00000000" w:rsidRDefault="00000000" w:rsidRPr="00000000" w14:paraId="0000006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04" w:right="51"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bookmarkStart w:colFirst="0" w:colLast="0" w:name="_heading=h.zg4j5csne3wg" w:id="11"/>
      <w:bookmarkEnd w:id="11"/>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copias certificadas de la primera y segunda nómina del mes de enero, de todo el personal del DIF Municipal de Cocotitlán, administración 2025-2027, así como su organigrama, y acta de gobierno donde fue aprobado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por conducto del Tesorero Municipal informó que la expedición de las copias certificadas que se requieren tienen una tarifa de $46.00 por la primera hoja y $22.00 por cada hoja subsecuente, por lo que al requerir copia certificada de la primera y segunda nómina del mes de enero de todo el personal del DIF Municipal de Cocotitlán, se cuenta con 34 servidores públicos, siendo un total de 68 copias certificadas, adicionando una copia certificada del organigrama, más el acta de gobierno en donde fue aprobado, siendo un total de 70 copias; por lo que, solicitó al particular el pago de manera anticipada al área de caja, un total de $1,564.00 mxn.  </w:t>
      </w:r>
    </w:p>
    <w:p w:rsidR="00000000" w:rsidDel="00000000" w:rsidP="00000000" w:rsidRDefault="00000000" w:rsidRPr="00000000" w14:paraId="0000007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la Directora General informó al particular que debe pasar a pagar de manera anticipada la certificación en el área de caja, y en cuanto al organigrama, se adjunta en copia simple.</w:t>
      </w:r>
    </w:p>
    <w:p w:rsidR="00000000" w:rsidDel="00000000" w:rsidP="00000000" w:rsidRDefault="00000000" w:rsidRPr="00000000" w14:paraId="0000007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no estar conforme con los términos de la respuesta emitida,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interpuso el recurso de revisión que nos ocupa, donde señaló como motivo de inconformidad, en lo medular que no se remitió la información que se le solicitó y que se solicitó un pago exorbitante por la información que es pública. </w:t>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de las constancias que obran en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se advierte que 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su informe justificado en el que informó que en ningún momento se negó el acceso a la información, más, sin embargo, los pagos de las copias certificadas tienen un costo porque requieren ser revisadas y autenticadas por una autoridad competente, destacando que este proceso toma tiempo y requiere recursos, por lo que se cobra una tarifa, la cual está establecida por el Código Financiero del Estado de México. </w:t>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procede a contextualizar la información solicitada, para ello, es necesario referir que, esta se relaciona con las percepciones que perciben los servidores públicos del Sistema Municipal para el Desarrollo Integral de la Familia de Cocotitlán, situación por la que se señala lo siguiente: </w:t>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numPr>
          <w:ilvl w:val="0"/>
          <w:numId w:val="5"/>
        </w:numPr>
        <w:pBdr>
          <w:top w:space="0" w:sz="0" w:val="nil"/>
          <w:left w:space="0" w:sz="0" w:val="nil"/>
          <w:bottom w:space="0" w:sz="0" w:val="nil"/>
          <w:right w:space="0" w:sz="0" w:val="nil"/>
          <w:between w:space="0" w:sz="0" w:val="nil"/>
        </w:pBdr>
        <w:spacing w:line="360" w:lineRule="auto"/>
        <w:ind w:left="927"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la nómina del DIF Municipal. </w:t>
      </w:r>
    </w:p>
    <w:p w:rsidR="00000000" w:rsidDel="00000000" w:rsidP="00000000" w:rsidRDefault="00000000" w:rsidRPr="00000000" w14:paraId="0000007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 este punto,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solicitó la nómina del personal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por lo que, es necesario señalar que, al Órgano Superior de Fiscalización del Estado de México, le asiste la facultad de emitir los Lineamientos para la Integración del Informe Trimestral, en términos de la fracción XI del artículo 8 de la Ley de Fiscalización Superior del Estado de México, que es del tenor literal siguiente:</w:t>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8.-</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Órgano Superior</w:t>
      </w:r>
      <w:r w:rsidDel="00000000" w:rsidR="00000000" w:rsidRPr="00000000">
        <w:rPr>
          <w:rFonts w:ascii="Palatino Linotype" w:cs="Palatino Linotype" w:eastAsia="Palatino Linotype" w:hAnsi="Palatino Linotype"/>
          <w:i w:val="1"/>
          <w:sz w:val="22"/>
          <w:szCs w:val="22"/>
          <w:rtl w:val="0"/>
        </w:rPr>
        <w:t xml:space="preserve"> tendrá las siguientes atribuciones:</w:t>
      </w:r>
    </w:p>
    <w:p w:rsidR="00000000" w:rsidDel="00000000" w:rsidP="00000000" w:rsidRDefault="00000000" w:rsidRPr="00000000" w14:paraId="0000007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00000000" w:rsidDel="00000000" w:rsidP="00000000" w:rsidRDefault="00000000" w:rsidRPr="00000000" w14:paraId="0000008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información documental comprobatoria de los informes trimestrales presentados, debe conservarse en los archivos de la entidad fiscalizada en original y debidamente integrada en términos de los lineamientos de referencia, pues son susceptibles de revisión directa por el Órgano Superior de Fiscalización del Estado de México.</w:t>
      </w:r>
    </w:p>
    <w:p w:rsidR="00000000" w:rsidDel="00000000" w:rsidP="00000000" w:rsidRDefault="00000000" w:rsidRPr="00000000" w14:paraId="0000008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contexto, el Órgano Superior de Fiscalización del Estado de México, emite en cada ejercicio fiscal los Lineamientos para la integración y entrega del Informe Trimestral Municipal y los Instructivos de llenado correspondientes, mismos que se encuentran disponibles en su sitio de internet</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sz w:val="22"/>
          <w:szCs w:val="22"/>
          <w:vertAlign w:val="superscript"/>
          <w:rtl w:val="0"/>
        </w:rPr>
        <w:t xml:space="preserve">, </w:t>
      </w:r>
      <w:r w:rsidDel="00000000" w:rsidR="00000000" w:rsidRPr="00000000">
        <w:rPr>
          <w:rFonts w:ascii="Palatino Linotype" w:cs="Palatino Linotype" w:eastAsia="Palatino Linotype" w:hAnsi="Palatino Linotype"/>
          <w:sz w:val="22"/>
          <w:szCs w:val="22"/>
          <w:rtl w:val="0"/>
        </w:rPr>
        <w:t xml:space="preserve">con la finalidad de definir los criterios, los formatos y la documentación necesaria para presentar los informes trimestrales, que deben ser entregados a través de cuatro módulos.</w:t>
      </w:r>
    </w:p>
    <w:p w:rsidR="00000000" w:rsidDel="00000000" w:rsidP="00000000" w:rsidRDefault="00000000" w:rsidRPr="00000000" w14:paraId="00000086">
      <w:pPr>
        <w:spacing w:line="360" w:lineRule="auto"/>
        <w:ind w:right="49"/>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la información que con motivo de la nómina que genera </w:t>
      </w:r>
      <w:r w:rsidDel="00000000" w:rsidR="00000000" w:rsidRPr="00000000">
        <w:rPr>
          <w:rFonts w:ascii="Palatino Linotype" w:cs="Palatino Linotype" w:eastAsia="Palatino Linotype" w:hAnsi="Palatino Linotype"/>
          <w:b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se encuentra contenida en el Módulo 4 Información administrativa, como se muestra a continuación:</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ind w:right="51"/>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931343" cy="3921754"/>
            <wp:effectExtent b="0" l="0" r="0" t="0"/>
            <wp:docPr descr="Tabla&#10;&#10;El contenido generado por IA puede ser incorrecto." id="2083296435" name="image10.png"/>
            <a:graphic>
              <a:graphicData uri="http://schemas.openxmlformats.org/drawingml/2006/picture">
                <pic:pic>
                  <pic:nvPicPr>
                    <pic:cNvPr descr="Tabla&#10;&#10;El contenido generado por IA puede ser incorrecto." id="0" name="image10.png"/>
                    <pic:cNvPicPr preferRelativeResize="0"/>
                  </pic:nvPicPr>
                  <pic:blipFill>
                    <a:blip r:embed="rId8"/>
                    <a:srcRect b="0" l="0" r="0" t="0"/>
                    <a:stretch>
                      <a:fillRect/>
                    </a:stretch>
                  </pic:blipFill>
                  <pic:spPr>
                    <a:xfrm>
                      <a:off x="0" y="0"/>
                      <a:ext cx="3931343" cy="392175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1016000</wp:posOffset>
                </wp:positionV>
                <wp:extent cx="3524250" cy="438150"/>
                <wp:effectExtent b="0" l="0" r="0" t="0"/>
                <wp:wrapNone/>
                <wp:docPr id="2083296431" name=""/>
                <a:graphic>
                  <a:graphicData uri="http://schemas.microsoft.com/office/word/2010/wordprocessingShape">
                    <wps:wsp>
                      <wps:cNvSpPr/>
                      <wps:cNvPr id="2" name="Shape 2"/>
                      <wps:spPr>
                        <a:xfrm>
                          <a:off x="3598163" y="3575213"/>
                          <a:ext cx="3495675" cy="409575"/>
                        </a:xfrm>
                        <a:prstGeom prst="rect">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1016000</wp:posOffset>
                </wp:positionV>
                <wp:extent cx="3524250" cy="438150"/>
                <wp:effectExtent b="0" l="0" r="0" t="0"/>
                <wp:wrapNone/>
                <wp:docPr id="2083296431"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3524250" cy="438150"/>
                        </a:xfrm>
                        <a:prstGeom prst="rect"/>
                        <a:ln/>
                      </pic:spPr>
                    </pic:pic>
                  </a:graphicData>
                </a:graphic>
              </wp:anchor>
            </w:drawing>
          </mc:Fallback>
        </mc:AlternateConten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Atentos a lo anterior, se visualiza que </w:t>
      </w:r>
      <w:r w:rsidDel="00000000" w:rsidR="00000000" w:rsidRPr="00000000">
        <w:rPr>
          <w:rFonts w:ascii="Palatino Linotype" w:cs="Palatino Linotype" w:eastAsia="Palatino Linotype" w:hAnsi="Palatino Linotype"/>
          <w:b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genera de manera quincenal la conciliación de la nómina. Para mayor referencia a continuación se inserta el formato mediante el cual dicha información se presenta, así como el instructivo de llenado: </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C">
      <w:pPr>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077975" cy="1218798"/>
            <wp:effectExtent b="0" l="0" r="0" t="0"/>
            <wp:docPr descr="Captura de pantalla de un celular con texto&#10;&#10;El contenido generado por IA puede ser incorrecto." id="2083296437" name="image9.png"/>
            <a:graphic>
              <a:graphicData uri="http://schemas.openxmlformats.org/drawingml/2006/picture">
                <pic:pic>
                  <pic:nvPicPr>
                    <pic:cNvPr descr="Captura de pantalla de un celular con texto&#10;&#10;El contenido generado por IA puede ser incorrecto." id="0" name="image9.png"/>
                    <pic:cNvPicPr preferRelativeResize="0"/>
                  </pic:nvPicPr>
                  <pic:blipFill>
                    <a:blip r:embed="rId10"/>
                    <a:srcRect b="0" l="0" r="0" t="0"/>
                    <a:stretch>
                      <a:fillRect/>
                    </a:stretch>
                  </pic:blipFill>
                  <pic:spPr>
                    <a:xfrm>
                      <a:off x="0" y="0"/>
                      <a:ext cx="5077975" cy="1218798"/>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094417" cy="4616755"/>
            <wp:effectExtent b="0" l="0" r="0" t="0"/>
            <wp:docPr descr="Texto&#10;&#10;El contenido generado por IA puede ser incorrecto." id="2083296436" name="image6.png"/>
            <a:graphic>
              <a:graphicData uri="http://schemas.openxmlformats.org/drawingml/2006/picture">
                <pic:pic>
                  <pic:nvPicPr>
                    <pic:cNvPr descr="Texto&#10;&#10;El contenido generado por IA puede ser incorrecto." id="0" name="image6.png"/>
                    <pic:cNvPicPr preferRelativeResize="0"/>
                  </pic:nvPicPr>
                  <pic:blipFill>
                    <a:blip r:embed="rId11"/>
                    <a:srcRect b="0" l="0" r="0" t="0"/>
                    <a:stretch>
                      <a:fillRect/>
                    </a:stretch>
                  </pic:blipFill>
                  <pic:spPr>
                    <a:xfrm>
                      <a:off x="0" y="0"/>
                      <a:ext cx="5094417" cy="461675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colige que, el Sistema Municipal para el Desarrollo Integral de la Familia de Cocotitlán cuenta con el documento que da cuenta de la nómina de los servidores públicos, información que obra en el denominado Conciliación de Nómina. Por lo que se advierten atribuciones para generar, administrar y poseer la información solicitada, pues en cumplimiento a sus obligaciones fiscales, los Sujetos Obligados deben hacer entrega de estos documentos al Órgano Superior de Fiscalización del Estado de México. </w:t>
      </w:r>
    </w:p>
    <w:p w:rsidR="00000000" w:rsidDel="00000000" w:rsidP="00000000" w:rsidRDefault="00000000" w:rsidRPr="00000000" w14:paraId="00000090">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04"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Del organigrama del DIF Municipal</w:t>
      </w:r>
      <w:r w:rsidDel="00000000" w:rsidR="00000000" w:rsidRPr="00000000">
        <w:rPr>
          <w:rtl w:val="0"/>
        </w:rPr>
      </w:r>
    </w:p>
    <w:p w:rsidR="00000000" w:rsidDel="00000000" w:rsidP="00000000" w:rsidRDefault="00000000" w:rsidRPr="00000000" w14:paraId="0000009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debe resaltarse que dicha información constituye una obligación de transparencia, la cual se localiza en el artículo 92, fracción II de la Ley de Transparencia Local:</w:t>
      </w:r>
    </w:p>
    <w:p w:rsidR="00000000" w:rsidDel="00000000" w:rsidP="00000000" w:rsidRDefault="00000000" w:rsidRPr="00000000" w14:paraId="0000009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9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96">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tl w:val="0"/>
        </w:rPr>
      </w:r>
    </w:p>
    <w:p w:rsidR="00000000" w:rsidDel="00000000" w:rsidP="00000000" w:rsidRDefault="00000000" w:rsidRPr="00000000" w14:paraId="0000009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este punto, el Sujeto Obligado a través de la Dirección General, en aras de garantizar el derecho de acceso a la información de la parte</w:t>
      </w:r>
      <w:r w:rsidDel="00000000" w:rsidR="00000000" w:rsidRPr="00000000">
        <w:rPr>
          <w:rFonts w:ascii="Palatino Linotype" w:cs="Palatino Linotype" w:eastAsia="Palatino Linotype" w:hAnsi="Palatino Linotype"/>
          <w:b w:val="1"/>
          <w:sz w:val="22"/>
          <w:szCs w:val="22"/>
          <w:rtl w:val="0"/>
        </w:rPr>
        <w:t xml:space="preserve"> Recurrente </w:t>
      </w:r>
      <w:r w:rsidDel="00000000" w:rsidR="00000000" w:rsidRPr="00000000">
        <w:rPr>
          <w:rFonts w:ascii="Palatino Linotype" w:cs="Palatino Linotype" w:eastAsia="Palatino Linotype" w:hAnsi="Palatino Linotype"/>
          <w:sz w:val="22"/>
          <w:szCs w:val="22"/>
          <w:rtl w:val="0"/>
        </w:rPr>
        <w:t xml:space="preserve">y en apego al principio de máxima publicidad remitió en respuesta el Organigrama del Sistema Municipal para el Desarrollo Integral de la Familia de Cocotitlán, Administración 2025-2027, tal como se observa en la siguiente ilustración:</w:t>
      </w:r>
    </w:p>
    <w:p w:rsidR="00000000" w:rsidDel="00000000" w:rsidP="00000000" w:rsidRDefault="00000000" w:rsidRPr="00000000" w14:paraId="00000098">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050506" cy="2830038"/>
            <wp:effectExtent b="0" l="0" r="0" t="0"/>
            <wp:docPr descr="Escala de tiempo&#10;&#10;El contenido generado por IA puede ser incorrecto." id="2083296439" name="image1.png"/>
            <a:graphic>
              <a:graphicData uri="http://schemas.openxmlformats.org/drawingml/2006/picture">
                <pic:pic>
                  <pic:nvPicPr>
                    <pic:cNvPr descr="Escala de tiempo&#10;&#10;El contenido generado por IA puede ser incorrecto." id="0" name="image1.png"/>
                    <pic:cNvPicPr preferRelativeResize="0"/>
                  </pic:nvPicPr>
                  <pic:blipFill>
                    <a:blip r:embed="rId12"/>
                    <a:srcRect b="0" l="0" r="0" t="0"/>
                    <a:stretch>
                      <a:fillRect/>
                    </a:stretch>
                  </pic:blipFill>
                  <pic:spPr>
                    <a:xfrm>
                      <a:off x="0" y="0"/>
                      <a:ext cx="4050506" cy="2830038"/>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937915" cy="2906429"/>
            <wp:effectExtent b="0" l="0" r="0" t="0"/>
            <wp:docPr descr="Escala de tiempo&#10;&#10;El contenido generado por IA puede ser incorrecto." id="2083296438" name="image3.png"/>
            <a:graphic>
              <a:graphicData uri="http://schemas.openxmlformats.org/drawingml/2006/picture">
                <pic:pic>
                  <pic:nvPicPr>
                    <pic:cNvPr descr="Escala de tiempo&#10;&#10;El contenido generado por IA puede ser incorrecto." id="0" name="image3.png"/>
                    <pic:cNvPicPr preferRelativeResize="0"/>
                  </pic:nvPicPr>
                  <pic:blipFill>
                    <a:blip r:embed="rId13"/>
                    <a:srcRect b="0" l="0" r="0" t="0"/>
                    <a:stretch>
                      <a:fillRect/>
                    </a:stretch>
                  </pic:blipFill>
                  <pic:spPr>
                    <a:xfrm>
                      <a:off x="0" y="0"/>
                      <a:ext cx="3937915" cy="2906429"/>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respecto al Acta de Gobierno mediante la cual se aprobó el organigrama del Sujeto Obligado, es importante referir que la Ley que crea los Organismos Públicos Descentralizados de Asistencia Social, de carácter Municipal, denominados "Sistemas Municipales para el Desarrollo Integral de la Familia", establece en su artículo 13 fracción III, que la Junta de Gobierno deberá aprobar la Organización General del Sistema Municipal; tal y como se inserta a continuación: </w:t>
      </w:r>
    </w:p>
    <w:p w:rsidR="00000000" w:rsidDel="00000000" w:rsidP="00000000" w:rsidRDefault="00000000" w:rsidRPr="00000000" w14:paraId="0000009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13.-</w:t>
      </w:r>
      <w:r w:rsidDel="00000000" w:rsidR="00000000" w:rsidRPr="00000000">
        <w:rPr>
          <w:rFonts w:ascii="Palatino Linotype" w:cs="Palatino Linotype" w:eastAsia="Palatino Linotype" w:hAnsi="Palatino Linotype"/>
          <w:i w:val="1"/>
          <w:sz w:val="22"/>
          <w:szCs w:val="22"/>
          <w:rtl w:val="0"/>
        </w:rPr>
        <w:t xml:space="preserve"> La Junta de Gobierno tendrá las siguientes facultades y obligaciones:</w:t>
        <w:br w:type="textWrapping"/>
      </w:r>
      <w:r w:rsidDel="00000000" w:rsidR="00000000" w:rsidRPr="00000000">
        <w:rPr>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I. Representar al Sistema Municipal, con el poder más amplio que en derecho proceda, lo cual hará a través del Presidente de la propia Junta;</w:t>
      </w:r>
    </w:p>
    <w:p w:rsidR="00000000" w:rsidDel="00000000" w:rsidP="00000000" w:rsidRDefault="00000000" w:rsidRPr="00000000" w14:paraId="0000009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Conocer y en su caso aprobar, los Convenios que el Sistema Municipal celebre para el mejor cumplimiento de sus objetivos;</w:t>
      </w:r>
    </w:p>
    <w:p w:rsidR="00000000" w:rsidDel="00000000" w:rsidP="00000000" w:rsidRDefault="00000000" w:rsidRPr="00000000" w14:paraId="0000009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Aprobar</w:t>
      </w:r>
      <w:r w:rsidDel="00000000" w:rsidR="00000000" w:rsidRPr="00000000">
        <w:rPr>
          <w:rFonts w:ascii="Palatino Linotype" w:cs="Palatino Linotype" w:eastAsia="Palatino Linotype" w:hAnsi="Palatino Linotype"/>
          <w:i w:val="1"/>
          <w:sz w:val="22"/>
          <w:szCs w:val="22"/>
          <w:rtl w:val="0"/>
        </w:rPr>
        <w:t xml:space="preserve"> el Reglamento Interno y </w:t>
      </w:r>
      <w:r w:rsidDel="00000000" w:rsidR="00000000" w:rsidRPr="00000000">
        <w:rPr>
          <w:rFonts w:ascii="Palatino Linotype" w:cs="Palatino Linotype" w:eastAsia="Palatino Linotype" w:hAnsi="Palatino Linotype"/>
          <w:b w:val="1"/>
          <w:i w:val="1"/>
          <w:sz w:val="22"/>
          <w:szCs w:val="22"/>
          <w:u w:val="single"/>
          <w:rtl w:val="0"/>
        </w:rPr>
        <w:t xml:space="preserve">la Organización General del Sistema Municipal,</w:t>
      </w:r>
      <w:r w:rsidDel="00000000" w:rsidR="00000000" w:rsidRPr="00000000">
        <w:rPr>
          <w:rFonts w:ascii="Palatino Linotype" w:cs="Palatino Linotype" w:eastAsia="Palatino Linotype" w:hAnsi="Palatino Linotype"/>
          <w:i w:val="1"/>
          <w:sz w:val="22"/>
          <w:szCs w:val="22"/>
          <w:rtl w:val="0"/>
        </w:rPr>
        <w:t xml:space="preserve"> así como los manuales de procedimientos y servicios al público;</w:t>
      </w:r>
    </w:p>
    <w:p w:rsidR="00000000" w:rsidDel="00000000" w:rsidP="00000000" w:rsidRDefault="00000000" w:rsidRPr="00000000" w14:paraId="000000A0">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IV. Aprobar los planes y programas de trabajo del Sistema Municipal que en todo caso serán acordes de los planes y programas del DIFEM</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A1">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anteriormente expuesto, resulta claro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competencia para generar, poseer y administrar la información solicitada. </w:t>
      </w:r>
    </w:p>
    <w:p w:rsidR="00000000" w:rsidDel="00000000" w:rsidP="00000000" w:rsidRDefault="00000000" w:rsidRPr="00000000" w14:paraId="000000A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numPr>
          <w:ilvl w:val="0"/>
          <w:numId w:val="5"/>
        </w:numPr>
        <w:pBdr>
          <w:top w:space="0" w:sz="0" w:val="nil"/>
          <w:left w:space="0" w:sz="0" w:val="nil"/>
          <w:bottom w:space="0" w:sz="0" w:val="nil"/>
          <w:right w:space="0" w:sz="0" w:val="nil"/>
          <w:between w:space="0" w:sz="0" w:val="nil"/>
        </w:pBdr>
        <w:spacing w:line="360" w:lineRule="auto"/>
        <w:ind w:left="567" w:right="-7"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análisis de los agravios hechos valer en el medio de impugnación. </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360" w:lineRule="auto"/>
        <w:ind w:left="927" w:right="-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respecto a los agravios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 de recordar que en respuesta, la Directora General y el Tesorero del Sistema Municipal, en términos generales informaron que para la entrega de la información en copias certificadas deberá realizar el pago correspondiente para su expedición, precisando que la información consiste en 70 copias, misma que comprende la nómina del mes de enero de dos mil veinticinco, el organigrama y el acta de gobierno en donde fue aprobado; por lo que, deberá realizar pago de $1,564.00 PESOS mxn, en el área de caja.</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9">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de destacar que en lo que corresponde a la respuesta otorgada por la Dirección General, tal y como se advirtió en líneas que anteceden,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hizo entrega del organigrama solicitado a través del SAIMEX, sin embargo para su entrega en copias certificadas, se solicitó el pago para su emisión. </w:t>
      </w:r>
    </w:p>
    <w:p w:rsidR="00000000" w:rsidDel="00000000" w:rsidP="00000000" w:rsidRDefault="00000000" w:rsidRPr="00000000" w14:paraId="000000AA">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B">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por cuanto hace a la respuesta otorgada por la Tesorería del Sistema Municipal, únicamente informó el monto a pagar para la entrega de la información solicitada, sin que se hiciera entrega de esta a través del sistema. </w:t>
      </w:r>
    </w:p>
    <w:p w:rsidR="00000000" w:rsidDel="00000000" w:rsidP="00000000" w:rsidRDefault="00000000" w:rsidRPr="00000000" w14:paraId="000000AC">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señalar que, en la solicitud de información se advierte que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requirió la misma vía Saimex y en copias certificadas, por lo tanto, el soporte documental deberá ser entregado en ambas modalidades, tal como se advierte a continuación:</w:t>
      </w:r>
    </w:p>
    <w:p w:rsidR="00000000" w:rsidDel="00000000" w:rsidP="00000000" w:rsidRDefault="00000000" w:rsidRPr="00000000" w14:paraId="000000A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F">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563880"/>
            <wp:effectExtent b="0" l="0" r="0" t="0"/>
            <wp:docPr id="208329644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612130" cy="56388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35227" cy="898028"/>
            <wp:effectExtent b="0" l="0" r="0" t="0"/>
            <wp:docPr id="2083296440"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35227" cy="898028"/>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para la entrega a través de SAIMEX, basta con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digitalice el documento, siendo importante mencionar que si bien la Ley de Transparencia y Acceso a la Información Pública del Estado de México y Municipios establece en los artículos 9 fracción III, 17, 165, 174, 175 de la Ley de Acceso a la Información Pública del Estado de México y Municipios, así como el artículo 4.22 de su Reglamento, el cobro de derechos para la entrega de la información, con el objeto de que se cubran los costos de los materiales utilizados en la reproducción de la información, el costo por el envío de la misma o el pago por la certificación; la entrega a través del referido sistema no actualiza alguno de los supuestos previstos en la norma, pues no es</w:t>
      </w:r>
      <w:r w:rsidDel="00000000" w:rsidR="00000000" w:rsidRPr="00000000">
        <w:rPr>
          <w:rFonts w:ascii="Palatino Linotype" w:cs="Palatino Linotype" w:eastAsia="Palatino Linotype" w:hAnsi="Palatino Linotype"/>
          <w:b w:val="1"/>
          <w:sz w:val="22"/>
          <w:szCs w:val="22"/>
          <w:rtl w:val="0"/>
        </w:rPr>
        <w:t xml:space="preserve"> necesario que el Sujeto Obligado realice una reproducción física de la información que conserva en sus archivos,</w:t>
      </w:r>
      <w:r w:rsidDel="00000000" w:rsidR="00000000" w:rsidRPr="00000000">
        <w:rPr>
          <w:rFonts w:ascii="Palatino Linotype" w:cs="Palatino Linotype" w:eastAsia="Palatino Linotype" w:hAnsi="Palatino Linotype"/>
          <w:sz w:val="22"/>
          <w:szCs w:val="22"/>
          <w:rtl w:val="0"/>
        </w:rPr>
        <w:t xml:space="preserve"> más bien implicaría realizar una digitalización o escaneo de aquellos documentos que por su naturaleza se encuentran en un medio físico.</w:t>
      </w:r>
    </w:p>
    <w:p w:rsidR="00000000" w:rsidDel="00000000" w:rsidP="00000000" w:rsidRDefault="00000000" w:rsidRPr="00000000" w14:paraId="000000B2">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necesario resaltar que la digitalización o escaneo de la información, </w:t>
      </w:r>
      <w:r w:rsidDel="00000000" w:rsidR="00000000" w:rsidRPr="00000000">
        <w:rPr>
          <w:rFonts w:ascii="Palatino Linotype" w:cs="Palatino Linotype" w:eastAsia="Palatino Linotype" w:hAnsi="Palatino Linotype"/>
          <w:b w:val="1"/>
          <w:sz w:val="22"/>
          <w:szCs w:val="22"/>
          <w:rtl w:val="0"/>
        </w:rPr>
        <w:t xml:space="preserve">no conlleva la utilización de materiales que le generen un costo</w:t>
      </w:r>
      <w:r w:rsidDel="00000000" w:rsidR="00000000" w:rsidRPr="00000000">
        <w:rPr>
          <w:rFonts w:ascii="Palatino Linotype" w:cs="Palatino Linotype" w:eastAsia="Palatino Linotype" w:hAnsi="Palatino Linotype"/>
          <w:sz w:val="22"/>
          <w:szCs w:val="22"/>
          <w:rtl w:val="0"/>
        </w:rPr>
        <w:t xml:space="preserve">, como podría serlo por ejemplo hojas de papel para la emisión de copias; por lo que resulta procedente la entrega de la información a través del SAIMEX.</w:t>
      </w:r>
    </w:p>
    <w:p w:rsidR="00000000" w:rsidDel="00000000" w:rsidP="00000000" w:rsidRDefault="00000000" w:rsidRPr="00000000" w14:paraId="000000B4">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lo que respecta a las </w:t>
      </w:r>
      <w:r w:rsidDel="00000000" w:rsidR="00000000" w:rsidRPr="00000000">
        <w:rPr>
          <w:rFonts w:ascii="Palatino Linotype" w:cs="Palatino Linotype" w:eastAsia="Palatino Linotype" w:hAnsi="Palatino Linotype"/>
          <w:b w:val="1"/>
          <w:sz w:val="22"/>
          <w:szCs w:val="22"/>
          <w:rtl w:val="0"/>
        </w:rPr>
        <w:t xml:space="preserve">copias certificadas</w:t>
      </w:r>
      <w:r w:rsidDel="00000000" w:rsidR="00000000" w:rsidRPr="00000000">
        <w:rPr>
          <w:rFonts w:ascii="Palatino Linotype" w:cs="Palatino Linotype" w:eastAsia="Palatino Linotype" w:hAnsi="Palatino Linotype"/>
          <w:sz w:val="22"/>
          <w:szCs w:val="22"/>
          <w:rtl w:val="0"/>
        </w:rPr>
        <w:t xml:space="preserve">, es necesario señalar que dicha modalidad de entrega recae en el supuesto previsto en el artículo 174 fracciones I, III y párrafo segundo de la Ley de Transparencia y Acceso a la Información Pública del Estado de México y Municipios, a saber:</w:t>
      </w:r>
    </w:p>
    <w:p w:rsidR="00000000" w:rsidDel="00000000" w:rsidP="00000000" w:rsidRDefault="00000000" w:rsidRPr="00000000" w14:paraId="000000B6">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tabs>
          <w:tab w:val="left" w:leader="none" w:pos="1843"/>
          <w:tab w:val="left" w:leader="none" w:pos="7088"/>
          <w:tab w:val="left" w:leader="none" w:pos="7371"/>
          <w:tab w:val="left" w:leader="none" w:pos="7513"/>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174.</w:t>
      </w:r>
      <w:r w:rsidDel="00000000" w:rsidR="00000000" w:rsidRPr="00000000">
        <w:rPr>
          <w:rFonts w:ascii="Palatino Linotype" w:cs="Palatino Linotype" w:eastAsia="Palatino Linotype" w:hAnsi="Palatino Linotype"/>
          <w:i w:val="1"/>
          <w:sz w:val="22"/>
          <w:szCs w:val="22"/>
          <w:rtl w:val="0"/>
        </w:rPr>
        <w:t xml:space="preserve"> En caso de existir costos para obtener la información deberán cubrirse de manera previa a la entrega y no podrán ser superiores a la suma de: </w:t>
      </w:r>
    </w:p>
    <w:p w:rsidR="00000000" w:rsidDel="00000000" w:rsidP="00000000" w:rsidRDefault="00000000" w:rsidRPr="00000000" w14:paraId="000000B8">
      <w:pPr>
        <w:tabs>
          <w:tab w:val="left" w:leader="none" w:pos="1843"/>
          <w:tab w:val="left" w:leader="none" w:pos="7088"/>
          <w:tab w:val="left" w:leader="none" w:pos="7371"/>
          <w:tab w:val="left" w:leader="none" w:pos="7513"/>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costo de los materiales utilizados en la reproducción de la información;</w:t>
      </w:r>
    </w:p>
    <w:p w:rsidR="00000000" w:rsidDel="00000000" w:rsidP="00000000" w:rsidRDefault="00000000" w:rsidRPr="00000000" w14:paraId="000000B9">
      <w:pPr>
        <w:tabs>
          <w:tab w:val="left" w:leader="none" w:pos="1843"/>
          <w:tab w:val="left" w:leader="none" w:pos="7088"/>
          <w:tab w:val="left" w:leader="none" w:pos="7371"/>
          <w:tab w:val="left" w:leader="none" w:pos="7513"/>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A">
      <w:pPr>
        <w:tabs>
          <w:tab w:val="left" w:leader="none" w:pos="1843"/>
          <w:tab w:val="left" w:leader="none" w:pos="7088"/>
          <w:tab w:val="left" w:leader="none" w:pos="7371"/>
          <w:tab w:val="left" w:leader="none" w:pos="7513"/>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pago de la certificación de los documentos, cuando proceda.</w:t>
      </w:r>
    </w:p>
    <w:p w:rsidR="00000000" w:rsidDel="00000000" w:rsidP="00000000" w:rsidRDefault="00000000" w:rsidRPr="00000000" w14:paraId="000000BB">
      <w:pPr>
        <w:tabs>
          <w:tab w:val="left" w:leader="none" w:pos="1843"/>
          <w:tab w:val="left" w:leader="none" w:pos="7088"/>
          <w:tab w:val="left" w:leader="none" w:pos="7371"/>
          <w:tab w:val="left" w:leader="none" w:pos="7513"/>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C">
      <w:pPr>
        <w:tabs>
          <w:tab w:val="left" w:leader="none" w:pos="1843"/>
          <w:tab w:val="left" w:leader="none" w:pos="7088"/>
          <w:tab w:val="left" w:leader="none" w:pos="7371"/>
          <w:tab w:val="left" w:leader="none" w:pos="7513"/>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Y, las cuotas de los derechos aplicables para la expedición de documentos solicitados en el ejercicio del derecho de acceso a la información pública, se encuentran previstas en el Código Financiero del Estado de México, el cual regula la actividad financiera estatal y municipal, entendiendo a dicha actividad la que comprende la obtención, administración y aplicación de los ingresos públicos, así como lo conducente a la transparencia y difusión de la información financiera relativa al presupuesto, ejercicio, evaluación y rendición de cuentas, en apego a las disposiciones aplicables en la materia.</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0">
      <w:pPr>
        <w:spacing w:line="360" w:lineRule="auto"/>
        <w:ind w:firstLine="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tanto, se tiene que el artículo 7, del Código referido establece que,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w:t>
      </w:r>
    </w:p>
    <w:p w:rsidR="00000000" w:rsidDel="00000000" w:rsidP="00000000" w:rsidRDefault="00000000" w:rsidRPr="00000000" w14:paraId="000000C1">
      <w:pPr>
        <w:spacing w:line="360" w:lineRule="auto"/>
        <w:ind w:firstLine="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spacing w:line="360" w:lineRule="auto"/>
        <w:ind w:firstLine="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artículo 9 en su fracción II define a los derechos como las contraprestaciones establecidas en este Código que deben pagar las personas físicas y jurídicas colectivas, por el uso o aprovechamiento de los bienes del dominio público de la Entidad, así como por recibir servicios que preste, el Estado, sus organismos y Municipios en funciones de derecho público.</w:t>
      </w:r>
    </w:p>
    <w:p w:rsidR="00000000" w:rsidDel="00000000" w:rsidP="00000000" w:rsidRDefault="00000000" w:rsidRPr="00000000" w14:paraId="000000C3">
      <w:pPr>
        <w:spacing w:line="360" w:lineRule="auto"/>
        <w:ind w:firstLine="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4">
      <w:pPr>
        <w:spacing w:line="360" w:lineRule="auto"/>
        <w:ind w:firstLine="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se tiene que el cobro por la certificación de los documentos a entregar, es un ingreso al que tienen derecho los municipios y su destino es cubrir el gasto público y demás obligaciones a su cargo, toda vez que es una ganancia lícita que se debe obtener con el cumplimiento de la obligación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 realizar el pago establecido en el artículo 148, fracción II del Código Financiero.</w:t>
      </w:r>
    </w:p>
    <w:p w:rsidR="00000000" w:rsidDel="00000000" w:rsidP="00000000" w:rsidRDefault="00000000" w:rsidRPr="00000000" w14:paraId="000000C5">
      <w:pPr>
        <w:spacing w:line="360" w:lineRule="auto"/>
        <w:ind w:firstLine="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3526155"/>
            <wp:effectExtent b="0" l="0" r="0" t="0"/>
            <wp:docPr descr="Texto&#10;&#10;El contenido generado por IA puede ser incorrecto." id="2083296443" name="image2.png"/>
            <a:graphic>
              <a:graphicData uri="http://schemas.openxmlformats.org/drawingml/2006/picture">
                <pic:pic>
                  <pic:nvPicPr>
                    <pic:cNvPr descr="Texto&#10;&#10;El contenido generado por IA puede ser incorrecto." id="0" name="image2.png"/>
                    <pic:cNvPicPr preferRelativeResize="0"/>
                  </pic:nvPicPr>
                  <pic:blipFill>
                    <a:blip r:embed="rId16"/>
                    <a:srcRect b="0" l="0" r="0" t="0"/>
                    <a:stretch>
                      <a:fillRect/>
                    </a:stretch>
                  </pic:blipFill>
                  <pic:spPr>
                    <a:xfrm>
                      <a:off x="0" y="0"/>
                      <a:ext cx="5612130" cy="3526155"/>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es evidente que la entrega de la información al particular mediante copias certificadas procederá una vez que se acredite el pago de derechos correspondiente.</w:t>
      </w:r>
    </w:p>
    <w:p w:rsidR="00000000" w:rsidDel="00000000" w:rsidP="00000000" w:rsidRDefault="00000000" w:rsidRPr="00000000" w14:paraId="000000C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se señala que el monto por concepto de derechos, como se lee en el referido precepto legal del Código Financiero, se calcula tomando en consideración la Unidad de Medida y Actualización, UMA, como la referencia económica en pesos para determinar la cuantía del pago de las obligaciones y supuestos previstos en las leyes federales, de las entidades federativas, así como en las disposiciones jurídicas que emanen de todas las anteriores, que es determinado en cada ejercicio fiscal por el Instituto Nacional de Estadística y Geografía, INEGI, cuyo valor actual es por la cantidad de $113.14 diarios, como se observa en seguida:</w:t>
      </w:r>
    </w:p>
    <w:p w:rsidR="00000000" w:rsidDel="00000000" w:rsidP="00000000" w:rsidRDefault="00000000" w:rsidRPr="00000000" w14:paraId="000000CA">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372897" cy="4574768"/>
            <wp:effectExtent b="0" l="0" r="0" t="0"/>
            <wp:docPr descr="Interfaz de usuario gráfica, Tabla&#10;&#10;El contenido generado por IA puede ser incorrecto." id="2083296442" name="image5.png"/>
            <a:graphic>
              <a:graphicData uri="http://schemas.openxmlformats.org/drawingml/2006/picture">
                <pic:pic>
                  <pic:nvPicPr>
                    <pic:cNvPr descr="Interfaz de usuario gráfica, Tabla&#10;&#10;El contenido generado por IA puede ser incorrecto." id="0" name="image5.png"/>
                    <pic:cNvPicPr preferRelativeResize="0"/>
                  </pic:nvPicPr>
                  <pic:blipFill>
                    <a:blip r:embed="rId17"/>
                    <a:srcRect b="0" l="0" r="0" t="0"/>
                    <a:stretch>
                      <a:fillRect/>
                    </a:stretch>
                  </pic:blipFill>
                  <pic:spPr>
                    <a:xfrm>
                      <a:off x="0" y="0"/>
                      <a:ext cx="4372897" cy="457476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1752600</wp:posOffset>
                </wp:positionV>
                <wp:extent cx="1143000" cy="533400"/>
                <wp:effectExtent b="0" l="0" r="0" t="0"/>
                <wp:wrapNone/>
                <wp:docPr id="2083296432" name=""/>
                <a:graphic>
                  <a:graphicData uri="http://schemas.microsoft.com/office/word/2010/wordprocessingShape">
                    <wps:wsp>
                      <wps:cNvSpPr/>
                      <wps:cNvPr id="3" name="Shape 3"/>
                      <wps:spPr>
                        <a:xfrm>
                          <a:off x="4793550" y="3532350"/>
                          <a:ext cx="1104900" cy="495300"/>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1752600</wp:posOffset>
                </wp:positionV>
                <wp:extent cx="1143000" cy="533400"/>
                <wp:effectExtent b="0" l="0" r="0" t="0"/>
                <wp:wrapNone/>
                <wp:docPr id="2083296432"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143000" cy="533400"/>
                        </a:xfrm>
                        <a:prstGeom prst="rect"/>
                        <a:ln/>
                      </pic:spPr>
                    </pic:pic>
                  </a:graphicData>
                </a:graphic>
              </wp:anchor>
            </w:drawing>
          </mc:Fallback>
        </mc:AlternateContent>
      </w:r>
    </w:p>
    <w:p w:rsidR="00000000" w:rsidDel="00000000" w:rsidP="00000000" w:rsidRDefault="00000000" w:rsidRPr="00000000" w14:paraId="000000C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los derechos por la certificación de la primera hoja, equivalen a 0.850 veces el valor diario de la Unidad de Medida y Actualización vigente, mientras que los derechos para cada una de las subsecuentes equivalen a 0.417 veces el valor diario de la Unidad de Medida y Actualización vigente, es decir, $96.169 la primera hoja, y $47.17938 cada una de las hojas subsecuentes.</w:t>
      </w:r>
    </w:p>
    <w:p w:rsidR="00000000" w:rsidDel="00000000" w:rsidP="00000000" w:rsidRDefault="00000000" w:rsidRPr="00000000" w14:paraId="000000C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Asimismo, se precisa que para la entrega de la información certificada tal y como fue solicitada por el particular, debemos tener en cuenta que los Lineamientos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que en el caso de que la información se haya solicitado en una modalidad que sea técnicamente factible y que constituya un costo de reproducción, los Sujetos Obligados deberán hacer del conocimiento de los particulares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previamente</w:t>
      </w:r>
      <w:r w:rsidDel="00000000" w:rsidR="00000000" w:rsidRPr="00000000">
        <w:rPr>
          <w:rFonts w:ascii="Palatino Linotype" w:cs="Palatino Linotype" w:eastAsia="Palatino Linotype" w:hAnsi="Palatino Linotype"/>
          <w:b w:val="1"/>
          <w:sz w:val="22"/>
          <w:szCs w:val="22"/>
          <w:rtl w:val="0"/>
        </w:rPr>
        <w:t xml:space="preserve">, el costo total por la reproducción y certificación de la información requerida,</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así como el procedimiento para la entrega de la misma en el que se establezca: procedimiento para realizar el pago correspondiente, lugar, día y horarios en los que podrá presentarse a recoger las copias certificadas y el nombre del o los servidores públicos que le atenderán, </w:t>
      </w:r>
      <w:r w:rsidDel="00000000" w:rsidR="00000000" w:rsidRPr="00000000">
        <w:rPr>
          <w:rFonts w:ascii="Palatino Linotype" w:cs="Palatino Linotype" w:eastAsia="Palatino Linotype" w:hAnsi="Palatino Linotype"/>
          <w:b w:val="1"/>
          <w:sz w:val="22"/>
          <w:szCs w:val="22"/>
          <w:u w:val="single"/>
          <w:rtl w:val="0"/>
        </w:rPr>
        <w:t xml:space="preserve">situación que en el presente caso no aconteció, pues únicamente se limitó a referir el monto, sin señalar el procedimiento para la entrega</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CE">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no debe perderse de vista el contenido del artículo 166 de la Ley de Transparencia y Acceso a la Información Pública del Estado de México y Municipios, que señala a la literalidad lo siguiente:</w:t>
      </w:r>
    </w:p>
    <w:p w:rsidR="00000000" w:rsidDel="00000000" w:rsidP="00000000" w:rsidRDefault="00000000" w:rsidRPr="00000000" w14:paraId="000000D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166</w:t>
      </w:r>
      <w:r w:rsidDel="00000000" w:rsidR="00000000" w:rsidRPr="00000000">
        <w:rPr>
          <w:rFonts w:ascii="Palatino Linotype" w:cs="Palatino Linotype" w:eastAsia="Palatino Linotype" w:hAnsi="Palatino Linotype"/>
          <w:i w:val="1"/>
          <w:sz w:val="22"/>
          <w:szCs w:val="22"/>
          <w:rtl w:val="0"/>
        </w:rPr>
        <w:t xml:space="preserve">. La obligación de acceso a la información pública se tendrá por cumplida </w:t>
      </w:r>
      <w:r w:rsidDel="00000000" w:rsidR="00000000" w:rsidRPr="00000000">
        <w:rPr>
          <w:rFonts w:ascii="Palatino Linotype" w:cs="Palatino Linotype" w:eastAsia="Palatino Linotype" w:hAnsi="Palatino Linotype"/>
          <w:b w:val="1"/>
          <w:i w:val="1"/>
          <w:sz w:val="22"/>
          <w:szCs w:val="22"/>
          <w:rtl w:val="0"/>
        </w:rPr>
        <w:t xml:space="preserve">cuando el solicitante tenga a su disposición la información requerida, </w:t>
      </w:r>
      <w:r w:rsidDel="00000000" w:rsidR="00000000" w:rsidRPr="00000000">
        <w:rPr>
          <w:rFonts w:ascii="Palatino Linotype" w:cs="Palatino Linotype" w:eastAsia="Palatino Linotype" w:hAnsi="Palatino Linotype"/>
          <w:i w:val="1"/>
          <w:sz w:val="22"/>
          <w:szCs w:val="22"/>
          <w:rtl w:val="0"/>
        </w:rPr>
        <w:t xml:space="preserve">o cuando realice la consulta de la misma en el lugar en el que ésta se localice.</w:t>
      </w:r>
    </w:p>
    <w:p w:rsidR="00000000" w:rsidDel="00000000" w:rsidP="00000000" w:rsidRDefault="00000000" w:rsidRPr="00000000" w14:paraId="000000D2">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La Unidad de Transparencia tendrá disponible la información solicitada</w:t>
      </w:r>
      <w:r w:rsidDel="00000000" w:rsidR="00000000" w:rsidRPr="00000000">
        <w:rPr>
          <w:rFonts w:ascii="Palatino Linotype" w:cs="Palatino Linotype" w:eastAsia="Palatino Linotype" w:hAnsi="Palatino Linotype"/>
          <w:b w:val="1"/>
          <w:i w:val="1"/>
          <w:sz w:val="22"/>
          <w:szCs w:val="22"/>
          <w:rtl w:val="0"/>
        </w:rPr>
        <w:t xml:space="preserve">, durante un plazo mínimo de sesenta días hábiles, contado a partir de que el solicitante hubiere realizado, en su caso, el pago respectivo, el cual deberá efectuarse en un plazo no mayor a treinta días hábiles.</w:t>
      </w:r>
    </w:p>
    <w:p w:rsidR="00000000" w:rsidDel="00000000" w:rsidP="00000000" w:rsidRDefault="00000000" w:rsidRPr="00000000" w14:paraId="000000D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Transcurridos dichos plazos, si los solicitantes no acuden a recibir la información requerida los sujetos obligados darán por concluida la solicitud y procederán, de ser el caso, a la destrucción del material en el que se reprodujo la información.</w:t>
      </w:r>
    </w:p>
    <w:p w:rsidR="00000000" w:rsidDel="00000000" w:rsidP="00000000" w:rsidRDefault="00000000" w:rsidRPr="00000000" w14:paraId="000000D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el sujeto obligado no entregue la respuesta a la solicitud dentro del plazo previsto en la Ley, la solicitud se entenderá negada y el solicitante podrá interponer el recurso de revisión previsto en este ordenamiento.</w:t>
      </w:r>
    </w:p>
    <w:p w:rsidR="00000000" w:rsidDel="00000000" w:rsidP="00000000" w:rsidRDefault="00000000" w:rsidRPr="00000000" w14:paraId="000000D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Una vez entregada la información, el solicitante acusará recibo por escrito, dándose por terminado el trámite de acceso a la información.”</w:t>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Razón por la cual,</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para dar cumplimiento a la presente resolución,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hacer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vía SAIMEX, </w:t>
      </w:r>
      <w:r w:rsidDel="00000000" w:rsidR="00000000" w:rsidRPr="00000000">
        <w:rPr>
          <w:rFonts w:ascii="Palatino Linotype" w:cs="Palatino Linotype" w:eastAsia="Palatino Linotype" w:hAnsi="Palatino Linotype"/>
          <w:b w:val="1"/>
          <w:sz w:val="22"/>
          <w:szCs w:val="22"/>
          <w:u w:val="single"/>
          <w:rtl w:val="0"/>
        </w:rPr>
        <w:t xml:space="preserve">el costo por la reproducción y certificación de la información requerida</w:t>
      </w:r>
      <w:r w:rsidDel="00000000" w:rsidR="00000000" w:rsidRPr="00000000">
        <w:rPr>
          <w:rFonts w:ascii="Palatino Linotype" w:cs="Palatino Linotype" w:eastAsia="Palatino Linotype" w:hAnsi="Palatino Linotype"/>
          <w:sz w:val="22"/>
          <w:szCs w:val="22"/>
          <w:rtl w:val="0"/>
        </w:rPr>
        <w:t xml:space="preserve">, así como el procedimiento para la entrega de la misma una vez que haya efectuado el pago por concepto de derechos, en el que se establezca: lugar, día y horarios en los que podrá presentarse a recoger las copias certificadas, así como  el nombre del o los servidores públicos que le atenderán.</w:t>
      </w:r>
    </w:p>
    <w:p w:rsidR="00000000" w:rsidDel="00000000" w:rsidP="00000000" w:rsidRDefault="00000000" w:rsidRPr="00000000" w14:paraId="000000D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conviene señalar que si bien dicha modalidad de entrega en copias certificadas faculta a los servidores públicos para que expidan certificaciones de los documentos solicitados que obran en los archivos de las dependencias o entidades en copia simple u original según sea el caso; también lo es que, en materia de acceso a la información la certificación </w:t>
      </w:r>
      <w:r w:rsidDel="00000000" w:rsidR="00000000" w:rsidRPr="00000000">
        <w:rPr>
          <w:rFonts w:ascii="Palatino Linotype" w:cs="Palatino Linotype" w:eastAsia="Palatino Linotype" w:hAnsi="Palatino Linotype"/>
          <w:b w:val="1"/>
          <w:sz w:val="22"/>
          <w:szCs w:val="22"/>
          <w:rtl w:val="0"/>
        </w:rPr>
        <w:t xml:space="preserve">únicamente por efecto constata que la copia certificada que se entrega es una reproducción fiel del documento -original o copia simple- que obra en los archivos de la dependencia</w:t>
      </w:r>
      <w:r w:rsidDel="00000000" w:rsidR="00000000" w:rsidRPr="00000000">
        <w:rPr>
          <w:rFonts w:ascii="Palatino Linotype" w:cs="Palatino Linotype" w:eastAsia="Palatino Linotype" w:hAnsi="Palatino Linotype"/>
          <w:sz w:val="22"/>
          <w:szCs w:val="22"/>
          <w:rtl w:val="0"/>
        </w:rPr>
        <w:t xml:space="preserve"> o entidad requerida, en ese orden de ideas, </w:t>
      </w:r>
      <w:r w:rsidDel="00000000" w:rsidR="00000000" w:rsidRPr="00000000">
        <w:rPr>
          <w:rFonts w:ascii="Palatino Linotype" w:cs="Palatino Linotype" w:eastAsia="Palatino Linotype" w:hAnsi="Palatino Linotype"/>
          <w:b w:val="1"/>
          <w:sz w:val="22"/>
          <w:szCs w:val="22"/>
          <w:u w:val="single"/>
          <w:rtl w:val="0"/>
        </w:rPr>
        <w:t xml:space="preserve">la certificación, para efectos de acceso a la información, no tiene como propósito que el documento certificado haga las veces de un original,</w:t>
      </w:r>
      <w:r w:rsidDel="00000000" w:rsidR="00000000" w:rsidRPr="00000000">
        <w:rPr>
          <w:rFonts w:ascii="Palatino Linotype" w:cs="Palatino Linotype" w:eastAsia="Palatino Linotype" w:hAnsi="Palatino Linotype"/>
          <w:sz w:val="22"/>
          <w:szCs w:val="22"/>
          <w:rtl w:val="0"/>
        </w:rPr>
        <w:t xml:space="preserve"> sino dejar evidencia de que los documentos obran en los archivos de los sujetos obligados, tal cual se encuentran, lo cual deberá quedar precisado en la leyenda de certificación correspondiente. </w:t>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fundamentación a lo antes expresado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el criterio orientador 06/2017 emitido por el entonces Instituto Nacional de Transparencia, Acceso a la Información y Protección de Datos Personales: </w:t>
      </w:r>
    </w:p>
    <w:p w:rsidR="00000000" w:rsidDel="00000000" w:rsidP="00000000" w:rsidRDefault="00000000" w:rsidRPr="00000000" w14:paraId="000000DC">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D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Copias certificadas, como modalidad de entrega en la Ley Federal de Transparencia y Acceso a la Información Pública corrobora que el documento es una copia fiel del que obra en los archivos del sujeto obligado. </w:t>
      </w:r>
      <w:r w:rsidDel="00000000" w:rsidR="00000000" w:rsidRPr="00000000">
        <w:rPr>
          <w:rFonts w:ascii="Palatino Linotype" w:cs="Palatino Linotype" w:eastAsia="Palatino Linotype" w:hAnsi="Palatino Linotype"/>
          <w:i w:val="1"/>
          <w:sz w:val="22"/>
          <w:szCs w:val="22"/>
          <w:rtl w:val="0"/>
        </w:rPr>
        <w:t xml:space="preserve">Los artículos 125, fracción V y 136 de la Ley Federal de Transparencia y Acceso a la Información Pública, prevén que el acceso a la información se dará en la modalidad de entrega elegida por los solicitantes, como lo es, en copia certificada.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w:t>
      </w:r>
    </w:p>
    <w:p w:rsidR="00000000" w:rsidDel="00000000" w:rsidP="00000000" w:rsidRDefault="00000000" w:rsidRPr="00000000" w14:paraId="000000DE">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Precedentes:</w:t>
      </w:r>
    </w:p>
    <w:p w:rsidR="00000000" w:rsidDel="00000000" w:rsidP="00000000" w:rsidRDefault="00000000" w:rsidRPr="00000000" w14:paraId="000000DF">
      <w:pPr>
        <w:numPr>
          <w:ilvl w:val="0"/>
          <w:numId w:val="6"/>
        </w:num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Acceso a la información pública. RRA 1291/16. Sesión del 07 de septiembre de 2016. Votación por unanimidad. Sin votos disidentes o particulares. Partido Encuentro Social. Comisionado Ponente Oscar Mauricio Guerra Ford.</w:t>
      </w:r>
    </w:p>
    <w:p w:rsidR="00000000" w:rsidDel="00000000" w:rsidP="00000000" w:rsidRDefault="00000000" w:rsidRPr="00000000" w14:paraId="000000E0">
      <w:pPr>
        <w:numPr>
          <w:ilvl w:val="0"/>
          <w:numId w:val="6"/>
        </w:num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Acceso a la información pública. RRA 1541/16. Sesión del 14 de septiembre de 2016. Votación por unanimidad. Sin votos disidentes o particulares. Secretaría de Agricultura, Ganadería, Desarrollo Rural, Pesca y Alimentación. Comisionado Ponente Francisco Javier Acuña Llamas.</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tl w:val="0"/>
        </w:rPr>
      </w:r>
    </w:p>
    <w:p w:rsidR="00000000" w:rsidDel="00000000" w:rsidP="00000000" w:rsidRDefault="00000000" w:rsidRPr="00000000" w14:paraId="000000E1">
      <w:pPr>
        <w:numPr>
          <w:ilvl w:val="0"/>
          <w:numId w:val="6"/>
        </w:num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Acceso a la información pública. RRA 1657/16. Sesión del 05 de octubre de 2016. Votación por unanimidad. Sin votos disidentes o particulares. Universidad Nacional Autónoma de México. Comisionado Ponente Rosendoevgueni Monterrey Chepov”</w:t>
      </w:r>
    </w:p>
    <w:p w:rsidR="00000000" w:rsidDel="00000000" w:rsidP="00000000" w:rsidRDefault="00000000" w:rsidRPr="00000000" w14:paraId="000000E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por las circunstancias específicas de haber sido solicitada la información de manera certificada, ésta tiene que ser entregada/remitida de manera física a efecto de satisfacer dicha modalidad, lo cual no se lograría satisfacer de remitirse de manera digital, no siendo viable su remisión colocándola mediante el escaneo.</w:t>
      </w:r>
    </w:p>
    <w:p w:rsidR="00000000" w:rsidDel="00000000" w:rsidP="00000000" w:rsidRDefault="00000000" w:rsidRPr="00000000" w14:paraId="000000E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5">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antes dicho se concluye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hacer entrega de la información </w:t>
      </w:r>
      <w:r w:rsidDel="00000000" w:rsidR="00000000" w:rsidRPr="00000000">
        <w:rPr>
          <w:rFonts w:ascii="Palatino Linotype" w:cs="Palatino Linotype" w:eastAsia="Palatino Linotype" w:hAnsi="Palatino Linotype"/>
          <w:b w:val="1"/>
          <w:sz w:val="22"/>
          <w:szCs w:val="22"/>
          <w:rtl w:val="0"/>
        </w:rPr>
        <w:t xml:space="preserve">a través del Saimex y copias certificadas. </w:t>
      </w:r>
      <w:r w:rsidDel="00000000" w:rsidR="00000000" w:rsidRPr="00000000">
        <w:rPr>
          <w:rtl w:val="0"/>
        </w:rPr>
      </w:r>
    </w:p>
    <w:p w:rsidR="00000000" w:rsidDel="00000000" w:rsidP="00000000" w:rsidRDefault="00000000" w:rsidRPr="00000000" w14:paraId="000000E6">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antes dicho, debido 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cumplió cabalmente con la entrega de la información requerida, los agravios hechos valer por la parte solicitante devienen </w:t>
      </w:r>
      <w:r w:rsidDel="00000000" w:rsidR="00000000" w:rsidRPr="00000000">
        <w:rPr>
          <w:rFonts w:ascii="Palatino Linotype" w:cs="Palatino Linotype" w:eastAsia="Palatino Linotype" w:hAnsi="Palatino Linotype"/>
          <w:b w:val="1"/>
          <w:sz w:val="22"/>
          <w:szCs w:val="22"/>
          <w:rtl w:val="0"/>
        </w:rPr>
        <w:t xml:space="preserve">fundados </w:t>
      </w:r>
      <w:r w:rsidDel="00000000" w:rsidR="00000000" w:rsidRPr="00000000">
        <w:rPr>
          <w:rFonts w:ascii="Palatino Linotype" w:cs="Palatino Linotype" w:eastAsia="Palatino Linotype" w:hAnsi="Palatino Linotype"/>
          <w:sz w:val="22"/>
          <w:szCs w:val="22"/>
          <w:rtl w:val="0"/>
        </w:rPr>
        <w:t xml:space="preserve">y, por ende, este Organismo Garante determina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al Sujeto Obligado, la entrega, de ser el caso, en versión pública, de lo siguiente: </w:t>
      </w:r>
    </w:p>
    <w:p w:rsidR="00000000" w:rsidDel="00000000" w:rsidP="00000000" w:rsidRDefault="00000000" w:rsidRPr="00000000" w14:paraId="000000E8">
      <w:pPr>
        <w:spacing w:line="360" w:lineRule="auto"/>
        <w:ind w:right="49"/>
        <w:jc w:val="both"/>
        <w:rPr>
          <w:rFonts w:ascii="Palatino Linotype" w:cs="Palatino Linotype" w:eastAsia="Palatino Linotype" w:hAnsi="Palatino Linotype"/>
          <w:sz w:val="22"/>
          <w:szCs w:val="22"/>
        </w:rPr>
      </w:pPr>
      <w:bookmarkStart w:colFirst="0" w:colLast="0" w:name="_heading=h.dfz3j8ucli87" w:id="12"/>
      <w:bookmarkEnd w:id="12"/>
      <w:r w:rsidDel="00000000" w:rsidR="00000000" w:rsidRPr="00000000">
        <w:rPr>
          <w:rtl w:val="0"/>
        </w:rPr>
      </w:r>
    </w:p>
    <w:p w:rsidR="00000000" w:rsidDel="00000000" w:rsidP="00000000" w:rsidRDefault="00000000" w:rsidRPr="00000000" w14:paraId="000000E9">
      <w:pPr>
        <w:numPr>
          <w:ilvl w:val="0"/>
          <w:numId w:val="7"/>
        </w:numPr>
        <w:pBdr>
          <w:top w:space="0" w:sz="0" w:val="nil"/>
          <w:left w:space="0" w:sz="0" w:val="nil"/>
          <w:bottom w:space="0" w:sz="0" w:val="nil"/>
          <w:right w:space="0" w:sz="0" w:val="nil"/>
          <w:between w:space="0" w:sz="0" w:val="nil"/>
        </w:pBdr>
        <w:spacing w:line="360" w:lineRule="auto"/>
        <w:ind w:left="72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Nómina del Sistema Municipal para el Desarrollo Integral de la Familia de Cocotitlán, de la primera y segunda quincena de enero de dos mil veinticinco. </w:t>
      </w:r>
    </w:p>
    <w:p w:rsidR="00000000" w:rsidDel="00000000" w:rsidP="00000000" w:rsidRDefault="00000000" w:rsidRPr="00000000" w14:paraId="000000EA">
      <w:pPr>
        <w:numPr>
          <w:ilvl w:val="0"/>
          <w:numId w:val="7"/>
        </w:numPr>
        <w:pBdr>
          <w:top w:space="0" w:sz="0" w:val="nil"/>
          <w:left w:space="0" w:sz="0" w:val="nil"/>
          <w:bottom w:space="0" w:sz="0" w:val="nil"/>
          <w:right w:space="0" w:sz="0" w:val="nil"/>
          <w:between w:space="0" w:sz="0" w:val="nil"/>
        </w:pBdr>
        <w:spacing w:line="360" w:lineRule="auto"/>
        <w:ind w:left="72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Organigrama del Sistema Municipal para el Desarrollo Integral de la Familia de Cocotitlán; así como el Acta de la Junta de Gobierno en la que se llevó a cabo su aprobación.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y se ponga a disposición de la parte Recurrente, en términos de los artículos 49, fracción VIII, de la Ley de Transparencia y Acceso a la Información Pública del Estado de México y Municipios.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615"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993"/>
        </w:tabs>
        <w:spacing w:after="0" w:before="0" w:line="276" w:lineRule="auto"/>
        <w:ind w:left="720" w:right="560"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Para la entrega de la información mediante copia certificada,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previamente deberá hacer de conocimiento de la parte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vía SAIMEX, el costo por la reproducción en su caso, el lugar, día y horarios en los que podrá acceder a la información, así como el nombre del o los servidores públicos que le atenderán.</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000000" w:rsidDel="00000000" w:rsidP="00000000" w:rsidRDefault="00000000" w:rsidRPr="00000000" w14:paraId="000000F0">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F1">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w:t>
      </w:r>
      <w:r w:rsidDel="00000000" w:rsidR="00000000" w:rsidRPr="00000000">
        <w:rPr>
          <w:rFonts w:ascii="Palatino Linotype" w:cs="Palatino Linotype" w:eastAsia="Palatino Linotype" w:hAnsi="Palatino Linotype"/>
          <w:i w:val="1"/>
          <w:sz w:val="22"/>
          <w:szCs w:val="22"/>
          <w:rtl w:val="0"/>
        </w:rPr>
        <w:t xml:space="preserve"> Información clasificada: Aquella considerada por la presente Ley como reservada o confidencial; </w:t>
      </w:r>
    </w:p>
    <w:p w:rsidR="00000000" w:rsidDel="00000000" w:rsidP="00000000" w:rsidRDefault="00000000" w:rsidRPr="00000000" w14:paraId="000000F2">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F3">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4">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XXXIV</w:t>
      </w:r>
      <w:r w:rsidDel="00000000" w:rsidR="00000000" w:rsidRPr="00000000">
        <w:rPr>
          <w:rFonts w:ascii="Palatino Linotype" w:cs="Palatino Linotype" w:eastAsia="Palatino Linotype" w:hAnsi="Palatino Linotype"/>
          <w:i w:val="1"/>
          <w:sz w:val="22"/>
          <w:szCs w:val="22"/>
          <w:rtl w:val="0"/>
        </w:rPr>
        <w:t xml:space="preserve">.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000000" w:rsidDel="00000000" w:rsidP="00000000" w:rsidRDefault="00000000" w:rsidRPr="00000000" w14:paraId="000000F5">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6">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w:t>
      </w:r>
      <w:r w:rsidDel="00000000" w:rsidR="00000000" w:rsidRPr="00000000">
        <w:rPr>
          <w:rFonts w:ascii="Palatino Linotype" w:cs="Palatino Linotype" w:eastAsia="Palatino Linotype" w:hAnsi="Palatino Linotype"/>
          <w:i w:val="1"/>
          <w:sz w:val="22"/>
          <w:szCs w:val="22"/>
          <w:rtl w:val="0"/>
        </w:rPr>
        <w:t xml:space="preserve"> Versión pública: Documento en el que se elimine, suprime o borra la información clasificada como reservada o confidencial para permitir su acceso</w:t>
      </w:r>
    </w:p>
    <w:p w:rsidR="00000000" w:rsidDel="00000000" w:rsidP="00000000" w:rsidRDefault="00000000" w:rsidRPr="00000000" w14:paraId="000000F7">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F8">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122.</w:t>
      </w:r>
      <w:r w:rsidDel="00000000" w:rsidR="00000000" w:rsidRPr="00000000">
        <w:rPr>
          <w:rFonts w:ascii="Palatino Linotype" w:cs="Palatino Linotype" w:eastAsia="Palatino Linotype" w:hAnsi="Palatino Linotype"/>
          <w:i w:val="1"/>
          <w:sz w:val="22"/>
          <w:szCs w:val="22"/>
          <w:rtl w:val="0"/>
        </w:rPr>
        <w:t xml:space="preserve"> La clasificación es el proceso mediante el cual el sujeto obligado determina que la información en su poder actualiza alguno de los supuestos de reserva o confidencialidad, de conformidad con lo dispuesto en el presente título.</w:t>
      </w:r>
    </w:p>
    <w:p w:rsidR="00000000" w:rsidDel="00000000" w:rsidP="00000000" w:rsidRDefault="00000000" w:rsidRPr="00000000" w14:paraId="000000F9">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supuestos de reserva o confidencialidad previstos en las leyes deberán ser acordes con las bases, principios y disposiciones establecidos en la Ley General y, en ningún caso, podrán contravenirla.</w:t>
      </w:r>
    </w:p>
    <w:p w:rsidR="00000000" w:rsidDel="00000000" w:rsidP="00000000" w:rsidRDefault="00000000" w:rsidRPr="00000000" w14:paraId="000000FA">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serán los responsables de clasificar la información, de conformidad con lo dispuesto en la presente Ley y demás disposiciones jurídicas aplicables</w:t>
      </w:r>
    </w:p>
    <w:p w:rsidR="00000000" w:rsidDel="00000000" w:rsidP="00000000" w:rsidRDefault="00000000" w:rsidRPr="00000000" w14:paraId="000000FB">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0FC">
      <w:pPr>
        <w:tabs>
          <w:tab w:val="left" w:leader="none" w:pos="709"/>
        </w:tabs>
        <w:ind w:left="851"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0FD">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FE">
      <w:pPr>
        <w:tabs>
          <w:tab w:val="left" w:leader="none" w:pos="709"/>
        </w:tabs>
        <w:ind w:left="851"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Se refiera a la información privada y los datos personales concernientes a una persona física o jurídica colectiva identificada o identificable; </w:t>
      </w:r>
    </w:p>
    <w:p w:rsidR="00000000" w:rsidDel="00000000" w:rsidP="00000000" w:rsidRDefault="00000000" w:rsidRPr="00000000" w14:paraId="000000FF">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00000" w:rsidDel="00000000" w:rsidP="00000000" w:rsidRDefault="00000000" w:rsidRPr="00000000" w14:paraId="00000100">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01">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02">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03">
      <w:pPr>
        <w:tabs>
          <w:tab w:val="left" w:leader="none" w:pos="709"/>
        </w:tabs>
        <w:ind w:left="851"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147. Para que los sujetos obligados puedan permitir el acceso a información confidencial requieren obtener el consentimiento de los particulares titulares de la información.</w:t>
      </w:r>
    </w:p>
    <w:p w:rsidR="00000000" w:rsidDel="00000000" w:rsidP="00000000" w:rsidRDefault="00000000" w:rsidRPr="00000000" w14:paraId="00000104">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148.</w:t>
      </w:r>
      <w:r w:rsidDel="00000000" w:rsidR="00000000" w:rsidRPr="00000000">
        <w:rPr>
          <w:rFonts w:ascii="Palatino Linotype" w:cs="Palatino Linotype" w:eastAsia="Palatino Linotype" w:hAnsi="Palatino Linotype"/>
          <w:i w:val="1"/>
          <w:sz w:val="22"/>
          <w:szCs w:val="22"/>
          <w:rtl w:val="0"/>
        </w:rPr>
        <w:t xml:space="preserve"> No se requerirá el consentimiento del titular de la información confidencial cuando:</w:t>
      </w:r>
    </w:p>
    <w:p w:rsidR="00000000" w:rsidDel="00000000" w:rsidP="00000000" w:rsidRDefault="00000000" w:rsidRPr="00000000" w14:paraId="00000105">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información se encuentre en registros públicos o fuentes de acceso público;</w:t>
      </w:r>
    </w:p>
    <w:p w:rsidR="00000000" w:rsidDel="00000000" w:rsidP="00000000" w:rsidRDefault="00000000" w:rsidRPr="00000000" w14:paraId="00000106">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Por Ley tenga el carácter de pública;</w:t>
      </w:r>
    </w:p>
    <w:p w:rsidR="00000000" w:rsidDel="00000000" w:rsidP="00000000" w:rsidRDefault="00000000" w:rsidRPr="00000000" w14:paraId="00000107">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Exista una orden judicial;</w:t>
      </w:r>
    </w:p>
    <w:p w:rsidR="00000000" w:rsidDel="00000000" w:rsidP="00000000" w:rsidRDefault="00000000" w:rsidRPr="00000000" w14:paraId="00000108">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Por razones de seguridad pública, o para proteger los derechos de terceros, se requiera su publicación; o</w:t>
      </w:r>
    </w:p>
    <w:p w:rsidR="00000000" w:rsidDel="00000000" w:rsidP="00000000" w:rsidRDefault="00000000" w:rsidRPr="00000000" w14:paraId="00000109">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000000" w:rsidDel="00000000" w:rsidP="00000000" w:rsidRDefault="00000000" w:rsidRPr="00000000" w14:paraId="0000010A">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000000" w:rsidDel="00000000" w:rsidP="00000000" w:rsidRDefault="00000000" w:rsidRPr="00000000" w14:paraId="0000010B">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acuerdo que clasifique la información como confidencial deberá contener un razonamiento lógico en el que demuestre que la información se encuentra en alguna o algunas de las hipótesis previstas en la presente Ley.” (Sic)</w:t>
      </w:r>
    </w:p>
    <w:p w:rsidR="00000000" w:rsidDel="00000000" w:rsidP="00000000" w:rsidRDefault="00000000" w:rsidRPr="00000000" w14:paraId="0000010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000000" w:rsidDel="00000000" w:rsidP="00000000" w:rsidRDefault="00000000" w:rsidRPr="00000000" w14:paraId="0000010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000000" w:rsidDel="00000000" w:rsidP="00000000" w:rsidRDefault="00000000" w:rsidRPr="00000000" w14:paraId="0000011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000000" w:rsidDel="00000000" w:rsidP="00000000" w:rsidRDefault="00000000" w:rsidRPr="00000000" w14:paraId="00000112">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168</w:t>
      </w:r>
      <w:r w:rsidDel="00000000" w:rsidR="00000000" w:rsidRPr="00000000">
        <w:rPr>
          <w:rFonts w:ascii="Palatino Linotype" w:cs="Palatino Linotype" w:eastAsia="Palatino Linotype" w:hAnsi="Palatino Linotype"/>
          <w:i w:val="1"/>
          <w:sz w:val="22"/>
          <w:szCs w:val="22"/>
          <w:rtl w:val="0"/>
        </w:rPr>
        <w:t xml:space="preserve">. En caso de que los sujetos obligados consideren que los documentos o la información deban ser clasificados, se sujetará a lo siguiente:</w:t>
      </w:r>
    </w:p>
    <w:p w:rsidR="00000000" w:rsidDel="00000000" w:rsidP="00000000" w:rsidRDefault="00000000" w:rsidRPr="00000000" w14:paraId="0000011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Área deberá remitir la solicitud, así como un escrito en el que </w:t>
      </w:r>
      <w:r w:rsidDel="00000000" w:rsidR="00000000" w:rsidRPr="00000000">
        <w:rPr>
          <w:rFonts w:ascii="Palatino Linotype" w:cs="Palatino Linotype" w:eastAsia="Palatino Linotype" w:hAnsi="Palatino Linotype"/>
          <w:b w:val="1"/>
          <w:i w:val="1"/>
          <w:sz w:val="22"/>
          <w:szCs w:val="22"/>
          <w:rtl w:val="0"/>
        </w:rPr>
        <w:t xml:space="preserve">funde y motive la clasificación al Comité de Transparencia</w:t>
      </w:r>
      <w:r w:rsidDel="00000000" w:rsidR="00000000" w:rsidRPr="00000000">
        <w:rPr>
          <w:rFonts w:ascii="Palatino Linotype" w:cs="Palatino Linotype" w:eastAsia="Palatino Linotype" w:hAnsi="Palatino Linotype"/>
          <w:i w:val="1"/>
          <w:sz w:val="22"/>
          <w:szCs w:val="22"/>
          <w:rtl w:val="0"/>
        </w:rPr>
        <w:t xml:space="preserve">, mismo que deberá resolver para:</w:t>
      </w:r>
    </w:p>
    <w:p w:rsidR="00000000" w:rsidDel="00000000" w:rsidP="00000000" w:rsidRDefault="00000000" w:rsidRPr="00000000" w14:paraId="00000115">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b w:val="1"/>
          <w:i w:val="1"/>
          <w:sz w:val="22"/>
          <w:szCs w:val="22"/>
          <w:rtl w:val="0"/>
        </w:rPr>
        <w:t xml:space="preserve">) Confirmar la clasificación;</w:t>
      </w:r>
    </w:p>
    <w:p w:rsidR="00000000" w:rsidDel="00000000" w:rsidP="00000000" w:rsidRDefault="00000000" w:rsidRPr="00000000" w14:paraId="0000011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Modificar la clasificación y otorgar total o parcialmente el acceso a la información; y c) Revocar la clasificación y conceder el acceso a la información.</w:t>
      </w:r>
    </w:p>
    <w:p w:rsidR="00000000" w:rsidDel="00000000" w:rsidP="00000000" w:rsidRDefault="00000000" w:rsidRPr="00000000" w14:paraId="0000011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Comité de Transparencia podrá tener acceso a la información que esté en poder del Área correspondiente, de la cual se haya solicitado su clasificación; y</w:t>
      </w:r>
    </w:p>
    <w:p w:rsidR="00000000" w:rsidDel="00000000" w:rsidP="00000000" w:rsidRDefault="00000000" w:rsidRPr="00000000" w14:paraId="0000011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resolución del Comité de Transparencia será notificada al interesado en el plazo de respuesta a la solicitud que establece esta Ley.” (Sic)</w:t>
      </w:r>
    </w:p>
    <w:p w:rsidR="00000000" w:rsidDel="00000000" w:rsidP="00000000" w:rsidRDefault="00000000" w:rsidRPr="00000000" w14:paraId="0000011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A">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encuentren contenidos en los documentos a entregar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1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sz w:val="22"/>
          <w:szCs w:val="22"/>
          <w:rtl w:val="0"/>
        </w:rPr>
        <w:t xml:space="preserve">Registro Federal de Contribuyentes</w:t>
      </w:r>
      <w:r w:rsidDel="00000000" w:rsidR="00000000" w:rsidRPr="00000000">
        <w:rPr>
          <w:rFonts w:ascii="Palatino Linotype" w:cs="Palatino Linotype" w:eastAsia="Palatino Linotype" w:hAnsi="Palatino Linotype"/>
          <w:sz w:val="22"/>
          <w:szCs w:val="22"/>
          <w:rtl w:val="0"/>
        </w:rPr>
        <w:t xml:space="preserve"> (RFC), la </w:t>
      </w:r>
      <w:r w:rsidDel="00000000" w:rsidR="00000000" w:rsidRPr="00000000">
        <w:rPr>
          <w:rFonts w:ascii="Palatino Linotype" w:cs="Palatino Linotype" w:eastAsia="Palatino Linotype" w:hAnsi="Palatino Linotype"/>
          <w:b w:val="1"/>
          <w:sz w:val="22"/>
          <w:szCs w:val="22"/>
          <w:rtl w:val="0"/>
        </w:rPr>
        <w:t xml:space="preserve">Clave Única de Registro de Población</w:t>
      </w:r>
      <w:r w:rsidDel="00000000" w:rsidR="00000000" w:rsidRPr="00000000">
        <w:rPr>
          <w:rFonts w:ascii="Palatino Linotype" w:cs="Palatino Linotype" w:eastAsia="Palatino Linotype" w:hAnsi="Palatino Linotype"/>
          <w:sz w:val="22"/>
          <w:szCs w:val="22"/>
          <w:rtl w:val="0"/>
        </w:rPr>
        <w:t xml:space="preserve"> (CURP) y la </w:t>
      </w:r>
      <w:r w:rsidDel="00000000" w:rsidR="00000000" w:rsidRPr="00000000">
        <w:rPr>
          <w:rFonts w:ascii="Palatino Linotype" w:cs="Palatino Linotype" w:eastAsia="Palatino Linotype" w:hAnsi="Palatino Linotype"/>
          <w:b w:val="1"/>
          <w:sz w:val="22"/>
          <w:szCs w:val="22"/>
          <w:rtl w:val="0"/>
        </w:rPr>
        <w:t xml:space="preserve">Clave de cualquier tipo de seguridad social</w:t>
      </w:r>
      <w:r w:rsidDel="00000000" w:rsidR="00000000" w:rsidRPr="00000000">
        <w:rPr>
          <w:rFonts w:ascii="Palatino Linotype" w:cs="Palatino Linotype" w:eastAsia="Palatino Linotype" w:hAnsi="Palatino Linotype"/>
          <w:sz w:val="22"/>
          <w:szCs w:val="22"/>
          <w:rtl w:val="0"/>
        </w:rPr>
        <w:t xml:space="preserve"> (ISSEMYM, u otros), así como, los </w:t>
      </w:r>
      <w:r w:rsidDel="00000000" w:rsidR="00000000" w:rsidRPr="00000000">
        <w:rPr>
          <w:rFonts w:ascii="Palatino Linotype" w:cs="Palatino Linotype" w:eastAsia="Palatino Linotype" w:hAnsi="Palatino Linotype"/>
          <w:b w:val="1"/>
          <w:sz w:val="22"/>
          <w:szCs w:val="22"/>
          <w:rtl w:val="0"/>
        </w:rPr>
        <w:t xml:space="preserve">préstamos o descuentos</w:t>
      </w:r>
      <w:r w:rsidDel="00000000" w:rsidR="00000000" w:rsidRPr="00000000">
        <w:rPr>
          <w:rFonts w:ascii="Palatino Linotype" w:cs="Palatino Linotype" w:eastAsia="Palatino Linotype" w:hAnsi="Palatino Linotype"/>
          <w:sz w:val="22"/>
          <w:szCs w:val="22"/>
          <w:rtl w:val="0"/>
        </w:rPr>
        <w:t xml:space="preserve"> que se le hagan a la persona y que no tengan relación con los impuestos o la cuota por seguridad social, así el</w:t>
      </w:r>
      <w:r w:rsidDel="00000000" w:rsidR="00000000" w:rsidRPr="00000000">
        <w:rPr>
          <w:rFonts w:ascii="Palatino Linotype" w:cs="Palatino Linotype" w:eastAsia="Palatino Linotype" w:hAnsi="Palatino Linotype"/>
          <w:b w:val="1"/>
          <w:sz w:val="22"/>
          <w:szCs w:val="22"/>
          <w:rtl w:val="0"/>
        </w:rPr>
        <w:t xml:space="preserve"> número de empleado, </w:t>
      </w:r>
      <w:r w:rsidDel="00000000" w:rsidR="00000000" w:rsidRPr="00000000">
        <w:rPr>
          <w:rFonts w:ascii="Palatino Linotype" w:cs="Palatino Linotype" w:eastAsia="Palatino Linotype" w:hAnsi="Palatino Linotype"/>
          <w:sz w:val="22"/>
          <w:szCs w:val="22"/>
          <w:rtl w:val="0"/>
        </w:rPr>
        <w:t xml:space="preserve">así como de ser el caso, el </w:t>
      </w:r>
      <w:r w:rsidDel="00000000" w:rsidR="00000000" w:rsidRPr="00000000">
        <w:rPr>
          <w:rFonts w:ascii="Palatino Linotype" w:cs="Palatino Linotype" w:eastAsia="Palatino Linotype" w:hAnsi="Palatino Linotype"/>
          <w:b w:val="1"/>
          <w:sz w:val="22"/>
          <w:szCs w:val="22"/>
          <w:rtl w:val="0"/>
        </w:rPr>
        <w:t xml:space="preserve">folio fiscal</w:t>
      </w:r>
      <w:r w:rsidDel="00000000" w:rsidR="00000000" w:rsidRPr="00000000">
        <w:rPr>
          <w:rFonts w:ascii="Palatino Linotype" w:cs="Palatino Linotype" w:eastAsia="Palatino Linotype" w:hAnsi="Palatino Linotype"/>
          <w:sz w:val="22"/>
          <w:szCs w:val="22"/>
          <w:rtl w:val="0"/>
        </w:rPr>
        <w:t xml:space="preserve">, la  </w:t>
      </w:r>
      <w:r w:rsidDel="00000000" w:rsidR="00000000" w:rsidRPr="00000000">
        <w:rPr>
          <w:rFonts w:ascii="Palatino Linotype" w:cs="Palatino Linotype" w:eastAsia="Palatino Linotype" w:hAnsi="Palatino Linotype"/>
          <w:b w:val="1"/>
          <w:sz w:val="22"/>
          <w:szCs w:val="22"/>
          <w:rtl w:val="0"/>
        </w:rPr>
        <w:t xml:space="preserve">cadena original, </w:t>
      </w:r>
      <w:r w:rsidDel="00000000" w:rsidR="00000000" w:rsidRPr="00000000">
        <w:rPr>
          <w:rFonts w:ascii="Palatino Linotype" w:cs="Palatino Linotype" w:eastAsia="Palatino Linotype" w:hAnsi="Palatino Linotype"/>
          <w:sz w:val="22"/>
          <w:szCs w:val="22"/>
          <w:rtl w:val="0"/>
        </w:rPr>
        <w:t xml:space="preserve">los</w:t>
      </w:r>
      <w:r w:rsidDel="00000000" w:rsidR="00000000" w:rsidRPr="00000000">
        <w:rPr>
          <w:rFonts w:ascii="Palatino Linotype" w:cs="Palatino Linotype" w:eastAsia="Palatino Linotype" w:hAnsi="Palatino Linotype"/>
          <w:b w:val="1"/>
          <w:sz w:val="22"/>
          <w:szCs w:val="22"/>
          <w:rtl w:val="0"/>
        </w:rPr>
        <w:t xml:space="preserve"> códigos bidimensionales o códigos QR,</w:t>
      </w:r>
      <w:r w:rsidDel="00000000" w:rsidR="00000000" w:rsidRPr="00000000">
        <w:rPr>
          <w:rFonts w:ascii="Palatino Linotype" w:cs="Palatino Linotype" w:eastAsia="Palatino Linotype" w:hAnsi="Palatino Linotype"/>
          <w:sz w:val="22"/>
          <w:szCs w:val="22"/>
          <w:rtl w:val="0"/>
        </w:rPr>
        <w:t xml:space="preserve"> y cualquier información de carácter fiscal, bajo las siguientes consideraciones. </w:t>
      </w:r>
    </w:p>
    <w:p w:rsidR="00000000" w:rsidDel="00000000" w:rsidP="00000000" w:rsidRDefault="00000000" w:rsidRPr="00000000" w14:paraId="0000011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cuanto al RFC, este constituye un dato personal, ya que para su obtención es necesario acreditar ante la autoridad fiscal previamente la identidad de la persona, su fecha de nacimiento, entre otros aspectos.</w:t>
      </w:r>
    </w:p>
    <w:p w:rsidR="00000000" w:rsidDel="00000000" w:rsidP="00000000" w:rsidRDefault="00000000" w:rsidRPr="00000000" w14:paraId="0000011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1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compartido por el Instituto Nacional de Transparencia, Acceso a la Información y Protección de Datos (INAI) a través del Criterio 19/17, el cual es del tenor literal siguiente:</w:t>
      </w:r>
    </w:p>
    <w:p w:rsidR="00000000" w:rsidDel="00000000" w:rsidP="00000000" w:rsidRDefault="00000000" w:rsidRPr="00000000" w14:paraId="0000011F">
      <w:pPr>
        <w:spacing w:line="276"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 </w:t>
      </w:r>
      <w:r w:rsidDel="00000000" w:rsidR="00000000" w:rsidRPr="00000000">
        <w:rPr>
          <w:rFonts w:ascii="Palatino Linotype" w:cs="Palatino Linotype" w:eastAsia="Palatino Linotype" w:hAnsi="Palatino Linotype"/>
          <w:i w:val="1"/>
          <w:sz w:val="22"/>
          <w:szCs w:val="22"/>
          <w:rtl w:val="0"/>
        </w:rPr>
        <w:t xml:space="preserve">El RFC es una clave de carácter fiscal, única e irrepetible, que permite identificar al titular, su edad y fecha de nacimiento, por lo que es un dato personal de carácter confidencial.” (Sic)</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00000" w:rsidDel="00000000" w:rsidP="00000000" w:rsidRDefault="00000000" w:rsidRPr="00000000" w14:paraId="0000012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es compartido por el Instituto Nacional de Transparencia, Acceso a la Información y Protección de Datos (INAI)</w:t>
      </w:r>
      <w:r w:rsidDel="00000000" w:rsidR="00000000" w:rsidRPr="00000000">
        <w:rPr>
          <w:rFonts w:ascii="Palatino Linotype" w:cs="Palatino Linotype" w:eastAsia="Palatino Linotype" w:hAnsi="Palatino Linotype"/>
          <w:b w:val="1"/>
          <w:sz w:val="22"/>
          <w:szCs w:val="22"/>
          <w:rtl w:val="0"/>
        </w:rPr>
        <w:t xml:space="preserve">, conforme al </w:t>
      </w:r>
      <w:r w:rsidDel="00000000" w:rsidR="00000000" w:rsidRPr="00000000">
        <w:rPr>
          <w:rFonts w:ascii="Palatino Linotype" w:cs="Palatino Linotype" w:eastAsia="Palatino Linotype" w:hAnsi="Palatino Linotype"/>
          <w:sz w:val="22"/>
          <w:szCs w:val="22"/>
          <w:rtl w:val="0"/>
        </w:rPr>
        <w:t xml:space="preserve">criterio número 18/17, el cual refiere: </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Clave Única de Registro de Población (CURP). </w:t>
      </w:r>
      <w:r w:rsidDel="00000000" w:rsidR="00000000" w:rsidRPr="00000000">
        <w:rPr>
          <w:rFonts w:ascii="Palatino Linotype" w:cs="Palatino Linotype" w:eastAsia="Palatino Linotype" w:hAnsi="Palatino Linotype"/>
          <w:i w:val="1"/>
          <w:sz w:val="22"/>
          <w:szCs w:val="22"/>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r w:rsidDel="00000000" w:rsidR="00000000" w:rsidRPr="00000000">
        <w:rPr>
          <w:rtl w:val="0"/>
        </w:rPr>
      </w:r>
    </w:p>
    <w:p w:rsidR="00000000" w:rsidDel="00000000" w:rsidP="00000000" w:rsidRDefault="00000000" w:rsidRPr="00000000" w14:paraId="0000012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00000" w:rsidDel="00000000" w:rsidP="00000000" w:rsidRDefault="00000000" w:rsidRPr="00000000" w14:paraId="00000125">
      <w:pPr>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número de ficha de identificación única de los trabajadores es información de carácter confidencial.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dicha información es susceptible de clasificarse con el carácter de confidencial</w:t>
      </w:r>
      <w:r w:rsidDel="00000000" w:rsidR="00000000" w:rsidRPr="00000000">
        <w:rPr>
          <w:rFonts w:ascii="Palatino Linotype" w:cs="Palatino Linotype" w:eastAsia="Palatino Linotype" w:hAnsi="Palatino Linotype"/>
          <w:i w:val="1"/>
          <w:sz w:val="22"/>
          <w:szCs w:val="22"/>
          <w:rtl w:val="0"/>
        </w:rPr>
        <w:t xml:space="preserve">, en términos de lo establecido en el artículo 18, fracción II de la Ley Federal de Transparencia y Acceso a la Información Pública Gubernamental, en virtud de que a través de la misma es posible conocer información personal de su titular.” </w:t>
      </w:r>
    </w:p>
    <w:p w:rsidR="00000000" w:rsidDel="00000000" w:rsidP="00000000" w:rsidRDefault="00000000" w:rsidRPr="00000000" w14:paraId="0000012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los </w:t>
      </w:r>
      <w:r w:rsidDel="00000000" w:rsidR="00000000" w:rsidRPr="00000000">
        <w:rPr>
          <w:rFonts w:ascii="Palatino Linotype" w:cs="Palatino Linotype" w:eastAsia="Palatino Linotype" w:hAnsi="Palatino Linotype"/>
          <w:b w:val="1"/>
          <w:sz w:val="22"/>
          <w:szCs w:val="22"/>
          <w:rtl w:val="0"/>
        </w:rPr>
        <w:t xml:space="preserve">préstamos o descuentos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carácter personal</w:t>
      </w:r>
      <w:r w:rsidDel="00000000" w:rsidR="00000000" w:rsidRPr="00000000">
        <w:rPr>
          <w:rFonts w:ascii="Palatino Linotype" w:cs="Palatino Linotype" w:eastAsia="Palatino Linotype" w:hAnsi="Palatino Linotype"/>
          <w:sz w:val="22"/>
          <w:szCs w:val="22"/>
          <w:rtl w:val="0"/>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las deducciones, 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128">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12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Gravámenes fiscales relacionados con el sueldo;</w:t>
      </w:r>
    </w:p>
    <w:p w:rsidR="00000000" w:rsidDel="00000000" w:rsidP="00000000" w:rsidRDefault="00000000" w:rsidRPr="00000000" w14:paraId="0000012A">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Deudas contraídas con las instituciones públicas o dependencias por concepto de anticipos de sueldo, pagos hechos con exceso, errores o pérdidas debidamente comprobados;</w:t>
      </w:r>
    </w:p>
    <w:p w:rsidR="00000000" w:rsidDel="00000000" w:rsidP="00000000" w:rsidRDefault="00000000" w:rsidRPr="00000000" w14:paraId="0000012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Cuotas sindicales;</w:t>
      </w:r>
    </w:p>
    <w:p w:rsidR="00000000" w:rsidDel="00000000" w:rsidP="00000000" w:rsidRDefault="00000000" w:rsidRPr="00000000" w14:paraId="0000012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Cuotas de aportación a fondos para la constitución de cooperativas y de cajas de ahorro, siempre que el servidor público hubiese manifestado previamente, de manera expresa, su conformidad;</w:t>
      </w:r>
    </w:p>
    <w:p w:rsidR="00000000" w:rsidDel="00000000" w:rsidP="00000000" w:rsidRDefault="00000000" w:rsidRPr="00000000" w14:paraId="0000012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Descuentos ordenados por el Instituto de Seguridad Social del Estado de México y Municipios, con motivo de cuotas y obligaciones contraídas con éste por los servidores públicos;</w:t>
      </w:r>
    </w:p>
    <w:p w:rsidR="00000000" w:rsidDel="00000000" w:rsidP="00000000" w:rsidRDefault="00000000" w:rsidRPr="00000000" w14:paraId="0000012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Obligaciones a cargo del servidor público con las que haya consentido, derivadas de la adquisición o del uso de habitaciones consideradas como de interés social;</w:t>
      </w:r>
    </w:p>
    <w:p w:rsidR="00000000" w:rsidDel="00000000" w:rsidP="00000000" w:rsidRDefault="00000000" w:rsidRPr="00000000" w14:paraId="0000012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Faltas de puntualidad o de asistencia injustificadas;</w:t>
      </w:r>
    </w:p>
    <w:p w:rsidR="00000000" w:rsidDel="00000000" w:rsidP="00000000" w:rsidRDefault="00000000" w:rsidRPr="00000000" w14:paraId="0000013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sz w:val="22"/>
          <w:szCs w:val="22"/>
          <w:rtl w:val="0"/>
        </w:rPr>
        <w:t xml:space="preserve"> o</w:t>
      </w:r>
    </w:p>
    <w:p w:rsidR="00000000" w:rsidDel="00000000" w:rsidP="00000000" w:rsidRDefault="00000000" w:rsidRPr="00000000" w14:paraId="00000131">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Cualquier otro convenido con instituciones de servicios y aceptado por el servidor público.</w:t>
      </w:r>
    </w:p>
    <w:p w:rsidR="00000000" w:rsidDel="00000000" w:rsidP="00000000" w:rsidRDefault="00000000" w:rsidRPr="00000000" w14:paraId="00000132">
      <w:pPr>
        <w:spacing w:after="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los préstamos o descuentos de carácter personal, en virtud de no tener relación con la prestación del servicio y al no involucrar instituciones públicas, se consideran datos confidenciales.</w:t>
      </w:r>
    </w:p>
    <w:p w:rsidR="00000000" w:rsidDel="00000000" w:rsidP="00000000" w:rsidRDefault="00000000" w:rsidRPr="00000000" w14:paraId="0000013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De la información fiscal</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3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w:t>
      </w:r>
      <w:r w:rsidDel="00000000" w:rsidR="00000000" w:rsidRPr="00000000">
        <w:rPr>
          <w:rFonts w:ascii="Palatino Linotype" w:cs="Palatino Linotype" w:eastAsia="Palatino Linotype" w:hAnsi="Palatino Linotype"/>
          <w:b w:val="1"/>
          <w:sz w:val="22"/>
          <w:szCs w:val="22"/>
          <w:rtl w:val="0"/>
        </w:rPr>
        <w:t xml:space="preserve">Cadena Original</w:t>
      </w:r>
      <w:r w:rsidDel="00000000" w:rsidR="00000000" w:rsidRPr="00000000">
        <w:rPr>
          <w:rFonts w:ascii="Palatino Linotype" w:cs="Palatino Linotype" w:eastAsia="Palatino Linotype" w:hAnsi="Palatino Linotype"/>
          <w:sz w:val="22"/>
          <w:szCs w:val="22"/>
          <w:rtl w:val="0"/>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analizar dicha circunstancia con la finalidad de proteger, de ser el caso, la información a través de su clasificación por actualizarse el supuesto de confidencialidad.</w:t>
      </w:r>
    </w:p>
    <w:p w:rsidR="00000000" w:rsidDel="00000000" w:rsidP="00000000" w:rsidRDefault="00000000" w:rsidRPr="00000000" w14:paraId="0000013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w:t>
      </w:r>
      <w:r w:rsidDel="00000000" w:rsidR="00000000" w:rsidRPr="00000000">
        <w:rPr>
          <w:rFonts w:ascii="Palatino Linotype" w:cs="Palatino Linotype" w:eastAsia="Palatino Linotype" w:hAnsi="Palatino Linotype"/>
          <w:b w:val="1"/>
          <w:sz w:val="22"/>
          <w:szCs w:val="22"/>
          <w:rtl w:val="0"/>
        </w:rPr>
        <w:t xml:space="preserve">códigos bidimensionales</w:t>
      </w:r>
      <w:r w:rsidDel="00000000" w:rsidR="00000000" w:rsidRPr="00000000">
        <w:rPr>
          <w:rFonts w:ascii="Palatino Linotype" w:cs="Palatino Linotype" w:eastAsia="Palatino Linotype" w:hAnsi="Palatino Linotype"/>
          <w:sz w:val="22"/>
          <w:szCs w:val="22"/>
          <w:rtl w:val="0"/>
        </w:rPr>
        <w:t xml:space="preserve"> o </w:t>
      </w:r>
      <w:r w:rsidDel="00000000" w:rsidR="00000000" w:rsidRPr="00000000">
        <w:rPr>
          <w:rFonts w:ascii="Palatino Linotype" w:cs="Palatino Linotype" w:eastAsia="Palatino Linotype" w:hAnsi="Palatino Linotype"/>
          <w:b w:val="1"/>
          <w:sz w:val="22"/>
          <w:szCs w:val="22"/>
          <w:rtl w:val="0"/>
        </w:rPr>
        <w:t xml:space="preserve">códigos QR, </w:t>
      </w:r>
      <w:r w:rsidDel="00000000" w:rsidR="00000000" w:rsidRPr="00000000">
        <w:rPr>
          <w:rFonts w:ascii="Palatino Linotype" w:cs="Palatino Linotype" w:eastAsia="Palatino Linotype" w:hAnsi="Palatino Linotype"/>
          <w:sz w:val="22"/>
          <w:szCs w:val="22"/>
          <w:rtl w:val="0"/>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analizar dicha circunstancia con la finalidad de determinar si se actualiza algún supuesto de confidencialidad.</w:t>
      </w:r>
    </w:p>
    <w:p w:rsidR="00000000" w:rsidDel="00000000" w:rsidP="00000000" w:rsidRDefault="00000000" w:rsidRPr="00000000" w14:paraId="0000013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si derivado del análisis efectuado por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000000" w:rsidDel="00000000" w:rsidP="00000000" w:rsidRDefault="00000000" w:rsidRPr="00000000" w14:paraId="00000139">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3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13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3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14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propuesta…”(Sic)</w:t>
      </w:r>
    </w:p>
    <w:p w:rsidR="00000000" w:rsidDel="00000000" w:rsidP="00000000" w:rsidRDefault="00000000" w:rsidRPr="00000000" w14:paraId="00000141">
      <w:pPr>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4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4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 </w:t>
      </w:r>
    </w:p>
    <w:p w:rsidR="00000000" w:rsidDel="00000000" w:rsidP="00000000" w:rsidRDefault="00000000" w:rsidRPr="00000000" w14:paraId="0000014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8">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49">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destaca que la versión pública que elabore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sz w:val="22"/>
          <w:szCs w:val="22"/>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14B">
      <w:pPr>
        <w:ind w:left="709" w:right="70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4C">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4D">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14E">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14F">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50">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51">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52">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53">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54">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15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w:t>
      </w:r>
    </w:p>
    <w:p w:rsidR="00000000" w:rsidDel="00000000" w:rsidP="00000000" w:rsidRDefault="00000000" w:rsidRPr="00000000" w14:paraId="00000156">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157">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58">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59">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5A">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5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15C">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5D">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15E">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5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60">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1">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62">
      <w:pPr>
        <w:spacing w:line="276" w:lineRule="auto"/>
        <w:ind w:left="851" w:right="616"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r w:rsidDel="00000000" w:rsidR="00000000" w:rsidRPr="00000000">
        <w:rPr>
          <w:rtl w:val="0"/>
        </w:rPr>
      </w:r>
    </w:p>
    <w:p w:rsidR="00000000" w:rsidDel="00000000" w:rsidP="00000000" w:rsidRDefault="00000000" w:rsidRPr="00000000" w14:paraId="00000163">
      <w:pPr>
        <w:spacing w:after="160"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w:t>
      </w:r>
    </w:p>
    <w:p w:rsidR="00000000" w:rsidDel="00000000" w:rsidP="00000000" w:rsidRDefault="00000000" w:rsidRPr="00000000" w14:paraId="0000016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16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w:t>
      </w:r>
    </w:p>
    <w:p w:rsidR="00000000" w:rsidDel="00000000" w:rsidP="00000000" w:rsidRDefault="00000000" w:rsidRPr="00000000" w14:paraId="0000016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16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w:t>
      </w:r>
    </w:p>
    <w:p w:rsidR="00000000" w:rsidDel="00000000" w:rsidP="00000000" w:rsidRDefault="00000000" w:rsidRPr="00000000" w14:paraId="0000016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w:t>
      </w:r>
    </w:p>
    <w:p w:rsidR="00000000" w:rsidDel="00000000" w:rsidP="00000000" w:rsidRDefault="00000000" w:rsidRPr="00000000" w14:paraId="0000016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w:t>
      </w:r>
    </w:p>
    <w:p w:rsidR="00000000" w:rsidDel="00000000" w:rsidP="00000000" w:rsidRDefault="00000000" w:rsidRPr="00000000" w14:paraId="0000016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16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16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16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w:t>
      </w:r>
    </w:p>
    <w:p w:rsidR="00000000" w:rsidDel="00000000" w:rsidP="00000000" w:rsidRDefault="00000000" w:rsidRPr="00000000" w14:paraId="0000016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w:t>
      </w:r>
    </w:p>
    <w:p w:rsidR="00000000" w:rsidDel="00000000" w:rsidP="00000000" w:rsidRDefault="00000000" w:rsidRPr="00000000" w14:paraId="0000016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w:t>
      </w:r>
    </w:p>
    <w:p w:rsidR="00000000" w:rsidDel="00000000" w:rsidP="00000000" w:rsidRDefault="00000000" w:rsidRPr="00000000" w14:paraId="0000017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7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7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7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17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7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7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7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7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17A">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Del="00000000" w:rsidR="00000000" w:rsidRPr="00000000">
        <w:rPr>
          <w:rtl w:val="0"/>
        </w:rPr>
      </w:r>
    </w:p>
    <w:p w:rsidR="00000000" w:rsidDel="00000000" w:rsidP="00000000" w:rsidRDefault="00000000" w:rsidRPr="00000000" w14:paraId="0000017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7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E">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7F">
      <w:pPr>
        <w:spacing w:line="360" w:lineRule="auto"/>
        <w:jc w:val="both"/>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18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182">
      <w:pPr>
        <w:spacing w:line="360" w:lineRule="auto"/>
        <w:jc w:val="both"/>
        <w:rPr>
          <w:rFonts w:ascii="Palatino Linotype" w:cs="Palatino Linotype" w:eastAsia="Palatino Linotype" w:hAnsi="Palatino Linotype"/>
          <w:b w:val="1"/>
          <w:sz w:val="22"/>
          <w:szCs w:val="22"/>
        </w:rPr>
      </w:pPr>
      <w:bookmarkStart w:colFirst="0" w:colLast="0" w:name="_heading=h.1t3h5sf" w:id="13"/>
      <w:bookmarkEnd w:id="13"/>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w:t>
      </w:r>
      <w:r w:rsidDel="00000000" w:rsidR="00000000" w:rsidRPr="00000000">
        <w:rPr>
          <w:rFonts w:ascii="Palatino Linotype" w:cs="Palatino Linotype" w:eastAsia="Palatino Linotype" w:hAnsi="Palatino Linotype"/>
          <w:b w:val="1"/>
          <w:sz w:val="22"/>
          <w:szCs w:val="22"/>
          <w:rtl w:val="0"/>
        </w:rPr>
        <w:t xml:space="preserve"> parcialmente 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02724/INFOEM/IP/RR/2025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w:t>
      </w:r>
      <w:r w:rsidDel="00000000" w:rsidR="00000000" w:rsidRPr="00000000">
        <w:rPr>
          <w:rFonts w:ascii="Palatino Linotype" w:cs="Palatino Linotype" w:eastAsia="Palatino Linotype" w:hAnsi="Palatino Linotype"/>
          <w:sz w:val="22"/>
          <w:szCs w:val="22"/>
          <w:rtl w:val="0"/>
        </w:rPr>
        <w:t xml:space="preserve"> la respuesta emitida por el </w:t>
      </w:r>
      <w:r w:rsidDel="00000000" w:rsidR="00000000" w:rsidRPr="00000000">
        <w:rPr>
          <w:rFonts w:ascii="Palatino Linotype" w:cs="Palatino Linotype" w:eastAsia="Palatino Linotype" w:hAnsi="Palatino Linotype"/>
          <w:b w:val="1"/>
          <w:sz w:val="22"/>
          <w:szCs w:val="22"/>
          <w:rtl w:val="0"/>
        </w:rPr>
        <w:t xml:space="preserve">Sujeto Obligado. </w:t>
      </w:r>
    </w:p>
    <w:p w:rsidR="00000000" w:rsidDel="00000000" w:rsidP="00000000" w:rsidRDefault="00000000" w:rsidRPr="00000000" w14:paraId="0000018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términos de los </w:t>
      </w:r>
      <w:r w:rsidDel="00000000" w:rsidR="00000000" w:rsidRPr="00000000">
        <w:rPr>
          <w:rFonts w:ascii="Palatino Linotype" w:cs="Palatino Linotype" w:eastAsia="Palatino Linotype" w:hAnsi="Palatino Linotype"/>
          <w:b w:val="1"/>
          <w:sz w:val="22"/>
          <w:szCs w:val="22"/>
          <w:rtl w:val="0"/>
        </w:rPr>
        <w:t xml:space="preserve">Considerandos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y </w:t>
      </w:r>
      <w:r w:rsidDel="00000000" w:rsidR="00000000" w:rsidRPr="00000000">
        <w:rPr>
          <w:rFonts w:ascii="Palatino Linotype" w:cs="Palatino Linotype" w:eastAsia="Palatino Linotype" w:hAnsi="Palatino Linotype"/>
          <w:b w:val="1"/>
          <w:sz w:val="22"/>
          <w:szCs w:val="22"/>
          <w:rtl w:val="0"/>
        </w:rPr>
        <w:t xml:space="preserve">Quinto </w:t>
      </w:r>
      <w:r w:rsidDel="00000000" w:rsidR="00000000" w:rsidRPr="00000000">
        <w:rPr>
          <w:rFonts w:ascii="Palatino Linotype" w:cs="Palatino Linotype" w:eastAsia="Palatino Linotype" w:hAnsi="Palatino Linotype"/>
          <w:sz w:val="22"/>
          <w:szCs w:val="22"/>
          <w:rtl w:val="0"/>
        </w:rPr>
        <w:t xml:space="preserve">de esta resolución, haga entrega, vía Sistema de Acceso a la Información Mexiquense y en copias certificadas (con costo), en versión pública de ser procedente, de lo siguiente: </w:t>
      </w:r>
    </w:p>
    <w:p w:rsidR="00000000" w:rsidDel="00000000" w:rsidP="00000000" w:rsidRDefault="00000000" w:rsidRPr="00000000" w14:paraId="0000018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6">
      <w:pPr>
        <w:numPr>
          <w:ilvl w:val="0"/>
          <w:numId w:val="1"/>
        </w:numPr>
        <w:pBdr>
          <w:top w:space="0" w:sz="0" w:val="nil"/>
          <w:left w:space="0" w:sz="0" w:val="nil"/>
          <w:bottom w:space="0" w:sz="0" w:val="nil"/>
          <w:right w:space="0" w:sz="0" w:val="nil"/>
          <w:between w:space="0" w:sz="0" w:val="nil"/>
        </w:pBdr>
        <w:spacing w:line="360" w:lineRule="auto"/>
        <w:ind w:left="72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Nómina del Sistema Municipal para el Desarrollo Integral de la Familia de Cocotitlán, de la primera y segunda quincena de enero de dos mil veinticinco. </w:t>
      </w:r>
    </w:p>
    <w:p w:rsidR="00000000" w:rsidDel="00000000" w:rsidP="00000000" w:rsidRDefault="00000000" w:rsidRPr="00000000" w14:paraId="00000187">
      <w:pPr>
        <w:numPr>
          <w:ilvl w:val="0"/>
          <w:numId w:val="1"/>
        </w:numPr>
        <w:pBdr>
          <w:top w:space="0" w:sz="0" w:val="nil"/>
          <w:left w:space="0" w:sz="0" w:val="nil"/>
          <w:bottom w:space="0" w:sz="0" w:val="nil"/>
          <w:right w:space="0" w:sz="0" w:val="nil"/>
          <w:between w:space="0" w:sz="0" w:val="nil"/>
        </w:pBdr>
        <w:spacing w:line="360" w:lineRule="auto"/>
        <w:ind w:left="72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Organigrama del Sistema Municipal para el Desarrollo Integral de la Familia de Cocotitlán; así como el Acta de la Junta de Gobierno en la que se llevó a cabo su aprobación.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y se ponga a disposición de la parte Recurrente, en términos de los artículos 49, fracción VIII, de la Ley de Transparencia y Acceso a la Información Pública del Estado de México y Municipios.</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615"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993"/>
        </w:tabs>
        <w:spacing w:after="0" w:before="0" w:line="240" w:lineRule="auto"/>
        <w:ind w:left="720" w:right="56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Para la entrega de la información mediante copia certificada,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previamente deberá hacer de conocimiento de la parte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vía SAIMEX, el costo por la reproducción en su caso, el lugar, día y horarios en los que podrá acceder a la información, así como el nombre del o los servidores públicos que le atenderán.</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993"/>
        </w:tabs>
        <w:spacing w:after="0" w:before="0" w:line="240" w:lineRule="auto"/>
        <w:ind w:left="720" w:right="56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8D">
      <w:pP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8E">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 </w:t>
      </w:r>
      <w:r w:rsidDel="00000000" w:rsidR="00000000" w:rsidRPr="00000000">
        <w:rPr>
          <w:rtl w:val="0"/>
        </w:rPr>
      </w:r>
    </w:p>
    <w:p w:rsidR="00000000" w:rsidDel="00000000" w:rsidP="00000000" w:rsidRDefault="00000000" w:rsidRPr="00000000" w14:paraId="0000018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w:t>
      </w:r>
      <w:r w:rsidDel="00000000" w:rsidR="00000000" w:rsidRPr="00000000">
        <w:rPr>
          <w:rFonts w:ascii="Palatino Linotype" w:cs="Palatino Linotype" w:eastAsia="Palatino Linotype" w:hAnsi="Palatino Linotype"/>
          <w:sz w:val="22"/>
          <w:szCs w:val="22"/>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9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SHARON CRISTINA MORALES MARTÍNEZ; Y GUADALUPE RAMÍREZ PEÑA, EN LA DÉCIMA OCTAVA SESIÓN ORDINARIA CELEBRADA EL VEINTIUNO DE MAYO DE DOS MIL VEINTICINCO, ANTE EL SECRETARIO TÉCNICO DEL PLENO ALEXIS TAPIA RAMÍREZ.</w:t>
      </w:r>
    </w:p>
    <w:p w:rsidR="00000000" w:rsidDel="00000000" w:rsidP="00000000" w:rsidRDefault="00000000" w:rsidRPr="00000000" w14:paraId="0000019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C">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8" w:type="default"/>
      <w:headerReference r:id="rId19" w:type="first"/>
      <w:footerReference r:id="rId20" w:type="default"/>
      <w:footerReference r:id="rId21"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0">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2">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9D">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hyperlink r:id="rId1">
        <w:r w:rsidDel="00000000" w:rsidR="00000000" w:rsidRPr="00000000">
          <w:rPr>
            <w:rFonts w:ascii="Palatino Linotype" w:cs="Palatino Linotype" w:eastAsia="Palatino Linotype" w:hAnsi="Palatino Linotype"/>
            <w:color w:val="0000ff"/>
            <w:sz w:val="16"/>
            <w:szCs w:val="16"/>
            <w:u w:val="single"/>
            <w:rtl w:val="0"/>
          </w:rPr>
          <w:t xml:space="preserve">https://legislacion.edomex.gob.mx/sites/legislacion.edomex.gob.mx/files/files/pdf/gct/2024/marzo/mar201/mar201a.pdf</w:t>
        </w:r>
      </w:hyperlink>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E">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-1080097</wp:posOffset>
          </wp:positionH>
          <wp:positionV relativeFrom="paragraph">
            <wp:posOffset>-488269</wp:posOffset>
          </wp:positionV>
          <wp:extent cx="7809865" cy="10165715"/>
          <wp:effectExtent b="0" l="0" r="0" t="0"/>
          <wp:wrapNone/>
          <wp:docPr id="2083296433"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9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A0">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02724/INFOEM/IP/RR/2025</w:t>
          </w:r>
        </w:p>
      </w:tc>
    </w:tr>
    <w:tr>
      <w:trPr>
        <w:cantSplit w:val="0"/>
        <w:trHeight w:val="228" w:hRule="atLeast"/>
        <w:tblHeader w:val="0"/>
      </w:trPr>
      <w:tc>
        <w:tcPr>
          <w:shd w:fill="auto" w:val="clear"/>
          <w:vAlign w:val="center"/>
        </w:tcPr>
        <w:p w:rsidR="00000000" w:rsidDel="00000000" w:rsidP="00000000" w:rsidRDefault="00000000" w:rsidRPr="00000000" w14:paraId="000001A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A2">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Cocotitlán</w:t>
          </w:r>
        </w:p>
      </w:tc>
    </w:tr>
    <w:tr>
      <w:trPr>
        <w:cantSplit w:val="0"/>
        <w:tblHeader w:val="0"/>
      </w:trPr>
      <w:tc>
        <w:tcPr>
          <w:shd w:fill="auto" w:val="clear"/>
          <w:vAlign w:val="center"/>
        </w:tcPr>
        <w:p w:rsidR="00000000" w:rsidDel="00000000" w:rsidP="00000000" w:rsidRDefault="00000000" w:rsidRPr="00000000" w14:paraId="000001A3">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A4">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A5">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-1080122</wp:posOffset>
          </wp:positionH>
          <wp:positionV relativeFrom="paragraph">
            <wp:posOffset>-369898</wp:posOffset>
          </wp:positionV>
          <wp:extent cx="7809865" cy="10165715"/>
          <wp:effectExtent b="0" l="0" r="0" t="0"/>
          <wp:wrapNone/>
          <wp:docPr id="2083296434"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A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A8">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02724/INFOEM/IP/RR/2025</w:t>
          </w:r>
        </w:p>
      </w:tc>
    </w:tr>
    <w:tr>
      <w:trPr>
        <w:cantSplit w:val="0"/>
        <w:tblHeader w:val="0"/>
      </w:trPr>
      <w:tc>
        <w:tcPr>
          <w:shd w:fill="auto" w:val="clear"/>
        </w:tcPr>
        <w:p w:rsidR="00000000" w:rsidDel="00000000" w:rsidP="00000000" w:rsidRDefault="00000000" w:rsidRPr="00000000" w14:paraId="000001A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AA">
          <w:pPr>
            <w:ind w:right="175"/>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1A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AC">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Cocotitlán</w:t>
          </w:r>
        </w:p>
      </w:tc>
    </w:tr>
    <w:tr>
      <w:trPr>
        <w:cantSplit w:val="0"/>
        <w:tblHeader w:val="0"/>
      </w:trPr>
      <w:tc>
        <w:tcPr>
          <w:shd w:fill="auto" w:val="clear"/>
          <w:vAlign w:val="center"/>
        </w:tcPr>
        <w:p w:rsidR="00000000" w:rsidDel="00000000" w:rsidP="00000000" w:rsidRDefault="00000000" w:rsidRPr="00000000" w14:paraId="000001AD">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AE">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A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5">
    <w:lvl w:ilvl="0">
      <w:start w:val="0"/>
      <w:numFmt w:val="bullet"/>
      <w:lvlText w:val="-"/>
      <w:lvlJc w:val="left"/>
      <w:pPr>
        <w:ind w:left="927" w:hanging="360"/>
      </w:pPr>
      <w:rPr>
        <w:rFonts w:ascii="Palatino Linotype" w:cs="Palatino Linotype" w:eastAsia="Palatino Linotype" w:hAnsi="Palatino Linotype"/>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2470D"/>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b"/>
    <w:tblPr>
      <w:tblStyleRowBandSize w:val="1"/>
      <w:tblStyleColBandSize w:val="1"/>
      <w:tblCellMar>
        <w:left w:w="115.0" w:type="dxa"/>
        <w:right w:w="115.0" w:type="dxa"/>
      </w:tblCellMar>
    </w:tblPr>
  </w:style>
  <w:style w:type="table" w:styleId="a0" w:customStyle="1">
    <w:basedOn w:val="TableNormalb"/>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0D197B"/>
    <w:pPr>
      <w:tabs>
        <w:tab w:val="center" w:pos="4419"/>
        <w:tab w:val="right" w:pos="8838"/>
      </w:tabs>
    </w:pPr>
  </w:style>
  <w:style w:type="character" w:styleId="EncabezadoCar" w:customStyle="1">
    <w:name w:val="Encabezado Car"/>
    <w:basedOn w:val="Fuentedeprrafopredeter"/>
    <w:link w:val="Encabezado"/>
    <w:uiPriority w:val="99"/>
    <w:rsid w:val="000D197B"/>
  </w:style>
  <w:style w:type="paragraph" w:styleId="Piedepgina">
    <w:name w:val="footer"/>
    <w:basedOn w:val="Normal"/>
    <w:link w:val="PiedepginaCar"/>
    <w:uiPriority w:val="99"/>
    <w:unhideWhenUsed w:val="1"/>
    <w:rsid w:val="000D197B"/>
    <w:pPr>
      <w:tabs>
        <w:tab w:val="center" w:pos="4419"/>
        <w:tab w:val="right" w:pos="8838"/>
      </w:tabs>
    </w:pPr>
  </w:style>
  <w:style w:type="character" w:styleId="PiedepginaCar" w:customStyle="1">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43334"/>
    <w:pPr>
      <w:ind w:left="720"/>
      <w:contextualSpacing w:val="1"/>
    </w:pPr>
  </w:style>
  <w:style w:type="paragraph" w:styleId="NormalWeb">
    <w:name w:val="Normal (Web)"/>
    <w:basedOn w:val="Normal"/>
    <w:uiPriority w:val="99"/>
    <w:semiHidden w:val="1"/>
    <w:unhideWhenUsed w:val="1"/>
    <w:rsid w:val="00476335"/>
    <w:pPr>
      <w:spacing w:after="100" w:afterAutospacing="1" w:before="100" w:before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806B5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806B5C"/>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val="1"/>
    <w:qFormat w:val="1"/>
    <w:rsid w:val="00806B5C"/>
    <w:rPr>
      <w:vertAlign w:val="superscript"/>
    </w:rPr>
  </w:style>
  <w:style w:type="table" w:styleId="a1" w:customStyle="1">
    <w:basedOn w:val="TableNormalb"/>
    <w:tblPr>
      <w:tblStyleRowBandSize w:val="1"/>
      <w:tblStyleColBandSize w:val="1"/>
      <w:tblCellMar>
        <w:left w:w="115.0" w:type="dxa"/>
        <w:right w:w="115.0" w:type="dxa"/>
      </w:tblCellMar>
    </w:tblPr>
  </w:style>
  <w:style w:type="table" w:styleId="a2" w:customStyle="1">
    <w:basedOn w:val="TableNormalb"/>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504D6C"/>
    <w:rPr>
      <w:color w:val="0000ff" w:themeColor="hyperlink"/>
      <w:u w:val="single"/>
    </w:rPr>
  </w:style>
  <w:style w:type="character" w:styleId="Hipervnculovisitado">
    <w:name w:val="FollowedHyperlink"/>
    <w:basedOn w:val="Fuentedeprrafopredeter"/>
    <w:uiPriority w:val="99"/>
    <w:semiHidden w:val="1"/>
    <w:unhideWhenUsed w:val="1"/>
    <w:rsid w:val="00504D6C"/>
    <w:rPr>
      <w:color w:val="800080" w:themeColor="followedHyperlink"/>
      <w:u w:val="single"/>
    </w:rPr>
  </w:style>
  <w:style w:type="table" w:styleId="Tablaconcuadrcula">
    <w:name w:val="Table Grid"/>
    <w:basedOn w:val="Tablanormal"/>
    <w:uiPriority w:val="39"/>
    <w:rsid w:val="00134AD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3" w:customStyle="1">
    <w:basedOn w:val="TableNormala"/>
    <w:tblPr>
      <w:tblStyleRowBandSize w:val="1"/>
      <w:tblStyleColBandSize w:val="1"/>
      <w:tblCellMar>
        <w:left w:w="115.0" w:type="dxa"/>
        <w:right w:w="115.0" w:type="dxa"/>
      </w:tblCellMar>
    </w:tblPr>
  </w:style>
  <w:style w:type="table" w:styleId="a4" w:customStyle="1">
    <w:basedOn w:val="TableNormala"/>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5E017B"/>
    <w:pPr>
      <w:numPr>
        <w:numId w:val="1"/>
      </w:numPr>
      <w:contextualSpacing w:val="1"/>
    </w:pPr>
  </w:style>
  <w:style w:type="character" w:styleId="yt-core-attributed-string--link-inherit-color" w:customStyle="1">
    <w:name w:val="yt-core-attributed-string--link-inherit-color"/>
    <w:basedOn w:val="Fuentedeprrafopredeter"/>
    <w:rsid w:val="00EA0BEF"/>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val="1"/>
    <w:locked w:val="1"/>
    <w:rsid w:val="00452086"/>
  </w:style>
  <w:style w:type="character" w:styleId="Mencinsinresolver1" w:customStyle="1">
    <w:name w:val="Mención sin resolver1"/>
    <w:basedOn w:val="Fuentedeprrafopredeter"/>
    <w:uiPriority w:val="99"/>
    <w:semiHidden w:val="1"/>
    <w:unhideWhenUsed w:val="1"/>
    <w:rsid w:val="00C64B15"/>
    <w:rPr>
      <w:color w:val="605e5c"/>
      <w:shd w:color="auto" w:fill="e1dfdd" w:val="clear"/>
    </w:rPr>
  </w:style>
  <w:style w:type="paragraph" w:styleId="Default" w:customStyle="1">
    <w:name w:val="Default"/>
    <w:rsid w:val="00B92077"/>
    <w:pPr>
      <w:autoSpaceDE w:val="0"/>
      <w:autoSpaceDN w:val="0"/>
      <w:adjustRightInd w:val="0"/>
    </w:pPr>
    <w:rPr>
      <w:rFonts w:ascii="Arial" w:cs="Arial" w:hAnsi="Arial"/>
      <w:color w:val="000000"/>
    </w:rPr>
  </w:style>
  <w:style w:type="character" w:styleId="Mencinsinresolver2" w:customStyle="1">
    <w:name w:val="Mención sin resolver2"/>
    <w:basedOn w:val="Fuentedeprrafopredeter"/>
    <w:uiPriority w:val="99"/>
    <w:semiHidden w:val="1"/>
    <w:unhideWhenUsed w:val="1"/>
    <w:rsid w:val="00251B93"/>
    <w:rPr>
      <w:color w:val="605e5c"/>
      <w:shd w:color="auto" w:fill="e1dfdd" w:val="clear"/>
    </w:rPr>
  </w:style>
  <w:style w:type="paragraph" w:styleId="Textodeglobo">
    <w:name w:val="Balloon Text"/>
    <w:basedOn w:val="Normal"/>
    <w:link w:val="TextodegloboCar"/>
    <w:uiPriority w:val="99"/>
    <w:semiHidden w:val="1"/>
    <w:unhideWhenUsed w:val="1"/>
    <w:rsid w:val="00DD0D6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D0D64"/>
    <w:rPr>
      <w:rFonts w:ascii="Segoe UI" w:cs="Segoe UI" w:hAnsi="Segoe UI"/>
      <w:sz w:val="18"/>
      <w:szCs w:val="18"/>
    </w:rPr>
  </w:style>
  <w:style w:type="paragraph" w:styleId="Sinespaciado">
    <w:name w:val="No Spacing"/>
    <w:aliases w:val="Francesa"/>
    <w:link w:val="SinespaciadoCar"/>
    <w:uiPriority w:val="1"/>
    <w:qFormat w:val="1"/>
    <w:rsid w:val="000D0148"/>
    <w:rPr>
      <w:rFonts w:asciiTheme="minorHAnsi" w:cstheme="minorBidi" w:eastAsiaTheme="minorHAnsi" w:hAnsiTheme="minorHAnsi"/>
      <w:sz w:val="22"/>
      <w:szCs w:val="22"/>
      <w:lang w:eastAsia="en-US"/>
    </w:rPr>
  </w:style>
  <w:style w:type="character" w:styleId="SinespaciadoCar" w:customStyle="1">
    <w:name w:val="Sin espaciado Car"/>
    <w:aliases w:val="Francesa Car"/>
    <w:link w:val="Sinespaciado"/>
    <w:uiPriority w:val="1"/>
    <w:locked w:val="1"/>
    <w:rsid w:val="000D0148"/>
    <w:rPr>
      <w:rFonts w:asciiTheme="minorHAnsi" w:cstheme="minorBidi" w:eastAsiaTheme="minorHAnsi" w:hAnsiTheme="minorHAnsi"/>
      <w:sz w:val="22"/>
      <w:szCs w:val="22"/>
      <w:lang w:eastAsia="en-US"/>
    </w:rPr>
  </w:style>
  <w:style w:type="paragraph" w:styleId="rtejustify" w:customStyle="1">
    <w:name w:val="rtejustify"/>
    <w:basedOn w:val="Normal"/>
    <w:rsid w:val="00876EB7"/>
    <w:pPr>
      <w:spacing w:after="100" w:afterAutospacing="1" w:before="100" w:beforeAutospacing="1"/>
    </w:pPr>
  </w:style>
  <w:style w:type="table" w:styleId="a5" w:customStyle="1">
    <w:basedOn w:val="TableNormal9"/>
    <w:tblPr>
      <w:tblStyleRowBandSize w:val="1"/>
      <w:tblStyleColBandSize w:val="1"/>
      <w:tblCellMar>
        <w:left w:w="108.0" w:type="dxa"/>
        <w:right w:w="108.0" w:type="dxa"/>
      </w:tblCellMar>
    </w:tblPr>
  </w:style>
  <w:style w:type="table" w:styleId="a6" w:customStyle="1">
    <w:basedOn w:val="TableNormal9"/>
    <w:tblPr>
      <w:tblStyleRowBandSize w:val="1"/>
      <w:tblStyleColBandSize w:val="1"/>
      <w:tblCellMar>
        <w:left w:w="108.0" w:type="dxa"/>
        <w:right w:w="108.0" w:type="dxa"/>
      </w:tblCellMar>
    </w:tblPr>
  </w:style>
  <w:style w:type="table" w:styleId="a7" w:customStyle="1">
    <w:basedOn w:val="TableNormal9"/>
    <w:tblPr>
      <w:tblStyleRowBandSize w:val="1"/>
      <w:tblStyleColBandSize w:val="1"/>
      <w:tblCellMar>
        <w:left w:w="108.0" w:type="dxa"/>
        <w:right w:w="108.0" w:type="dxa"/>
      </w:tblCellMar>
    </w:tblPr>
  </w:style>
  <w:style w:type="table" w:styleId="a8" w:customStyle="1">
    <w:basedOn w:val="TableNormal9"/>
    <w:tblPr>
      <w:tblStyleRowBandSize w:val="1"/>
      <w:tblStyleColBandSize w:val="1"/>
      <w:tblCellMar>
        <w:left w:w="108.0" w:type="dxa"/>
        <w:right w:w="108.0" w:type="dxa"/>
      </w:tblCellMar>
    </w:tblPr>
  </w:style>
  <w:style w:type="table" w:styleId="a9" w:customStyle="1">
    <w:basedOn w:val="TableNormal9"/>
    <w:tblPr>
      <w:tblStyleRowBandSize w:val="1"/>
      <w:tblStyleColBandSize w:val="1"/>
      <w:tblCellMar>
        <w:left w:w="108.0" w:type="dxa"/>
        <w:right w:w="108.0" w:type="dxa"/>
      </w:tblCellMar>
    </w:tblPr>
  </w:style>
  <w:style w:type="table" w:styleId="aa" w:customStyle="1">
    <w:basedOn w:val="TableNormal9"/>
    <w:tblPr>
      <w:tblStyleRowBandSize w:val="1"/>
      <w:tblStyleColBandSize w:val="1"/>
      <w:tblCellMar>
        <w:left w:w="115.0" w:type="dxa"/>
        <w:right w:w="115.0" w:type="dxa"/>
      </w:tblCellMar>
    </w:tblPr>
  </w:style>
  <w:style w:type="table" w:styleId="ab" w:customStyle="1">
    <w:basedOn w:val="TableNormal9"/>
    <w:tblPr>
      <w:tblStyleRowBandSize w:val="1"/>
      <w:tblStyleColBandSize w:val="1"/>
      <w:tblCellMar>
        <w:left w:w="115.0" w:type="dxa"/>
        <w:right w:w="115.0" w:type="dxa"/>
      </w:tblCellMar>
    </w:tblPr>
  </w:style>
  <w:style w:type="table" w:styleId="ac" w:customStyle="1">
    <w:basedOn w:val="TableNormal8"/>
    <w:tblPr>
      <w:tblStyleRowBandSize w:val="1"/>
      <w:tblStyleColBandSize w:val="1"/>
      <w:tblCellMar>
        <w:left w:w="108.0" w:type="dxa"/>
        <w:right w:w="108.0" w:type="dxa"/>
      </w:tblCellMar>
    </w:tblPr>
  </w:style>
  <w:style w:type="table" w:styleId="ad" w:customStyle="1">
    <w:basedOn w:val="TableNormal8"/>
    <w:tblPr>
      <w:tblStyleRowBandSize w:val="1"/>
      <w:tblStyleColBandSize w:val="1"/>
      <w:tblCellMar>
        <w:left w:w="115.0" w:type="dxa"/>
        <w:right w:w="115.0" w:type="dxa"/>
      </w:tblCellMar>
    </w:tblPr>
  </w:style>
  <w:style w:type="table" w:styleId="ae" w:customStyle="1">
    <w:basedOn w:val="TableNormal8"/>
    <w:tblPr>
      <w:tblStyleRowBandSize w:val="1"/>
      <w:tblStyleColBandSize w:val="1"/>
      <w:tblCellMar>
        <w:left w:w="115.0" w:type="dxa"/>
        <w:right w:w="115.0" w:type="dxa"/>
      </w:tblCellMar>
    </w:tblPr>
  </w:style>
  <w:style w:type="table" w:styleId="af" w:customStyle="1">
    <w:basedOn w:val="TableNormal7"/>
    <w:tblPr>
      <w:tblStyleRowBandSize w:val="1"/>
      <w:tblStyleColBandSize w:val="1"/>
      <w:tblCellMar>
        <w:left w:w="115.0" w:type="dxa"/>
        <w:right w:w="115.0" w:type="dxa"/>
      </w:tblCellMar>
    </w:tblPr>
  </w:style>
  <w:style w:type="table" w:styleId="af0" w:customStyle="1">
    <w:basedOn w:val="TableNormal7"/>
    <w:tblPr>
      <w:tblStyleRowBandSize w:val="1"/>
      <w:tblStyleColBandSize w:val="1"/>
      <w:tblCellMar>
        <w:left w:w="115.0" w:type="dxa"/>
        <w:right w:w="115.0" w:type="dxa"/>
      </w:tblCellMar>
    </w:tblPr>
  </w:style>
  <w:style w:type="table" w:styleId="af1" w:customStyle="1">
    <w:basedOn w:val="TableNormal7"/>
    <w:tblPr>
      <w:tblStyleRowBandSize w:val="1"/>
      <w:tblStyleColBandSize w:val="1"/>
      <w:tblCellMar>
        <w:left w:w="115.0" w:type="dxa"/>
        <w:right w:w="115.0" w:type="dxa"/>
      </w:tblCellMar>
    </w:tblPr>
  </w:style>
  <w:style w:type="table" w:styleId="af2" w:customStyle="1">
    <w:basedOn w:val="TableNormal6"/>
    <w:tblPr>
      <w:tblStyleRowBandSize w:val="1"/>
      <w:tblStyleColBandSize w:val="1"/>
      <w:tblCellMar>
        <w:left w:w="115.0" w:type="dxa"/>
        <w:right w:w="115.0" w:type="dxa"/>
      </w:tblCellMar>
    </w:tblPr>
  </w:style>
  <w:style w:type="table" w:styleId="af3" w:customStyle="1">
    <w:basedOn w:val="TableNormal6"/>
    <w:tblPr>
      <w:tblStyleRowBandSize w:val="1"/>
      <w:tblStyleColBandSize w:val="1"/>
      <w:tblCellMar>
        <w:left w:w="115.0" w:type="dxa"/>
        <w:right w:w="115.0" w:type="dxa"/>
      </w:tblCellMar>
    </w:tblPr>
  </w:style>
  <w:style w:type="table" w:styleId="af4" w:customStyle="1">
    <w:basedOn w:val="TableNormal5"/>
    <w:tblPr>
      <w:tblStyleRowBandSize w:val="1"/>
      <w:tblStyleColBandSize w:val="1"/>
      <w:tblCellMar>
        <w:left w:w="115.0" w:type="dxa"/>
        <w:right w:w="115.0" w:type="dxa"/>
      </w:tblCellMar>
    </w:tblPr>
  </w:style>
  <w:style w:type="table" w:styleId="af5" w:customStyle="1">
    <w:basedOn w:val="TableNormal5"/>
    <w:tblPr>
      <w:tblStyleRowBandSize w:val="1"/>
      <w:tblStyleColBandSize w:val="1"/>
      <w:tblCellMar>
        <w:left w:w="115.0" w:type="dxa"/>
        <w:right w:w="115.0" w:type="dxa"/>
      </w:tblCellMar>
    </w:tblPr>
  </w:style>
  <w:style w:type="table" w:styleId="af6" w:customStyle="1">
    <w:basedOn w:val="TableNormal4"/>
    <w:tblPr>
      <w:tblStyleRowBandSize w:val="1"/>
      <w:tblStyleColBandSize w:val="1"/>
      <w:tblCellMar>
        <w:left w:w="115.0" w:type="dxa"/>
        <w:right w:w="115.0" w:type="dxa"/>
      </w:tblCellMar>
    </w:tblPr>
  </w:style>
  <w:style w:type="table" w:styleId="af7" w:customStyle="1">
    <w:basedOn w:val="TableNormal4"/>
    <w:tblPr>
      <w:tblStyleRowBandSize w:val="1"/>
      <w:tblStyleColBandSize w:val="1"/>
      <w:tblCellMar>
        <w:left w:w="115.0" w:type="dxa"/>
        <w:right w:w="115.0" w:type="dxa"/>
      </w:tblCellMar>
    </w:tblPr>
  </w:style>
  <w:style w:type="character" w:styleId="Textoennegrita">
    <w:name w:val="Strong"/>
    <w:basedOn w:val="Fuentedeprrafopredeter"/>
    <w:uiPriority w:val="22"/>
    <w:qFormat w:val="1"/>
    <w:rsid w:val="002C02D7"/>
    <w:rPr>
      <w:b w:val="1"/>
      <w:bCs w:val="1"/>
    </w:rPr>
  </w:style>
  <w:style w:type="character" w:styleId="object" w:customStyle="1">
    <w:name w:val="object"/>
    <w:basedOn w:val="Fuentedeprrafopredeter"/>
    <w:rsid w:val="002C02D7"/>
  </w:style>
  <w:style w:type="table" w:styleId="af8" w:customStyle="1">
    <w:basedOn w:val="TableNormal3"/>
    <w:tblPr>
      <w:tblStyleRowBandSize w:val="1"/>
      <w:tblStyleColBandSize w:val="1"/>
      <w:tblCellMar>
        <w:left w:w="115.0" w:type="dxa"/>
        <w:right w:w="115.0" w:type="dxa"/>
      </w:tblCellMar>
    </w:tblPr>
  </w:style>
  <w:style w:type="table" w:styleId="af9" w:customStyle="1">
    <w:basedOn w:val="TableNormal3"/>
    <w:tblPr>
      <w:tblStyleRowBandSize w:val="1"/>
      <w:tblStyleColBandSize w:val="1"/>
      <w:tblCellMar>
        <w:left w:w="115.0" w:type="dxa"/>
        <w:right w:w="115.0" w:type="dxa"/>
      </w:tblCellMar>
    </w:tblPr>
  </w:style>
  <w:style w:type="table" w:styleId="afa" w:customStyle="1">
    <w:basedOn w:val="TableNormal2"/>
    <w:tblPr>
      <w:tblStyleRowBandSize w:val="1"/>
      <w:tblStyleColBandSize w:val="1"/>
      <w:tblCellMar>
        <w:left w:w="115.0" w:type="dxa"/>
        <w:right w:w="115.0" w:type="dxa"/>
      </w:tblCellMar>
    </w:tblPr>
  </w:style>
  <w:style w:type="table" w:styleId="afb" w:customStyle="1">
    <w:basedOn w:val="TableNormal2"/>
    <w:tblPr>
      <w:tblStyleRowBandSize w:val="1"/>
      <w:tblStyleColBandSize w:val="1"/>
      <w:tblCellMar>
        <w:left w:w="115.0" w:type="dxa"/>
        <w:right w:w="115.0" w:type="dxa"/>
      </w:tblCellMar>
    </w:tblPr>
  </w:style>
  <w:style w:type="table" w:styleId="afc" w:customStyle="1">
    <w:basedOn w:val="TableNormal1"/>
    <w:tblPr>
      <w:tblStyleRowBandSize w:val="1"/>
      <w:tblStyleColBandSize w:val="1"/>
      <w:tblCellMar>
        <w:left w:w="115.0" w:type="dxa"/>
        <w:right w:w="115.0" w:type="dxa"/>
      </w:tblCellMar>
    </w:tblPr>
  </w:style>
  <w:style w:type="table" w:styleId="afd" w:customStyle="1">
    <w:basedOn w:val="TableNormal1"/>
    <w:tblPr>
      <w:tblStyleRowBandSize w:val="1"/>
      <w:tblStyleColBandSize w:val="1"/>
      <w:tblCellMar>
        <w:left w:w="115.0" w:type="dxa"/>
        <w:right w:w="115.0" w:type="dxa"/>
      </w:tblCellMar>
    </w:tblPr>
  </w:style>
  <w:style w:type="table" w:styleId="afe" w:customStyle="1">
    <w:basedOn w:val="TableNormal0"/>
    <w:tblPr>
      <w:tblStyleRowBandSize w:val="1"/>
      <w:tblStyleColBandSize w:val="1"/>
      <w:tblCellMar>
        <w:left w:w="115.0" w:type="dxa"/>
        <w:right w:w="115.0" w:type="dxa"/>
      </w:tblCellMar>
    </w:tblPr>
  </w:style>
  <w:style w:type="table" w:styleId="aff"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6.png"/><Relationship Id="rId10" Type="http://schemas.openxmlformats.org/officeDocument/2006/relationships/image" Target="media/image9.png"/><Relationship Id="rId21" Type="http://schemas.openxmlformats.org/officeDocument/2006/relationships/footer" Target="footer2.xml"/><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1.png"/><Relationship Id="rId15" Type="http://schemas.openxmlformats.org/officeDocument/2006/relationships/image" Target="media/image4.png"/><Relationship Id="rId14" Type="http://schemas.openxmlformats.org/officeDocument/2006/relationships/image" Target="media/image8.png"/><Relationship Id="rId17" Type="http://schemas.openxmlformats.org/officeDocument/2006/relationships/image" Target="media/image5.png"/><Relationship Id="rId16" Type="http://schemas.openxmlformats.org/officeDocument/2006/relationships/image" Target="media/image2.png"/><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24/marzo/mar201/mar201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O/jNrv+81mNYDnGEuepseWgLWw==">CgMxLjAyCWguM3JkY3JqbjIJaC40ZDM0b2c4MghoLmdqZGd4czIJaC4zZHk2dmttMg5oLmR1NWxzeDIzOGxhYTIJaC4zMGowemxsMgloLjJzOGV5bzEyDmgubXVpd3B1NWhiZW9nMghoLnR5amN3dDIJaC4zem55c2g3MgloLjJldDkycDAyDmguemc0ajVjc25lM3dnMg5oLmRmejNqOHVjbGk4NzIJaC4xdDNoNXNmOAByITFXcUtNVC1Za0V5c1ppUjJ1MkpiaHhoWjhfb3pGWHhi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2025-06-04T20:28:00Z</dcterms:created>
  <dc:creator>USUARIO</dc:creator>
</cp:coreProperties>
</file>